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20DA95" w14:textId="211D3C8D" w:rsidR="009A7D0F" w:rsidRDefault="00652D88" w:rsidP="00441B6F">
      <w:pPr>
        <w:pStyle w:val="Title"/>
        <w:spacing w:after="0"/>
        <w:jc w:val="both"/>
        <w:rPr>
          <w:rFonts w:ascii="Arial" w:hAnsi="Arial" w:cs="Arial"/>
          <w:bCs/>
          <w:i/>
          <w:iCs/>
          <w:sz w:val="22"/>
          <w:szCs w:val="22"/>
          <w:u w:val="single"/>
        </w:rPr>
      </w:pPr>
      <w:r w:rsidRPr="00652D88">
        <w:rPr>
          <w:rFonts w:ascii="Arial" w:hAnsi="Arial" w:cs="Arial"/>
          <w:bCs/>
          <w:i/>
          <w:iCs/>
          <w:sz w:val="22"/>
          <w:szCs w:val="22"/>
          <w:u w:val="single"/>
        </w:rPr>
        <w:t>Original Research Article</w:t>
      </w:r>
    </w:p>
    <w:p w14:paraId="216D0631" w14:textId="77777777" w:rsidR="00652D88" w:rsidRPr="009A7D0F" w:rsidRDefault="00652D88" w:rsidP="00441B6F">
      <w:pPr>
        <w:pStyle w:val="Title"/>
        <w:spacing w:after="0"/>
        <w:jc w:val="both"/>
        <w:rPr>
          <w:rFonts w:ascii="Arial" w:hAnsi="Arial" w:cs="Arial"/>
          <w:sz w:val="22"/>
          <w:szCs w:val="22"/>
        </w:rPr>
      </w:pPr>
    </w:p>
    <w:p w14:paraId="7C6231BB" w14:textId="42726B10" w:rsidR="00163BC4" w:rsidRPr="00163BC4" w:rsidRDefault="005F0012" w:rsidP="005F0012">
      <w:pPr>
        <w:pStyle w:val="Author"/>
        <w:spacing w:line="240" w:lineRule="auto"/>
        <w:rPr>
          <w:rFonts w:ascii="Arial" w:hAnsi="Arial" w:cs="Arial"/>
          <w:bCs/>
          <w:iCs/>
          <w:kern w:val="28"/>
          <w:sz w:val="36"/>
        </w:rPr>
      </w:pPr>
      <w:r w:rsidRPr="005F0012">
        <w:rPr>
          <w:rFonts w:ascii="Arial" w:hAnsi="Arial" w:cs="Arial"/>
          <w:bCs/>
          <w:iCs/>
          <w:kern w:val="28"/>
          <w:sz w:val="36"/>
        </w:rPr>
        <w:t xml:space="preserve">Pharmacological assessment of the </w:t>
      </w:r>
      <w:proofErr w:type="spellStart"/>
      <w:r w:rsidRPr="005F0012">
        <w:rPr>
          <w:rFonts w:ascii="Arial" w:hAnsi="Arial" w:cs="Arial"/>
          <w:bCs/>
          <w:i/>
          <w:kern w:val="28"/>
          <w:sz w:val="36"/>
        </w:rPr>
        <w:t>Ormosia</w:t>
      </w:r>
      <w:proofErr w:type="spellEnd"/>
      <w:r w:rsidRPr="005F0012">
        <w:rPr>
          <w:rFonts w:ascii="Arial" w:hAnsi="Arial" w:cs="Arial"/>
          <w:bCs/>
          <w:i/>
          <w:kern w:val="28"/>
          <w:sz w:val="36"/>
        </w:rPr>
        <w:t xml:space="preserve"> </w:t>
      </w:r>
      <w:proofErr w:type="spellStart"/>
      <w:r w:rsidRPr="005F0012">
        <w:rPr>
          <w:rFonts w:ascii="Arial" w:hAnsi="Arial" w:cs="Arial"/>
          <w:bCs/>
          <w:i/>
          <w:kern w:val="28"/>
          <w:sz w:val="36"/>
        </w:rPr>
        <w:t>robusta</w:t>
      </w:r>
      <w:proofErr w:type="spellEnd"/>
      <w:r w:rsidRPr="005F0012">
        <w:rPr>
          <w:rFonts w:ascii="Arial" w:hAnsi="Arial" w:cs="Arial"/>
          <w:bCs/>
          <w:iCs/>
          <w:kern w:val="28"/>
          <w:sz w:val="36"/>
        </w:rPr>
        <w:t xml:space="preserve"> methanol leaf extract against free radicals, cytotoxicity and inflammation: An </w:t>
      </w:r>
      <w:r w:rsidRPr="005F0012">
        <w:rPr>
          <w:rFonts w:ascii="Arial" w:hAnsi="Arial" w:cs="Arial"/>
          <w:bCs/>
          <w:i/>
          <w:kern w:val="28"/>
          <w:sz w:val="36"/>
        </w:rPr>
        <w:t>in vitro</w:t>
      </w:r>
      <w:r w:rsidRPr="005F0012">
        <w:rPr>
          <w:rFonts w:ascii="Arial" w:hAnsi="Arial" w:cs="Arial"/>
          <w:bCs/>
          <w:iCs/>
          <w:kern w:val="28"/>
          <w:sz w:val="36"/>
        </w:rPr>
        <w:t xml:space="preserve"> and </w:t>
      </w:r>
      <w:r w:rsidRPr="005F0012">
        <w:rPr>
          <w:rFonts w:ascii="Arial" w:hAnsi="Arial" w:cs="Arial"/>
          <w:bCs/>
          <w:i/>
          <w:kern w:val="28"/>
          <w:sz w:val="36"/>
        </w:rPr>
        <w:t>in silico</w:t>
      </w:r>
      <w:r w:rsidRPr="005F0012">
        <w:rPr>
          <w:rFonts w:ascii="Arial" w:hAnsi="Arial" w:cs="Arial"/>
          <w:bCs/>
          <w:iCs/>
          <w:kern w:val="28"/>
          <w:sz w:val="36"/>
        </w:rPr>
        <w:t xml:space="preserve"> investigation</w:t>
      </w:r>
    </w:p>
    <w:p w14:paraId="5E1ADFDF" w14:textId="77777777" w:rsidR="00A258C3" w:rsidRPr="00790ADA" w:rsidRDefault="00A258C3" w:rsidP="00441B6F">
      <w:pPr>
        <w:pStyle w:val="Author"/>
        <w:spacing w:line="240" w:lineRule="auto"/>
        <w:jc w:val="both"/>
        <w:rPr>
          <w:rFonts w:ascii="Arial" w:hAnsi="Arial" w:cs="Arial"/>
          <w:sz w:val="36"/>
        </w:rPr>
      </w:pPr>
    </w:p>
    <w:p w14:paraId="65E8642C" w14:textId="77777777" w:rsidR="00652D88" w:rsidRPr="00DB7627" w:rsidRDefault="00652D88" w:rsidP="00DB7627">
      <w:pPr>
        <w:pStyle w:val="Affiliation"/>
        <w:spacing w:line="240" w:lineRule="auto"/>
        <w:rPr>
          <w:rFonts w:ascii="Arial" w:hAnsi="Arial" w:cs="Arial"/>
          <w:bCs/>
          <w:i/>
          <w:vertAlign w:val="superscript"/>
        </w:rPr>
      </w:pPr>
    </w:p>
    <w:p w14:paraId="629B335B" w14:textId="77777777" w:rsidR="00B01FCD" w:rsidRPr="00FB3A86" w:rsidRDefault="00AF2BCC" w:rsidP="00441B6F">
      <w:pPr>
        <w:pStyle w:val="Copyright"/>
        <w:spacing w:after="0" w:line="240" w:lineRule="auto"/>
        <w:jc w:val="both"/>
        <w:rPr>
          <w:rFonts w:ascii="Arial" w:hAnsi="Arial" w:cs="Arial"/>
        </w:rPr>
        <w:sectPr w:rsidR="00B01FCD" w:rsidRPr="00FB3A86" w:rsidSect="001A126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CB0B3EE" wp14:editId="51F39C15">
                <wp:extent cx="5303520" cy="635"/>
                <wp:effectExtent l="0" t="0" r="11430" b="18415"/>
                <wp:docPr id="219307929"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2E18E9F" id="_x0000_t32" coordsize="21600,21600" o:spt="32" o:oned="t" path="m,l21600,21600e" filled="f">
                <v:path arrowok="t" fillok="f" o:connecttype="none"/>
                <o:lock v:ext="edit" shapetype="t"/>
              </v:shapetype>
              <v:shape id="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" strokeweight="1.5pt">
                <o:lock v:ext="edit" shapetype="f"/>
                <w10:anchorlock/>
              </v:shape>
            </w:pict>
          </mc:Fallback>
        </mc:AlternateContent>
      </w:r>
      <w:r w:rsidR="00FB3A86">
        <w:rPr>
          <w:rFonts w:ascii="Arial" w:hAnsi="Arial" w:cs="Arial"/>
        </w:rPr>
        <w:t>.</w:t>
      </w:r>
    </w:p>
    <w:p w14:paraId="770E2649" w14:textId="20799809" w:rsidR="00B01FCD" w:rsidRDefault="00B01FCD" w:rsidP="00441B6F">
      <w:pPr>
        <w:pStyle w:val="AbstHead"/>
        <w:spacing w:after="0"/>
        <w:jc w:val="both"/>
        <w:rPr>
          <w:rFonts w:ascii="Arial" w:hAnsi="Arial" w:cs="Arial"/>
        </w:rPr>
      </w:pPr>
      <w:r w:rsidRPr="00FB3A86">
        <w:rPr>
          <w:rFonts w:ascii="Arial" w:hAnsi="Arial" w:cs="Arial"/>
        </w:rPr>
        <w:t>ABSTRACT</w:t>
      </w:r>
    </w:p>
    <w:p w14:paraId="74DFC4DD" w14:textId="77777777" w:rsidR="00790ADA" w:rsidRPr="00FB3A86" w:rsidRDefault="00790ADA" w:rsidP="00441B6F">
      <w:pPr>
        <w:pStyle w:val="AbstHead"/>
        <w:spacing w:after="0"/>
        <w:jc w:val="both"/>
        <w:rPr>
          <w:rFonts w:ascii="Arial" w:hAnsi="Arial" w:cs="Arial"/>
        </w:rPr>
      </w:pPr>
    </w:p>
    <w:tbl>
      <w:tblPr>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359"/>
      </w:tblGrid>
      <w:tr w:rsidR="00296529" w:rsidRPr="001E44FE" w14:paraId="4F7AF1DD" w14:textId="77777777" w:rsidTr="009A4612">
        <w:tc>
          <w:tcPr>
            <w:tcW w:w="8359" w:type="dxa"/>
            <w:shd w:val="clear" w:color="auto" w:fill="F2F2F2"/>
          </w:tcPr>
          <w:p w14:paraId="1E6C9F41" w14:textId="02E4190D"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proofErr w:type="spellStart"/>
            <w:r w:rsidR="005F0012" w:rsidRPr="005F0012">
              <w:rPr>
                <w:rFonts w:ascii="Arial" w:eastAsia="Calibri" w:hAnsi="Arial" w:cs="Arial"/>
                <w:i/>
                <w:iCs/>
                <w:szCs w:val="22"/>
              </w:rPr>
              <w:t>Ormosia</w:t>
            </w:r>
            <w:proofErr w:type="spellEnd"/>
            <w:r w:rsidR="005F0012" w:rsidRPr="005F0012">
              <w:rPr>
                <w:rFonts w:ascii="Arial" w:eastAsia="Calibri" w:hAnsi="Arial" w:cs="Arial"/>
                <w:i/>
                <w:iCs/>
                <w:szCs w:val="22"/>
              </w:rPr>
              <w:t xml:space="preserve"> </w:t>
            </w:r>
            <w:proofErr w:type="spellStart"/>
            <w:r w:rsidR="005F0012" w:rsidRPr="005F0012">
              <w:rPr>
                <w:rFonts w:ascii="Arial" w:eastAsia="Calibri" w:hAnsi="Arial" w:cs="Arial"/>
                <w:i/>
                <w:iCs/>
                <w:szCs w:val="22"/>
              </w:rPr>
              <w:t>robusta</w:t>
            </w:r>
            <w:proofErr w:type="spellEnd"/>
            <w:r w:rsidR="005F0012" w:rsidRPr="005F0012">
              <w:rPr>
                <w:rFonts w:ascii="Arial" w:eastAsia="Calibri" w:hAnsi="Arial" w:cs="Arial"/>
                <w:szCs w:val="22"/>
              </w:rPr>
              <w:t xml:space="preserve"> (</w:t>
            </w:r>
            <w:r w:rsidR="005F0012" w:rsidRPr="005F0012">
              <w:rPr>
                <w:rFonts w:ascii="Arial" w:eastAsia="Calibri" w:hAnsi="Arial" w:cs="Arial"/>
                <w:i/>
                <w:iCs/>
                <w:szCs w:val="22"/>
              </w:rPr>
              <w:t>O. robusta</w:t>
            </w:r>
            <w:r w:rsidR="005F0012" w:rsidRPr="005F0012">
              <w:rPr>
                <w:rFonts w:ascii="Arial" w:eastAsia="Calibri" w:hAnsi="Arial" w:cs="Arial"/>
                <w:szCs w:val="22"/>
              </w:rPr>
              <w:t xml:space="preserve">) grown mainly in East Asia is known for its popular traditional uses. The objective of this research is to examine the phytochemical makeup of methanol extract of </w:t>
            </w:r>
            <w:r w:rsidR="005F0012" w:rsidRPr="005F0012">
              <w:rPr>
                <w:rFonts w:ascii="Arial" w:eastAsia="Calibri" w:hAnsi="Arial" w:cs="Arial"/>
                <w:i/>
                <w:iCs/>
                <w:szCs w:val="22"/>
              </w:rPr>
              <w:t>O. robusta</w:t>
            </w:r>
            <w:r w:rsidR="005F0012" w:rsidRPr="005F0012">
              <w:rPr>
                <w:rFonts w:ascii="Arial" w:eastAsia="Calibri" w:hAnsi="Arial" w:cs="Arial"/>
                <w:szCs w:val="22"/>
              </w:rPr>
              <w:t xml:space="preserve"> leaves (MEORL) and assess its </w:t>
            </w:r>
            <w:r w:rsidR="005F0012" w:rsidRPr="00661DF4">
              <w:rPr>
                <w:rFonts w:ascii="Arial" w:eastAsia="Calibri" w:hAnsi="Arial" w:cs="Arial"/>
                <w:i/>
                <w:iCs/>
                <w:szCs w:val="22"/>
              </w:rPr>
              <w:t>in</w:t>
            </w:r>
            <w:r w:rsidR="00661DF4">
              <w:rPr>
                <w:rFonts w:ascii="Arial" w:eastAsia="Calibri" w:hAnsi="Arial" w:cs="Arial"/>
                <w:i/>
                <w:iCs/>
                <w:szCs w:val="22"/>
              </w:rPr>
              <w:t xml:space="preserve"> </w:t>
            </w:r>
            <w:r w:rsidR="005F0012" w:rsidRPr="00661DF4">
              <w:rPr>
                <w:rFonts w:ascii="Arial" w:eastAsia="Calibri" w:hAnsi="Arial" w:cs="Arial"/>
                <w:i/>
                <w:iCs/>
                <w:szCs w:val="22"/>
              </w:rPr>
              <w:t>vitro</w:t>
            </w:r>
            <w:r w:rsidR="005F0012" w:rsidRPr="005F0012">
              <w:rPr>
                <w:rFonts w:ascii="Arial" w:eastAsia="Calibri" w:hAnsi="Arial" w:cs="Arial"/>
                <w:szCs w:val="22"/>
              </w:rPr>
              <w:t xml:space="preserve"> antioxidant, cytotoxic, and anti-inflammatory properties</w:t>
            </w:r>
            <w:r w:rsidR="00661DF4">
              <w:rPr>
                <w:rFonts w:ascii="Arial" w:eastAsia="Calibri" w:hAnsi="Arial" w:cs="Arial"/>
                <w:szCs w:val="22"/>
              </w:rPr>
              <w:t>.</w:t>
            </w:r>
          </w:p>
          <w:p w14:paraId="66235EB6" w14:textId="405C9E34"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5F0012" w:rsidRPr="005F0012">
              <w:rPr>
                <w:rFonts w:ascii="Arial" w:eastAsia="Calibri" w:hAnsi="Arial" w:cs="Arial"/>
                <w:szCs w:val="22"/>
              </w:rPr>
              <w:t xml:space="preserve">DPPH free radical scavenging assay was utilized to assess its antioxidant activity. The brine shrimp lethality bioassay was used to check cytotoxicity. Additionally, </w:t>
            </w:r>
            <w:r w:rsidR="005F0012" w:rsidRPr="00661DF4">
              <w:rPr>
                <w:rFonts w:ascii="Arial" w:eastAsia="Calibri" w:hAnsi="Arial" w:cs="Arial"/>
                <w:i/>
                <w:iCs/>
                <w:szCs w:val="22"/>
              </w:rPr>
              <w:t>in</w:t>
            </w:r>
            <w:r w:rsidR="00661DF4" w:rsidRPr="00661DF4">
              <w:rPr>
                <w:rFonts w:ascii="Arial" w:eastAsia="Calibri" w:hAnsi="Arial" w:cs="Arial"/>
                <w:i/>
                <w:iCs/>
                <w:szCs w:val="22"/>
              </w:rPr>
              <w:t xml:space="preserve"> </w:t>
            </w:r>
            <w:r w:rsidR="005F0012" w:rsidRPr="00661DF4">
              <w:rPr>
                <w:rFonts w:ascii="Arial" w:eastAsia="Calibri" w:hAnsi="Arial" w:cs="Arial"/>
                <w:i/>
                <w:iCs/>
                <w:szCs w:val="22"/>
              </w:rPr>
              <w:t>vitro</w:t>
            </w:r>
            <w:r w:rsidR="005F0012" w:rsidRPr="005F0012">
              <w:rPr>
                <w:rFonts w:ascii="Arial" w:eastAsia="Calibri" w:hAnsi="Arial" w:cs="Arial"/>
                <w:szCs w:val="22"/>
              </w:rPr>
              <w:t xml:space="preserve"> anti-inflammatory potential of this plant was evaluated by utilizing the protein denaturation test. Moreover, molecular docking was performed to assess the binding affinity of phytoconstituents, and drug-like properties were evaluated by ADME/T analysis.</w:t>
            </w:r>
          </w:p>
          <w:p w14:paraId="75F5547E" w14:textId="4AEFE404"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5F0012" w:rsidRPr="005F0012">
              <w:rPr>
                <w:rFonts w:ascii="Arial" w:eastAsia="Calibri" w:hAnsi="Arial" w:cs="Arial"/>
                <w:szCs w:val="22"/>
              </w:rPr>
              <w:t>MEORL showed an IC</w:t>
            </w:r>
            <w:r w:rsidR="005F0012" w:rsidRPr="005F0012">
              <w:rPr>
                <w:rFonts w:ascii="Arial" w:eastAsia="Calibri" w:hAnsi="Arial" w:cs="Arial"/>
                <w:szCs w:val="22"/>
                <w:vertAlign w:val="subscript"/>
              </w:rPr>
              <w:t>50</w:t>
            </w:r>
            <w:r w:rsidR="005F0012" w:rsidRPr="005F0012">
              <w:rPr>
                <w:rFonts w:ascii="Arial" w:eastAsia="Calibri" w:hAnsi="Arial" w:cs="Arial"/>
                <w:szCs w:val="22"/>
              </w:rPr>
              <w:t xml:space="preserve"> of 63.81 </w:t>
            </w:r>
            <w:proofErr w:type="spellStart"/>
            <w:r w:rsidR="005F0012" w:rsidRPr="005F0012">
              <w:rPr>
                <w:rFonts w:ascii="Arial" w:eastAsia="Calibri" w:hAnsi="Arial" w:cs="Arial"/>
                <w:szCs w:val="22"/>
              </w:rPr>
              <w:t>μg</w:t>
            </w:r>
            <w:proofErr w:type="spellEnd"/>
            <w:r w:rsidR="005F0012" w:rsidRPr="005F0012">
              <w:rPr>
                <w:rFonts w:ascii="Arial" w:eastAsia="Calibri" w:hAnsi="Arial" w:cs="Arial"/>
                <w:szCs w:val="22"/>
              </w:rPr>
              <w:t xml:space="preserve">/ml compared to the standard 12.90 </w:t>
            </w:r>
            <w:proofErr w:type="spellStart"/>
            <w:r w:rsidR="005F0012" w:rsidRPr="005F0012">
              <w:rPr>
                <w:rFonts w:ascii="Arial" w:eastAsia="Calibri" w:hAnsi="Arial" w:cs="Arial"/>
                <w:szCs w:val="22"/>
              </w:rPr>
              <w:t>μg</w:t>
            </w:r>
            <w:proofErr w:type="spellEnd"/>
            <w:r w:rsidR="005F0012" w:rsidRPr="005F0012">
              <w:rPr>
                <w:rFonts w:ascii="Arial" w:eastAsia="Calibri" w:hAnsi="Arial" w:cs="Arial"/>
                <w:szCs w:val="22"/>
              </w:rPr>
              <w:t>/ml in the DPPH free radical scavenging assay. MEORL showed concentration-dependent cytotoxic activity with a LC</w:t>
            </w:r>
            <w:r w:rsidR="005F0012" w:rsidRPr="005F0012">
              <w:rPr>
                <w:rFonts w:ascii="Arial" w:eastAsia="Calibri" w:hAnsi="Arial" w:cs="Arial"/>
                <w:szCs w:val="22"/>
                <w:vertAlign w:val="subscript"/>
              </w:rPr>
              <w:t>50</w:t>
            </w:r>
            <w:r w:rsidR="005F0012" w:rsidRPr="005F0012">
              <w:rPr>
                <w:rFonts w:ascii="Arial" w:eastAsia="Calibri" w:hAnsi="Arial" w:cs="Arial"/>
                <w:szCs w:val="22"/>
              </w:rPr>
              <w:t xml:space="preserve"> value of 167.19 </w:t>
            </w:r>
            <w:proofErr w:type="spellStart"/>
            <w:r w:rsidR="005F0012" w:rsidRPr="005F0012">
              <w:rPr>
                <w:rFonts w:ascii="Arial" w:eastAsia="Calibri" w:hAnsi="Arial" w:cs="Arial"/>
                <w:szCs w:val="22"/>
              </w:rPr>
              <w:t>μg</w:t>
            </w:r>
            <w:proofErr w:type="spellEnd"/>
            <w:r w:rsidR="005F0012" w:rsidRPr="005F0012">
              <w:rPr>
                <w:rFonts w:ascii="Arial" w:eastAsia="Calibri" w:hAnsi="Arial" w:cs="Arial"/>
                <w:szCs w:val="22"/>
              </w:rPr>
              <w:t xml:space="preserve">/ml was found. On the other hand, diclofenac-Na was used as a standard for evaluating </w:t>
            </w:r>
            <w:r w:rsidR="005F0012" w:rsidRPr="00661DF4">
              <w:rPr>
                <w:rFonts w:ascii="Arial" w:eastAsia="Calibri" w:hAnsi="Arial" w:cs="Arial"/>
                <w:i/>
                <w:iCs/>
                <w:szCs w:val="22"/>
              </w:rPr>
              <w:t>in</w:t>
            </w:r>
            <w:r w:rsidR="00661DF4">
              <w:rPr>
                <w:rFonts w:ascii="Arial" w:eastAsia="Calibri" w:hAnsi="Arial" w:cs="Arial"/>
                <w:i/>
                <w:iCs/>
                <w:szCs w:val="22"/>
              </w:rPr>
              <w:t xml:space="preserve"> </w:t>
            </w:r>
            <w:r w:rsidR="005F0012" w:rsidRPr="00661DF4">
              <w:rPr>
                <w:rFonts w:ascii="Arial" w:eastAsia="Calibri" w:hAnsi="Arial" w:cs="Arial"/>
                <w:i/>
                <w:iCs/>
                <w:szCs w:val="22"/>
              </w:rPr>
              <w:t>vitro</w:t>
            </w:r>
            <w:r w:rsidR="005F0012" w:rsidRPr="005F0012">
              <w:rPr>
                <w:rFonts w:ascii="Arial" w:eastAsia="Calibri" w:hAnsi="Arial" w:cs="Arial"/>
                <w:szCs w:val="22"/>
              </w:rPr>
              <w:t xml:space="preserve"> anti-inflammatory activity and showed 84.76% suppression of protein denaturation compared to the sample with a maximum of 93.29%. All the selected phytochemicals showed good binding affinity with each target protein in the molecular docking study and were pharmacologically safe based on the ADME/T analysis.</w:t>
            </w:r>
          </w:p>
          <w:p w14:paraId="15ED6651" w14:textId="7EB1B7C6"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5F0012" w:rsidRPr="005F0012">
              <w:rPr>
                <w:rFonts w:ascii="Arial" w:eastAsia="Calibri" w:hAnsi="Arial" w:cs="Arial"/>
                <w:szCs w:val="22"/>
              </w:rPr>
              <w:t xml:space="preserve">This investigation suggested the </w:t>
            </w:r>
            <w:r w:rsidR="005F0012" w:rsidRPr="00661DF4">
              <w:rPr>
                <w:rFonts w:ascii="Arial" w:eastAsia="Calibri" w:hAnsi="Arial" w:cs="Arial"/>
                <w:i/>
                <w:iCs/>
                <w:szCs w:val="22"/>
              </w:rPr>
              <w:t>in</w:t>
            </w:r>
            <w:r w:rsidR="00661DF4" w:rsidRPr="00661DF4">
              <w:rPr>
                <w:rFonts w:ascii="Arial" w:eastAsia="Calibri" w:hAnsi="Arial" w:cs="Arial"/>
                <w:i/>
                <w:iCs/>
                <w:szCs w:val="22"/>
              </w:rPr>
              <w:t xml:space="preserve"> </w:t>
            </w:r>
            <w:r w:rsidR="005F0012" w:rsidRPr="00661DF4">
              <w:rPr>
                <w:rFonts w:ascii="Arial" w:eastAsia="Calibri" w:hAnsi="Arial" w:cs="Arial"/>
                <w:i/>
                <w:iCs/>
                <w:szCs w:val="22"/>
              </w:rPr>
              <w:t>vitro</w:t>
            </w:r>
            <w:r w:rsidR="005F0012" w:rsidRPr="005F0012">
              <w:rPr>
                <w:rFonts w:ascii="Arial" w:eastAsia="Calibri" w:hAnsi="Arial" w:cs="Arial"/>
                <w:szCs w:val="22"/>
              </w:rPr>
              <w:t xml:space="preserve"> antioxidant, cytotoxic, and anti-inflammatory potential of MEORL and ensured the validity of this plant as a promising source of medication.</w:t>
            </w:r>
          </w:p>
        </w:tc>
      </w:tr>
    </w:tbl>
    <w:p w14:paraId="3A9D8D38" w14:textId="77777777" w:rsidR="00636EB2" w:rsidRDefault="00636EB2" w:rsidP="00441B6F">
      <w:pPr>
        <w:pStyle w:val="Body"/>
        <w:spacing w:after="0"/>
        <w:rPr>
          <w:rFonts w:ascii="Arial" w:hAnsi="Arial" w:cs="Arial"/>
          <w:i/>
        </w:rPr>
      </w:pPr>
    </w:p>
    <w:p w14:paraId="77C0190D" w14:textId="09B825BA" w:rsidR="0024282C" w:rsidRPr="005F0012" w:rsidRDefault="00A24E7E" w:rsidP="00441B6F">
      <w:pPr>
        <w:pStyle w:val="Body"/>
        <w:spacing w:after="0"/>
        <w:rPr>
          <w:rFonts w:ascii="Arial" w:hAnsi="Arial" w:cs="Arial"/>
          <w:i/>
        </w:rPr>
      </w:pPr>
      <w:r>
        <w:rPr>
          <w:rFonts w:ascii="Arial" w:hAnsi="Arial" w:cs="Arial"/>
          <w:i/>
        </w:rPr>
        <w:t xml:space="preserve">Keywords: </w:t>
      </w:r>
      <w:r w:rsidR="005F0012" w:rsidRPr="005F0012">
        <w:rPr>
          <w:rFonts w:ascii="Arial" w:hAnsi="Arial" w:cs="Arial"/>
          <w:i/>
          <w:iCs/>
        </w:rPr>
        <w:t>O. robusta</w:t>
      </w:r>
      <w:r w:rsidR="005F0012" w:rsidRPr="005F0012">
        <w:rPr>
          <w:rFonts w:ascii="Arial" w:hAnsi="Arial" w:cs="Arial"/>
          <w:i/>
        </w:rPr>
        <w:t>, antioxidant, cytotoxicity, inflammation, molecular docking</w:t>
      </w:r>
    </w:p>
    <w:p w14:paraId="1F8DECCE" w14:textId="77777777" w:rsidR="00505F06" w:rsidRPr="00A24E7E" w:rsidRDefault="00505F06" w:rsidP="00441B6F">
      <w:pPr>
        <w:pStyle w:val="Body"/>
        <w:spacing w:after="0"/>
        <w:rPr>
          <w:rFonts w:ascii="Arial" w:hAnsi="Arial" w:cs="Arial"/>
          <w:i/>
        </w:rPr>
      </w:pPr>
    </w:p>
    <w:p w14:paraId="22C24FAA" w14:textId="05758D38"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874E6D0" w14:textId="77777777" w:rsidR="00505F06" w:rsidRDefault="00505F06" w:rsidP="00441B6F">
      <w:pPr>
        <w:pStyle w:val="Body"/>
        <w:spacing w:after="0"/>
        <w:rPr>
          <w:rFonts w:ascii="Arial" w:hAnsi="Arial" w:cs="Arial"/>
        </w:rPr>
      </w:pPr>
    </w:p>
    <w:p w14:paraId="5E51E962" w14:textId="13D1C89C" w:rsidR="00790ADA" w:rsidRDefault="003933B5" w:rsidP="00441B6F">
      <w:pPr>
        <w:pStyle w:val="Body"/>
        <w:spacing w:after="0"/>
        <w:rPr>
          <w:rFonts w:ascii="Arial" w:hAnsi="Arial" w:cs="Arial"/>
          <w:color w:val="000000" w:themeColor="text1"/>
        </w:rPr>
      </w:pPr>
      <w:r w:rsidRPr="004D2C33">
        <w:rPr>
          <w:rFonts w:ascii="Arial" w:hAnsi="Arial" w:cs="Arial"/>
          <w:color w:val="000000" w:themeColor="text1"/>
        </w:rPr>
        <w:t xml:space="preserve">Medicines produced from plants remain a valuable resource in the battle against deadly illness in underdeveloped regions particularly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{"citationItems":[{"id":"ITEM-1","itemData":{"DOI":"10.3390/molecules27020349","ISSN":"14203049","PMID":"35056662","abstract":"Natural products represents an important source of new lead compounds in drug discovery research. Several drugs currently used as therapeutic agents have been developed from natural sources; plant sources are specifically important. In the past few decades, pharmaceutical companies demonstrated insignificant attention towards natural product drug discovery, mainly due to its intrinsic complexity. Recently, technological advancements greatly helped to address the challenges and resulted in the revived scientific interest in drug discovery from natural sources. This review provides a comprehensive overview of various approaches used in the selection, authentication, extraction/isolation, biological screening, and analogue development through the application of modern drug-development principles of plant-based natural products. Main focus is given to the bioactivity-guided fractionation approach along with associated challenges and major advancements. A brief outline of historical development in natural product drug discovery and a snapshot of the prominent natural drugs developed in the last few decades are also presented. The researcher’s opinions indicated that an integrated interdisciplinary approach utilizing technological advances is necessary for the successful development of natural products. These involve the application of efficient selection method, well-designed extraction/isolation procedure, advanced structure elucidation techniques, and bioassays with a high-throughput capacity to establish druggability and patentability of phyto-compounds. A number of modern approaches including molecular modeling, virtual screening, natural product library, and database mining are being used for improving natural product drug discovery research. Renewed scientific interest and recent research trends in natural product drug discovery clearly indicated that natural products will play important role in the future development of new therapeutic drugs and it is also anticipated that efficient application of new approaches will further improve the drug discovery campaign.","author":[{"dropping-particle":"","family":"Najmi","given":"Asim","non-dropping-particle":"","parse-names":false,"suffix":""},{"dropping-particle":"","family":"Javed","given":"Sadique A.","non-dropping-particle":"","parse-names":false,"suffix":""},{"dropping-particle":"","family":"Bratty","given":"Mohammed","non-dropping-particle":"Al","parse-names":false,"suffix":""},{"dropping-particle":"","family":"Alhazmi","given":"Hassan A.","non-dropping-particle":"","parse-names":false,"suffix":""}],"container-title":"Molecules","id":"ITEM-1","issue":"2","issued":{"date-parts":[["2022"]]},"title":"Modern Approaches in the Discovery and Development of Plant-Based Natural Products and Their Analogues as Potential Therapeutic Agents","type":"article-journal","volume":"27"},"uris":["http://www.mendeley.com/documents/?uuid=84856610-4cf0-4b26-9572-271382ccc46e"]}],"mendeley":{"formattedCitation":"(Najmi et al., 2022)","plainTextFormattedCitation":"(Najmi et al., 2022)","previouslyFormattedCitation":"(1)"},"properties":{"noteIndex":0},"schema":"https://github.com/citation-style-language/schema/raw/master/csl-citation.json"}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(Najmi et al., 2022)</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Approximately 60 to 80 percent of the global population continues to depend on plant-derived remedies and medicines to treat a wide range of illnesses. Oxidation is an essential mechanism in humans that facilitates the conversion of nutrients like protein, fat, as well as carbohydrates into energy. In the course of this common metabolic process, reactive oxygen species (ROS) are generated as a secondary outcome. These ROS consist of hydroxyl radicals (OH*), superoxide anion radicals (O2−), and various other non-free radical entities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{"citationItems":[{"id":"ITEM-1","itemData":{"DOI":"10.1186/s40816-020-0152-9","abstract":"In this present study, antioxidant, anti-hemolytic, cytotoxic and anti-bacterial activities derived from methanol extracts of Bruguiera gymnorrhiza and Heritiera littoralis were investigated in order to determine their medicinal activities. Folin-Ciocalteu reagent method and aluminum chloride methods were used to determine the mangroves’ total phenolics and total flavonoid content, respectively. Antioxidant capacity was assessed via the following methods: 1,1-diphenyl-2-picryl hydroxyl (DPPH), 43 mM H2O2, Fe2+ quenching assay, and anti-hemolytic activity. Brine shrimp (Artemia salina L.) lethality assay was also carried out to determine the cytotoxic potential of the mangroves along with anti-bacterial activity test using five Gram-negative and another two Gram-positive bacterial strains. The mangroves yielded 58.917 ± 0.601 and 36.625 ± 0.551 mg Gallic acid equivalent (GAE)/g sample and 76.417 ± 0.19 and 113.637 ± 0.17 mg quercetin equivalent (QE)/g sample in B. gymnorrhiza and H. littoralis, respectively. Methanol extracts of both mangroves exhibited high radical scavenging activity against DPPH, H2O2 and Fe2+ radicals. The reductive capacity of the extracts increased with increasing concentrations of samples, and the extracts inhibited H2O2 induced hemolysis in human red blood cells (RBCs). Antioxidant properties were found to be moderately weaker than that of the reference standard, L-ascorbic acid (AA), and Gallic acid (GA). Further, brine shrimp (Artemia salina L.) lethality assay revealed significant cytotoxicity (241.4 and 272.6 μg/mL, respectively). Methanol extracts could also inhibit the growth of pathogenic bacterial strains. This study showed that the crude methanol extract of selected mangrove plants possesses free radical scavenging, anti-hemolytic, cytotoxic and anti-bacterial activity. The experimented plant has the potential to be used as a traditional medicine and replace synthetic drugs. Further studies are necessary to isolate active compounds responsible for the overall antioxidant activity of the crude extracts.","author":[{"dropping-particle":"","family":"Karim","given":"Md. Adnan","non-dropping-particle":"","parse-names":false,"suffix":""},{"dropping-particle":"","family":"Islam","given":"Md. Aminul","non-dropping-particle":"","parse-names":false,"suffix":""},{"dropping-particle":"","family":"Islam","given":"Md. Muzahidul","non-dropping-particle":"","parse-names":false,"suffix":""},{"dropping-particle":"","family":"Rahman","given":"Md. Saidur","non-dropping-particle":"","parse-names":false,"suffix":""},{"dropping-particle":"","family":"Sultana","given":"Sharmin","non-dropping-particle":"","parse-names":false,"suffix":""},{"dropping-particle":"","family":"Biswas","given":"Satyajit","non-dropping-particle":"","parse-names":false,"suffix":""},{"dropping-particle":"","family":"Hosen","given":"Mohammad Jakir","non-dropping-particle":"","parse-names":false,"suffix":""},{"dropping-particle":"","family":"Mazumder","given":"Kishor","non-dropping-particle":"","parse-names":false,"suffix":""},{"dropping-particle":"","family":"Rahman","given":"Md. Masuder","non-dropping-particle":"","parse-names":false,"suffix":""},{"dropping-particle":"","family":"Hasan","given":"Md. Nazmul","non-dropping-particle":"","parse-names":false,"suffix":""}],"container-title":"Clinical Phytoscience","id":"ITEM-1","issue":"1","issued":{"date-parts":[["2020"]]},"publisher":"Clinical Phytoscience","title":"Evaluation of antioxidant, anti-hemolytic, cytotoxic effects and anti-bacterial activity of selected mangrove plants (Bruguiera gymnorrhiza and Heritiera littoralis) in Bangladesh","type":"article-journal","volume":"6"},"uris":["http://www.mendeley.com/documents/?uuid=1a6ea6f7-6859-4309-86bc-cd65bcf194ad"]}],"mendeley":{"formattedCitation":"(Karim et al., 2020)","plainTextFormattedCitation":"(Karim et al., 2020)","previouslyFormattedCitation":"(2)"},"properties":{"noteIndex":0},"schema":"https://github.com/citation-style-language/schema/raw/master/csl-citation.json"}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(Karim et al., 2020)</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Food spoilage and the pathophysiology of different human illnesses and age-related ailments have both been linked to ROS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{"citationItems":[{"id":"ITEM-1","itemData":{"DOI":"10.1155/2012/464238","ISSN":"1741427X","abstract":"Considering the importance of diet in prevention of oxidative stress-related diseases including hypertension, this study was undertaken to evaluate the in vitro antioxidant and ACE inhibitory activities of selected culinary-medicinal mushrooms extracted by boiling in water for 30min. Antioxidant capacity was measured using the following assays: DPPH free radical scavenging activity, β-carotene bleaching, inhibition of lipid peroxidation, reducing power ability, and cupric ion reducing antioxidant capacity (CUPRAC). Antioxidant potential of each mushroom species was calculated based on the average percentages relative to quercetin and summarized as Antioxidant Index (AI). Ganoderma lucidum (30.1), Schizophyllum commune (27.6%), and Hericium erinaceus (17.7%) showed relatively high AI. Total phenolics in these mushrooms varied between 6.19 to 63.51mg GAE/g extract. In the ACE inhibitory assay, G. lucidum was shown to be the most potent species (IC 50 = 50 μg/mL). Based on our findings, culinary-medicinal mushrooms can be considered as potential source of dietary antioxidant and ACE inhibitory agents.","author":[{"dropping-particle":"","family":"Abdullah","given":"Noorlidah","non-dropping-particle":"","parse-names":false,"suffix":""},{"dropping-particle":"","family":"Ismail","given":"Siti Marjiana","non-dropping-particle":"","parse-names":false,"suffix":""},{"dropping-particle":"","family":"Aminudin","given":"Norhaniza","non-dropping-particle":"","parse-names":false,"suffix":""},{"dropping-particle":"","family":"Shuib","given":"Adawiyah Suriza","non-dropping-particle":"","parse-names":false,"suffix":""},{"dropping-particle":"","family":"Lau","given":"Beng Fye","non-dropping-particle":"","parse-names":false,"suffix":""}],"container-title":"Evidence-based Complementary and Alternative Medicine","id":"ITEM-1","issued":{"date-parts":[["2012"]]},"title":"Evaluation of selected culinary-medicinal mushrooms for antioxidant and ACE inhibitory activities","type":"article-journal","volume":"2012"},"uris":["http://www.mendeley.com/documents/?uuid=818857b8-2246-42bc-a1ac-36748b5e1f26"]}],"mendeley":{"formattedCitation":"(Abdullah et al., 2012)","plainTextFormattedCitation":"(Abdullah et al., 2012)","previouslyFormattedCitation":"(3)"},"properties":{"noteIndex":0},"schema":"https://github.com/citation-style-language/schema/raw/master/csl-citation.json"}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noProof/>
          <w:color w:val="000000" w:themeColor="text1"/>
        </w:rPr>
        <w:t>(Abdullah et al., 2012)</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Although ROS have crucial roles in the body's normal functioning at low concentrations (operating as secondary messengers), at higher levels they may have deleterious effects and can be partially liable </w:t>
      </w:r>
      <w:r w:rsidRPr="004D2C33">
        <w:rPr>
          <w:rFonts w:ascii="Arial" w:hAnsi="Arial" w:cs="Arial"/>
          <w:color w:val="000000" w:themeColor="text1"/>
        </w:rPr>
        <w:lastRenderedPageBreak/>
        <w:t xml:space="preserve">for a wide range of disorders such as diabetes mellitus, cardiovascular disease, neurodegenerative disease, and many other pathologies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{"citationItems":[{"id":"ITEM-1","itemData":{"DOI":"10.1016/j.ccell.2020.06.001","ISSN":"18783686","PMID":"32649885","abstract":"Contingent upon concentration, reactive oxygen species (ROS) influence cancer evolution in apparently contradictory ways, either initiating/stimulating tumorigenesis and supporting transformation/proliferation of cancer cells or causing cell death. To accommodate high ROS levels, tumor cells modify sulfur-based metabolism, NADPH generation, and the activity of antioxidant transcription factors. During initiation, genetic changes enable cell survival under high ROS levels by activating antioxidant transcription factors or increasing NADPH via the pentose phosphate pathway (PPP). During progression and metastasis, tumor cells adapt to oxidative stress by increasing NADPH in various ways, including activation of AMPK, the PPP, and reductive glutamine and folate metabolism.","author":[{"dropping-particle":"","family":"Hayes","given":"John D.","non-dropping-particle":"","parse-names":false,"suffix":""},{"dropping-particle":"","family":"Dinkova-Kostova","given":"Albena T.","non-dropping-particle":"","parse-names":false,"suffix":""},{"dropping-particle":"","family":"Tew","given":"Kenneth D.","non-dropping-particle":"","parse-names":false,"suffix":""}],"container-title":"Cancer Cell","id":"ITEM-1","issue":"2","issued":{"date-parts":[["2020"]]},"page":"167-197","publisher":"Elsevier","title":"Oxidative Stress in Cancer","type":"article-journal","volume":"38"},"uris":["http://www.mendeley.com/documents/?uuid=b18d59dd-36cc-46ed-ba77-5b0ed0250c67"]}],"mendeley":{"formattedCitation":"(Hayes et al., 2020)","plainTextFormattedCitation":"(Hayes et al., 2020)","previouslyFormattedCitation":"(4)"},"properties":{"noteIndex":0},"schema":"https://github.com/citation-style-language/schema/raw/master/csl-citation.json"}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(Hayes et al., 2020)</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Oxidative stress is the overproduction of ROS relative to the antioxidant defense system in the body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{"citationItems":[{"id":"ITEM-1","itemData":{"DOI":"10.2147/CIA.S158513","ISSN":"11781998","PMID":"29731617","abstract":"Reactive oxygen and nitrogen species (RONS) are produced by several endogenous and exogenous processes, and their negative effects are neutralized by antioxidant defenses. Oxidative stress occurs from the imbalance between RONS production and these antioxidant defenses. Aging is a process characterized by the progressive loss of tissue and organ function. The oxidative stress theory of aging is based on the hypothesis that age-associated functional losses are due to the accumulation of RONS-induced damages. At the same time, oxidative stress is involved in several age-related conditions (ie, cardiovascular diseases [CVDs], chronic obstructive pulmonary disease, chronic kidney disease, neurodegenerative diseases, and cancer), including sarcopenia and frailty. Different types of oxidative stress biomarkers have been identified and may provide important information about the efficacy of the treatment, guiding the selection of the most effective drugs/dose regimens for patients and, if particularly relevant from a pathophysiological point of view, acting on a specific therapeutic target. Given the important role of oxidative stress in the pathogenesis of many clinical conditions and aging, antioxidant therapy could positively affect the natural history of several diseases, but further investigation is needed to evaluate the real efficacy of these therapeutic interventions. The purpose of this paper is to provide a review of literature on this complex topic of ever increasing interest.","author":[{"dropping-particle":"","family":"Liguori","given":"Ilaria","non-dropping-particle":"","parse-names":false,"suffix":""},{"dropping-particle":"","family":"Russo","given":"Gennaro","non-dropping-particle":"","parse-names":false,"suffix":""},{"dropping-particle":"","family":"Curcio","given":"Francesco","non-dropping-particle":"","parse-names":false,"suffix":""},{"dropping-particle":"","family":"Bulli","given":"Giulia","non-dropping-particle":"","parse-names":false,"suffix":""},{"dropping-particle":"","family":"Aran","given":"Luisa","non-dropping-particle":"","parse-names":false,"suffix":""},{"dropping-particle":"","family":"Della-Morte","given":"David","non-dropping-particle":"","parse-names":false,"suffix":""},{"dropping-particle":"","family":"Gargiulo","given":"Gaetano","non-dropping-particle":"","parse-names":false,"suffix":""},{"dropping-particle":"","family":"Testa","given":"Gianluca","non-dropping-particle":"","parse-names":false,"suffix":""},{"dropping-particle":"","family":"Cacciatore","given":"Francesco","non-dropping-particle":"","parse-names":false,"suffix":""},{"dropping-particle":"","family":"Bonaduce","given":"Domenico","non-dropping-particle":"","parse-names":false,"suffix":""},{"dropping-particle":"","family":"Abete","given":"Pasquale","non-dropping-particle":"","parse-names":false,"suffix":""}],"container-title":"Clinical Interventions in Aging","id":"ITEM-1","issued":{"date-parts":[["2018"]]},"page":"757-772","title":"Oxidative stress, aging, and diseases","type":"article-journal","volume":"13"},"uris":["http://www.mendeley.com/documents/?uuid=a6f9bd0a-4b10-4a36-bf43-78fda0cd7064"]}],"mendeley":{"formattedCitation":"(Liguori et al., 2018)","plainTextFormattedCitation":"(Liguori et al., 2018)","previouslyFormattedCitation":"(5)"},"properties":{"noteIndex":0},"schema":"https://github.com/citation-style-language/schema/raw/master/csl-citation.json"}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(Liguori et al., 2018)</w:t>
      </w:r>
      <w:r w:rsidRPr="004D2C33">
        <w:rPr>
          <w:rStyle w:val="FootnoteReference"/>
          <w:rFonts w:ascii="Arial" w:hAnsi="Arial" w:cs="Arial"/>
          <w:color w:val="000000" w:themeColor="text1"/>
        </w:rPr>
        <w:fldChar w:fldCharType="end"/>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{"citationItems":[{"id":"ITEM-1","itemData":{"DOI":"10.15406/jabb.2019.06.00173","abstract":"The present review aims to high light on the oxidative stress, and prevention by internal antioxidants and external antioxidants by some natural products possessing antioxidant properties. Oxidative stress occurs when the balance between reactive oxygen species (ROS) formation and detoxification favors an increase in ROS levels, leading to disturbed cellular function. ROS causes damage to cellular macromolecules causing lipid peroxidation, nucleic acid, and protein alterations. Their formation is considered as a pathobiochemical mechanism involved in the initiation or progression phase of various diseases such as atherosclerosis, ischemic heart diseases, diabetes, and initiation of carcinogenesis or liver diseases. In order to maintain proper cell signaling, it is likely that a number of radical scavenging enzymes maintain a threshold level of ROS inside the cell. However, when the level of ROS exceeds this threshold, an increase in ROS production may lead to excessive signals to the cell, in addition to direct damage to key components in signaling pathways. ROS can also irreversibly damage essential macromolecules. Protein-bound thiol and non-protein-thiol are the major cytosolic low molecular weight sulfhydryl compound that acts as a cellular reducing and a protective reagent against numerous toxic substances including most inorganic pollutants, through the –SH group. Hence, thiol is often the first line of defense against oxidative stress. Flavonoids have been found to play important roles in the non-enzymatic protection against oxidative stress, especially in the case of cancer. Flavonoids have occurred widely in tea, fruit, red wine, vegetables, and cocoas. Flavonoids, including flavones, flavanone, flavonols, and isoflavones, are polyphenolic compounds which are widespread in foods and beverages, and possess a wide range of biological activities, of which anti-oxidation has been extensively explored. It can be concluded that oxidative stress causes irreversible damage in cellular macromolecules that leads to initiation of various diseases such as atherosclerosis, ischemic heart diseases, liver diseases, diabetes, and initiation of carcinogenesis. Antioxidants inhibit reactive oxygen species production and scavenging of free radicals. Therefore, the review recommends that high consumption of natural foods that are rich in antioxidants will provide more protection against toxic agents and related diseases.","author":[{"dropping-particle":"","family":"Elsayed Azab","given":"Azab","non-dropping-particle":"","parse-names":false,"suffix":""},{"dropping-particle":"","family":"A Adwas","given":" Almokhtar","non-dropping-particle":"","parse-names":false,"suffix":""},{"dropping-particle":"","family":"Ibrahim Elsayed","given":"Ata Sedik","non-dropping-particle":"","parse-names":false,"suffix":""},{"dropping-particle":"","family":"A Adwas","given":"Almokhtar","non-dropping-particle":"","parse-names":false,"suffix":""},{"dropping-particle":"","family":"Ibrahim Elsayed","given":" Ata Sedik","non-dropping-particle":"","parse-names":false,"suffix":""},{"dropping-particle":"","family":"Quwaydir","given":"Fawzia Amhimmid","non-dropping-particle":"","parse-names":false,"suffix":""}],"container-title":"Journal of Applied Biotechnology &amp; Bioengineering","id":"ITEM-1","issue":"1","issued":{"date-parts":[["2019"]]},"page":"43-47","title":"Oxidative stress and antioxidant mechanisms in human body","type":"article-journal","volume":"6"},"uris":["http://www.mendeley.com/documents/?uuid=364e9714-1d06-404b-b2b2-aa7fc5a2250c"]}],"mendeley":{"formattedCitation":"(Elsayed Azab et al., 2019)","plainTextFormattedCitation":"(Elsayed Azab et al., 2019)","previouslyFormattedCitation":"(6)"},"properties":{"noteIndex":0},"schema":"https://github.com/citation-style-language/schema/raw/master/csl-citation.json"}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(Elsayed Azab et al., 2019)</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Endogenous antioxidants produced by the body are vital in maintaining peak cellular function by scavenging free radicals in low quantities. However, in the presence of oxidative stress, it has been shown that these endogenous antioxidants are not enough to safeguard the organism against the deleterious effects of ROS. Exogenous antioxidants obtained from food or nutritional supplements may be necessary for proper cellular function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{"citationItems":[{"id":"ITEM-1","itemData":{"DOI":"10.1002/fsn3.2650","ISSN":"20487177","abstract":"This study was undertaken to evaluate the appearance of phytochemicals and antioxidant activity of seven wild mushrooms of the University of Chittagong campus. Phytochemical screening was performed using standard methods, whereas DPPH radical scavenging assay was used to elucidate the antioxidant effect. Besides, in silico studies were implemented using the targets of human erythrocyte catalase 3-amino-1,2,4-triazole, human glutathione reductase, and selected compounds. Again, the absorption, distribution, metabolism, elimination and toxicity (ADME/T) analysis has been determined by using online tools. Both Ganoderma lucidum (Curtis) Karst. and Ganoderma applanatum (Pers.) Pat. showed a significant (p &lt;.001) increase in the percentage of scavenging activity at 400 μg/ml concentration when compared with ascorbic acid. The methanol extract of G. lucidum, G. applanatum, and Rhodofomes cajanderi (P. Karst.) B. K. Cui, M. L. Han &amp; Y. C. Dai showed strong antioxidant activity with an IC50 value. In addition, molecular docking studies of the previously isolated compounds from three selective mushrooms revealed that the targeted compounds along with positive controls were able to interact strongly (range: −3.498 to −8.655) with the enzymes. The study concludes that the G. lucidum, G. applanatum, and R. cajanderi mushrooms can be a strong source in the management of oxidative stress-induced diseases.","author":[{"dropping-particle":"","family":"Hossen","given":"S. M.Moazzem","non-dropping-particle":"","parse-names":false,"suffix":""},{"dropping-particle":"","family":"Hossain","given":"Mohammad Shahadat","non-dropping-particle":"","parse-names":false,"suffix":""},{"dropping-particle":"","family":"Yusuf","given":"A. T.M.","non-dropping-particle":"","parse-names":false,"suffix":""},{"dropping-particle":"","family":"Chaudhary","given":"Priya","non-dropping-particle":"","parse-names":false,"suffix":""},{"dropping-particle":"","family":"Emon","given":"Nazim Uddin","non-dropping-particle":"","parse-names":false,"suffix":""},{"dropping-particle":"","family":"Janmeda","given":"Pracheta","non-dropping-particle":"","parse-names":false,"suffix":""}],"container-title":"Food Science and Nutrition","id":"ITEM-1","issue":"1","issued":{"date-parts":[["2022"]]},"page":"88-102","title":"Profiling of phytochemical and antioxidant activity of wild mushrooms: Evidence from the in vitro study and phytoconstituent's binding affinity to the human erythrocyte catalase and human glutathione reductase","type":"article-journal","volume":"10"},"uris":["http://www.mendeley.com/documents/?uuid=756f051a-0e4a-4458-a5aa-33569ef8e390"]}],"mendeley":{"formattedCitation":"(Hossen et al., 2022)","plainTextFormattedCitation":"(Hossen et al., 2022)","previouslyFormattedCitation":"(7)"},"properties":{"noteIndex":0},"schema":"https://github.com/citation-style-language/schema/raw/master/csl-citation.json"}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(Hossen et al., 2022)</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The incidence of cancer continues to rise, and it is now the second leading reason of mortality in the world, behind only cardiovascular disease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{"citationItems":[{"id":"ITEM-1","itemData":{"DOI":"10.1002/ptr.5751","ISSN":"10991573","PMID":"28093828","abstract":"Cancer is a serious health problem and the second leading cause of death around the globe. Present review is an attempt to provide utmost information based on ethno-pharmacological and toxicological aspects of anti-cancer plants of the world. A total of 276 articles published in English journals and containing maximum ethnomedicinal information were reviewed using several data sources such as; Google scholar, Web of Science, Scopus, PubMed and floras of different countries. A total of 199 anti-cancer plants were recorded in present review and results indicated that traditional medicines are mostly being use in developing countries for cancer treatment. Traditionally and scientifically skin and breast cancer types gained more focus. Seventy plants were reportedly analyzed for in-vitro activities while 32 plants were having in-vivo reports. Twenty nine pure compounds (mostly phenolic) were reportedly isolated from anti-cancer plants and tested against different cancer cell lines. Inspite having better efficiency of ethnomedicines as compared to synthetic drugs, several plants have also shown toxic effects on living system. Therefore, we invite researchers attention to carry out detailed ethno-pharmacological and toxicological studies on un-explored anti-cancer plants in order to provide reliable knowledge to the patients and develop novel anti-cancer drugs. Copyright © 2017 John Wiley &amp; Sons, Ltd.","author":[{"dropping-particle":"","family":"Tariq","given":"Akash","non-dropping-particle":"","parse-names":false,"suffix":""},{"dropping-particle":"","family":"Sadia","given":"Sehrish","non-dropping-particle":"","parse-names":false,"suffix":""},{"dropping-particle":"","family":"Pan","given":"Kaiwen","non-dropping-particle":"","parse-names":false,"suffix":""},{"dropping-particle":"","family":"Ullah","given":"Ihteram","non-dropping-particle":"","parse-names":false,"suffix":""},{"dropping-particle":"","family":"Mussarat","given":"Sakina","non-dropping-particle":"","parse-names":false,"suffix":""},{"dropping-particle":"","family":"Sun","given":"Feng","non-dropping-particle":"","parse-names":false,"suffix":""},{"dropping-particle":"","family":"Abiodun","given":"Olatunji Olusanya","non-dropping-particle":"","parse-names":false,"suffix":""},{"dropping-particle":"","family":"Batbaatar","given":"Altanzagas","non-dropping-particle":"","parse-names":false,"suffix":""},{"dropping-particle":"","family":"Li","given":"Zilong","non-dropping-particle":"","parse-names":false,"suffix":""},{"dropping-particle":"","family":"Song","given":"Dagang","non-dropping-particle":"","parse-names":false,"suffix":""},{"dropping-particle":"","family":"Xiong","given":"Qinli","non-dropping-particle":"","parse-names":false,"suffix":""},{"dropping-particle":"","family":"Ullah","given":"Riaz","non-dropping-particle":"","parse-names":false,"suffix":""},{"dropping-particle":"","family":"Khan","given":"Suliman","non-dropping-particle":"","parse-names":false,"suffix":""},{"dropping-particle":"","family":"Basnet","given":"Buddha Bahadur","non-dropping-particle":"","parse-names":false,"suffix":""},{"dropping-particle":"","family":"Kumar","given":"Brawin","non-dropping-particle":"","parse-names":false,"suffix":""},{"dropping-particle":"","family":"Islam","given":"Rabiul","non-dropping-particle":"","parse-names":false,"suffix":""},{"dropping-particle":"","family":"Adnan","given":"Muhammad","non-dropping-particle":"","parse-names":false,"suffix":""}],"container-title":"Phytotherapy Research","id":"ITEM-1","issue":"2","issued":{"date-parts":[["2017"]]},"page":"202-264","title":"A systematic review on ethnomedicines of anti-cancer plants","type":"article-journal","volume":"31"},"uris":["http://www.mendeley.com/documents/?uuid=52053ee8-9260-4e87-945f-dffcba256a59"]}],"mendeley":{"formattedCitation":"(Tariq et al., 2017)","plainTextFormattedCitation":"(Tariq et al., 2017)","previouslyFormattedCitation":"(8)"},"properties":{"noteIndex":0},"schema":"https://github.com/citation-style-language/schema/raw/master/csl-citation.json"}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(Tariq et al., 2017)</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Approximately 60% of all anticancer medicines are derived from plants, making them an essential part of the drug development process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{"citationItems":[{"id":"ITEM-1","itemData":{"DOI":"10.1016/j.jep.2020.113101","ISSN":"18727573","PMID":"32562876","abstract":"Ethnopharmacological relevance: Approximately 70% of anticancer drugs were developed or derived from natural products or plants. Southern Africa boasts an enormous floral diversity with approximately 22,755 plant species with an estimated 3000 used as traditional medicines. In South Africa more than 27 million individuals rely on traditional medicine for healthcare. The use of South African plants for the treatment of cancer is poorly documented, however there is potential to develop anticancer agents from these plants. Limited ethnobotanical studies report the use of plants for cancer treatment in traditional medicine. Plants growing in tropical or subtropical regions, such as in South Africa, produce important secondary metabolites as a protective mechanism, which could be used to target various factors that play a key role in carcinogenesis. Aims: The aim was to collate information from primary ethnobotanical studies on South African plants traditionally used for the treatment of cancer. Evaluation of literature focused on traditionally used plants that have been tested for their in vitro activity against cancer cells. Secondary metabolites, previously identified within these plant species, were also included for discussion regarding their activity against cancer. The toxicity was evaluated to ascertain the therapeutic potential in further studies. Additionally, the aim was to highlight where a lack of reports were found regarding plant species with potential activity and to substantiate the need for further testing. Materials and methods: A review of ethnobotanical surveys conducted in South Africa for plants used in the treatment of cancer was performed. Databases such as Science Direct, PubMed and Google Scholar, university repositories of master's dissertations and PhD theses, patents and books were used. Plant species showing significant to moderate activity were discussed regarding their toxicity. Compounds identified within these species were discussed for their activity against cancer cells and toxicity. Traditionally used plants which have not been scientifically validated for their activity against cancer were excluded. Results: Twenty plants were documented in ethnobotanical surveys as cancer treatments. Numerous scientific reports on the potential in vitro activity against cancer of these plants and the identification of secondary metabolites were found. Many of the secondary metabolites have not been tested for their activity against can…","author":[{"dropping-particle":"","family":"Twilley","given":"Danielle","non-dropping-particle":"","parse-names":false,"suffix":""},{"dropping-particle":"","family":"Rademan","given":"Sunelle","non-dropping-particle":"","parse-names":false,"suffix":""},{"dropping-particle":"","family":"Lall","given":"Namrita","non-dropping-particle":"","parse-names":false,"suffix":""}],"container-title":"Journal of Ethnopharmacology","id":"ITEM-1","issued":{"date-parts":[["2020"]]},"page":"113101","publisher":"Elsevier B.V.","title":"A review on traditionally used South African medicinal plants, their secondary metabolites and their potential development into anticancer agents","type":"article-journal","volume":"261"},"uris":["http://www.mendeley.com/documents/?uuid=3ff9c43b-6f56-4dce-bf4d-af17a28b7f13"]}],"mendeley":{"formattedCitation":"(Twilley et al., 2020)","plainTextFormattedCitation":"(Twilley et al., 2020)","previouslyFormattedCitation":"(9)"},"properties":{"noteIndex":0},"schema":"https://github.com/citation-style-language/schema/raw/master/csl-citation.json"}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noProof/>
          <w:color w:val="000000" w:themeColor="text1"/>
        </w:rPr>
        <w:t>(Twilley et al., 2020)</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Several anticancer medicines produced from plants are now in use namely etoposide, </w:t>
      </w:r>
      <w:proofErr w:type="spellStart"/>
      <w:r w:rsidRPr="004D2C33">
        <w:rPr>
          <w:rFonts w:ascii="Arial" w:hAnsi="Arial" w:cs="Arial"/>
          <w:color w:val="000000" w:themeColor="text1"/>
        </w:rPr>
        <w:t>teniposide</w:t>
      </w:r>
      <w:proofErr w:type="spellEnd"/>
      <w:r w:rsidRPr="004D2C33">
        <w:rPr>
          <w:rFonts w:ascii="Arial" w:hAnsi="Arial" w:cs="Arial"/>
          <w:color w:val="000000" w:themeColor="text1"/>
        </w:rPr>
        <w:t>,  docetaxel (</w:t>
      </w:r>
      <w:proofErr w:type="spellStart"/>
      <w:r w:rsidRPr="004D2C33">
        <w:rPr>
          <w:rFonts w:ascii="Arial" w:hAnsi="Arial" w:cs="Arial"/>
          <w:color w:val="000000" w:themeColor="text1"/>
        </w:rPr>
        <w:t>taxotere</w:t>
      </w:r>
      <w:proofErr w:type="spellEnd"/>
      <w:r w:rsidRPr="004D2C33">
        <w:rPr>
          <w:rFonts w:ascii="Arial" w:hAnsi="Arial" w:cs="Arial"/>
          <w:color w:val="000000" w:themeColor="text1"/>
        </w:rPr>
        <w:t>), paclitaxel (</w:t>
      </w:r>
      <w:proofErr w:type="spellStart"/>
      <w:r w:rsidRPr="004D2C33">
        <w:rPr>
          <w:rFonts w:ascii="Arial" w:hAnsi="Arial" w:cs="Arial"/>
          <w:color w:val="000000" w:themeColor="text1"/>
        </w:rPr>
        <w:t>taxol</w:t>
      </w:r>
      <w:proofErr w:type="spellEnd"/>
      <w:r w:rsidRPr="004D2C33">
        <w:rPr>
          <w:rFonts w:ascii="Arial" w:hAnsi="Arial" w:cs="Arial"/>
          <w:color w:val="000000" w:themeColor="text1"/>
        </w:rPr>
        <w:t>), </w:t>
      </w:r>
      <w:proofErr w:type="spellStart"/>
      <w:r w:rsidRPr="004D2C33">
        <w:rPr>
          <w:rFonts w:ascii="Arial" w:hAnsi="Arial" w:cs="Arial"/>
          <w:color w:val="000000" w:themeColor="text1"/>
        </w:rPr>
        <w:t>camptothecin</w:t>
      </w:r>
      <w:proofErr w:type="spellEnd"/>
      <w:r w:rsidRPr="004D2C33">
        <w:rPr>
          <w:rFonts w:ascii="Arial" w:hAnsi="Arial" w:cs="Arial"/>
          <w:color w:val="000000" w:themeColor="text1"/>
        </w:rPr>
        <w:t xml:space="preserve">, </w:t>
      </w:r>
      <w:proofErr w:type="spellStart"/>
      <w:r w:rsidRPr="004D2C33">
        <w:rPr>
          <w:rFonts w:ascii="Arial" w:hAnsi="Arial" w:cs="Arial"/>
          <w:color w:val="000000" w:themeColor="text1"/>
        </w:rPr>
        <w:t>homoharringtonine</w:t>
      </w:r>
      <w:proofErr w:type="spellEnd"/>
      <w:r w:rsidRPr="004D2C33">
        <w:rPr>
          <w:rFonts w:ascii="Arial" w:hAnsi="Arial" w:cs="Arial"/>
          <w:color w:val="000000" w:themeColor="text1"/>
        </w:rPr>
        <w:t xml:space="preserve">, </w:t>
      </w:r>
      <w:proofErr w:type="spellStart"/>
      <w:r w:rsidRPr="004D2C33">
        <w:rPr>
          <w:rFonts w:ascii="Arial" w:hAnsi="Arial" w:cs="Arial"/>
          <w:color w:val="000000" w:themeColor="text1"/>
        </w:rPr>
        <w:t>elliptinium</w:t>
      </w:r>
      <w:proofErr w:type="spellEnd"/>
      <w:r w:rsidRPr="004D2C33">
        <w:rPr>
          <w:rFonts w:ascii="Arial" w:hAnsi="Arial" w:cs="Arial"/>
          <w:color w:val="000000" w:themeColor="text1"/>
        </w:rPr>
        <w:t xml:space="preserve">, vincristine and vinblastine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{"citationItems":[{"id":"ITEM-1","itemData":{"DOI":"10.1016/j.heliyon.2020.e03991","ISSN":"24058440","abstract":"Majority of the orchid species are used in the traditional medicines for the treatment of several diseases. They are the sources of polysaccharides, phenanthrenes, bibenzyl derivatives, revesteral, stilbenoids and polyphenol compounds. This study explored the cytotoxic activity of seven wild orchid species and identification of medicinally active compounds. The extracts of orchid species were screened for cytotoxic effect on the human cervical cancer cells (HeLa) and human glioblastoma cells (U251) using an MTT assay. The medicinally active compounds of high cytotoxic extracts were identified by GC-MS resulting in many stilbenoids and phenolic derivatives. The extract of Dendrobium transparens (DTs) and Vanda cristata (VCw) showed high cytotoxic effect towards the HeLa and U251 cell lines (IC50 of DTs: 382.14 μg/ml and 75.84 μg/ml respectively and IC50 of VCw: 317.23 μg/ml and 163.66 μg/ml respectively). This study concludes that they could be used as cancer therapeutics.","author":[{"dropping-particle":"","family":"Joshi","given":"Pusp Raj","non-dropping-particle":"","parse-names":false,"suffix":""},{"dropping-particle":"","family":"Paudel","given":"Mukti Ram","non-dropping-particle":"","parse-names":false,"suffix":""},{"dropping-particle":"","family":"Chand","given":"Mukesh Babu","non-dropping-particle":"","parse-names":false,"suffix":""},{"dropping-particle":"","family":"Pradhan","given":"Shreeti","non-dropping-particle":"","parse-names":false,"suffix":""},{"dropping-particle":"","family":"Pant","given":"Krishna Kumar","non-dropping-particle":"","parse-names":false,"suffix":""},{"dropping-particle":"","family":"Joshi","given":"Giri Prasad","non-dropping-particle":"","parse-names":false,"suffix":""},{"dropping-particle":"","family":"Bohara","given":"Manoj","non-dropping-particle":"","parse-names":false,"suffix":""},{"dropping-particle":"","family":"Wagner","given":"Sven H.","non-dropping-particle":"","parse-names":false,"suffix":""},{"dropping-particle":"","family":"Pant","given":"Basant","non-dropping-particle":"","parse-names":false,"suffix":""},{"dropping-particle":"","family":"Pant","given":"Bijaya","non-dropping-particle":"","parse-names":false,"suffix":""}],"container-title":"Heliyon","id":"ITEM-1","issue":"5","issued":{"date-parts":[["2020"]]},"page":"e03991","publisher":"Elsevier Ltd","title":"Cytotoxic effect of selected wild orchids on two different human cancer cell lines","type":"article-journal","volume":"6"},"uris":["http://www.mendeley.com/documents/?uuid=13901cd1-3c47-4344-b3f9-15eba90af23d"]}],"mendeley":{"formattedCitation":"(Joshi et al., 2020)","plainTextFormattedCitation":"(Joshi et al., 2020)","previouslyFormattedCitation":"(10)"},"properties":{"noteIndex":0},"schema":"https://github.com/citation-style-language/schema/raw/master/csl-citation.json"}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(Joshi et al., 2020)</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In its natural state, inflammation protects the body against a wide range of pathogens and traumas by limiting tissue damage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{"citationItems":[{"id":"ITEM-1","itemData":{"DOI":"10.1016/j.ijbiomac.2019.02.023","ISSN":"18790003","PMID":"30731160","abstract":"Inflammatory response remains one of the most common and serious complications of disease. In order to profound understanding relationship between Phellinus linteus polysaccharides (TCM) and inflammation, inflammatory cell model was constructed by LPS acting RAW264.7 cell line. The results showed that TCM could decrease the pro-inflammatory cytokines (TNF-α IL-1β IL-2, IL-6 and IL-12) contents and the mRNA expression levels and increase the anti-inflammatory cytokines (IL-4 and IL-10) contents and the mRNA expression levels. Additionally, the levels of NF-κB translocation was significantly decreased, which associated with the IκBα phosphorylation level decreased and the AMPKα phosphorylation level increased. These results indicated that TCM could reduce the inflammatory responses in the LPS induced inflammatory cell model might be related to inhibit NF-κB translocation and regulate the balance of anti-inflammatory and pro-inflammatory factors.","author":[{"dropping-particle":"","family":"Xie","given":"Zhenglu","non-dropping-particle":"","parse-names":false,"suffix":""},{"dropping-particle":"","family":"Wang","given":"Yang","non-dropping-particle":"","parse-names":false,"suffix":""},{"dropping-particle":"","family":"Huang","given":"Juqing","non-dropping-particle":"","parse-names":false,"suffix":""},{"dropping-particle":"","family":"Qian","given":"Ning","non-dropping-particle":"","parse-names":false,"suffix":""},{"dropping-particle":"","family":"Shen","given":"Guozhi","non-dropping-particle":"","parse-names":false,"suffix":""},{"dropping-particle":"","family":"Chen","given":"Linghua","non-dropping-particle":"","parse-names":false,"suffix":""}],"container-title":"International Journal of Biological Macromolecules","id":"ITEM-1","issued":{"date-parts":[["2019"]]},"page":"61-67","publisher":"Elsevier B.V.","title":"Anti-inflammatory activity of polysaccharides from Phellinus linteus by regulating the NF-κB translocation in LPS-stimulated RAW264.7 macrophages","type":"article-journal","volume":"129"},"uris":["http://www.mendeley.com/documents/?uuid=201515e5-666c-461d-a2cd-d308c454663b"]}],"mendeley":{"formattedCitation":"(Xie et al., 2019)","plainTextFormattedCitation":"(Xie et al., 2019)","previouslyFormattedCitation":"(11)"},"properties":{"noteIndex":0},"schema":"https://github.com/citation-style-language/schema/raw/master/csl-citation.json"}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(Xie et al., 2019)</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Cancer, dermatitis, rheumatoid arthritis, osteoarthritis,  inflammatory bowel disease, systemic lupus erythematosus, and cardiovascular diseases are all linked to immune cell dysregulation caused by chronic inflammation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{"citationItems":[{"id":"ITEM-1","itemData":{"DOI":"10.3390/plants9091127","ISSN":"22237747","abstract":"Psilocybin-containing mushrooms, commonly known as magic mushrooms, have been used since ancient and recent times for depression and to improve quality of life. However, their anti-inflammatory properties are not known. The study aims at investing cytotoxicity; antioxidant; and, for the first time, anti-inflammatory effects of Psilocybe natalensis, a psilocybin-containing mushroom that grows in South Africa, on lipopolysaccharide-induced RAW 264.7 macrophages. Macrophage cells were stimulated with lipopolysaccharide and treated with different concentrations of Psilocybe natalensis mushroom extracted with boiling hot water, cold water and ethanol over 24 h. Quercetin and N-nitro-L-arginine methyl ester were used as positive controls. Effects of extracts on the lipopolysaccharide-induced nitric oxide, prostaglandin E2, and cytokine activities were investigated. Phytochemical analysis, and the antioxidant and cytotoxicity of extracts, were determined. Results showed that the three extracts inhibited the lipopolysaccharide-induced nitric oxide, prostaglandin E2, and interleukin 1β cytokine production significantly in a dose-dependent manner close to that of the positive controls. A study proposed that ethanol and water extracts of Psilocybe natalensis mushroom were safe at concentrations used, and have antioxidant and anti-inflammatory effects. Phytochemical analysis confirmed the presence of natural antioxidant and anti-inflammatory compounds in the mushroom extracts.","author":[{"dropping-particle":"","family":"Nkadimeng","given":"Sanah M.","non-dropping-particle":"","parse-names":false,"suffix":""},{"dropping-particle":"","family":"Nabatanzi","given":"Alice","non-dropping-particle":"","parse-names":false,"suffix":""},{"dropping-particle":"","family":"Steinmann","given":"Christiaan M.L.","non-dropping-particle":"","parse-names":false,"suffix":""},{"dropping-particle":"","family":"Eloff","given":"Jacobus N.","non-dropping-particle":"","parse-names":false,"suffix":""}],"container-title":"Plants","id":"ITEM-1","issue":"9","issued":{"date-parts":[["2020"]]},"page":"1-13","title":"Phytochemical, cytotoxicity, antioxidant and anti-inflammatory effects of psilocybe natalensis magic mushroom","type":"article-journal","volume":"9"},"uris":["http://www.mendeley.com/documents/?uuid=0d07b671-5180-4711-beb2-b8ce9828a69f"]}],"mendeley":{"formattedCitation":"(Nkadimeng et al., 2020)","plainTextFormattedCitation":"(Nkadimeng et al., 2020)","previouslyFormattedCitation":"(12)"},"properties":{"noteIndex":0},"schema":"https://github.com/citation-style-language/schema/raw/master/csl-citation.json"}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(Nkadimeng et al., 2020)</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Macrophages are kinds of immune cells that impart a major contribution to how the body responds to inflammation. Lipopolysaccharide (LPS), an endotoxin, causes macrophages to release inflammatory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{"citationItems":[{"id":"ITEM-1","itemData":{"DOI":"10.1016/j.phymed.2018.12.012","ISSN":"1618095X","PMID":"31009851","abstract":"Background: Anemarrhena asphodeloides has been widely used in traditional medicine for thousands of years; it has been reported to improve learning and memory, and to reduce inflammation. However, the role of A. asphodeloides in enhancing the immune response has remained unclear. Purpose: This study aimed to evaluate the effect of A. asphodeloides extract (AA-Ex) on enhancing the immune response in macrophages and to identify the active compounds causing these effects. Study Design/Methods: To determine the enhancing immune response of AA-Ex and its active compounds, cell proliferation and cell cycle of RAW 264.7 cells were analyzed by MTS assay and flow cytometry. The gene expression of p53, p27, cyclin D2, and cyclin E2 was measured by real-time PCR. To evaluate the anti-inflammatory effects of AA-Ex and its active compounds, the production of nitric oxide (NO), reactive oxygen species (ROS), and pro-inflammatory cytokines was analyzed by Griess reagent, flow cytometry, and real-time PCR. The phosphorylation of p38, c-Jun N-terminal kinase, inhibitory kappa B alpha, and p65 was examined by western blot analysis. Results: AA-Ex increased cell proliferation by extending the cell cycle S-phase; timosaponin B and timosaponin B-II affected cell proliferation and the cell cycle as active compounds of A. asphodeloides. Next, we determined that A. asphodeloides displayed anti-inflammatory effects, including the inhibition of the production of NO, ROS, and pro-inflammatory cytokines through the suppression of mitogen-activated protein kinase and nuclear factor kappa B phosphorylation downstream of the toll-like receptor 4 signaling pathway. Moreover, we identified that timosaponin B and timosaponin B-II were the active compounds for these effects. Conclusion: Our results suggest that A. asphodeloides promotes the immune response and has anti-inflammatory effects. Moreover, timosaponin B and B-II played important roles as the active compounds of A. asphodeloides in enhancing the immune and anti-inflammatory responses in this model.","author":[{"dropping-particle":"","family":"Ji","given":"Kon Young","non-dropping-particle":"","parse-names":false,"suffix":""},{"dropping-particle":"","family":"Kim","given":"Ki Mo","non-dropping-particle":"","parse-names":false,"suffix":""},{"dropping-particle":"","family":"Kim","given":"Yun Hee","non-dropping-particle":"","parse-names":false,"suffix":""},{"dropping-particle":"","family":"Im","given":"A. Rang","non-dropping-particle":"","parse-names":false,"suffix":""},{"dropping-particle":"","family":"Lee","given":"Joo Young","non-dropping-particle":"","parse-names":false,"suffix":""},{"dropping-particle":"","family":"Park","given":"Boram","non-dropping-particle":"","parse-names":false,"suffix":""},{"dropping-particle":"","family":"Na","given":"Min Kyun","non-dropping-particle":"","parse-names":false,"suffix":""},{"dropping-particle":"","family":"Chae","given":"Sungwook","non-dropping-particle":"","parse-names":false,"suffix":""}],"container-title":"Phytomedicine","id":"ITEM-1","issued":{"date-parts":[["2019"]]},"publisher":"Elsevier GmbH","title":"The enhancing immune response and anti-inflammatory effects of Anemarrhena asphodeloides extract in RAW 264.7 cells","type":"article-journal","volume":"59"},"uris":["http://www.mendeley.com/documents/?uuid=506a4e40-3130-41b4-9ca3-db6ddf407790"]}],"mendeley":{"formattedCitation":"(Ji et al., 2019)","plainTextFormattedCitation":"(Ji et al., 2019)","previouslyFormattedCitation":"(13)"},"properties":{"noteIndex":0},"schema":"https://github.com/citation-style-language/schema/raw/master/csl-citation.json"}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noProof/>
          <w:color w:val="000000" w:themeColor="text1"/>
        </w:rPr>
        <w:t>(Ji et al., 2019)</w:t>
      </w:r>
      <w:r w:rsidRPr="004D2C33">
        <w:rPr>
          <w:rStyle w:val="FootnoteReference"/>
          <w:rFonts w:ascii="Arial" w:hAnsi="Arial" w:cs="Arial"/>
          <w:color w:val="000000" w:themeColor="text1"/>
        </w:rPr>
        <w:fldChar w:fldCharType="end"/>
      </w:r>
      <w:r w:rsidRPr="004D2C33">
        <w:rPr>
          <w:rFonts w:ascii="Arial" w:hAnsi="Arial" w:cs="Arial"/>
          <w:color w:val="000000" w:themeColor="text1"/>
        </w:rPr>
        <w:t>. Several inflammatory mediators have been linked to both the inception and progression of inflammation. These include inducible nitric oxide (</w:t>
      </w:r>
      <w:proofErr w:type="spellStart"/>
      <w:r w:rsidRPr="004D2C33">
        <w:rPr>
          <w:rFonts w:ascii="Arial" w:hAnsi="Arial" w:cs="Arial"/>
          <w:color w:val="000000" w:themeColor="text1"/>
        </w:rPr>
        <w:t>iNO</w:t>
      </w:r>
      <w:proofErr w:type="spellEnd"/>
      <w:r w:rsidRPr="004D2C33">
        <w:rPr>
          <w:rFonts w:ascii="Arial" w:hAnsi="Arial" w:cs="Arial"/>
          <w:color w:val="000000" w:themeColor="text1"/>
        </w:rPr>
        <w:t xml:space="preserve">), prostaglandin E2, and cyclooxygenase-2 (COX-2)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{"citationItems":[{"id":"ITEM-1","itemData":{"DOI":"10.3390/ijms21103439","ISSN":"14220067","PMID":"32414062","abstract":"Lasia spinosa (L.) Thwaites was used as a traditional medicine to treat many inflammatory diseases for centuries. However, its effects on the inflammatory response are not yet characterized. In this study, we investigated the anti-inflammatory activities of L. spinosa leaf extract in lipopolysaccharide (LPS)-induced RAW 264.7 macrophages. We found that ethanol extracts of L. spinosa leaves showed anti-oxidant activity due to the presence of high levels of polyphenolic compounds. Treatment with the leaf extract significantly repressed the production of inflammatory mediators such as nitric oxide and reactive oxygen species and the expression of pro-inflammatory cytokines in the LPS-stimulated RAW264.7 cells. Moreover, L. spinosa leaf extract treatment prevented activation of the nuclear factor-kappa B pathway by inhibiting nuclear factor of kappa light polypeptide gene enhancer in B-cells inhibitor, alpha (IBff) degradation. Furthermore, the mitogen-activated kinase and phosphoinositide-3-kinase/protein kinase B (PI3K/Akt) pathways were suppressed upon treatment with the leaf extract. In addition to suppressing inflammatory factors, the extract also activated the nuclear factor erythroid 2-related factor 2/heme-oxygenase-1 pathway. We propose that L. spinosa leaf extract has the potential as an effective therapeutic agent for alleviating oxidative stress and excessive inflammation.","author":[{"dropping-particle":"","family":"Nguyen","given":"Thanh Q.C.","non-dropping-particle":"","parse-names":false,"suffix":""},{"dropping-particle":"","family":"Binh","given":"Tran Duy","non-dropping-particle":"","parse-names":false,"suffix":""},{"dropping-particle":"","family":"Pham","given":"Tuan L.A.","non-dropping-particle":"","parse-names":false,"suffix":""},{"dropping-particle":"","family":"Nguyen","given":"Yen D.H.","non-dropping-particle":"","parse-names":false,"suffix":""},{"dropping-particle":"","family":"Trang","given":"Dai Thi Xuan","non-dropping-particle":"","parse-names":false,"suffix":""},{"dropping-particle":"","family":"Nguyen","given":"Trong Tuan","non-dropping-particle":"","parse-names":false,"suffix":""},{"dropping-particle":"","family":"Kanaori","given":"Kenji","non-dropping-particle":"","parse-names":false,"suffix":""},{"dropping-particle":"","family":"Kamei","given":"Kaeko","non-dropping-particle":"","parse-names":false,"suffix":""}],"container-title":"International Journal of Molecular Sciences","id":"ITEM-1","issue":"10","issued":{"date-parts":[["2020"]]},"title":"Anti-inflammatory effects of lasia spinosa leaf extract in lipopolysaccharide-induced raw 264.7 macrophages","type":"article-journal","volume":"21"},"uris":["http://www.mendeley.com/documents/?uuid=57d13295-ebe4-4c80-a2ff-af77450aefec"]}],"mendeley":{"formattedCitation":"(Nguyen et al., 2020)","plainTextFormattedCitation":"(Nguyen et al., 2020)","previouslyFormattedCitation":"(14)"},"properties":{"noteIndex":0},"schema":"https://github.com/citation-style-language/schema/raw/master/csl-citation.json"}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(Nguyen et al., 2020)</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It is believed that the use of anti-inflammatory and antioxidant medicines may help mitigate the role that chronic inflammation plays in the occurrence of degenerative disorders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{"citationItems":[{"id":"ITEM-1","itemData":{"DOI":"10.1016/j.cell.2010.02.043","ISSN":"00928674","PMID":"20303881","abstract":"Inflammation involving the innate and adaptive immune systems is a normal response to infection. However, when allowed to continue unchecked, inflammation may result in autoimmune or autoinflammatory disorders, neurodegenerative disease, or cancer. A variety of safe and effective anti-inflammatory agents are available, including aspirin and other nonsteroidal anti-inflammatories, with many more drugs under development. In particular, the new era of anti-inflammatory agents includes \" biologicals\" such as anticytokine therapies and small molecules that block the activity of kinases. Other anti-inflammatories currently in use or under development include statins, histone deacetylase inhibitors, PPAR agonists, and small RNAs. This Review discusses the current status of anti-inflammatory drug research and the development of new anti-inflammatory therapeutics. © 2010 Elsevier Inc.","author":[{"dropping-particle":"","family":"Dinarello","given":"Charles A.","non-dropping-particle":"","parse-names":false,"suffix":""}],"container-title":"Cell","id":"ITEM-1","issue":"6","issued":{"date-parts":[["2010"]]},"page":"935-950","publisher":"Elsevier Inc.","title":"Anti-inflammatory Agents: Present and Future","type":"article-journal","volume":"140"},"uris":["http://www.mendeley.com/documents/?uuid=aae2095c-b984-44ba-9f61-b504ac68d350"]}],"mendeley":{"formattedCitation":"(Dinarello, 2010)","plainTextFormattedCitation":"(Dinarello, 2010)","previouslyFormattedCitation":"(15)"},"properties":{"noteIndex":0},"schema":"https://github.com/citation-style-language/schema/raw/master/csl-citation.json"}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noProof/>
          <w:color w:val="000000" w:themeColor="text1"/>
        </w:rPr>
        <w:t>(Dinarello, 2010)</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To overcome these obstacles, safer and more efficient drugs for treating acute and chronic inflammatory illnesses need to be created. Due to the deleterious effects of non-steroidal anti-inflammatory drugs (NSAIDs), researchers are looking into plant extracts and essential oils are being explored as a novel framework for anti-inflammatory drugs, potentially inhibiting the release of inflammatory mediators as well as free radicals while simultaneously increasing antioxidant defenses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{"citationItems":[{"id":"ITEM-1","itemData":{"DOI":"10.1016/j.lwt.2004.07.007","ISSN":"00236438","abstract":"Eight popularly consumed green leafy vegetables in Nigeria namely: Structium sparejanophora, Amarantus cruentus, Telfairia occidentalis, Baselia alba, Solanum macrocarpon, Corchorus olitorus, Vernonia amygdalina, and Ocimum gratissimum were blanched in hot water for 5 mins. The antioxidant properties of the fresh and blanched green leafy vegetables were subsequently determined. The total phenol, ascorbic acid and the antioxidant potentials as typified by reducing property and free radical scavenging activity was also determined. The results of the study revealed that blanching cause a significant (P&lt;0.05) increase in the total phenol [fresh (0.1-0.3 g/100 g), blanched (0.2-0.6 g/100 g)] content of the green leafy vegetables except in Amarantus cruentus and Vernonia amygdalina where there was no change. Conversely, there was a significant (P&lt;0.05) decrease in the vitamin C [fresh (43.5-148.0 mg/100 g), blanched (15.8-27.3 mg/100 g)], reducing property [fresh (0.5-1.5 absorbance), blanched (0.1-0.6 absorbance)] and free radical scavenging ability [fresh (20.0-51.4%), blanched (16.4-47.1%)] of the blanched green leafy vegetables except in Structium sparejanophora, where there was no change in the reducing property (0.6 absorbance) and free radical scavenging ability (59.8%) of the blanched vegetable. In view of this it could be concluded that blanching of vegetables though makes green leafy vegetables more palatable and less toxic, however it reduces their antioxidant properties drastically. © 2004 Swiss Society of Food Science and Technology. Published by Elsevier Ltd. All rights reserved.","author":[{"dropping-particle":"","family":"Oboh","given":"Ganiyu","non-dropping-particle":"","parse-names":false,"suffix":""}],"container-title":"Lwt","id":"ITEM-1","issue":"5","issued":{"date-parts":[["2005"]]},"page":"513-517","title":"Effect of blanching on the antioxidant properties of some tropical green leafy vegetables","type":"article-journal","volume":"38"},"uris":["http://www.mendeley.com/documents/?uuid=e4df6299-075e-4447-ac3f-a02c028b843a"]}],"mendeley":{"formattedCitation":"(Oboh, 2005)","plainTextFormattedCitation":"(Oboh, 2005)","previouslyFormattedCitation":"(16)"},"properties":{"noteIndex":0},"schema":"https://github.com/citation-style-language/schema/raw/master/csl-citation.json"}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(Oboh, 2005)</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w:t>
      </w:r>
      <w:proofErr w:type="spellStart"/>
      <w:r w:rsidRPr="004D2C33">
        <w:rPr>
          <w:rFonts w:ascii="Arial" w:hAnsi="Arial" w:cs="Arial"/>
          <w:i/>
          <w:iCs/>
          <w:color w:val="000000" w:themeColor="text1"/>
        </w:rPr>
        <w:t>Ormosia</w:t>
      </w:r>
      <w:proofErr w:type="spellEnd"/>
      <w:r w:rsidRPr="004D2C33">
        <w:rPr>
          <w:rFonts w:ascii="Arial" w:hAnsi="Arial" w:cs="Arial"/>
          <w:i/>
          <w:iCs/>
          <w:color w:val="000000" w:themeColor="text1"/>
        </w:rPr>
        <w:t xml:space="preserve"> </w:t>
      </w:r>
      <w:proofErr w:type="spellStart"/>
      <w:r w:rsidRPr="004D2C33">
        <w:rPr>
          <w:rFonts w:ascii="Arial" w:hAnsi="Arial" w:cs="Arial"/>
          <w:i/>
          <w:iCs/>
          <w:color w:val="000000" w:themeColor="text1"/>
        </w:rPr>
        <w:t>robusta</w:t>
      </w:r>
      <w:proofErr w:type="spellEnd"/>
      <w:r w:rsidRPr="004D2C33">
        <w:rPr>
          <w:rFonts w:ascii="Arial" w:hAnsi="Arial" w:cs="Arial"/>
          <w:color w:val="000000" w:themeColor="text1"/>
        </w:rPr>
        <w:t xml:space="preserve"> baker (</w:t>
      </w:r>
      <w:r w:rsidRPr="004D2C33">
        <w:rPr>
          <w:rFonts w:ascii="Arial" w:hAnsi="Arial" w:cs="Arial"/>
          <w:i/>
          <w:iCs/>
          <w:color w:val="000000" w:themeColor="text1"/>
        </w:rPr>
        <w:t>O. robusta</w:t>
      </w:r>
      <w:r w:rsidRPr="004D2C33">
        <w:rPr>
          <w:rFonts w:ascii="Arial" w:hAnsi="Arial" w:cs="Arial"/>
          <w:color w:val="000000" w:themeColor="text1"/>
        </w:rPr>
        <w:t xml:space="preserve">) is a member of the family Fabaceae, which is also known as the legume family: Leguminosae. The Garo tribes call this plant Sanchi or Sanchi-blog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{"citationItems":[{"id":"ITEM-1","itemData":{"author":[{"dropping-particle":"","family":"Ahmed","given":"Kh Tanvir","non-dropping-particle":"","parse-names":false,"suffix":""},{"dropping-particle":"","family":"Haque","given":"Mohammad Rashedul","non-dropping-particle":"","parse-names":false,"suffix":""},{"dropping-particle":"","family":"Ahsan","given":"Monira","non-dropping-particle":"","parse-names":false,"suffix":""}],"container-title":"American Journal of Pharmtech Research","id":"ITEM-1","issue":"November 2012","issued":{"date-parts":[["2013"]]},"page":"1-8","title":"Isoflavones from the Bark of Ormosia robusta ( Fabaceae ) baker .","type":"article-journal","volume":"3"},"uris":["http://www.mendeley.com/documents/?uuid=48cb8b33-4e2f-46ff-8e55-6890315ce904"]}],"mendeley":{"formattedCitation":"(K. T. Ahmed et al., 2013)","plainTextFormattedCitation":"(K. T. Ahmed et al., 2013)","previouslyFormattedCitation":"(17)"},"properties":{"noteIndex":0},"schema":"https://github.com/citation-style-language/schema/raw/master/csl-citation.json"}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(K. T. Ahmed et al., 2013)</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It grows on tropical semi-evergreen forest hills. It is found across East Asia, including Meghalaya, Arunachal Pradesh, Assam, Mizoram, Myanmar, and Thailand. Sylhet, </w:t>
      </w:r>
      <w:proofErr w:type="spellStart"/>
      <w:r w:rsidRPr="004D2C33">
        <w:rPr>
          <w:rFonts w:ascii="Arial" w:hAnsi="Arial" w:cs="Arial"/>
          <w:color w:val="000000" w:themeColor="text1"/>
        </w:rPr>
        <w:t>Maheskhali</w:t>
      </w:r>
      <w:proofErr w:type="spellEnd"/>
      <w:r w:rsidRPr="004D2C33">
        <w:rPr>
          <w:rFonts w:ascii="Arial" w:hAnsi="Arial" w:cs="Arial"/>
          <w:color w:val="000000" w:themeColor="text1"/>
        </w:rPr>
        <w:t>, </w:t>
      </w:r>
      <w:proofErr w:type="spellStart"/>
      <w:r w:rsidRPr="004D2C33">
        <w:rPr>
          <w:rFonts w:ascii="Arial" w:hAnsi="Arial" w:cs="Arial"/>
          <w:color w:val="000000" w:themeColor="text1"/>
        </w:rPr>
        <w:t>Hathazari</w:t>
      </w:r>
      <w:proofErr w:type="spellEnd"/>
      <w:r w:rsidRPr="004D2C33">
        <w:rPr>
          <w:rFonts w:ascii="Arial" w:hAnsi="Arial" w:cs="Arial"/>
          <w:color w:val="000000" w:themeColor="text1"/>
        </w:rPr>
        <w:t xml:space="preserve">, and </w:t>
      </w:r>
      <w:proofErr w:type="spellStart"/>
      <w:r w:rsidRPr="004D2C33">
        <w:rPr>
          <w:rFonts w:ascii="Arial" w:hAnsi="Arial" w:cs="Arial"/>
          <w:color w:val="000000" w:themeColor="text1"/>
        </w:rPr>
        <w:t>Sitakunda</w:t>
      </w:r>
      <w:proofErr w:type="spellEnd"/>
      <w:r w:rsidRPr="004D2C33">
        <w:rPr>
          <w:rFonts w:ascii="Arial" w:hAnsi="Arial" w:cs="Arial"/>
          <w:color w:val="000000" w:themeColor="text1"/>
        </w:rPr>
        <w:t xml:space="preserve"> are its habitats in Bangladesh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{"citationItems":[{"id":"ITEM-1","itemData":{"ISSN":"2319–3824","abstract":"The paper deals with the revised taxonomic description of Ormosia robusta Baker along with photographic illustration based on live plant material, which is the first authentic report of its occurrence in Meghalaya and Mizoram","author":[{"dropping-particle":"","family":"Sinha","given":"Bipin Kumar","non-dropping-particle":"","parse-names":false,"suffix":""},{"dropping-particle":"Das","family":"Talukdar","given":"Anupam","non-dropping-particle":"","parse-names":false,"suffix":""},{"dropping-particle":"","family":"Roy","given":"Dilip Kumar","non-dropping-particle":"","parse-names":false,"suffix":""},{"dropping-particle":"","family":"Verma","given":"Durgesh","non-dropping-particle":"","parse-names":false,"suffix":""},{"dropping-particle":"","family":"Choudhury","given":"Manabendra Dutta","non-dropping-particle":"","parse-names":false,"suffix":""}],"container-title":"Indian Jounrnal of Plant Sciences","id":"ITEM-1","issue":"4","issued":{"date-parts":[["2014"]]},"page":"53-57","title":"On the identity and occurrence of Ormosia robusta (Fabaceae sophorea) in India","type":"article-journal","volume":"3"},"uris":["http://www.mendeley.com/documents/?uuid=b6f98f28-1ee0-4666-b45b-2d011817cc75"]}],"mendeley":{"formattedCitation":"(Sinha et al., 2014)","plainTextFormattedCitation":"(Sinha et al., 2014)","previouslyFormattedCitation":"(18)"},"properties":{"noteIndex":0},"schema":"https://github.com/citation-style-language/schema/raw/master/csl-citation.json"}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(Sinha et al., 2014)</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The </w:t>
      </w:r>
      <w:r w:rsidRPr="004D2C33">
        <w:rPr>
          <w:rFonts w:ascii="Arial" w:hAnsi="Arial" w:cs="Arial"/>
          <w:i/>
          <w:iCs/>
          <w:color w:val="000000" w:themeColor="text1"/>
        </w:rPr>
        <w:t>O. robusta</w:t>
      </w:r>
      <w:r w:rsidRPr="004D2C33">
        <w:rPr>
          <w:rFonts w:ascii="Arial" w:hAnsi="Arial" w:cs="Arial"/>
          <w:color w:val="000000" w:themeColor="text1"/>
        </w:rPr>
        <w:t xml:space="preserve"> tree may grow up to 12 meters tall and produces beautiful orange-colored fruit. Leaves are imparipinnate; blooms are creamy white; seeds contain one to two yellowish-green seeds; seeds may be cylindrical or slightly compressed. Timber-based goods and fuel are its primary uses. The Garo tribes treat jaundice using an extract of bark (soaked in water overnight). However, this plant has not been explored much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{"citationItems":[{"id":"ITEM-1","itemData":{"DOI":"10.36713/epra2013","ISSN":"2455-3662","abstract":"ANNOTATION Practice shows that the lack or late receipt of information with special conditions for the use of territories often has a negative impact not only on the budget and time frame for the construction of a real estate facility, but also on the fate of the built facility in general. The protection areas of underground and above-ground engineering communications play an important role for the future in land use. And also, when using these lands for agricultural needs, with the correct organization of cadastral relations represents the relevance of the issue under study. In the present, as an example, a section of high-voltage power transmission lines (power lines) of 1 km length is presented.","author":[{"dropping-particle":"","family":"Numanovich","given":"Abdullayev Ibrohim","non-dropping-particle":"","parse-names":false,"suffix":""},{"dropping-particle":"","family":"Abbosxonovich","given":"Marupov Azizxon","non-dropping-particle":"","parse-names":false,"suffix":""}],"container-title":"EPRA International Journal of Multidisciplinary Research (IJMR)-Peer Reviewed Journal","id":"ITEM-1","issue":"2","issued":{"date-parts":[["2020"]]},"page":"198-210","title":"THE ANALYSIS OF LANDS IN SECURITY ZONES OF HIGH-VOLTAGE POWER LINES (POWER LINE) ON THE EXAMPLE OF THE FERGANA REGION PhD of Fergana polytechnic institute, Uzbekistan PhD applicant of Fergana polytechnic institute, Uzbekistan","type":"article-journal"},"uris":["http://www.mendeley.com/documents/?uuid=cc9e4e77-f28b-43cc-9e88-0ad520ad0783"]}],"mendeley":{"formattedCitation":"(Numanovich &amp; Abbosxonovich, 2020)","plainTextFormattedCitation":"(Numanovich &amp; Abbosxonovich, 2020)","previouslyFormattedCitation":"(19)"},"properties":{"noteIndex":0},"schema":"https://github.com/citation-style-language/schema/raw/master/csl-citation.json"}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(Numanovich &amp; Abbosxonovich, 2020)</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Therefore, we analyzed the phytochemical composition of </w:t>
      </w:r>
      <w:proofErr w:type="spellStart"/>
      <w:r w:rsidRPr="004D2C33">
        <w:rPr>
          <w:rFonts w:ascii="Arial" w:hAnsi="Arial" w:cs="Arial"/>
          <w:i/>
          <w:iCs/>
          <w:color w:val="000000" w:themeColor="text1"/>
        </w:rPr>
        <w:t>Ormosia</w:t>
      </w:r>
      <w:proofErr w:type="spellEnd"/>
      <w:r w:rsidRPr="004D2C33">
        <w:rPr>
          <w:rFonts w:ascii="Arial" w:hAnsi="Arial" w:cs="Arial"/>
          <w:i/>
          <w:iCs/>
          <w:color w:val="000000" w:themeColor="text1"/>
        </w:rPr>
        <w:t xml:space="preserve"> </w:t>
      </w:r>
      <w:proofErr w:type="spellStart"/>
      <w:r w:rsidRPr="004D2C33">
        <w:rPr>
          <w:rFonts w:ascii="Arial" w:hAnsi="Arial" w:cs="Arial"/>
          <w:i/>
          <w:iCs/>
          <w:color w:val="000000" w:themeColor="text1"/>
        </w:rPr>
        <w:t>robusta</w:t>
      </w:r>
      <w:proofErr w:type="spellEnd"/>
      <w:r w:rsidRPr="004D2C33">
        <w:rPr>
          <w:rFonts w:ascii="Arial" w:hAnsi="Arial" w:cs="Arial"/>
          <w:color w:val="000000" w:themeColor="text1"/>
        </w:rPr>
        <w:t xml:space="preserve"> methanol leaf extract (MEORL) and evaluated its </w:t>
      </w:r>
      <w:r w:rsidRPr="004D2C33">
        <w:rPr>
          <w:rFonts w:ascii="Arial" w:hAnsi="Arial" w:cs="Arial"/>
          <w:i/>
          <w:iCs/>
          <w:color w:val="000000" w:themeColor="text1"/>
        </w:rPr>
        <w:t>in-vitro</w:t>
      </w:r>
      <w:r w:rsidRPr="004D2C33">
        <w:rPr>
          <w:rFonts w:ascii="Arial" w:hAnsi="Arial" w:cs="Arial"/>
          <w:color w:val="000000" w:themeColor="text1"/>
        </w:rPr>
        <w:t xml:space="preserve"> antioxidant, anthelmintic, cytotoxic, anti-arthritic, anti-inflammatory, and thrombolytic activities. In addition, </w:t>
      </w:r>
      <w:r w:rsidRPr="004D2C33">
        <w:rPr>
          <w:rFonts w:ascii="Arial" w:hAnsi="Arial" w:cs="Arial"/>
          <w:i/>
          <w:iCs/>
          <w:color w:val="000000" w:themeColor="text1"/>
        </w:rPr>
        <w:t>in silico</w:t>
      </w:r>
      <w:r w:rsidRPr="004D2C33">
        <w:rPr>
          <w:rFonts w:ascii="Arial" w:hAnsi="Arial" w:cs="Arial"/>
          <w:color w:val="000000" w:themeColor="text1"/>
        </w:rPr>
        <w:t xml:space="preserve"> molecular docking as well as ADME/T investigation were carried out to get insights into the previously identified compounds from this plant for the investigated pharmacological attributes.</w:t>
      </w:r>
    </w:p>
    <w:p w14:paraId="7209B82C" w14:textId="79EB7654" w:rsidR="001A126E" w:rsidRDefault="001A126E" w:rsidP="00441B6F">
      <w:pPr>
        <w:pStyle w:val="Body"/>
        <w:spacing w:after="0"/>
        <w:rPr>
          <w:rFonts w:ascii="Arial" w:hAnsi="Arial" w:cs="Arial"/>
        </w:rPr>
      </w:pPr>
    </w:p>
    <w:p w14:paraId="59276894" w14:textId="57E3DD8A" w:rsidR="001A126E" w:rsidRDefault="001A126E" w:rsidP="00441B6F">
      <w:pPr>
        <w:pStyle w:val="Body"/>
        <w:spacing w:after="0"/>
        <w:rPr>
          <w:rFonts w:ascii="Arial" w:hAnsi="Arial" w:cs="Arial"/>
        </w:rPr>
      </w:pPr>
    </w:p>
    <w:p w14:paraId="5BB6E6ED" w14:textId="77777777" w:rsidR="001A126E" w:rsidRPr="00FB3A86" w:rsidRDefault="001A126E" w:rsidP="00441B6F">
      <w:pPr>
        <w:pStyle w:val="Body"/>
        <w:spacing w:after="0"/>
        <w:rPr>
          <w:rFonts w:ascii="Arial" w:hAnsi="Arial" w:cs="Arial"/>
        </w:rPr>
      </w:pPr>
    </w:p>
    <w:p w14:paraId="077330D8" w14:textId="70970F9D" w:rsidR="007F7B32" w:rsidRDefault="00902823" w:rsidP="00441B6F">
      <w:pPr>
        <w:pStyle w:val="AbstHead"/>
        <w:spacing w:after="0"/>
        <w:jc w:val="both"/>
        <w:rPr>
          <w:rFonts w:ascii="Arial" w:hAnsi="Arial" w:cs="Arial"/>
        </w:rPr>
      </w:pPr>
      <w:r>
        <w:rPr>
          <w:rFonts w:ascii="Arial" w:hAnsi="Arial" w:cs="Arial"/>
        </w:rPr>
        <w:lastRenderedPageBreak/>
        <w:t>2. method</w:t>
      </w:r>
      <w:r w:rsidR="006F2E85">
        <w:rPr>
          <w:rFonts w:ascii="Arial" w:hAnsi="Arial" w:cs="Arial"/>
        </w:rPr>
        <w:t>OLOGY</w:t>
      </w:r>
    </w:p>
    <w:p w14:paraId="69257295" w14:textId="77777777" w:rsidR="00790ADA" w:rsidRPr="00FB3A86" w:rsidRDefault="00790ADA" w:rsidP="00441B6F">
      <w:pPr>
        <w:pStyle w:val="AbstHead"/>
        <w:spacing w:after="0"/>
        <w:jc w:val="both"/>
        <w:rPr>
          <w:rFonts w:ascii="Arial" w:hAnsi="Arial" w:cs="Arial"/>
        </w:rPr>
      </w:pPr>
    </w:p>
    <w:p w14:paraId="6ADE2086" w14:textId="433B4BC7" w:rsidR="00CD45C0" w:rsidRPr="00CD45C0" w:rsidRDefault="00CD45C0" w:rsidP="00CD45C0">
      <w:pPr>
        <w:pStyle w:val="Body"/>
        <w:rPr>
          <w:rFonts w:ascii="Arial" w:hAnsi="Arial" w:cs="Arial"/>
          <w:b/>
          <w:sz w:val="22"/>
          <w:szCs w:val="22"/>
        </w:rPr>
      </w:pPr>
      <w:r w:rsidRPr="00CD45C0">
        <w:rPr>
          <w:rFonts w:ascii="Arial" w:hAnsi="Arial" w:cs="Arial"/>
          <w:b/>
          <w:sz w:val="22"/>
          <w:szCs w:val="22"/>
        </w:rPr>
        <w:t>2.1 Solvents and Chemicals</w:t>
      </w:r>
    </w:p>
    <w:p w14:paraId="66929CAE" w14:textId="77777777" w:rsidR="00CD45C0" w:rsidRPr="00CD45C0" w:rsidRDefault="00CD45C0" w:rsidP="00CD45C0">
      <w:pPr>
        <w:pStyle w:val="Body"/>
        <w:rPr>
          <w:rFonts w:ascii="Arial" w:hAnsi="Arial" w:cs="Arial"/>
        </w:rPr>
      </w:pPr>
      <w:r w:rsidRPr="00CD45C0">
        <w:rPr>
          <w:rFonts w:ascii="Arial" w:hAnsi="Arial" w:cs="Arial"/>
        </w:rPr>
        <w:t>Analytical and laboratory grade (e.g., SIGMA, E. Merck, or BDH) solvents and chemicals were employed throughout. Pure methanol was bought from Merck (Darmstadt, Germany), Whitman No. 1 was obtained from Sargent-Welch (New York, USA), and vincristine sulfate was acquired from Beacon Pharmaceuticals Ltd. (Mymensingh, Bangladesh). All chemicals, including DPPH, phosphate buffer saline, diclofenac sodium, and others, were acquired from a local supplier and were of analytical quality.</w:t>
      </w:r>
    </w:p>
    <w:p w14:paraId="21919D8C" w14:textId="7C0C5F9F" w:rsidR="00CD45C0" w:rsidRPr="00CD45C0" w:rsidRDefault="00CD45C0" w:rsidP="00CD45C0">
      <w:pPr>
        <w:pStyle w:val="Body"/>
        <w:spacing w:after="0"/>
        <w:rPr>
          <w:rFonts w:ascii="Arial" w:hAnsi="Arial" w:cs="Arial"/>
          <w:b/>
          <w:sz w:val="22"/>
          <w:szCs w:val="22"/>
        </w:rPr>
      </w:pPr>
      <w:r w:rsidRPr="00CD45C0">
        <w:rPr>
          <w:rFonts w:ascii="Arial" w:hAnsi="Arial" w:cs="Arial"/>
          <w:b/>
          <w:sz w:val="22"/>
          <w:szCs w:val="22"/>
        </w:rPr>
        <w:t>2.2 Sample collection and plant identification</w:t>
      </w:r>
    </w:p>
    <w:p w14:paraId="6A55D1A2" w14:textId="22F6A049" w:rsidR="00CD45C0" w:rsidRPr="00CD45C0" w:rsidRDefault="00CD45C0" w:rsidP="00CD45C0">
      <w:pPr>
        <w:pStyle w:val="Body"/>
        <w:rPr>
          <w:rFonts w:ascii="Arial" w:hAnsi="Arial" w:cs="Arial"/>
        </w:rPr>
      </w:pPr>
      <w:r w:rsidRPr="00CD45C0">
        <w:rPr>
          <w:rFonts w:ascii="Arial" w:hAnsi="Arial" w:cs="Arial"/>
        </w:rPr>
        <w:t xml:space="preserve">The leaves of the </w:t>
      </w:r>
      <w:r w:rsidRPr="00CD45C0">
        <w:rPr>
          <w:rFonts w:ascii="Arial" w:hAnsi="Arial" w:cs="Arial"/>
          <w:i/>
          <w:iCs/>
        </w:rPr>
        <w:t>O. robusta</w:t>
      </w:r>
      <w:r w:rsidRPr="00CD45C0">
        <w:rPr>
          <w:rFonts w:ascii="Arial" w:hAnsi="Arial" w:cs="Arial"/>
        </w:rPr>
        <w:t xml:space="preserve"> specime</w:t>
      </w:r>
      <w:r w:rsidR="0050372C">
        <w:rPr>
          <w:rFonts w:ascii="Arial" w:hAnsi="Arial" w:cs="Arial"/>
        </w:rPr>
        <w:t>n were collected in July of 2023</w:t>
      </w:r>
      <w:r w:rsidRPr="00CD45C0">
        <w:rPr>
          <w:rFonts w:ascii="Arial" w:hAnsi="Arial" w:cs="Arial"/>
        </w:rPr>
        <w:t xml:space="preserve"> from a hillside near Chittagong. Dr. Shaikh </w:t>
      </w:r>
      <w:proofErr w:type="spellStart"/>
      <w:r w:rsidRPr="00CD45C0">
        <w:rPr>
          <w:rFonts w:ascii="Arial" w:hAnsi="Arial" w:cs="Arial"/>
        </w:rPr>
        <w:t>Bokhtear</w:t>
      </w:r>
      <w:proofErr w:type="spellEnd"/>
      <w:r w:rsidRPr="00CD45C0">
        <w:rPr>
          <w:rFonts w:ascii="Arial" w:hAnsi="Arial" w:cs="Arial"/>
        </w:rPr>
        <w:t xml:space="preserve"> Uddin, Professor and taxonomist from the Department of Botany, Faculty of Biological Sciences, University of Chittagong identified the specimen after it was obtained.</w:t>
      </w:r>
    </w:p>
    <w:p w14:paraId="79582284" w14:textId="06500F91" w:rsidR="00CD45C0" w:rsidRPr="00CD45C0" w:rsidRDefault="00CD45C0" w:rsidP="00CD45C0">
      <w:pPr>
        <w:pStyle w:val="Body"/>
        <w:rPr>
          <w:rFonts w:ascii="Arial" w:hAnsi="Arial" w:cs="Arial"/>
          <w:b/>
          <w:sz w:val="22"/>
          <w:szCs w:val="22"/>
        </w:rPr>
      </w:pPr>
      <w:r w:rsidRPr="00CD45C0">
        <w:rPr>
          <w:rFonts w:ascii="Arial" w:hAnsi="Arial" w:cs="Arial"/>
          <w:b/>
          <w:sz w:val="22"/>
          <w:szCs w:val="22"/>
        </w:rPr>
        <w:t>2.3 Extract preparation</w:t>
      </w:r>
    </w:p>
    <w:p w14:paraId="45312D05" w14:textId="3458B133" w:rsidR="00CD45C0" w:rsidRPr="00CD45C0" w:rsidRDefault="00CD45C0" w:rsidP="00CD45C0">
      <w:pPr>
        <w:pStyle w:val="Body"/>
        <w:rPr>
          <w:rFonts w:ascii="Arial" w:hAnsi="Arial" w:cs="Arial"/>
        </w:rPr>
      </w:pPr>
      <w:r w:rsidRPr="00CD45C0">
        <w:rPr>
          <w:rFonts w:ascii="Arial" w:hAnsi="Arial" w:cs="Arial"/>
        </w:rPr>
        <w:t xml:space="preserve">The representative samples of the suggested plant's leaves were cleaned, whacked, and allowed to dry for several days. Dried specimens were ground using a high-speed grinder. The items that were grounded were then placed in an airtight container for safekeeping. The process began by placing 300 grams of ground plant material into a consecrated, 5-liter round-bottom flask. Subsequently, 2 liters of pure methanol were added to the flask. The entire setup, including the container and its contents, was covered with aluminum foil and kept concealed for a minimum duration of 2-3 weeks. After this soaking period, the mixture underwent filtration through a fresh cotton plug, followed by a second purification and filtration step using Whitman No.1 filter paper. To eliminate the solvent volume in the filtrate, the Buchi Rota Evaporator (Cole-Parmer, UK) was employed under extremely low temperatures and pressure. The result was a semisolid methanol extract with a greenish-black color, yielding 27 grams when the solvent was evaporated. This yield index was expressed as a percentage, calculated through a straightforward mathematical method </w:t>
      </w:r>
      <w:r w:rsidRPr="00CD45C0">
        <w:rPr>
          <w:rFonts w:ascii="Arial" w:hAnsi="Arial" w:cs="Arial"/>
          <w:vertAlign w:val="superscript"/>
        </w:rPr>
        <w:fldChar w:fldCharType="begin" w:fldLock="1"/>
      </w:r>
      <w:r w:rsidR="00E772A2">
        <w:rPr>
          <w:rFonts w:ascii="Arial" w:hAnsi="Arial" w:cs="Arial"/>
        </w:rPr>
        <w:instrText>ADDIN CSL_CITATION {"citationItems":[{"id":"ITEM-1","itemData":{"DOI":"10.1186/s40816-019-0128-9","abstract":"The Bangladeshi rural and hilly areas people have long tradition to use various medicinal plants for treating different diseases. That’s why, the crude methanolic leaf extract of Ardisia solanacea with its different fractions (petroleum ether, carbon tetrachloride, n-hexane and chloroform fractions) were subjected to investigate bioactivities in swiss albino mice; namely analgesic, CNS, and Oral hypoglycemic activities, while in-vitro evaluation of cytotoxicity. Central nervous system activity was investigated by various method such as Elevated plus maze, Hole board, Hole cross and Open field test apparatus. Analgesic activity was evaluated by both acetic acid induced and tail immersion method. Hypoglycemic activity was evaluated by oral glucose tolerance test and cytotoxicity was evaluated by Brine shrimp lethality bioassay. In CNS activity, among others fractions, ASCF fraction produced a significant anxiolytic activity in both elevated plus maze and Hole board test. During open-field test almost all the fractions of A. solanacea leaves extract display decreased locomotor activities that indicates significant sedative activity. The ASME and ASCF showed significant peripheral analgesic activity at a dose of 200 mg/kg and 400 mg/kg body weight (p &lt; 0.05). In tail immersion method, among others extracts chloroform fractions exhibited significant (p &lt; 0.05) elongation of reaction time 30 min after oral dose of 200 and 400 mg/kg body weight respectively. The methanolic and n-hexane extracts reduced blood glucose level significantly after 90 min with value of 53.94% and 48.15% respectively (p &lt; 0.05). In case of cytotoxicity activity, among other fractions carbon tetrachloride fraction showed lowest LC50 values. From the above results, it is clear that different fractions of A. solanacea showed significant pharmacological potentiality in different in-vitro and in-vivo study model. So, it will be very much possible source for an isolating lead compound for curing the numerous disorders.","author":[{"dropping-particle":"","family":"Islam","given":"Mohammad Rashedul","non-dropping-particle":"","parse-names":false,"suffix":""},{"dropping-particle":"","family":"Naima","given":"Jannatul","non-dropping-particle":"","parse-names":false,"suffix":""},{"dropping-particle":"","family":"Proma","given":"Nawreen Monir","non-dropping-particle":"","parse-names":false,"suffix":""},{"dropping-particle":"","family":"Hussain","given":"Md. Saddam","non-dropping-particle":"","parse-names":false,"suffix":""},{"dropping-particle":"","family":"Uddin","given":"S. M. Naim","non-dropping-particle":"","parse-names":false,"suffix":""},{"dropping-particle":"","family":"Hossain","given":"Mohammed Kamrul","non-dropping-particle":"","parse-names":false,"suffix":""}],"container-title":"Clinical Phytoscience","id":"ITEM-1","issue":"1","issued":{"date-parts":[["2019"]]},"publisher":"Clinical Phytoscience","title":"In-vivo and in-vitro evaluation of pharmacological activities of Ardisia solanacea leaf extract","type":"article-journal","volume":"5"},"uris":["http://www.mendeley.com/documents/?uuid=916812e8-b793-4293-9ed9-9ca09affe215"]}],"mendeley":{"formattedCitation":"(Islam et al., 2019)","plainTextFormattedCitation":"(Islam et al., 2019)","previouslyFormattedCitation":"(Islam et al. 2019)"},"properties":{"noteIndex":0},"schema":"https://github.com/citation-style-language/schema/raw/master/csl-citation.json"}</w:instrText>
      </w:r>
      <w:r w:rsidRPr="00CD45C0">
        <w:rPr>
          <w:rFonts w:ascii="Arial" w:hAnsi="Arial" w:cs="Arial"/>
          <w:vertAlign w:val="superscript"/>
        </w:rPr>
        <w:fldChar w:fldCharType="separate"/>
      </w:r>
      <w:r w:rsidR="00E772A2" w:rsidRPr="00E772A2">
        <w:rPr>
          <w:rFonts w:ascii="Arial" w:hAnsi="Arial" w:cs="Arial"/>
          <w:bCs/>
          <w:noProof/>
        </w:rPr>
        <w:t>(Islam et al., 2019)</w:t>
      </w:r>
      <w:r w:rsidRPr="00CD45C0">
        <w:rPr>
          <w:rFonts w:ascii="Arial" w:hAnsi="Arial" w:cs="Arial"/>
        </w:rPr>
        <w:fldChar w:fldCharType="end"/>
      </w:r>
      <w:r w:rsidRPr="00CD45C0">
        <w:rPr>
          <w:rFonts w:ascii="Arial" w:hAnsi="Arial" w:cs="Arial"/>
        </w:rPr>
        <w:t>.</w:t>
      </w:r>
    </w:p>
    <w:p w14:paraId="0A98F774" w14:textId="08055616" w:rsidR="00CD45C0" w:rsidRPr="00CD45C0" w:rsidRDefault="00CD45C0" w:rsidP="00CD45C0">
      <w:pPr>
        <w:pStyle w:val="Body"/>
        <w:rPr>
          <w:rFonts w:ascii="Arial" w:hAnsi="Arial" w:cs="Arial"/>
          <w:b/>
          <w:sz w:val="22"/>
          <w:szCs w:val="22"/>
        </w:rPr>
      </w:pPr>
      <w:r w:rsidRPr="00CD45C0">
        <w:rPr>
          <w:rFonts w:ascii="Arial" w:hAnsi="Arial" w:cs="Arial"/>
          <w:b/>
          <w:sz w:val="22"/>
          <w:szCs w:val="22"/>
        </w:rPr>
        <w:t>2.4 Phytochemical analysis</w:t>
      </w:r>
    </w:p>
    <w:p w14:paraId="2959E06E" w14:textId="6A21C360" w:rsidR="00CD45C0" w:rsidRPr="00CD45C0" w:rsidRDefault="00CD45C0" w:rsidP="00CD45C0">
      <w:pPr>
        <w:pStyle w:val="Body"/>
        <w:rPr>
          <w:rFonts w:ascii="Arial" w:hAnsi="Arial" w:cs="Arial"/>
        </w:rPr>
      </w:pPr>
      <w:r w:rsidRPr="00CD45C0">
        <w:rPr>
          <w:rFonts w:ascii="Arial" w:hAnsi="Arial" w:cs="Arial"/>
        </w:rPr>
        <w:t xml:space="preserve">The methanolic extract underwent qualitative phytochemical tests according to the protocols described by </w:t>
      </w:r>
      <w:proofErr w:type="spellStart"/>
      <w:r w:rsidRPr="00CD45C0">
        <w:rPr>
          <w:rFonts w:ascii="Arial" w:hAnsi="Arial" w:cs="Arial"/>
        </w:rPr>
        <w:t>Sofowara</w:t>
      </w:r>
      <w:proofErr w:type="spellEnd"/>
      <w:r w:rsidRPr="00CD45C0">
        <w:rPr>
          <w:rFonts w:ascii="Arial" w:hAnsi="Arial" w:cs="Arial"/>
        </w:rPr>
        <w:t xml:space="preserve">, </w:t>
      </w:r>
      <w:proofErr w:type="spellStart"/>
      <w:r w:rsidRPr="00CD45C0">
        <w:rPr>
          <w:rFonts w:ascii="Arial" w:hAnsi="Arial" w:cs="Arial"/>
        </w:rPr>
        <w:t>Trease</w:t>
      </w:r>
      <w:proofErr w:type="spellEnd"/>
      <w:r w:rsidRPr="00CD45C0">
        <w:rPr>
          <w:rFonts w:ascii="Arial" w:hAnsi="Arial" w:cs="Arial"/>
        </w:rPr>
        <w:t xml:space="preserve"> and Evans, and Harborne, allowing for the identification of alkaloids, saponins, volatile oil, phytosterols, glycosides, proteins &amp; amino acids, fixed oils &amp; fats, lipids, flavonoids, terpenes, gum &amp; mucilage, carbohydrates,  phenols, and tannins </w:t>
      </w:r>
      <w:r w:rsidRPr="00CD45C0">
        <w:rPr>
          <w:rFonts w:ascii="Arial" w:hAnsi="Arial" w:cs="Arial"/>
          <w:vertAlign w:val="superscript"/>
        </w:rPr>
        <w:fldChar w:fldCharType="begin" w:fldLock="1"/>
      </w:r>
      <w:r w:rsidR="00E772A2">
        <w:rPr>
          <w:rFonts w:ascii="Arial" w:hAnsi="Arial" w:cs="Arial"/>
        </w:rPr>
        <w:instrText>ADDIN CSL_CITATION {"citationItems":[{"id":"ITEM-1","itemData":{"DOI":"10.12691/ajfn-2-1-3","abstract":"The proximate, mineral and amino acid compositions of two different seeds belonging to different families; Brachystegia eurycoma harms and Pipper guineense schum and thonn were investigated. The proximate analysis revealed the values of carbohydrate, fat, crude protein, crude fibre, ash and moisture contents present to be 53.57%, 4.49%, 8.75%, 17.20%, 5% and 10.60%; 46.57%, 17.30%, 9.33%, 4.20%, 9.90% and 12.70% respectively. Minerals present are Ca (0.64), Na (0.09), K (0.25), Fe (0.111), Mg (0.05) and Mn (0.066) for Brachystegia eurycoma harms and Ca (0.42), K (0.81), Na (0.32), Ph (0.25), Zn (0.081), Mg (0.04) and Mn(0.098) in ppm. The anti-nutrient constituents of both seeds revealed the presence of tannins, phytate and cyanide at relatively low concentrations. Phytochemical screening also analysed for the seeds were all positive except glycosides and anthraquinones which are negative in Brachystegia eurycoma harms and Pipper guineense schum and thonn respectively. This shows that both seeds have therapeutic roles in living organisms. The amino acid (AA) analysis revealed that AA was more concentrated in B. eurycoma harms with the total value of 42.28g/100g than 38.78g/100g of P. guineense schum and thonn. The former also exceeded the later in total EAA by difference of 4.67g/100g. The P-PER and pI both seeds were 2.59; 2.54 and 2.61; 2.18, while the limiting AA was Met + Cys (0.40) and Ile (0.28) for B. eurycoma harms and P. Guineense schum and thonn respectively.","author":[{"dropping-particle":"","family":"Bolanle","given":"Ajayi Olubunmi","non-dropping-particle":"","parse-names":false,"suffix":""},{"dropping-particle":"","family":"Funmilola","given":"Akomolafe Seun","non-dropping-particle":"","parse-names":false,"suffix":""},{"dropping-particle":"","family":"Adedayo","given":"Adefioye","non-dropping-particle":"","parse-names":false,"suffix":""}],"container-title":"Am. J. Food Nutr.","id":"ITEM-1","issue":"1","issued":{"date-parts":[["2014"]]},"page":"11-17","title":"Proximate analysis, mineral contents, amino acid composition, anti-nutrients and phytochemical screening of Brachystegia eurycoma harms and Pipper guineense schum and Thonn","type":"article-journal","volume":"2"},"uris":["http://www.mendeley.com/documents/?uuid=ee36c414-1366-46ee-b499-c8acb086a849"]}],"mendeley":{"formattedCitation":"(Bolanle et al., 2014)","plainTextFormattedCitation":"(Bolanle et al., 2014)","previouslyFormattedCitation":"(Bolanle, Funmilola, and Adedayo 2014)"},"properties":{"noteIndex":0},"schema":"https://github.com/citation-style-language/schema/raw/master/csl-citation.json"}</w:instrText>
      </w:r>
      <w:r w:rsidRPr="00CD45C0">
        <w:rPr>
          <w:rFonts w:ascii="Arial" w:hAnsi="Arial" w:cs="Arial"/>
          <w:vertAlign w:val="superscript"/>
        </w:rPr>
        <w:fldChar w:fldCharType="separate"/>
      </w:r>
      <w:r w:rsidR="00E772A2" w:rsidRPr="00E772A2">
        <w:rPr>
          <w:rFonts w:ascii="Arial" w:hAnsi="Arial" w:cs="Arial"/>
          <w:bCs/>
          <w:noProof/>
        </w:rPr>
        <w:t>(Bolanle et al., 2014)</w:t>
      </w:r>
      <w:r w:rsidRPr="00CD45C0">
        <w:rPr>
          <w:rFonts w:ascii="Arial" w:hAnsi="Arial" w:cs="Arial"/>
        </w:rPr>
        <w:fldChar w:fldCharType="end"/>
      </w:r>
      <w:r w:rsidRPr="00CD45C0">
        <w:rPr>
          <w:rFonts w:ascii="Arial" w:hAnsi="Arial" w:cs="Arial"/>
          <w:vertAlign w:val="superscript"/>
        </w:rPr>
        <w:fldChar w:fldCharType="begin" w:fldLock="1"/>
      </w:r>
      <w:r w:rsidR="00E772A2">
        <w:rPr>
          <w:rFonts w:ascii="Arial" w:hAnsi="Arial" w:cs="Arial"/>
        </w:rPr>
        <w:instrText>ADDIN CSL_CITATION {"citationItems":[{"id":"ITEM-1","itemData":{"DOI":"10.4236/ajps.2017.82021","ISSN":"2158-2742","abstract":"The phytochemical and nutritional composition of Trichosanthes cucumerina L. an underutilized vegetable used as substitute for Solanaceous tomatoes by rural dwellers was examined in comparison with majorly cultivated tomato cultivars in Nigeria (Roma VF and Ibadan local). The fruit pulp of T. cucume-rina was higher in carotenoid (2053.33 mg/100g), flavonoid (861.67 mg/100g), cardiac glycoside (11.67 mg/100g), alkaloids (93.33 mg/100g), lycopene (118.5 μg/100g), tannin (555.00 mg/100g), oxalate (2.55 mg/100g) and quercetin (5.25 mg/100g) than Roma VF and Ibadan local. However, Roma VF had the highest concentration of saponin (66.67 mg/100g) but there was no significant difference in steroid among the fruits. The Vitamins A, E and C contents of T. cucumerina (5346 μg/100g, 6.23 μg/100g and 25.33 μg/100g) were significantly higher (P &lt; 0.05) than those in S. lycopersicum. T. cucumerina had the highest values of crude protein and crude lipid (1.97% and 0.40%). The fruit pulp of T. cucumerina also had the highest ash and total carbohydrate contents (1.63% and 16.50%). Roma VF was significantly higher in crude fibre and moisture contents (1.77% and 89.40%) than other vegetables investigated. All the evaluated mineral elements (Na, K, Ca Mg, Zn, Fe, Mn, P and S) in T. cu-cumerina compared favourably with S. lycopersicum cultivars. It was observed that T. cucumerina pulp contained an appreciable number of nutrients and secondary metabolites which qualify it as a good substitute to S. lycopersicum.","author":[{"dropping-particle":"","family":"Ugbaja","given":"Clementina Chekwube","non-dropping-particle":"","parse-names":false,"suffix":""},{"dropping-particle":"","family":"Fawibe","given":"Oluwasegun Olamide","non-dropping-particle":"","parse-names":false,"suffix":""},{"dropping-particle":"","family":"Oyelakin","given":"Abiodun Sunday","non-dropping-particle":"","parse-names":false,"suffix":""},{"dropping-particle":"","family":"Fadimu","given":"Idris Olatoye","non-dropping-particle":"","parse-names":false,"suffix":""},{"dropping-particle":"","family":"Ajiboye","given":"Abiodun Akeem","non-dropping-particle":"","parse-names":false,"suffix":""},{"dropping-particle":"","family":"Agboola","given":"David Adejare","non-dropping-particle":"","parse-names":false,"suffix":""}],"container-title":"American Journal of Plant Sciences","id":"ITEM-1","issue":"02","issued":{"date-parts":[["2017"]]},"page":"297-309","title":"Comparative Phytochemical and Nutritional Composition of &amp;lt;i&amp;gt;Trichosanthes cucumerina&amp;lt;/i&amp;gt; (L.) and Some&amp;lt;i&amp;gt; Solanum lycopersicum &amp;lt;/i&amp;gt;(L.) Cultivars in Nigeria","type":"article-journal","volume":"08"},"uris":["http://www.mendeley.com/documents/?uuid=cef7ee44-07dc-4d98-b3e0-c96f49c5b63d"]}],"mendeley":{"formattedCitation":"(Ugbaja et al., 2017)","plainTextFormattedCitation":"(Ugbaja et al., 2017)","previouslyFormattedCitation":"(Ugbaja et al. 2017)"},"properties":{"noteIndex":0},"schema":"https://github.com/citation-style-language/schema/raw/master/csl-citation.json"}</w:instrText>
      </w:r>
      <w:r w:rsidRPr="00CD45C0">
        <w:rPr>
          <w:rFonts w:ascii="Arial" w:hAnsi="Arial" w:cs="Arial"/>
          <w:vertAlign w:val="superscript"/>
        </w:rPr>
        <w:fldChar w:fldCharType="separate"/>
      </w:r>
      <w:r w:rsidR="00E772A2" w:rsidRPr="00E772A2">
        <w:rPr>
          <w:rFonts w:ascii="Arial" w:hAnsi="Arial" w:cs="Arial"/>
          <w:bCs/>
          <w:noProof/>
        </w:rPr>
        <w:t>(Ugbaja et al., 2017)</w:t>
      </w:r>
      <w:r w:rsidRPr="00CD45C0">
        <w:rPr>
          <w:rFonts w:ascii="Arial" w:hAnsi="Arial" w:cs="Arial"/>
        </w:rPr>
        <w:fldChar w:fldCharType="end"/>
      </w:r>
      <w:r w:rsidRPr="00CD45C0">
        <w:rPr>
          <w:rFonts w:ascii="Arial" w:hAnsi="Arial" w:cs="Arial"/>
        </w:rPr>
        <w:t>.</w:t>
      </w:r>
    </w:p>
    <w:p w14:paraId="780393C8" w14:textId="2A45CC9F" w:rsidR="00CD45C0" w:rsidRPr="00CD45C0" w:rsidRDefault="00CD45C0" w:rsidP="00CD45C0">
      <w:pPr>
        <w:pStyle w:val="Body"/>
        <w:rPr>
          <w:rFonts w:ascii="Arial" w:hAnsi="Arial" w:cs="Arial"/>
          <w:b/>
          <w:sz w:val="22"/>
          <w:szCs w:val="22"/>
        </w:rPr>
      </w:pPr>
      <w:r w:rsidRPr="00CD45C0">
        <w:rPr>
          <w:rFonts w:ascii="Arial" w:hAnsi="Arial" w:cs="Arial"/>
          <w:b/>
          <w:sz w:val="22"/>
          <w:szCs w:val="22"/>
        </w:rPr>
        <w:t>2.5 DPPH (1, 1-diphenyl-2-picryl-hydrazyl) free radical-scavenging activity</w:t>
      </w:r>
    </w:p>
    <w:p w14:paraId="3C4945DC" w14:textId="7B8EFAE7" w:rsidR="00CD45C0" w:rsidRPr="00CD45C0" w:rsidRDefault="00CD45C0" w:rsidP="00CD45C0">
      <w:pPr>
        <w:pStyle w:val="Body"/>
        <w:rPr>
          <w:rFonts w:ascii="Arial" w:hAnsi="Arial" w:cs="Arial"/>
        </w:rPr>
      </w:pPr>
      <w:r w:rsidRPr="00CD45C0">
        <w:rPr>
          <w:rFonts w:ascii="Arial" w:hAnsi="Arial" w:cs="Arial"/>
        </w:rPr>
        <w:t xml:space="preserve">The Brand-Williams assay was used to measure the ability of a sample to scavenge the free radical 2,2-diphenyl-1-picryl </w:t>
      </w:r>
      <w:proofErr w:type="spellStart"/>
      <w:r w:rsidRPr="00CD45C0">
        <w:rPr>
          <w:rFonts w:ascii="Arial" w:hAnsi="Arial" w:cs="Arial"/>
        </w:rPr>
        <w:t>hydrazyl</w:t>
      </w:r>
      <w:proofErr w:type="spellEnd"/>
      <w:r w:rsidRPr="00CD45C0">
        <w:rPr>
          <w:rFonts w:ascii="Arial" w:hAnsi="Arial" w:cs="Arial"/>
        </w:rPr>
        <w:t xml:space="preserve"> (DPPH) </w:t>
      </w:r>
      <w:r w:rsidRPr="00CD45C0">
        <w:rPr>
          <w:rFonts w:ascii="Arial" w:hAnsi="Arial" w:cs="Arial"/>
          <w:vertAlign w:val="superscript"/>
        </w:rPr>
        <w:fldChar w:fldCharType="begin" w:fldLock="1"/>
      </w:r>
      <w:r w:rsidR="00E772A2">
        <w:rPr>
          <w:rFonts w:ascii="Arial" w:hAnsi="Arial" w:cs="Arial"/>
        </w:rPr>
        <w:instrText>ADDIN CSL_CITATION {"citationItems":[{"id":"ITEM-1","itemData":{"DOI":"10.1016/S0023-6438(95)80008-5","ISSN":"00236438","abstract":"The antiradical activities of various antioxidants were determined using the free radical, 2,2-Diphenyl-1-picrylhydrazyl (DPPH*). In its radical form. DPPH* has an absorption band at 515 nm which dissappears upon reduction by an antiradical compound. Twenty compounds were reacted with the DPPH* and shown to follow one of three possible reaction kinetic types. Ascorbic acid, isoascorbic acid and isoeugenol reacted quickly with the DPPH* reaching a steady state immediately. Rosmarinic acid and δ-tocopherol reacted a little slower and reached a steady state within 30 min. The remaining compounds reacted more progressively with the DPPH* reaching a steady state from 1 to 6 h. Caffeic acid, gentisic acid and gallic acid showed the highest antiradical activities with a stoichiometry of 4 to 6 reduced DPPH* molecules per molecule of antioxidant. Vanillin, phenol, γ-resorcylic acid and vanillic acid were found to be poor antiradical compounds. The stoichiometry for the other 13 phenolic compounds varied from one to three reduced DPPH* molecules per molecule of antioxidant. Possible mechanisms are proposed to explain the experimental results. © 1995 Academic Press Limited.","author":[{"dropping-particle":"","family":"Brand-Williams","given":"W.","non-dropping-particle":"","parse-names":false,"suffix":""},{"dropping-particle":"","family":"Cuvelier","given":"M. E.","non-dropping-particle":"","parse-names":false,"suffix":""},{"dropping-particle":"","family":"Berset","given":"C.","non-dropping-particle":"","parse-names":false,"suffix":""}],"container-title":"LWT - Food Science and Technology","id":"ITEM-1","issue":"1","issued":{"date-parts":[["1995"]]},"page":"25-30","title":"Use of a free radical method to evaluate antioxidant activity","type":"article-journal","volume":"28"},"uris":["http://www.mendeley.com/documents/?uuid=814ae018-b9ab-4c15-b746-026cd65ea174"]}],"mendeley":{"formattedCitation":"(Brand-Williams et al., 1995)","plainTextFormattedCitation":"(Brand-Williams et al., 1995)","previouslyFormattedCitation":"(Brand-Williams, Cuvelier, and Berset 1995)"},"properties":{"noteIndex":0},"schema":"https://github.com/citation-style-language/schema/raw/master/csl-citation.json"}</w:instrText>
      </w:r>
      <w:r w:rsidRPr="00CD45C0">
        <w:rPr>
          <w:rFonts w:ascii="Arial" w:hAnsi="Arial" w:cs="Arial"/>
          <w:vertAlign w:val="superscript"/>
        </w:rPr>
        <w:fldChar w:fldCharType="separate"/>
      </w:r>
      <w:r w:rsidR="00E772A2" w:rsidRPr="00E772A2">
        <w:rPr>
          <w:rFonts w:ascii="Arial" w:hAnsi="Arial" w:cs="Arial"/>
          <w:bCs/>
          <w:noProof/>
        </w:rPr>
        <w:t>(Brand-Williams et al., 1995)</w:t>
      </w:r>
      <w:r w:rsidRPr="00CD45C0">
        <w:rPr>
          <w:rFonts w:ascii="Arial" w:hAnsi="Arial" w:cs="Arial"/>
        </w:rPr>
        <w:fldChar w:fldCharType="end"/>
      </w:r>
      <w:r w:rsidRPr="00CD45C0">
        <w:rPr>
          <w:rFonts w:ascii="Arial" w:hAnsi="Arial" w:cs="Arial"/>
        </w:rPr>
        <w:t xml:space="preserve">. MEORL extract was diluted with methanol at various concentrations (500, 250, 125, 62.5, 31.25, and 15.625 </w:t>
      </w:r>
      <w:proofErr w:type="spellStart"/>
      <w:r w:rsidRPr="00CD45C0">
        <w:rPr>
          <w:rFonts w:ascii="Arial" w:hAnsi="Arial" w:cs="Arial"/>
        </w:rPr>
        <w:t>μg</w:t>
      </w:r>
      <w:proofErr w:type="spellEnd"/>
      <w:r w:rsidRPr="00CD45C0">
        <w:rPr>
          <w:rFonts w:ascii="Arial" w:hAnsi="Arial" w:cs="Arial"/>
        </w:rPr>
        <w:t>/ml). Then, 3 ml of DPPH-containing methanol solution (0.004% w/v) was added to each test tube. The percentage inhibitory activity was determined by measuring the absorbance at 517 nm after 30 minutes, comparing it to a blank, and employing the following equation:</w:t>
      </w:r>
    </w:p>
    <w:p w14:paraId="6209D978" w14:textId="77777777" w:rsidR="00CD45C0" w:rsidRPr="00CD45C0" w:rsidRDefault="00CD45C0" w:rsidP="00CD45C0">
      <w:pPr>
        <w:pStyle w:val="Body"/>
        <w:rPr>
          <w:rFonts w:ascii="Arial" w:hAnsi="Arial" w:cs="Arial"/>
        </w:rPr>
      </w:pPr>
      <w:r w:rsidRPr="00CD45C0">
        <w:rPr>
          <w:rFonts w:ascii="Arial" w:hAnsi="Arial" w:cs="Arial"/>
        </w:rPr>
        <w:t xml:space="preserve">   % of inhibition=[(A0-A1)/A0] × 100…………………………. (1)</w:t>
      </w:r>
    </w:p>
    <w:p w14:paraId="2EE8B48D" w14:textId="77777777" w:rsidR="00CD45C0" w:rsidRPr="00CD45C0" w:rsidRDefault="00CD45C0" w:rsidP="00CD45C0">
      <w:pPr>
        <w:pStyle w:val="Body"/>
        <w:rPr>
          <w:rFonts w:ascii="Arial" w:hAnsi="Arial" w:cs="Arial"/>
        </w:rPr>
      </w:pPr>
      <w:r w:rsidRPr="00CD45C0">
        <w:rPr>
          <w:rFonts w:ascii="Arial" w:hAnsi="Arial" w:cs="Arial"/>
        </w:rPr>
        <w:lastRenderedPageBreak/>
        <w:t>Where, A0 represents the reference absorbance and A1 represents the sample absorbance.</w:t>
      </w:r>
    </w:p>
    <w:p w14:paraId="3063448A" w14:textId="77777777" w:rsidR="00CD45C0" w:rsidRPr="00CD45C0" w:rsidRDefault="00CD45C0" w:rsidP="00CD45C0">
      <w:pPr>
        <w:pStyle w:val="Body"/>
        <w:rPr>
          <w:rFonts w:ascii="Arial" w:hAnsi="Arial" w:cs="Arial"/>
        </w:rPr>
      </w:pPr>
      <w:r w:rsidRPr="00CD45C0">
        <w:rPr>
          <w:rFonts w:ascii="Arial" w:hAnsi="Arial" w:cs="Arial"/>
        </w:rPr>
        <w:t>Ascorbic acid was dissolved using methanol to create the stock solution with the identical concentration. This was done so that it could be used as a reference standard. The test sample and the control sample both have the same volume, but the control sample does not include any extract or reference medication. Methanol was used as a control substance. After preparing the inhibition curves and using linear regression analysis, the values for the half maximum inhibitory concentration (IC</w:t>
      </w:r>
      <w:r w:rsidRPr="00CD45C0">
        <w:rPr>
          <w:rFonts w:ascii="Arial" w:hAnsi="Arial" w:cs="Arial"/>
          <w:vertAlign w:val="subscript"/>
        </w:rPr>
        <w:t>50</w:t>
      </w:r>
      <w:r w:rsidRPr="00CD45C0">
        <w:rPr>
          <w:rFonts w:ascii="Arial" w:hAnsi="Arial" w:cs="Arial"/>
        </w:rPr>
        <w:t>) were determined.</w:t>
      </w:r>
    </w:p>
    <w:p w14:paraId="6B492843" w14:textId="37C9FA82" w:rsidR="00CD45C0" w:rsidRPr="00CD45C0" w:rsidRDefault="00CD45C0" w:rsidP="00CD45C0">
      <w:pPr>
        <w:pStyle w:val="Body"/>
        <w:rPr>
          <w:rFonts w:ascii="Arial" w:hAnsi="Arial" w:cs="Arial"/>
          <w:b/>
          <w:sz w:val="22"/>
          <w:szCs w:val="22"/>
        </w:rPr>
      </w:pPr>
      <w:r w:rsidRPr="00CD45C0">
        <w:rPr>
          <w:rFonts w:ascii="Arial" w:hAnsi="Arial" w:cs="Arial"/>
          <w:b/>
          <w:sz w:val="22"/>
          <w:szCs w:val="22"/>
        </w:rPr>
        <w:t>2.6 Brine Shrimp lethality bioassay</w:t>
      </w:r>
    </w:p>
    <w:p w14:paraId="709A9324" w14:textId="6CE7AFF3" w:rsidR="00CD45C0" w:rsidRPr="00CD45C0" w:rsidRDefault="00CD45C0" w:rsidP="00CD45C0">
      <w:pPr>
        <w:pStyle w:val="Body"/>
        <w:rPr>
          <w:rFonts w:ascii="Arial" w:hAnsi="Arial" w:cs="Arial"/>
        </w:rPr>
      </w:pPr>
      <w:r w:rsidRPr="00CD45C0">
        <w:rPr>
          <w:rFonts w:ascii="Arial" w:hAnsi="Arial" w:cs="Arial"/>
        </w:rPr>
        <w:t xml:space="preserve">The brine shrimp lethality assay was used to determine the extract's cytotoxicity </w:t>
      </w:r>
      <w:r w:rsidRPr="00CD45C0">
        <w:rPr>
          <w:rFonts w:ascii="Arial" w:hAnsi="Arial" w:cs="Arial"/>
          <w:vertAlign w:val="superscript"/>
        </w:rPr>
        <w:fldChar w:fldCharType="begin" w:fldLock="1"/>
      </w:r>
      <w:r w:rsidR="00E772A2">
        <w:rPr>
          <w:rFonts w:ascii="Arial" w:hAnsi="Arial" w:cs="Arial"/>
        </w:rPr>
        <w:instrText>ADDIN CSL_CITATION {"citationItems":[{"id":"ITEM-1","itemData":{"DOI":"10.1055/s-2007-971236","ISSN":"00320943","PMID":"7100305","author":[{"dropping-particle":"","family":"Meyer","given":"B. N.","non-dropping-particle":"","parse-names":false,"suffix":""},{"dropping-particle":"","family":"Ferrigni","given":"N. R.","non-dropping-particle":"","parse-names":false,"suffix":""},{"dropping-particle":"","family":"Putnam","given":"J. E.","non-dropping-particle":"","parse-names":false,"suffix":""},{"dropping-particle":"","family":"Jacobsen","given":"L. B.","non-dropping-particle":"","parse-names":false,"suffix":""},{"dropping-particle":"","family":"Nichols","given":"D. E.","non-dropping-particle":"","parse-names":false,"suffix":""},{"dropping-particle":"","family":"McLaughlin","given":"J. L.","non-dropping-particle":"","parse-names":false,"suffix":""}],"container-title":"Planta Medica","id":"ITEM-1","issue":"1","issued":{"date-parts":[["1982"]]},"page":"31-34","title":"Brine shrimp: A convenient general bioassay for active plant constituents","type":"article-journal","volume":"45"},"uris":["http://www.mendeley.com/documents/?uuid=7547934f-3e71-4fb9-a3be-98557210f7bc"]}],"mendeley":{"formattedCitation":"(Meyer et al., 1982)","plainTextFormattedCitation":"(Meyer et al., 1982)","previouslyFormattedCitation":"(Meyer et al. 1982)"},"properties":{"noteIndex":0},"schema":"https://github.com/citation-style-language/schema/raw/master/csl-citation.json"}</w:instrText>
      </w:r>
      <w:r w:rsidRPr="00CD45C0">
        <w:rPr>
          <w:rFonts w:ascii="Arial" w:hAnsi="Arial" w:cs="Arial"/>
          <w:vertAlign w:val="superscript"/>
        </w:rPr>
        <w:fldChar w:fldCharType="separate"/>
      </w:r>
      <w:r w:rsidR="00E772A2" w:rsidRPr="00E772A2">
        <w:rPr>
          <w:rFonts w:ascii="Arial" w:hAnsi="Arial" w:cs="Arial"/>
          <w:bCs/>
          <w:noProof/>
        </w:rPr>
        <w:t>(Meyer et al., 1982)</w:t>
      </w:r>
      <w:r w:rsidRPr="00CD45C0">
        <w:rPr>
          <w:rFonts w:ascii="Arial" w:hAnsi="Arial" w:cs="Arial"/>
        </w:rPr>
        <w:fldChar w:fldCharType="end"/>
      </w:r>
      <w:r w:rsidRPr="00CD45C0">
        <w:rPr>
          <w:rFonts w:ascii="Arial" w:hAnsi="Arial" w:cs="Arial"/>
        </w:rPr>
        <w:t xml:space="preserve">. Filtering a solution of 38 g of NaCl (3.8% concentration) dissolved in 1000 ml of distilled water yielded transparent artificial sea water. Dry brine shrimp cysts were submerged in oxygenated artificial sea water for 48 hours to facilitate hatching. Concentrations of 31.25,62.5,125, 250, 500, and 1000 </w:t>
      </w:r>
      <w:proofErr w:type="spellStart"/>
      <w:r w:rsidRPr="00CD45C0">
        <w:rPr>
          <w:rFonts w:ascii="Arial" w:hAnsi="Arial" w:cs="Arial"/>
        </w:rPr>
        <w:t>μg</w:t>
      </w:r>
      <w:proofErr w:type="spellEnd"/>
      <w:r w:rsidRPr="00CD45C0">
        <w:rPr>
          <w:rFonts w:ascii="Arial" w:hAnsi="Arial" w:cs="Arial"/>
        </w:rPr>
        <w:t xml:space="preserve">/ml were achieved in 5 ml artificial sea water with 10 nauplii in each test tube after dissolving methanol extract in sea water with DMSO (&lt;0.01%). Vincristine sulphate (VCS), a reference medication, was utilized at 10, 5, 2.5, 1.25, 0.625, and 0.312 </w:t>
      </w:r>
      <w:proofErr w:type="spellStart"/>
      <w:r w:rsidRPr="00CD45C0">
        <w:rPr>
          <w:rFonts w:ascii="Arial" w:hAnsi="Arial" w:cs="Arial"/>
        </w:rPr>
        <w:t>μg</w:t>
      </w:r>
      <w:proofErr w:type="spellEnd"/>
      <w:r w:rsidRPr="00CD45C0">
        <w:rPr>
          <w:rFonts w:ascii="Arial" w:hAnsi="Arial" w:cs="Arial"/>
        </w:rPr>
        <w:t xml:space="preserve">/ml concentrations as a positive control. In each pre-designated petri dish marked beforehand, 100 </w:t>
      </w:r>
      <w:proofErr w:type="spellStart"/>
      <w:r w:rsidRPr="00CD45C0">
        <w:rPr>
          <w:rFonts w:ascii="Arial" w:hAnsi="Arial" w:cs="Arial"/>
        </w:rPr>
        <w:t>μl</w:t>
      </w:r>
      <w:proofErr w:type="spellEnd"/>
      <w:r w:rsidRPr="00CD45C0">
        <w:rPr>
          <w:rFonts w:ascii="Arial" w:hAnsi="Arial" w:cs="Arial"/>
        </w:rPr>
        <w:t xml:space="preserve"> of DMSO was introduced, along with 5 ml of simulated sea water and 10 shrimp nauplii, serving as control groups. A magnifying lens was used to count the number of live nauplii after a 24-hour incubation period at 25–30°C. The following formula was used to get the mortality percentage (%):</w:t>
      </w:r>
    </w:p>
    <w:p w14:paraId="750BAF35" w14:textId="77777777" w:rsidR="00CD45C0" w:rsidRPr="00CD45C0" w:rsidRDefault="00CD45C0" w:rsidP="00CD45C0">
      <w:pPr>
        <w:pStyle w:val="Body"/>
        <w:rPr>
          <w:rFonts w:ascii="Arial" w:hAnsi="Arial" w:cs="Arial"/>
        </w:rPr>
      </w:pPr>
      <w:r w:rsidRPr="00CD45C0">
        <w:rPr>
          <w:rFonts w:ascii="Arial" w:hAnsi="Arial" w:cs="Arial"/>
        </w:rPr>
        <w:t>%Mortality= (</w:t>
      </w:r>
      <w:proofErr w:type="spellStart"/>
      <w:r w:rsidRPr="00CD45C0">
        <w:rPr>
          <w:rFonts w:ascii="Arial" w:hAnsi="Arial" w:cs="Arial"/>
        </w:rPr>
        <w:t>Nt</w:t>
      </w:r>
      <w:proofErr w:type="spellEnd"/>
      <w:r w:rsidRPr="00CD45C0">
        <w:rPr>
          <w:rFonts w:ascii="Arial" w:hAnsi="Arial" w:cs="Arial"/>
        </w:rPr>
        <w:t>/N</w:t>
      </w:r>
      <w:r w:rsidRPr="00CD45C0">
        <w:rPr>
          <w:rFonts w:ascii="Arial" w:hAnsi="Arial" w:cs="Arial"/>
          <w:vertAlign w:val="subscript"/>
        </w:rPr>
        <w:t>0</w:t>
      </w:r>
      <w:r w:rsidRPr="00CD45C0">
        <w:rPr>
          <w:rFonts w:ascii="Arial" w:hAnsi="Arial" w:cs="Arial"/>
        </w:rPr>
        <w:t>) ×100……………………. (2)</w:t>
      </w:r>
    </w:p>
    <w:p w14:paraId="5C4D6A14" w14:textId="77777777" w:rsidR="00CD45C0" w:rsidRPr="00CD45C0" w:rsidRDefault="00CD45C0" w:rsidP="00CD45C0">
      <w:pPr>
        <w:pStyle w:val="Body"/>
        <w:rPr>
          <w:rFonts w:ascii="Arial" w:hAnsi="Arial" w:cs="Arial"/>
        </w:rPr>
      </w:pPr>
      <w:r w:rsidRPr="00CD45C0">
        <w:rPr>
          <w:rFonts w:ascii="Arial" w:hAnsi="Arial" w:cs="Arial"/>
        </w:rPr>
        <w:t xml:space="preserve">Where, </w:t>
      </w:r>
      <w:proofErr w:type="spellStart"/>
      <w:r w:rsidRPr="00CD45C0">
        <w:rPr>
          <w:rFonts w:ascii="Arial" w:hAnsi="Arial" w:cs="Arial"/>
        </w:rPr>
        <w:t>Nt</w:t>
      </w:r>
      <w:proofErr w:type="spellEnd"/>
      <w:r w:rsidRPr="00CD45C0">
        <w:rPr>
          <w:rFonts w:ascii="Arial" w:hAnsi="Arial" w:cs="Arial"/>
        </w:rPr>
        <w:t xml:space="preserve"> = Number of nauplii that failed to survive incubation for 24 hours, and N</w:t>
      </w:r>
      <w:r w:rsidRPr="00CD45C0">
        <w:rPr>
          <w:rFonts w:ascii="Arial" w:hAnsi="Arial" w:cs="Arial"/>
          <w:vertAlign w:val="subscript"/>
        </w:rPr>
        <w:t>0</w:t>
      </w:r>
      <w:r w:rsidRPr="00CD45C0">
        <w:rPr>
          <w:rFonts w:ascii="Arial" w:hAnsi="Arial" w:cs="Arial"/>
        </w:rPr>
        <w:t xml:space="preserve"> = Total number of nauplii transferred (n=10). After that, we calculated the LC</w:t>
      </w:r>
      <w:r w:rsidRPr="00CD45C0">
        <w:rPr>
          <w:rFonts w:ascii="Arial" w:hAnsi="Arial" w:cs="Arial"/>
          <w:vertAlign w:val="subscript"/>
        </w:rPr>
        <w:t>50</w:t>
      </w:r>
      <w:r w:rsidRPr="00CD45C0">
        <w:rPr>
          <w:rFonts w:ascii="Arial" w:hAnsi="Arial" w:cs="Arial"/>
        </w:rPr>
        <w:t xml:space="preserve"> or the median lethal concentration.</w:t>
      </w:r>
    </w:p>
    <w:p w14:paraId="20EB7BC7" w14:textId="05E371B9" w:rsidR="00CD45C0" w:rsidRPr="00CD45C0" w:rsidRDefault="00CD45C0" w:rsidP="00CD45C0">
      <w:pPr>
        <w:pStyle w:val="Body"/>
        <w:rPr>
          <w:rFonts w:ascii="Arial" w:hAnsi="Arial" w:cs="Arial"/>
          <w:b/>
          <w:sz w:val="22"/>
          <w:szCs w:val="22"/>
        </w:rPr>
      </w:pPr>
      <w:r w:rsidRPr="00CD45C0">
        <w:rPr>
          <w:rFonts w:ascii="Arial" w:hAnsi="Arial" w:cs="Arial"/>
          <w:b/>
          <w:sz w:val="22"/>
          <w:szCs w:val="22"/>
        </w:rPr>
        <w:t>2.7 Inhibition of protein denaturation</w:t>
      </w:r>
    </w:p>
    <w:p w14:paraId="04F83419" w14:textId="217FCF22" w:rsidR="00CD45C0" w:rsidRPr="00CD45C0" w:rsidRDefault="00CD45C0" w:rsidP="00CD45C0">
      <w:pPr>
        <w:pStyle w:val="Body"/>
        <w:spacing w:after="0"/>
        <w:rPr>
          <w:rFonts w:ascii="Arial" w:hAnsi="Arial" w:cs="Arial"/>
        </w:rPr>
      </w:pPr>
      <w:r w:rsidRPr="00CD45C0">
        <w:rPr>
          <w:rFonts w:ascii="Arial" w:hAnsi="Arial" w:cs="Arial"/>
        </w:rPr>
        <w:t>The anti-inflammatory effectiveness of MEORL was assessed using a methodology akin to a previously described one, with minor adjustments.</w:t>
      </w:r>
      <w:r w:rsidRPr="00CD45C0">
        <w:rPr>
          <w:rFonts w:ascii="Arial" w:hAnsi="Arial" w:cs="Arial"/>
          <w:vertAlign w:val="superscript"/>
        </w:rPr>
        <w:fldChar w:fldCharType="begin" w:fldLock="1"/>
      </w:r>
      <w:r w:rsidR="00E772A2">
        <w:rPr>
          <w:rFonts w:ascii="Arial" w:hAnsi="Arial" w:cs="Arial"/>
        </w:rPr>
        <w:instrText>ADDIN CSL_CITATION {"citationItems":[{"id":"ITEM-1","itemData":{"DOI":"10.1016/j.heliyon.2020.e04061","ISSN":"24058440","abstract":"Cycas pectinata; Antioxidant; Anxiolytic; Analgesic; Anti-inflammatory; Plant biology; Bioinformatics; Pharmaceutical science; Alternative medicine; Evidence-based medicine","author":[{"dropping-particle":"","family":"Tareq","given":"Abu Montakim","non-dropping-particle":"","parse-names":false,"suffix":""},{"dropping-particle":"","family":"Farhad","given":"Saifuddin","non-dropping-particle":"","parse-names":false,"suffix":""},{"dropping-particle":"","family":"Neshar Uddin","given":"A. B.M.","non-dropping-particle":"","parse-names":false,"suffix":""},{"dropping-particle":"","family":"Hoque","given":"Muminul","non-dropping-particle":"","parse-names":false,"suffix":""},{"dropping-particle":"","family":"Nasrin","given":"Mst Samima","non-dropping-particle":"","parse-names":false,"suffix":""},{"dropping-particle":"","family":"Uddin","given":"Mir Md Rokib","non-dropping-particle":"","parse-names":false,"suffix":""},{"dropping-particle":"","family":"Hasan","given":"Mohiminul","non-dropping-particle":"","parse-names":false,"suffix":""},{"dropping-particle":"","family":"Sultana","given":"Arafat","non-dropping-particle":"","parse-names":false,"suffix":""},{"dropping-particle":"","family":"Munira","given":"Mst Shirajum","non-dropping-particle":"","parse-names":false,"suffix":""},{"dropping-particle":"","family":"Lyzu","given":"Chadni","non-dropping-particle":"","parse-names":false,"suffix":""},{"dropping-particle":"","family":"Moazzem Hossen","given":"S. M.","non-dropping-particle":"","parse-names":false,"suffix":""},{"dropping-particle":"","family":"Ali Reza","given":"A. S.M.","non-dropping-particle":"","parse-names":false,"suffix":""},{"dropping-particle":"Bin","family":"Emran","given":"Talha","non-dropping-particle":"","parse-names":false,"suffix":""}],"container-title":"Heliyon","id":"ITEM-1","issue":"6","issued":{"date-parts":[["2020"]]},"page":"e04061","publisher":"Elsevier Ltd","title":"Chemical profiles, pharmacological properties, and in silico studies provide new insights on Cycas pectinata","type":"article-journal","volume":"6"},"uris":["http://www.mendeley.com/documents/?uuid=1bff6863-2ce1-4faf-a66b-572201552482"]}],"mendeley":{"formattedCitation":"(Tareq et al., 2020)","plainTextFormattedCitation":"(Tareq et al., 2020)","previouslyFormattedCitation":"(Tareq et al. 2020)"},"properties":{"noteIndex":0},"schema":"https://github.com/citation-style-language/schema/raw/master/csl-citation.json"}</w:instrText>
      </w:r>
      <w:r w:rsidRPr="00CD45C0">
        <w:rPr>
          <w:rFonts w:ascii="Arial" w:hAnsi="Arial" w:cs="Arial"/>
          <w:vertAlign w:val="superscript"/>
        </w:rPr>
        <w:fldChar w:fldCharType="separate"/>
      </w:r>
      <w:r w:rsidR="00E772A2" w:rsidRPr="00E772A2">
        <w:rPr>
          <w:rFonts w:ascii="Arial" w:hAnsi="Arial" w:cs="Arial"/>
          <w:bCs/>
          <w:noProof/>
        </w:rPr>
        <w:t>(Tareq et al., 2020)</w:t>
      </w:r>
      <w:r w:rsidRPr="00CD45C0">
        <w:rPr>
          <w:rFonts w:ascii="Arial" w:hAnsi="Arial" w:cs="Arial"/>
        </w:rPr>
        <w:fldChar w:fldCharType="end"/>
      </w:r>
      <w:r w:rsidRPr="00CD45C0">
        <w:rPr>
          <w:rFonts w:ascii="Arial" w:hAnsi="Arial" w:cs="Arial"/>
        </w:rPr>
        <w:t>. 0.05 mL of test samples and 0.45 mL of a 5% w/v aqueous albumin solution made up the 0.5 mL test solution. For the test, the 0.5 mL control solution was made up of 0.45 mL of albumin solution (5% w/v aqueous solution) and 0.05 mL of distilled water. 100 mL of distilled water were used to dissolve 5 gm of albumin, yielding a 5% albumin solution. Both MEORL and diclofenac-Na were acquired at various concentrations through serial dilution (31.25, 62.5, 125, 250, 500, and 1000 µg/ml). Every solution was brought to a pH of 6.3 using 1N HCl. The samples underwent a 20-minute incubation period at 37°C, followed by an additional 30 minutes at 57°C. Following the incubations, 2.5 ml of phosphate buffer was added to the solutions that had been allowed to cool. The absorbance was measured with a UV spectrophotometer using a wavelength of 416 nm. Except for the extract, all of the reagents were present in the solution that served as the blank.</w:t>
      </w:r>
    </w:p>
    <w:p w14:paraId="40F35C67" w14:textId="77777777" w:rsidR="00CD45C0" w:rsidRPr="00CD45C0" w:rsidRDefault="00CD45C0" w:rsidP="00CD45C0">
      <w:pPr>
        <w:pStyle w:val="Body"/>
        <w:rPr>
          <w:rFonts w:ascii="Arial" w:hAnsi="Arial" w:cs="Arial"/>
          <w:b/>
        </w:rPr>
      </w:pPr>
      <w:r w:rsidRPr="00CD45C0">
        <w:rPr>
          <w:rFonts w:ascii="Arial" w:hAnsi="Arial" w:cs="Arial"/>
        </w:rPr>
        <w:t>As shown in Equation 5, we were able to determine what percentage of protein denaturation inhibition we achieved.</w:t>
      </w:r>
    </w:p>
    <w:p w14:paraId="532CB388" w14:textId="77777777" w:rsidR="00CD45C0" w:rsidRPr="00CD45C0" w:rsidRDefault="00CD45C0" w:rsidP="00CD45C0">
      <w:pPr>
        <w:pStyle w:val="Body"/>
        <w:rPr>
          <w:rFonts w:ascii="Arial" w:hAnsi="Arial" w:cs="Arial"/>
        </w:rPr>
      </w:pPr>
      <w:r w:rsidRPr="00CD45C0">
        <w:rPr>
          <w:rFonts w:ascii="Arial" w:hAnsi="Arial" w:cs="Arial"/>
        </w:rPr>
        <w:t>(%) Inhibition of protein denaturation = [(Ac - As) / Ac] × 100…………………… (3)</w:t>
      </w:r>
    </w:p>
    <w:p w14:paraId="74F0599F" w14:textId="77777777" w:rsidR="00CD45C0" w:rsidRPr="00CD45C0" w:rsidRDefault="00CD45C0" w:rsidP="00CD45C0">
      <w:pPr>
        <w:pStyle w:val="Body"/>
        <w:rPr>
          <w:rFonts w:ascii="Arial" w:hAnsi="Arial" w:cs="Arial"/>
        </w:rPr>
      </w:pPr>
      <w:r w:rsidRPr="00CD45C0">
        <w:rPr>
          <w:rFonts w:ascii="Arial" w:hAnsi="Arial" w:cs="Arial"/>
        </w:rPr>
        <w:t>Where, Ac= absorbance of control and As =absorbance of sample.</w:t>
      </w:r>
    </w:p>
    <w:p w14:paraId="43AB1436" w14:textId="444DFBFC" w:rsidR="00CD45C0" w:rsidRPr="00CD45C0" w:rsidRDefault="00CD45C0" w:rsidP="00CD45C0">
      <w:pPr>
        <w:pStyle w:val="Body"/>
        <w:rPr>
          <w:rFonts w:ascii="Arial" w:hAnsi="Arial" w:cs="Arial"/>
          <w:b/>
          <w:iCs/>
          <w:sz w:val="22"/>
          <w:szCs w:val="22"/>
        </w:rPr>
      </w:pPr>
      <w:r w:rsidRPr="00CD45C0">
        <w:rPr>
          <w:rFonts w:ascii="Arial" w:hAnsi="Arial" w:cs="Arial"/>
          <w:b/>
          <w:iCs/>
          <w:sz w:val="22"/>
          <w:szCs w:val="22"/>
        </w:rPr>
        <w:t>2.8 Molecular docking study</w:t>
      </w:r>
    </w:p>
    <w:p w14:paraId="15332161" w14:textId="53D50874" w:rsidR="00CD45C0" w:rsidRPr="00CD45C0" w:rsidRDefault="00CD45C0" w:rsidP="00CD45C0">
      <w:pPr>
        <w:pStyle w:val="Body"/>
        <w:rPr>
          <w:rFonts w:ascii="Arial" w:hAnsi="Arial" w:cs="Arial"/>
          <w:b/>
          <w:u w:val="single"/>
        </w:rPr>
      </w:pPr>
      <w:r w:rsidRPr="00CD45C0">
        <w:rPr>
          <w:rFonts w:ascii="Arial" w:hAnsi="Arial" w:cs="Arial"/>
          <w:b/>
          <w:u w:val="single"/>
        </w:rPr>
        <w:lastRenderedPageBreak/>
        <w:t>2.8.1 Ligand preparation</w:t>
      </w:r>
    </w:p>
    <w:p w14:paraId="65943DD5" w14:textId="19029F94" w:rsidR="00CD45C0" w:rsidRDefault="00CD45C0" w:rsidP="00CD45C0">
      <w:pPr>
        <w:pStyle w:val="Body"/>
        <w:rPr>
          <w:rFonts w:ascii="Arial" w:hAnsi="Arial" w:cs="Arial"/>
        </w:rPr>
      </w:pPr>
      <w:r w:rsidRPr="00CD45C0">
        <w:rPr>
          <w:rFonts w:ascii="Arial" w:hAnsi="Arial" w:cs="Arial"/>
        </w:rPr>
        <w:t>Based on a literature search, we pick to conduct m</w:t>
      </w:r>
      <w:r w:rsidRPr="00CD45C0">
        <w:rPr>
          <w:rFonts w:ascii="Arial" w:hAnsi="Arial" w:cs="Arial"/>
          <w:bCs/>
        </w:rPr>
        <w:t xml:space="preserve">olecular docking research 4 </w:t>
      </w:r>
      <w:r w:rsidRPr="00CD45C0">
        <w:rPr>
          <w:rFonts w:ascii="Arial" w:hAnsi="Arial" w:cs="Arial"/>
        </w:rPr>
        <w:t xml:space="preserve"> different biological components found namely </w:t>
      </w:r>
      <w:proofErr w:type="spellStart"/>
      <w:r w:rsidRPr="00CD45C0">
        <w:rPr>
          <w:rFonts w:ascii="Arial" w:hAnsi="Arial" w:cs="Arial"/>
        </w:rPr>
        <w:t>Betulinic</w:t>
      </w:r>
      <w:proofErr w:type="spellEnd"/>
      <w:r w:rsidRPr="00CD45C0">
        <w:rPr>
          <w:rFonts w:ascii="Arial" w:hAnsi="Arial" w:cs="Arial"/>
        </w:rPr>
        <w:t xml:space="preserve"> acid (PubChem CID: 64971), Lupeol (PubChem CID: 259846), Warangalone (PubChem CID: 5379679) and Euchrenone b8 (PubChem CID: 14704591) in </w:t>
      </w:r>
      <w:r w:rsidRPr="00CD45C0">
        <w:rPr>
          <w:rFonts w:ascii="Arial" w:hAnsi="Arial" w:cs="Arial"/>
          <w:i/>
          <w:iCs/>
        </w:rPr>
        <w:t>O. robusta</w:t>
      </w:r>
      <w:r w:rsidRPr="00CD45C0">
        <w:rPr>
          <w:rFonts w:ascii="Arial" w:hAnsi="Arial" w:cs="Arial"/>
        </w:rPr>
        <w:t xml:space="preserve"> leaf extract based on the literature review </w:t>
      </w:r>
      <w:r w:rsidRPr="00CD45C0">
        <w:rPr>
          <w:rFonts w:ascii="Arial" w:hAnsi="Arial" w:cs="Arial"/>
          <w:vertAlign w:val="superscript"/>
        </w:rPr>
        <w:fldChar w:fldCharType="begin" w:fldLock="1"/>
      </w:r>
      <w:r w:rsidR="00E772A2">
        <w:rPr>
          <w:rFonts w:ascii="Arial" w:hAnsi="Arial" w:cs="Arial"/>
        </w:rPr>
        <w:instrText>ADDIN CSL_CITATION {"citationItems":[{"id":"ITEM-1","itemData":{"author":[{"dropping-particle":"","family":"Ahmed","given":"Kh Tanvir","non-dropping-particle":"","parse-names":false,"suffix":""},{"dropping-particle":"","family":"Haque","given":"Mohammad Rashedul","non-dropping-particle":"","parse-names":false,"suffix":""},{"dropping-particle":"","family":"Ahsan","given":"Monira","non-dropping-particle":"","parse-names":false,"suffix":""}],"container-title":"American Journal of Pharmtech Research","id":"ITEM-1","issue":"November 2012","issued":{"date-parts":[["2013"]]},"page":"1-8","title":"Isoflavones from the Bark of Ormosia robusta ( Fabaceae ) baker .","type":"article-journal","volume":"3"},"uris":["http://www.mendeley.com/documents/?uuid=013dd8a2-bda6-45b0-a348-e1b631be398e"]}],"mendeley":{"formattedCitation":"(K. T. Ahmed et al., 2013)","plainTextFormattedCitation":"(K. T. Ahmed et al., 2013)","previouslyFormattedCitation":"(Ahmed, Haque, and Ahsan 2013)"},"properties":{"noteIndex":0},"schema":"https://github.com/citation-style-language/schema/raw/master/csl-citation.json"}</w:instrText>
      </w:r>
      <w:r w:rsidRPr="00CD45C0">
        <w:rPr>
          <w:rFonts w:ascii="Arial" w:hAnsi="Arial" w:cs="Arial"/>
          <w:vertAlign w:val="superscript"/>
        </w:rPr>
        <w:fldChar w:fldCharType="separate"/>
      </w:r>
      <w:r w:rsidR="00E772A2" w:rsidRPr="00E772A2">
        <w:rPr>
          <w:rFonts w:ascii="Arial" w:hAnsi="Arial" w:cs="Arial"/>
          <w:noProof/>
        </w:rPr>
        <w:t>(K. T. Ahmed et al., 2013)</w:t>
      </w:r>
      <w:r w:rsidRPr="00CD45C0">
        <w:rPr>
          <w:rFonts w:ascii="Arial" w:hAnsi="Arial" w:cs="Arial"/>
        </w:rPr>
        <w:fldChar w:fldCharType="end"/>
      </w:r>
      <w:r w:rsidRPr="00CD45C0">
        <w:rPr>
          <w:rFonts w:ascii="Arial" w:hAnsi="Arial" w:cs="Arial"/>
          <w:bCs/>
        </w:rPr>
        <w:t>. The chemical structure of all of them is shown in Fig. 1.</w:t>
      </w:r>
      <w:r w:rsidRPr="00CD45C0">
        <w:rPr>
          <w:rFonts w:ascii="Arial" w:hAnsi="Arial" w:cs="Arial"/>
        </w:rPr>
        <w:t xml:space="preserve"> The PubChem database was utilized for the collection of these compounds in </w:t>
      </w:r>
      <w:r w:rsidRPr="00CD45C0">
        <w:rPr>
          <w:rFonts w:ascii="Arial" w:hAnsi="Arial" w:cs="Arial"/>
          <w:i/>
          <w:iCs/>
        </w:rPr>
        <w:t>.</w:t>
      </w:r>
      <w:proofErr w:type="spellStart"/>
      <w:r w:rsidRPr="00CD45C0">
        <w:rPr>
          <w:rFonts w:ascii="Arial" w:hAnsi="Arial" w:cs="Arial"/>
          <w:i/>
          <w:iCs/>
        </w:rPr>
        <w:t>sdf</w:t>
      </w:r>
      <w:proofErr w:type="spellEnd"/>
      <w:r w:rsidRPr="00CD45C0">
        <w:rPr>
          <w:rFonts w:ascii="Arial" w:hAnsi="Arial" w:cs="Arial"/>
        </w:rPr>
        <w:t xml:space="preserve"> format. The next step in the process was to prepare the ligands by reducing the amount of energy they contained and changing the format of their </w:t>
      </w:r>
      <w:r w:rsidRPr="00CD45C0">
        <w:rPr>
          <w:rFonts w:ascii="Arial" w:hAnsi="Arial" w:cs="Arial"/>
          <w:i/>
          <w:iCs/>
        </w:rPr>
        <w:t>.</w:t>
      </w:r>
      <w:proofErr w:type="spellStart"/>
      <w:r w:rsidRPr="00CD45C0">
        <w:rPr>
          <w:rFonts w:ascii="Arial" w:hAnsi="Arial" w:cs="Arial"/>
          <w:i/>
          <w:iCs/>
        </w:rPr>
        <w:t>sdf</w:t>
      </w:r>
      <w:proofErr w:type="spellEnd"/>
      <w:r w:rsidRPr="00CD45C0">
        <w:rPr>
          <w:rFonts w:ascii="Arial" w:hAnsi="Arial" w:cs="Arial"/>
        </w:rPr>
        <w:t xml:space="preserve"> files to a</w:t>
      </w:r>
      <w:r>
        <w:rPr>
          <w:rFonts w:ascii="Arial" w:hAnsi="Arial" w:cs="Arial"/>
        </w:rPr>
        <w:t xml:space="preserve"> </w:t>
      </w:r>
      <w:r w:rsidRPr="00CD45C0">
        <w:rPr>
          <w:rFonts w:ascii="Arial" w:hAnsi="Arial" w:cs="Arial"/>
          <w:i/>
          <w:iCs/>
        </w:rPr>
        <w:t>.</w:t>
      </w:r>
      <w:proofErr w:type="spellStart"/>
      <w:r w:rsidRPr="00CD45C0">
        <w:rPr>
          <w:rFonts w:ascii="Arial" w:hAnsi="Arial" w:cs="Arial"/>
          <w:i/>
          <w:iCs/>
        </w:rPr>
        <w:t>pdbqt</w:t>
      </w:r>
      <w:proofErr w:type="spellEnd"/>
      <w:r w:rsidRPr="00CD45C0">
        <w:rPr>
          <w:rFonts w:ascii="Arial" w:hAnsi="Arial" w:cs="Arial"/>
        </w:rPr>
        <w:t xml:space="preserve"> file using the </w:t>
      </w:r>
      <w:proofErr w:type="spellStart"/>
      <w:r w:rsidRPr="00CD45C0">
        <w:rPr>
          <w:rFonts w:ascii="Arial" w:hAnsi="Arial" w:cs="Arial"/>
        </w:rPr>
        <w:t>OpenBabel</w:t>
      </w:r>
      <w:proofErr w:type="spellEnd"/>
      <w:r w:rsidRPr="00CD45C0">
        <w:rPr>
          <w:rFonts w:ascii="Arial" w:hAnsi="Arial" w:cs="Arial"/>
        </w:rPr>
        <w:t xml:space="preserve"> module of </w:t>
      </w:r>
      <w:proofErr w:type="spellStart"/>
      <w:r w:rsidRPr="00CD45C0">
        <w:rPr>
          <w:rFonts w:ascii="Arial" w:hAnsi="Arial" w:cs="Arial"/>
        </w:rPr>
        <w:t>PyRx</w:t>
      </w:r>
      <w:proofErr w:type="spellEnd"/>
      <w:r w:rsidRPr="00CD45C0">
        <w:rPr>
          <w:rFonts w:ascii="Arial" w:hAnsi="Arial" w:cs="Arial"/>
        </w:rPr>
        <w:t xml:space="preserve"> 0.8 software.</w:t>
      </w:r>
    </w:p>
    <w:p w14:paraId="3CCAC3D9" w14:textId="27200109" w:rsidR="0050372C" w:rsidRDefault="0050372C" w:rsidP="00CD45C0">
      <w:pPr>
        <w:pStyle w:val="Body"/>
        <w:rPr>
          <w:rFonts w:ascii="Arial" w:hAnsi="Arial" w:cs="Arial"/>
        </w:rPr>
      </w:pPr>
      <w:r w:rsidRPr="00DE5703">
        <w:rPr>
          <w:rFonts w:ascii="Arial" w:hAnsi="Arial" w:cs="Arial"/>
          <w:noProof/>
        </w:rPr>
        <w:drawing>
          <wp:inline distT="0" distB="0" distL="0" distR="0" wp14:anchorId="11D475BD" wp14:editId="1EB5815E">
            <wp:extent cx="5055235" cy="4096529"/>
            <wp:effectExtent l="0" t="0" r="0" b="0"/>
            <wp:docPr id="353499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99417" name="Picture 3534994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62154" cy="4102136"/>
                    </a:xfrm>
                    <a:prstGeom prst="rect">
                      <a:avLst/>
                    </a:prstGeom>
                  </pic:spPr>
                </pic:pic>
              </a:graphicData>
            </a:graphic>
          </wp:inline>
        </w:drawing>
      </w:r>
    </w:p>
    <w:p w14:paraId="78BA0165" w14:textId="77777777" w:rsidR="0050372C" w:rsidRDefault="0050372C" w:rsidP="00CD45C0">
      <w:pPr>
        <w:pStyle w:val="Body"/>
        <w:rPr>
          <w:rFonts w:ascii="Arial" w:hAnsi="Arial" w:cs="Arial"/>
          <w:bCs/>
        </w:rPr>
      </w:pPr>
    </w:p>
    <w:p w14:paraId="2D8DB228" w14:textId="01913329" w:rsidR="0050372C" w:rsidRPr="00253FB5" w:rsidRDefault="0050372C" w:rsidP="00253FB5">
      <w:pPr>
        <w:pStyle w:val="Body"/>
        <w:rPr>
          <w:rFonts w:ascii="Arial" w:hAnsi="Arial" w:cs="Arial"/>
          <w:b/>
        </w:rPr>
      </w:pPr>
      <w:r w:rsidRPr="00253FB5">
        <w:rPr>
          <w:rFonts w:ascii="Arial" w:hAnsi="Arial" w:cs="Arial"/>
          <w:b/>
          <w:bCs/>
        </w:rPr>
        <w:t xml:space="preserve">Fig. 1. Phytochemicals isolated from </w:t>
      </w:r>
      <w:r w:rsidRPr="00253FB5">
        <w:rPr>
          <w:rFonts w:ascii="Arial" w:hAnsi="Arial" w:cs="Arial"/>
          <w:b/>
          <w:bCs/>
          <w:i/>
          <w:iCs/>
        </w:rPr>
        <w:t>O. robusta</w:t>
      </w:r>
      <w:r w:rsidRPr="00253FB5">
        <w:rPr>
          <w:rFonts w:ascii="Arial" w:hAnsi="Arial" w:cs="Arial"/>
          <w:b/>
          <w:bCs/>
        </w:rPr>
        <w:t xml:space="preserve"> leaves</w:t>
      </w:r>
    </w:p>
    <w:p w14:paraId="03150C0B" w14:textId="0A58DB7E" w:rsidR="00CD45C0" w:rsidRPr="00CD45C0" w:rsidRDefault="00CD45C0" w:rsidP="00CD45C0">
      <w:pPr>
        <w:pStyle w:val="Body"/>
        <w:rPr>
          <w:rFonts w:ascii="Arial" w:hAnsi="Arial" w:cs="Arial"/>
          <w:b/>
          <w:u w:val="single"/>
        </w:rPr>
      </w:pPr>
      <w:r w:rsidRPr="00CD45C0">
        <w:rPr>
          <w:rFonts w:ascii="Arial" w:hAnsi="Arial" w:cs="Arial"/>
          <w:b/>
          <w:u w:val="single"/>
        </w:rPr>
        <w:t>2.8.2 Protein preparation</w:t>
      </w:r>
    </w:p>
    <w:p w14:paraId="597BB88B" w14:textId="30ADDC1F" w:rsidR="00CD45C0" w:rsidRPr="00CD45C0" w:rsidRDefault="00CD45C0" w:rsidP="00CD45C0">
      <w:pPr>
        <w:pStyle w:val="Body"/>
        <w:rPr>
          <w:rFonts w:ascii="Arial" w:hAnsi="Arial" w:cs="Arial"/>
        </w:rPr>
      </w:pPr>
      <w:r w:rsidRPr="00CD45C0">
        <w:rPr>
          <w:rFonts w:ascii="Arial" w:hAnsi="Arial" w:cs="Arial"/>
        </w:rPr>
        <w:t xml:space="preserve">Antioxidant, cytotoxic, and anti-inflammatory target proteins such as </w:t>
      </w:r>
      <w:r w:rsidRPr="00CD45C0">
        <w:rPr>
          <w:rFonts w:ascii="Arial" w:hAnsi="Arial" w:cs="Arial"/>
          <w:bCs/>
        </w:rPr>
        <w:t xml:space="preserve">glutathione reductase (PDB ID: 1XAN) </w:t>
      </w:r>
      <w:r w:rsidRPr="00CD45C0">
        <w:rPr>
          <w:rFonts w:ascii="Arial" w:hAnsi="Arial" w:cs="Arial"/>
          <w:bCs/>
          <w:vertAlign w:val="superscript"/>
        </w:rPr>
        <w:fldChar w:fldCharType="begin" w:fldLock="1"/>
      </w:r>
      <w:r w:rsidR="00E772A2">
        <w:rPr>
          <w:rFonts w:ascii="Arial" w:hAnsi="Arial" w:cs="Arial"/>
          <w:bCs/>
        </w:rPr>
        <w:instrText>ADDIN CSL_CITATION {"citationItems":[{"id":"ITEM-1","itemData":{"DOI":"10.1016/j.ibror.2019.05.003","ISSN":"24518301","abstract":"Elevation in the levels of reactive oxygen and nitrogen species (RONS), and downregulation of cellular antixoidants, have ubiquitously been reported from studies in animal models of neurodegenerative diseases, including Parkinson's disease (PD)and Alzheimer's disease (AD). Thus, plant-derived compounds are widely being investigated for their beneficial effects in these models. However, while studies have reported antioxidant potentials of several phytochemicals, a large number of studies have demonstrated different phytochemicals to be rather pro-oxidant and exaggerate oxidative stress (OS). One such study aimed to investigate possible ameliorative effect of Pomegranate juice (PJ)in rat model of toxin-induced parkinsonism revealed that PJ exacerbates OS, inflammation and promotes neurodegeneration. Thus, it remains to be investigated whether different constituents and metabolites of PJ are pro-oxidant or anti-oxidant. Using computational modeling, we investigated possible inhibitory potential of different constituents of PJ and their metabolites viz. delphinidin-3-glucoside, dimethylellagic acid-glucuronide, ellagic acid, ellagitannin, gallic acid, gallotannin 23, pelargonidin, punicalagin, urolithin A, urolithin A-glucuronide and urolithin B, on anti-oxidant defense system of the brain. The results indicate that the constituents of PJ have the potential to inhibit five key enzymes of the neuronal antioxidant defense system, viz. catalase, superoxide dismutase, glutathione peroxidase 4, glutathione reductase and glutathione-S-transferase. Thus, it is surmised that the constituents of PJ may contribute to OS and neurodegeneration by way of affecting antioxidant defense mechanism. This may particularly be more pronounced in neurodegenerative diseases, since neurons are known to be more vulnerable to OS. Thus, the present findings caution the use of PJ in patients prone to OS, especially those suffering from neurodegenerative diseases, and warrant further experimental studies to unveil the effects of individual components and metabolites of PJ on antioxidant defense system of brain.","author":[{"dropping-particle":"","family":"Mazumder","given":"Muhammed Khairujjaman","non-dropping-particle":"","parse-names":false,"suffix":""},{"dropping-particle":"","family":"Choudhury","given":"Shuvasish","non-dropping-particle":"","parse-names":false,"suffix":""},{"dropping-particle":"","family":"Borah","given":"Anupom","non-dropping-particle":"","parse-names":false,"suffix":""}],"container-title":"IBRO Reports","id":"ITEM-1","issue":"May","issued":{"date-parts":[["2019"]]},"page":"153-159","publisher":"Elsevier","title":"An in silico investigation on the inhibitory potential of the constituents of Pomegranate juice on antioxidant defense mechanism: Relevance to neurodegenerative diseases","type":"article-journal","volume":"6"},"uris":["http://www.mendeley.com/documents/?uuid=ccad4426-a642-4fa3-ba17-ec657b7167b8"]}],"mendeley":{"formattedCitation":"(Mazumder et al., 2019)","plainTextFormattedCitation":"(Mazumder et al., 2019)","previouslyFormattedCitation":"(Mazumder, Choudhury, and Borah 2019)"},"properties":{"noteIndex":0},"schema":"https://github.com/citation-style-language/schema/raw/master/csl-citation.json"}</w:instrText>
      </w:r>
      <w:r w:rsidRPr="00CD45C0">
        <w:rPr>
          <w:rFonts w:ascii="Arial" w:hAnsi="Arial" w:cs="Arial"/>
          <w:bCs/>
          <w:vertAlign w:val="superscript"/>
        </w:rPr>
        <w:fldChar w:fldCharType="separate"/>
      </w:r>
      <w:r w:rsidR="00E772A2" w:rsidRPr="00E772A2">
        <w:rPr>
          <w:rFonts w:ascii="Arial" w:hAnsi="Arial" w:cs="Arial"/>
          <w:noProof/>
        </w:rPr>
        <w:t>(Mazumder et al., 2019)</w:t>
      </w:r>
      <w:r w:rsidRPr="00CD45C0">
        <w:rPr>
          <w:rFonts w:ascii="Arial" w:hAnsi="Arial" w:cs="Arial"/>
        </w:rPr>
        <w:fldChar w:fldCharType="end"/>
      </w:r>
      <w:r w:rsidRPr="00CD45C0">
        <w:rPr>
          <w:rFonts w:ascii="Arial" w:hAnsi="Arial" w:cs="Arial"/>
        </w:rPr>
        <w:t xml:space="preserve">, human cytochrome P450 CYP2C9 </w:t>
      </w:r>
      <w:r w:rsidRPr="00CD45C0">
        <w:rPr>
          <w:rFonts w:ascii="Arial" w:hAnsi="Arial" w:cs="Arial"/>
          <w:bCs/>
        </w:rPr>
        <w:t xml:space="preserve">(PDB ID: 1OG5) </w:t>
      </w:r>
      <w:r w:rsidRPr="00CD45C0">
        <w:rPr>
          <w:rFonts w:ascii="Arial" w:hAnsi="Arial" w:cs="Arial"/>
          <w:bCs/>
          <w:vertAlign w:val="superscript"/>
        </w:rPr>
        <w:fldChar w:fldCharType="begin" w:fldLock="1"/>
      </w:r>
      <w:r w:rsidR="00E772A2">
        <w:rPr>
          <w:rFonts w:ascii="Arial" w:hAnsi="Arial" w:cs="Arial"/>
          <w:bCs/>
        </w:rPr>
        <w:instrText>ADDIN CSL_CITATION {"citationItems":[{"id":"ITEM-1","itemData":{"DOI":"10.1016/j.heliyon.2021.e07997","ISSN":"24058440","abstract":"This study was designed to evaluate the cytotoxic and analgesic potential of methanol extracts of five wild mushrooms available in the University of Chittagong, Bangladesh. The acetic acid-induced writhing method was used for the analgesic activity, while cytotoxicity was tested using brine shrimp lethality bioassay. In silico molecular docking and ADME/T study have been employed by using Schrodinger v11.1, BIOVIA Discovery Studio 2020 and online tool (AdmeSAR) respectively. The methanol extracts of Daldinia concentrica, Trametes lactinea, Fomitopsis cajanderi and Daedaleopsis confragosa exhibited a significant (p &lt; 0.001) decrease in the number of writhing when compared to the control group. Except for Lentinus squarrosulus at 200 mg/kg body weight, the remaining mushroom extracts showed equal to or above 50 % inhibition of writhing. Daldinia concentrica showed the lowest LC50 values with 0.63 μg/mL, while Daedaleopsis confragosa showed the highest LC50 values of 2.33 μg/ mL, indicating decisive cytotoxic action all mushrooms extracts. Considering the secondary metabolites, daldinan A and fomlactone A were found the most promising myco-compounds in analgesic and cytotoxic molecular docking studies. Besides, all the selected metabolites meet the rule of Lipinski's drug-likeliness. These results concluded that each mushroom extracts except Lentinus squarrosulus possess a potential analgesic. All the mushroom extracts embrace a promising cytotoxic activity that may guide the progress of a new drug.","author":[{"dropping-particle":"","family":"Hossen","given":"S. M.Moazzem","non-dropping-particle":"","parse-names":false,"suffix":""},{"dropping-particle":"","family":"Hossain","given":"Mohammad Shahadat","non-dropping-particle":"","parse-names":false,"suffix":""},{"dropping-particle":"","family":"Akbar","given":"Sumaiya","non-dropping-particle":"","parse-names":false,"suffix":""},{"dropping-particle":"","family":"Tahmida","given":"Umme","non-dropping-particle":"","parse-names":false,"suffix":""},{"dropping-particle":"","family":"Mawa","given":"Jannatul","non-dropping-particle":"","parse-names":false,"suffix":""},{"dropping-particle":"","family":"Emon","given":"Nazim Uddin","non-dropping-particle":"","parse-names":false,"suffix":""}],"container-title":"Heliyon","id":"ITEM-1","issue":"9","issued":{"date-parts":[["2021"]]},"page":"e07997","publisher":"Elsevier Ltd","title":"Wild mushrooms showed analgesic and cytotoxic properties along with phytoconstituent's binding affinity to COX-1, COX-2 and cytochrome P450 2C9","type":"article-journal","volume":"7"},"uris":["http://www.mendeley.com/documents/?uuid=f6045e1a-aae3-4668-b209-e14b9cdb2b20"]}],"mendeley":{"formattedCitation":"(Hossen et al., 2021)","plainTextFormattedCitation":"(Hossen et al., 2021)","previouslyFormattedCitation":"(Hossen et al. 2021)"},"properties":{"noteIndex":0},"schema":"https://github.com/citation-style-language/schema/raw/master/csl-citation.json"}</w:instrText>
      </w:r>
      <w:r w:rsidRPr="00CD45C0">
        <w:rPr>
          <w:rFonts w:ascii="Arial" w:hAnsi="Arial" w:cs="Arial"/>
          <w:bCs/>
          <w:vertAlign w:val="superscript"/>
        </w:rPr>
        <w:fldChar w:fldCharType="separate"/>
      </w:r>
      <w:r w:rsidR="00E772A2" w:rsidRPr="00E772A2">
        <w:rPr>
          <w:rFonts w:ascii="Arial" w:hAnsi="Arial" w:cs="Arial"/>
          <w:noProof/>
        </w:rPr>
        <w:t>(Hossen et al., 2021)</w:t>
      </w:r>
      <w:r w:rsidRPr="00CD45C0">
        <w:rPr>
          <w:rFonts w:ascii="Arial" w:hAnsi="Arial" w:cs="Arial"/>
        </w:rPr>
        <w:fldChar w:fldCharType="end"/>
      </w:r>
      <w:r w:rsidRPr="00CD45C0">
        <w:rPr>
          <w:rFonts w:ascii="Arial" w:hAnsi="Arial" w:cs="Arial"/>
        </w:rPr>
        <w:t>, and Phosphodiesterase-4 inhibitor (PDE4) receptor</w:t>
      </w:r>
      <w:r w:rsidRPr="00CD45C0">
        <w:rPr>
          <w:rFonts w:ascii="Arial" w:hAnsi="Arial" w:cs="Arial"/>
          <w:bCs/>
        </w:rPr>
        <w:t xml:space="preserve"> (PDB ID: 4WCU) </w:t>
      </w:r>
      <w:r w:rsidRPr="00CD45C0">
        <w:rPr>
          <w:rFonts w:ascii="Arial" w:hAnsi="Arial" w:cs="Arial"/>
          <w:bCs/>
          <w:vertAlign w:val="superscript"/>
        </w:rPr>
        <w:fldChar w:fldCharType="begin" w:fldLock="1"/>
      </w:r>
      <w:r w:rsidR="00E772A2">
        <w:rPr>
          <w:rFonts w:ascii="Arial" w:hAnsi="Arial" w:cs="Arial"/>
          <w:bCs/>
        </w:rPr>
        <w:instrText>ADDIN CSL_CITATION {"citationItems":[{"id":"ITEM-1","itemData":{"DOI":"10.3389/fchem.2019.00634","ISSN":"22962646","abstract":"Bacterial resistance to antibiotics has become one of the most challenging problems of infectious disease treatment. Ten new derivatives of benzenesulphonamide bearing carboxamide functionality were synthesized and investigated for their in vivo anti-inflammatory, in vitro anti-microbial and anti-oxidant activities. The base promoted reactions of the appropriate amino acids with substituted benzenesulphonyl chlorides gave the benzene sulphonamides (3a-j) in excellent yields. Palladium mediated amidation of the benzenesulphonamides (3a-j) and butylamine gave the new carboxamides (4a-j) in excellent yield. Compounds 4a and 4c inhibited carrageenan induced rat-paw edema at 94.69, 89.66, and 87.83% each at 1, 2, and 3 h, respectively. In the antimicrobial activity, compound 4d (MIC 6.72 mg/mL) was most potent against E. coli, compound 4h (MIC 6.63 mg/mL) was the most active against S. aureus, compound 4a (MIC 6.67 and 6.45 mg/mL) was most active against P. aeruginosa and S. typhi, respectively, compound 4f (MIC 6.63 mg/mL) was the most active against B. subtilis, compounds 4e and 4h (MIC 6.63 mg/mL) each were the most active against C. albicans, while compound 4e (MIC 6.28 mg/mL) was most active against A. niger. Only compound 4e (IC50 0.3287 mg/mL) had comparable activity with Vitamin C (IC50 0.2090 mg/mL).","author":[{"dropping-particle":"","family":"Eze","given":"Florence Uchenna","non-dropping-particle":"","parse-names":false,"suffix":""},{"dropping-particle":"","family":"Okoro","given":"Uchechukwu Christopher","non-dropping-particle":"","parse-names":false,"suffix":""},{"dropping-particle":"","family":"Ugwu","given":"David Izuchukwu","non-dropping-particle":"","parse-names":false,"suffix":""},{"dropping-particle":"","family":"Okafor","given":"Sunday N.","non-dropping-particle":"","parse-names":false,"suffix":""}],"container-title":"Frontiers in Chemistry","id":"ITEM-1","issue":"September","issued":{"date-parts":[["2019"]]},"page":"1-12","title":"Biological Activity Evaluation of Some New Benzenesulphonamide Derivatives","type":"article-journal","volume":"7"},"uris":["http://www.mendeley.com/documents/?uuid=567f3f33-8c15-48ec-a5cf-1a69ca132b13"]}],"mendeley":{"formattedCitation":"(Eze et al., 2019)","plainTextFormattedCitation":"(Eze et al., 2019)","previouslyFormattedCitation":"(Eze et al. 2019)"},"properties":{"noteIndex":0},"schema":"https://github.com/citation-style-language/schema/raw/master/csl-citation.json"}</w:instrText>
      </w:r>
      <w:r w:rsidRPr="00CD45C0">
        <w:rPr>
          <w:rFonts w:ascii="Arial" w:hAnsi="Arial" w:cs="Arial"/>
          <w:bCs/>
          <w:vertAlign w:val="superscript"/>
        </w:rPr>
        <w:fldChar w:fldCharType="separate"/>
      </w:r>
      <w:r w:rsidR="00E772A2" w:rsidRPr="00E772A2">
        <w:rPr>
          <w:rFonts w:ascii="Arial" w:hAnsi="Arial" w:cs="Arial"/>
          <w:noProof/>
        </w:rPr>
        <w:t>(Eze et al., 2019)</w:t>
      </w:r>
      <w:r w:rsidRPr="00CD45C0">
        <w:rPr>
          <w:rFonts w:ascii="Arial" w:hAnsi="Arial" w:cs="Arial"/>
        </w:rPr>
        <w:fldChar w:fldCharType="end"/>
      </w:r>
      <w:r w:rsidRPr="00CD45C0">
        <w:rPr>
          <w:rFonts w:ascii="Arial" w:hAnsi="Arial" w:cs="Arial"/>
          <w:bCs/>
        </w:rPr>
        <w:t xml:space="preserve">, </w:t>
      </w:r>
      <w:r w:rsidRPr="00CD45C0">
        <w:rPr>
          <w:rFonts w:ascii="Arial" w:hAnsi="Arial" w:cs="Arial"/>
        </w:rPr>
        <w:t xml:space="preserve">respectively, have been retrieved from the protein data bank (PDB) </w:t>
      </w:r>
      <w:r w:rsidRPr="00CD45C0">
        <w:rPr>
          <w:rFonts w:ascii="Arial" w:hAnsi="Arial" w:cs="Arial"/>
          <w:vertAlign w:val="superscript"/>
        </w:rPr>
        <w:fldChar w:fldCharType="begin" w:fldLock="1"/>
      </w:r>
      <w:r w:rsidR="00E772A2">
        <w:rPr>
          <w:rFonts w:ascii="Arial" w:hAnsi="Arial" w:cs="Arial"/>
        </w:rPr>
        <w:instrText>ADDIN CSL_CITATION {"citationItems":[{"id":"ITEM-1","itemData":{"DOI":"10.1038/s41577-020-00473-z","ISSN":"14741741","PMID":"33293618","abstract":"Animal and plant immune systems use intracellular nucleotide-binding oligomerization domain (NOD)-like receptors (NLRs) to detect pathogens, resulting in the activation of immune responses that are often associated with localized host cell death. Whereas vertebrate NLRs detect evolutionarily conserved molecular patterns and have undergone comparatively little copy number expansion, plant NLRs detect virulence factors that have often diversified in plant pathogen populations, and thus plant NLRs have been subject to parallel diversification. Plant NLRs sense the presence of virulence factors with enzymatic virulence activity often indirectly through their modification of host target proteins. By contrast, phytopathogenic virulence factors without enzymatic activity are usually recognized by NLRs directly by their structure. Structural and biochemical analyses have shown that both indirect and direct recognition of plant pathogens trigger the oligomerization of plant NLRs into active complexes. Assembly into three-layered ring-like structures has emerged as a common principle of NLR activation in plants and animals, but with distinct amino-terminal domains initiating different signalling pathways. Collectively, these analyses point to host cell membranes as a convergence point for activated plant NLRs and the disruption of cellular ion homeostasis as a possible major factor in NLR-triggered cell death signalling.","author":[{"dropping-particle":"","family":"Saur","given":"Isabel M.L.","non-dropping-particle":"","parse-names":false,"suffix":""},{"dropping-particle":"","family":"Panstruga","given":"Ralph","non-dropping-particle":"","parse-names":false,"suffix":""},{"dropping-particle":"","family":"Schulze-Lefert","given":"Paul","non-dropping-particle":"","parse-names":false,"suffix":""}],"container-title":"Nature Reviews Immunology","id":"ITEM-1","issue":"5","issued":{"date-parts":[["2021"]]},"page":"305-318","title":"NOD-like receptor-mediated plant immunity: from structure to cell death","type":"article-journal","volume":"21"},"uris":["http://www.mendeley.com/documents/?uuid=a6a1b913-0688-4a4e-a3ff-65fb95991ae4"]}],"mendeley":{"formattedCitation":"(Saur et al., 2021)","plainTextFormattedCitation":"(Saur et al., 2021)","previouslyFormattedCitation":"(Saur, Panstruga, and Schulze-Lefert 2021)"},"properties":{"noteIndex":0},"schema":"https://github.com/citation-style-language/schema/raw/master/csl-citation.json"}</w:instrText>
      </w:r>
      <w:r w:rsidRPr="00CD45C0">
        <w:rPr>
          <w:rFonts w:ascii="Arial" w:hAnsi="Arial" w:cs="Arial"/>
          <w:vertAlign w:val="superscript"/>
        </w:rPr>
        <w:fldChar w:fldCharType="separate"/>
      </w:r>
      <w:r w:rsidR="00E772A2" w:rsidRPr="00E772A2">
        <w:rPr>
          <w:rFonts w:ascii="Arial" w:hAnsi="Arial" w:cs="Arial"/>
          <w:bCs/>
          <w:noProof/>
        </w:rPr>
        <w:t>(Saur et al., 2021)</w:t>
      </w:r>
      <w:r w:rsidRPr="00CD45C0">
        <w:rPr>
          <w:rFonts w:ascii="Arial" w:hAnsi="Arial" w:cs="Arial"/>
        </w:rPr>
        <w:fldChar w:fldCharType="end"/>
      </w:r>
      <w:r w:rsidRPr="00CD45C0">
        <w:rPr>
          <w:rFonts w:ascii="Arial" w:hAnsi="Arial" w:cs="Arial"/>
        </w:rPr>
        <w:t xml:space="preserve">. After collecting from PDB, we removed water molecules and heteroatoms from these proteins by using Discovery Studio (DS) 2021. Using Swiss-PDB </w:t>
      </w:r>
      <w:r w:rsidRPr="00CD45C0">
        <w:rPr>
          <w:rFonts w:ascii="Arial" w:hAnsi="Arial" w:cs="Arial"/>
        </w:rPr>
        <w:lastRenderedPageBreak/>
        <w:t xml:space="preserve">Viewer, we were able to reduce the amount of energy that was associated with each protein that was retrieved </w:t>
      </w:r>
      <w:r w:rsidRPr="00CD45C0">
        <w:rPr>
          <w:rFonts w:ascii="Arial" w:hAnsi="Arial" w:cs="Arial"/>
          <w:vertAlign w:val="superscript"/>
        </w:rPr>
        <w:fldChar w:fldCharType="begin" w:fldLock="1"/>
      </w:r>
      <w:r w:rsidR="00E772A2">
        <w:rPr>
          <w:rFonts w:ascii="Arial" w:hAnsi="Arial" w:cs="Arial"/>
        </w:rPr>
        <w:instrText>ADDIN CSL_CITATION {"citationItems":[{"id":"ITEM-1","itemData":{"DOI":"10.1002/elps.1150181505","ISSN":"01730835","PMID":"9504803","abstract":"Comparative protein modeling is increasingly gaining interest since it is of great assistance during the rational design of mutagenesis experiments. The availability of this method, and the resulting models, has however been restricted by the availability of expensive computer hardware and software. To overcome these limitations, we have developed an environment for comparative protein modeling that consists of SWISS-MODEL, a server for automated comparative protein modeling and of the SWISS-PdbViewer, a sequence to structure workbench. The Swiss-PdbViewer not only acts as a client for SWISS-MODEL, but also provides a-large selection of structure analysis and display tools. In addition, we provide the SWISS-MODEL Repository, a database containing more than 3500 automatically generated protein models. By making such tools freely available to the scientific community, we hope to increase the use of protein structures and models in the process of experiment design.","author":[{"dropping-particle":"","family":"Guex","given":"Nicolas","non-dropping-particle":"","parse-names":false,"suffix":""},{"dropping-particle":"","family":"Peitsch","given":"Manuel C.","non-dropping-particle":"","parse-names":false,"suffix":""}],"container-title":"Electrophoresis","id":"ITEM-1","issue":"15","issued":{"date-parts":[["1997"]]},"page":"2714-2723","title":"SWISS-MODEL and the Swiss-PdbViewer: An environment for comparative protein modeling","type":"article-journal","volume":"18"},"uris":["http://www.mendeley.com/documents/?uuid=210f61d2-b897-47d6-972a-0424c1e4ce1c"]}],"mendeley":{"formattedCitation":"(Guex &amp; Peitsch, 1997)","plainTextFormattedCitation":"(Guex &amp; Peitsch, 1997)","previouslyFormattedCitation":"(Guex and Peitsch 1997)"},"properties":{"noteIndex":0},"schema":"https://github.com/citation-style-language/schema/raw/master/csl-citation.json"}</w:instrText>
      </w:r>
      <w:r w:rsidRPr="00CD45C0">
        <w:rPr>
          <w:rFonts w:ascii="Arial" w:hAnsi="Arial" w:cs="Arial"/>
          <w:vertAlign w:val="superscript"/>
        </w:rPr>
        <w:fldChar w:fldCharType="separate"/>
      </w:r>
      <w:r w:rsidR="00E772A2" w:rsidRPr="00E772A2">
        <w:rPr>
          <w:rFonts w:ascii="Arial" w:hAnsi="Arial" w:cs="Arial"/>
          <w:bCs/>
          <w:noProof/>
        </w:rPr>
        <w:t>(Guex &amp; Peitsch, 1997)</w:t>
      </w:r>
      <w:r w:rsidRPr="00CD45C0">
        <w:rPr>
          <w:rFonts w:ascii="Arial" w:hAnsi="Arial" w:cs="Arial"/>
        </w:rPr>
        <w:fldChar w:fldCharType="end"/>
      </w:r>
      <w:r w:rsidRPr="00CD45C0">
        <w:rPr>
          <w:rFonts w:ascii="Arial" w:hAnsi="Arial" w:cs="Arial"/>
        </w:rPr>
        <w:t>. Following that, the structures were ultimately preserved in the DS in the .</w:t>
      </w:r>
      <w:proofErr w:type="spellStart"/>
      <w:r w:rsidRPr="00CD45C0">
        <w:rPr>
          <w:rFonts w:ascii="Arial" w:hAnsi="Arial" w:cs="Arial"/>
          <w:i/>
          <w:iCs/>
        </w:rPr>
        <w:t>pdb</w:t>
      </w:r>
      <w:proofErr w:type="spellEnd"/>
      <w:r w:rsidRPr="00CD45C0">
        <w:rPr>
          <w:rFonts w:ascii="Arial" w:hAnsi="Arial" w:cs="Arial"/>
        </w:rPr>
        <w:t xml:space="preserve"> file format.</w:t>
      </w:r>
    </w:p>
    <w:p w14:paraId="7A638F53" w14:textId="78C0F394" w:rsidR="00CD45C0" w:rsidRPr="00CD45C0" w:rsidRDefault="00CD45C0" w:rsidP="00CD45C0">
      <w:pPr>
        <w:pStyle w:val="Body"/>
        <w:rPr>
          <w:rFonts w:ascii="Arial" w:hAnsi="Arial" w:cs="Arial"/>
          <w:b/>
          <w:u w:val="single"/>
        </w:rPr>
      </w:pPr>
      <w:r w:rsidRPr="00CD45C0">
        <w:rPr>
          <w:rFonts w:ascii="Arial" w:hAnsi="Arial" w:cs="Arial"/>
          <w:b/>
          <w:u w:val="single"/>
        </w:rPr>
        <w:t>2.8.3 Molecular docking</w:t>
      </w:r>
    </w:p>
    <w:p w14:paraId="587E6A66" w14:textId="4D8AE4F1" w:rsidR="00CD45C0" w:rsidRPr="00CD45C0" w:rsidRDefault="00CD45C0" w:rsidP="00CD45C0">
      <w:pPr>
        <w:pStyle w:val="Body"/>
        <w:rPr>
          <w:rFonts w:ascii="Arial" w:hAnsi="Arial" w:cs="Arial"/>
        </w:rPr>
      </w:pPr>
      <w:r w:rsidRPr="00CD45C0">
        <w:rPr>
          <w:rFonts w:ascii="Arial" w:hAnsi="Arial" w:cs="Arial"/>
        </w:rPr>
        <w:t xml:space="preserve">The protein-ligand complexes of interest have been docked using </w:t>
      </w:r>
      <w:proofErr w:type="spellStart"/>
      <w:r w:rsidRPr="00CD45C0">
        <w:rPr>
          <w:rFonts w:ascii="Arial" w:hAnsi="Arial" w:cs="Arial"/>
        </w:rPr>
        <w:t>PyRx</w:t>
      </w:r>
      <w:proofErr w:type="spellEnd"/>
      <w:r w:rsidRPr="00CD45C0">
        <w:rPr>
          <w:rFonts w:ascii="Arial" w:hAnsi="Arial" w:cs="Arial"/>
        </w:rPr>
        <w:t xml:space="preserve"> </w:t>
      </w:r>
      <w:proofErr w:type="spellStart"/>
      <w:r w:rsidRPr="00CD45C0">
        <w:rPr>
          <w:rFonts w:ascii="Arial" w:hAnsi="Arial" w:cs="Arial"/>
        </w:rPr>
        <w:t>AutoDock</w:t>
      </w:r>
      <w:proofErr w:type="spellEnd"/>
      <w:r w:rsidRPr="00CD45C0">
        <w:rPr>
          <w:rFonts w:ascii="Arial" w:hAnsi="Arial" w:cs="Arial"/>
        </w:rPr>
        <w:t xml:space="preserve"> Vina </w:t>
      </w:r>
      <w:r w:rsidRPr="00CD45C0">
        <w:rPr>
          <w:rFonts w:ascii="Arial" w:hAnsi="Arial" w:cs="Arial"/>
          <w:vertAlign w:val="superscript"/>
        </w:rPr>
        <w:fldChar w:fldCharType="begin" w:fldLock="1"/>
      </w:r>
      <w:r w:rsidR="00E772A2">
        <w:rPr>
          <w:rFonts w:ascii="Arial" w:hAnsi="Arial" w:cs="Arial"/>
        </w:rPr>
        <w:instrText>ADDIN CSL_CITATION {"citationItems":[{"id":"ITEM-1","itemData":{"DOI":"10.1016/j.proche.2014.12.007","ISSN":"18766196","abstract":"Tinospora cordifolia extract decreased the activity of glycogen phosphorylase in the liver and widely used in the treatment of diabetes mellitus. This in silico study aimed to screen the active compound(s) of T. cordifolia which play a role in its hypoglycemic activity as glycogen phosphorylase inhibitor by molecular docking analysis. Thirteen chemical constituents of T. cordifolia were used as ligands for docking study. The glycogen phosphorylase structure was obtained from Brookhaven protein databank (1LWO). Docking analysis was performed using Autodock Vina and PyRx 8. The inhibitory activity was analyzed by comparison the binding energy and binding mode of interaction of T. cordifolia chemical constituents on glycogen phosphorylase. The results indicate that magnoflorine, cordiofolioside A, and syringin exhibited good affinity to glycogen phosphorylase, by interacted at catalytic site of enzyme","author":[{"dropping-particle":"","family":"Herowati","given":"Rina","non-dropping-particle":"","parse-names":false,"suffix":""},{"dropping-particle":"","family":"Widodo","given":"Gunawan Pamudji","non-dropping-particle":"","parse-names":false,"suffix":""}],"container-title":"Procedia Chemistry","id":"ITEM-1","issued":{"date-parts":[["2014"]]},"page":"63-68","publisher":"Elsevier Ltd.","title":"Molecular Docking Studies of Chemical Constituents of Tinospora cordifolia on Glycogen Phosphorylase","type":"article-journal","volume":"13"},"uris":["http://www.mendeley.com/documents/?uuid=6b1833ca-45fb-4d05-ae52-63e90a07eff1"]}],"mendeley":{"formattedCitation":"(Herowati &amp; Widodo, 2014)","plainTextFormattedCitation":"(Herowati &amp; Widodo, 2014)","previouslyFormattedCitation":"(Herowati and Widodo 2014)"},"properties":{"noteIndex":0},"schema":"https://github.com/citation-style-language/schema/raw/master/csl-citation.json"}</w:instrText>
      </w:r>
      <w:r w:rsidRPr="00CD45C0">
        <w:rPr>
          <w:rFonts w:ascii="Arial" w:hAnsi="Arial" w:cs="Arial"/>
          <w:vertAlign w:val="superscript"/>
        </w:rPr>
        <w:fldChar w:fldCharType="separate"/>
      </w:r>
      <w:r w:rsidR="00E772A2" w:rsidRPr="00E772A2">
        <w:rPr>
          <w:rFonts w:ascii="Arial" w:hAnsi="Arial" w:cs="Arial"/>
          <w:bCs/>
          <w:noProof/>
        </w:rPr>
        <w:t>(Herowati &amp; Widodo, 2014)</w:t>
      </w:r>
      <w:r w:rsidRPr="00CD45C0">
        <w:rPr>
          <w:rFonts w:ascii="Arial" w:hAnsi="Arial" w:cs="Arial"/>
        </w:rPr>
        <w:fldChar w:fldCharType="end"/>
      </w:r>
      <w:r w:rsidRPr="00CD45C0">
        <w:rPr>
          <w:rFonts w:ascii="Arial" w:hAnsi="Arial" w:cs="Arial"/>
        </w:rPr>
        <w:t xml:space="preserve">. The docking analysis has made use of a semiflexible docking method. This investigation preserved both the protein's rigidness and the ligand's flexibility. The grid box was constructed around an active site. Additionally, we used BIOVIA DS Visualizer 2021 to locate optimal docking sites </w:t>
      </w:r>
      <w:r w:rsidRPr="00CD45C0">
        <w:rPr>
          <w:rFonts w:ascii="Arial" w:hAnsi="Arial" w:cs="Arial"/>
          <w:vertAlign w:val="superscript"/>
        </w:rPr>
        <w:fldChar w:fldCharType="begin" w:fldLock="1"/>
      </w:r>
      <w:r w:rsidR="00E772A2">
        <w:rPr>
          <w:rFonts w:ascii="Arial" w:hAnsi="Arial" w:cs="Arial"/>
        </w:rPr>
        <w:instrText>ADDIN CSL_CITATION {"citationItems":[{"id":"ITEM-1","itemData":{"abstract":"Discovery Studio® is a singleunifi ed, easy-to-use, graphical interface for powerful drug design and protein modeling research. Discovery Studio contains both established gold-standard applications (e.g., Catalyst, MODELER, CHARMm, etc.) with years of proven published results, as well as and cutting-edge science to address today's drug discovery challenges. Discovery Studio is built on the SciTegic Pipeline PilotScitegic Enterprise Server platform™ open operating platform, allowing seamless integration of protein modeling, pharmacophore analysis, and structure-based design, as well as third-party applications. Product Description Discovery Studio Standalone Discovery Studio Standalone is a complete molecular modeling platform designed for the independent modeler. This standalone environment, powered by the Pipeline Pilot open platform, includes the entire infrastructure needed to design and run modeling experiments with Discovery Studio Science. Easily visualize, model, and analyze biological and chemical data using tools for sketching 3D molecules, visualizing dynamic changes, 3D graphing and a host of other functionality. The standalone installation can be connected to a Pipeline Pilot Server for easy sharing of workfl ows and data. This confi guration also includes access to a rich set of perl-based scripting commands. Discovery Studio Visualizer Client Discovery Studio Visualizer Client is a powerful graphical interface to access Discovery Studio Science. DS Visualizer Clients can be inexpensively deployed and easily maintained for research teams while still offering world-class science. When deployed with a Pipeline Pilot Server, DS Visualizer Client offers unparalleled capabilities for sharing data, workfl ows, and computational resources. A rich set of perl-based scripting commands, and customized scripts, are also available for the automation and customization of common modeling operations that replicate UI actions or act on DS data models. Some examples of the large collection of scriptable actions include molecular overlay, chirality and valency checks, prediction of DSC secondary structure, access to electrostatics tools, management of constraints/restraints, and display of surfaces, Pipeline Pilot Server Pipeline Pilot makes the most of your information through industrial-scale data fl ow control and powerful mining capabilities. You can graphically compose data processing networks, using hundreds of different confi gurable components for op…","author":[{"dropping-particle":"","family":"Corporate","given":"Accelrys","non-dropping-particle":"","parse-names":false,"suffix":""}],"container-title":"Researchgate.Net‏","id":"ITEM-1","issued":{"date-parts":[["2008"]]},"page":"1-8","title":"Discovery Studio Life Science Modeling and Simulations","type":"article-journal"},"uris":["http://www.mendeley.com/documents/?uuid=815e5852-1d6e-478b-9c58-899954072484"]}],"mendeley":{"formattedCitation":"(Corporate, 2008)","plainTextFormattedCitation":"(Corporate, 2008)","previouslyFormattedCitation":"(Corporate 2008)"},"properties":{"noteIndex":0},"schema":"https://github.com/citation-style-language/schema/raw/master/csl-citation.json"}</w:instrText>
      </w:r>
      <w:r w:rsidRPr="00CD45C0">
        <w:rPr>
          <w:rFonts w:ascii="Arial" w:hAnsi="Arial" w:cs="Arial"/>
          <w:vertAlign w:val="superscript"/>
        </w:rPr>
        <w:fldChar w:fldCharType="separate"/>
      </w:r>
      <w:r w:rsidR="00E772A2" w:rsidRPr="00E772A2">
        <w:rPr>
          <w:rFonts w:ascii="Arial" w:hAnsi="Arial" w:cs="Arial"/>
          <w:bCs/>
          <w:noProof/>
        </w:rPr>
        <w:t>(Corporate, 2008)</w:t>
      </w:r>
      <w:r w:rsidRPr="00CD45C0">
        <w:rPr>
          <w:rFonts w:ascii="Arial" w:hAnsi="Arial" w:cs="Arial"/>
        </w:rPr>
        <w:fldChar w:fldCharType="end"/>
      </w:r>
      <w:r w:rsidRPr="00CD45C0">
        <w:rPr>
          <w:rFonts w:ascii="Arial" w:hAnsi="Arial" w:cs="Arial"/>
        </w:rPr>
        <w:t>.</w:t>
      </w:r>
    </w:p>
    <w:p w14:paraId="04C49FA7" w14:textId="4A2AE1A9" w:rsidR="00CD45C0" w:rsidRPr="00CD45C0" w:rsidRDefault="00CD45C0" w:rsidP="00CD45C0">
      <w:pPr>
        <w:pStyle w:val="Body"/>
        <w:rPr>
          <w:rFonts w:ascii="Arial" w:hAnsi="Arial" w:cs="Arial"/>
          <w:b/>
          <w:sz w:val="22"/>
          <w:szCs w:val="22"/>
        </w:rPr>
      </w:pPr>
      <w:r w:rsidRPr="00CD45C0">
        <w:rPr>
          <w:rFonts w:ascii="Arial" w:hAnsi="Arial" w:cs="Arial"/>
          <w:b/>
          <w:sz w:val="22"/>
          <w:szCs w:val="22"/>
        </w:rPr>
        <w:t>2.9 ADME/T analysis</w:t>
      </w:r>
    </w:p>
    <w:p w14:paraId="062D7FEB" w14:textId="01031923" w:rsidR="00CD45C0" w:rsidRPr="00CD45C0" w:rsidRDefault="00CD45C0" w:rsidP="00CD45C0">
      <w:pPr>
        <w:pStyle w:val="Body"/>
        <w:rPr>
          <w:rFonts w:ascii="Arial" w:hAnsi="Arial" w:cs="Arial"/>
          <w:bCs/>
        </w:rPr>
      </w:pPr>
      <w:r w:rsidRPr="00CD45C0">
        <w:rPr>
          <w:rFonts w:ascii="Arial" w:hAnsi="Arial" w:cs="Arial"/>
          <w:bCs/>
        </w:rPr>
        <w:t xml:space="preserve">To further evaluate the results of the molecular docking simulation, an attempt was made to predict the ADME/T profile of docked molecules. To determine which compounds have desirable drug-like properties, Lipinski's rule of five was applied </w:t>
      </w:r>
      <w:r w:rsidRPr="00CD45C0">
        <w:rPr>
          <w:rFonts w:ascii="Arial" w:hAnsi="Arial" w:cs="Arial"/>
          <w:bCs/>
          <w:vertAlign w:val="superscript"/>
        </w:rPr>
        <w:fldChar w:fldCharType="begin" w:fldLock="1"/>
      </w:r>
      <w:r w:rsidR="00E772A2">
        <w:rPr>
          <w:rFonts w:ascii="Arial" w:hAnsi="Arial" w:cs="Arial"/>
          <w:bCs/>
        </w:rPr>
        <w:instrText>ADDIN CSL_CITATION {"citationItems":[{"id":"ITEM-1","itemData":{"DOI":"10.1016/j.addr.2012.09.019","ISSN":"0169409X","PMID":"11259830","abstract":"Experimental and computational approaches to estimate solubility and permeability in discovery and development settings are described. In the discovery setting 'the rule of 5' predicts that poor absorption or permeation is more likely when there are more than 5 H-bond donors, 10 H-bond acceptors, the molecular weight (MWT) is greater than 500 and the calculated Log P (CLogP) is greater than 5 (or MlogP. &gt;. 4.15). Computational methodology for the rule-based Moriguchi Log P (MLogP) calculation is described. Turbidimetric solubility measurement is described and applied to known drugs. High throughput screening (HTS) leads tend to have higher MWT and Log P and lower turbidimetric solubility than leads in the pre-HTS era. In the development setting, solubility calculations focus on exact value prediction and are difficult because of polymorphism. Recent work on linear free energy relationships and Log P approaches are critically reviewed. Useful predictions are possible in closely related analog series when coupled with experimental thermodynamic solubility measurements. © 2012.","author":[{"dropping-particle":"","family":"Lipinski","given":"Christopher A.","non-dropping-particle":"","parse-names":false,"suffix":""},{"dropping-particle":"","family":"Lombardo","given":"Franco","non-dropping-particle":"","parse-names":false,"suffix":""},{"dropping-particle":"","family":"Dominy","given":"Beryl W.","non-dropping-particle":"","parse-names":false,"suffix":""},{"dropping-particle":"","family":"Feeney","given":"Paul J.","non-dropping-particle":"","parse-names":false,"suffix":""}],"container-title":"Advanced Drug Delivery Reviews","id":"ITEM-1","issue":"SUPPL.","issued":{"date-parts":[["2012"]]},"page":"4-17","publisher":"Elsevier B.V.","title":"Experimental and computational approaches to estimate solubility and permeability in drug discovery and development settings","type":"article-journal","volume":"64"},"uris":["http://www.mendeley.com/documents/?uuid=472e70d1-fcde-4163-b0b2-2103622be4d1"]}],"mendeley":{"formattedCitation":"(Lipinski et al., 2012)","plainTextFormattedCitation":"(Lipinski et al., 2012)","previouslyFormattedCitation":"(Lipinski et al. 2012)"},"properties":{"noteIndex":0},"schema":"https://github.com/citation-style-language/schema/raw/master/csl-citation.json"}</w:instrText>
      </w:r>
      <w:r w:rsidRPr="00CD45C0">
        <w:rPr>
          <w:rFonts w:ascii="Arial" w:hAnsi="Arial" w:cs="Arial"/>
          <w:bCs/>
          <w:vertAlign w:val="superscript"/>
        </w:rPr>
        <w:fldChar w:fldCharType="separate"/>
      </w:r>
      <w:r w:rsidR="00E772A2" w:rsidRPr="00E772A2">
        <w:rPr>
          <w:rFonts w:ascii="Arial" w:hAnsi="Arial" w:cs="Arial"/>
          <w:noProof/>
        </w:rPr>
        <w:t>(Lipinski et al., 2012)</w:t>
      </w:r>
      <w:r w:rsidRPr="00CD45C0">
        <w:rPr>
          <w:rFonts w:ascii="Arial" w:hAnsi="Arial" w:cs="Arial"/>
        </w:rPr>
        <w:fldChar w:fldCharType="end"/>
      </w:r>
      <w:r w:rsidRPr="00CD45C0">
        <w:rPr>
          <w:rFonts w:ascii="Arial" w:hAnsi="Arial" w:cs="Arial"/>
          <w:bCs/>
        </w:rPr>
        <w:t xml:space="preserve">. This rule stipulates that a compound's molecular weight should not exceed 500, that the number of H-bond donors should not exceed 5, that the number of H-bond acceptors should not exceed 10, that its lipophilicity should not exceed 5, and that its molar refractivity should fall between 40 and 130. Analyzing the ADME profile of the compounds was accomplished with the help of the </w:t>
      </w:r>
      <w:proofErr w:type="spellStart"/>
      <w:r w:rsidRPr="00CD45C0">
        <w:rPr>
          <w:rFonts w:ascii="Arial" w:hAnsi="Arial" w:cs="Arial"/>
          <w:bCs/>
        </w:rPr>
        <w:t>SwissADME</w:t>
      </w:r>
      <w:proofErr w:type="spellEnd"/>
      <w:r w:rsidRPr="00CD45C0">
        <w:rPr>
          <w:rFonts w:ascii="Arial" w:hAnsi="Arial" w:cs="Arial"/>
          <w:bCs/>
        </w:rPr>
        <w:t xml:space="preserve"> server, which predicts the pharmacokinetic features of molecules </w:t>
      </w:r>
      <w:r w:rsidRPr="00CD45C0">
        <w:rPr>
          <w:rFonts w:ascii="Arial" w:hAnsi="Arial" w:cs="Arial"/>
          <w:bCs/>
          <w:vertAlign w:val="superscript"/>
        </w:rPr>
        <w:fldChar w:fldCharType="begin" w:fldLock="1"/>
      </w:r>
      <w:r w:rsidR="00E772A2">
        <w:rPr>
          <w:rFonts w:ascii="Arial" w:hAnsi="Arial" w:cs="Arial"/>
          <w:bCs/>
        </w:rPr>
        <w:instrText>ADDIN CSL_CITATION {"citationItems":[{"id":"ITEM-1","itemData":{"DOI":"10.1038/srep42717","ISSN":"20452322","PMID":"28256516","abstract":"To be effective as a drug, a potent molecule must reach its target in the body in sufficient concentration, and stay there in a bioactive form long enough for the expected biologic events to occur. Drug development involves assessment of absorption, distribution, metabolism and excretion (ADME) increasingly earlier in the discovery process, at a stage when considered compounds are numerous but access to the physical samples is limited. In that context, computer models constitute valid alternatives to experiments. Here, we present the new SwissADME web tool that gives free access to a pool of fast yet robust predictive models for physicochemical properties, pharmacokinetics, drug-likeness and medicinal chemistry friendliness, among which in-house proficient methods such as the BOILED-Egg, iLOGP and Bioavailability Radar. Easy efficient input and interpretation are ensured thanks to a user-friendly interface through the login-free website http://www.swissadme.ch. Specialists, but also nonexpert in cheminformatics or computational chemistry can predict rapidly key parameters for a collection of molecules to support their drug discovery endeavours.","author":[{"dropping-particle":"","family":"Daina","given":"Antoine","non-dropping-particle":"","parse-names":false,"suffix":""},{"dropping-particle":"","family":"Michielin","given":"Olivier","non-dropping-particle":"","parse-names":false,"suffix":""},{"dropping-particle":"","family":"Zoete","given":"Vincent","non-dropping-particle":"","parse-names":false,"suffix":""}],"container-title":"Scientific Reports","id":"ITEM-1","issue":"January","issued":{"date-parts":[["2017"]]},"page":"1-13","publisher":"Nature Publishing Group","title":"SwissADME: A free web tool to evaluate pharmacokinetics, drug-likeness and medicinal chemistry friendliness of small molecules","type":"article-journal","volume":"7"},"uris":["http://www.mendeley.com/documents/?uuid=455b480a-4c9f-417e-b72f-70cc823d505b"]}],"mendeley":{"formattedCitation":"(Daina et al., 2017)","plainTextFormattedCitation":"(Daina et al., 2017)","previouslyFormattedCitation":"(Daina, Michielin, and Zoete 2017)"},"properties":{"noteIndex":0},"schema":"https://github.com/citation-style-language/schema/raw/master/csl-citation.json"}</w:instrText>
      </w:r>
      <w:r w:rsidRPr="00CD45C0">
        <w:rPr>
          <w:rFonts w:ascii="Arial" w:hAnsi="Arial" w:cs="Arial"/>
          <w:bCs/>
          <w:vertAlign w:val="superscript"/>
        </w:rPr>
        <w:fldChar w:fldCharType="separate"/>
      </w:r>
      <w:r w:rsidR="00E772A2" w:rsidRPr="00E772A2">
        <w:rPr>
          <w:rFonts w:ascii="Arial" w:hAnsi="Arial" w:cs="Arial"/>
          <w:noProof/>
        </w:rPr>
        <w:t>(Daina et al., 2017)</w:t>
      </w:r>
      <w:r w:rsidRPr="00CD45C0">
        <w:rPr>
          <w:rFonts w:ascii="Arial" w:hAnsi="Arial" w:cs="Arial"/>
        </w:rPr>
        <w:fldChar w:fldCharType="end"/>
      </w:r>
      <w:r w:rsidRPr="00CD45C0">
        <w:rPr>
          <w:rFonts w:ascii="Arial" w:hAnsi="Arial" w:cs="Arial"/>
          <w:bCs/>
        </w:rPr>
        <w:t>.</w:t>
      </w:r>
      <w:r w:rsidRPr="00CD45C0">
        <w:rPr>
          <w:rFonts w:ascii="Arial" w:hAnsi="Arial" w:cs="Arial"/>
          <w:b/>
          <w:bCs/>
        </w:rPr>
        <w:t xml:space="preserve"> </w:t>
      </w:r>
      <w:r w:rsidRPr="00CD45C0">
        <w:rPr>
          <w:rFonts w:ascii="Arial" w:hAnsi="Arial" w:cs="Arial"/>
          <w:bCs/>
        </w:rPr>
        <w:t xml:space="preserve">In addition, the web application called </w:t>
      </w:r>
      <w:proofErr w:type="spellStart"/>
      <w:r w:rsidRPr="00CD45C0">
        <w:rPr>
          <w:rFonts w:ascii="Arial" w:hAnsi="Arial" w:cs="Arial"/>
          <w:bCs/>
        </w:rPr>
        <w:t>admetSAR</w:t>
      </w:r>
      <w:proofErr w:type="spellEnd"/>
      <w:r w:rsidRPr="00CD45C0">
        <w:rPr>
          <w:rFonts w:ascii="Arial" w:hAnsi="Arial" w:cs="Arial"/>
          <w:bCs/>
        </w:rPr>
        <w:t xml:space="preserve"> was used to research the toxicological characteristics of each of the compounds </w:t>
      </w:r>
      <w:r w:rsidRPr="00CD45C0">
        <w:rPr>
          <w:rFonts w:ascii="Arial" w:hAnsi="Arial" w:cs="Arial"/>
          <w:bCs/>
          <w:vertAlign w:val="superscript"/>
        </w:rPr>
        <w:fldChar w:fldCharType="begin" w:fldLock="1"/>
      </w:r>
      <w:r w:rsidR="00E772A2">
        <w:rPr>
          <w:rFonts w:ascii="Arial" w:hAnsi="Arial" w:cs="Arial"/>
          <w:bCs/>
        </w:rPr>
        <w:instrText>ADDIN CSL_CITATION {"citationItems":[{"id":"ITEM-1","itemData":{"DOI":"10.1021/ci300367a","ISSN":"1549960X","PMID":"23092397","abstract":"Absorption, distribution, metabolism, excretion, and toxicity (ADMET) properties play key roles in the discovery/development of drugs, pesticides, food additives, consumer products, and industrial chemicals. This information is especially useful when to conduct environmental and human hazard assessment. The most critical rate limiting step in the chemical safety assessment workflow is the availability of high quality data. This paper describes an ADMET structure-activity relationship database, abbreviated as admetSAR. It is an open source, text and structure searchable, and continually updated database that collects, curates, and manages available ADMET-associated properties data from the published literature. In admetSAR, over 210-000 ADMET annotated data points for more than 96-000 unique compounds with 45 kinds of ADMET-associated properties, proteins, species, or organisms have been carefully curated from a large number of diverse literatures. The database provides a user-friendly interface to query a specific chemical profile, using either CAS registry number, common name, or structure similarity. In addition, the database includes 22 qualitative classification and 5 quantitative regression models with highly predictive accuracy, allowing to estimate ecological/mammalian ADMET properties for novel chemicals. AdmetSAR is accessible free of charge at http://www.admetexp.org. © 2012 American Chemical Society.","author":[{"dropping-particle":"","family":"Cheng","given":"Feixiong","non-dropping-particle":"","parse-names":false,"suffix":""},{"dropping-particle":"","family":"Li","given":"Weihua","non-dropping-particle":"","parse-names":false,"suffix":""},{"dropping-particle":"","family":"Zhou","given":"Yadi","non-dropping-particle":"","parse-names":false,"suffix":""},{"dropping-particle":"","family":"Shen","given":"Jie","non-dropping-particle":"","parse-names":false,"suffix":""},{"dropping-particle":"","family":"Wu","given":"Zengrui","non-dropping-particle":"","parse-names":false,"suffix":""},{"dropping-particle":"","family":"Liu","given":"Guixia","non-dropping-particle":"","parse-names":false,"suffix":""},{"dropping-particle":"","family":"Lee","given":"Philip W.","non-dropping-particle":"","parse-names":false,"suffix":""},{"dropping-particle":"","family":"Tang","given":"Yun","non-dropping-particle":"","parse-names":false,"suffix":""}],"container-title":"Journal of Chemical Information and Modeling","id":"ITEM-1","issue":"11","issued":{"date-parts":[["2012"]]},"page":"3099-3105","title":"AdmetSAR: A comprehensive source and free tool for assessment of chemical ADMET properties","type":"article-journal","volume":"52"},"uris":["http://www.mendeley.com/documents/?uuid=680c220e-04e3-4a50-83e7-2f709bd728dc"]}],"mendeley":{"formattedCitation":"(Cheng et al., 2012)","plainTextFormattedCitation":"(Cheng et al., 2012)","previouslyFormattedCitation":"(Cheng et al. 2012)"},"properties":{"noteIndex":0},"schema":"https://github.com/citation-style-language/schema/raw/master/csl-citation.json"}</w:instrText>
      </w:r>
      <w:r w:rsidRPr="00CD45C0">
        <w:rPr>
          <w:rFonts w:ascii="Arial" w:hAnsi="Arial" w:cs="Arial"/>
          <w:bCs/>
          <w:vertAlign w:val="superscript"/>
        </w:rPr>
        <w:fldChar w:fldCharType="separate"/>
      </w:r>
      <w:r w:rsidR="00E772A2" w:rsidRPr="00E772A2">
        <w:rPr>
          <w:rFonts w:ascii="Arial" w:hAnsi="Arial" w:cs="Arial"/>
          <w:noProof/>
        </w:rPr>
        <w:t>(Cheng et al., 2012)</w:t>
      </w:r>
      <w:r w:rsidRPr="00CD45C0">
        <w:rPr>
          <w:rFonts w:ascii="Arial" w:hAnsi="Arial" w:cs="Arial"/>
        </w:rPr>
        <w:fldChar w:fldCharType="end"/>
      </w:r>
      <w:r w:rsidRPr="00CD45C0">
        <w:rPr>
          <w:rFonts w:ascii="Arial" w:hAnsi="Arial" w:cs="Arial"/>
          <w:bCs/>
        </w:rPr>
        <w:t>.</w:t>
      </w:r>
    </w:p>
    <w:p w14:paraId="1A912155" w14:textId="3D0F7266" w:rsidR="00CD45C0" w:rsidRPr="00CD45C0" w:rsidRDefault="00CD45C0" w:rsidP="00CD45C0">
      <w:pPr>
        <w:pStyle w:val="Body"/>
        <w:rPr>
          <w:rFonts w:ascii="Arial" w:hAnsi="Arial" w:cs="Arial"/>
          <w:b/>
          <w:bCs/>
          <w:sz w:val="22"/>
          <w:szCs w:val="22"/>
        </w:rPr>
      </w:pPr>
      <w:r w:rsidRPr="00CD45C0">
        <w:rPr>
          <w:rFonts w:ascii="Arial" w:hAnsi="Arial" w:cs="Arial"/>
          <w:b/>
          <w:bCs/>
          <w:sz w:val="22"/>
          <w:szCs w:val="22"/>
        </w:rPr>
        <w:t>2.10 Statistical analysis</w:t>
      </w:r>
    </w:p>
    <w:p w14:paraId="23FBDBC0" w14:textId="2C469C78" w:rsidR="00790ADA" w:rsidRPr="00FB3A86" w:rsidRDefault="00CD45C0" w:rsidP="00CD45C0">
      <w:pPr>
        <w:pStyle w:val="Body"/>
        <w:rPr>
          <w:rFonts w:ascii="Arial" w:hAnsi="Arial" w:cs="Arial"/>
        </w:rPr>
      </w:pPr>
      <w:r w:rsidRPr="00CD45C0">
        <w:rPr>
          <w:rFonts w:ascii="Arial" w:hAnsi="Arial" w:cs="Arial"/>
        </w:rPr>
        <w:t>The data was reported in the form of mean ± SEM. In addition to other statistical analyses, the analysis of variance (one-way ANOVA) was carried out with the assistance of GraphPad Prism (version 8.0.1). For statistical significance, the following degrees of significance are considered: *</w:t>
      </w:r>
      <w:r w:rsidRPr="00CD45C0">
        <w:rPr>
          <w:rFonts w:ascii="Arial" w:hAnsi="Arial" w:cs="Arial"/>
          <w:i/>
          <w:iCs/>
        </w:rPr>
        <w:t>p&lt; 0.05</w:t>
      </w:r>
      <w:r w:rsidRPr="00CD45C0">
        <w:rPr>
          <w:rFonts w:ascii="Arial" w:hAnsi="Arial" w:cs="Arial"/>
        </w:rPr>
        <w:t>, **</w:t>
      </w:r>
      <w:r w:rsidRPr="00CD45C0">
        <w:rPr>
          <w:rFonts w:ascii="Arial" w:hAnsi="Arial" w:cs="Arial"/>
          <w:i/>
          <w:iCs/>
        </w:rPr>
        <w:t>p&lt;0.01</w:t>
      </w:r>
      <w:r w:rsidRPr="00CD45C0">
        <w:rPr>
          <w:rFonts w:ascii="Arial" w:hAnsi="Arial" w:cs="Arial"/>
        </w:rPr>
        <w:t>, and ***</w:t>
      </w:r>
      <w:r w:rsidRPr="00CD45C0">
        <w:rPr>
          <w:rFonts w:ascii="Arial" w:hAnsi="Arial" w:cs="Arial"/>
          <w:i/>
          <w:iCs/>
        </w:rPr>
        <w:t>p&lt;0.001</w:t>
      </w:r>
      <w:r w:rsidRPr="00CD45C0">
        <w:rPr>
          <w:rFonts w:ascii="Arial" w:hAnsi="Arial" w:cs="Arial"/>
        </w:rPr>
        <w:t>.</w:t>
      </w:r>
    </w:p>
    <w:p w14:paraId="102A0ADA"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7EF0637" w14:textId="77777777" w:rsidR="00790ADA" w:rsidRPr="00FB3A86" w:rsidRDefault="00790ADA" w:rsidP="00441B6F">
      <w:pPr>
        <w:pStyle w:val="Head1"/>
        <w:spacing w:after="0"/>
        <w:jc w:val="both"/>
        <w:rPr>
          <w:rFonts w:ascii="Arial" w:hAnsi="Arial" w:cs="Arial"/>
        </w:rPr>
      </w:pPr>
    </w:p>
    <w:p w14:paraId="230810EE" w14:textId="7B22A725" w:rsidR="00C73625" w:rsidRPr="00C73625" w:rsidRDefault="00C73625" w:rsidP="00C73625">
      <w:pPr>
        <w:pStyle w:val="Body"/>
        <w:rPr>
          <w:rFonts w:ascii="Arial" w:hAnsi="Arial" w:cs="Arial"/>
          <w:b/>
          <w:bCs/>
          <w:sz w:val="22"/>
          <w:szCs w:val="22"/>
        </w:rPr>
      </w:pPr>
      <w:r w:rsidRPr="00C73625">
        <w:rPr>
          <w:rFonts w:ascii="Arial" w:hAnsi="Arial" w:cs="Arial"/>
          <w:b/>
          <w:sz w:val="22"/>
          <w:szCs w:val="22"/>
        </w:rPr>
        <w:t>3.1</w:t>
      </w:r>
      <w:r w:rsidRPr="00C73625">
        <w:rPr>
          <w:rFonts w:ascii="Arial" w:hAnsi="Arial" w:cs="Arial"/>
          <w:sz w:val="22"/>
          <w:szCs w:val="22"/>
        </w:rPr>
        <w:t xml:space="preserve"> </w:t>
      </w:r>
      <w:r w:rsidRPr="00C73625">
        <w:rPr>
          <w:rFonts w:ascii="Arial" w:hAnsi="Arial" w:cs="Arial"/>
          <w:b/>
          <w:bCs/>
          <w:sz w:val="22"/>
          <w:szCs w:val="22"/>
        </w:rPr>
        <w:t>Phytochemical screening</w:t>
      </w:r>
    </w:p>
    <w:p w14:paraId="077E434C" w14:textId="77777777" w:rsidR="00C73625" w:rsidRDefault="00C73625" w:rsidP="00C73625">
      <w:pPr>
        <w:pStyle w:val="Body"/>
        <w:rPr>
          <w:rFonts w:ascii="Arial" w:hAnsi="Arial" w:cs="Arial"/>
        </w:rPr>
      </w:pPr>
      <w:r w:rsidRPr="00C73625">
        <w:rPr>
          <w:rFonts w:ascii="Arial" w:hAnsi="Arial" w:cs="Arial"/>
        </w:rPr>
        <w:t>Phytochemical analysis of the leaf extract revealed the presence of glycosides, saponins, terpenoids, tannins, flavonoids, and resins (Table 1).</w:t>
      </w:r>
    </w:p>
    <w:p w14:paraId="3A3B7982" w14:textId="77777777" w:rsidR="00060483" w:rsidRPr="00253FB5" w:rsidRDefault="00060483" w:rsidP="00060483">
      <w:pPr>
        <w:spacing w:line="480" w:lineRule="auto"/>
        <w:rPr>
          <w:rFonts w:ascii="Arial" w:hAnsi="Arial" w:cs="Arial"/>
          <w:b/>
        </w:rPr>
      </w:pPr>
      <w:r w:rsidRPr="00253FB5">
        <w:rPr>
          <w:rFonts w:ascii="Arial" w:hAnsi="Arial" w:cs="Arial"/>
          <w:b/>
        </w:rPr>
        <w:t xml:space="preserve">Table 1. The findings from different group tests of </w:t>
      </w:r>
      <w:r w:rsidRPr="00253FB5">
        <w:rPr>
          <w:rFonts w:ascii="Arial" w:hAnsi="Arial" w:cs="Arial"/>
          <w:b/>
          <w:i/>
        </w:rPr>
        <w:t>O. robusta</w:t>
      </w:r>
      <w:r w:rsidRPr="00253FB5">
        <w:rPr>
          <w:rFonts w:ascii="Arial" w:hAnsi="Arial" w:cs="Arial"/>
          <w:b/>
        </w:rPr>
        <w:t xml:space="preserve"> leaves</w:t>
      </w:r>
    </w:p>
    <w:tbl>
      <w:tblPr>
        <w:tblStyle w:val="TableGrid"/>
        <w:tblW w:w="0" w:type="auto"/>
        <w:tblLook w:val="04A0" w:firstRow="1" w:lastRow="0" w:firstColumn="1" w:lastColumn="0" w:noHBand="0" w:noVBand="1"/>
      </w:tblPr>
      <w:tblGrid>
        <w:gridCol w:w="4282"/>
        <w:gridCol w:w="4142"/>
      </w:tblGrid>
      <w:tr w:rsidR="00060483" w:rsidRPr="006A333F" w14:paraId="2524ABD5" w14:textId="77777777" w:rsidTr="003933B5">
        <w:tc>
          <w:tcPr>
            <w:tcW w:w="4788" w:type="dxa"/>
          </w:tcPr>
          <w:p w14:paraId="3FD8F815" w14:textId="77777777" w:rsidR="00060483" w:rsidRPr="006A333F" w:rsidRDefault="00060483" w:rsidP="003933B5">
            <w:pPr>
              <w:spacing w:line="480" w:lineRule="auto"/>
              <w:rPr>
                <w:rFonts w:ascii="Arial" w:hAnsi="Arial" w:cs="Arial"/>
                <w:sz w:val="20"/>
                <w:szCs w:val="20"/>
              </w:rPr>
            </w:pPr>
            <w:r w:rsidRPr="006A333F">
              <w:rPr>
                <w:rFonts w:ascii="Arial" w:hAnsi="Arial" w:cs="Arial"/>
                <w:b/>
                <w:bCs/>
                <w:sz w:val="20"/>
                <w:szCs w:val="20"/>
              </w:rPr>
              <w:t>Phytochemicals</w:t>
            </w:r>
          </w:p>
        </w:tc>
        <w:tc>
          <w:tcPr>
            <w:tcW w:w="4788" w:type="dxa"/>
          </w:tcPr>
          <w:p w14:paraId="01B202DE"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b/>
                <w:bCs/>
                <w:sz w:val="20"/>
                <w:szCs w:val="20"/>
              </w:rPr>
              <w:t>Leaves Extract</w:t>
            </w:r>
          </w:p>
        </w:tc>
      </w:tr>
      <w:tr w:rsidR="00060483" w:rsidRPr="006A333F" w14:paraId="79D5DD7D" w14:textId="77777777" w:rsidTr="003933B5">
        <w:tc>
          <w:tcPr>
            <w:tcW w:w="4788" w:type="dxa"/>
          </w:tcPr>
          <w:p w14:paraId="0AE0D22B"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Alkaloids</w:t>
            </w:r>
          </w:p>
        </w:tc>
        <w:tc>
          <w:tcPr>
            <w:tcW w:w="4788" w:type="dxa"/>
          </w:tcPr>
          <w:p w14:paraId="6DEB602F"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261EF071" w14:textId="77777777" w:rsidTr="003933B5">
        <w:tc>
          <w:tcPr>
            <w:tcW w:w="4788" w:type="dxa"/>
          </w:tcPr>
          <w:p w14:paraId="1C9EEC57"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Reducing sugars</w:t>
            </w:r>
          </w:p>
        </w:tc>
        <w:tc>
          <w:tcPr>
            <w:tcW w:w="4788" w:type="dxa"/>
          </w:tcPr>
          <w:p w14:paraId="17DD76B0"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08E0B00A" w14:textId="77777777" w:rsidTr="003933B5">
        <w:tc>
          <w:tcPr>
            <w:tcW w:w="4788" w:type="dxa"/>
          </w:tcPr>
          <w:p w14:paraId="0BFAE2DD"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Glycosides</w:t>
            </w:r>
          </w:p>
        </w:tc>
        <w:tc>
          <w:tcPr>
            <w:tcW w:w="4788" w:type="dxa"/>
          </w:tcPr>
          <w:p w14:paraId="32DDFA86"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2D02F997" w14:textId="77777777" w:rsidTr="003933B5">
        <w:tc>
          <w:tcPr>
            <w:tcW w:w="4788" w:type="dxa"/>
          </w:tcPr>
          <w:p w14:paraId="2ECE1C71"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Cardiac glycosides</w:t>
            </w:r>
          </w:p>
        </w:tc>
        <w:tc>
          <w:tcPr>
            <w:tcW w:w="4788" w:type="dxa"/>
          </w:tcPr>
          <w:p w14:paraId="3425E65B"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6175C340" w14:textId="77777777" w:rsidTr="003933B5">
        <w:tc>
          <w:tcPr>
            <w:tcW w:w="4788" w:type="dxa"/>
          </w:tcPr>
          <w:p w14:paraId="662DE919"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lastRenderedPageBreak/>
              <w:t>Flavonoids</w:t>
            </w:r>
          </w:p>
        </w:tc>
        <w:tc>
          <w:tcPr>
            <w:tcW w:w="4788" w:type="dxa"/>
          </w:tcPr>
          <w:p w14:paraId="0A545CB8"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6BBE9519" w14:textId="77777777" w:rsidTr="003933B5">
        <w:tc>
          <w:tcPr>
            <w:tcW w:w="4788" w:type="dxa"/>
          </w:tcPr>
          <w:p w14:paraId="7DD0683B"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Phenolic Compounds</w:t>
            </w:r>
          </w:p>
        </w:tc>
        <w:tc>
          <w:tcPr>
            <w:tcW w:w="4788" w:type="dxa"/>
          </w:tcPr>
          <w:p w14:paraId="3F3B948C"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796C055C" w14:textId="77777777" w:rsidTr="003933B5">
        <w:tc>
          <w:tcPr>
            <w:tcW w:w="4788" w:type="dxa"/>
          </w:tcPr>
          <w:p w14:paraId="096AE2E9"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Tannins</w:t>
            </w:r>
          </w:p>
        </w:tc>
        <w:tc>
          <w:tcPr>
            <w:tcW w:w="4788" w:type="dxa"/>
          </w:tcPr>
          <w:p w14:paraId="648FBDAA"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729F3A2E" w14:textId="77777777" w:rsidTr="003933B5">
        <w:tc>
          <w:tcPr>
            <w:tcW w:w="4788" w:type="dxa"/>
          </w:tcPr>
          <w:p w14:paraId="40169C20" w14:textId="77777777" w:rsidR="00060483" w:rsidRPr="006A333F" w:rsidRDefault="00060483" w:rsidP="003933B5">
            <w:pPr>
              <w:spacing w:line="480" w:lineRule="auto"/>
              <w:rPr>
                <w:rFonts w:ascii="Arial" w:hAnsi="Arial" w:cs="Arial"/>
                <w:sz w:val="20"/>
                <w:szCs w:val="20"/>
              </w:rPr>
            </w:pPr>
            <w:proofErr w:type="spellStart"/>
            <w:r w:rsidRPr="006A333F">
              <w:rPr>
                <w:rFonts w:ascii="Arial" w:hAnsi="Arial" w:cs="Arial"/>
                <w:sz w:val="20"/>
                <w:szCs w:val="20"/>
              </w:rPr>
              <w:t>Phlobatannins</w:t>
            </w:r>
            <w:proofErr w:type="spellEnd"/>
          </w:p>
        </w:tc>
        <w:tc>
          <w:tcPr>
            <w:tcW w:w="4788" w:type="dxa"/>
          </w:tcPr>
          <w:p w14:paraId="3E703B49"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33378C80" w14:textId="77777777" w:rsidTr="003933B5">
        <w:tc>
          <w:tcPr>
            <w:tcW w:w="4788" w:type="dxa"/>
          </w:tcPr>
          <w:p w14:paraId="6187EEAB"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Saponins</w:t>
            </w:r>
          </w:p>
        </w:tc>
        <w:tc>
          <w:tcPr>
            <w:tcW w:w="4788" w:type="dxa"/>
          </w:tcPr>
          <w:p w14:paraId="36DC0EFB"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294B7B4D" w14:textId="77777777" w:rsidTr="003933B5">
        <w:tc>
          <w:tcPr>
            <w:tcW w:w="4788" w:type="dxa"/>
          </w:tcPr>
          <w:p w14:paraId="7515D1C1"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Phytosterols</w:t>
            </w:r>
          </w:p>
        </w:tc>
        <w:tc>
          <w:tcPr>
            <w:tcW w:w="4788" w:type="dxa"/>
          </w:tcPr>
          <w:p w14:paraId="611CCF59"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7D616CBF" w14:textId="77777777" w:rsidTr="003933B5">
        <w:tc>
          <w:tcPr>
            <w:tcW w:w="4788" w:type="dxa"/>
          </w:tcPr>
          <w:p w14:paraId="4FC5F703"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Terpenoids</w:t>
            </w:r>
          </w:p>
        </w:tc>
        <w:tc>
          <w:tcPr>
            <w:tcW w:w="4788" w:type="dxa"/>
          </w:tcPr>
          <w:p w14:paraId="78A21736"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5ABC0926" w14:textId="77777777" w:rsidTr="003933B5">
        <w:tc>
          <w:tcPr>
            <w:tcW w:w="4788" w:type="dxa"/>
          </w:tcPr>
          <w:p w14:paraId="1D95DE70"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Quinones</w:t>
            </w:r>
          </w:p>
        </w:tc>
        <w:tc>
          <w:tcPr>
            <w:tcW w:w="4788" w:type="dxa"/>
          </w:tcPr>
          <w:p w14:paraId="19833CB1"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2BCBE99D" w14:textId="77777777" w:rsidTr="003933B5">
        <w:tc>
          <w:tcPr>
            <w:tcW w:w="4788" w:type="dxa"/>
          </w:tcPr>
          <w:p w14:paraId="7AB7CF24"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Anthraquinones</w:t>
            </w:r>
          </w:p>
        </w:tc>
        <w:tc>
          <w:tcPr>
            <w:tcW w:w="4788" w:type="dxa"/>
          </w:tcPr>
          <w:p w14:paraId="78929E32"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72307985" w14:textId="77777777" w:rsidTr="003933B5">
        <w:tc>
          <w:tcPr>
            <w:tcW w:w="4788" w:type="dxa"/>
          </w:tcPr>
          <w:p w14:paraId="48CDF2D8"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Carboxylic acid</w:t>
            </w:r>
          </w:p>
        </w:tc>
        <w:tc>
          <w:tcPr>
            <w:tcW w:w="4788" w:type="dxa"/>
          </w:tcPr>
          <w:p w14:paraId="1FEA14E6"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19318325" w14:textId="77777777" w:rsidTr="003933B5">
        <w:tc>
          <w:tcPr>
            <w:tcW w:w="4788" w:type="dxa"/>
          </w:tcPr>
          <w:p w14:paraId="48B2C579"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Resins</w:t>
            </w:r>
          </w:p>
        </w:tc>
        <w:tc>
          <w:tcPr>
            <w:tcW w:w="4788" w:type="dxa"/>
          </w:tcPr>
          <w:p w14:paraId="0D4E8ADA"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0B4575A8" w14:textId="77777777" w:rsidTr="003933B5">
        <w:tc>
          <w:tcPr>
            <w:tcW w:w="4788" w:type="dxa"/>
          </w:tcPr>
          <w:p w14:paraId="1B80F3E4"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Fixed oils and Fats</w:t>
            </w:r>
          </w:p>
        </w:tc>
        <w:tc>
          <w:tcPr>
            <w:tcW w:w="4788" w:type="dxa"/>
          </w:tcPr>
          <w:p w14:paraId="3D193650"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bl>
    <w:p w14:paraId="602A9EB6" w14:textId="77777777" w:rsidR="00060483" w:rsidRPr="006A333F" w:rsidRDefault="00060483" w:rsidP="00060483">
      <w:pPr>
        <w:spacing w:line="480" w:lineRule="auto"/>
        <w:rPr>
          <w:rFonts w:ascii="Arial" w:hAnsi="Arial" w:cs="Arial"/>
        </w:rPr>
      </w:pPr>
      <w:r>
        <w:rPr>
          <w:rFonts w:ascii="Arial" w:hAnsi="Arial" w:cs="Arial"/>
        </w:rPr>
        <w:t>*</w:t>
      </w:r>
      <w:r w:rsidRPr="006A333F">
        <w:rPr>
          <w:rFonts w:ascii="Arial" w:hAnsi="Arial" w:cs="Arial"/>
        </w:rPr>
        <w:t>‘+’ represents presence and ‘–’ represents absence</w:t>
      </w:r>
    </w:p>
    <w:p w14:paraId="5F6A3E87" w14:textId="60778472" w:rsidR="00060483" w:rsidRPr="00C73625" w:rsidRDefault="00060483" w:rsidP="00C73625">
      <w:pPr>
        <w:pStyle w:val="Body"/>
        <w:rPr>
          <w:rFonts w:ascii="Arial" w:hAnsi="Arial" w:cs="Arial"/>
        </w:rPr>
      </w:pPr>
    </w:p>
    <w:p w14:paraId="11E85D01" w14:textId="7F3AA23A" w:rsidR="00C73625" w:rsidRPr="00C73625" w:rsidRDefault="00C73625" w:rsidP="00C73625">
      <w:pPr>
        <w:pStyle w:val="Body"/>
        <w:rPr>
          <w:rFonts w:ascii="Arial" w:hAnsi="Arial" w:cs="Arial"/>
          <w:b/>
          <w:sz w:val="22"/>
          <w:szCs w:val="22"/>
        </w:rPr>
      </w:pPr>
      <w:r w:rsidRPr="00C73625">
        <w:rPr>
          <w:rFonts w:ascii="Arial" w:hAnsi="Arial" w:cs="Arial"/>
          <w:b/>
          <w:sz w:val="22"/>
          <w:szCs w:val="22"/>
        </w:rPr>
        <w:t>3.2 DPPH free radical-scavenging activity</w:t>
      </w:r>
    </w:p>
    <w:p w14:paraId="1A44B127" w14:textId="77777777" w:rsidR="00C73625" w:rsidRDefault="00C73625" w:rsidP="00C73625">
      <w:pPr>
        <w:pStyle w:val="Body"/>
        <w:rPr>
          <w:rFonts w:ascii="Arial" w:hAnsi="Arial" w:cs="Arial"/>
        </w:rPr>
      </w:pPr>
      <w:r w:rsidRPr="00C73625">
        <w:rPr>
          <w:rFonts w:ascii="Arial" w:hAnsi="Arial" w:cs="Arial"/>
        </w:rPr>
        <w:t>In the DPPH experiment, MEORL demonstrated a level of radical scavenging activity that was moderate. The value of the minimum inhibitory concentration (IC</w:t>
      </w:r>
      <w:r w:rsidRPr="00C73625">
        <w:rPr>
          <w:rFonts w:ascii="Arial" w:hAnsi="Arial" w:cs="Arial"/>
          <w:vertAlign w:val="subscript"/>
        </w:rPr>
        <w:t>50</w:t>
      </w:r>
      <w:r w:rsidRPr="00C73625">
        <w:rPr>
          <w:rFonts w:ascii="Arial" w:hAnsi="Arial" w:cs="Arial"/>
        </w:rPr>
        <w:t xml:space="preserve">) for MEORL was determined to be 63.81 </w:t>
      </w:r>
      <w:proofErr w:type="spellStart"/>
      <w:r w:rsidRPr="00C73625">
        <w:rPr>
          <w:rFonts w:ascii="Arial" w:hAnsi="Arial" w:cs="Arial"/>
        </w:rPr>
        <w:t>μg</w:t>
      </w:r>
      <w:proofErr w:type="spellEnd"/>
      <w:r w:rsidRPr="00C73625">
        <w:rPr>
          <w:rFonts w:ascii="Arial" w:hAnsi="Arial" w:cs="Arial"/>
        </w:rPr>
        <w:t>/ml, and the regression equation was y = 0.1097x + 43.00, with R</w:t>
      </w:r>
      <w:r w:rsidRPr="00C73625">
        <w:rPr>
          <w:rFonts w:ascii="Arial" w:hAnsi="Arial" w:cs="Arial"/>
          <w:vertAlign w:val="superscript"/>
        </w:rPr>
        <w:t>2</w:t>
      </w:r>
      <w:r w:rsidRPr="00C73625">
        <w:rPr>
          <w:rFonts w:ascii="Arial" w:hAnsi="Arial" w:cs="Arial"/>
        </w:rPr>
        <w:t xml:space="preserve">= 0.8204. The </w:t>
      </w:r>
      <w:bookmarkStart w:id="1" w:name="OLE_LINK1"/>
      <w:r w:rsidRPr="00C73625">
        <w:rPr>
          <w:rFonts w:ascii="Arial" w:hAnsi="Arial" w:cs="Arial"/>
        </w:rPr>
        <w:t>IC</w:t>
      </w:r>
      <w:r w:rsidRPr="00C73625">
        <w:rPr>
          <w:rFonts w:ascii="Arial" w:hAnsi="Arial" w:cs="Arial"/>
          <w:vertAlign w:val="subscript"/>
        </w:rPr>
        <w:t>50</w:t>
      </w:r>
      <w:bookmarkEnd w:id="1"/>
      <w:r w:rsidRPr="00C73625">
        <w:rPr>
          <w:rFonts w:ascii="Arial" w:hAnsi="Arial" w:cs="Arial"/>
        </w:rPr>
        <w:t xml:space="preserve"> value for the standard ascorbic acid was determined to be 12.90 </w:t>
      </w:r>
      <w:proofErr w:type="spellStart"/>
      <w:r w:rsidRPr="00C73625">
        <w:rPr>
          <w:rFonts w:ascii="Arial" w:hAnsi="Arial" w:cs="Arial"/>
        </w:rPr>
        <w:t>μg</w:t>
      </w:r>
      <w:proofErr w:type="spellEnd"/>
      <w:r w:rsidRPr="00C73625">
        <w:rPr>
          <w:rFonts w:ascii="Arial" w:hAnsi="Arial" w:cs="Arial"/>
        </w:rPr>
        <w:t>/ml, and the regression equation was y = 0.1069x + 48.62, with R</w:t>
      </w:r>
      <w:r w:rsidRPr="00C73625">
        <w:rPr>
          <w:rFonts w:ascii="Arial" w:hAnsi="Arial" w:cs="Arial"/>
          <w:vertAlign w:val="superscript"/>
        </w:rPr>
        <w:t>2</w:t>
      </w:r>
      <w:r w:rsidRPr="00C73625">
        <w:rPr>
          <w:rFonts w:ascii="Arial" w:hAnsi="Arial" w:cs="Arial"/>
        </w:rPr>
        <w:t xml:space="preserve">= 0.8313. When compared to that of ascorbic acid, the antioxidant DPPH scavenging activity of MEORL was shown to be considerably similar. There were six different concentrations of MEORL. The one with the most scavenging activity was 1000 </w:t>
      </w:r>
      <w:proofErr w:type="spellStart"/>
      <w:r w:rsidRPr="00C73625">
        <w:rPr>
          <w:rFonts w:ascii="Arial" w:hAnsi="Arial" w:cs="Arial"/>
        </w:rPr>
        <w:t>μg</w:t>
      </w:r>
      <w:proofErr w:type="spellEnd"/>
      <w:r w:rsidRPr="00C73625">
        <w:rPr>
          <w:rFonts w:ascii="Arial" w:hAnsi="Arial" w:cs="Arial"/>
        </w:rPr>
        <w:t xml:space="preserve">/ml (91.26%, </w:t>
      </w:r>
      <w:r w:rsidRPr="00C73625">
        <w:rPr>
          <w:rFonts w:ascii="Arial" w:hAnsi="Arial" w:cs="Arial"/>
          <w:i/>
          <w:iCs/>
        </w:rPr>
        <w:t>P &lt; 0.001</w:t>
      </w:r>
      <w:r w:rsidRPr="00C73625">
        <w:rPr>
          <w:rFonts w:ascii="Arial" w:hAnsi="Arial" w:cs="Arial"/>
        </w:rPr>
        <w:t>), while the same amount of ascorbic acid had 95.12% scavenging activity (Fig. 2).</w:t>
      </w:r>
    </w:p>
    <w:p w14:paraId="1F075C32" w14:textId="77F88165" w:rsidR="0050372C" w:rsidRDefault="0050372C" w:rsidP="00C73625">
      <w:pPr>
        <w:pStyle w:val="Body"/>
        <w:rPr>
          <w:rFonts w:ascii="Arial" w:hAnsi="Arial" w:cs="Arial"/>
          <w:b/>
        </w:rPr>
      </w:pPr>
      <w:r>
        <w:rPr>
          <w:rFonts w:ascii="Arial" w:hAnsi="Arial" w:cs="Arial"/>
          <w:noProof/>
          <w:color w:val="252525"/>
        </w:rPr>
        <w:drawing>
          <wp:inline distT="0" distB="0" distL="0" distR="0" wp14:anchorId="1388F0C3" wp14:editId="07B31448">
            <wp:extent cx="5212080" cy="1759077"/>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oxidant.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1759077"/>
                    </a:xfrm>
                    <a:prstGeom prst="rect">
                      <a:avLst/>
                    </a:prstGeom>
                  </pic:spPr>
                </pic:pic>
              </a:graphicData>
            </a:graphic>
          </wp:inline>
        </w:drawing>
      </w:r>
    </w:p>
    <w:p w14:paraId="23C86592" w14:textId="4463DAEA" w:rsidR="0050372C" w:rsidRPr="00253FB5" w:rsidRDefault="0050372C" w:rsidP="00253FB5">
      <w:pPr>
        <w:jc w:val="both"/>
        <w:rPr>
          <w:rFonts w:ascii="Arial" w:hAnsi="Arial" w:cs="Arial"/>
          <w:b/>
          <w:bCs/>
        </w:rPr>
      </w:pPr>
      <w:r w:rsidRPr="00253FB5">
        <w:rPr>
          <w:rFonts w:ascii="Arial" w:hAnsi="Arial" w:cs="Arial"/>
          <w:b/>
          <w:bCs/>
        </w:rPr>
        <w:lastRenderedPageBreak/>
        <w:t>Fig. 2. (A) DPPH scavenging potential of MEORL and (B) ascorbic acid</w:t>
      </w:r>
    </w:p>
    <w:p w14:paraId="0B82A62F" w14:textId="77777777" w:rsidR="0050372C" w:rsidRDefault="0050372C" w:rsidP="00C73625">
      <w:pPr>
        <w:pStyle w:val="Body"/>
        <w:rPr>
          <w:rFonts w:ascii="Arial" w:hAnsi="Arial" w:cs="Arial"/>
          <w:b/>
          <w:sz w:val="22"/>
          <w:szCs w:val="22"/>
        </w:rPr>
      </w:pPr>
    </w:p>
    <w:p w14:paraId="584CEB13" w14:textId="557BE8BF" w:rsidR="00C73625" w:rsidRPr="00C73625" w:rsidRDefault="00C73625" w:rsidP="00C73625">
      <w:pPr>
        <w:pStyle w:val="Body"/>
        <w:rPr>
          <w:rFonts w:ascii="Arial" w:hAnsi="Arial" w:cs="Arial"/>
          <w:b/>
          <w:sz w:val="22"/>
          <w:szCs w:val="22"/>
        </w:rPr>
      </w:pPr>
      <w:r w:rsidRPr="00C73625">
        <w:rPr>
          <w:rFonts w:ascii="Arial" w:hAnsi="Arial" w:cs="Arial"/>
          <w:b/>
          <w:sz w:val="22"/>
          <w:szCs w:val="22"/>
        </w:rPr>
        <w:t>3.3 Brine Shrimp lethality bioassay</w:t>
      </w:r>
    </w:p>
    <w:p w14:paraId="19E323CD" w14:textId="77777777" w:rsidR="00C73625" w:rsidRDefault="00C73625" w:rsidP="00C73625">
      <w:pPr>
        <w:pStyle w:val="Body"/>
        <w:rPr>
          <w:rFonts w:ascii="Arial" w:hAnsi="Arial" w:cs="Arial"/>
        </w:rPr>
      </w:pPr>
      <w:r w:rsidRPr="00C73625">
        <w:rPr>
          <w:rFonts w:ascii="Arial" w:hAnsi="Arial" w:cs="Arial"/>
        </w:rPr>
        <w:t xml:space="preserve">At each of the randomly selected concentrations of MEORL (31.25,62.5,125, 250, 500, and 1000 </w:t>
      </w:r>
      <w:proofErr w:type="spellStart"/>
      <w:r w:rsidRPr="00C73625">
        <w:rPr>
          <w:rFonts w:ascii="Arial" w:hAnsi="Arial" w:cs="Arial"/>
        </w:rPr>
        <w:t>μg</w:t>
      </w:r>
      <w:proofErr w:type="spellEnd"/>
      <w:r w:rsidRPr="00C73625">
        <w:rPr>
          <w:rFonts w:ascii="Arial" w:hAnsi="Arial" w:cs="Arial"/>
        </w:rPr>
        <w:t>/ml), distinct death rates were observed. It was found that an increase in the MEORL concentration led to an increase in the death rate of brine shrimp nauplii. The LC</w:t>
      </w:r>
      <w:r w:rsidRPr="00C73625">
        <w:rPr>
          <w:rFonts w:ascii="Arial" w:hAnsi="Arial" w:cs="Arial"/>
          <w:vertAlign w:val="subscript"/>
        </w:rPr>
        <w:t>50</w:t>
      </w:r>
      <w:r w:rsidRPr="00C73625">
        <w:rPr>
          <w:rFonts w:ascii="Arial" w:hAnsi="Arial" w:cs="Arial"/>
        </w:rPr>
        <w:t xml:space="preserve"> values for MEORL were found to be 167.19 </w:t>
      </w:r>
      <w:proofErr w:type="spellStart"/>
      <w:r w:rsidRPr="00C73625">
        <w:rPr>
          <w:rFonts w:ascii="Arial" w:hAnsi="Arial" w:cs="Arial"/>
        </w:rPr>
        <w:t>μg</w:t>
      </w:r>
      <w:proofErr w:type="spellEnd"/>
      <w:r w:rsidRPr="00C73625">
        <w:rPr>
          <w:rFonts w:ascii="Arial" w:hAnsi="Arial" w:cs="Arial"/>
        </w:rPr>
        <w:t>/ml, with an R</w:t>
      </w:r>
      <w:r w:rsidRPr="00C73625">
        <w:rPr>
          <w:rFonts w:ascii="Arial" w:hAnsi="Arial" w:cs="Arial"/>
          <w:vertAlign w:val="superscript"/>
        </w:rPr>
        <w:t>2</w:t>
      </w:r>
      <w:r w:rsidRPr="00C73625">
        <w:rPr>
          <w:rFonts w:ascii="Arial" w:hAnsi="Arial" w:cs="Arial"/>
        </w:rPr>
        <w:t xml:space="preserve"> value of 0.8828, whereas the LC</w:t>
      </w:r>
      <w:r w:rsidRPr="00C73625">
        <w:rPr>
          <w:rFonts w:ascii="Arial" w:hAnsi="Arial" w:cs="Arial"/>
          <w:vertAlign w:val="subscript"/>
        </w:rPr>
        <w:t xml:space="preserve">50 </w:t>
      </w:r>
      <w:r w:rsidRPr="00C73625">
        <w:rPr>
          <w:rFonts w:ascii="Arial" w:hAnsi="Arial" w:cs="Arial"/>
        </w:rPr>
        <w:t xml:space="preserve">values for vincristine sulfate were found to be 1.84 </w:t>
      </w:r>
      <w:proofErr w:type="spellStart"/>
      <w:r w:rsidRPr="00C73625">
        <w:rPr>
          <w:rFonts w:ascii="Arial" w:hAnsi="Arial" w:cs="Arial"/>
        </w:rPr>
        <w:t>μg</w:t>
      </w:r>
      <w:proofErr w:type="spellEnd"/>
      <w:r w:rsidRPr="00C73625">
        <w:rPr>
          <w:rFonts w:ascii="Arial" w:hAnsi="Arial" w:cs="Arial"/>
        </w:rPr>
        <w:t>/ml, with an R</w:t>
      </w:r>
      <w:r w:rsidRPr="00C73625">
        <w:rPr>
          <w:rFonts w:ascii="Arial" w:hAnsi="Arial" w:cs="Arial"/>
          <w:vertAlign w:val="superscript"/>
        </w:rPr>
        <w:t>2</w:t>
      </w:r>
      <w:r w:rsidRPr="00C73625">
        <w:rPr>
          <w:rFonts w:ascii="Arial" w:hAnsi="Arial" w:cs="Arial"/>
        </w:rPr>
        <w:t xml:space="preserve"> value of 0.8612. The findings are depicted in Fig. 3.</w:t>
      </w:r>
    </w:p>
    <w:p w14:paraId="436ED57D" w14:textId="72881644" w:rsidR="0050372C" w:rsidRDefault="0050372C" w:rsidP="00C73625">
      <w:pPr>
        <w:pStyle w:val="Body"/>
        <w:rPr>
          <w:rFonts w:ascii="Arial" w:hAnsi="Arial" w:cs="Arial"/>
        </w:rPr>
      </w:pPr>
      <w:r>
        <w:rPr>
          <w:rFonts w:ascii="Arial" w:hAnsi="Arial" w:cs="Arial"/>
          <w:noProof/>
          <w:color w:val="252525"/>
        </w:rPr>
        <w:drawing>
          <wp:inline distT="0" distB="0" distL="0" distR="0" wp14:anchorId="69CB27B6" wp14:editId="2EE08223">
            <wp:extent cx="5212080" cy="175907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totoxic.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1759077"/>
                    </a:xfrm>
                    <a:prstGeom prst="rect">
                      <a:avLst/>
                    </a:prstGeom>
                  </pic:spPr>
                </pic:pic>
              </a:graphicData>
            </a:graphic>
          </wp:inline>
        </w:drawing>
      </w:r>
    </w:p>
    <w:p w14:paraId="7E4B320F" w14:textId="77777777" w:rsidR="0050372C" w:rsidRPr="00253FB5" w:rsidRDefault="0050372C" w:rsidP="00253FB5">
      <w:pPr>
        <w:jc w:val="both"/>
        <w:rPr>
          <w:rFonts w:ascii="Arial" w:hAnsi="Arial" w:cs="Arial"/>
          <w:b/>
          <w:bCs/>
        </w:rPr>
      </w:pPr>
      <w:r w:rsidRPr="00253FB5">
        <w:rPr>
          <w:rFonts w:ascii="Arial" w:hAnsi="Arial" w:cs="Arial"/>
          <w:b/>
          <w:bCs/>
        </w:rPr>
        <w:t>Fig. 3. (A) The % of brine shrimp that died when exposed to varying amounts of MEORL and (B) Vincristine sulphate (VCS)</w:t>
      </w:r>
    </w:p>
    <w:p w14:paraId="6BE0836C" w14:textId="77777777" w:rsidR="0050372C" w:rsidRPr="00C73625" w:rsidRDefault="0050372C" w:rsidP="00C73625">
      <w:pPr>
        <w:pStyle w:val="Body"/>
        <w:rPr>
          <w:rFonts w:ascii="Arial" w:hAnsi="Arial" w:cs="Arial"/>
        </w:rPr>
      </w:pPr>
    </w:p>
    <w:p w14:paraId="39E13887" w14:textId="49136471" w:rsidR="00C73625" w:rsidRPr="00C73625" w:rsidRDefault="00C73625" w:rsidP="00C73625">
      <w:pPr>
        <w:pStyle w:val="Body"/>
        <w:rPr>
          <w:rFonts w:ascii="Arial" w:hAnsi="Arial" w:cs="Arial"/>
          <w:b/>
          <w:sz w:val="22"/>
          <w:szCs w:val="22"/>
        </w:rPr>
      </w:pPr>
      <w:r w:rsidRPr="00C73625">
        <w:rPr>
          <w:rFonts w:ascii="Arial" w:hAnsi="Arial" w:cs="Arial"/>
          <w:b/>
          <w:sz w:val="22"/>
          <w:szCs w:val="22"/>
        </w:rPr>
        <w:t>3.4 Inhibition of protein denaturation</w:t>
      </w:r>
    </w:p>
    <w:p w14:paraId="104270B5" w14:textId="77777777" w:rsidR="00C73625" w:rsidRDefault="00C73625" w:rsidP="00C73625">
      <w:pPr>
        <w:pStyle w:val="Body"/>
        <w:rPr>
          <w:rFonts w:ascii="Arial" w:hAnsi="Arial" w:cs="Arial"/>
        </w:rPr>
      </w:pPr>
      <w:r w:rsidRPr="00C73625">
        <w:rPr>
          <w:rFonts w:ascii="Arial" w:hAnsi="Arial" w:cs="Arial"/>
        </w:rPr>
        <w:t xml:space="preserve">At dosages of 31.25, 62.5, 125, 250, 500, and 1000 </w:t>
      </w:r>
      <w:proofErr w:type="spellStart"/>
      <w:r w:rsidRPr="00C73625">
        <w:rPr>
          <w:rFonts w:ascii="Arial" w:hAnsi="Arial" w:cs="Arial"/>
        </w:rPr>
        <w:t>μg</w:t>
      </w:r>
      <w:proofErr w:type="spellEnd"/>
      <w:r w:rsidRPr="00C73625">
        <w:rPr>
          <w:rFonts w:ascii="Arial" w:hAnsi="Arial" w:cs="Arial"/>
        </w:rPr>
        <w:t>/ml, MEORL demonstrated considerable protective efficacy against the denaturation of egg albumin. Based on the results obtained in the present investigation, the crude extract and diclofenac-Na each had a considerable effect on the suppression of protein denaturation (93.29% and 84.76%, respectively), as can be shown in Fig. 4.</w:t>
      </w:r>
    </w:p>
    <w:p w14:paraId="22CECBCF" w14:textId="1BD4398A" w:rsidR="0050372C" w:rsidRDefault="0050372C" w:rsidP="00C73625">
      <w:pPr>
        <w:pStyle w:val="Body"/>
        <w:rPr>
          <w:rFonts w:ascii="Arial" w:hAnsi="Arial" w:cs="Arial"/>
        </w:rPr>
      </w:pPr>
      <w:r>
        <w:rPr>
          <w:rFonts w:ascii="Arial" w:hAnsi="Arial" w:cs="Arial"/>
          <w:noProof/>
        </w:rPr>
        <w:lastRenderedPageBreak/>
        <w:drawing>
          <wp:inline distT="0" distB="0" distL="0" distR="0" wp14:anchorId="37B028D1" wp14:editId="6D43ECEC">
            <wp:extent cx="5212080" cy="303759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 inflammatory revised.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3037596"/>
                    </a:xfrm>
                    <a:prstGeom prst="rect">
                      <a:avLst/>
                    </a:prstGeom>
                  </pic:spPr>
                </pic:pic>
              </a:graphicData>
            </a:graphic>
          </wp:inline>
        </w:drawing>
      </w:r>
    </w:p>
    <w:p w14:paraId="08E9D242" w14:textId="77777777" w:rsidR="0050372C" w:rsidRPr="00253FB5" w:rsidRDefault="0050372C" w:rsidP="00253FB5">
      <w:pPr>
        <w:jc w:val="both"/>
        <w:rPr>
          <w:rFonts w:ascii="Arial" w:hAnsi="Arial" w:cs="Arial"/>
          <w:b/>
          <w:bCs/>
        </w:rPr>
      </w:pPr>
      <w:r w:rsidRPr="00253FB5">
        <w:rPr>
          <w:rFonts w:ascii="Arial" w:hAnsi="Arial" w:cs="Arial"/>
          <w:b/>
          <w:bCs/>
        </w:rPr>
        <w:t xml:space="preserve">Fig. 4. Anti-inflammatory potential of MEORL and Standard </w:t>
      </w:r>
      <w:r w:rsidRPr="00253FB5">
        <w:rPr>
          <w:rFonts w:ascii="Arial" w:hAnsi="Arial" w:cs="Arial"/>
          <w:b/>
          <w:color w:val="000000" w:themeColor="text1"/>
        </w:rPr>
        <w:t>diclofenac-Na</w:t>
      </w:r>
      <w:r w:rsidRPr="00253FB5">
        <w:rPr>
          <w:rFonts w:ascii="Arial" w:hAnsi="Arial" w:cs="Arial"/>
          <w:b/>
          <w:bCs/>
        </w:rPr>
        <w:t xml:space="preserve"> at different concentrations. The results were presented as mean ± SEM. By using one-way ANOVA (Dunnett's test), statistical significance was determined at the *p &lt; 0.05, **p &lt; 0.01, and ***p &lt; 0.001 levels</w:t>
      </w:r>
    </w:p>
    <w:p w14:paraId="5F4014C9" w14:textId="77777777" w:rsidR="0050372C" w:rsidRPr="00C73625" w:rsidRDefault="0050372C" w:rsidP="00C73625">
      <w:pPr>
        <w:pStyle w:val="Body"/>
        <w:rPr>
          <w:rFonts w:ascii="Arial" w:hAnsi="Arial" w:cs="Arial"/>
        </w:rPr>
      </w:pPr>
    </w:p>
    <w:p w14:paraId="5FEA852D" w14:textId="359228DE" w:rsidR="00C73625" w:rsidRPr="00C73625" w:rsidRDefault="00C73625" w:rsidP="00C73625">
      <w:pPr>
        <w:pStyle w:val="Body"/>
        <w:rPr>
          <w:rFonts w:ascii="Arial" w:hAnsi="Arial" w:cs="Arial"/>
          <w:b/>
          <w:sz w:val="22"/>
          <w:szCs w:val="22"/>
        </w:rPr>
      </w:pPr>
      <w:r w:rsidRPr="00C73625">
        <w:rPr>
          <w:rFonts w:ascii="Arial" w:hAnsi="Arial" w:cs="Arial"/>
          <w:b/>
          <w:sz w:val="22"/>
          <w:szCs w:val="22"/>
        </w:rPr>
        <w:t>3.5 In silico molecular docking study</w:t>
      </w:r>
    </w:p>
    <w:p w14:paraId="4303FCBE" w14:textId="72DD6BCC" w:rsidR="00C73625" w:rsidRPr="00C73625" w:rsidRDefault="00C73625" w:rsidP="00C73625">
      <w:pPr>
        <w:pStyle w:val="Body"/>
        <w:rPr>
          <w:rFonts w:ascii="Arial" w:hAnsi="Arial" w:cs="Arial"/>
          <w:bCs/>
        </w:rPr>
      </w:pPr>
      <w:r w:rsidRPr="00C73625">
        <w:rPr>
          <w:rFonts w:ascii="Arial" w:hAnsi="Arial" w:cs="Arial"/>
          <w:bCs/>
        </w:rPr>
        <w:t>The selected compounds interacted with the target proteins and the interactions of all the compounds are represented in Table 2, Fig. 5, and Supplementary Fig</w:t>
      </w:r>
      <w:r>
        <w:rPr>
          <w:rFonts w:ascii="Arial" w:hAnsi="Arial" w:cs="Arial"/>
          <w:bCs/>
        </w:rPr>
        <w:t>ure</w:t>
      </w:r>
      <w:r w:rsidRPr="00C73625">
        <w:rPr>
          <w:rFonts w:ascii="Arial" w:hAnsi="Arial" w:cs="Arial"/>
          <w:bCs/>
        </w:rPr>
        <w:t>s S1-S3.</w:t>
      </w:r>
    </w:p>
    <w:p w14:paraId="0B03E65C" w14:textId="77777777" w:rsidR="00C73625" w:rsidRDefault="00C73625" w:rsidP="00C73625">
      <w:pPr>
        <w:pStyle w:val="Body"/>
        <w:rPr>
          <w:rFonts w:ascii="Arial" w:hAnsi="Arial" w:cs="Arial"/>
        </w:rPr>
      </w:pPr>
      <w:r w:rsidRPr="00C73625">
        <w:rPr>
          <w:rFonts w:ascii="Arial" w:hAnsi="Arial" w:cs="Arial"/>
        </w:rPr>
        <w:t xml:space="preserve">For antioxidant activity, molecular docking simulation was conducted against glutathione reductase (PDB ID: 1XAN), and euchrenone b8 demonstrated the highest docking interaction (-11.8 kcal/mol) whereas the native co-crystalized ligand showed a docking score of -13.1 kcal/mol (Table 2). Euchrenone b8 showed comparatively good interaction with the target protein as it interacted with Gly128, Gly158, Ala130, and Ser51 via four conventional H-bonds (Fig. </w:t>
      </w:r>
      <w:proofErr w:type="gramStart"/>
      <w:r w:rsidRPr="00C73625">
        <w:rPr>
          <w:rFonts w:ascii="Arial" w:hAnsi="Arial" w:cs="Arial"/>
        </w:rPr>
        <w:t>5,B</w:t>
      </w:r>
      <w:proofErr w:type="gramEnd"/>
      <w:r w:rsidRPr="00C73625">
        <w:rPr>
          <w:rFonts w:ascii="Arial" w:hAnsi="Arial" w:cs="Arial"/>
        </w:rPr>
        <w:t>) displaying the stability of the interaction. For cytotoxic activity, molecular docking simulation was conducted against human cytochrome P450 CYP2C9 (PDB ID: 1OG5), and lupeol demonstrated the highest docking interaction (-10.5 kcal/mol) whereas the native co-crystalized ligand showed a docking score of -9.9 kcal/mol (Table 2). Lupeol showed comparatively good interaction with the target protein as it interacted with Ile99, Ile205, Leu208, Leu366, Val113, Arg97, Ala103, Pro367 via alkyl bonds (Fig. 5,D) displaying the stability of the interaction. For anti-inflammatory activity, molecular docking simulation was conducted against phosphodiesterase-4 inhibitor (PDE4) receptor (PDB ID: 4WCU), and euchrenone b8 demonstrated the highest docking interaction (-10.0 kcal/mol) whereas the native co-crystalized ligand showed a docking score of -8.7 kcal/mol (Table 2). Euchrenone b8, showed comparatively good interaction with the target protein as it interacted with His160 via conventional H-bonds (Fig. 5) displaying the stability of the interaction.</w:t>
      </w:r>
    </w:p>
    <w:p w14:paraId="132EDF90" w14:textId="2B8077FB" w:rsidR="00060483" w:rsidRPr="00253FB5" w:rsidRDefault="00060483" w:rsidP="00253FB5">
      <w:pPr>
        <w:pStyle w:val="Body"/>
        <w:spacing w:line="480" w:lineRule="auto"/>
        <w:rPr>
          <w:rFonts w:ascii="Arial" w:hAnsi="Arial" w:cs="Arial"/>
          <w:b/>
          <w:color w:val="2E2E2E"/>
        </w:rPr>
      </w:pPr>
      <w:r w:rsidRPr="00253FB5">
        <w:rPr>
          <w:rStyle w:val="label"/>
          <w:rFonts w:ascii="Arial" w:hAnsi="Arial" w:cs="Arial"/>
          <w:b/>
          <w:color w:val="2E2E2E"/>
        </w:rPr>
        <w:lastRenderedPageBreak/>
        <w:t>Table 2</w:t>
      </w:r>
      <w:r w:rsidRPr="00253FB5">
        <w:rPr>
          <w:rFonts w:ascii="Arial" w:hAnsi="Arial" w:cs="Arial"/>
          <w:b/>
          <w:color w:val="2E2E2E"/>
        </w:rPr>
        <w:t>.  The selected phytoconstituents binding description with their respective target proteins</w:t>
      </w:r>
    </w:p>
    <w:tbl>
      <w:tblPr>
        <w:tblStyle w:val="TableGrid"/>
        <w:tblW w:w="0" w:type="auto"/>
        <w:tblInd w:w="1276" w:type="dxa"/>
        <w:tblLook w:val="04A0" w:firstRow="1" w:lastRow="0" w:firstColumn="1" w:lastColumn="0" w:noHBand="0" w:noVBand="1"/>
      </w:tblPr>
      <w:tblGrid>
        <w:gridCol w:w="1875"/>
        <w:gridCol w:w="1261"/>
        <w:gridCol w:w="1256"/>
        <w:gridCol w:w="1278"/>
        <w:gridCol w:w="8"/>
      </w:tblGrid>
      <w:tr w:rsidR="00060483" w:rsidRPr="006A333F" w14:paraId="5264B613" w14:textId="77777777" w:rsidTr="00E772A2">
        <w:trPr>
          <w:gridAfter w:val="1"/>
          <w:wAfter w:w="8" w:type="dxa"/>
          <w:trHeight w:val="400"/>
        </w:trPr>
        <w:tc>
          <w:tcPr>
            <w:tcW w:w="1875" w:type="dxa"/>
            <w:vMerge w:val="restart"/>
            <w:tcBorders>
              <w:top w:val="single" w:sz="4" w:space="0" w:color="auto"/>
              <w:left w:val="single" w:sz="4" w:space="0" w:color="auto"/>
              <w:bottom w:val="single" w:sz="4" w:space="0" w:color="auto"/>
              <w:right w:val="single" w:sz="4" w:space="0" w:color="auto"/>
            </w:tcBorders>
            <w:vAlign w:val="center"/>
          </w:tcPr>
          <w:p w14:paraId="7607B4CC" w14:textId="77777777" w:rsidR="00060483" w:rsidRPr="006A333F" w:rsidRDefault="00060483" w:rsidP="003933B5">
            <w:pPr>
              <w:spacing w:line="480" w:lineRule="auto"/>
              <w:rPr>
                <w:rFonts w:ascii="Arial" w:hAnsi="Arial" w:cs="Arial"/>
                <w:b/>
                <w:sz w:val="20"/>
                <w:szCs w:val="20"/>
              </w:rPr>
            </w:pPr>
          </w:p>
          <w:p w14:paraId="20AFEF32" w14:textId="77777777" w:rsidR="00060483" w:rsidRPr="006A333F" w:rsidRDefault="00060483" w:rsidP="003933B5">
            <w:pPr>
              <w:spacing w:line="480" w:lineRule="auto"/>
              <w:rPr>
                <w:rFonts w:ascii="Arial" w:hAnsi="Arial" w:cs="Arial"/>
                <w:b/>
                <w:sz w:val="20"/>
                <w:szCs w:val="20"/>
              </w:rPr>
            </w:pPr>
            <w:r w:rsidRPr="006A333F">
              <w:rPr>
                <w:rFonts w:ascii="Arial" w:hAnsi="Arial" w:cs="Arial"/>
                <w:b/>
                <w:sz w:val="20"/>
                <w:szCs w:val="20"/>
              </w:rPr>
              <w:t>Compounds</w:t>
            </w:r>
          </w:p>
        </w:tc>
        <w:tc>
          <w:tcPr>
            <w:tcW w:w="3795" w:type="dxa"/>
            <w:gridSpan w:val="3"/>
            <w:shd w:val="clear" w:color="auto" w:fill="auto"/>
          </w:tcPr>
          <w:p w14:paraId="18781906" w14:textId="77777777" w:rsidR="00060483" w:rsidRPr="006A333F" w:rsidRDefault="00060483" w:rsidP="003933B5">
            <w:pPr>
              <w:spacing w:line="480" w:lineRule="auto"/>
              <w:jc w:val="center"/>
              <w:rPr>
                <w:rFonts w:ascii="Arial" w:hAnsi="Arial" w:cs="Arial"/>
                <w:sz w:val="20"/>
                <w:szCs w:val="20"/>
              </w:rPr>
            </w:pPr>
            <w:r w:rsidRPr="006A333F">
              <w:rPr>
                <w:rStyle w:val="Strong"/>
                <w:rFonts w:ascii="Arial" w:hAnsi="Arial" w:cs="Arial"/>
                <w:color w:val="2E2E2E"/>
                <w:sz w:val="20"/>
                <w:szCs w:val="20"/>
              </w:rPr>
              <w:t>Docking score (kcal/mol)</w:t>
            </w:r>
          </w:p>
        </w:tc>
      </w:tr>
      <w:tr w:rsidR="00060483" w:rsidRPr="006A333F" w14:paraId="7290E645" w14:textId="77777777" w:rsidTr="00E772A2">
        <w:trPr>
          <w:trHeight w:val="3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A9C7E5" w14:textId="77777777" w:rsidR="00060483" w:rsidRPr="006A333F" w:rsidRDefault="00060483" w:rsidP="003933B5">
            <w:pPr>
              <w:spacing w:line="480" w:lineRule="auto"/>
              <w:rPr>
                <w:rFonts w:ascii="Arial" w:hAnsi="Arial" w:cs="Arial"/>
                <w:b/>
                <w:sz w:val="20"/>
                <w:szCs w:val="20"/>
              </w:rPr>
            </w:pPr>
          </w:p>
        </w:tc>
        <w:tc>
          <w:tcPr>
            <w:tcW w:w="1261" w:type="dxa"/>
            <w:tcBorders>
              <w:top w:val="single" w:sz="4" w:space="0" w:color="auto"/>
              <w:left w:val="single" w:sz="4" w:space="0" w:color="auto"/>
              <w:bottom w:val="single" w:sz="4" w:space="0" w:color="auto"/>
              <w:right w:val="single" w:sz="4" w:space="0" w:color="auto"/>
            </w:tcBorders>
            <w:vAlign w:val="center"/>
            <w:hideMark/>
          </w:tcPr>
          <w:p w14:paraId="1866A9F5" w14:textId="77777777" w:rsidR="00060483" w:rsidRPr="006A333F" w:rsidRDefault="00060483" w:rsidP="003933B5">
            <w:pPr>
              <w:spacing w:line="480" w:lineRule="auto"/>
              <w:jc w:val="center"/>
              <w:rPr>
                <w:rFonts w:ascii="Arial" w:hAnsi="Arial" w:cs="Arial"/>
                <w:b/>
                <w:sz w:val="20"/>
                <w:szCs w:val="20"/>
              </w:rPr>
            </w:pPr>
            <w:r w:rsidRPr="006A333F">
              <w:rPr>
                <w:rFonts w:ascii="Arial" w:hAnsi="Arial" w:cs="Arial"/>
                <w:b/>
                <w:sz w:val="20"/>
                <w:szCs w:val="20"/>
              </w:rPr>
              <w:t>1XAN</w:t>
            </w:r>
          </w:p>
        </w:tc>
        <w:tc>
          <w:tcPr>
            <w:tcW w:w="1256" w:type="dxa"/>
            <w:tcBorders>
              <w:top w:val="single" w:sz="4" w:space="0" w:color="auto"/>
              <w:left w:val="single" w:sz="4" w:space="0" w:color="auto"/>
              <w:bottom w:val="single" w:sz="4" w:space="0" w:color="auto"/>
              <w:right w:val="single" w:sz="4" w:space="0" w:color="auto"/>
            </w:tcBorders>
            <w:vAlign w:val="center"/>
            <w:hideMark/>
          </w:tcPr>
          <w:p w14:paraId="3592E8F5" w14:textId="77777777" w:rsidR="00060483" w:rsidRPr="006A333F" w:rsidRDefault="00060483" w:rsidP="003933B5">
            <w:pPr>
              <w:spacing w:line="480" w:lineRule="auto"/>
              <w:jc w:val="center"/>
              <w:rPr>
                <w:rFonts w:ascii="Arial" w:hAnsi="Arial" w:cs="Arial"/>
                <w:b/>
                <w:sz w:val="20"/>
                <w:szCs w:val="20"/>
              </w:rPr>
            </w:pPr>
            <w:r w:rsidRPr="006A333F">
              <w:rPr>
                <w:rFonts w:ascii="Arial" w:hAnsi="Arial" w:cs="Arial"/>
                <w:b/>
                <w:sz w:val="20"/>
                <w:szCs w:val="20"/>
              </w:rPr>
              <w:t>1OG5</w:t>
            </w:r>
          </w:p>
        </w:tc>
        <w:tc>
          <w:tcPr>
            <w:tcW w:w="1286" w:type="dxa"/>
            <w:gridSpan w:val="2"/>
            <w:tcBorders>
              <w:top w:val="single" w:sz="4" w:space="0" w:color="auto"/>
              <w:left w:val="single" w:sz="4" w:space="0" w:color="auto"/>
              <w:bottom w:val="single" w:sz="4" w:space="0" w:color="auto"/>
              <w:right w:val="single" w:sz="4" w:space="0" w:color="auto"/>
            </w:tcBorders>
            <w:vAlign w:val="center"/>
            <w:hideMark/>
          </w:tcPr>
          <w:p w14:paraId="5FFFC762" w14:textId="77777777" w:rsidR="00060483" w:rsidRPr="006A333F" w:rsidRDefault="00060483" w:rsidP="003933B5">
            <w:pPr>
              <w:spacing w:line="480" w:lineRule="auto"/>
              <w:jc w:val="center"/>
              <w:rPr>
                <w:rFonts w:ascii="Arial" w:hAnsi="Arial" w:cs="Arial"/>
                <w:b/>
                <w:sz w:val="20"/>
                <w:szCs w:val="20"/>
              </w:rPr>
            </w:pPr>
            <w:r w:rsidRPr="006A333F">
              <w:rPr>
                <w:rFonts w:ascii="Arial" w:hAnsi="Arial" w:cs="Arial"/>
                <w:b/>
                <w:sz w:val="20"/>
                <w:szCs w:val="20"/>
              </w:rPr>
              <w:t>4WCU</w:t>
            </w:r>
          </w:p>
        </w:tc>
      </w:tr>
      <w:tr w:rsidR="00060483" w:rsidRPr="006A333F" w14:paraId="2E53D15A" w14:textId="77777777" w:rsidTr="00E772A2">
        <w:trPr>
          <w:trHeight w:val="350"/>
        </w:trPr>
        <w:tc>
          <w:tcPr>
            <w:tcW w:w="1875" w:type="dxa"/>
            <w:tcBorders>
              <w:top w:val="single" w:sz="4" w:space="0" w:color="auto"/>
              <w:left w:val="single" w:sz="4" w:space="0" w:color="auto"/>
              <w:bottom w:val="single" w:sz="4" w:space="0" w:color="auto"/>
              <w:right w:val="single" w:sz="4" w:space="0" w:color="auto"/>
            </w:tcBorders>
            <w:vAlign w:val="center"/>
            <w:hideMark/>
          </w:tcPr>
          <w:p w14:paraId="3BDEE5F2" w14:textId="77777777" w:rsidR="00060483" w:rsidRPr="006A333F" w:rsidRDefault="00060483" w:rsidP="003933B5">
            <w:pPr>
              <w:spacing w:line="480" w:lineRule="auto"/>
              <w:rPr>
                <w:rFonts w:ascii="Arial" w:hAnsi="Arial" w:cs="Arial"/>
                <w:sz w:val="20"/>
                <w:szCs w:val="20"/>
              </w:rPr>
            </w:pPr>
            <w:bookmarkStart w:id="2" w:name="_Hlk146214432"/>
            <w:proofErr w:type="spellStart"/>
            <w:r w:rsidRPr="006A333F">
              <w:rPr>
                <w:rFonts w:ascii="Arial" w:hAnsi="Arial" w:cs="Arial"/>
                <w:sz w:val="20"/>
                <w:szCs w:val="20"/>
              </w:rPr>
              <w:t>Betulinic</w:t>
            </w:r>
            <w:proofErr w:type="spellEnd"/>
            <w:r w:rsidRPr="006A333F">
              <w:rPr>
                <w:rFonts w:ascii="Arial" w:hAnsi="Arial" w:cs="Arial"/>
                <w:sz w:val="20"/>
                <w:szCs w:val="20"/>
              </w:rPr>
              <w:t xml:space="preserve"> acid</w:t>
            </w:r>
            <w:bookmarkEnd w:id="2"/>
          </w:p>
        </w:tc>
        <w:tc>
          <w:tcPr>
            <w:tcW w:w="1261" w:type="dxa"/>
            <w:tcBorders>
              <w:top w:val="single" w:sz="4" w:space="0" w:color="auto"/>
              <w:left w:val="single" w:sz="4" w:space="0" w:color="auto"/>
              <w:bottom w:val="single" w:sz="4" w:space="0" w:color="auto"/>
              <w:right w:val="single" w:sz="4" w:space="0" w:color="auto"/>
            </w:tcBorders>
            <w:vAlign w:val="center"/>
            <w:hideMark/>
          </w:tcPr>
          <w:p w14:paraId="71283892"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-6.4</w:t>
            </w:r>
          </w:p>
        </w:tc>
        <w:tc>
          <w:tcPr>
            <w:tcW w:w="1256" w:type="dxa"/>
            <w:tcBorders>
              <w:top w:val="single" w:sz="4" w:space="0" w:color="auto"/>
              <w:left w:val="single" w:sz="4" w:space="0" w:color="auto"/>
              <w:bottom w:val="single" w:sz="4" w:space="0" w:color="auto"/>
              <w:right w:val="single" w:sz="4" w:space="0" w:color="auto"/>
            </w:tcBorders>
            <w:vAlign w:val="center"/>
            <w:hideMark/>
          </w:tcPr>
          <w:p w14:paraId="2F0F3A11"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-9.7</w:t>
            </w:r>
          </w:p>
        </w:tc>
        <w:tc>
          <w:tcPr>
            <w:tcW w:w="1286" w:type="dxa"/>
            <w:gridSpan w:val="2"/>
            <w:tcBorders>
              <w:top w:val="single" w:sz="4" w:space="0" w:color="auto"/>
              <w:left w:val="single" w:sz="4" w:space="0" w:color="auto"/>
              <w:bottom w:val="single" w:sz="4" w:space="0" w:color="auto"/>
              <w:right w:val="single" w:sz="4" w:space="0" w:color="auto"/>
            </w:tcBorders>
            <w:vAlign w:val="center"/>
            <w:hideMark/>
          </w:tcPr>
          <w:p w14:paraId="76336FC5"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-8.3</w:t>
            </w:r>
          </w:p>
        </w:tc>
      </w:tr>
      <w:tr w:rsidR="00060483" w:rsidRPr="006A333F" w14:paraId="2F866FA6" w14:textId="77777777" w:rsidTr="00E772A2">
        <w:trPr>
          <w:trHeight w:val="341"/>
        </w:trPr>
        <w:tc>
          <w:tcPr>
            <w:tcW w:w="1875" w:type="dxa"/>
            <w:tcBorders>
              <w:top w:val="single" w:sz="4" w:space="0" w:color="auto"/>
              <w:left w:val="single" w:sz="4" w:space="0" w:color="auto"/>
              <w:bottom w:val="single" w:sz="4" w:space="0" w:color="auto"/>
              <w:right w:val="single" w:sz="4" w:space="0" w:color="auto"/>
            </w:tcBorders>
            <w:vAlign w:val="center"/>
            <w:hideMark/>
          </w:tcPr>
          <w:p w14:paraId="60933C0A" w14:textId="77777777" w:rsidR="00060483" w:rsidRPr="006A333F" w:rsidRDefault="00060483" w:rsidP="003933B5">
            <w:pPr>
              <w:spacing w:line="480" w:lineRule="auto"/>
              <w:rPr>
                <w:rFonts w:ascii="Arial" w:hAnsi="Arial" w:cs="Arial"/>
                <w:sz w:val="20"/>
                <w:szCs w:val="20"/>
              </w:rPr>
            </w:pPr>
            <w:bookmarkStart w:id="3" w:name="_Hlk146214418"/>
            <w:r w:rsidRPr="006A333F">
              <w:rPr>
                <w:rFonts w:ascii="Arial" w:hAnsi="Arial" w:cs="Arial"/>
                <w:sz w:val="20"/>
                <w:szCs w:val="20"/>
              </w:rPr>
              <w:t>Lupeol</w:t>
            </w:r>
            <w:bookmarkEnd w:id="3"/>
          </w:p>
        </w:tc>
        <w:tc>
          <w:tcPr>
            <w:tcW w:w="1261" w:type="dxa"/>
            <w:tcBorders>
              <w:top w:val="single" w:sz="4" w:space="0" w:color="auto"/>
              <w:left w:val="single" w:sz="4" w:space="0" w:color="auto"/>
              <w:bottom w:val="single" w:sz="4" w:space="0" w:color="auto"/>
              <w:right w:val="single" w:sz="4" w:space="0" w:color="auto"/>
            </w:tcBorders>
            <w:vAlign w:val="center"/>
            <w:hideMark/>
          </w:tcPr>
          <w:p w14:paraId="0B733D61"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-6.9</w:t>
            </w:r>
          </w:p>
        </w:tc>
        <w:tc>
          <w:tcPr>
            <w:tcW w:w="1256" w:type="dxa"/>
            <w:tcBorders>
              <w:top w:val="single" w:sz="4" w:space="0" w:color="auto"/>
              <w:left w:val="single" w:sz="4" w:space="0" w:color="auto"/>
              <w:bottom w:val="single" w:sz="4" w:space="0" w:color="auto"/>
              <w:right w:val="single" w:sz="4" w:space="0" w:color="auto"/>
            </w:tcBorders>
            <w:vAlign w:val="center"/>
            <w:hideMark/>
          </w:tcPr>
          <w:p w14:paraId="5F065B5F" w14:textId="77777777" w:rsidR="00060483" w:rsidRPr="006A333F" w:rsidRDefault="00060483" w:rsidP="003933B5">
            <w:pPr>
              <w:spacing w:line="480" w:lineRule="auto"/>
              <w:jc w:val="center"/>
              <w:rPr>
                <w:rFonts w:ascii="Arial" w:hAnsi="Arial" w:cs="Arial"/>
                <w:b/>
                <w:sz w:val="20"/>
                <w:szCs w:val="20"/>
              </w:rPr>
            </w:pPr>
            <w:r w:rsidRPr="006A333F">
              <w:rPr>
                <w:rFonts w:ascii="Arial" w:hAnsi="Arial" w:cs="Arial"/>
                <w:b/>
                <w:sz w:val="20"/>
                <w:szCs w:val="20"/>
              </w:rPr>
              <w:t>-10.5</w:t>
            </w:r>
          </w:p>
        </w:tc>
        <w:tc>
          <w:tcPr>
            <w:tcW w:w="1286" w:type="dxa"/>
            <w:gridSpan w:val="2"/>
            <w:tcBorders>
              <w:top w:val="single" w:sz="4" w:space="0" w:color="auto"/>
              <w:left w:val="single" w:sz="4" w:space="0" w:color="auto"/>
              <w:bottom w:val="single" w:sz="4" w:space="0" w:color="auto"/>
              <w:right w:val="single" w:sz="4" w:space="0" w:color="auto"/>
            </w:tcBorders>
            <w:vAlign w:val="center"/>
            <w:hideMark/>
          </w:tcPr>
          <w:p w14:paraId="11EC4101"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-8.3</w:t>
            </w:r>
          </w:p>
        </w:tc>
      </w:tr>
      <w:tr w:rsidR="00060483" w:rsidRPr="006A333F" w14:paraId="52E6C707" w14:textId="77777777" w:rsidTr="00E772A2">
        <w:trPr>
          <w:trHeight w:val="350"/>
        </w:trPr>
        <w:tc>
          <w:tcPr>
            <w:tcW w:w="1875" w:type="dxa"/>
            <w:tcBorders>
              <w:top w:val="single" w:sz="4" w:space="0" w:color="auto"/>
              <w:left w:val="single" w:sz="4" w:space="0" w:color="auto"/>
              <w:bottom w:val="single" w:sz="4" w:space="0" w:color="auto"/>
              <w:right w:val="single" w:sz="4" w:space="0" w:color="auto"/>
            </w:tcBorders>
            <w:vAlign w:val="center"/>
            <w:hideMark/>
          </w:tcPr>
          <w:p w14:paraId="5375F431" w14:textId="77777777" w:rsidR="00060483" w:rsidRPr="006A333F" w:rsidRDefault="00060483" w:rsidP="003933B5">
            <w:pPr>
              <w:spacing w:line="480" w:lineRule="auto"/>
              <w:rPr>
                <w:rFonts w:ascii="Arial" w:hAnsi="Arial" w:cs="Arial"/>
                <w:sz w:val="20"/>
                <w:szCs w:val="20"/>
              </w:rPr>
            </w:pPr>
            <w:bookmarkStart w:id="4" w:name="_Hlk146214395"/>
            <w:r w:rsidRPr="006A333F">
              <w:rPr>
                <w:rFonts w:ascii="Arial" w:hAnsi="Arial" w:cs="Arial"/>
                <w:sz w:val="20"/>
                <w:szCs w:val="20"/>
              </w:rPr>
              <w:t>Warangalone</w:t>
            </w:r>
            <w:bookmarkEnd w:id="4"/>
          </w:p>
        </w:tc>
        <w:tc>
          <w:tcPr>
            <w:tcW w:w="1261" w:type="dxa"/>
            <w:tcBorders>
              <w:top w:val="single" w:sz="4" w:space="0" w:color="auto"/>
              <w:left w:val="single" w:sz="4" w:space="0" w:color="auto"/>
              <w:bottom w:val="single" w:sz="4" w:space="0" w:color="auto"/>
              <w:right w:val="single" w:sz="4" w:space="0" w:color="auto"/>
            </w:tcBorders>
            <w:vAlign w:val="center"/>
            <w:hideMark/>
          </w:tcPr>
          <w:p w14:paraId="6F25E12D"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-8.7</w:t>
            </w:r>
          </w:p>
        </w:tc>
        <w:tc>
          <w:tcPr>
            <w:tcW w:w="1256" w:type="dxa"/>
            <w:tcBorders>
              <w:top w:val="single" w:sz="4" w:space="0" w:color="auto"/>
              <w:left w:val="single" w:sz="4" w:space="0" w:color="auto"/>
              <w:bottom w:val="single" w:sz="4" w:space="0" w:color="auto"/>
              <w:right w:val="single" w:sz="4" w:space="0" w:color="auto"/>
            </w:tcBorders>
            <w:vAlign w:val="center"/>
            <w:hideMark/>
          </w:tcPr>
          <w:p w14:paraId="1B3C7256"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-9.8</w:t>
            </w:r>
          </w:p>
        </w:tc>
        <w:tc>
          <w:tcPr>
            <w:tcW w:w="1286" w:type="dxa"/>
            <w:gridSpan w:val="2"/>
            <w:tcBorders>
              <w:top w:val="single" w:sz="4" w:space="0" w:color="auto"/>
              <w:left w:val="single" w:sz="4" w:space="0" w:color="auto"/>
              <w:bottom w:val="single" w:sz="4" w:space="0" w:color="auto"/>
              <w:right w:val="single" w:sz="4" w:space="0" w:color="auto"/>
            </w:tcBorders>
            <w:vAlign w:val="center"/>
            <w:hideMark/>
          </w:tcPr>
          <w:p w14:paraId="78FB11CC"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-9.3</w:t>
            </w:r>
          </w:p>
        </w:tc>
      </w:tr>
      <w:tr w:rsidR="00060483" w:rsidRPr="006A333F" w14:paraId="0B019D61" w14:textId="77777777" w:rsidTr="00E772A2">
        <w:trPr>
          <w:trHeight w:val="359"/>
        </w:trPr>
        <w:tc>
          <w:tcPr>
            <w:tcW w:w="1875" w:type="dxa"/>
            <w:tcBorders>
              <w:top w:val="single" w:sz="4" w:space="0" w:color="auto"/>
              <w:left w:val="single" w:sz="4" w:space="0" w:color="auto"/>
              <w:bottom w:val="single" w:sz="4" w:space="0" w:color="auto"/>
              <w:right w:val="single" w:sz="4" w:space="0" w:color="auto"/>
            </w:tcBorders>
            <w:vAlign w:val="center"/>
            <w:hideMark/>
          </w:tcPr>
          <w:p w14:paraId="7A6E4469"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Euchrenone b8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3436D6C" w14:textId="77777777" w:rsidR="00060483" w:rsidRPr="006A333F" w:rsidRDefault="00060483" w:rsidP="003933B5">
            <w:pPr>
              <w:spacing w:line="480" w:lineRule="auto"/>
              <w:jc w:val="center"/>
              <w:rPr>
                <w:rFonts w:ascii="Arial" w:hAnsi="Arial" w:cs="Arial"/>
                <w:b/>
                <w:sz w:val="20"/>
                <w:szCs w:val="20"/>
              </w:rPr>
            </w:pPr>
            <w:r w:rsidRPr="006A333F">
              <w:rPr>
                <w:rFonts w:ascii="Arial" w:hAnsi="Arial" w:cs="Arial"/>
                <w:b/>
                <w:sz w:val="20"/>
                <w:szCs w:val="20"/>
              </w:rPr>
              <w:t>-11.8</w:t>
            </w:r>
          </w:p>
        </w:tc>
        <w:tc>
          <w:tcPr>
            <w:tcW w:w="1256" w:type="dxa"/>
            <w:tcBorders>
              <w:top w:val="single" w:sz="4" w:space="0" w:color="auto"/>
              <w:left w:val="single" w:sz="4" w:space="0" w:color="auto"/>
              <w:bottom w:val="single" w:sz="4" w:space="0" w:color="auto"/>
              <w:right w:val="single" w:sz="4" w:space="0" w:color="auto"/>
            </w:tcBorders>
            <w:vAlign w:val="center"/>
            <w:hideMark/>
          </w:tcPr>
          <w:p w14:paraId="7CC9BD0B"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-9.7</w:t>
            </w:r>
          </w:p>
        </w:tc>
        <w:tc>
          <w:tcPr>
            <w:tcW w:w="1286" w:type="dxa"/>
            <w:gridSpan w:val="2"/>
            <w:tcBorders>
              <w:top w:val="single" w:sz="4" w:space="0" w:color="auto"/>
              <w:left w:val="single" w:sz="4" w:space="0" w:color="auto"/>
              <w:bottom w:val="single" w:sz="4" w:space="0" w:color="auto"/>
              <w:right w:val="single" w:sz="4" w:space="0" w:color="auto"/>
            </w:tcBorders>
            <w:vAlign w:val="center"/>
            <w:hideMark/>
          </w:tcPr>
          <w:p w14:paraId="62665617" w14:textId="77777777" w:rsidR="00060483" w:rsidRPr="006A333F" w:rsidRDefault="00060483" w:rsidP="003933B5">
            <w:pPr>
              <w:spacing w:line="480" w:lineRule="auto"/>
              <w:jc w:val="center"/>
              <w:rPr>
                <w:rFonts w:ascii="Arial" w:hAnsi="Arial" w:cs="Arial"/>
                <w:b/>
                <w:sz w:val="20"/>
                <w:szCs w:val="20"/>
              </w:rPr>
            </w:pPr>
            <w:r w:rsidRPr="006A333F">
              <w:rPr>
                <w:rFonts w:ascii="Arial" w:hAnsi="Arial" w:cs="Arial"/>
                <w:b/>
                <w:sz w:val="20"/>
                <w:szCs w:val="20"/>
              </w:rPr>
              <w:t>-10.0</w:t>
            </w:r>
          </w:p>
        </w:tc>
      </w:tr>
      <w:tr w:rsidR="00060483" w:rsidRPr="006A333F" w14:paraId="35848558" w14:textId="77777777" w:rsidTr="00E772A2">
        <w:trPr>
          <w:trHeight w:val="341"/>
        </w:trPr>
        <w:tc>
          <w:tcPr>
            <w:tcW w:w="1875" w:type="dxa"/>
            <w:tcBorders>
              <w:top w:val="single" w:sz="4" w:space="0" w:color="auto"/>
              <w:left w:val="single" w:sz="4" w:space="0" w:color="auto"/>
              <w:bottom w:val="single" w:sz="4" w:space="0" w:color="auto"/>
              <w:right w:val="single" w:sz="4" w:space="0" w:color="auto"/>
            </w:tcBorders>
            <w:vAlign w:val="center"/>
            <w:hideMark/>
          </w:tcPr>
          <w:p w14:paraId="57FF50BA" w14:textId="77777777" w:rsidR="00060483" w:rsidRPr="006A333F" w:rsidRDefault="00060483" w:rsidP="003933B5">
            <w:pPr>
              <w:spacing w:line="480" w:lineRule="auto"/>
              <w:rPr>
                <w:rFonts w:ascii="Arial" w:hAnsi="Arial" w:cs="Arial"/>
                <w:b/>
                <w:sz w:val="20"/>
                <w:szCs w:val="20"/>
              </w:rPr>
            </w:pPr>
            <w:r w:rsidRPr="006A333F">
              <w:rPr>
                <w:rFonts w:ascii="Arial" w:eastAsia="Times New Roman" w:hAnsi="Arial" w:cs="Arial"/>
                <w:color w:val="252525"/>
                <w:sz w:val="20"/>
                <w:szCs w:val="20"/>
              </w:rPr>
              <w:t>Known inhibitor (</w:t>
            </w:r>
            <w:bookmarkStart w:id="5" w:name="_Hlk146214444"/>
            <w:r w:rsidRPr="006A333F">
              <w:rPr>
                <w:rFonts w:ascii="Arial" w:eastAsia="Times New Roman" w:hAnsi="Arial" w:cs="Arial"/>
                <w:color w:val="252525"/>
                <w:sz w:val="20"/>
                <w:szCs w:val="20"/>
              </w:rPr>
              <w:t>co-crystalized ligand</w:t>
            </w:r>
            <w:bookmarkEnd w:id="5"/>
            <w:r w:rsidRPr="006A333F">
              <w:rPr>
                <w:rFonts w:ascii="Arial" w:eastAsia="Times New Roman" w:hAnsi="Arial" w:cs="Arial"/>
                <w:color w:val="252525"/>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8C8DC23" w14:textId="77777777" w:rsidR="00060483" w:rsidRPr="006A333F" w:rsidRDefault="00060483" w:rsidP="003933B5">
            <w:pPr>
              <w:spacing w:line="480" w:lineRule="auto"/>
              <w:jc w:val="center"/>
              <w:rPr>
                <w:rFonts w:ascii="Arial" w:hAnsi="Arial" w:cs="Arial"/>
                <w:b/>
                <w:sz w:val="20"/>
                <w:szCs w:val="20"/>
              </w:rPr>
            </w:pPr>
            <w:r w:rsidRPr="006A333F">
              <w:rPr>
                <w:rFonts w:ascii="Arial" w:hAnsi="Arial" w:cs="Arial"/>
                <w:b/>
                <w:sz w:val="20"/>
                <w:szCs w:val="20"/>
              </w:rPr>
              <w:t>-13.1</w:t>
            </w:r>
          </w:p>
        </w:tc>
        <w:tc>
          <w:tcPr>
            <w:tcW w:w="1256" w:type="dxa"/>
            <w:tcBorders>
              <w:top w:val="single" w:sz="4" w:space="0" w:color="auto"/>
              <w:left w:val="single" w:sz="4" w:space="0" w:color="auto"/>
              <w:bottom w:val="single" w:sz="4" w:space="0" w:color="auto"/>
              <w:right w:val="single" w:sz="4" w:space="0" w:color="auto"/>
            </w:tcBorders>
            <w:vAlign w:val="center"/>
            <w:hideMark/>
          </w:tcPr>
          <w:p w14:paraId="4CB2327C" w14:textId="77777777" w:rsidR="00060483" w:rsidRPr="006A333F" w:rsidRDefault="00060483" w:rsidP="003933B5">
            <w:pPr>
              <w:spacing w:line="480" w:lineRule="auto"/>
              <w:jc w:val="center"/>
              <w:rPr>
                <w:rFonts w:ascii="Arial" w:hAnsi="Arial" w:cs="Arial"/>
                <w:b/>
                <w:sz w:val="20"/>
                <w:szCs w:val="20"/>
              </w:rPr>
            </w:pPr>
            <w:r w:rsidRPr="006A333F">
              <w:rPr>
                <w:rFonts w:ascii="Arial" w:hAnsi="Arial" w:cs="Arial"/>
                <w:b/>
                <w:sz w:val="20"/>
                <w:szCs w:val="20"/>
              </w:rPr>
              <w:t>-9.9</w:t>
            </w:r>
          </w:p>
        </w:tc>
        <w:tc>
          <w:tcPr>
            <w:tcW w:w="1286" w:type="dxa"/>
            <w:gridSpan w:val="2"/>
            <w:tcBorders>
              <w:top w:val="single" w:sz="4" w:space="0" w:color="auto"/>
              <w:left w:val="single" w:sz="4" w:space="0" w:color="auto"/>
              <w:bottom w:val="single" w:sz="4" w:space="0" w:color="auto"/>
              <w:right w:val="single" w:sz="4" w:space="0" w:color="auto"/>
            </w:tcBorders>
            <w:vAlign w:val="center"/>
            <w:hideMark/>
          </w:tcPr>
          <w:p w14:paraId="6B479DFB" w14:textId="77777777" w:rsidR="00060483" w:rsidRPr="006A333F" w:rsidRDefault="00060483" w:rsidP="003933B5">
            <w:pPr>
              <w:spacing w:line="480" w:lineRule="auto"/>
              <w:jc w:val="center"/>
              <w:rPr>
                <w:rFonts w:ascii="Arial" w:hAnsi="Arial" w:cs="Arial"/>
                <w:b/>
                <w:sz w:val="20"/>
                <w:szCs w:val="20"/>
              </w:rPr>
            </w:pPr>
            <w:r w:rsidRPr="006A333F">
              <w:rPr>
                <w:rFonts w:ascii="Arial" w:hAnsi="Arial" w:cs="Arial"/>
                <w:b/>
                <w:sz w:val="20"/>
                <w:szCs w:val="20"/>
              </w:rPr>
              <w:t>-8.7</w:t>
            </w:r>
          </w:p>
        </w:tc>
      </w:tr>
    </w:tbl>
    <w:p w14:paraId="5477E4AA" w14:textId="44145AF1" w:rsidR="00060483" w:rsidRDefault="00E772A2" w:rsidP="00C73625">
      <w:pPr>
        <w:pStyle w:val="Body"/>
        <w:rPr>
          <w:rFonts w:ascii="Arial" w:hAnsi="Arial" w:cs="Arial"/>
        </w:rPr>
      </w:pPr>
      <w:r>
        <w:rPr>
          <w:rFonts w:ascii="Arial" w:hAnsi="Arial" w:cs="Arial"/>
        </w:rPr>
        <w:t xml:space="preserve">                    </w:t>
      </w:r>
      <w:r w:rsidR="00060483">
        <w:rPr>
          <w:rFonts w:ascii="Arial" w:hAnsi="Arial" w:cs="Arial"/>
        </w:rPr>
        <w:t>*</w:t>
      </w:r>
      <w:r w:rsidR="00060483" w:rsidRPr="00060483">
        <w:rPr>
          <w:rFonts w:ascii="Arial" w:hAnsi="Arial" w:cs="Arial"/>
          <w:color w:val="2E2E2E"/>
        </w:rPr>
        <w:t xml:space="preserve"> </w:t>
      </w:r>
      <w:r w:rsidR="00060483" w:rsidRPr="006A333F">
        <w:rPr>
          <w:rStyle w:val="label"/>
          <w:rFonts w:ascii="Arial" w:hAnsi="Arial" w:cs="Arial"/>
          <w:color w:val="2E2E2E"/>
        </w:rPr>
        <w:t>Bold indicates best docking score</w:t>
      </w:r>
    </w:p>
    <w:p w14:paraId="6D0714CA" w14:textId="054F15B4" w:rsidR="0050372C" w:rsidRDefault="0050372C" w:rsidP="00C73625">
      <w:pPr>
        <w:pStyle w:val="Body"/>
        <w:rPr>
          <w:rFonts w:ascii="Arial" w:hAnsi="Arial" w:cs="Arial"/>
        </w:rPr>
      </w:pPr>
      <w:r w:rsidRPr="00DE5703">
        <w:rPr>
          <w:rFonts w:ascii="Arial" w:hAnsi="Arial" w:cs="Arial"/>
          <w:noProof/>
        </w:rPr>
        <w:lastRenderedPageBreak/>
        <w:drawing>
          <wp:inline distT="0" distB="0" distL="0" distR="0" wp14:anchorId="46005CA1" wp14:editId="66689018">
            <wp:extent cx="5212080" cy="5297834"/>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t paper_docking.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2080" cy="5297834"/>
                    </a:xfrm>
                    <a:prstGeom prst="rect">
                      <a:avLst/>
                    </a:prstGeom>
                  </pic:spPr>
                </pic:pic>
              </a:graphicData>
            </a:graphic>
          </wp:inline>
        </w:drawing>
      </w:r>
    </w:p>
    <w:p w14:paraId="6C30398E" w14:textId="77777777" w:rsidR="0050372C" w:rsidRPr="00253FB5" w:rsidRDefault="0050372C" w:rsidP="00253FB5">
      <w:pPr>
        <w:jc w:val="both"/>
        <w:rPr>
          <w:rFonts w:ascii="Arial" w:hAnsi="Arial" w:cs="Arial"/>
          <w:b/>
          <w:bCs/>
        </w:rPr>
      </w:pPr>
      <w:r w:rsidRPr="00253FB5">
        <w:rPr>
          <w:rFonts w:ascii="Arial" w:hAnsi="Arial" w:cs="Arial"/>
          <w:b/>
          <w:bCs/>
        </w:rPr>
        <w:t>Fig. 5. Presentation of best binding mode A) 3D interaction of euchrenone b8 and glutathione reductase (PDB ID: 1XAN), B) 2D interaction of euchrenone b8 and glutathione reductase (PDB ID: 1XAN), C) 3D interaction of lupeol and human cytochrome P450 CYP2C9 (PDB ID: 1OG5), D) 2D interaction of lupeol and human cytochrome P450 CYP2C9 (PDB ID: 1OG5), E) 3D interaction of euchrenone b8 and phosphodiesterase-4 inhibitor (PDE4) receptor (PDB ID: 4WCU), F) 2D interaction of euchrenone b8 and phosphodiesterase-4 inhibitor (PDE4) receptor (PDB ID: 4WCU)</w:t>
      </w:r>
    </w:p>
    <w:p w14:paraId="018C15BA" w14:textId="77777777" w:rsidR="00D12D7E" w:rsidRDefault="00D12D7E" w:rsidP="0050372C">
      <w:pPr>
        <w:spacing w:line="480" w:lineRule="auto"/>
        <w:jc w:val="both"/>
        <w:rPr>
          <w:rFonts w:ascii="Arial" w:hAnsi="Arial" w:cs="Arial"/>
          <w:bCs/>
        </w:rPr>
      </w:pPr>
    </w:p>
    <w:p w14:paraId="66B16CED" w14:textId="77777777" w:rsidR="0050372C" w:rsidRPr="00C73625" w:rsidRDefault="0050372C" w:rsidP="00C73625">
      <w:pPr>
        <w:pStyle w:val="Body"/>
        <w:rPr>
          <w:rFonts w:ascii="Arial" w:hAnsi="Arial" w:cs="Arial"/>
        </w:rPr>
      </w:pPr>
    </w:p>
    <w:p w14:paraId="2FA90907" w14:textId="77777777" w:rsidR="00C73625" w:rsidRPr="00C73625" w:rsidRDefault="00C73625" w:rsidP="00C73625">
      <w:pPr>
        <w:pStyle w:val="Body"/>
        <w:rPr>
          <w:rFonts w:ascii="Arial" w:hAnsi="Arial" w:cs="Arial"/>
          <w:b/>
        </w:rPr>
      </w:pPr>
      <w:r w:rsidRPr="00C73625">
        <w:rPr>
          <w:rFonts w:ascii="Arial" w:hAnsi="Arial" w:cs="Arial"/>
          <w:b/>
        </w:rPr>
        <w:t>3.6. ADME/T analysis</w:t>
      </w:r>
    </w:p>
    <w:p w14:paraId="70A9ABD4" w14:textId="7F7C1998" w:rsidR="00790ADA" w:rsidRDefault="00C73625" w:rsidP="00BC70AD">
      <w:pPr>
        <w:pStyle w:val="Body"/>
        <w:rPr>
          <w:rFonts w:ascii="Arial" w:hAnsi="Arial" w:cs="Arial"/>
        </w:rPr>
      </w:pPr>
      <w:r w:rsidRPr="00C73625">
        <w:rPr>
          <w:rFonts w:ascii="Arial" w:hAnsi="Arial" w:cs="Arial"/>
        </w:rPr>
        <w:t xml:space="preserve">According to Lipinski's rules as well as the degree of human intestinal absorption, AMES mutagenesis, and carcinogenesis in humans have all been shown to be within the limit. </w:t>
      </w:r>
      <w:r w:rsidRPr="00C73625">
        <w:rPr>
          <w:rFonts w:ascii="Arial" w:hAnsi="Arial" w:cs="Arial"/>
        </w:rPr>
        <w:lastRenderedPageBreak/>
        <w:t xml:space="preserve">Importantly, </w:t>
      </w:r>
      <w:proofErr w:type="spellStart"/>
      <w:r w:rsidRPr="00C73625">
        <w:rPr>
          <w:rFonts w:ascii="Arial" w:hAnsi="Arial" w:cs="Arial"/>
        </w:rPr>
        <w:t>betulinic</w:t>
      </w:r>
      <w:proofErr w:type="spellEnd"/>
      <w:r w:rsidRPr="00C73625">
        <w:rPr>
          <w:rFonts w:ascii="Arial" w:hAnsi="Arial" w:cs="Arial"/>
        </w:rPr>
        <w:t xml:space="preserve"> acid, lupeol, warangalone, and euchrenone b8 fulfill the criteria of Lipinski's rule of five (Table 3).</w:t>
      </w:r>
    </w:p>
    <w:p w14:paraId="49FD7C4D" w14:textId="77777777" w:rsidR="00060483" w:rsidRPr="00253FB5" w:rsidRDefault="00060483" w:rsidP="00060483">
      <w:pPr>
        <w:spacing w:line="480" w:lineRule="auto"/>
        <w:jc w:val="both"/>
        <w:rPr>
          <w:rStyle w:val="Strong"/>
          <w:rFonts w:ascii="Arial" w:hAnsi="Arial" w:cs="Arial"/>
          <w:b w:val="0"/>
          <w:bCs w:val="0"/>
        </w:rPr>
      </w:pPr>
      <w:r w:rsidRPr="00253FB5">
        <w:rPr>
          <w:rStyle w:val="label"/>
          <w:rFonts w:ascii="Arial" w:hAnsi="Arial" w:cs="Arial"/>
          <w:b/>
          <w:color w:val="2E2E2E"/>
        </w:rPr>
        <w:t>Table 3</w:t>
      </w:r>
      <w:r w:rsidRPr="00253FB5">
        <w:rPr>
          <w:rFonts w:ascii="Arial" w:hAnsi="Arial" w:cs="Arial"/>
          <w:b/>
        </w:rPr>
        <w:t>. Properties of the compounds in terms of their absorption, distribution, metabolism, excretion, and toxicology, abbreviated as ADME/T</w:t>
      </w:r>
    </w:p>
    <w:tbl>
      <w:tblPr>
        <w:tblStyle w:val="TableGrid"/>
        <w:tblW w:w="9704" w:type="dxa"/>
        <w:jc w:val="center"/>
        <w:tblLook w:val="04A0" w:firstRow="1" w:lastRow="0" w:firstColumn="1" w:lastColumn="0" w:noHBand="0" w:noVBand="1"/>
      </w:tblPr>
      <w:tblGrid>
        <w:gridCol w:w="1708"/>
        <w:gridCol w:w="1107"/>
        <w:gridCol w:w="888"/>
        <w:gridCol w:w="688"/>
        <w:gridCol w:w="688"/>
        <w:gridCol w:w="837"/>
        <w:gridCol w:w="828"/>
        <w:gridCol w:w="828"/>
        <w:gridCol w:w="982"/>
        <w:gridCol w:w="1150"/>
      </w:tblGrid>
      <w:tr w:rsidR="00060483" w:rsidRPr="006A333F" w14:paraId="2B540D08" w14:textId="77777777" w:rsidTr="00060483">
        <w:trPr>
          <w:trHeight w:val="998"/>
          <w:jc w:val="center"/>
        </w:trPr>
        <w:tc>
          <w:tcPr>
            <w:tcW w:w="1708" w:type="dxa"/>
            <w:tcBorders>
              <w:top w:val="single" w:sz="4" w:space="0" w:color="auto"/>
              <w:left w:val="single" w:sz="4" w:space="0" w:color="auto"/>
              <w:bottom w:val="single" w:sz="4" w:space="0" w:color="auto"/>
              <w:right w:val="single" w:sz="4" w:space="0" w:color="auto"/>
            </w:tcBorders>
            <w:vAlign w:val="center"/>
            <w:hideMark/>
          </w:tcPr>
          <w:p w14:paraId="6342AEC7" w14:textId="77777777" w:rsidR="00060483" w:rsidRPr="006A333F" w:rsidRDefault="00060483" w:rsidP="003933B5">
            <w:pPr>
              <w:spacing w:line="480" w:lineRule="auto"/>
              <w:rPr>
                <w:rStyle w:val="Strong"/>
                <w:rFonts w:ascii="Arial" w:hAnsi="Arial" w:cs="Arial"/>
                <w:color w:val="2E2E2E"/>
                <w:sz w:val="20"/>
                <w:szCs w:val="20"/>
              </w:rPr>
            </w:pPr>
            <w:r w:rsidRPr="006A333F">
              <w:rPr>
                <w:rStyle w:val="Strong"/>
                <w:rFonts w:ascii="Arial" w:hAnsi="Arial" w:cs="Arial"/>
                <w:color w:val="2E2E2E"/>
                <w:sz w:val="20"/>
                <w:szCs w:val="20"/>
              </w:rPr>
              <w:t>Compounds</w:t>
            </w:r>
          </w:p>
        </w:tc>
        <w:tc>
          <w:tcPr>
            <w:tcW w:w="1107" w:type="dxa"/>
            <w:tcBorders>
              <w:top w:val="single" w:sz="4" w:space="0" w:color="auto"/>
              <w:left w:val="single" w:sz="4" w:space="0" w:color="auto"/>
              <w:bottom w:val="single" w:sz="4" w:space="0" w:color="auto"/>
              <w:right w:val="single" w:sz="4" w:space="0" w:color="auto"/>
            </w:tcBorders>
            <w:vAlign w:val="center"/>
            <w:hideMark/>
          </w:tcPr>
          <w:p w14:paraId="1037F83D" w14:textId="77777777" w:rsidR="00060483" w:rsidRPr="006A333F" w:rsidRDefault="00060483" w:rsidP="003933B5">
            <w:pPr>
              <w:spacing w:line="480" w:lineRule="auto"/>
              <w:jc w:val="center"/>
              <w:rPr>
                <w:rStyle w:val="Strong"/>
                <w:rFonts w:ascii="Arial" w:hAnsi="Arial" w:cs="Arial"/>
                <w:color w:val="2E2E2E"/>
                <w:sz w:val="20"/>
                <w:szCs w:val="20"/>
              </w:rPr>
            </w:pPr>
            <w:r w:rsidRPr="006A333F">
              <w:rPr>
                <w:rStyle w:val="Strong"/>
                <w:rFonts w:ascii="Arial" w:hAnsi="Arial" w:cs="Arial"/>
                <w:color w:val="2E2E2E"/>
                <w:sz w:val="20"/>
                <w:szCs w:val="20"/>
              </w:rPr>
              <w:t>PID</w:t>
            </w:r>
          </w:p>
        </w:tc>
        <w:tc>
          <w:tcPr>
            <w:tcW w:w="888" w:type="dxa"/>
            <w:tcBorders>
              <w:top w:val="single" w:sz="4" w:space="0" w:color="auto"/>
              <w:left w:val="single" w:sz="4" w:space="0" w:color="auto"/>
              <w:bottom w:val="single" w:sz="4" w:space="0" w:color="auto"/>
              <w:right w:val="single" w:sz="4" w:space="0" w:color="auto"/>
            </w:tcBorders>
            <w:vAlign w:val="center"/>
            <w:hideMark/>
          </w:tcPr>
          <w:p w14:paraId="4E3AFDDF" w14:textId="77777777" w:rsidR="00060483" w:rsidRPr="006A333F" w:rsidRDefault="00060483" w:rsidP="003933B5">
            <w:pPr>
              <w:spacing w:line="480" w:lineRule="auto"/>
              <w:jc w:val="center"/>
              <w:rPr>
                <w:rFonts w:ascii="Arial" w:hAnsi="Arial" w:cs="Arial"/>
                <w:b/>
                <w:bCs/>
                <w:color w:val="2E2E2E"/>
                <w:sz w:val="20"/>
                <w:szCs w:val="20"/>
              </w:rPr>
            </w:pPr>
            <w:r w:rsidRPr="006A333F">
              <w:rPr>
                <w:rFonts w:ascii="Arial" w:hAnsi="Arial" w:cs="Arial"/>
                <w:b/>
                <w:bCs/>
                <w:color w:val="2E2E2E"/>
                <w:sz w:val="20"/>
                <w:szCs w:val="20"/>
              </w:rPr>
              <w:t>MW</w:t>
            </w:r>
          </w:p>
          <w:p w14:paraId="482A3951" w14:textId="77777777" w:rsidR="00060483" w:rsidRPr="006A333F" w:rsidRDefault="00060483" w:rsidP="003933B5">
            <w:pPr>
              <w:spacing w:line="480" w:lineRule="auto"/>
              <w:jc w:val="center"/>
              <w:rPr>
                <w:rStyle w:val="Strong"/>
                <w:rFonts w:ascii="Arial" w:hAnsi="Arial" w:cs="Arial"/>
                <w:color w:val="2E2E2E"/>
                <w:sz w:val="20"/>
                <w:szCs w:val="20"/>
              </w:rPr>
            </w:pPr>
            <w:r w:rsidRPr="006A333F">
              <w:rPr>
                <w:rFonts w:ascii="Arial" w:hAnsi="Arial" w:cs="Arial"/>
                <w:b/>
                <w:bCs/>
                <w:color w:val="2E2E2E"/>
                <w:sz w:val="20"/>
                <w:szCs w:val="20"/>
              </w:rPr>
              <w:t>(g/mol)</w:t>
            </w:r>
          </w:p>
        </w:tc>
        <w:tc>
          <w:tcPr>
            <w:tcW w:w="688" w:type="dxa"/>
            <w:tcBorders>
              <w:top w:val="single" w:sz="4" w:space="0" w:color="auto"/>
              <w:left w:val="single" w:sz="4" w:space="0" w:color="auto"/>
              <w:bottom w:val="single" w:sz="4" w:space="0" w:color="auto"/>
              <w:right w:val="single" w:sz="4" w:space="0" w:color="auto"/>
            </w:tcBorders>
            <w:vAlign w:val="center"/>
            <w:hideMark/>
          </w:tcPr>
          <w:p w14:paraId="16E5A215" w14:textId="77777777" w:rsidR="00060483" w:rsidRPr="006A333F" w:rsidRDefault="00060483" w:rsidP="003933B5">
            <w:pPr>
              <w:spacing w:line="480" w:lineRule="auto"/>
              <w:jc w:val="center"/>
              <w:rPr>
                <w:rStyle w:val="Strong"/>
                <w:rFonts w:ascii="Arial" w:hAnsi="Arial" w:cs="Arial"/>
                <w:color w:val="2E2E2E"/>
                <w:sz w:val="20"/>
                <w:szCs w:val="20"/>
              </w:rPr>
            </w:pPr>
            <w:r w:rsidRPr="006A333F">
              <w:rPr>
                <w:rStyle w:val="Strong"/>
                <w:rFonts w:ascii="Arial" w:hAnsi="Arial" w:cs="Arial"/>
                <w:color w:val="2E2E2E"/>
                <w:sz w:val="20"/>
                <w:szCs w:val="20"/>
              </w:rPr>
              <w:t>HBA</w:t>
            </w:r>
          </w:p>
        </w:tc>
        <w:tc>
          <w:tcPr>
            <w:tcW w:w="688" w:type="dxa"/>
            <w:tcBorders>
              <w:top w:val="single" w:sz="4" w:space="0" w:color="auto"/>
              <w:left w:val="single" w:sz="4" w:space="0" w:color="auto"/>
              <w:bottom w:val="single" w:sz="4" w:space="0" w:color="auto"/>
              <w:right w:val="single" w:sz="4" w:space="0" w:color="auto"/>
            </w:tcBorders>
            <w:vAlign w:val="center"/>
          </w:tcPr>
          <w:p w14:paraId="0287C850" w14:textId="77777777" w:rsidR="00060483" w:rsidRPr="006A333F" w:rsidRDefault="00060483" w:rsidP="003933B5">
            <w:pPr>
              <w:spacing w:line="480" w:lineRule="auto"/>
              <w:jc w:val="center"/>
              <w:rPr>
                <w:rFonts w:ascii="Arial" w:hAnsi="Arial" w:cs="Arial"/>
                <w:b/>
                <w:bCs/>
                <w:color w:val="2E2E2E"/>
                <w:sz w:val="20"/>
                <w:szCs w:val="20"/>
              </w:rPr>
            </w:pPr>
            <w:r w:rsidRPr="006A333F">
              <w:rPr>
                <w:rFonts w:ascii="Arial" w:hAnsi="Arial" w:cs="Arial"/>
                <w:b/>
                <w:bCs/>
                <w:color w:val="2E2E2E"/>
                <w:sz w:val="20"/>
                <w:szCs w:val="20"/>
              </w:rPr>
              <w:t>HBD</w:t>
            </w:r>
          </w:p>
          <w:p w14:paraId="2E1C5FE2" w14:textId="77777777" w:rsidR="00060483" w:rsidRPr="006A333F" w:rsidRDefault="00060483" w:rsidP="003933B5">
            <w:pPr>
              <w:spacing w:line="480" w:lineRule="auto"/>
              <w:jc w:val="center"/>
              <w:rPr>
                <w:rStyle w:val="Strong"/>
                <w:rFonts w:ascii="Arial" w:hAnsi="Arial" w:cs="Arial"/>
                <w:sz w:val="20"/>
                <w:szCs w:val="20"/>
              </w:rPr>
            </w:pPr>
          </w:p>
        </w:tc>
        <w:tc>
          <w:tcPr>
            <w:tcW w:w="837" w:type="dxa"/>
            <w:tcBorders>
              <w:top w:val="single" w:sz="4" w:space="0" w:color="auto"/>
              <w:left w:val="single" w:sz="4" w:space="0" w:color="auto"/>
              <w:bottom w:val="single" w:sz="4" w:space="0" w:color="auto"/>
              <w:right w:val="single" w:sz="4" w:space="0" w:color="auto"/>
            </w:tcBorders>
            <w:vAlign w:val="center"/>
            <w:hideMark/>
          </w:tcPr>
          <w:p w14:paraId="11972B23" w14:textId="77777777" w:rsidR="00060483" w:rsidRPr="006A333F" w:rsidRDefault="00060483" w:rsidP="003933B5">
            <w:pPr>
              <w:spacing w:line="480" w:lineRule="auto"/>
              <w:jc w:val="center"/>
              <w:rPr>
                <w:rStyle w:val="Strong"/>
                <w:rFonts w:ascii="Arial" w:hAnsi="Arial" w:cs="Arial"/>
                <w:color w:val="2E2E2E"/>
                <w:sz w:val="20"/>
                <w:szCs w:val="20"/>
              </w:rPr>
            </w:pPr>
            <w:proofErr w:type="spellStart"/>
            <w:r w:rsidRPr="006A333F">
              <w:rPr>
                <w:rStyle w:val="Strong"/>
                <w:rFonts w:ascii="Arial" w:hAnsi="Arial" w:cs="Arial"/>
                <w:color w:val="2E2E2E"/>
                <w:sz w:val="20"/>
                <w:szCs w:val="20"/>
              </w:rPr>
              <w:t>MlogP</w:t>
            </w:r>
            <w:proofErr w:type="spellEnd"/>
          </w:p>
        </w:tc>
        <w:tc>
          <w:tcPr>
            <w:tcW w:w="828" w:type="dxa"/>
            <w:tcBorders>
              <w:top w:val="single" w:sz="4" w:space="0" w:color="auto"/>
              <w:left w:val="single" w:sz="4" w:space="0" w:color="auto"/>
              <w:bottom w:val="single" w:sz="4" w:space="0" w:color="auto"/>
              <w:right w:val="single" w:sz="4" w:space="0" w:color="auto"/>
            </w:tcBorders>
            <w:vAlign w:val="center"/>
            <w:hideMark/>
          </w:tcPr>
          <w:p w14:paraId="6F5E9383" w14:textId="77777777" w:rsidR="00060483" w:rsidRPr="006A333F" w:rsidRDefault="00060483" w:rsidP="003933B5">
            <w:pPr>
              <w:spacing w:line="480" w:lineRule="auto"/>
              <w:jc w:val="center"/>
              <w:rPr>
                <w:rStyle w:val="Strong"/>
                <w:rFonts w:ascii="Arial" w:hAnsi="Arial" w:cs="Arial"/>
                <w:color w:val="2E2E2E"/>
                <w:sz w:val="20"/>
                <w:szCs w:val="20"/>
              </w:rPr>
            </w:pPr>
            <w:r w:rsidRPr="006A333F">
              <w:rPr>
                <w:rFonts w:ascii="Arial" w:hAnsi="Arial" w:cs="Arial"/>
                <w:b/>
                <w:bCs/>
                <w:color w:val="2E2E2E"/>
                <w:sz w:val="20"/>
                <w:szCs w:val="20"/>
              </w:rPr>
              <w:t>HIA</w:t>
            </w:r>
          </w:p>
        </w:tc>
        <w:tc>
          <w:tcPr>
            <w:tcW w:w="828" w:type="dxa"/>
            <w:tcBorders>
              <w:top w:val="single" w:sz="4" w:space="0" w:color="auto"/>
              <w:left w:val="single" w:sz="4" w:space="0" w:color="auto"/>
              <w:bottom w:val="single" w:sz="4" w:space="0" w:color="auto"/>
              <w:right w:val="single" w:sz="4" w:space="0" w:color="auto"/>
            </w:tcBorders>
            <w:vAlign w:val="center"/>
            <w:hideMark/>
          </w:tcPr>
          <w:p w14:paraId="1A4DF277" w14:textId="77777777" w:rsidR="00060483" w:rsidRPr="006A333F" w:rsidRDefault="00060483" w:rsidP="003933B5">
            <w:pPr>
              <w:spacing w:line="480" w:lineRule="auto"/>
              <w:jc w:val="center"/>
              <w:rPr>
                <w:rStyle w:val="Strong"/>
                <w:rFonts w:ascii="Arial" w:hAnsi="Arial" w:cs="Arial"/>
                <w:color w:val="2E2E2E"/>
                <w:sz w:val="20"/>
                <w:szCs w:val="20"/>
              </w:rPr>
            </w:pPr>
            <w:r w:rsidRPr="006A333F">
              <w:rPr>
                <w:rFonts w:ascii="Arial" w:hAnsi="Arial" w:cs="Arial"/>
                <w:b/>
                <w:bCs/>
                <w:color w:val="2E2E2E"/>
                <w:sz w:val="20"/>
                <w:szCs w:val="20"/>
              </w:rPr>
              <w:t>AM</w:t>
            </w:r>
          </w:p>
        </w:tc>
        <w:tc>
          <w:tcPr>
            <w:tcW w:w="982" w:type="dxa"/>
            <w:tcBorders>
              <w:top w:val="single" w:sz="4" w:space="0" w:color="auto"/>
              <w:left w:val="single" w:sz="4" w:space="0" w:color="auto"/>
              <w:bottom w:val="single" w:sz="4" w:space="0" w:color="auto"/>
              <w:right w:val="single" w:sz="4" w:space="0" w:color="auto"/>
            </w:tcBorders>
            <w:vAlign w:val="center"/>
            <w:hideMark/>
          </w:tcPr>
          <w:p w14:paraId="3B5B8C08" w14:textId="77777777" w:rsidR="00060483" w:rsidRPr="006A333F" w:rsidRDefault="00060483" w:rsidP="003933B5">
            <w:pPr>
              <w:spacing w:line="480" w:lineRule="auto"/>
              <w:jc w:val="center"/>
              <w:rPr>
                <w:rStyle w:val="Strong"/>
                <w:rFonts w:ascii="Arial" w:hAnsi="Arial" w:cs="Arial"/>
                <w:color w:val="2E2E2E"/>
                <w:sz w:val="20"/>
                <w:szCs w:val="20"/>
              </w:rPr>
            </w:pPr>
            <w:r w:rsidRPr="006A333F">
              <w:rPr>
                <w:rFonts w:ascii="Arial" w:hAnsi="Arial" w:cs="Arial"/>
                <w:b/>
                <w:bCs/>
                <w:color w:val="2E2E2E"/>
                <w:sz w:val="20"/>
                <w:szCs w:val="20"/>
              </w:rPr>
              <w:t>CAR (binary)</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217EFB7" w14:textId="77777777" w:rsidR="00060483" w:rsidRPr="006A333F" w:rsidRDefault="00060483" w:rsidP="003933B5">
            <w:pPr>
              <w:spacing w:line="480" w:lineRule="auto"/>
              <w:jc w:val="center"/>
              <w:rPr>
                <w:rStyle w:val="Strong"/>
                <w:rFonts w:ascii="Arial" w:hAnsi="Arial" w:cs="Arial"/>
                <w:color w:val="2E2E2E"/>
                <w:sz w:val="20"/>
                <w:szCs w:val="20"/>
              </w:rPr>
            </w:pPr>
            <w:r w:rsidRPr="006A333F">
              <w:rPr>
                <w:rStyle w:val="Strong"/>
                <w:rFonts w:ascii="Arial" w:hAnsi="Arial" w:cs="Arial"/>
                <w:color w:val="2E2E2E"/>
                <w:sz w:val="20"/>
                <w:szCs w:val="20"/>
              </w:rPr>
              <w:t>No. of Lipinski violations</w:t>
            </w:r>
          </w:p>
        </w:tc>
      </w:tr>
      <w:tr w:rsidR="00060483" w:rsidRPr="006A333F" w14:paraId="03161A54" w14:textId="77777777" w:rsidTr="00060483">
        <w:trPr>
          <w:trHeight w:val="341"/>
          <w:jc w:val="center"/>
        </w:trPr>
        <w:tc>
          <w:tcPr>
            <w:tcW w:w="1708" w:type="dxa"/>
            <w:tcBorders>
              <w:top w:val="single" w:sz="4" w:space="0" w:color="auto"/>
              <w:left w:val="single" w:sz="4" w:space="0" w:color="auto"/>
              <w:bottom w:val="single" w:sz="4" w:space="0" w:color="auto"/>
              <w:right w:val="single" w:sz="4" w:space="0" w:color="auto"/>
            </w:tcBorders>
            <w:vAlign w:val="center"/>
            <w:hideMark/>
          </w:tcPr>
          <w:p w14:paraId="5284C5AB" w14:textId="77777777" w:rsidR="00060483" w:rsidRPr="006A333F" w:rsidRDefault="00060483" w:rsidP="003933B5">
            <w:pPr>
              <w:spacing w:line="480" w:lineRule="auto"/>
              <w:rPr>
                <w:rFonts w:ascii="Arial" w:hAnsi="Arial" w:cs="Arial"/>
                <w:sz w:val="20"/>
                <w:szCs w:val="20"/>
              </w:rPr>
            </w:pPr>
            <w:proofErr w:type="spellStart"/>
            <w:r w:rsidRPr="006A333F">
              <w:rPr>
                <w:rFonts w:ascii="Arial" w:hAnsi="Arial" w:cs="Arial"/>
                <w:sz w:val="20"/>
                <w:szCs w:val="20"/>
              </w:rPr>
              <w:t>Betulinic</w:t>
            </w:r>
            <w:proofErr w:type="spellEnd"/>
            <w:r w:rsidRPr="006A333F">
              <w:rPr>
                <w:rFonts w:ascii="Arial" w:hAnsi="Arial" w:cs="Arial"/>
                <w:sz w:val="20"/>
                <w:szCs w:val="20"/>
              </w:rPr>
              <w:t xml:space="preserve"> acid</w:t>
            </w:r>
          </w:p>
        </w:tc>
        <w:tc>
          <w:tcPr>
            <w:tcW w:w="1107" w:type="dxa"/>
            <w:tcBorders>
              <w:top w:val="single" w:sz="4" w:space="0" w:color="auto"/>
              <w:left w:val="single" w:sz="4" w:space="0" w:color="auto"/>
              <w:bottom w:val="single" w:sz="4" w:space="0" w:color="auto"/>
              <w:right w:val="single" w:sz="4" w:space="0" w:color="auto"/>
            </w:tcBorders>
            <w:vAlign w:val="center"/>
            <w:hideMark/>
          </w:tcPr>
          <w:p w14:paraId="4AA02230"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64971</w:t>
            </w:r>
          </w:p>
        </w:tc>
        <w:tc>
          <w:tcPr>
            <w:tcW w:w="888" w:type="dxa"/>
            <w:tcBorders>
              <w:top w:val="single" w:sz="4" w:space="0" w:color="auto"/>
              <w:left w:val="single" w:sz="4" w:space="0" w:color="auto"/>
              <w:bottom w:val="single" w:sz="4" w:space="0" w:color="auto"/>
              <w:right w:val="single" w:sz="4" w:space="0" w:color="auto"/>
            </w:tcBorders>
            <w:vAlign w:val="center"/>
            <w:hideMark/>
          </w:tcPr>
          <w:p w14:paraId="7C4C68F2"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456.70</w:t>
            </w:r>
          </w:p>
        </w:tc>
        <w:tc>
          <w:tcPr>
            <w:tcW w:w="688" w:type="dxa"/>
            <w:tcBorders>
              <w:top w:val="single" w:sz="4" w:space="0" w:color="auto"/>
              <w:left w:val="single" w:sz="4" w:space="0" w:color="auto"/>
              <w:bottom w:val="single" w:sz="4" w:space="0" w:color="auto"/>
              <w:right w:val="single" w:sz="4" w:space="0" w:color="auto"/>
            </w:tcBorders>
            <w:vAlign w:val="center"/>
            <w:hideMark/>
          </w:tcPr>
          <w:p w14:paraId="1A630021"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3</w:t>
            </w:r>
          </w:p>
        </w:tc>
        <w:tc>
          <w:tcPr>
            <w:tcW w:w="688" w:type="dxa"/>
            <w:tcBorders>
              <w:top w:val="single" w:sz="4" w:space="0" w:color="auto"/>
              <w:left w:val="single" w:sz="4" w:space="0" w:color="auto"/>
              <w:bottom w:val="single" w:sz="4" w:space="0" w:color="auto"/>
              <w:right w:val="single" w:sz="4" w:space="0" w:color="auto"/>
            </w:tcBorders>
            <w:vAlign w:val="center"/>
            <w:hideMark/>
          </w:tcPr>
          <w:p w14:paraId="6308C156"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2</w:t>
            </w:r>
          </w:p>
        </w:tc>
        <w:tc>
          <w:tcPr>
            <w:tcW w:w="837" w:type="dxa"/>
            <w:tcBorders>
              <w:top w:val="single" w:sz="4" w:space="0" w:color="auto"/>
              <w:left w:val="single" w:sz="4" w:space="0" w:color="auto"/>
              <w:bottom w:val="single" w:sz="4" w:space="0" w:color="auto"/>
              <w:right w:val="single" w:sz="4" w:space="0" w:color="auto"/>
            </w:tcBorders>
            <w:vAlign w:val="center"/>
            <w:hideMark/>
          </w:tcPr>
          <w:p w14:paraId="61EDE7CB"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5.82</w:t>
            </w:r>
          </w:p>
        </w:tc>
        <w:tc>
          <w:tcPr>
            <w:tcW w:w="828" w:type="dxa"/>
            <w:tcBorders>
              <w:top w:val="single" w:sz="4" w:space="0" w:color="auto"/>
              <w:left w:val="single" w:sz="4" w:space="0" w:color="auto"/>
              <w:bottom w:val="single" w:sz="4" w:space="0" w:color="auto"/>
              <w:right w:val="single" w:sz="4" w:space="0" w:color="auto"/>
            </w:tcBorders>
            <w:vAlign w:val="center"/>
            <w:hideMark/>
          </w:tcPr>
          <w:p w14:paraId="7EE231A1"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0.9952</w:t>
            </w:r>
          </w:p>
        </w:tc>
        <w:tc>
          <w:tcPr>
            <w:tcW w:w="828" w:type="dxa"/>
            <w:tcBorders>
              <w:top w:val="single" w:sz="4" w:space="0" w:color="auto"/>
              <w:left w:val="single" w:sz="4" w:space="0" w:color="auto"/>
              <w:bottom w:val="single" w:sz="4" w:space="0" w:color="auto"/>
              <w:right w:val="single" w:sz="4" w:space="0" w:color="auto"/>
            </w:tcBorders>
            <w:vAlign w:val="center"/>
            <w:hideMark/>
          </w:tcPr>
          <w:p w14:paraId="4696FA5A"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0.8867</w:t>
            </w:r>
          </w:p>
        </w:tc>
        <w:tc>
          <w:tcPr>
            <w:tcW w:w="982" w:type="dxa"/>
            <w:tcBorders>
              <w:top w:val="single" w:sz="4" w:space="0" w:color="auto"/>
              <w:left w:val="single" w:sz="4" w:space="0" w:color="auto"/>
              <w:bottom w:val="single" w:sz="4" w:space="0" w:color="auto"/>
              <w:right w:val="single" w:sz="4" w:space="0" w:color="auto"/>
            </w:tcBorders>
            <w:vAlign w:val="center"/>
            <w:hideMark/>
          </w:tcPr>
          <w:p w14:paraId="290F3B1E"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0.9363</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85BC15E"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1</w:t>
            </w:r>
          </w:p>
        </w:tc>
      </w:tr>
      <w:tr w:rsidR="00060483" w:rsidRPr="006A333F" w14:paraId="13FFCD73" w14:textId="77777777" w:rsidTr="00060483">
        <w:trPr>
          <w:trHeight w:val="350"/>
          <w:jc w:val="center"/>
        </w:trPr>
        <w:tc>
          <w:tcPr>
            <w:tcW w:w="1708" w:type="dxa"/>
            <w:tcBorders>
              <w:top w:val="single" w:sz="4" w:space="0" w:color="auto"/>
              <w:left w:val="single" w:sz="4" w:space="0" w:color="auto"/>
              <w:bottom w:val="single" w:sz="4" w:space="0" w:color="auto"/>
              <w:right w:val="single" w:sz="4" w:space="0" w:color="auto"/>
            </w:tcBorders>
            <w:vAlign w:val="center"/>
            <w:hideMark/>
          </w:tcPr>
          <w:p w14:paraId="01FCC091"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Lupeol</w:t>
            </w:r>
          </w:p>
        </w:tc>
        <w:tc>
          <w:tcPr>
            <w:tcW w:w="1107" w:type="dxa"/>
            <w:tcBorders>
              <w:top w:val="single" w:sz="4" w:space="0" w:color="auto"/>
              <w:left w:val="single" w:sz="4" w:space="0" w:color="auto"/>
              <w:bottom w:val="single" w:sz="4" w:space="0" w:color="auto"/>
              <w:right w:val="single" w:sz="4" w:space="0" w:color="auto"/>
            </w:tcBorders>
            <w:vAlign w:val="center"/>
            <w:hideMark/>
          </w:tcPr>
          <w:p w14:paraId="5874290F"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259846</w:t>
            </w:r>
          </w:p>
        </w:tc>
        <w:tc>
          <w:tcPr>
            <w:tcW w:w="888" w:type="dxa"/>
            <w:tcBorders>
              <w:top w:val="single" w:sz="4" w:space="0" w:color="auto"/>
              <w:left w:val="single" w:sz="4" w:space="0" w:color="auto"/>
              <w:bottom w:val="single" w:sz="4" w:space="0" w:color="auto"/>
              <w:right w:val="single" w:sz="4" w:space="0" w:color="auto"/>
            </w:tcBorders>
            <w:vAlign w:val="center"/>
            <w:hideMark/>
          </w:tcPr>
          <w:p w14:paraId="7B57FFA1"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426.72</w:t>
            </w:r>
          </w:p>
        </w:tc>
        <w:tc>
          <w:tcPr>
            <w:tcW w:w="688" w:type="dxa"/>
            <w:tcBorders>
              <w:top w:val="single" w:sz="4" w:space="0" w:color="auto"/>
              <w:left w:val="single" w:sz="4" w:space="0" w:color="auto"/>
              <w:bottom w:val="single" w:sz="4" w:space="0" w:color="auto"/>
              <w:right w:val="single" w:sz="4" w:space="0" w:color="auto"/>
            </w:tcBorders>
            <w:vAlign w:val="center"/>
            <w:hideMark/>
          </w:tcPr>
          <w:p w14:paraId="79F6BE38"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1</w:t>
            </w:r>
          </w:p>
        </w:tc>
        <w:tc>
          <w:tcPr>
            <w:tcW w:w="688" w:type="dxa"/>
            <w:tcBorders>
              <w:top w:val="single" w:sz="4" w:space="0" w:color="auto"/>
              <w:left w:val="single" w:sz="4" w:space="0" w:color="auto"/>
              <w:bottom w:val="single" w:sz="4" w:space="0" w:color="auto"/>
              <w:right w:val="single" w:sz="4" w:space="0" w:color="auto"/>
            </w:tcBorders>
            <w:vAlign w:val="center"/>
            <w:hideMark/>
          </w:tcPr>
          <w:p w14:paraId="09EC586B"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1</w:t>
            </w:r>
          </w:p>
        </w:tc>
        <w:tc>
          <w:tcPr>
            <w:tcW w:w="837" w:type="dxa"/>
            <w:tcBorders>
              <w:top w:val="single" w:sz="4" w:space="0" w:color="auto"/>
              <w:left w:val="single" w:sz="4" w:space="0" w:color="auto"/>
              <w:bottom w:val="single" w:sz="4" w:space="0" w:color="auto"/>
              <w:right w:val="single" w:sz="4" w:space="0" w:color="auto"/>
            </w:tcBorders>
            <w:vAlign w:val="center"/>
            <w:hideMark/>
          </w:tcPr>
          <w:p w14:paraId="4B08ADE7"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6.92</w:t>
            </w:r>
          </w:p>
        </w:tc>
        <w:tc>
          <w:tcPr>
            <w:tcW w:w="828" w:type="dxa"/>
            <w:tcBorders>
              <w:top w:val="single" w:sz="4" w:space="0" w:color="auto"/>
              <w:left w:val="single" w:sz="4" w:space="0" w:color="auto"/>
              <w:bottom w:val="single" w:sz="4" w:space="0" w:color="auto"/>
              <w:right w:val="single" w:sz="4" w:space="0" w:color="auto"/>
            </w:tcBorders>
            <w:vAlign w:val="center"/>
            <w:hideMark/>
          </w:tcPr>
          <w:p w14:paraId="27045721"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0.9974</w:t>
            </w:r>
          </w:p>
        </w:tc>
        <w:tc>
          <w:tcPr>
            <w:tcW w:w="828" w:type="dxa"/>
            <w:tcBorders>
              <w:top w:val="single" w:sz="4" w:space="0" w:color="auto"/>
              <w:left w:val="single" w:sz="4" w:space="0" w:color="auto"/>
              <w:bottom w:val="single" w:sz="4" w:space="0" w:color="auto"/>
              <w:right w:val="single" w:sz="4" w:space="0" w:color="auto"/>
            </w:tcBorders>
            <w:vAlign w:val="center"/>
            <w:hideMark/>
          </w:tcPr>
          <w:p w14:paraId="6C8F4927"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0.9420</w:t>
            </w:r>
          </w:p>
        </w:tc>
        <w:tc>
          <w:tcPr>
            <w:tcW w:w="982" w:type="dxa"/>
            <w:tcBorders>
              <w:top w:val="single" w:sz="4" w:space="0" w:color="auto"/>
              <w:left w:val="single" w:sz="4" w:space="0" w:color="auto"/>
              <w:bottom w:val="single" w:sz="4" w:space="0" w:color="auto"/>
              <w:right w:val="single" w:sz="4" w:space="0" w:color="auto"/>
            </w:tcBorders>
            <w:vAlign w:val="center"/>
            <w:hideMark/>
          </w:tcPr>
          <w:p w14:paraId="4FF657E6"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0.9188</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89700A0"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1</w:t>
            </w:r>
          </w:p>
        </w:tc>
      </w:tr>
      <w:tr w:rsidR="00060483" w:rsidRPr="006A333F" w14:paraId="1F61F873" w14:textId="77777777" w:rsidTr="00060483">
        <w:trPr>
          <w:trHeight w:val="350"/>
          <w:jc w:val="center"/>
        </w:trPr>
        <w:tc>
          <w:tcPr>
            <w:tcW w:w="1708" w:type="dxa"/>
            <w:tcBorders>
              <w:top w:val="single" w:sz="4" w:space="0" w:color="auto"/>
              <w:left w:val="single" w:sz="4" w:space="0" w:color="auto"/>
              <w:bottom w:val="single" w:sz="4" w:space="0" w:color="auto"/>
              <w:right w:val="single" w:sz="4" w:space="0" w:color="auto"/>
            </w:tcBorders>
            <w:vAlign w:val="center"/>
            <w:hideMark/>
          </w:tcPr>
          <w:p w14:paraId="577967A7"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Warangalone</w:t>
            </w:r>
          </w:p>
        </w:tc>
        <w:tc>
          <w:tcPr>
            <w:tcW w:w="1107" w:type="dxa"/>
            <w:tcBorders>
              <w:top w:val="single" w:sz="4" w:space="0" w:color="auto"/>
              <w:left w:val="single" w:sz="4" w:space="0" w:color="auto"/>
              <w:bottom w:val="single" w:sz="4" w:space="0" w:color="auto"/>
              <w:right w:val="single" w:sz="4" w:space="0" w:color="auto"/>
            </w:tcBorders>
            <w:vAlign w:val="center"/>
            <w:hideMark/>
          </w:tcPr>
          <w:p w14:paraId="678A5851"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5379679</w:t>
            </w:r>
          </w:p>
        </w:tc>
        <w:tc>
          <w:tcPr>
            <w:tcW w:w="888" w:type="dxa"/>
            <w:tcBorders>
              <w:top w:val="single" w:sz="4" w:space="0" w:color="auto"/>
              <w:left w:val="single" w:sz="4" w:space="0" w:color="auto"/>
              <w:bottom w:val="single" w:sz="4" w:space="0" w:color="auto"/>
              <w:right w:val="single" w:sz="4" w:space="0" w:color="auto"/>
            </w:tcBorders>
            <w:vAlign w:val="center"/>
            <w:hideMark/>
          </w:tcPr>
          <w:p w14:paraId="416B15C9"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404.46</w:t>
            </w:r>
          </w:p>
        </w:tc>
        <w:tc>
          <w:tcPr>
            <w:tcW w:w="688" w:type="dxa"/>
            <w:tcBorders>
              <w:top w:val="single" w:sz="4" w:space="0" w:color="auto"/>
              <w:left w:val="single" w:sz="4" w:space="0" w:color="auto"/>
              <w:bottom w:val="single" w:sz="4" w:space="0" w:color="auto"/>
              <w:right w:val="single" w:sz="4" w:space="0" w:color="auto"/>
            </w:tcBorders>
            <w:vAlign w:val="center"/>
            <w:hideMark/>
          </w:tcPr>
          <w:p w14:paraId="442F8B3F"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5</w:t>
            </w:r>
          </w:p>
        </w:tc>
        <w:tc>
          <w:tcPr>
            <w:tcW w:w="688" w:type="dxa"/>
            <w:tcBorders>
              <w:top w:val="single" w:sz="4" w:space="0" w:color="auto"/>
              <w:left w:val="single" w:sz="4" w:space="0" w:color="auto"/>
              <w:bottom w:val="single" w:sz="4" w:space="0" w:color="auto"/>
              <w:right w:val="single" w:sz="4" w:space="0" w:color="auto"/>
            </w:tcBorders>
            <w:vAlign w:val="center"/>
            <w:hideMark/>
          </w:tcPr>
          <w:p w14:paraId="6EFDD7CF"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2</w:t>
            </w:r>
          </w:p>
        </w:tc>
        <w:tc>
          <w:tcPr>
            <w:tcW w:w="837" w:type="dxa"/>
            <w:tcBorders>
              <w:top w:val="single" w:sz="4" w:space="0" w:color="auto"/>
              <w:left w:val="single" w:sz="4" w:space="0" w:color="auto"/>
              <w:bottom w:val="single" w:sz="4" w:space="0" w:color="auto"/>
              <w:right w:val="single" w:sz="4" w:space="0" w:color="auto"/>
            </w:tcBorders>
            <w:vAlign w:val="center"/>
            <w:hideMark/>
          </w:tcPr>
          <w:p w14:paraId="1B4D1DEE"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2.64</w:t>
            </w:r>
          </w:p>
        </w:tc>
        <w:tc>
          <w:tcPr>
            <w:tcW w:w="828" w:type="dxa"/>
            <w:tcBorders>
              <w:top w:val="single" w:sz="4" w:space="0" w:color="auto"/>
              <w:left w:val="single" w:sz="4" w:space="0" w:color="auto"/>
              <w:bottom w:val="single" w:sz="4" w:space="0" w:color="auto"/>
              <w:right w:val="single" w:sz="4" w:space="0" w:color="auto"/>
            </w:tcBorders>
            <w:vAlign w:val="center"/>
            <w:hideMark/>
          </w:tcPr>
          <w:p w14:paraId="7882055B"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0.9950</w:t>
            </w:r>
          </w:p>
        </w:tc>
        <w:tc>
          <w:tcPr>
            <w:tcW w:w="828" w:type="dxa"/>
            <w:tcBorders>
              <w:top w:val="single" w:sz="4" w:space="0" w:color="auto"/>
              <w:left w:val="single" w:sz="4" w:space="0" w:color="auto"/>
              <w:bottom w:val="single" w:sz="4" w:space="0" w:color="auto"/>
              <w:right w:val="single" w:sz="4" w:space="0" w:color="auto"/>
            </w:tcBorders>
            <w:vAlign w:val="center"/>
            <w:hideMark/>
          </w:tcPr>
          <w:p w14:paraId="2F14625B"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0.7229</w:t>
            </w:r>
          </w:p>
        </w:tc>
        <w:tc>
          <w:tcPr>
            <w:tcW w:w="982" w:type="dxa"/>
            <w:tcBorders>
              <w:top w:val="single" w:sz="4" w:space="0" w:color="auto"/>
              <w:left w:val="single" w:sz="4" w:space="0" w:color="auto"/>
              <w:bottom w:val="single" w:sz="4" w:space="0" w:color="auto"/>
              <w:right w:val="single" w:sz="4" w:space="0" w:color="auto"/>
            </w:tcBorders>
            <w:vAlign w:val="center"/>
            <w:hideMark/>
          </w:tcPr>
          <w:p w14:paraId="3C0DFEEC"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0.8939</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FF9709B"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w:t>
            </w:r>
          </w:p>
        </w:tc>
      </w:tr>
      <w:tr w:rsidR="00060483" w:rsidRPr="006A333F" w14:paraId="0FA62F4E" w14:textId="77777777" w:rsidTr="00060483">
        <w:trPr>
          <w:trHeight w:val="359"/>
          <w:jc w:val="center"/>
        </w:trPr>
        <w:tc>
          <w:tcPr>
            <w:tcW w:w="1708" w:type="dxa"/>
            <w:tcBorders>
              <w:top w:val="single" w:sz="4" w:space="0" w:color="auto"/>
              <w:left w:val="single" w:sz="4" w:space="0" w:color="auto"/>
              <w:bottom w:val="single" w:sz="4" w:space="0" w:color="auto"/>
              <w:right w:val="single" w:sz="4" w:space="0" w:color="auto"/>
            </w:tcBorders>
            <w:vAlign w:val="center"/>
            <w:hideMark/>
          </w:tcPr>
          <w:p w14:paraId="0C851D49"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Euchrenone b8</w:t>
            </w:r>
          </w:p>
        </w:tc>
        <w:tc>
          <w:tcPr>
            <w:tcW w:w="1107" w:type="dxa"/>
            <w:tcBorders>
              <w:top w:val="single" w:sz="4" w:space="0" w:color="auto"/>
              <w:left w:val="single" w:sz="4" w:space="0" w:color="auto"/>
              <w:bottom w:val="single" w:sz="4" w:space="0" w:color="auto"/>
              <w:right w:val="single" w:sz="4" w:space="0" w:color="auto"/>
            </w:tcBorders>
            <w:vAlign w:val="center"/>
            <w:hideMark/>
          </w:tcPr>
          <w:p w14:paraId="69C13443"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14704591</w:t>
            </w:r>
          </w:p>
        </w:tc>
        <w:tc>
          <w:tcPr>
            <w:tcW w:w="888" w:type="dxa"/>
            <w:tcBorders>
              <w:top w:val="single" w:sz="4" w:space="0" w:color="auto"/>
              <w:left w:val="single" w:sz="4" w:space="0" w:color="auto"/>
              <w:bottom w:val="single" w:sz="4" w:space="0" w:color="auto"/>
              <w:right w:val="single" w:sz="4" w:space="0" w:color="auto"/>
            </w:tcBorders>
            <w:vAlign w:val="center"/>
            <w:hideMark/>
          </w:tcPr>
          <w:p w14:paraId="33FED7C4"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420.45</w:t>
            </w:r>
          </w:p>
        </w:tc>
        <w:tc>
          <w:tcPr>
            <w:tcW w:w="688" w:type="dxa"/>
            <w:tcBorders>
              <w:top w:val="single" w:sz="4" w:space="0" w:color="auto"/>
              <w:left w:val="single" w:sz="4" w:space="0" w:color="auto"/>
              <w:bottom w:val="single" w:sz="4" w:space="0" w:color="auto"/>
              <w:right w:val="single" w:sz="4" w:space="0" w:color="auto"/>
            </w:tcBorders>
            <w:vAlign w:val="center"/>
            <w:hideMark/>
          </w:tcPr>
          <w:p w14:paraId="52A8437B"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6</w:t>
            </w:r>
          </w:p>
        </w:tc>
        <w:tc>
          <w:tcPr>
            <w:tcW w:w="688" w:type="dxa"/>
            <w:tcBorders>
              <w:top w:val="single" w:sz="4" w:space="0" w:color="auto"/>
              <w:left w:val="single" w:sz="4" w:space="0" w:color="auto"/>
              <w:bottom w:val="single" w:sz="4" w:space="0" w:color="auto"/>
              <w:right w:val="single" w:sz="4" w:space="0" w:color="auto"/>
            </w:tcBorders>
            <w:vAlign w:val="center"/>
            <w:hideMark/>
          </w:tcPr>
          <w:p w14:paraId="1C31B840"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3</w:t>
            </w:r>
          </w:p>
        </w:tc>
        <w:tc>
          <w:tcPr>
            <w:tcW w:w="837" w:type="dxa"/>
            <w:tcBorders>
              <w:top w:val="single" w:sz="4" w:space="0" w:color="auto"/>
              <w:left w:val="single" w:sz="4" w:space="0" w:color="auto"/>
              <w:bottom w:val="single" w:sz="4" w:space="0" w:color="auto"/>
              <w:right w:val="single" w:sz="4" w:space="0" w:color="auto"/>
            </w:tcBorders>
            <w:vAlign w:val="center"/>
            <w:hideMark/>
          </w:tcPr>
          <w:p w14:paraId="3A763EAD"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1.83</w:t>
            </w:r>
          </w:p>
        </w:tc>
        <w:tc>
          <w:tcPr>
            <w:tcW w:w="828" w:type="dxa"/>
            <w:tcBorders>
              <w:top w:val="single" w:sz="4" w:space="0" w:color="auto"/>
              <w:left w:val="single" w:sz="4" w:space="0" w:color="auto"/>
              <w:bottom w:val="single" w:sz="4" w:space="0" w:color="auto"/>
              <w:right w:val="single" w:sz="4" w:space="0" w:color="auto"/>
            </w:tcBorders>
            <w:vAlign w:val="center"/>
            <w:hideMark/>
          </w:tcPr>
          <w:p w14:paraId="654F3B00"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0.9880</w:t>
            </w:r>
          </w:p>
        </w:tc>
        <w:tc>
          <w:tcPr>
            <w:tcW w:w="828" w:type="dxa"/>
            <w:tcBorders>
              <w:top w:val="single" w:sz="4" w:space="0" w:color="auto"/>
              <w:left w:val="single" w:sz="4" w:space="0" w:color="auto"/>
              <w:bottom w:val="single" w:sz="4" w:space="0" w:color="auto"/>
              <w:right w:val="single" w:sz="4" w:space="0" w:color="auto"/>
            </w:tcBorders>
            <w:vAlign w:val="center"/>
            <w:hideMark/>
          </w:tcPr>
          <w:p w14:paraId="2B976C22"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0.7035</w:t>
            </w:r>
          </w:p>
        </w:tc>
        <w:tc>
          <w:tcPr>
            <w:tcW w:w="982" w:type="dxa"/>
            <w:tcBorders>
              <w:top w:val="single" w:sz="4" w:space="0" w:color="auto"/>
              <w:left w:val="single" w:sz="4" w:space="0" w:color="auto"/>
              <w:bottom w:val="single" w:sz="4" w:space="0" w:color="auto"/>
              <w:right w:val="single" w:sz="4" w:space="0" w:color="auto"/>
            </w:tcBorders>
            <w:vAlign w:val="center"/>
            <w:hideMark/>
          </w:tcPr>
          <w:p w14:paraId="6B1C14DD"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0.8917</w:t>
            </w:r>
          </w:p>
        </w:tc>
        <w:tc>
          <w:tcPr>
            <w:tcW w:w="1150" w:type="dxa"/>
            <w:tcBorders>
              <w:top w:val="single" w:sz="4" w:space="0" w:color="auto"/>
              <w:left w:val="single" w:sz="4" w:space="0" w:color="auto"/>
              <w:bottom w:val="single" w:sz="4" w:space="0" w:color="auto"/>
              <w:right w:val="single" w:sz="4" w:space="0" w:color="auto"/>
            </w:tcBorders>
            <w:vAlign w:val="center"/>
            <w:hideMark/>
          </w:tcPr>
          <w:p w14:paraId="2F594B30"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w:t>
            </w:r>
          </w:p>
        </w:tc>
      </w:tr>
    </w:tbl>
    <w:p w14:paraId="462A254E" w14:textId="6FB6659F" w:rsidR="00E053D0" w:rsidRPr="00E772A2" w:rsidRDefault="00060483" w:rsidP="00E772A2">
      <w:pPr>
        <w:pStyle w:val="NormalWeb"/>
        <w:spacing w:line="480" w:lineRule="auto"/>
        <w:jc w:val="both"/>
        <w:rPr>
          <w:rFonts w:ascii="Arial" w:hAnsi="Arial" w:cs="Arial"/>
          <w:b/>
          <w:color w:val="252525"/>
          <w:sz w:val="20"/>
          <w:szCs w:val="20"/>
        </w:rPr>
      </w:pPr>
      <w:r w:rsidRPr="00060483">
        <w:rPr>
          <w:rFonts w:ascii="Arial" w:hAnsi="Arial"/>
          <w:bCs/>
          <w:i/>
          <w:sz w:val="18"/>
        </w:rPr>
        <w:t>*</w:t>
      </w:r>
      <w:r w:rsidRPr="006A333F">
        <w:rPr>
          <w:rFonts w:ascii="Arial" w:hAnsi="Arial" w:cs="Arial"/>
          <w:sz w:val="20"/>
          <w:szCs w:val="20"/>
        </w:rPr>
        <w:t>PID = PubChem ID, MW = Molecular Weight (acceptance range: &lt;500), HBA = Hydrogen Bond Acceptor (acceptance range: ≤ 10),  HBD = </w:t>
      </w:r>
      <w:hyperlink r:id="rId19" w:tooltip="Learn more about Hydrogen Bond from ScienceDirect's AI-generated Topic Pages" w:history="1">
        <w:r w:rsidRPr="006A333F">
          <w:rPr>
            <w:rStyle w:val="Hyperlink"/>
            <w:rFonts w:ascii="Arial" w:hAnsi="Arial" w:cs="Arial"/>
            <w:color w:val="2E2E2E"/>
            <w:sz w:val="20"/>
            <w:szCs w:val="20"/>
          </w:rPr>
          <w:t>Hydrogen Bond</w:t>
        </w:r>
      </w:hyperlink>
      <w:r w:rsidRPr="006A333F">
        <w:rPr>
          <w:rFonts w:ascii="Arial" w:hAnsi="Arial" w:cs="Arial"/>
          <w:sz w:val="20"/>
          <w:szCs w:val="20"/>
        </w:rPr>
        <w:t xml:space="preserve"> Donor (acceptance range: ≤ 5), </w:t>
      </w:r>
      <w:proofErr w:type="spellStart"/>
      <w:r w:rsidRPr="006A333F">
        <w:rPr>
          <w:rFonts w:ascii="Arial" w:hAnsi="Arial" w:cs="Arial"/>
          <w:sz w:val="20"/>
          <w:szCs w:val="20"/>
        </w:rPr>
        <w:t>MLogP</w:t>
      </w:r>
      <w:proofErr w:type="spellEnd"/>
      <w:r w:rsidRPr="006A333F">
        <w:rPr>
          <w:rFonts w:ascii="Arial" w:hAnsi="Arial" w:cs="Arial"/>
          <w:sz w:val="20"/>
          <w:szCs w:val="20"/>
        </w:rPr>
        <w:t> = High </w:t>
      </w:r>
      <w:hyperlink r:id="rId20" w:tooltip="Learn more about Lipophilicity from ScienceDirect's AI-generated Topic Pages" w:history="1">
        <w:r w:rsidRPr="006A333F">
          <w:rPr>
            <w:rStyle w:val="Hyperlink"/>
            <w:rFonts w:ascii="Arial" w:hAnsi="Arial" w:cs="Arial"/>
            <w:color w:val="2E2E2E"/>
            <w:sz w:val="20"/>
            <w:szCs w:val="20"/>
          </w:rPr>
          <w:t>Lipophilicity</w:t>
        </w:r>
      </w:hyperlink>
      <w:r w:rsidRPr="006A333F">
        <w:rPr>
          <w:rFonts w:ascii="Arial" w:hAnsi="Arial" w:cs="Arial"/>
          <w:sz w:val="20"/>
          <w:szCs w:val="20"/>
        </w:rPr>
        <w:t> (acceptance range: &lt; 5), HIA = Human Intestinal Absorption, AM = AMES </w:t>
      </w:r>
      <w:hyperlink r:id="rId21" w:tooltip="Learn more about Mutagenesis from ScienceDirect's AI-generated Topic Pages" w:history="1">
        <w:r w:rsidRPr="006A333F">
          <w:rPr>
            <w:rStyle w:val="Hyperlink"/>
            <w:rFonts w:ascii="Arial" w:hAnsi="Arial" w:cs="Arial"/>
            <w:color w:val="2E2E2E"/>
            <w:sz w:val="20"/>
            <w:szCs w:val="20"/>
          </w:rPr>
          <w:t>Mutagenesis</w:t>
        </w:r>
      </w:hyperlink>
      <w:r w:rsidRPr="006A333F">
        <w:rPr>
          <w:rFonts w:ascii="Arial" w:hAnsi="Arial" w:cs="Arial"/>
          <w:sz w:val="20"/>
          <w:szCs w:val="20"/>
        </w:rPr>
        <w:t>, CAR = Carcinogens, Lipinski’s rule of five violations less than or equal 1.</w:t>
      </w:r>
    </w:p>
    <w:p w14:paraId="0633C05F" w14:textId="08B1BCAA" w:rsidR="00C73625" w:rsidRDefault="00C73625" w:rsidP="00C73625">
      <w:pPr>
        <w:pStyle w:val="Head1"/>
        <w:spacing w:after="0"/>
        <w:jc w:val="both"/>
        <w:rPr>
          <w:rFonts w:ascii="Arial" w:hAnsi="Arial" w:cs="Arial"/>
        </w:rPr>
      </w:pPr>
      <w:r>
        <w:rPr>
          <w:rFonts w:ascii="Arial" w:hAnsi="Arial" w:cs="Arial"/>
        </w:rPr>
        <w:t>4. discussion</w:t>
      </w:r>
    </w:p>
    <w:p w14:paraId="59E60238" w14:textId="560868A8" w:rsidR="00790ADA" w:rsidRDefault="00790ADA" w:rsidP="00441B6F">
      <w:pPr>
        <w:pStyle w:val="Body"/>
        <w:spacing w:after="0"/>
        <w:rPr>
          <w:rFonts w:ascii="Arial" w:hAnsi="Arial" w:cs="Arial"/>
        </w:rPr>
      </w:pPr>
    </w:p>
    <w:p w14:paraId="3536B623" w14:textId="067DD72C" w:rsidR="00C73625" w:rsidRPr="00C73625" w:rsidRDefault="00C73625" w:rsidP="00C73625">
      <w:pPr>
        <w:pStyle w:val="Body"/>
        <w:rPr>
          <w:rFonts w:ascii="Arial" w:hAnsi="Arial" w:cs="Arial"/>
        </w:rPr>
      </w:pPr>
      <w:r w:rsidRPr="00C73625">
        <w:rPr>
          <w:rFonts w:ascii="Arial" w:hAnsi="Arial" w:cs="Arial"/>
        </w:rPr>
        <w:t xml:space="preserve">People in underdeveloped countries still widely rely on medicinal plants due to their cost-effectiveness. Even without any scientific proof, native people are using medicinal plants in a wide variety of dosage forms. This makes researchers curious about uncovering the potentiality of medicinal plants using efficient experimental methods. Recently, interest in medicinal plants has increased significantly because of the undesirable side effects of synthetic drugs. To investigate the pharmacological activities of a medicinal plant extract, methanol is highly preferred. The polarity index of methanol is comparatively high, which makes it the best choice for the extraction of medicinal plants </w:t>
      </w:r>
      <w:r w:rsidRPr="00C73625">
        <w:rPr>
          <w:rFonts w:ascii="Arial" w:hAnsi="Arial" w:cs="Arial"/>
          <w:vertAlign w:val="superscript"/>
        </w:rPr>
        <w:fldChar w:fldCharType="begin" w:fldLock="1"/>
      </w:r>
      <w:r w:rsidR="00E772A2">
        <w:rPr>
          <w:rFonts w:ascii="Arial" w:hAnsi="Arial" w:cs="Arial"/>
        </w:rPr>
        <w:instrText>ADDIN CSL_CITATION {"citationItems":[{"id":"ITEM-1","itemData":{"DOI":"10.1186/s13065-014-0048-1","ISSN":"1752153X","abstract":"Background: This study evaluated the effect of the solvent on the extraction of antioxidant compounds from black mulberry (Morus nigra), blackberry (Rubus ulmifolius) and strawberry (Fragaria x ananassa). Different extracts of each berry were evaluated from the determination of total phenolic content, anthocyanin content and antioxidant capacity, and data were applied to the principal component analysis (PCA) to gain an overview of the effect of the solvent in extraction method.Results: For all the berries analyzed, acetone/water (70/30, v/v) solvent mixture was more efficient solvent in the extracting of phenolic compounds, and methanol/water/acetic acid (70/29.5/0.5, v/v/v) showed the best values for anthocyanin content. Mixtures of ethanol/water (50/50, v/v), acetone water/acetic acid (70/29.5/0.5, v/v/v) and acetone/water (50/50, v/v) presented the highest antioxidant capacities for black mulberries, blackberries and strawberries, respectively.Conclusion: Antioxidants extractions are extremely affected by the solvent combination used. In addition, the obtained extracts with the organic solvent-water mixtures were distinguished from the extracts obtained with pure organic solvents, through the PCA analysis.","author":[{"dropping-particle":"","family":"Boeing","given":"Joana S.","non-dropping-particle":"","parse-names":false,"suffix":""},{"dropping-particle":"","family":"Barizão","given":"Érica O.","non-dropping-particle":"","parse-names":false,"suffix":""},{"dropping-particle":"","family":"e Silva","given":"Beatriz C.","non-dropping-particle":"","parse-names":false,"suffix":""},{"dropping-particle":"","family":"Montanher","given":"Paula F.","non-dropping-particle":"","parse-names":false,"suffix":""},{"dropping-particle":"","family":"Cinque Almeida","given":"Vitor","non-dropping-particle":"de","parse-names":false,"suffix":""},{"dropping-particle":"V.","family":"Visentainer","given":"Jesuí","non-dropping-particle":"","parse-names":false,"suffix":""}],"container-title":"Chemistry Central Journal","id":"ITEM-1","issue":"1","issued":{"date-parts":[["2014"]]},"page":"1-9","title":"Evaluation of solvent effect on the extraction of phenolic compounds and antioxidant capacities from the berries: Application of principal component analysis","type":"article-journal","volume":"8"},"uris":["http://www.mendeley.com/documents/?uuid=81d4df4f-7e34-4edc-a43e-7c4cea012ee4"]}],"mendeley":{"formattedCitation":"(Boeing et al., 2014)","plainTextFormattedCitation":"(Boeing et al., 2014)","previouslyFormattedCitation":"(Boeing et al. 2014)"},"properties":{"noteIndex":0},"schema":"https://github.com/citation-style-language/schema/raw/master/csl-citation.json"}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(Boeing et al., 2014)</w:t>
      </w:r>
      <w:r w:rsidRPr="00C73625">
        <w:rPr>
          <w:rFonts w:ascii="Arial" w:hAnsi="Arial" w:cs="Arial"/>
        </w:rPr>
        <w:fldChar w:fldCharType="end"/>
      </w:r>
      <w:r w:rsidRPr="00C73625">
        <w:rPr>
          <w:rFonts w:ascii="Arial" w:hAnsi="Arial" w:cs="Arial"/>
        </w:rPr>
        <w:t xml:space="preserve">. Methanol is used as a solvent in this investigation. Medicinal plants contain a wide variety of phytoconstituents, and these are accountable for various pharmacological potentialities. In this investigation, the antioxidant activity of MEORL was evaluated to reduce undesirable side effects of conventional antioxidants and find better alternatives </w:t>
      </w:r>
      <w:r w:rsidRPr="00C73625">
        <w:rPr>
          <w:rFonts w:ascii="Arial" w:hAnsi="Arial" w:cs="Arial"/>
          <w:vertAlign w:val="superscript"/>
        </w:rPr>
        <w:fldChar w:fldCharType="begin" w:fldLock="1"/>
      </w:r>
      <w:r w:rsidR="00E772A2">
        <w:rPr>
          <w:rFonts w:ascii="Arial" w:hAnsi="Arial" w:cs="Arial"/>
        </w:rPr>
        <w:instrText>ADDIN CSL_CITATION {"citationItems":[{"id":"ITEM-1","itemData":{"DOI":"10.3390/biom8040124","ISSN":"2218273X","PMID":"30366441","abstract":"The term “antioxidant” is one of the most confusing definitions in biological/medical sciences. In chemistry, “antioxidant” is simply conceived “a compound that removes reactive species, mainly those oxygen-derived”, while in a cell context, the conceptual definition of an antioxidant is poorly understood. Indeed, non-clinically recommended antioxidants are often consumed in large amounts by the global population, based on the belief that cancer, inflammation and degenerative diseases are triggered by high oxygen levels (or reactive oxygen species) and that through blocking reactive species production, organic unbalances/disorders can be prevented and/or even treated. The popularity of these chemicals arises in part from the widespread public mistrust of allopathic medicine. In fact, reactive oxygen species play a dual role in dealing with different disorders, since they may contribute to disease onset and/or progression but may also play a key role in disease prevention. Further, the ability of the most commonly used supplements, such as vitamins C, E, selenium, and herbal supplements to decrease pathologic reactive oxygen species is not clearly established. Hence, the present review aims to provide a nuanced understanding of where current knowledge is and where it should go.","author":[{"dropping-particle":"","family":"Salehi","given":"Bahare","non-dropping-particle":"","parse-names":false,"suffix":""},{"dropping-particle":"","family":"Martorell","given":"Miquel","non-dropping-particle":"","parse-names":false,"suffix":""},{"dropping-particle":"","family":"Arbiser","given":"Jack L.","non-dropping-particle":"","parse-names":false,"suffix":""},{"dropping-particle":"","family":"Sureda","given":"Antoni","non-dropping-particle":"","parse-names":false,"suffix":""},{"dropping-particle":"","family":"Martins","given":"Natália","non-dropping-particle":"","parse-names":false,"suffix":""},{"dropping-particle":"","family":"Maurya","given":"Pawan Kumar","non-dropping-particle":"","parse-names":false,"suffix":""},{"dropping-particle":"","family":"Sharifi-Rad","given":"Mehdi","non-dropping-particle":"","parse-names":false,"suffix":""},{"dropping-particle":"","family":"Kumar","given":"Pradeep","non-dropping-particle":"","parse-names":false,"suffix":""},{"dropping-particle":"","family":"Sharifi-Rad","given":"Javad","non-dropping-particle":"","parse-names":false,"suffix":""}],"container-title":"Biomolecules","id":"ITEM-1","issue":"4","issued":{"date-parts":[["2018"]]},"page":"1-11","title":"Antioxidants: Positive or negative actors?","type":"article-journal","volume":"8"},"uris":["http://www.mendeley.com/documents/?uuid=c30cf1b5-a40d-4b5f-b12c-69d27ca46045"]}],"mendeley":{"formattedCitation":"(Salehi et al., 2018)","plainTextFormattedCitation":"(Salehi et al., 2018)","previouslyFormattedCitation":"(Salehi et al. 2018)"},"properties":{"noteIndex":0},"schema":"https://github.com/citation-style-language/schema/raw/master/csl-citation.json"}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(Salehi et al., 2018)</w:t>
      </w:r>
      <w:r w:rsidRPr="00C73625">
        <w:rPr>
          <w:rFonts w:ascii="Arial" w:hAnsi="Arial" w:cs="Arial"/>
        </w:rPr>
        <w:fldChar w:fldCharType="end"/>
      </w:r>
      <w:r w:rsidRPr="00C73625">
        <w:rPr>
          <w:rFonts w:ascii="Arial" w:hAnsi="Arial" w:cs="Arial"/>
        </w:rPr>
        <w:t xml:space="preserve">. In this assay, ascorbic acid was used as a standard, which neutralizes free radicals by donating hydrogen. Flavonoids are the key components that destroy free radicals because they can donate hydrogen </w:t>
      </w:r>
      <w:r w:rsidRPr="00C73625">
        <w:rPr>
          <w:rFonts w:ascii="Arial" w:hAnsi="Arial" w:cs="Arial"/>
          <w:vertAlign w:val="superscript"/>
        </w:rPr>
        <w:fldChar w:fldCharType="begin" w:fldLock="1"/>
      </w:r>
      <w:r w:rsidR="00E772A2">
        <w:rPr>
          <w:rFonts w:ascii="Arial" w:hAnsi="Arial" w:cs="Arial"/>
        </w:rPr>
        <w:instrText>ADDIN CSL_CITATION {"citationItems":[{"id":"ITEM-1","itemData":{"DOI":"10.1186/1472-6882-12-221","ISSN":"14726882","PMID":"23153304","abstract":"Background: The aim of this study was to screen various solvent extracts of whole plant of Torilis leptophylla to display potent antioxidant activity in vitro and in vivo, total phenolic and flavonoid contents in order to find possible sources for future novel antioxidants in food and pharmaceutical formulations.Material and methods: A detailed study was performed on the antioxidant activity of the methanol extract of whole plant of Torilis leptophylla (TLM) and its derived fractions {n-hexane (TLH), chloroform (TLC) ethyl acetate (TLE) n-butanol (TLB) and residual aqueous fraction (TLA)} by in vitro chemical analyses and carbon tetrachloride (CCl4) induced hepatic injuries (lipid peroxidation and glutathione contents) in male Sprague-Dawley rat. The total yield, total phenolic (TPC) and total flavonoid contents (TFC) of all the fractions were also determined. TLM was also subjected to preliminary phytochemical screening test for various constituents.Results: The total phenolic contents (TPC) (121.9±3.1 mg GAE/g extract) of TLM while total flavonoid contents (TFC) of TLE (60.9 ±2.2 mg RTE/g extract) were found significantly higher as compared to other solvent fractions. Phytochemical screening of TLM revealed the presence of alkaloids, anthraquinones, cardiac glycosides, coumarins, flavonoids, saponins, phlobatannins, tannins and terpenoids. The EC50 values based on the DPPH (41.0±1 μg/ml), ABTS (10.0±0.9 μg/ml) and phosphomolybdate (10.7±2 μg/ml) for TLB, hydroxyl radicals (8.0±1 μg/ml) for TLC, superoxide radicals (57.0±0.3 μg/ml) for TLM and hydrogen peroxide radicals (68.0±2 μg/ml) for TLE were generally lower showing potential antioxidant properties. A significant but marginal positive correlation was found between TPC and EC50 values for DPPH, hydroxyl, phosphomolybdate and ABTS, whereas another weak and positive correlation was determined between TFC and EC50 values for superoxide anion and hydroxyl radicals. Results of in vivo experiment revealed that administration of CCl4 caused a significant increase in lipid peroxidation (TBARS) while decrease in GSH contents of liver. In contrast, TLM (200 mg/kg bw) and silymarin (50 mg/kg bw) co-treatment effectively prevented these alterations and maintained the antioxidant status.Conclusion: Data from present results revealed that Torilis leptophylla act as an antioxidant agent due to its free radical scavenging and cytoprotective activity. © 2012 Saeed et al.; licensee BioMed Central Ltd.","author":[{"dropping-particle":"","family":"Saeed","given":"Naima","non-dropping-particle":"","parse-names":false,"suffix":""},{"dropping-particle":"","family":"Khan","given":"Muhammad R.","non-dropping-particle":"","parse-names":false,"suffix":""},{"dropping-particle":"","family":"Shabbir","given":"Maria","non-dropping-particle":"","parse-names":false,"suffix":""}],"container-title":"BMC Complementary and Alternative Medicine","id":"ITEM-1","issued":{"date-parts":[["2012"]]},"title":"Antioxidant activity, total phenolic and total flavonoid contents of whole plant extracts Torilis leptophylla L","type":"article-journal","volume":"12"},"uris":["http://www.mendeley.com/documents/?uuid=dbfc8fb7-35da-4743-8331-f60181434148"]}],"mendeley":{"formattedCitation":"(Saeed et al., 2012)","plainTextFormattedCitation":"(Saeed et al., 2012)","previouslyFormattedCitation":"(Saeed, Khan, and Shabbir 2012)"},"properties":{"noteIndex":0},"schema":"https://github.com/citation-style-language/schema/raw/master/csl-citation.json"}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noProof/>
        </w:rPr>
        <w:t>(Saeed et al., 2012)</w:t>
      </w:r>
      <w:r w:rsidRPr="00C73625">
        <w:rPr>
          <w:rFonts w:ascii="Arial" w:hAnsi="Arial" w:cs="Arial"/>
        </w:rPr>
        <w:fldChar w:fldCharType="end"/>
      </w:r>
      <w:r w:rsidRPr="00C73625">
        <w:rPr>
          <w:rFonts w:ascii="Arial" w:hAnsi="Arial" w:cs="Arial"/>
        </w:rPr>
        <w:t xml:space="preserve">. And the plant we investigated also contains flavonoids, which make it a potential source of antioxidants. </w:t>
      </w:r>
      <w:r w:rsidRPr="00C73625">
        <w:rPr>
          <w:rFonts w:ascii="Arial" w:hAnsi="Arial" w:cs="Arial"/>
          <w:i/>
          <w:iCs/>
        </w:rPr>
        <w:t>O. robusta</w:t>
      </w:r>
      <w:r w:rsidRPr="00C73625">
        <w:rPr>
          <w:rFonts w:ascii="Arial" w:hAnsi="Arial" w:cs="Arial"/>
        </w:rPr>
        <w:t xml:space="preserve"> showed dose-dependent antioxidant activity by suppressing DPPH free radicals with a result of 63.81 </w:t>
      </w:r>
      <w:proofErr w:type="spellStart"/>
      <w:r w:rsidRPr="00C73625">
        <w:rPr>
          <w:rFonts w:ascii="Arial" w:hAnsi="Arial" w:cs="Arial"/>
        </w:rPr>
        <w:t>μg</w:t>
      </w:r>
      <w:proofErr w:type="spellEnd"/>
      <w:r w:rsidRPr="00C73625">
        <w:rPr>
          <w:rFonts w:ascii="Arial" w:hAnsi="Arial" w:cs="Arial"/>
        </w:rPr>
        <w:t xml:space="preserve">/ml compared to 12.90 </w:t>
      </w:r>
      <w:proofErr w:type="spellStart"/>
      <w:r w:rsidRPr="00C73625">
        <w:rPr>
          <w:rFonts w:ascii="Arial" w:hAnsi="Arial" w:cs="Arial"/>
        </w:rPr>
        <w:t>μg</w:t>
      </w:r>
      <w:proofErr w:type="spellEnd"/>
      <w:r w:rsidRPr="00C73625">
        <w:rPr>
          <w:rFonts w:ascii="Arial" w:hAnsi="Arial" w:cs="Arial"/>
        </w:rPr>
        <w:t xml:space="preserve">/ml for standard ascorbic acid. In the present investigation, the </w:t>
      </w:r>
      <w:r w:rsidRPr="00C73625">
        <w:rPr>
          <w:rFonts w:ascii="Arial" w:hAnsi="Arial" w:cs="Arial"/>
        </w:rPr>
        <w:lastRenderedPageBreak/>
        <w:t xml:space="preserve">DPPH free radical scavenging assay makes it evident that </w:t>
      </w:r>
      <w:r w:rsidRPr="00C73625">
        <w:rPr>
          <w:rFonts w:ascii="Arial" w:hAnsi="Arial" w:cs="Arial"/>
          <w:i/>
          <w:iCs/>
        </w:rPr>
        <w:t>O. robusta</w:t>
      </w:r>
      <w:r w:rsidRPr="00C73625">
        <w:rPr>
          <w:rFonts w:ascii="Arial" w:hAnsi="Arial" w:cs="Arial"/>
        </w:rPr>
        <w:t xml:space="preserve"> possesses antioxidant activity.</w:t>
      </w:r>
    </w:p>
    <w:p w14:paraId="0EF635BC" w14:textId="1D62DEDF" w:rsidR="00C73625" w:rsidRPr="00C73625" w:rsidRDefault="00C73625" w:rsidP="00C73625">
      <w:pPr>
        <w:pStyle w:val="Body"/>
        <w:rPr>
          <w:rFonts w:ascii="Arial" w:hAnsi="Arial" w:cs="Arial"/>
        </w:rPr>
      </w:pPr>
      <w:r w:rsidRPr="00C73625">
        <w:rPr>
          <w:rFonts w:ascii="Arial" w:hAnsi="Arial" w:cs="Arial"/>
        </w:rPr>
        <w:t xml:space="preserve">As an efficient, simple, and cheap way to test for cytotoxic effects, the brine shrimp lethality bioassay has been frequently used </w:t>
      </w:r>
      <w:r w:rsidRPr="00C73625">
        <w:rPr>
          <w:rFonts w:ascii="Arial" w:hAnsi="Arial" w:cs="Arial"/>
          <w:vertAlign w:val="superscript"/>
        </w:rPr>
        <w:fldChar w:fldCharType="begin" w:fldLock="1"/>
      </w:r>
      <w:r w:rsidR="00E772A2">
        <w:rPr>
          <w:rFonts w:ascii="Arial" w:hAnsi="Arial" w:cs="Arial"/>
        </w:rPr>
        <w:instrText>ADDIN CSL_CITATION {"citationItems":[{"id":"ITEM-1","itemData":{"DOI":"10.1055/s-2007-971236","ISSN":"00320943","PMID":"7100305","author":[{"dropping-particle":"","family":"Meyer","given":"B. N.","non-dropping-particle":"","parse-names":false,"suffix":""},{"dropping-particle":"","family":"Ferrigni","given":"N. R.","non-dropping-particle":"","parse-names":false,"suffix":""},{"dropping-particle":"","family":"Putnam","given":"J. E.","non-dropping-particle":"","parse-names":false,"suffix":""},{"dropping-particle":"","family":"Jacobsen","given":"L. B.","non-dropping-particle":"","parse-names":false,"suffix":""},{"dropping-particle":"","family":"Nichols","given":"D. E.","non-dropping-particle":"","parse-names":false,"suffix":""},{"dropping-particle":"","family":"McLaughlin","given":"J. L.","non-dropping-particle":"","parse-names":false,"suffix":""}],"container-title":"Planta Medica","id":"ITEM-1","issue":"1","issued":{"date-parts":[["1982"]]},"page":"31-34","title":"Brine shrimp: A convenient general bioassay for active plant constituents","type":"article-journal","volume":"45"},"uris":["http://www.mendeley.com/documents/?uuid=7547934f-3e71-4fb9-a3be-98557210f7bc"]}],"mendeley":{"formattedCitation":"(Meyer et al., 1982)","plainTextFormattedCitation":"(Meyer et al., 1982)","previouslyFormattedCitation":"(Meyer et al. 1982)"},"properties":{"noteIndex":0},"schema":"https://github.com/citation-style-language/schema/raw/master/csl-citation.json"}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noProof/>
        </w:rPr>
        <w:t>(Meyer et al., 1982)</w:t>
      </w:r>
      <w:r w:rsidRPr="00C73625">
        <w:rPr>
          <w:rFonts w:ascii="Arial" w:hAnsi="Arial" w:cs="Arial"/>
        </w:rPr>
        <w:fldChar w:fldCharType="end"/>
      </w:r>
      <w:r w:rsidRPr="00C73625">
        <w:rPr>
          <w:rFonts w:ascii="Arial" w:hAnsi="Arial" w:cs="Arial"/>
        </w:rPr>
        <w:t xml:space="preserve">, </w:t>
      </w:r>
      <w:r w:rsidRPr="00C73625">
        <w:rPr>
          <w:rFonts w:ascii="Arial" w:hAnsi="Arial" w:cs="Arial"/>
          <w:vertAlign w:val="superscript"/>
        </w:rPr>
        <w:fldChar w:fldCharType="begin" w:fldLock="1"/>
      </w:r>
      <w:r w:rsidR="00E772A2">
        <w:rPr>
          <w:rFonts w:ascii="Arial" w:hAnsi="Arial" w:cs="Arial"/>
        </w:rPr>
        <w:instrText>ADDIN CSL_CITATION {"citationItems":[{"id":"ITEM-1","itemData":{"DOI":"10.5455/jabet.2020.d110","ISSN":"26164760","abstract":"The study reports the in vivo antidiarrheal and in vitro cytotoxic and thrombolytic activities of methanolic extract of Hedychium coccineum leaves (MEHCL). The antidiarrheal activity was evaluated by castor oil-induced diarrhea, whereas the intestinal motility by charcoal marker. In addition, brine shrimp lethality bioassay and human blood clot lysis were used to evaluate the cytotoxic and thrombolytic activities, respectively. In antidiarrheal study, castor oil-induced diarrhea and gastrointestinal motility exhibited a significant dose dependent reduction in diarrhea and defecation and an extremely significant (P &lt; 0.0001) inhibition in intestinal motility and peristalsis index by 200 and 400 mg/kg of MEHCL. The brine shrimp lethality bioassay revealed a considerable cytotoxic effect of MEHCL (LC50= 81.59 µg/mL; R² = 0.927) while in thrombolytic a significant percentage of clot lysis (17.36%, P &lt; 0.01) demonstrated. The findings suggest that H. coccineum leaves could be potential sources for biological activity.","author":[{"dropping-particle":"","family":"Shifah","given":"Fahmida","non-dropping-particle":"","parse-names":false,"suffix":""},{"dropping-particle":"","family":"Tareq","given":"Abu Montakim","non-dropping-particle":"","parse-names":false,"suffix":""},{"dropping-particle":"","family":"Sayeed","given":"Mohammed Aktar","non-dropping-particle":"","parse-names":false,"suffix":""},{"dropping-particle":"","family":"Islam","given":"Mohammad Nazmul","non-dropping-particle":"","parse-names":false,"suffix":""},{"dropping-particle":"Bin","family":"Emran","given":"Talha","non-dropping-particle":"","parse-names":false,"suffix":""},{"dropping-particle":"","family":"Ullah","given":"Md Ahsan","non-dropping-particle":"","parse-names":false,"suffix":""},{"dropping-particle":"","family":"Mukit","given":"Muhammad Abdul","non-dropping-particle":"","parse-names":false,"suffix":""},{"dropping-particle":"","family":"Ullah","given":"Ahmed","non-dropping-particle":"","parse-names":false,"suffix":""}],"container-title":"Journal of Advanced Biotechnology and Experimental Therapeutics","id":"ITEM-1","issue":"1","issued":{"date-parts":[["2020"]]},"page":"77-83","title":"Antidiarrheal, cytotoxic and thrombolytic activities of methanolic extract of hedychium coccineum leaves","type":"article-journal","volume":"3"},"uris":["http://www.mendeley.com/documents/?uuid=726be8a0-0077-434f-bd46-cedbd7892921"]}],"mendeley":{"formattedCitation":"(Shifah et al., 2020)","plainTextFormattedCitation":"(Shifah et al., 2020)","previouslyFormattedCitation":"(Shifah et al. 2020)"},"properties":{"noteIndex":0},"schema":"https://github.com/citation-style-language/schema/raw/master/csl-citation.json"}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(Shifah et al., 2020)</w:t>
      </w:r>
      <w:r w:rsidRPr="00C73625">
        <w:rPr>
          <w:rFonts w:ascii="Arial" w:hAnsi="Arial" w:cs="Arial"/>
        </w:rPr>
        <w:fldChar w:fldCharType="end"/>
      </w:r>
      <w:r w:rsidRPr="00C73625">
        <w:rPr>
          <w:rFonts w:ascii="Arial" w:hAnsi="Arial" w:cs="Arial"/>
        </w:rPr>
        <w:t xml:space="preserve">. The brine shrimp lethality test has been discovered to have a strong association with solid human tumors in terms of cytotoxic and pesticidal action. This correlation is beneficial for the discovery of effective anticancer drugs as well as natural pesticides </w:t>
      </w:r>
      <w:r w:rsidRPr="00C73625">
        <w:rPr>
          <w:rFonts w:ascii="Arial" w:hAnsi="Arial" w:cs="Arial"/>
          <w:vertAlign w:val="superscript"/>
        </w:rPr>
        <w:fldChar w:fldCharType="begin" w:fldLock="1"/>
      </w:r>
      <w:r w:rsidR="00E772A2">
        <w:rPr>
          <w:rFonts w:ascii="Arial" w:hAnsi="Arial" w:cs="Arial"/>
        </w:rPr>
        <w:instrText>ADDIN CSL_CITATION {"citationItems":[{"id":"ITEM-1","itemData":{"DOI":"10.1186/s40816-019-0127-x","abstract":"Background: The study was conducted to evaluate the analgesic, anti-inflammatory, antipyretic properties of ethanolic extract of Tacca integrifolia rhizome (EETI) in mice and cytotoxic effects in brine shrimp nauplii followed by a PASS prediction study for some isolated compounds of T. integrifolia. Additionally, this experiment included the in silico molecular docking and ADME/T property analyses of some phytochemicals.","author":[{"dropping-particle":"","family":"Ahmed","given":"Shahriar","non-dropping-particle":"","parse-names":false,"suffix":""},{"dropping-particle":"","family":"Rakib","given":"Ahmed","non-dropping-particle":"","parse-names":false,"suffix":""},{"dropping-particle":"","family":"Islam","given":"Md. Ashiqul","non-dropping-particle":"","parse-names":false,"suffix":""},{"dropping-particle":"","family":"Khanam","given":"Bibi Humayra","non-dropping-particle":"","parse-names":false,"suffix":""},{"dropping-particle":"","family":"Faiz","given":"Farhana Binta","non-dropping-particle":"","parse-names":false,"suffix":""},{"dropping-particle":"","family":"Paul","given":"Arkajyoti","non-dropping-particle":"","parse-names":false,"suffix":""},{"dropping-particle":"","family":"Chy","given":"Md. Nazim Uddin","non-dropping-particle":"","parse-names":false,"suffix":""},{"dropping-particle":"","family":"Bhuiya","given":"N. M. Mahmudul Alam","non-dropping-particle":"","parse-names":false,"suffix":""},{"dropping-particle":"","family":"Uddin","given":"Mir Muhammad Nasir","non-dropping-particle":"","parse-names":false,"suffix":""},{"dropping-particle":"","family":"Ullah","given":"S. M. Amanat","non-dropping-particle":"","parse-names":false,"suffix":""},{"dropping-particle":"","family":"Rahman","given":"Md. Atiar","non-dropping-particle":"","parse-names":false,"suffix":""},{"dropping-particle":"Bin","family":"Emran","given":"Talha","non-dropping-particle":"","parse-names":false,"suffix":""}],"container-title":"Clinical Phytoscience","id":"ITEM-1","issue":"1","issued":{"date-parts":[["2019"]]},"publisher":"Clinical Phytoscience","title":"In vivo and in vitro pharmacological activities of Tacca integrifolia rhizome and investigation of possible lead compounds against breast cancer through in silico approaches","type":"article-journal","volume":"5"},"uris":["http://www.mendeley.com/documents/?uuid=94b1408b-199d-4f03-bce6-7cecb5965e64"]}],"mendeley":{"formattedCitation":"(S. Ahmed et al., 2019)","plainTextFormattedCitation":"(S. Ahmed et al., 2019)","previouslyFormattedCitation":"(Ahmed et al. 2019)"},"properties":{"noteIndex":0},"schema":"https://github.com/citation-style-language/schema/raw/master/csl-citation.json"}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(S. Ahmed et al., 2019)</w:t>
      </w:r>
      <w:r w:rsidRPr="00C73625">
        <w:rPr>
          <w:rFonts w:ascii="Arial" w:hAnsi="Arial" w:cs="Arial"/>
        </w:rPr>
        <w:fldChar w:fldCharType="end"/>
      </w:r>
      <w:r w:rsidRPr="00C73625">
        <w:rPr>
          <w:rFonts w:ascii="Arial" w:hAnsi="Arial" w:cs="Arial"/>
        </w:rPr>
        <w:t>. In general, the LC</w:t>
      </w:r>
      <w:r w:rsidRPr="00C73625">
        <w:rPr>
          <w:rFonts w:ascii="Arial" w:hAnsi="Arial" w:cs="Arial"/>
          <w:vertAlign w:val="subscript"/>
        </w:rPr>
        <w:t>50</w:t>
      </w:r>
      <w:r w:rsidRPr="00C73625">
        <w:rPr>
          <w:rFonts w:ascii="Arial" w:hAnsi="Arial" w:cs="Arial"/>
        </w:rPr>
        <w:t xml:space="preserve"> should be smaller if the toxicity should be higher, and vice versa. The value of LC</w:t>
      </w:r>
      <w:r w:rsidRPr="00C73625">
        <w:rPr>
          <w:rFonts w:ascii="Arial" w:hAnsi="Arial" w:cs="Arial"/>
          <w:vertAlign w:val="subscript"/>
        </w:rPr>
        <w:t>50</w:t>
      </w:r>
      <w:r w:rsidRPr="00C73625">
        <w:rPr>
          <w:rFonts w:ascii="Arial" w:hAnsi="Arial" w:cs="Arial"/>
        </w:rPr>
        <w:t xml:space="preserve"> that is greater than 1000 µg/ml is regarded to be non-toxic, while a range from 500 to 1000 µg/ml is considered to be just weakly toxic, moderately toxic for 100 to 500 µg/ml, and highly toxic for less than 100 µg/ml </w:t>
      </w:r>
      <w:r w:rsidRPr="00C73625">
        <w:rPr>
          <w:rFonts w:ascii="Arial" w:hAnsi="Arial" w:cs="Arial"/>
          <w:vertAlign w:val="superscript"/>
        </w:rPr>
        <w:fldChar w:fldCharType="begin" w:fldLock="1"/>
      </w:r>
      <w:r w:rsidR="00E772A2">
        <w:rPr>
          <w:rFonts w:ascii="Arial" w:hAnsi="Arial" w:cs="Arial"/>
        </w:rPr>
        <w:instrText>ADDIN CSL_CITATION {"citationItems":[{"id":"ITEM-1","itemData":{"DOI":"10.1634/theoncologist.2015-0391","ISSN":"1083-7159","PMID":"27328933","abstract":"Acute lymphoblastic leukemia (ALL) is a heterogeneous group of hematologic malignancies that arise from clonal proliferation of immature lymphoid cells in the bone marrow, peripheral blood, and other organs. The vinca alkaloid vincristine is a standard component of chemotherapy regimens used to treat ALL, because of its well-defined mechanism of action, demonstrated anticancer activity, and ability to be combined with other agents. However, the dosage of vincristine is frequently capped because of neurotoxicity concerns, and patients with large body surface areas are, therefore, almost always underdosed. Liposomal formulations have the ability to “passively” accumulate at sites of increased vasculature permeability and reduce the adverse effects of encapsulated relative to free drug. Vincristine sulfate liposome injection (VSLI) is a sphingomyelin/cholesterol-based liposome-encapsulated formulation that is delivered weekly in a 1-hour infusion. Based on the pharmacokinetics of the liposomal delivery system, vincristine is slowly released from the liposome and delivered into the tissues more efficiently than with the standard preparation, allowing a higher dose. This increase in therapeutic index from reduced toxicity is a valuable difference between the two formulations. VSLI is indicated for the treatment of adults with second or greater relapse and clinically advanced Philadelphia chromosome-negative ALL. For the first time, studies will be able to exploit the delivery of higher and uncapped doses of vincristine in randomized studies comparing first-line chemotherapy with standard vincristine versus VSLI in both ALL and lymphoma to determine whether VSLI is superior to conventional vincristine.","author":[{"dropping-particle":"","family":"Douer","given":"Dan","non-dropping-particle":"","parse-names":false,"suffix":""}],"container-title":"The Oncologist","id":"ITEM-1","issue":"7","issued":{"date-parts":[["2016"]]},"page":"840-847","title":"Efficacy and Safety of Vincristine Sulfate Liposome Injection in the Treatment of Adult Acute Lymphocytic Leukemia","type":"article-journal","volume":"21"},"uris":["http://www.mendeley.com/documents/?uuid=ff91cc7c-502d-4a13-b417-b7025d634bf9"]}],"mendeley":{"formattedCitation":"(Douer, 2016)","plainTextFormattedCitation":"(Douer, 2016)","previouslyFormattedCitation":"(Douer 2016)"},"properties":{"noteIndex":0},"schema":"https://github.com/citation-style-language/schema/raw/master/csl-citation.json"}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(Douer, 2016)</w:t>
      </w:r>
      <w:r w:rsidRPr="00C73625">
        <w:rPr>
          <w:rFonts w:ascii="Arial" w:hAnsi="Arial" w:cs="Arial"/>
        </w:rPr>
        <w:fldChar w:fldCharType="end"/>
      </w:r>
      <w:r w:rsidRPr="00C73625">
        <w:rPr>
          <w:rFonts w:ascii="Arial" w:hAnsi="Arial" w:cs="Arial"/>
        </w:rPr>
        <w:t xml:space="preserve">. Using VCS as a standard, we assessed the cytotoxic activity of MEORL in this study. Neurotoxicity and a narrow therapeutic index are two of VCS's well-documented drawbacks </w:t>
      </w:r>
      <w:r w:rsidRPr="00C73625">
        <w:rPr>
          <w:rFonts w:ascii="Arial" w:hAnsi="Arial" w:cs="Arial"/>
          <w:vertAlign w:val="superscript"/>
        </w:rPr>
        <w:fldChar w:fldCharType="begin" w:fldLock="1"/>
      </w:r>
      <w:r w:rsidR="00E772A2">
        <w:rPr>
          <w:rFonts w:ascii="Arial" w:hAnsi="Arial" w:cs="Arial"/>
        </w:rPr>
        <w:instrText>ADDIN CSL_CITATION {"citationItems":[{"id":"ITEM-1","itemData":{"DOI":"10.1007/s00280-012-2042-4","ISSN":"03445704","PMID":"23212117","abstract":"Vincristine (VCR) is a mainstay of treatment of hematologic malignancies and solid tumors due to its well-defined mechanism of action, demonstrated anticancer activity and its ability to be combined with other agents. VCR is an M-phase cell cycle-specific anticancer drug with activity that is concentration and exposure duration dependent. The pharmacokinetic profile of standard VCR is described by a bi-exponential elimination pattern with a very fast initial distribution half-life followed by a longer elimination half-life. VCR also has a large volume of distribution, suggesting diffuse distribution and tissue binding. These properties may limit optimal drug exposure and delivery to target tissues as well as clinical utility as a single agent or as an effective component of multi-agent regimens. Vincristine sulfate liposome injection (VSLI), Marqibo®, is a sphingomyelin and cholesterol-based nanoparticle formulation of VCR that was designed to overcome the dosing and pharmacokinetic limitations of standard VCR. VSLI was developed to increase the circulation time, optimize delivery to target tissues and facilitate dose intensification without increasing toxicity. In xenograft studies in mice, VSLI had a higher maximum tolerated dose, superior antitumor activity and delivered higher amounts of active drug to target tissues compared to standard VCR. VSLI recently received accelerated FDA approval for use in adults with advanced, relapsed and refractory Philadelphia chromosome-negative ALL and is in development for untreated adult ALL, pediatric ALL and untreated aggressive NHL. Here, we summarize the nonclinical data for VSLI that support its continued clinical development and recent approval for use in adult ALL. © 2012 The Author(s).","author":[{"dropping-particle":"","family":"Silverman","given":"Jeffrey A.","non-dropping-particle":"","parse-names":false,"suffix":""},{"dropping-particle":"","family":"Deitcher","given":"Steven R.","non-dropping-particle":"","parse-names":false,"suffix":""}],"container-title":"Cancer Chemotherapy and Pharmacology","id":"ITEM-1","issue":"3","issued":{"date-parts":[["2013"]]},"page":"555-564","title":"Marqibo® (vincristine sulfate liposome injection) improves the pharmacokinetics and pharmacodynamics of vincristine","type":"article-journal","volume":"71"},"uris":["http://www.mendeley.com/documents/?uuid=153db562-f3ca-4aa4-a797-78c0180928af"]}],"mendeley":{"formattedCitation":"(Silverman &amp; Deitcher, 2013)","plainTextFormattedCitation":"(Silverman &amp; Deitcher, 2013)","previouslyFormattedCitation":"(Silverman and Deitcher 2013)"},"properties":{"noteIndex":0},"schema":"https://github.com/citation-style-language/schema/raw/master/csl-citation.json"}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(Silverman &amp; Deitcher, 2013)</w:t>
      </w:r>
      <w:r w:rsidRPr="00C73625">
        <w:rPr>
          <w:rFonts w:ascii="Arial" w:hAnsi="Arial" w:cs="Arial"/>
        </w:rPr>
        <w:fldChar w:fldCharType="end"/>
      </w:r>
      <w:r w:rsidRPr="00C73625">
        <w:rPr>
          <w:rFonts w:ascii="Arial" w:hAnsi="Arial" w:cs="Arial"/>
        </w:rPr>
        <w:t xml:space="preserve">. Taking the drawbacks into consideration, researchers have been trying to find new solutions. The VCS is responsible for suppressing the production of microtubules in the mitotic spindle, which in turn halts the progression of cell division during the metaphase stage. Abnormal microtubule synthesis hinders cell replication and ultimately leads to cell death. Terpenoids are known to have cytotoxic activity </w:t>
      </w:r>
      <w:r w:rsidRPr="00C73625">
        <w:rPr>
          <w:rFonts w:ascii="Arial" w:hAnsi="Arial" w:cs="Arial"/>
          <w:vertAlign w:val="superscript"/>
        </w:rPr>
        <w:fldChar w:fldCharType="begin" w:fldLock="1"/>
      </w:r>
      <w:r w:rsidR="00E772A2">
        <w:rPr>
          <w:rFonts w:ascii="Arial" w:hAnsi="Arial" w:cs="Arial"/>
        </w:rPr>
        <w:instrText>ADDIN CSL_CITATION {"citationItems":[{"id":"ITEM-1","itemData":{"DOI":"10.1155/2014/734946","ISSN":"23146141","PMID":"25136617","abstract":"The essential oils from Mangifera indica var. Rosa and Espada latex were obtained by hydrodistillation and analyzed using GC-FID and GC-MS. Twenty-seven components were identified. The main compound in the essential oil from M. indica var. Espada (EOMiE) was terpinolene (73.6%). The essential oil of M. indica var. Rosa (EOMiR) was characterized by high amounts of β-pinene (40.7%) and terpinolene (28.3%). In the test for leishmanicidal activity against promastigotes forms of L. amazonensis, EOMiR and EOMiE showed IC(72 h) of 39.1 and 23.0 μg/mL, respectively. In macrophages, EOMiR and EOMiE showed CCof 142.84 and 158.65 μg/mL, respectively. However, both were more specific to the parasite than macrophages, with values of selectivity index of 6.91 for EOMiE and 3.66 for EOMiR. The essential oils were evaluated for their cytotoxicity against the human tumor cells HEp-2, HT-29, NCI-H292, and HL-60. The EOMiR and EOMiE were most effective against the HL-60, with ICvalues of 12.3 and 3.6 μg/mL, respectively. The results demonstrated that the essential oils of M. indica can destroy L. amazonensis and inhibit tumor cell growth. These findings contribute to the knowledge of the Brazilian biodiversity as a source of potential therapeutic agents.","author":[{"dropping-particle":"","family":"Ramos","given":"Eduardo H.S.","non-dropping-particle":"","parse-names":false,"suffix":""},{"dropping-particle":"","family":"Moraes","given":"Marcílio M.","non-dropping-particle":"","parse-names":false,"suffix":""},{"dropping-particle":"","family":"Nerys","given":"Laís L.De A.","non-dropping-particle":"","parse-names":false,"suffix":""},{"dropping-particle":"","family":"Nascimento","given":"Silene C.","non-dropping-particle":"","parse-names":false,"suffix":""},{"dropping-particle":"","family":"Militão","given":"Gardênia C.G.","non-dropping-particle":"","parse-names":false,"suffix":""},{"dropping-particle":"","family":"Figueiredo","given":"Regina C.B.Q.","non-dropping-particle":"De","parse-names":false,"suffix":""},{"dropping-particle":"","family":"Câmara","given":"Cláudio A.G.","non-dropping-particle":"Da","parse-names":false,"suffix":""},{"dropping-particle":"","family":"Silva","given":"Teresinha Gonçalves","non-dropping-particle":"","parse-names":false,"suffix":""}],"container-title":"BioMed Research International","id":"ITEM-1","issued":{"date-parts":[["2014"]]},"title":"Chemical composition, leishmanicidal and cytotoxic activities of the essential oils from Mangifera indica L. Var. Rosa and Espada","type":"article-journal","volume":"2014"},"uris":["http://www.mendeley.com/documents/?uuid=ea4ee34c-bc70-4339-9579-a30bb82ae823"]}],"mendeley":{"formattedCitation":"(Ramos et al., 2014)","plainTextFormattedCitation":"(Ramos et al., 2014)","previouslyFormattedCitation":"(Ramos et al. 2014)"},"properties":{"noteIndex":0},"schema":"https://github.com/citation-style-language/schema/raw/master/csl-citation.json"}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noProof/>
        </w:rPr>
        <w:t>(Ramos et al., 2014)</w:t>
      </w:r>
      <w:r w:rsidRPr="00C73625">
        <w:rPr>
          <w:rFonts w:ascii="Arial" w:hAnsi="Arial" w:cs="Arial"/>
        </w:rPr>
        <w:fldChar w:fldCharType="end"/>
      </w:r>
      <w:r w:rsidRPr="00C73625">
        <w:rPr>
          <w:rFonts w:ascii="Arial" w:hAnsi="Arial" w:cs="Arial"/>
        </w:rPr>
        <w:t xml:space="preserve">. The presence of terpenoids in our investigated plant makes it evident that it's a potential source of cytotoxic agents. </w:t>
      </w:r>
      <w:r w:rsidRPr="00C73625">
        <w:rPr>
          <w:rFonts w:ascii="Arial" w:hAnsi="Arial" w:cs="Arial"/>
          <w:i/>
          <w:iCs/>
        </w:rPr>
        <w:t>O. robusta</w:t>
      </w:r>
      <w:r w:rsidRPr="00C73625">
        <w:rPr>
          <w:rFonts w:ascii="Arial" w:hAnsi="Arial" w:cs="Arial"/>
        </w:rPr>
        <w:t xml:space="preserve"> showed dose-dependent cytotoxic activity with a result of 167.19 </w:t>
      </w:r>
      <w:proofErr w:type="spellStart"/>
      <w:r w:rsidRPr="00C73625">
        <w:rPr>
          <w:rFonts w:ascii="Arial" w:hAnsi="Arial" w:cs="Arial"/>
        </w:rPr>
        <w:t>μg</w:t>
      </w:r>
      <w:proofErr w:type="spellEnd"/>
      <w:r w:rsidRPr="00C73625">
        <w:rPr>
          <w:rFonts w:ascii="Arial" w:hAnsi="Arial" w:cs="Arial"/>
        </w:rPr>
        <w:t xml:space="preserve">/ml (moderately toxic) compared to 1.84 </w:t>
      </w:r>
      <w:proofErr w:type="spellStart"/>
      <w:r w:rsidRPr="00C73625">
        <w:rPr>
          <w:rFonts w:ascii="Arial" w:hAnsi="Arial" w:cs="Arial"/>
        </w:rPr>
        <w:t>μg</w:t>
      </w:r>
      <w:proofErr w:type="spellEnd"/>
      <w:r w:rsidRPr="00C73625">
        <w:rPr>
          <w:rFonts w:ascii="Arial" w:hAnsi="Arial" w:cs="Arial"/>
        </w:rPr>
        <w:t>/ml (extremely toxic) for standard VCS.</w:t>
      </w:r>
    </w:p>
    <w:p w14:paraId="167818AF" w14:textId="542B5CE3" w:rsidR="00C73625" w:rsidRPr="00C73625" w:rsidRDefault="00C73625" w:rsidP="00C73625">
      <w:pPr>
        <w:pStyle w:val="Body"/>
        <w:rPr>
          <w:rFonts w:ascii="Arial" w:hAnsi="Arial" w:cs="Arial"/>
        </w:rPr>
      </w:pPr>
      <w:r w:rsidRPr="00C73625">
        <w:rPr>
          <w:rFonts w:ascii="Arial" w:hAnsi="Arial" w:cs="Arial"/>
        </w:rPr>
        <w:t xml:space="preserve">It is well-known that inflammation is a complicated process that is connected to the response of cells in the body to irritants, infections, or other ailments </w:t>
      </w:r>
      <w:r w:rsidRPr="00C73625">
        <w:rPr>
          <w:rFonts w:ascii="Arial" w:hAnsi="Arial" w:cs="Arial"/>
          <w:vertAlign w:val="superscript"/>
        </w:rPr>
        <w:fldChar w:fldCharType="begin" w:fldLock="1"/>
      </w:r>
      <w:r w:rsidR="00E772A2">
        <w:rPr>
          <w:rFonts w:ascii="Arial" w:hAnsi="Arial" w:cs="Arial"/>
        </w:rPr>
        <w:instrText>ADDIN CSL_CITATION {"citationItems":[{"id":"ITEM-1","itemData":{"DOI":"10.1186/s40816-020-00207-7","abstract":"BackgroundThis experiment is conducted to evaluate the anti-inflammatory effect of Piper chaba roots.MethodsThe in-vitro anti-inflammatory activity of Piper chaba was carried out by human red blood cell (HRBC) membrane stabilization method which includes heat-induced hemolysis and hypo tonicity- induced hemolysis and also by another method of egg albumin denaturation assay.ResultsAnti-inflammatory activity study of crude ethanolic extract was performed using heat induced membrane stabilization method, hypo-tonicity induced HRBC membrane stabilization method and egg albumin denaturation method. Crude ethanolic extracts of P. chaba showed promising in vitro anti-inflammatory activity in a concentration dependent manner. Using acetyl salicylic acid (ASA) as standard drug and was compared with ethanolic extract to determine anti-inflammatory activity. Heat induced anti-inflammatory test revealed that crude ethanolic extract of P. chaba (500 μg/ml) and positive control ASA(500 μg/ml) have 52.667% and 78% respectively, hypo tonicity induced anti-inflammatory test showed 35.67% and 59% inhibition of red blood cell (RBC) hemolysis. Egg albumin denaturation method also evaluated that crude ethanolic extract (1000 μg/ml) and ASA (1000 μg/ml) showed 60% and 97.12% inhibition of egg albumin denaturation.ConclusionThe plant of P. chaba of the genus Piper possesses promising anti-inflammatory activities.","author":[{"dropping-particle":"","family":"Yesmin","given":"Samina","non-dropping-particle":"","parse-names":false,"suffix":""},{"dropping-particle":"","family":"Paul","given":"Arkajyoti","non-dropping-particle":"","parse-names":false,"suffix":""},{"dropping-particle":"","family":"Naz","given":"Tarannum","non-dropping-particle":"","parse-names":false,"suffix":""},{"dropping-particle":"","family":"Rahman","given":"A. B. M. Atiqur","non-dropping-particle":"","parse-names":false,"suffix":""},{"dropping-particle":"","family":"Akhter","given":"Sarkar Farhana","non-dropping-particle":"","parse-names":false,"suffix":""},{"dropping-particle":"","family":"Wahed","given":"Mir Imam Ibne","non-dropping-particle":"","parse-names":false,"suffix":""},{"dropping-particle":"Bin","family":"Emran","given":"Talha","non-dropping-particle":"","parse-names":false,"suffix":""},{"dropping-particle":"","family":"Siddiqui","given":"Shafayet Ahmed","non-dropping-particle":"","parse-names":false,"suffix":""}],"container-title":"Clinical Phytoscience","id":"ITEM-1","issue":"1","issued":{"date-parts":[["2020"]]},"publisher":"Clinical Phytoscience","title":"Membrane stabilization as a mechanism of the anti-inflammatory activity of ethanolic root extract of Choi (Piper chaba)","type":"article-journal","volume":"6"},"uris":["http://www.mendeley.com/documents/?uuid=4058c388-1a4c-4523-b919-1a4240ff8213"]}],"mendeley":{"formattedCitation":"(Yesmin et al., 2020)","plainTextFormattedCitation":"(Yesmin et al., 2020)","previouslyFormattedCitation":"(Yesmin et al. 2020)"},"properties":{"noteIndex":0},"schema":"https://github.com/citation-style-language/schema/raw/master/csl-citation.json"}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(Yesmin et al., 2020)</w:t>
      </w:r>
      <w:r w:rsidRPr="00C73625">
        <w:rPr>
          <w:rFonts w:ascii="Arial" w:hAnsi="Arial" w:cs="Arial"/>
        </w:rPr>
        <w:fldChar w:fldCharType="end"/>
      </w:r>
      <w:r w:rsidRPr="00C73625">
        <w:rPr>
          <w:rFonts w:ascii="Arial" w:hAnsi="Arial" w:cs="Arial"/>
        </w:rPr>
        <w:t xml:space="preserve">. Other consequences, including arthritis, asthma, diabetes, cancer, and neurological illnesses, are also linked to inflammation </w:t>
      </w:r>
      <w:r w:rsidRPr="00C73625">
        <w:rPr>
          <w:rFonts w:ascii="Arial" w:hAnsi="Arial" w:cs="Arial"/>
          <w:vertAlign w:val="superscript"/>
        </w:rPr>
        <w:fldChar w:fldCharType="begin" w:fldLock="1"/>
      </w:r>
      <w:r w:rsidR="00E772A2">
        <w:rPr>
          <w:rFonts w:ascii="Arial" w:hAnsi="Arial" w:cs="Arial"/>
        </w:rPr>
        <w:instrText>ADDIN CSL_CITATION {"citationItems":[{"id":"ITEM-1","itemData":{"DOI":"10.1016/j.jnutbio.2019.03.009","ISSN":"18734847","PMID":"31048206","abstract":"The anti-inflammatory effects of phytochemicals, bioactive components from plants having health benefits, have been heavily investigated in the last several decades. However, the gap between the high dosage demands (μM)of phytochemicals in vitro studies and the low bioavailability (nM)of most phytochemicals after consuming relevant foods/supplements in humans undermines the application of these phytochemicals in the prevention of chronic inflammation and its related chronic diseases in humans. One of the approaches to bridging this gap is to combine two or more phytochemicals/foods to synergistically prevent chronic inflammation. While increasing combinations of phytochemicals on anti-inflammation studies have been reported, there is no report dedicating why combining two or more phytochemicals synergistically attenuates chronic inflammation. In the present review, we summarized different types of combinations exerting synergistic anti-inflammatory effects such as the combination of phytochemicals from the same foods, and the combination of phytochemicals from different foods/plants. Particularly, we proposed five mechanisms including enhancing the bioavailability of phytochemicals, increasing antioxidant capacity, interacting with gut microbiome and targeting same and different signaling pathways, to understand how the combination of phytochemicals exerts synergistic anti-inflammatory effects in cells, animals, and humans. This review provides clues to boost more studies to combine several phytochemicals/foods to reduce chronic inflammation and prevent chronic diseases in humans.","author":[{"dropping-particle":"","family":"Zhang","given":"Lijuan","non-dropping-particle":"","parse-names":false,"suffix":""},{"dropping-particle":"","family":"Virgous","given":"Carlos","non-dropping-particle":"","parse-names":false,"suffix":""},{"dropping-particle":"","family":"Si","given":"Hongwei","non-dropping-particle":"","parse-names":false,"suffix":""}],"container-title":"Journal of Nutritional Biochemistry","id":"ITEM-1","issued":{"date-parts":[["2019"]]},"page":"19-30","publisher":"Elsevier Inc","title":"Synergistic anti-inflammatory effects and mechanisms of combined phytochemicals","type":"article-journal","volume":"69"},"uris":["http://www.mendeley.com/documents/?uuid=504de3ac-9401-4a89-b84a-3bed9d2e56c3"]}],"mendeley":{"formattedCitation":"(Zhang et al., 2019)","plainTextFormattedCitation":"(Zhang et al., 2019)","previouslyFormattedCitation":"(Zhang, Virgous, and Si 2019)"},"properties":{"noteIndex":0},"schema":"https://github.com/citation-style-language/schema/raw/master/csl-citation.json"}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(Zhang et al., 2019)</w:t>
      </w:r>
      <w:r w:rsidRPr="00C73625">
        <w:rPr>
          <w:rFonts w:ascii="Arial" w:hAnsi="Arial" w:cs="Arial"/>
        </w:rPr>
        <w:fldChar w:fldCharType="end"/>
      </w:r>
      <w:r w:rsidRPr="00C73625">
        <w:rPr>
          <w:rFonts w:ascii="Arial" w:hAnsi="Arial" w:cs="Arial"/>
        </w:rPr>
        <w:t xml:space="preserve">. Conventional remedies for inflammatory diseases, such as the use of steroidal and nonsteroidal anti-inflammatory drugs, have substantial drawbacks </w:t>
      </w:r>
      <w:r w:rsidRPr="00C73625">
        <w:rPr>
          <w:rFonts w:ascii="Arial" w:hAnsi="Arial" w:cs="Arial"/>
          <w:vertAlign w:val="superscript"/>
        </w:rPr>
        <w:fldChar w:fldCharType="begin" w:fldLock="1"/>
      </w:r>
      <w:r w:rsidR="00E772A2">
        <w:rPr>
          <w:rFonts w:ascii="Arial" w:hAnsi="Arial" w:cs="Arial"/>
        </w:rPr>
        <w:instrText>ADDIN CSL_CITATION {"citationItems":[{"id":"ITEM-1","itemData":{"DOI":"10.1155/2019/8178294","ISSN":"17454557","abstract":"Severinia buxifolia (Rutaceae) is a promising source of bioactive compounds since it has been traditionally used for the treatment of various diseases. The present study aimed at evaluating the impact of different solvents on extraction yields, phytochemical constituents and antioxidants, and in vitro anti-inflammatory activities of S. buxifolia. The results showed that the used solvents took an important role in the yield of extraction, the content of chemical components, and the tested biological activities. Methanol was identified as the most effective solvent for the extraction, resulting in the highest extraction yield (33.2%) as well as the highest content of phenolic (13.36 mg GAE/g DW), flavonoid (1.92 mg QE/g DW), alkaloid (1.40 mg AE/g DW), and terpenoids (1.25%, w/w). The extract obtained from methanol exhibited high capacity of antioxidant (IC 50 value of 16.99 μg/mL) and in vitro anti-inflammatory activity (i.e., albumin denaturation: IC 50 = 28.86 μg/mL; antiproteinase activity: IC 50 = 414.29 μg/mL; and membrane stabilization: IC 50 = 319 μg/mL). The antioxidant activity of the S. buxifolia extract was found to be 3-fold higher than ascorbic acid, and the anti-inflammatory activity of S. buxifolia extract was comparable to aspirin. Therefore, methanol is recommended as the optimal solvent to obtain high content of phytochemical constituents as well as high antioxidants and in vitro anti-inflammatory constituents from the branches of S. buxifolia for utilization in pharmacognosy.","author":[{"dropping-particle":"","family":"Truong","given":"Dieu Hien","non-dropping-particle":"","parse-names":false,"suffix":""},{"dropping-particle":"","family":"Nguyen","given":"Dinh Hieu","non-dropping-particle":"","parse-names":false,"suffix":""},{"dropping-particle":"","family":"Ta","given":"Nhat Thuy Anh","non-dropping-particle":"","parse-names":false,"suffix":""},{"dropping-particle":"","family":"Bui","given":"Anh Vo","non-dropping-particle":"","parse-names":false,"suffix":""},{"dropping-particle":"","family":"Do","given":"Tuong Ha","non-dropping-particle":"","parse-names":false,"suffix":""},{"dropping-particle":"","family":"Nguyen","given":"Hoang Chinh","non-dropping-particle":"","parse-names":false,"suffix":""}],"container-title":"Journal of Food Quality","id":"ITEM-1","issued":{"date-parts":[["2019"]]},"title":"Evaluation of the use of different solvents for phytochemical constituents, antioxidants, and in vitro anti-inflammatory activities of severinia buxifolia","type":"article-journal","volume":"2019"},"uris":["http://www.mendeley.com/documents/?uuid=717ba432-f09a-4739-85c8-ad5cce4d70cf"]}],"mendeley":{"formattedCitation":"(Truong et al., 2019)","plainTextFormattedCitation":"(Truong et al., 2019)","previouslyFormattedCitation":"(Truong et al. 2019)"},"properties":{"noteIndex":0},"schema":"https://github.com/citation-style-language/schema/raw/master/csl-citation.json"}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noProof/>
        </w:rPr>
        <w:t>(Truong et al., 2019)</w:t>
      </w:r>
      <w:r w:rsidRPr="00C73625">
        <w:rPr>
          <w:rFonts w:ascii="Arial" w:hAnsi="Arial" w:cs="Arial"/>
        </w:rPr>
        <w:fldChar w:fldCharType="end"/>
      </w:r>
      <w:r w:rsidRPr="00C73625">
        <w:rPr>
          <w:rFonts w:ascii="Arial" w:hAnsi="Arial" w:cs="Arial"/>
        </w:rPr>
        <w:t xml:space="preserve">. In recent years, researchers have been exploring new anti-inflammatory medications that are derived from natural sources. Medications that are obtained from natural sources are often regarded to be safer and more easily accepted than conventional treatments that are used to treat inflammation </w:t>
      </w:r>
      <w:r w:rsidRPr="00C73625">
        <w:rPr>
          <w:rFonts w:ascii="Arial" w:hAnsi="Arial" w:cs="Arial"/>
          <w:vertAlign w:val="superscript"/>
        </w:rPr>
        <w:fldChar w:fldCharType="begin" w:fldLock="1"/>
      </w:r>
      <w:r w:rsidR="00E772A2">
        <w:rPr>
          <w:rFonts w:ascii="Arial" w:hAnsi="Arial" w:cs="Arial"/>
        </w:rPr>
        <w:instrText>ADDIN CSL_CITATION {"citationItems":[{"id":"ITEM-1","itemData":{"DOI":"10.1016/j.sajb.2019.06.034","ISSN":"02546299","abstract":"Inflammation is a normal response of the body to injury or foreign insult. Inflammation has been known to humankind since the dawn of history as it is characterized by pain. Humans started the search for various means, including plants, to control and manage inflammation since time immemorial. Hence, it is not surprising that most current research on anti-inflammatory drug discovery from plants worldwide followed ethnobotanical leads. This review provides an overview of African plants that demonstrated promising anti-inflammatory activity in in vitro studies. The review also includes information on natural products with anti-inflammatory activity isolated from higher African plants. The information was collected from different sources including books, theses, reports and electronic scientific search engines such as Scopus, Science Direct, Medweb and Google Scholar. Terms such as plant, plant extracts, inflammation and anti-inflammatory were used in combination with each of the African countries. Extracts from African plants and compounds isolated therefrom have shown anti-inflammatory effects in a set of in vitro anti-inflammatory models. These models included target inflammatory mediators such as cyclooxygenases, lipoxygenases, inducible nitric oxide synthase, xanthine oxidase and the pro-inflammatory mediators such as tumor necrosis factor-α and interleukins. This review highlights the potential of African flora in contributing to anti-inflammatory drug discovery. Many plant species had anti-inflammatory activity in vitro. However, further studies are needed such as isolation of bioactive compounds, confirmation of the in vitro activities in animal models and the severity of side effects or lack thereof need to be investigated further.","author":[{"dropping-particle":"","family":"Elgorashi","given":"E. E.","non-dropping-particle":"","parse-names":false,"suffix":""},{"dropping-particle":"","family":"McGaw","given":"L. J.","non-dropping-particle":"","parse-names":false,"suffix":""}],"container-title":"South African Journal of Botany","id":"ITEM-1","issued":{"date-parts":[["2019"]]},"page":"142-169","publisher":"Elsevier B.V.","title":"African plants with in vitro anti-inflammatory activities: A review","type":"article-journal","volume":"126"},"uris":["http://www.mendeley.com/documents/?uuid=0b737643-de49-4617-90cb-d5636dca9fb1"]}],"mendeley":{"formattedCitation":"(Elgorashi &amp; McGaw, 2019)","plainTextFormattedCitation":"(Elgorashi &amp; McGaw, 2019)","previouslyFormattedCitation":"(Elgorashi and McGaw 2019)"},"properties":{"noteIndex":0},"schema":"https://github.com/citation-style-language/schema/raw/master/csl-citation.json"}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noProof/>
        </w:rPr>
        <w:t>(Elgorashi &amp; McGaw, 2019)</w:t>
      </w:r>
      <w:r w:rsidRPr="00C73625">
        <w:rPr>
          <w:rFonts w:ascii="Arial" w:hAnsi="Arial" w:cs="Arial"/>
        </w:rPr>
        <w:fldChar w:fldCharType="end"/>
      </w:r>
      <w:r w:rsidRPr="00C73625">
        <w:rPr>
          <w:rFonts w:ascii="Arial" w:hAnsi="Arial" w:cs="Arial"/>
        </w:rPr>
        <w:t xml:space="preserve">. In this assay, diclofenac-Na was used as a standard due to its widespread use worldwide. Flavonoids and terpenoids are considered to be responsible for anti-inflammatory activity </w:t>
      </w:r>
      <w:r w:rsidRPr="00C73625">
        <w:rPr>
          <w:rFonts w:ascii="Arial" w:hAnsi="Arial" w:cs="Arial"/>
          <w:vertAlign w:val="superscript"/>
        </w:rPr>
        <w:fldChar w:fldCharType="begin" w:fldLock="1"/>
      </w:r>
      <w:r w:rsidR="00E772A2">
        <w:rPr>
          <w:rFonts w:ascii="Arial" w:hAnsi="Arial" w:cs="Arial"/>
        </w:rPr>
        <w:instrText>ADDIN CSL_CITATION {"citationItems":[{"id":"ITEM-1","itemData":{"DOI":"10.1016/j.sajb.2019.07.013","ISSN":"02546299","abstract":"Medicinal plants used for wound healing and skin diseases are key to unlocking the doors to combating resistance of pathogens to pharmaceuticals and allopathic management. This study was aimed at screening the antioxidant effects, the anti-inflammatory activity and wound healing capacity of traditional medicinal plants used in the treatment of skin conditions and wound healing in KwaZulu-Natal, South Africa. Eleven plant species were selected and separated into different plant parts (bulbs, roots and leaves) and extracted using 50% aqueous methanol. The extracts were assessed for their anti-inflammatory activity using the nitric oxide release and lipoxygenase inhibition assays. Almost all plant species exhibited some degree of anti-inflammatory activity. The observed antioxidant results (DPPH, FRAP, CLAMS) were significant for many of the extracts. The LOX revealed that five of the medicinal plant extracts, Bulbine natalensis, Eucomis autumnalis, Hypericum aethiopicum, Tetradenia riparia and Zantedeschia aethiopica were effective as anti-inflammatory agents with IC50 values below the quercetin control and ranged from 3.55 ± 0.11 to 9.52 ± 0.11 μg/mL. The results of the wound healing assay/protein precipitating activity were significantly excellent for the three Aloe species, two Bulbine species and support scientific evidence from previous research. The protein-precipitating capacity as a wound healing model was significant for Haworthia limifolia 82.71 ± 0.74% while the rest of the plant extracts had moderate to low values. In addition, medicinal plant extracts from E. autumnalis, H. limifolia, H. aethiopicum, T. riparia, and Z. aethiopica demonstrated promising and beneficial results for potential use in the treatment of skin diseases and wound healing. Antioxidant assays as well as anti-inflammatory assays (nitric oxide release and lipoxygenase inhibition assays) and wound healing assays support the dermatological and wound healing usage of these traditional medicinal plants and warrants further investigations and possible isolation of bioactive principles. Overall, the results from this multi-dimensional medicinal plant study provide extensive information on the 11 plant species and their various plant parts.","author":[{"dropping-particle":"","family":"Ghuman","given":"S.","non-dropping-particle":"","parse-names":false,"suffix":""},{"dropping-particle":"","family":"Ncube","given":"B.","non-dropping-particle":"","parse-names":false,"suffix":""},{"dropping-particle":"","family":"Finnie","given":"J. F.","non-dropping-particle":"","parse-names":false,"suffix":""},{"dropping-particle":"","family":"McGaw","given":"L. J.","non-dropping-particle":"","parse-names":false,"suffix":""},{"dropping-particle":"","family":"Mfotie Njoya","given":"E.","non-dropping-particle":"","parse-names":false,"suffix":""},{"dropping-particle":"","family":"Coopoosamy","given":"R. M.","non-dropping-particle":"","parse-names":false,"suffix":""},{"dropping-particle":"","family":"Staden","given":"J.","non-dropping-particle":"Van","parse-names":false,"suffix":""}],"container-title":"South African Journal of Botany","id":"ITEM-1","issued":{"date-parts":[["2019"]]},"page":"232-240","publisher":"Elsevier B.V.","title":"Antioxidant, anti-inflammatory and wound healing properties of medicinal plant extracts used to treat wounds and dermatological disorders","type":"article-journal","volume":"126"},"uris":["http://www.mendeley.com/documents/?uuid=f336e0eb-2a4e-4105-8193-7abeff6b25ca"]}],"mendeley":{"formattedCitation":"(Ghuman et al., 2019)","plainTextFormattedCitation":"(Ghuman et al., 2019)","previouslyFormattedCitation":"(Ghuman et al. 2019)"},"properties":{"noteIndex":0},"schema":"https://github.com/citation-style-language/schema/raw/master/csl-citation.json"}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noProof/>
        </w:rPr>
        <w:t>(Ghuman et al., 2019)</w:t>
      </w:r>
      <w:r w:rsidRPr="00C73625">
        <w:rPr>
          <w:rFonts w:ascii="Arial" w:hAnsi="Arial" w:cs="Arial"/>
        </w:rPr>
        <w:fldChar w:fldCharType="end"/>
      </w:r>
      <w:r w:rsidRPr="00C73625">
        <w:rPr>
          <w:rFonts w:ascii="Arial" w:hAnsi="Arial" w:cs="Arial"/>
        </w:rPr>
        <w:t xml:space="preserve">. MEORL also contains these phytochemicals, which makes it evident that it can be a promising anti-inflammatory agent. </w:t>
      </w:r>
      <w:r w:rsidRPr="00C73625">
        <w:rPr>
          <w:rFonts w:ascii="Arial" w:hAnsi="Arial" w:cs="Arial"/>
          <w:i/>
          <w:iCs/>
        </w:rPr>
        <w:t>O. robusta</w:t>
      </w:r>
      <w:r w:rsidRPr="00C73625">
        <w:rPr>
          <w:rFonts w:ascii="Arial" w:hAnsi="Arial" w:cs="Arial"/>
        </w:rPr>
        <w:t xml:space="preserve"> showed concentration-dependent activity, and a maximum 93.29% blockade of protein denaturation was noted down at 1000 </w:t>
      </w:r>
      <w:proofErr w:type="spellStart"/>
      <w:r w:rsidRPr="00C73625">
        <w:rPr>
          <w:rFonts w:ascii="Arial" w:hAnsi="Arial" w:cs="Arial"/>
        </w:rPr>
        <w:t>μg</w:t>
      </w:r>
      <w:proofErr w:type="spellEnd"/>
      <w:r w:rsidRPr="00C73625">
        <w:rPr>
          <w:rFonts w:ascii="Arial" w:hAnsi="Arial" w:cs="Arial"/>
        </w:rPr>
        <w:t>/ml compared to 84.76% shown by standard diclofenac sodium.</w:t>
      </w:r>
    </w:p>
    <w:p w14:paraId="1BA3E8DF" w14:textId="2935DB27" w:rsidR="00C73625" w:rsidRPr="00FB3A86" w:rsidRDefault="00C73625" w:rsidP="00C73625">
      <w:pPr>
        <w:pStyle w:val="Body"/>
        <w:rPr>
          <w:rFonts w:ascii="Arial" w:hAnsi="Arial" w:cs="Arial"/>
        </w:rPr>
      </w:pPr>
      <w:r w:rsidRPr="00C73625">
        <w:rPr>
          <w:rFonts w:ascii="Arial" w:hAnsi="Arial" w:cs="Arial"/>
        </w:rPr>
        <w:t xml:space="preserve">A well-known, effective way to learn more about the intended use of phytochemicals found in plant extract is by in-silico molecular docking </w:t>
      </w:r>
      <w:r w:rsidRPr="00C73625">
        <w:rPr>
          <w:rFonts w:ascii="Arial" w:hAnsi="Arial" w:cs="Arial"/>
          <w:vertAlign w:val="superscript"/>
        </w:rPr>
        <w:fldChar w:fldCharType="begin" w:fldLock="1"/>
      </w:r>
      <w:r w:rsidR="00E772A2">
        <w:rPr>
          <w:rFonts w:ascii="Arial" w:hAnsi="Arial" w:cs="Arial"/>
        </w:rPr>
        <w:instrText>ADDIN CSL_CITATION {"citationItems":[{"id":"ITEM-1","itemData":{"DOI":"10.1016/j.sjbs.2021.07.016","ISSN":"1319562X","abstract":"The present study sought to evaluate the central nervous system (CNS) depressant, antioxidant, and cytotoxicity activity of methanol and aqueous extract of Trametes versicolor (METV and AETV). The CNS activity was assessed by the open field, hole-cross, forced swimming, thiopental sodium-induced sleeping time, hole-board, and rotarod tests in Swiss albino mice. For both extracts, a substantial decrease in locomotion was observed in open field and hole-cross tests. In addition, the molecular docking study has been implemented through Maestro V11.1. The higher dose of METV (400 mg/kg) and the lower dose of AETV (200 mg/kg) exhibited a significant decrease in immobility time in forced swimming test and increased prolongation of sleep in thiopental sodium-induced sleeping time test, respectively. In contrast, a moderate finding was observed for the hole-board and rotarod tests. Additionally, a significant DPPH scavenging assay and a high toxicity effect in brine shrimp lethality assay were observed. Besides, five phenolic compounds, namely baicalin, quercetin, catechin, p-hydroxybenzoic acid, and quinic acid, were used for the molecular docking study, whereas catechin demonstrated the highest binding affinity towards the targets. The findings conclude that the T. versicolor could be an alternative source for CNS anti-depressant and antioxidant activity.","author":[{"dropping-particle":"","family":"Moazzem Hossen","given":"S. M.","non-dropping-particle":"","parse-names":false,"suffix":""},{"dropping-particle":"","family":"Akramul Hoque Tanim","given":"Mohammad","non-dropping-particle":"","parse-names":false,"suffix":""},{"dropping-particle":"","family":"Shahadat Hossain","given":"Mohammad","non-dropping-particle":"","parse-names":false,"suffix":""},{"dropping-particle":"","family":"Ahmed Sami","given":"Saad","non-dropping-particle":"","parse-names":false,"suffix":""},{"dropping-particle":"","family":"Uddin Emon","given":"Nazim","non-dropping-particle":"","parse-names":false,"suffix":""}],"container-title":"Saudi Journal of Biological Sciences","id":"ITEM-1","issue":"11","issued":{"date-parts":[["2021"]]},"page":"6375-6383","publisher":"The Author(s)","title":"Deciphering the CNS anti-depressant, antioxidant and cytotoxic profiling of methanol and aqueous extracts of Trametes versicolor and molecular interactions of its phenolic compounds","type":"article-journal","volume":"28"},"uris":["http://www.mendeley.com/documents/?uuid=04378bb5-6ed2-4458-8670-b016b2309304"]}],"mendeley":{"formattedCitation":"(Moazzem Hossen et al., 2021)","plainTextFormattedCitation":"(Moazzem Hossen et al., 2021)","previouslyFormattedCitation":"(Moazzem Hossen et al. 2021)"},"properties":{"noteIndex":0},"schema":"https://github.com/citation-style-language/schema/raw/master/csl-citation.json"}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(Moazzem Hossen et al., 2021)</w:t>
      </w:r>
      <w:r w:rsidRPr="00C73625">
        <w:rPr>
          <w:rFonts w:ascii="Arial" w:hAnsi="Arial" w:cs="Arial"/>
        </w:rPr>
        <w:fldChar w:fldCharType="end"/>
      </w:r>
      <w:r w:rsidRPr="00C73625">
        <w:rPr>
          <w:rFonts w:ascii="Arial" w:hAnsi="Arial" w:cs="Arial"/>
        </w:rPr>
        <w:t xml:space="preserve">. The prediction of ligand-protein interactions is crucial to supporting phytochemicals' biological activity. Phytochemicals contained in plant extracts have biological activity based on how well they interact with target proteins </w:t>
      </w:r>
      <w:r w:rsidRPr="00C73625">
        <w:rPr>
          <w:rFonts w:ascii="Arial" w:hAnsi="Arial" w:cs="Arial"/>
          <w:vertAlign w:val="superscript"/>
        </w:rPr>
        <w:fldChar w:fldCharType="begin" w:fldLock="1"/>
      </w:r>
      <w:r w:rsidR="00E772A2">
        <w:rPr>
          <w:rFonts w:ascii="Arial" w:hAnsi="Arial" w:cs="Arial"/>
        </w:rPr>
        <w:instrText>ADDIN CSL_CITATION {"citationItems":[{"id":"ITEM-1","itemData":{"DOI":"10.1016/j.indcrop.2019.01.044","ISSN":"09266690","abstract":"Plant from Caragana genus have interesting potential in folklore medicines and have been explored for various pharmacological activities. The aim of this study was to probe into the chemical and biological effects of different extracts of Caragana ambigua Stocks (Fabaceae). Total phenolic and total flavonoids contents were determined using standard spectrophotometric methods, whereas, the secondary metabolites composition was established by ultra-high performance liquid chromatography-mass spectrometry (UHPLC-MS) analysis. Antioxidant potential was estimated via 2,2-diphenyl-1-picrylhydrazyl (DPPH), 2,2′-azino-bis (3-ethylbenzothiazoline-6-sulphonic acid (ABTS) radical scavenging, ferric reducing antioxidant power (FRAP), cupric reducing antioxidant capacity (CUPRAC), phosphomolybdenum and metal chelating assays and the enzyme (cholinesterases, α-amylase, α-glucosidase and tyrosinase) inhibition potential were also assessed. Moreover, in silico docking studies were performed to highlight possible interactions between three major secondary metabolites and the tested enzymes. The ethyl acetate extract exhibited higher phenolic (85.87 ± 2.96 mg GAE/g) and flavonoid (66.45 ± 0.37 mg RE/g) contents, which, we propose, are responsible for its higher radical scavenging, reducing power, total antioxidant capacity and tyrosinase inhibition. The n-hexane extract showed stronger anti-cholinesterase and anti-diabetic property. Similarly, UHPLC-MS profiling of methanol and ethyl acetate extracts identified the presence of flavonoids, phenolics, alkaloids, and coumarin derivatives. Three of the dominant compounds (isobergaptene, jujubasaponin IV and phellodensin D), were docked against all enzymes and their affinity were compared. Among these compounds, phellodensin D showed highest affinity towards all the studied enzymes. It is therefore, concluded that extracts from C. ambigua showed potent antioxidant and enzyme inhibition potential with potent bioactive molecules which could open new industrial applications.","author":[{"dropping-particle":"","family":"Khan","given":"Saima","non-dropping-particle":"","parse-names":false,"suffix":""},{"dropping-particle":"","family":"Nazir","given":"Mamona","non-dropping-particle":"","parse-names":false,"suffix":""},{"dropping-particle":"","family":"Raiz","given":"Naheed","non-dropping-particle":"","parse-names":false,"suffix":""},{"dropping-particle":"","family":"Saleem","given":"Muhammad","non-dropping-particle":"","parse-names":false,"suffix":""},{"dropping-particle":"","family":"Zengin","given":"Gokhan","non-dropping-particle":"","parse-names":false,"suffix":""},{"dropping-particle":"","family":"Fazal","given":"Gazala","non-dropping-particle":"","parse-names":false,"suffix":""},{"dropping-particle":"","family":"Saleem","given":"Hammad","non-dropping-particle":"","parse-names":false,"suffix":""},{"dropping-particle":"","family":"Mukhtar","given":"Mahreen","non-dropping-particle":"","parse-names":false,"suffix":""},{"dropping-particle":"","family":"Tousif","given":"Muhammad Imran","non-dropping-particle":"","parse-names":false,"suffix":""},{"dropping-particle":"","family":"Tareen","given":"Rasool Baksh","non-dropping-particle":"","parse-names":false,"suffix":""},{"dropping-particle":"","family":"Abdallah","given":"Hassan H.","non-dropping-particle":"","parse-names":false,"suffix":""},{"dropping-particle":"","family":"Mahomoodally","given":"Fawzi M.","non-dropping-particle":"","parse-names":false,"suffix":""}],"container-title":"Industrial Crops and Products","id":"ITEM-1","issue":"January","issued":{"date-parts":[["2019"]]},"page":"117-124","publisher":"Elsevier","title":"Phytochemical profiling, in vitro biological properties and in silico studies on Caragana ambigua stocks (Fabaceae): A comprehensive approach","type":"article-journal","volume":"131"},"uris":["http://www.mendeley.com/documents/?uuid=d6ceedaf-8a08-4919-9135-ed12619578b5"]}],"mendeley":{"formattedCitation":"(Khan et al., 2019)","plainTextFormattedCitation":"(Khan et al., 2019)","previouslyFormattedCitation":"(Khan et al. 2019)"},"properties":{"noteIndex":0},"schema":"https://github.com/citation-style-language/schema/raw/master/csl-citation.json"}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noProof/>
        </w:rPr>
        <w:t>(Khan et al., 2019)</w:t>
      </w:r>
      <w:r w:rsidRPr="00C73625">
        <w:rPr>
          <w:rFonts w:ascii="Arial" w:hAnsi="Arial" w:cs="Arial"/>
        </w:rPr>
        <w:fldChar w:fldCharType="end"/>
      </w:r>
      <w:r w:rsidRPr="00C73625">
        <w:rPr>
          <w:rFonts w:ascii="Arial" w:hAnsi="Arial" w:cs="Arial"/>
        </w:rPr>
        <w:t xml:space="preserve">. Molecular docking is frequently used to forecast how substances will interact with a target protein's binding pocket. Gaining further insight into binding mechanisms can help us understand the biological activities of phytochemicals </w:t>
      </w:r>
      <w:r w:rsidRPr="00C73625">
        <w:rPr>
          <w:rFonts w:ascii="Arial" w:hAnsi="Arial" w:cs="Arial"/>
          <w:vertAlign w:val="superscript"/>
        </w:rPr>
        <w:fldChar w:fldCharType="begin" w:fldLock="1"/>
      </w:r>
      <w:r w:rsidR="00E772A2">
        <w:rPr>
          <w:rFonts w:ascii="Arial" w:hAnsi="Arial" w:cs="Arial"/>
        </w:rPr>
        <w:instrText>ADDIN CSL_CITATION {"citationItems":[{"id":"ITEM-1","itemData":{"DOI":"10.1021/acsomega.9b01041","ISSN":"24701343","abstract":"The antipyretic potential of viscosine, a natural product isolated from the medicinal plant Dodonaea viscosa, was investigated using yeast-induced pyrexia rat model, and its structure-activity relationship was investigated through molecular docking analyses with the target enzymes cyclooxygenase-1 (COX-1), cyclooxygenase-2 (COX-2), and microsomal prostaglandin E synthase-1 (mPGES-1). The in vivo antipyretic experiments showed a progressive dose-dependent reduction in body temperatures of the hyperthermic test animals when injected with viscosine. Comparison of docking analyses with target enzymes showed strongest bonding interactions (binding energy -17.34 kcal/mol) of viscosine with the active-site pocket of mPGES-1. These findings suggest that viscosine shows antipyretic properties by reducing the concentration of prostaglandin E2 in brain through its mPGES-1 inhibitory action and make it a potential lead compound for developing effective and safer antipyretic drugs for treating fever and related pathological conditions.","author":[{"dropping-particle":"","family":"Muhammad","given":"Akhtar","non-dropping-particle":"","parse-names":false,"suffix":""},{"dropping-particle":"","family":"Khan","given":"Behramand","non-dropping-particle":"","parse-names":false,"suffix":""},{"dropping-particle":"","family":"Iqbal","given":"Zafar","non-dropping-particle":"","parse-names":false,"suffix":""},{"dropping-particle":"","family":"Khan","given":"Amir Zada","non-dropping-particle":"","parse-names":false,"suffix":""},{"dropping-particle":"","family":"Khan","given":"Inamullah","non-dropping-particle":"","parse-names":false,"suffix":""},{"dropping-particle":"","family":"Khan","given":"Kashif","non-dropping-particle":"","parse-names":false,"suffix":""},{"dropping-particle":"","family":"Alamzeb","given":"Muhammad","non-dropping-particle":"","parse-names":false,"suffix":""},{"dropping-particle":"","family":"Ahmad","given":"Nasir","non-dropping-particle":"","parse-names":false,"suffix":""},{"dropping-particle":"","family":"Khan","given":"Khalid","non-dropping-particle":"","parse-names":false,"suffix":""},{"dropping-particle":"","family":"Lal Badshah","given":"Syed","non-dropping-particle":"","parse-names":false,"suffix":""},{"dropping-particle":"","family":"Ullah","given":"Asad","non-dropping-particle":"","parse-names":false,"suffix":""},{"dropping-particle":"","family":"Muhammad","given":"Sayyar","non-dropping-particle":"","parse-names":false,"suffix":""},{"dropping-particle":"","family":"Jan","given":"Muhammad Tariq","non-dropping-particle":"","parse-names":false,"suffix":""},{"dropping-particle":"","family":"Nadeem","given":"Said","non-dropping-particle":"","parse-names":false,"suffix":""},{"dropping-particle":"","family":"Kabir","given":"Nurul","non-dropping-particle":"","parse-names":false,"suffix":""}],"container-title":"ACS Omega","id":"ITEM-1","issue":"10","issued":{"date-parts":[["2019"]]},"page":"14188-14192","title":"Viscosine as a Potent and Safe Antipyretic Agent Evaluated by Yeast-Induced Pyrexia Model and Molecular Docking Studies","type":"article-journal","volume":"4"},"uris":["http://www.mendeley.com/documents/?uuid=bed1ca05-1c7a-4514-9ead-730b85e8e0af"]}],"mendeley":{"formattedCitation":"(Muhammad et al., 2019)","plainTextFormattedCitation":"(Muhammad et al., 2019)","previouslyFormattedCitation":"(Muhammad et al. 2019)"},"properties":{"noteIndex":0},"schema":"https://github.com/citation-style-language/schema/raw/master/csl-citation.json"}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(Muhammad et al., 2019)</w:t>
      </w:r>
      <w:r w:rsidRPr="00C73625">
        <w:rPr>
          <w:rFonts w:ascii="Arial" w:hAnsi="Arial" w:cs="Arial"/>
        </w:rPr>
        <w:fldChar w:fldCharType="end"/>
      </w:r>
      <w:r w:rsidRPr="00C73625">
        <w:rPr>
          <w:rFonts w:ascii="Arial" w:hAnsi="Arial" w:cs="Arial"/>
        </w:rPr>
        <w:t xml:space="preserve">. In this method, we selected one well-known protein for each activity to observe the interactions and binding energy. From the extensive literature review, we found four compounds of </w:t>
      </w:r>
      <w:r w:rsidRPr="00C73625">
        <w:rPr>
          <w:rFonts w:ascii="Arial" w:hAnsi="Arial" w:cs="Arial"/>
          <w:i/>
          <w:iCs/>
        </w:rPr>
        <w:t>O. robusta</w:t>
      </w:r>
      <w:r w:rsidRPr="00C73625">
        <w:rPr>
          <w:rFonts w:ascii="Arial" w:hAnsi="Arial" w:cs="Arial"/>
        </w:rPr>
        <w:t xml:space="preserve">. These are subjected to docking against glutathione reductase (PDB ID: 1XAN), human cytochrome P450 CYP2C9 (PDB ID: 1OG5), and phosphodiesterase-4 inhibitor (PDE4) receptor (PDB ID: 4WCU) for antioxidant, cytotoxic, and anti-inflammatory activity, respectively. In this computational method, the </w:t>
      </w:r>
      <w:r w:rsidRPr="00C73625">
        <w:rPr>
          <w:rFonts w:ascii="Arial" w:hAnsi="Arial" w:cs="Arial"/>
        </w:rPr>
        <w:lastRenderedPageBreak/>
        <w:t xml:space="preserve">prediction of activity is based on the docking score generated by the interaction between ligand and protein. The lower the docking score, the higher the stability of the complex </w:t>
      </w:r>
      <w:r w:rsidRPr="00C73625">
        <w:rPr>
          <w:rFonts w:ascii="Arial" w:hAnsi="Arial" w:cs="Arial"/>
          <w:vertAlign w:val="superscript"/>
        </w:rPr>
        <w:fldChar w:fldCharType="begin" w:fldLock="1"/>
      </w:r>
      <w:r w:rsidR="00E772A2">
        <w:rPr>
          <w:rFonts w:ascii="Arial" w:hAnsi="Arial" w:cs="Arial"/>
        </w:rPr>
        <w:instrText>ADDIN CSL_CITATION {"citationItems":[{"id":"ITEM-1","itemData":{"DOI":"10.1016/S1367-5931(02)00339-3","ISSN":"13675931","PMID":"12133718","abstract":"As the structures of more and more proteins and nucleic acids become available, molecular docking is increasingly considered for lead discovery. Recent studies consider the hit-rate enhancement of docking screens and the accuracy of docking structure predictions. As more structures are determined experimentally, docking against homology-modeled targets also becomes possible for more proteins. With more docking studies being undertaken, the 'drug-likeness' and specificity of docking hits is also being examined.","author":[{"dropping-particle":"","family":"Shoichet","given":"Brian K.","non-dropping-particle":"","parse-names":false,"suffix":""},{"dropping-particle":"","family":"McGovern","given":"Susan L.","non-dropping-particle":"","parse-names":false,"suffix":""},{"dropping-particle":"","family":"Wei","given":"Binqing","non-dropping-particle":"","parse-names":false,"suffix":""},{"dropping-particle":"","family":"Irwin","given":"John J.","non-dropping-particle":"","parse-names":false,"suffix":""}],"container-title":"Current Opinion in Chemical Biology","id":"ITEM-1","issue":"4","issued":{"date-parts":[["2002"]]},"page":"439-446","title":"Lead discovery using molecular docking","type":"article-journal","volume":"6"},"uris":["http://www.mendeley.com/documents/?uuid=8c7311aa-bfbe-4bd4-8ee9-641c5fed84fb"]}],"mendeley":{"formattedCitation":"(Shoichet et al., 2002)","plainTextFormattedCitation":"(Shoichet et al., 2002)","previouslyFormattedCitation":"(Shoichet et al. 2002)"},"properties":{"noteIndex":0},"schema":"https://github.com/citation-style-language/schema/raw/master/csl-citation.json"}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(Shoichet et al., 2002)</w:t>
      </w:r>
      <w:r w:rsidRPr="00C73625">
        <w:rPr>
          <w:rFonts w:ascii="Arial" w:hAnsi="Arial" w:cs="Arial"/>
        </w:rPr>
        <w:fldChar w:fldCharType="end"/>
      </w:r>
      <w:r w:rsidRPr="00C73625">
        <w:rPr>
          <w:rFonts w:ascii="Arial" w:hAnsi="Arial" w:cs="Arial"/>
        </w:rPr>
        <w:t xml:space="preserve">. All of our findings are supported by the docking score. Euchrenone b8 showed the strongest docking score against 2 different proteins, namely 1XAN, and 4WCU, which predicts its antioxidant, and anti-inflammatory activity. Importantly, lupeol showed stronger affinity compared to known inhibitor against 1OG5, which helps to predict the cytotoxic activity. Docking scores as well as interactions with key amino acids of the target proteins are important to confirm the biological activity of phytochemicals </w:t>
      </w:r>
      <w:r w:rsidRPr="00C73625">
        <w:rPr>
          <w:rFonts w:ascii="Arial" w:hAnsi="Arial" w:cs="Arial"/>
          <w:vertAlign w:val="superscript"/>
        </w:rPr>
        <w:fldChar w:fldCharType="begin" w:fldLock="1"/>
      </w:r>
      <w:r w:rsidR="00E772A2">
        <w:rPr>
          <w:rFonts w:ascii="Arial" w:hAnsi="Arial" w:cs="Arial"/>
        </w:rPr>
        <w:instrText>ADDIN CSL_CITATION {"citationItems":[{"id":"ITEM-1","itemData":{"DOI":"10.1186/s12941-018-0266-9","ISSN":"14760711","PMID":"29609660","abstract":"Background: Antibiotic resistance is a defense mechanism, harbored by pathogens to survive under unfavorable conditions. Among several antibiotic resistant microbial consortium, Staphylococcus aureus is one of the most havoc microorganisms. Staphylococcus aureus encodes a unique enzyme 6-hydroxymethyl-7,8-dihydropterin pyrophosphokinase (SaHPPK), against which, none of existing antibiotics have been reported. Methods: Computational approaches have been instrumental in designing and discovering new drugs for several diseases. The present study highlights the impact of ginger phytochemicals on Staphylococcus aureus SaHPPK. Herein, we have retrieved eight ginger phytochemicals from published literature and investigated their inhibitory interactions with SaHPPK. To authenticate our work, the investigation proceeds considering the known antibiotics alongside the phytochemicals. Molecular docking was performed employing GOLD and CDOCKER. The compounds with the highest dock score from both the docking programmes were tested for their inhibitory capability in vitro. The binding conformations that were seated within the binding pocket showing strong interactions with the active sites residues rendered by highest dock score were forwarded towards the molecular dynamic (MD) simulation analysis. Results: Based on molecular dock scores, molecular interaction with catalytic active residues and MD simulations studies, two ginger phytochemicals, gingerenone-A and shogaol have been proposed as candidate inhibitors against Staphylococcus aureus. They have demonstrated higher dock scores than the known antibiotics and have represented interactions with the key residues within the active site. Furthermore, these compounds have rendered considerable inhibitory activity when tested in vitro. Additionally, their superiority was corroborated by stable MD results conducted for 100 ns employing GROMACS package. Conclusions: Finally, we suggest that gingerenone-A and shogaol may either be potential SaHPPK inhibitors or can be used as fundamental platforms for novel SaHPPK inhibitor development.","author":[{"dropping-particle":"","family":"Rampogu","given":"Shailima","non-dropping-particle":"","parse-names":false,"suffix":""},{"dropping-particle":"","family":"Baek","given":"Ayoung","non-dropping-particle":"","parse-names":false,"suffix":""},{"dropping-particle":"","family":"Gajula","given":"Rajesh Goud","non-dropping-particle":"","parse-names":false,"suffix":""},{"dropping-particle":"","family":"Zeb","given":"Amir","non-dropping-particle":"","parse-names":false,"suffix":""},{"dropping-particle":"","family":"Bavi","given":"Rohit S.","non-dropping-particle":"","parse-names":false,"suffix":""},{"dropping-particle":"","family":"Kumar","given":"Raj","non-dropping-particle":"","parse-names":false,"suffix":""},{"dropping-particle":"","family":"Kim","given":"Yongseong","non-dropping-particle":"","parse-names":false,"suffix":""},{"dropping-particle":"","family":"Kwon","given":"Yong Jung","non-dropping-particle":"","parse-names":false,"suffix":""},{"dropping-particle":"","family":"Lee","given":"Keun Woo","non-dropping-particle":"","parse-names":false,"suffix":""}],"container-title":"Annals of Clinical Microbiology and Antimicrobials","id":"ITEM-1","issue":"1","issued":{"date-parts":[["2018"]]},"page":"1-15","publisher":"BioMed Central","title":"Ginger (Zingiber officinale) phytochemicals-gingerenone-A and shogaol inhibit SaHPPK: Molecular docking, molecular dynamics simulations and in vitro approaches","type":"article-journal","volume":"17"},"uris":["http://www.mendeley.com/documents/?uuid=faaf8751-db2d-425e-96ee-1f93e0fd2d31"]}],"mendeley":{"formattedCitation":"(Rampogu et al., 2018)","plainTextFormattedCitation":"(Rampogu et al., 2018)","previouslyFormattedCitation":"(Rampogu et al. 2018)"},"properties":{"noteIndex":0},"schema":"https://github.com/citation-style-language/schema/raw/master/csl-citation.json"}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noProof/>
        </w:rPr>
        <w:t>(Rampogu et al., 2018)</w:t>
      </w:r>
      <w:r w:rsidRPr="00C73625">
        <w:rPr>
          <w:rFonts w:ascii="Arial" w:hAnsi="Arial" w:cs="Arial"/>
        </w:rPr>
        <w:fldChar w:fldCharType="end"/>
      </w:r>
      <w:r w:rsidRPr="00C73625">
        <w:rPr>
          <w:rFonts w:ascii="Arial" w:hAnsi="Arial" w:cs="Arial"/>
        </w:rPr>
        <w:t xml:space="preserve">. All the compounds with a stronger docking score also interacted with key residues of their respective targets. Predictions of ADME/T were also quite reliable for compounds with high docking scores and interactions with key residues. Based on the docking score, how it interacts with important residues, and the ADME/T analysis, it is clear that euchrenone b8 could be a lead molecule with antioxidant, and anti-inflammatory properties. Although this research investigation has demonstrated the potential of </w:t>
      </w:r>
      <w:r w:rsidRPr="00C73625">
        <w:rPr>
          <w:rFonts w:ascii="Arial" w:hAnsi="Arial" w:cs="Arial"/>
          <w:i/>
          <w:iCs/>
        </w:rPr>
        <w:t>O. robusta</w:t>
      </w:r>
      <w:r w:rsidRPr="00C73625">
        <w:rPr>
          <w:rFonts w:ascii="Arial" w:hAnsi="Arial" w:cs="Arial"/>
        </w:rPr>
        <w:t xml:space="preserve"> for treating several human diseases, some of its limitations should be duly noted. Firstly, the extract of this plant was only tested on </w:t>
      </w:r>
      <w:r w:rsidRPr="00C73625">
        <w:rPr>
          <w:rFonts w:ascii="Arial" w:hAnsi="Arial" w:cs="Arial"/>
          <w:i/>
          <w:iCs/>
        </w:rPr>
        <w:t>in vitro</w:t>
      </w:r>
      <w:r w:rsidRPr="00C73625">
        <w:rPr>
          <w:rFonts w:ascii="Arial" w:hAnsi="Arial" w:cs="Arial"/>
        </w:rPr>
        <w:t xml:space="preserve"> models. Secondly, phytochemicals with higher binding affinity were not isolated from the plant and retested to establish their efficacy against this model. Thirdly, only one specific protein is chosen for each particular activity. Despite these shortcomings, this study can be a valuable addition to the scientific literature, paving the way for further research to develop novel therapeutic investigations for treating diseases more effectively.</w:t>
      </w:r>
    </w:p>
    <w:p w14:paraId="67EFF2DC" w14:textId="5A069B9A" w:rsidR="00B01FCD" w:rsidRDefault="00C73625"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7B44DDED" w14:textId="77777777" w:rsidR="00790ADA" w:rsidRPr="00FB3A86" w:rsidRDefault="00790ADA" w:rsidP="00441B6F">
      <w:pPr>
        <w:pStyle w:val="ConcHead"/>
        <w:spacing w:after="0"/>
        <w:jc w:val="both"/>
        <w:rPr>
          <w:rFonts w:ascii="Arial" w:hAnsi="Arial" w:cs="Arial"/>
        </w:rPr>
      </w:pPr>
    </w:p>
    <w:p w14:paraId="205D79CF" w14:textId="13AFE962" w:rsidR="00C73625" w:rsidRPr="00C73625" w:rsidRDefault="00C73625" w:rsidP="00C73625">
      <w:pPr>
        <w:pStyle w:val="Body"/>
        <w:rPr>
          <w:rFonts w:ascii="Arial" w:hAnsi="Arial" w:cs="Arial"/>
        </w:rPr>
      </w:pPr>
      <w:r w:rsidRPr="00C73625">
        <w:rPr>
          <w:rFonts w:ascii="Arial" w:hAnsi="Arial" w:cs="Arial"/>
        </w:rPr>
        <w:t xml:space="preserve">In this investigation, we assessed the </w:t>
      </w:r>
      <w:r w:rsidRPr="00C73625">
        <w:rPr>
          <w:rFonts w:ascii="Arial" w:hAnsi="Arial" w:cs="Arial"/>
          <w:i/>
          <w:iCs/>
        </w:rPr>
        <w:t>in-vitro</w:t>
      </w:r>
      <w:r w:rsidRPr="00C73625">
        <w:rPr>
          <w:rFonts w:ascii="Arial" w:hAnsi="Arial" w:cs="Arial"/>
        </w:rPr>
        <w:t xml:space="preserve"> antioxidant, cytotoxic, as well as anti-inflammatory activities of MEORL, and molecular docking was performed to evaluate the phytoconstituents found in leaves to validate these activities. The explanation of the data from this experimental work demonstrates that the leaves of </w:t>
      </w:r>
      <w:r w:rsidRPr="00C73625">
        <w:rPr>
          <w:rFonts w:ascii="Arial" w:hAnsi="Arial" w:cs="Arial"/>
          <w:i/>
          <w:iCs/>
        </w:rPr>
        <w:t>O. robusta</w:t>
      </w:r>
      <w:r w:rsidRPr="00C73625">
        <w:rPr>
          <w:rFonts w:ascii="Arial" w:hAnsi="Arial" w:cs="Arial"/>
        </w:rPr>
        <w:t xml:space="preserve"> can be a promising source of antioxidant, cytotoxic, and anti-inflammatory agents. Additionally, computational work supports these findings. Selected proteins for each activity were mostly bound with euchrenone b8, warangalone, lupeol, and </w:t>
      </w:r>
      <w:proofErr w:type="spellStart"/>
      <w:r w:rsidRPr="00C73625">
        <w:rPr>
          <w:rFonts w:ascii="Arial" w:hAnsi="Arial" w:cs="Arial"/>
        </w:rPr>
        <w:t>betulinic</w:t>
      </w:r>
      <w:proofErr w:type="spellEnd"/>
      <w:r w:rsidRPr="00C73625">
        <w:rPr>
          <w:rFonts w:ascii="Arial" w:hAnsi="Arial" w:cs="Arial"/>
        </w:rPr>
        <w:t xml:space="preserve"> acid. ADME/T analysis made it evident that these compounds have drug-like properties. However, to corroborate the present findings, research on animal models needs to be conducted to unravel the mechanisms of action of responsible bioactive phytoconstituents.</w:t>
      </w:r>
    </w:p>
    <w:p w14:paraId="1C02BE8B" w14:textId="3D16BD7C" w:rsidR="00B01FCD" w:rsidRDefault="00B01FCD" w:rsidP="00441B6F">
      <w:pPr>
        <w:pStyle w:val="Body"/>
        <w:spacing w:after="0"/>
        <w:rPr>
          <w:rFonts w:ascii="Arial" w:hAnsi="Arial" w:cs="Arial"/>
        </w:rPr>
      </w:pPr>
    </w:p>
    <w:p w14:paraId="30548E1F" w14:textId="77777777" w:rsidR="00790ADA" w:rsidRPr="00FB3A86" w:rsidRDefault="00790ADA" w:rsidP="00441B6F">
      <w:pPr>
        <w:pStyle w:val="Body"/>
        <w:spacing w:after="0"/>
        <w:rPr>
          <w:rFonts w:ascii="Arial" w:hAnsi="Arial" w:cs="Arial"/>
        </w:rPr>
      </w:pPr>
    </w:p>
    <w:p w14:paraId="6E0142E2" w14:textId="6BA8FFAD" w:rsidR="002B685A" w:rsidRDefault="002B685A" w:rsidP="00441B6F">
      <w:pPr>
        <w:pStyle w:val="ReferHead"/>
        <w:spacing w:after="0"/>
        <w:jc w:val="both"/>
        <w:rPr>
          <w:rFonts w:ascii="Arial" w:hAnsi="Arial" w:cs="Arial"/>
          <w:bCs/>
        </w:rPr>
      </w:pPr>
      <w:r w:rsidRPr="002B685A">
        <w:rPr>
          <w:rFonts w:ascii="Arial" w:hAnsi="Arial" w:cs="Arial"/>
          <w:bCs/>
        </w:rPr>
        <w:t>Consent</w:t>
      </w:r>
    </w:p>
    <w:p w14:paraId="416FC306" w14:textId="77777777" w:rsidR="002B685A" w:rsidRPr="002B685A" w:rsidRDefault="002B685A" w:rsidP="00441B6F">
      <w:pPr>
        <w:pStyle w:val="ReferHead"/>
        <w:spacing w:after="0"/>
        <w:jc w:val="both"/>
        <w:rPr>
          <w:rFonts w:ascii="Arial" w:hAnsi="Arial" w:cs="Arial"/>
          <w:bCs/>
        </w:rPr>
      </w:pPr>
    </w:p>
    <w:p w14:paraId="77999ECF" w14:textId="0FBC05FB" w:rsidR="002B685A" w:rsidRPr="002B685A" w:rsidRDefault="002B685A" w:rsidP="00441B6F">
      <w:pPr>
        <w:pStyle w:val="ReferHead"/>
        <w:spacing w:after="0"/>
        <w:jc w:val="both"/>
        <w:rPr>
          <w:rFonts w:ascii="Arial" w:hAnsi="Arial" w:cs="Arial"/>
          <w:b w:val="0"/>
          <w:caps w:val="0"/>
          <w:sz w:val="20"/>
        </w:rPr>
      </w:pPr>
      <w:r>
        <w:rPr>
          <w:rFonts w:ascii="Arial" w:hAnsi="Arial" w:cs="Arial"/>
          <w:b w:val="0"/>
          <w:caps w:val="0"/>
          <w:sz w:val="20"/>
        </w:rPr>
        <w:t>No</w:t>
      </w:r>
      <w:r w:rsidR="00BC70AD">
        <w:rPr>
          <w:rFonts w:ascii="Arial" w:hAnsi="Arial" w:cs="Arial"/>
          <w:b w:val="0"/>
          <w:caps w:val="0"/>
          <w:sz w:val="20"/>
        </w:rPr>
        <w:t>t</w:t>
      </w:r>
      <w:r>
        <w:rPr>
          <w:rFonts w:ascii="Arial" w:hAnsi="Arial" w:cs="Arial"/>
          <w:b w:val="0"/>
          <w:caps w:val="0"/>
          <w:sz w:val="20"/>
        </w:rPr>
        <w:t xml:space="preserve"> applicable</w:t>
      </w:r>
      <w:r w:rsidRPr="002B685A">
        <w:rPr>
          <w:rFonts w:ascii="Arial" w:hAnsi="Arial" w:cs="Arial"/>
          <w:b w:val="0"/>
          <w:caps w:val="0"/>
          <w:sz w:val="20"/>
        </w:rPr>
        <w:t>.</w:t>
      </w:r>
    </w:p>
    <w:p w14:paraId="350A1B90" w14:textId="77777777" w:rsidR="005C784C" w:rsidRDefault="005C784C" w:rsidP="00441B6F">
      <w:pPr>
        <w:pStyle w:val="ReferHead"/>
        <w:spacing w:after="0"/>
        <w:jc w:val="both"/>
        <w:rPr>
          <w:rFonts w:ascii="Arial" w:hAnsi="Arial" w:cs="Arial"/>
          <w:b w:val="0"/>
          <w:caps w:val="0"/>
          <w:sz w:val="20"/>
        </w:rPr>
      </w:pPr>
    </w:p>
    <w:p w14:paraId="5FD02386" w14:textId="30DE5637"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4EEFBF12" w14:textId="77777777" w:rsidR="005C784C" w:rsidRPr="002B685A" w:rsidRDefault="005C784C" w:rsidP="00441B6F">
      <w:pPr>
        <w:pStyle w:val="ReferHead"/>
        <w:spacing w:after="0"/>
        <w:jc w:val="both"/>
        <w:rPr>
          <w:rFonts w:ascii="Arial" w:hAnsi="Arial" w:cs="Arial"/>
          <w:bCs/>
        </w:rPr>
      </w:pPr>
    </w:p>
    <w:p w14:paraId="71C24F9C" w14:textId="77777777" w:rsidR="00BC70AD" w:rsidRPr="002B685A" w:rsidRDefault="00BC70AD" w:rsidP="00BC70AD">
      <w:pPr>
        <w:pStyle w:val="ReferHead"/>
        <w:spacing w:after="0"/>
        <w:jc w:val="both"/>
        <w:rPr>
          <w:rFonts w:ascii="Arial" w:hAnsi="Arial" w:cs="Arial"/>
          <w:b w:val="0"/>
          <w:caps w:val="0"/>
          <w:sz w:val="20"/>
        </w:rPr>
      </w:pPr>
      <w:r>
        <w:rPr>
          <w:rFonts w:ascii="Arial" w:hAnsi="Arial" w:cs="Arial"/>
          <w:b w:val="0"/>
          <w:caps w:val="0"/>
          <w:sz w:val="20"/>
        </w:rPr>
        <w:t>Not applicable</w:t>
      </w:r>
      <w:r w:rsidRPr="002B685A">
        <w:rPr>
          <w:rFonts w:ascii="Arial" w:hAnsi="Arial" w:cs="Arial"/>
          <w:b w:val="0"/>
          <w:caps w:val="0"/>
          <w:sz w:val="20"/>
        </w:rPr>
        <w:t>.</w:t>
      </w:r>
    </w:p>
    <w:p w14:paraId="4868FC7B" w14:textId="77777777" w:rsidR="00860000" w:rsidRDefault="00860000" w:rsidP="00441B6F">
      <w:pPr>
        <w:pStyle w:val="ReferHead"/>
        <w:spacing w:after="0"/>
        <w:jc w:val="both"/>
        <w:rPr>
          <w:rFonts w:ascii="Arial" w:hAnsi="Arial" w:cs="Arial"/>
        </w:rPr>
      </w:pPr>
    </w:p>
    <w:p w14:paraId="7EAADFC2" w14:textId="77777777" w:rsidR="00B01FCD" w:rsidRPr="00E772A2" w:rsidRDefault="00B01FCD" w:rsidP="00441B6F">
      <w:pPr>
        <w:pStyle w:val="ReferHead"/>
        <w:spacing w:after="0"/>
        <w:jc w:val="both"/>
        <w:rPr>
          <w:rFonts w:ascii="Arial" w:hAnsi="Arial" w:cs="Arial"/>
        </w:rPr>
      </w:pPr>
      <w:r w:rsidRPr="00E772A2">
        <w:rPr>
          <w:rFonts w:ascii="Arial" w:hAnsi="Arial" w:cs="Arial"/>
        </w:rPr>
        <w:t>References</w:t>
      </w:r>
    </w:p>
    <w:p w14:paraId="7C5716F3" w14:textId="77777777" w:rsidR="00790ADA" w:rsidRPr="00FB3A86" w:rsidRDefault="00790ADA" w:rsidP="00441B6F">
      <w:pPr>
        <w:pStyle w:val="ReferHead"/>
        <w:spacing w:after="0"/>
        <w:jc w:val="both"/>
        <w:rPr>
          <w:rFonts w:ascii="Arial" w:hAnsi="Arial" w:cs="Arial"/>
        </w:rPr>
      </w:pPr>
    </w:p>
    <w:p w14:paraId="7EEDC9A0" w14:textId="7ED69D49" w:rsidR="00E772A2" w:rsidRPr="00E772A2" w:rsidRDefault="009D411A" w:rsidP="00A64867">
      <w:pPr>
        <w:widowControl w:val="0"/>
        <w:autoSpaceDE w:val="0"/>
        <w:autoSpaceDN w:val="0"/>
        <w:adjustRightInd w:val="0"/>
        <w:ind w:left="480" w:hanging="480"/>
        <w:jc w:val="both"/>
        <w:rPr>
          <w:rFonts w:ascii="Arial" w:hAnsi="Arial" w:cs="Arial"/>
          <w:noProof/>
          <w:szCs w:val="24"/>
        </w:rPr>
      </w:pPr>
      <w:r>
        <w:rPr>
          <w:rFonts w:ascii="Arial" w:hAnsi="Arial" w:cs="Arial"/>
        </w:rPr>
        <w:fldChar w:fldCharType="begin" w:fldLock="1"/>
      </w:r>
      <w:r>
        <w:rPr>
          <w:rFonts w:ascii="Arial" w:hAnsi="Arial" w:cs="Arial"/>
        </w:rPr>
        <w:instrText xml:space="preserve">ADDIN Mendeley Bibliography CSL_BIBLIOGRAPHY </w:instrText>
      </w:r>
      <w:r>
        <w:rPr>
          <w:rFonts w:ascii="Arial" w:hAnsi="Arial" w:cs="Arial"/>
        </w:rPr>
        <w:fldChar w:fldCharType="separate"/>
      </w:r>
      <w:r w:rsidR="00E772A2" w:rsidRPr="00E772A2">
        <w:rPr>
          <w:rFonts w:ascii="Arial" w:hAnsi="Arial" w:cs="Arial"/>
          <w:noProof/>
          <w:szCs w:val="24"/>
        </w:rPr>
        <w:t xml:space="preserve">Abdullah, N., Ismail, S. M., Aminudin, N., Shuib, A. S., &amp; Lau, B. F. (2012). Evaluation of selected culinary-medicinal mushrooms for antioxidant and ACE inhibitory activities. </w:t>
      </w:r>
      <w:r w:rsidR="00E772A2" w:rsidRPr="00E772A2">
        <w:rPr>
          <w:rFonts w:ascii="Arial" w:hAnsi="Arial" w:cs="Arial"/>
          <w:i/>
          <w:iCs/>
          <w:noProof/>
          <w:szCs w:val="24"/>
        </w:rPr>
        <w:t>Evidence-Based Complementary and Alternative Medicine</w:t>
      </w:r>
      <w:r w:rsidR="00E772A2" w:rsidRPr="00E772A2">
        <w:rPr>
          <w:rFonts w:ascii="Arial" w:hAnsi="Arial" w:cs="Arial"/>
          <w:noProof/>
          <w:szCs w:val="24"/>
        </w:rPr>
        <w:t xml:space="preserve">, </w:t>
      </w:r>
      <w:r w:rsidR="00E772A2" w:rsidRPr="00E772A2">
        <w:rPr>
          <w:rFonts w:ascii="Arial" w:hAnsi="Arial" w:cs="Arial"/>
          <w:i/>
          <w:iCs/>
          <w:noProof/>
          <w:szCs w:val="24"/>
        </w:rPr>
        <w:t>2012</w:t>
      </w:r>
      <w:r w:rsidR="00E772A2" w:rsidRPr="00E772A2">
        <w:rPr>
          <w:rFonts w:ascii="Arial" w:hAnsi="Arial" w:cs="Arial"/>
          <w:noProof/>
          <w:szCs w:val="24"/>
        </w:rPr>
        <w:t>. https://doi.org/10.1155/2012/464238</w:t>
      </w:r>
    </w:p>
    <w:p w14:paraId="035D0793"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Ahmed, K. T., Haque, M. R., &amp; Ahsan, M. (2013). Isoflavones from the Bark of Ormosia </w:t>
      </w:r>
      <w:r w:rsidRPr="00E772A2">
        <w:rPr>
          <w:rFonts w:ascii="Arial" w:hAnsi="Arial" w:cs="Arial"/>
          <w:noProof/>
          <w:szCs w:val="24"/>
        </w:rPr>
        <w:lastRenderedPageBreak/>
        <w:t xml:space="preserve">robusta ( Fabaceae ) baker . </w:t>
      </w:r>
      <w:r w:rsidRPr="00E772A2">
        <w:rPr>
          <w:rFonts w:ascii="Arial" w:hAnsi="Arial" w:cs="Arial"/>
          <w:i/>
          <w:iCs/>
          <w:noProof/>
          <w:szCs w:val="24"/>
        </w:rPr>
        <w:t>American Journal of Pharmtech Research</w:t>
      </w:r>
      <w:r w:rsidRPr="00E772A2">
        <w:rPr>
          <w:rFonts w:ascii="Arial" w:hAnsi="Arial" w:cs="Arial"/>
          <w:noProof/>
          <w:szCs w:val="24"/>
        </w:rPr>
        <w:t xml:space="preserve">, </w:t>
      </w:r>
      <w:r w:rsidRPr="00E772A2">
        <w:rPr>
          <w:rFonts w:ascii="Arial" w:hAnsi="Arial" w:cs="Arial"/>
          <w:i/>
          <w:iCs/>
          <w:noProof/>
          <w:szCs w:val="24"/>
        </w:rPr>
        <w:t>3</w:t>
      </w:r>
      <w:r w:rsidRPr="00E772A2">
        <w:rPr>
          <w:rFonts w:ascii="Arial" w:hAnsi="Arial" w:cs="Arial"/>
          <w:noProof/>
          <w:szCs w:val="24"/>
        </w:rPr>
        <w:t>(November 2012), 1–8.</w:t>
      </w:r>
    </w:p>
    <w:p w14:paraId="22F83D0A"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Ahmed, S., Rakib, A., Islam, M. A., Khanam, B. H., Faiz, F. B., Paul, A., Chy, M. N. U., Bhuiya, N. M. M. A., Uddin, M. M. N., Ullah, S. M. A., Rahman, M. A., &amp; Emran, T. Bin. (2019). In vivo and in vitro pharmacological activities of Tacca integrifolia rhizome and investigation of possible lead compounds against breast cancer through in silico approaches. </w:t>
      </w:r>
      <w:r w:rsidRPr="00E772A2">
        <w:rPr>
          <w:rFonts w:ascii="Arial" w:hAnsi="Arial" w:cs="Arial"/>
          <w:i/>
          <w:iCs/>
          <w:noProof/>
          <w:szCs w:val="24"/>
        </w:rPr>
        <w:t>Clinical Phytoscience</w:t>
      </w:r>
      <w:r w:rsidRPr="00E772A2">
        <w:rPr>
          <w:rFonts w:ascii="Arial" w:hAnsi="Arial" w:cs="Arial"/>
          <w:noProof/>
          <w:szCs w:val="24"/>
        </w:rPr>
        <w:t xml:space="preserve">, </w:t>
      </w:r>
      <w:r w:rsidRPr="00E772A2">
        <w:rPr>
          <w:rFonts w:ascii="Arial" w:hAnsi="Arial" w:cs="Arial"/>
          <w:i/>
          <w:iCs/>
          <w:noProof/>
          <w:szCs w:val="24"/>
        </w:rPr>
        <w:t>5</w:t>
      </w:r>
      <w:r w:rsidRPr="00E772A2">
        <w:rPr>
          <w:rFonts w:ascii="Arial" w:hAnsi="Arial" w:cs="Arial"/>
          <w:noProof/>
          <w:szCs w:val="24"/>
        </w:rPr>
        <w:t>(1). https://doi.org/10.1186/s40816-019-0127-x</w:t>
      </w:r>
    </w:p>
    <w:p w14:paraId="284A69AC"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Boeing, J. S., Barizão, É. O., e Silva, B. C., Montanher, P. F., de Cinque Almeida, V., &amp; Visentainer, J. V. (2014). Evaluation of solvent effect on the extraction of phenolic compounds and antioxidant capacities from the berries: Application of principal component analysis. </w:t>
      </w:r>
      <w:r w:rsidRPr="00E772A2">
        <w:rPr>
          <w:rFonts w:ascii="Arial" w:hAnsi="Arial" w:cs="Arial"/>
          <w:i/>
          <w:iCs/>
          <w:noProof/>
          <w:szCs w:val="24"/>
        </w:rPr>
        <w:t>Chemistry Central Journal</w:t>
      </w:r>
      <w:r w:rsidRPr="00E772A2">
        <w:rPr>
          <w:rFonts w:ascii="Arial" w:hAnsi="Arial" w:cs="Arial"/>
          <w:noProof/>
          <w:szCs w:val="24"/>
        </w:rPr>
        <w:t xml:space="preserve">, </w:t>
      </w:r>
      <w:r w:rsidRPr="00E772A2">
        <w:rPr>
          <w:rFonts w:ascii="Arial" w:hAnsi="Arial" w:cs="Arial"/>
          <w:i/>
          <w:iCs/>
          <w:noProof/>
          <w:szCs w:val="24"/>
        </w:rPr>
        <w:t>8</w:t>
      </w:r>
      <w:r w:rsidRPr="00E772A2">
        <w:rPr>
          <w:rFonts w:ascii="Arial" w:hAnsi="Arial" w:cs="Arial"/>
          <w:noProof/>
          <w:szCs w:val="24"/>
        </w:rPr>
        <w:t>(1), 1–9. https://doi.org/10.1186/s13065-014-0048-1</w:t>
      </w:r>
    </w:p>
    <w:p w14:paraId="49C4B86F"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Bolanle, A. O., Funmilola, A. S., &amp; Adedayo, A. (2014). Proximate analysis, mineral contents, amino acid composition, anti-nutrients and phytochemical screening of Brachystegia eurycoma harms and Pipper guineense schum and Thonn. </w:t>
      </w:r>
      <w:r w:rsidRPr="00E772A2">
        <w:rPr>
          <w:rFonts w:ascii="Arial" w:hAnsi="Arial" w:cs="Arial"/>
          <w:i/>
          <w:iCs/>
          <w:noProof/>
          <w:szCs w:val="24"/>
        </w:rPr>
        <w:t>Am. J. Food Nutr.</w:t>
      </w:r>
      <w:r w:rsidRPr="00E772A2">
        <w:rPr>
          <w:rFonts w:ascii="Arial" w:hAnsi="Arial" w:cs="Arial"/>
          <w:noProof/>
          <w:szCs w:val="24"/>
        </w:rPr>
        <w:t xml:space="preserve">, </w:t>
      </w:r>
      <w:r w:rsidRPr="00E772A2">
        <w:rPr>
          <w:rFonts w:ascii="Arial" w:hAnsi="Arial" w:cs="Arial"/>
          <w:i/>
          <w:iCs/>
          <w:noProof/>
          <w:szCs w:val="24"/>
        </w:rPr>
        <w:t>2</w:t>
      </w:r>
      <w:r w:rsidRPr="00E772A2">
        <w:rPr>
          <w:rFonts w:ascii="Arial" w:hAnsi="Arial" w:cs="Arial"/>
          <w:noProof/>
          <w:szCs w:val="24"/>
        </w:rPr>
        <w:t>(1), 11–17. https://doi.org/10.12691/ajfn-2-1-3</w:t>
      </w:r>
    </w:p>
    <w:p w14:paraId="1AE46912"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Brand-Williams, W., Cuvelier, M. E., &amp; Berset, C. (1995). Use of a free radical method to evaluate antioxidant activity. </w:t>
      </w:r>
      <w:r w:rsidRPr="00E772A2">
        <w:rPr>
          <w:rFonts w:ascii="Arial" w:hAnsi="Arial" w:cs="Arial"/>
          <w:i/>
          <w:iCs/>
          <w:noProof/>
          <w:szCs w:val="24"/>
        </w:rPr>
        <w:t>LWT - Food Science and Technology</w:t>
      </w:r>
      <w:r w:rsidRPr="00E772A2">
        <w:rPr>
          <w:rFonts w:ascii="Arial" w:hAnsi="Arial" w:cs="Arial"/>
          <w:noProof/>
          <w:szCs w:val="24"/>
        </w:rPr>
        <w:t xml:space="preserve">, </w:t>
      </w:r>
      <w:r w:rsidRPr="00E772A2">
        <w:rPr>
          <w:rFonts w:ascii="Arial" w:hAnsi="Arial" w:cs="Arial"/>
          <w:i/>
          <w:iCs/>
          <w:noProof/>
          <w:szCs w:val="24"/>
        </w:rPr>
        <w:t>28</w:t>
      </w:r>
      <w:r w:rsidRPr="00E772A2">
        <w:rPr>
          <w:rFonts w:ascii="Arial" w:hAnsi="Arial" w:cs="Arial"/>
          <w:noProof/>
          <w:szCs w:val="24"/>
        </w:rPr>
        <w:t>(1), 25–30. https://doi.org/10.1016/S0023-6438(95)80008-5</w:t>
      </w:r>
    </w:p>
    <w:p w14:paraId="479F9CD9"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Cheng, F., Li, W., Zhou, Y., Shen, J., Wu, Z., Liu, G., Lee, P. W., &amp; Tang, Y. (2012). AdmetSAR: A comprehensive source and free tool for assessment of chemical ADMET properties. </w:t>
      </w:r>
      <w:r w:rsidRPr="00E772A2">
        <w:rPr>
          <w:rFonts w:ascii="Arial" w:hAnsi="Arial" w:cs="Arial"/>
          <w:i/>
          <w:iCs/>
          <w:noProof/>
          <w:szCs w:val="24"/>
        </w:rPr>
        <w:t>Journal of Chemical Information and Modeling</w:t>
      </w:r>
      <w:r w:rsidRPr="00E772A2">
        <w:rPr>
          <w:rFonts w:ascii="Arial" w:hAnsi="Arial" w:cs="Arial"/>
          <w:noProof/>
          <w:szCs w:val="24"/>
        </w:rPr>
        <w:t xml:space="preserve">, </w:t>
      </w:r>
      <w:r w:rsidRPr="00E772A2">
        <w:rPr>
          <w:rFonts w:ascii="Arial" w:hAnsi="Arial" w:cs="Arial"/>
          <w:i/>
          <w:iCs/>
          <w:noProof/>
          <w:szCs w:val="24"/>
        </w:rPr>
        <w:t>52</w:t>
      </w:r>
      <w:r w:rsidRPr="00E772A2">
        <w:rPr>
          <w:rFonts w:ascii="Arial" w:hAnsi="Arial" w:cs="Arial"/>
          <w:noProof/>
          <w:szCs w:val="24"/>
        </w:rPr>
        <w:t>(11), 3099–3105. https://doi.org/10.1021/ci300367a</w:t>
      </w:r>
    </w:p>
    <w:p w14:paraId="51510B58"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Corporate, A. (2008). Discovery Studio Life Science Modeling and Simulations. </w:t>
      </w:r>
      <w:r w:rsidRPr="00E772A2">
        <w:rPr>
          <w:rFonts w:ascii="Arial" w:hAnsi="Arial" w:cs="Arial"/>
          <w:i/>
          <w:iCs/>
          <w:noProof/>
          <w:szCs w:val="24"/>
        </w:rPr>
        <w:t>Researchgate.Net‏</w:t>
      </w:r>
      <w:r w:rsidRPr="00E772A2">
        <w:rPr>
          <w:rFonts w:ascii="Arial" w:hAnsi="Arial" w:cs="Arial"/>
          <w:noProof/>
          <w:szCs w:val="24"/>
        </w:rPr>
        <w:t>, 1–8.</w:t>
      </w:r>
    </w:p>
    <w:p w14:paraId="2D2D18FE"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Daina, A., Michielin, O., &amp; Zoete, V. (2017). SwissADME: A free web tool to evaluate pharmacokinetics, drug-likeness and medicinal chemistry friendliness of small molecules. </w:t>
      </w:r>
      <w:r w:rsidRPr="00E772A2">
        <w:rPr>
          <w:rFonts w:ascii="Arial" w:hAnsi="Arial" w:cs="Arial"/>
          <w:i/>
          <w:iCs/>
          <w:noProof/>
          <w:szCs w:val="24"/>
        </w:rPr>
        <w:t>Scientific Reports</w:t>
      </w:r>
      <w:r w:rsidRPr="00E772A2">
        <w:rPr>
          <w:rFonts w:ascii="Arial" w:hAnsi="Arial" w:cs="Arial"/>
          <w:noProof/>
          <w:szCs w:val="24"/>
        </w:rPr>
        <w:t xml:space="preserve">, </w:t>
      </w:r>
      <w:r w:rsidRPr="00E772A2">
        <w:rPr>
          <w:rFonts w:ascii="Arial" w:hAnsi="Arial" w:cs="Arial"/>
          <w:i/>
          <w:iCs/>
          <w:noProof/>
          <w:szCs w:val="24"/>
        </w:rPr>
        <w:t>7</w:t>
      </w:r>
      <w:r w:rsidRPr="00E772A2">
        <w:rPr>
          <w:rFonts w:ascii="Arial" w:hAnsi="Arial" w:cs="Arial"/>
          <w:noProof/>
          <w:szCs w:val="24"/>
        </w:rPr>
        <w:t>(January), 1–13. https://doi.org/10.1038/srep42717</w:t>
      </w:r>
    </w:p>
    <w:p w14:paraId="3624A2F0" w14:textId="77777777" w:rsidR="00E772A2" w:rsidRPr="00E772A2" w:rsidRDefault="00E772A2" w:rsidP="00E772A2">
      <w:pPr>
        <w:widowControl w:val="0"/>
        <w:autoSpaceDE w:val="0"/>
        <w:autoSpaceDN w:val="0"/>
        <w:adjustRightInd w:val="0"/>
        <w:ind w:left="480" w:hanging="480"/>
        <w:rPr>
          <w:rFonts w:ascii="Arial" w:hAnsi="Arial" w:cs="Arial"/>
          <w:noProof/>
          <w:szCs w:val="24"/>
        </w:rPr>
      </w:pPr>
      <w:r w:rsidRPr="00E772A2">
        <w:rPr>
          <w:rFonts w:ascii="Arial" w:hAnsi="Arial" w:cs="Arial"/>
          <w:noProof/>
          <w:szCs w:val="24"/>
        </w:rPr>
        <w:t xml:space="preserve">Dinarello, C. A. (2010). Anti-inflammatory Agents: Present and Future. </w:t>
      </w:r>
      <w:r w:rsidRPr="00E772A2">
        <w:rPr>
          <w:rFonts w:ascii="Arial" w:hAnsi="Arial" w:cs="Arial"/>
          <w:i/>
          <w:iCs/>
          <w:noProof/>
          <w:szCs w:val="24"/>
        </w:rPr>
        <w:t>Cell</w:t>
      </w:r>
      <w:r w:rsidRPr="00E772A2">
        <w:rPr>
          <w:rFonts w:ascii="Arial" w:hAnsi="Arial" w:cs="Arial"/>
          <w:noProof/>
          <w:szCs w:val="24"/>
        </w:rPr>
        <w:t xml:space="preserve">, </w:t>
      </w:r>
      <w:r w:rsidRPr="00E772A2">
        <w:rPr>
          <w:rFonts w:ascii="Arial" w:hAnsi="Arial" w:cs="Arial"/>
          <w:i/>
          <w:iCs/>
          <w:noProof/>
          <w:szCs w:val="24"/>
        </w:rPr>
        <w:t>140</w:t>
      </w:r>
      <w:r w:rsidRPr="00E772A2">
        <w:rPr>
          <w:rFonts w:ascii="Arial" w:hAnsi="Arial" w:cs="Arial"/>
          <w:noProof/>
          <w:szCs w:val="24"/>
        </w:rPr>
        <w:t>(6), 935–950. https://doi.org/10.1016/j.cell.2010.02.043</w:t>
      </w:r>
    </w:p>
    <w:p w14:paraId="368BA2C9"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Douer, D. (2016). Efficacy and Safety of Vincristine Sulfate Liposome Injection in the Treatment of Adult Acute Lymphocytic Leukemia. </w:t>
      </w:r>
      <w:r w:rsidRPr="00E772A2">
        <w:rPr>
          <w:rFonts w:ascii="Arial" w:hAnsi="Arial" w:cs="Arial"/>
          <w:i/>
          <w:iCs/>
          <w:noProof/>
          <w:szCs w:val="24"/>
        </w:rPr>
        <w:t>The Oncologist</w:t>
      </w:r>
      <w:r w:rsidRPr="00E772A2">
        <w:rPr>
          <w:rFonts w:ascii="Arial" w:hAnsi="Arial" w:cs="Arial"/>
          <w:noProof/>
          <w:szCs w:val="24"/>
        </w:rPr>
        <w:t xml:space="preserve">, </w:t>
      </w:r>
      <w:r w:rsidRPr="00E772A2">
        <w:rPr>
          <w:rFonts w:ascii="Arial" w:hAnsi="Arial" w:cs="Arial"/>
          <w:i/>
          <w:iCs/>
          <w:noProof/>
          <w:szCs w:val="24"/>
        </w:rPr>
        <w:t>21</w:t>
      </w:r>
      <w:r w:rsidRPr="00E772A2">
        <w:rPr>
          <w:rFonts w:ascii="Arial" w:hAnsi="Arial" w:cs="Arial"/>
          <w:noProof/>
          <w:szCs w:val="24"/>
        </w:rPr>
        <w:t>(7), 840–847. https://doi.org/10.1634/theoncologist.2015-0391</w:t>
      </w:r>
    </w:p>
    <w:p w14:paraId="25F0CB71" w14:textId="77777777" w:rsidR="00E772A2" w:rsidRPr="00E772A2" w:rsidRDefault="00E772A2" w:rsidP="00E772A2">
      <w:pPr>
        <w:widowControl w:val="0"/>
        <w:autoSpaceDE w:val="0"/>
        <w:autoSpaceDN w:val="0"/>
        <w:adjustRightInd w:val="0"/>
        <w:ind w:left="480" w:hanging="480"/>
        <w:rPr>
          <w:rFonts w:ascii="Arial" w:hAnsi="Arial" w:cs="Arial"/>
          <w:noProof/>
          <w:szCs w:val="24"/>
        </w:rPr>
      </w:pPr>
      <w:r w:rsidRPr="00E772A2">
        <w:rPr>
          <w:rFonts w:ascii="Arial" w:hAnsi="Arial" w:cs="Arial"/>
          <w:noProof/>
          <w:szCs w:val="24"/>
        </w:rPr>
        <w:t xml:space="preserve">Elgorashi, E. E., &amp; McGaw, L. J. (2019). African plants with in vitro anti-inflammatory activities: A review. </w:t>
      </w:r>
      <w:r w:rsidRPr="00E772A2">
        <w:rPr>
          <w:rFonts w:ascii="Arial" w:hAnsi="Arial" w:cs="Arial"/>
          <w:i/>
          <w:iCs/>
          <w:noProof/>
          <w:szCs w:val="24"/>
        </w:rPr>
        <w:t>South African Journal of Botany</w:t>
      </w:r>
      <w:r w:rsidRPr="00E772A2">
        <w:rPr>
          <w:rFonts w:ascii="Arial" w:hAnsi="Arial" w:cs="Arial"/>
          <w:noProof/>
          <w:szCs w:val="24"/>
        </w:rPr>
        <w:t xml:space="preserve">, </w:t>
      </w:r>
      <w:r w:rsidRPr="00E772A2">
        <w:rPr>
          <w:rFonts w:ascii="Arial" w:hAnsi="Arial" w:cs="Arial"/>
          <w:i/>
          <w:iCs/>
          <w:noProof/>
          <w:szCs w:val="24"/>
        </w:rPr>
        <w:t>126</w:t>
      </w:r>
      <w:r w:rsidRPr="00E772A2">
        <w:rPr>
          <w:rFonts w:ascii="Arial" w:hAnsi="Arial" w:cs="Arial"/>
          <w:noProof/>
          <w:szCs w:val="24"/>
        </w:rPr>
        <w:t>, 142–169. https://doi.org/10.1016/j.sajb.2019.06.034</w:t>
      </w:r>
    </w:p>
    <w:p w14:paraId="21B98066"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Elsayed Azab, A., A Adwas,  Almokhtar, Ibrahim Elsayed, A. S., A Adwas, A., Ibrahim Elsayed,  Ata Sedik, &amp; Quwaydir, F. A. (2019). Oxidative stress and antioxidant mechanisms in human body. </w:t>
      </w:r>
      <w:r w:rsidRPr="00E772A2">
        <w:rPr>
          <w:rFonts w:ascii="Arial" w:hAnsi="Arial" w:cs="Arial"/>
          <w:i/>
          <w:iCs/>
          <w:noProof/>
          <w:szCs w:val="24"/>
        </w:rPr>
        <w:t>Journal of Applied Biotechnology &amp; Bioengineering</w:t>
      </w:r>
      <w:r w:rsidRPr="00E772A2">
        <w:rPr>
          <w:rFonts w:ascii="Arial" w:hAnsi="Arial" w:cs="Arial"/>
          <w:noProof/>
          <w:szCs w:val="24"/>
        </w:rPr>
        <w:t xml:space="preserve">, </w:t>
      </w:r>
      <w:r w:rsidRPr="00E772A2">
        <w:rPr>
          <w:rFonts w:ascii="Arial" w:hAnsi="Arial" w:cs="Arial"/>
          <w:i/>
          <w:iCs/>
          <w:noProof/>
          <w:szCs w:val="24"/>
        </w:rPr>
        <w:t>6</w:t>
      </w:r>
      <w:r w:rsidRPr="00E772A2">
        <w:rPr>
          <w:rFonts w:ascii="Arial" w:hAnsi="Arial" w:cs="Arial"/>
          <w:noProof/>
          <w:szCs w:val="24"/>
        </w:rPr>
        <w:t>(1), 43–47. https://doi.org/10.15406/jabb.2019.06.00173</w:t>
      </w:r>
    </w:p>
    <w:p w14:paraId="647F946E"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Eze, F. U., Okoro, U. C., Ugwu, D. I., &amp; Okafor, S. N. (2019). Biological Activity Evaluation of Some New Benzenesulphonamide Derivatives. </w:t>
      </w:r>
      <w:r w:rsidRPr="00E772A2">
        <w:rPr>
          <w:rFonts w:ascii="Arial" w:hAnsi="Arial" w:cs="Arial"/>
          <w:i/>
          <w:iCs/>
          <w:noProof/>
          <w:szCs w:val="24"/>
        </w:rPr>
        <w:t>Frontiers in Chemistry</w:t>
      </w:r>
      <w:r w:rsidRPr="00E772A2">
        <w:rPr>
          <w:rFonts w:ascii="Arial" w:hAnsi="Arial" w:cs="Arial"/>
          <w:noProof/>
          <w:szCs w:val="24"/>
        </w:rPr>
        <w:t xml:space="preserve">, </w:t>
      </w:r>
      <w:r w:rsidRPr="00E772A2">
        <w:rPr>
          <w:rFonts w:ascii="Arial" w:hAnsi="Arial" w:cs="Arial"/>
          <w:i/>
          <w:iCs/>
          <w:noProof/>
          <w:szCs w:val="24"/>
        </w:rPr>
        <w:t>7</w:t>
      </w:r>
      <w:r w:rsidRPr="00E772A2">
        <w:rPr>
          <w:rFonts w:ascii="Arial" w:hAnsi="Arial" w:cs="Arial"/>
          <w:noProof/>
          <w:szCs w:val="24"/>
        </w:rPr>
        <w:t>(September), 1–12. https://doi.org/10.3389/fchem.2019.00634</w:t>
      </w:r>
    </w:p>
    <w:p w14:paraId="0D6E35D4"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Ghuman, S., Ncube, B., Finnie, J. F., McGaw, L. J., Mfotie Njoya, E., Coopoosamy, R. M., &amp; Van Staden, J. (2019). Antioxidant, anti-inflammatory and wound healing properties of medicinal plant extracts used to treat wounds and dermatological disorders. </w:t>
      </w:r>
      <w:r w:rsidRPr="00E772A2">
        <w:rPr>
          <w:rFonts w:ascii="Arial" w:hAnsi="Arial" w:cs="Arial"/>
          <w:i/>
          <w:iCs/>
          <w:noProof/>
          <w:szCs w:val="24"/>
        </w:rPr>
        <w:t>South African Journal of Botany</w:t>
      </w:r>
      <w:r w:rsidRPr="00E772A2">
        <w:rPr>
          <w:rFonts w:ascii="Arial" w:hAnsi="Arial" w:cs="Arial"/>
          <w:noProof/>
          <w:szCs w:val="24"/>
        </w:rPr>
        <w:t xml:space="preserve">, </w:t>
      </w:r>
      <w:r w:rsidRPr="00E772A2">
        <w:rPr>
          <w:rFonts w:ascii="Arial" w:hAnsi="Arial" w:cs="Arial"/>
          <w:i/>
          <w:iCs/>
          <w:noProof/>
          <w:szCs w:val="24"/>
        </w:rPr>
        <w:t>126</w:t>
      </w:r>
      <w:r w:rsidRPr="00E772A2">
        <w:rPr>
          <w:rFonts w:ascii="Arial" w:hAnsi="Arial" w:cs="Arial"/>
          <w:noProof/>
          <w:szCs w:val="24"/>
        </w:rPr>
        <w:t>, 232–240. https://doi.org/10.1016/j.sajb.2019.07.013</w:t>
      </w:r>
    </w:p>
    <w:p w14:paraId="5813AEC7"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Guex, N., &amp; Peitsch, M. C. (1997). SWISS-MODEL and the Swiss-PdbViewer: An environment for comparative protein modeling. </w:t>
      </w:r>
      <w:r w:rsidRPr="00E772A2">
        <w:rPr>
          <w:rFonts w:ascii="Arial" w:hAnsi="Arial" w:cs="Arial"/>
          <w:i/>
          <w:iCs/>
          <w:noProof/>
          <w:szCs w:val="24"/>
        </w:rPr>
        <w:t>Electrophoresis</w:t>
      </w:r>
      <w:r w:rsidRPr="00E772A2">
        <w:rPr>
          <w:rFonts w:ascii="Arial" w:hAnsi="Arial" w:cs="Arial"/>
          <w:noProof/>
          <w:szCs w:val="24"/>
        </w:rPr>
        <w:t xml:space="preserve">, </w:t>
      </w:r>
      <w:r w:rsidRPr="00E772A2">
        <w:rPr>
          <w:rFonts w:ascii="Arial" w:hAnsi="Arial" w:cs="Arial"/>
          <w:i/>
          <w:iCs/>
          <w:noProof/>
          <w:szCs w:val="24"/>
        </w:rPr>
        <w:t>18</w:t>
      </w:r>
      <w:r w:rsidRPr="00E772A2">
        <w:rPr>
          <w:rFonts w:ascii="Arial" w:hAnsi="Arial" w:cs="Arial"/>
          <w:noProof/>
          <w:szCs w:val="24"/>
        </w:rPr>
        <w:t>(15), 2714–2723. https://doi.org/10.1002/elps.1150181505</w:t>
      </w:r>
    </w:p>
    <w:p w14:paraId="0624DAF1"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Hayes, J. D., Dinkova-Kostova, A. T., &amp; Tew, K. D. (2020). Oxidative Stress in Cancer. </w:t>
      </w:r>
      <w:r w:rsidRPr="00E772A2">
        <w:rPr>
          <w:rFonts w:ascii="Arial" w:hAnsi="Arial" w:cs="Arial"/>
          <w:i/>
          <w:iCs/>
          <w:noProof/>
          <w:szCs w:val="24"/>
        </w:rPr>
        <w:t>Cancer Cell</w:t>
      </w:r>
      <w:r w:rsidRPr="00E772A2">
        <w:rPr>
          <w:rFonts w:ascii="Arial" w:hAnsi="Arial" w:cs="Arial"/>
          <w:noProof/>
          <w:szCs w:val="24"/>
        </w:rPr>
        <w:t xml:space="preserve">, </w:t>
      </w:r>
      <w:r w:rsidRPr="00E772A2">
        <w:rPr>
          <w:rFonts w:ascii="Arial" w:hAnsi="Arial" w:cs="Arial"/>
          <w:i/>
          <w:iCs/>
          <w:noProof/>
          <w:szCs w:val="24"/>
        </w:rPr>
        <w:t>38</w:t>
      </w:r>
      <w:r w:rsidRPr="00E772A2">
        <w:rPr>
          <w:rFonts w:ascii="Arial" w:hAnsi="Arial" w:cs="Arial"/>
          <w:noProof/>
          <w:szCs w:val="24"/>
        </w:rPr>
        <w:t>(2), 167–197. https://doi.org/10.1016/j.ccell.2020.06.001</w:t>
      </w:r>
    </w:p>
    <w:p w14:paraId="4EF01070"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Herowati, R., &amp; Widodo, G. P. (2014). Molecular Docking Studies of Chemical Constituents </w:t>
      </w:r>
      <w:r w:rsidRPr="00E772A2">
        <w:rPr>
          <w:rFonts w:ascii="Arial" w:hAnsi="Arial" w:cs="Arial"/>
          <w:noProof/>
          <w:szCs w:val="24"/>
        </w:rPr>
        <w:lastRenderedPageBreak/>
        <w:t xml:space="preserve">of Tinospora cordifolia on Glycogen Phosphorylase. </w:t>
      </w:r>
      <w:r w:rsidRPr="00E772A2">
        <w:rPr>
          <w:rFonts w:ascii="Arial" w:hAnsi="Arial" w:cs="Arial"/>
          <w:i/>
          <w:iCs/>
          <w:noProof/>
          <w:szCs w:val="24"/>
        </w:rPr>
        <w:t>Procedia Chemistry</w:t>
      </w:r>
      <w:r w:rsidRPr="00E772A2">
        <w:rPr>
          <w:rFonts w:ascii="Arial" w:hAnsi="Arial" w:cs="Arial"/>
          <w:noProof/>
          <w:szCs w:val="24"/>
        </w:rPr>
        <w:t xml:space="preserve">, </w:t>
      </w:r>
      <w:r w:rsidRPr="00E772A2">
        <w:rPr>
          <w:rFonts w:ascii="Arial" w:hAnsi="Arial" w:cs="Arial"/>
          <w:i/>
          <w:iCs/>
          <w:noProof/>
          <w:szCs w:val="24"/>
        </w:rPr>
        <w:t>13</w:t>
      </w:r>
      <w:r w:rsidRPr="00E772A2">
        <w:rPr>
          <w:rFonts w:ascii="Arial" w:hAnsi="Arial" w:cs="Arial"/>
          <w:noProof/>
          <w:szCs w:val="24"/>
        </w:rPr>
        <w:t>, 63–68. https://doi.org/10.1016/j.proche.2014.12.007</w:t>
      </w:r>
    </w:p>
    <w:p w14:paraId="6AB37E10"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Hossen, S. M. M., Hossain, M. S., Akbar, S., Tahmida, U., Mawa, J., &amp; Emon, N. U. (2021). Wild mushrooms showed analgesic and cytotoxic properties along with phytoconstituent’s binding affinity to COX-1, COX-2 and cytochrome P450 2C9. </w:t>
      </w:r>
      <w:r w:rsidRPr="00E772A2">
        <w:rPr>
          <w:rFonts w:ascii="Arial" w:hAnsi="Arial" w:cs="Arial"/>
          <w:i/>
          <w:iCs/>
          <w:noProof/>
          <w:szCs w:val="24"/>
        </w:rPr>
        <w:t>Heliyon</w:t>
      </w:r>
      <w:r w:rsidRPr="00E772A2">
        <w:rPr>
          <w:rFonts w:ascii="Arial" w:hAnsi="Arial" w:cs="Arial"/>
          <w:noProof/>
          <w:szCs w:val="24"/>
        </w:rPr>
        <w:t xml:space="preserve">, </w:t>
      </w:r>
      <w:r w:rsidRPr="00E772A2">
        <w:rPr>
          <w:rFonts w:ascii="Arial" w:hAnsi="Arial" w:cs="Arial"/>
          <w:i/>
          <w:iCs/>
          <w:noProof/>
          <w:szCs w:val="24"/>
        </w:rPr>
        <w:t>7</w:t>
      </w:r>
      <w:r w:rsidRPr="00E772A2">
        <w:rPr>
          <w:rFonts w:ascii="Arial" w:hAnsi="Arial" w:cs="Arial"/>
          <w:noProof/>
          <w:szCs w:val="24"/>
        </w:rPr>
        <w:t>(9), e07997. https://doi.org/10.1016/j.heliyon.2021.e07997</w:t>
      </w:r>
    </w:p>
    <w:p w14:paraId="02F822CD"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Hossen, S. M. M., Hossain, M. S., Yusuf, A. T. M., Chaudhary, P., Emon, N. U., &amp; Janmeda, P. (2022). Profiling of phytochemical and antioxidant activity of wild mushrooms: Evidence from the in vitro study and phytoconstituent’s binding affinity to the human erythrocyte catalase and human glutathione reductase. </w:t>
      </w:r>
      <w:r w:rsidRPr="00E772A2">
        <w:rPr>
          <w:rFonts w:ascii="Arial" w:hAnsi="Arial" w:cs="Arial"/>
          <w:i/>
          <w:iCs/>
          <w:noProof/>
          <w:szCs w:val="24"/>
        </w:rPr>
        <w:t>Food Science and Nutrition</w:t>
      </w:r>
      <w:r w:rsidRPr="00E772A2">
        <w:rPr>
          <w:rFonts w:ascii="Arial" w:hAnsi="Arial" w:cs="Arial"/>
          <w:noProof/>
          <w:szCs w:val="24"/>
        </w:rPr>
        <w:t xml:space="preserve">, </w:t>
      </w:r>
      <w:r w:rsidRPr="00E772A2">
        <w:rPr>
          <w:rFonts w:ascii="Arial" w:hAnsi="Arial" w:cs="Arial"/>
          <w:i/>
          <w:iCs/>
          <w:noProof/>
          <w:szCs w:val="24"/>
        </w:rPr>
        <w:t>10</w:t>
      </w:r>
      <w:r w:rsidRPr="00E772A2">
        <w:rPr>
          <w:rFonts w:ascii="Arial" w:hAnsi="Arial" w:cs="Arial"/>
          <w:noProof/>
          <w:szCs w:val="24"/>
        </w:rPr>
        <w:t>(1), 88–102. https://doi.org/10.1002/fsn3.2650</w:t>
      </w:r>
    </w:p>
    <w:p w14:paraId="045BD709"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Islam, M. R., Naima, J., Proma, N. M., Hussain, M. S., Uddin, S. M. N., &amp; Hossain, M. K. (2019). In-vivo and in-vitro evaluation of pharmacological activities of Ardisia solanacea leaf extract. </w:t>
      </w:r>
      <w:r w:rsidRPr="00E772A2">
        <w:rPr>
          <w:rFonts w:ascii="Arial" w:hAnsi="Arial" w:cs="Arial"/>
          <w:i/>
          <w:iCs/>
          <w:noProof/>
          <w:szCs w:val="24"/>
        </w:rPr>
        <w:t>Clinical Phytoscience</w:t>
      </w:r>
      <w:r w:rsidRPr="00E772A2">
        <w:rPr>
          <w:rFonts w:ascii="Arial" w:hAnsi="Arial" w:cs="Arial"/>
          <w:noProof/>
          <w:szCs w:val="24"/>
        </w:rPr>
        <w:t xml:space="preserve">, </w:t>
      </w:r>
      <w:r w:rsidRPr="00E772A2">
        <w:rPr>
          <w:rFonts w:ascii="Arial" w:hAnsi="Arial" w:cs="Arial"/>
          <w:i/>
          <w:iCs/>
          <w:noProof/>
          <w:szCs w:val="24"/>
        </w:rPr>
        <w:t>5</w:t>
      </w:r>
      <w:r w:rsidRPr="00E772A2">
        <w:rPr>
          <w:rFonts w:ascii="Arial" w:hAnsi="Arial" w:cs="Arial"/>
          <w:noProof/>
          <w:szCs w:val="24"/>
        </w:rPr>
        <w:t>(1). https://doi.org/10.1186/s40816-019-0128-9</w:t>
      </w:r>
    </w:p>
    <w:p w14:paraId="52552F77"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Ji, K. Y., Kim, K. M., Kim, Y. H., Im, A. R., Lee, J. Y., Park, B., Na, M. K., &amp; Chae, S. (2019). The enhancing immune response and anti-inflammatory effects of Anemarrhena asphodeloides extract in RAW 264.7 cells. </w:t>
      </w:r>
      <w:r w:rsidRPr="00E772A2">
        <w:rPr>
          <w:rFonts w:ascii="Arial" w:hAnsi="Arial" w:cs="Arial"/>
          <w:i/>
          <w:iCs/>
          <w:noProof/>
          <w:szCs w:val="24"/>
        </w:rPr>
        <w:t>Phytomedicine</w:t>
      </w:r>
      <w:r w:rsidRPr="00E772A2">
        <w:rPr>
          <w:rFonts w:ascii="Arial" w:hAnsi="Arial" w:cs="Arial"/>
          <w:noProof/>
          <w:szCs w:val="24"/>
        </w:rPr>
        <w:t xml:space="preserve">, </w:t>
      </w:r>
      <w:r w:rsidRPr="00E772A2">
        <w:rPr>
          <w:rFonts w:ascii="Arial" w:hAnsi="Arial" w:cs="Arial"/>
          <w:i/>
          <w:iCs/>
          <w:noProof/>
          <w:szCs w:val="24"/>
        </w:rPr>
        <w:t>59</w:t>
      </w:r>
      <w:r w:rsidRPr="00E772A2">
        <w:rPr>
          <w:rFonts w:ascii="Arial" w:hAnsi="Arial" w:cs="Arial"/>
          <w:noProof/>
          <w:szCs w:val="24"/>
        </w:rPr>
        <w:t>. https://doi.org/10.1016/j.phymed.2018.12.012</w:t>
      </w:r>
    </w:p>
    <w:p w14:paraId="290AC5BD"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Joshi, P. R., Paudel, M. R., Chand, M. B., Pradhan, S., Pant, K. K., Joshi, G. P., Bohara, M., Wagner, S. H., Pant, B., &amp; Pant, B. (2020). Cytotoxic effect of selected wild orchids on two different human cancer cell lines. </w:t>
      </w:r>
      <w:r w:rsidRPr="00E772A2">
        <w:rPr>
          <w:rFonts w:ascii="Arial" w:hAnsi="Arial" w:cs="Arial"/>
          <w:i/>
          <w:iCs/>
          <w:noProof/>
          <w:szCs w:val="24"/>
        </w:rPr>
        <w:t>Heliyon</w:t>
      </w:r>
      <w:r w:rsidRPr="00E772A2">
        <w:rPr>
          <w:rFonts w:ascii="Arial" w:hAnsi="Arial" w:cs="Arial"/>
          <w:noProof/>
          <w:szCs w:val="24"/>
        </w:rPr>
        <w:t xml:space="preserve">, </w:t>
      </w:r>
      <w:r w:rsidRPr="00E772A2">
        <w:rPr>
          <w:rFonts w:ascii="Arial" w:hAnsi="Arial" w:cs="Arial"/>
          <w:i/>
          <w:iCs/>
          <w:noProof/>
          <w:szCs w:val="24"/>
        </w:rPr>
        <w:t>6</w:t>
      </w:r>
      <w:r w:rsidRPr="00E772A2">
        <w:rPr>
          <w:rFonts w:ascii="Arial" w:hAnsi="Arial" w:cs="Arial"/>
          <w:noProof/>
          <w:szCs w:val="24"/>
        </w:rPr>
        <w:t>(5), e03991. https://doi.org/10.1016/j.heliyon.2020.e03991</w:t>
      </w:r>
    </w:p>
    <w:p w14:paraId="1D50A9DF"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Karim, M. A., Islam, M. A., Islam, M. M., Rahman, M. S., Sultana, S., Biswas, S., Hosen, M. J., Mazumder, K., Rahman, M. M., &amp; Hasan, M. N. (2020). Evaluation of antioxidant, anti-hemolytic, cytotoxic effects and anti-bacterial activity of selected mangrove plants (Bruguiera gymnorrhiza and Heritiera littoralis) in Bangladesh. </w:t>
      </w:r>
      <w:r w:rsidRPr="00E772A2">
        <w:rPr>
          <w:rFonts w:ascii="Arial" w:hAnsi="Arial" w:cs="Arial"/>
          <w:i/>
          <w:iCs/>
          <w:noProof/>
          <w:szCs w:val="24"/>
        </w:rPr>
        <w:t>Clinical Phytoscience</w:t>
      </w:r>
      <w:r w:rsidRPr="00E772A2">
        <w:rPr>
          <w:rFonts w:ascii="Arial" w:hAnsi="Arial" w:cs="Arial"/>
          <w:noProof/>
          <w:szCs w:val="24"/>
        </w:rPr>
        <w:t xml:space="preserve">, </w:t>
      </w:r>
      <w:r w:rsidRPr="00E772A2">
        <w:rPr>
          <w:rFonts w:ascii="Arial" w:hAnsi="Arial" w:cs="Arial"/>
          <w:i/>
          <w:iCs/>
          <w:noProof/>
          <w:szCs w:val="24"/>
        </w:rPr>
        <w:t>6</w:t>
      </w:r>
      <w:r w:rsidRPr="00E772A2">
        <w:rPr>
          <w:rFonts w:ascii="Arial" w:hAnsi="Arial" w:cs="Arial"/>
          <w:noProof/>
          <w:szCs w:val="24"/>
        </w:rPr>
        <w:t>(1). https://doi.org/10.1186/s40816-020-0152-9</w:t>
      </w:r>
    </w:p>
    <w:p w14:paraId="3A918B0E"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Khan, S., Nazir, M., Raiz, N., Saleem, M., Zengin, G., Fazal, G., Saleem, H., Mukhtar, M., Tousif, M. I., Tareen, R. B., Abdallah, H. H., &amp; Mahomoodally, F. M. (2019). Phytochemical profiling, in vitro biological properties and in silico studies on Caragana ambigua stocks (Fabaceae): A comprehensive approach. </w:t>
      </w:r>
      <w:r w:rsidRPr="00E772A2">
        <w:rPr>
          <w:rFonts w:ascii="Arial" w:hAnsi="Arial" w:cs="Arial"/>
          <w:i/>
          <w:iCs/>
          <w:noProof/>
          <w:szCs w:val="24"/>
        </w:rPr>
        <w:t>Industrial Crops and Products</w:t>
      </w:r>
      <w:r w:rsidRPr="00E772A2">
        <w:rPr>
          <w:rFonts w:ascii="Arial" w:hAnsi="Arial" w:cs="Arial"/>
          <w:noProof/>
          <w:szCs w:val="24"/>
        </w:rPr>
        <w:t xml:space="preserve">, </w:t>
      </w:r>
      <w:r w:rsidRPr="00E772A2">
        <w:rPr>
          <w:rFonts w:ascii="Arial" w:hAnsi="Arial" w:cs="Arial"/>
          <w:i/>
          <w:iCs/>
          <w:noProof/>
          <w:szCs w:val="24"/>
        </w:rPr>
        <w:t>131</w:t>
      </w:r>
      <w:r w:rsidRPr="00E772A2">
        <w:rPr>
          <w:rFonts w:ascii="Arial" w:hAnsi="Arial" w:cs="Arial"/>
          <w:noProof/>
          <w:szCs w:val="24"/>
        </w:rPr>
        <w:t>(January), 117–124. https://doi.org/10.1016/j.indcrop.2019.01.044</w:t>
      </w:r>
    </w:p>
    <w:p w14:paraId="7C907704"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Liguori, I., Russo, G., Curcio, F., Bulli, G., Aran, L., Della-Morte, D., Gargiulo, G., Testa, G., Cacciatore, F., Bonaduce, D., &amp; Abete, P. (2018). Oxidative stress, aging, and diseases. </w:t>
      </w:r>
      <w:r w:rsidRPr="00E772A2">
        <w:rPr>
          <w:rFonts w:ascii="Arial" w:hAnsi="Arial" w:cs="Arial"/>
          <w:i/>
          <w:iCs/>
          <w:noProof/>
          <w:szCs w:val="24"/>
        </w:rPr>
        <w:t>Clinical Interventions in Aging</w:t>
      </w:r>
      <w:r w:rsidRPr="00E772A2">
        <w:rPr>
          <w:rFonts w:ascii="Arial" w:hAnsi="Arial" w:cs="Arial"/>
          <w:noProof/>
          <w:szCs w:val="24"/>
        </w:rPr>
        <w:t xml:space="preserve">, </w:t>
      </w:r>
      <w:r w:rsidRPr="00E772A2">
        <w:rPr>
          <w:rFonts w:ascii="Arial" w:hAnsi="Arial" w:cs="Arial"/>
          <w:i/>
          <w:iCs/>
          <w:noProof/>
          <w:szCs w:val="24"/>
        </w:rPr>
        <w:t>13</w:t>
      </w:r>
      <w:r w:rsidRPr="00E772A2">
        <w:rPr>
          <w:rFonts w:ascii="Arial" w:hAnsi="Arial" w:cs="Arial"/>
          <w:noProof/>
          <w:szCs w:val="24"/>
        </w:rPr>
        <w:t>, 757–772. https://doi.org/10.2147/CIA.S158513</w:t>
      </w:r>
    </w:p>
    <w:p w14:paraId="4D32D9FA"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Lipinski, C. A., Lombardo, F., Dominy, B. W., &amp; Feeney, P. J. (2012). Experimental and computational approaches to estimate solubility and permeability in drug discovery and development settings. </w:t>
      </w:r>
      <w:r w:rsidRPr="00E772A2">
        <w:rPr>
          <w:rFonts w:ascii="Arial" w:hAnsi="Arial" w:cs="Arial"/>
          <w:i/>
          <w:iCs/>
          <w:noProof/>
          <w:szCs w:val="24"/>
        </w:rPr>
        <w:t>Advanced Drug Delivery Reviews</w:t>
      </w:r>
      <w:r w:rsidRPr="00E772A2">
        <w:rPr>
          <w:rFonts w:ascii="Arial" w:hAnsi="Arial" w:cs="Arial"/>
          <w:noProof/>
          <w:szCs w:val="24"/>
        </w:rPr>
        <w:t xml:space="preserve">, </w:t>
      </w:r>
      <w:r w:rsidRPr="00E772A2">
        <w:rPr>
          <w:rFonts w:ascii="Arial" w:hAnsi="Arial" w:cs="Arial"/>
          <w:i/>
          <w:iCs/>
          <w:noProof/>
          <w:szCs w:val="24"/>
        </w:rPr>
        <w:t>64</w:t>
      </w:r>
      <w:r w:rsidRPr="00E772A2">
        <w:rPr>
          <w:rFonts w:ascii="Arial" w:hAnsi="Arial" w:cs="Arial"/>
          <w:noProof/>
          <w:szCs w:val="24"/>
        </w:rPr>
        <w:t>(SUPPL.), 4–17. https://doi.org/10.1016/j.addr.2012.09.019</w:t>
      </w:r>
    </w:p>
    <w:p w14:paraId="32E11986"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Mazumder, M. K., Choudhury, S., &amp; Borah, A. (2019). An in silico investigation on the inhibitory potential of the constituents of Pomegranate juice on antioxidant defense mechanism: Relevance to neurodegenerative diseases. </w:t>
      </w:r>
      <w:r w:rsidRPr="00E772A2">
        <w:rPr>
          <w:rFonts w:ascii="Arial" w:hAnsi="Arial" w:cs="Arial"/>
          <w:i/>
          <w:iCs/>
          <w:noProof/>
          <w:szCs w:val="24"/>
        </w:rPr>
        <w:t>IBRO Reports</w:t>
      </w:r>
      <w:r w:rsidRPr="00E772A2">
        <w:rPr>
          <w:rFonts w:ascii="Arial" w:hAnsi="Arial" w:cs="Arial"/>
          <w:noProof/>
          <w:szCs w:val="24"/>
        </w:rPr>
        <w:t xml:space="preserve">, </w:t>
      </w:r>
      <w:r w:rsidRPr="00E772A2">
        <w:rPr>
          <w:rFonts w:ascii="Arial" w:hAnsi="Arial" w:cs="Arial"/>
          <w:i/>
          <w:iCs/>
          <w:noProof/>
          <w:szCs w:val="24"/>
        </w:rPr>
        <w:t>6</w:t>
      </w:r>
      <w:r w:rsidRPr="00E772A2">
        <w:rPr>
          <w:rFonts w:ascii="Arial" w:hAnsi="Arial" w:cs="Arial"/>
          <w:noProof/>
          <w:szCs w:val="24"/>
        </w:rPr>
        <w:t>(May), 153–159. https://doi.org/10.1016/j.ibror.2019.05.003</w:t>
      </w:r>
    </w:p>
    <w:p w14:paraId="009CEB05"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Meyer, B. N., Ferrigni, N. R., Putnam, J. E., Jacobsen, L. B., Nichols, D. E., &amp; McLaughlin, J. L. (1982). Brine shrimp: A convenient general bioassay for active plant constituents. </w:t>
      </w:r>
      <w:r w:rsidRPr="00E772A2">
        <w:rPr>
          <w:rFonts w:ascii="Arial" w:hAnsi="Arial" w:cs="Arial"/>
          <w:i/>
          <w:iCs/>
          <w:noProof/>
          <w:szCs w:val="24"/>
        </w:rPr>
        <w:t>Planta Medica</w:t>
      </w:r>
      <w:r w:rsidRPr="00E772A2">
        <w:rPr>
          <w:rFonts w:ascii="Arial" w:hAnsi="Arial" w:cs="Arial"/>
          <w:noProof/>
          <w:szCs w:val="24"/>
        </w:rPr>
        <w:t xml:space="preserve">, </w:t>
      </w:r>
      <w:r w:rsidRPr="00E772A2">
        <w:rPr>
          <w:rFonts w:ascii="Arial" w:hAnsi="Arial" w:cs="Arial"/>
          <w:i/>
          <w:iCs/>
          <w:noProof/>
          <w:szCs w:val="24"/>
        </w:rPr>
        <w:t>45</w:t>
      </w:r>
      <w:r w:rsidRPr="00E772A2">
        <w:rPr>
          <w:rFonts w:ascii="Arial" w:hAnsi="Arial" w:cs="Arial"/>
          <w:noProof/>
          <w:szCs w:val="24"/>
        </w:rPr>
        <w:t>(1), 31–34. https://doi.org/10.1055/s-2007-971236</w:t>
      </w:r>
    </w:p>
    <w:p w14:paraId="1EF0E148"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Moazzem Hossen, S. M., Akramul Hoque Tanim, M., Shahadat Hossain, M., Ahmed Sami, S., &amp; Uddin Emon, N. (2021). Deciphering the CNS anti-depressant, antioxidant and cytotoxic profiling of methanol and aqueous extracts of Trametes versicolor and molecular interactions of its phenolic compounds. </w:t>
      </w:r>
      <w:r w:rsidRPr="00E772A2">
        <w:rPr>
          <w:rFonts w:ascii="Arial" w:hAnsi="Arial" w:cs="Arial"/>
          <w:i/>
          <w:iCs/>
          <w:noProof/>
          <w:szCs w:val="24"/>
        </w:rPr>
        <w:t>Saudi Journal of Biological Sciences</w:t>
      </w:r>
      <w:r w:rsidRPr="00E772A2">
        <w:rPr>
          <w:rFonts w:ascii="Arial" w:hAnsi="Arial" w:cs="Arial"/>
          <w:noProof/>
          <w:szCs w:val="24"/>
        </w:rPr>
        <w:t xml:space="preserve">, </w:t>
      </w:r>
      <w:r w:rsidRPr="00E772A2">
        <w:rPr>
          <w:rFonts w:ascii="Arial" w:hAnsi="Arial" w:cs="Arial"/>
          <w:i/>
          <w:iCs/>
          <w:noProof/>
          <w:szCs w:val="24"/>
        </w:rPr>
        <w:t>28</w:t>
      </w:r>
      <w:r w:rsidRPr="00E772A2">
        <w:rPr>
          <w:rFonts w:ascii="Arial" w:hAnsi="Arial" w:cs="Arial"/>
          <w:noProof/>
          <w:szCs w:val="24"/>
        </w:rPr>
        <w:t>(11), 6375–6383. https://doi.org/10.1016/j.sjbs.2021.07.016</w:t>
      </w:r>
    </w:p>
    <w:p w14:paraId="19FF3F0E"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Muhammad, A., Khan, B., Iqbal, Z., Khan, A. Z., Khan, I., Khan, K., Alamzeb, M., Ahmad, N., </w:t>
      </w:r>
      <w:r w:rsidRPr="00E772A2">
        <w:rPr>
          <w:rFonts w:ascii="Arial" w:hAnsi="Arial" w:cs="Arial"/>
          <w:noProof/>
          <w:szCs w:val="24"/>
        </w:rPr>
        <w:lastRenderedPageBreak/>
        <w:t xml:space="preserve">Khan, K., Lal Badshah, S., Ullah, A., Muhammad, S., Jan, M. T., Nadeem, S., &amp; Kabir, N. (2019). Viscosine as a Potent and Safe Antipyretic Agent Evaluated by Yeast-Induced Pyrexia Model and Molecular Docking Studies. </w:t>
      </w:r>
      <w:r w:rsidRPr="00E772A2">
        <w:rPr>
          <w:rFonts w:ascii="Arial" w:hAnsi="Arial" w:cs="Arial"/>
          <w:i/>
          <w:iCs/>
          <w:noProof/>
          <w:szCs w:val="24"/>
        </w:rPr>
        <w:t>ACS Omega</w:t>
      </w:r>
      <w:r w:rsidRPr="00E772A2">
        <w:rPr>
          <w:rFonts w:ascii="Arial" w:hAnsi="Arial" w:cs="Arial"/>
          <w:noProof/>
          <w:szCs w:val="24"/>
        </w:rPr>
        <w:t xml:space="preserve">, </w:t>
      </w:r>
      <w:r w:rsidRPr="00E772A2">
        <w:rPr>
          <w:rFonts w:ascii="Arial" w:hAnsi="Arial" w:cs="Arial"/>
          <w:i/>
          <w:iCs/>
          <w:noProof/>
          <w:szCs w:val="24"/>
        </w:rPr>
        <w:t>4</w:t>
      </w:r>
      <w:r w:rsidRPr="00E772A2">
        <w:rPr>
          <w:rFonts w:ascii="Arial" w:hAnsi="Arial" w:cs="Arial"/>
          <w:noProof/>
          <w:szCs w:val="24"/>
        </w:rPr>
        <w:t>(10), 14188–14192. https://doi.org/10.1021/acsomega.9b01041</w:t>
      </w:r>
    </w:p>
    <w:p w14:paraId="7022CE64"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Najmi, A., Javed, S. A., Al Bratty, M., &amp; Alhazmi, H. A. (2022). Modern Approaches in the Discovery and Development of Plant-Based Natural Products and Their Analogues as Potential Therapeutic Agents. </w:t>
      </w:r>
      <w:r w:rsidRPr="00E772A2">
        <w:rPr>
          <w:rFonts w:ascii="Arial" w:hAnsi="Arial" w:cs="Arial"/>
          <w:i/>
          <w:iCs/>
          <w:noProof/>
          <w:szCs w:val="24"/>
        </w:rPr>
        <w:t>Molecules</w:t>
      </w:r>
      <w:r w:rsidRPr="00E772A2">
        <w:rPr>
          <w:rFonts w:ascii="Arial" w:hAnsi="Arial" w:cs="Arial"/>
          <w:noProof/>
          <w:szCs w:val="24"/>
        </w:rPr>
        <w:t xml:space="preserve">, </w:t>
      </w:r>
      <w:r w:rsidRPr="00E772A2">
        <w:rPr>
          <w:rFonts w:ascii="Arial" w:hAnsi="Arial" w:cs="Arial"/>
          <w:i/>
          <w:iCs/>
          <w:noProof/>
          <w:szCs w:val="24"/>
        </w:rPr>
        <w:t>27</w:t>
      </w:r>
      <w:r w:rsidRPr="00E772A2">
        <w:rPr>
          <w:rFonts w:ascii="Arial" w:hAnsi="Arial" w:cs="Arial"/>
          <w:noProof/>
          <w:szCs w:val="24"/>
        </w:rPr>
        <w:t>(2). https://doi.org/10.3390/molecules27020349</w:t>
      </w:r>
    </w:p>
    <w:p w14:paraId="0254D3C5"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Nguyen, T. Q. C., Binh, T. D., Pham, T. L. A., Nguyen, Y. D. H., Trang, D. T. X., Nguyen, T. T., Kanaori, K., &amp; Kamei, K. (2020). Anti-inflammatory effects of lasia spinosa leaf extract in lipopolysaccharide-induced raw 264.7 macrophages. </w:t>
      </w:r>
      <w:r w:rsidRPr="00E772A2">
        <w:rPr>
          <w:rFonts w:ascii="Arial" w:hAnsi="Arial" w:cs="Arial"/>
          <w:i/>
          <w:iCs/>
          <w:noProof/>
          <w:szCs w:val="24"/>
        </w:rPr>
        <w:t>International Journal of Molecular Sciences</w:t>
      </w:r>
      <w:r w:rsidRPr="00E772A2">
        <w:rPr>
          <w:rFonts w:ascii="Arial" w:hAnsi="Arial" w:cs="Arial"/>
          <w:noProof/>
          <w:szCs w:val="24"/>
        </w:rPr>
        <w:t xml:space="preserve">, </w:t>
      </w:r>
      <w:r w:rsidRPr="00E772A2">
        <w:rPr>
          <w:rFonts w:ascii="Arial" w:hAnsi="Arial" w:cs="Arial"/>
          <w:i/>
          <w:iCs/>
          <w:noProof/>
          <w:szCs w:val="24"/>
        </w:rPr>
        <w:t>21</w:t>
      </w:r>
      <w:r w:rsidRPr="00E772A2">
        <w:rPr>
          <w:rFonts w:ascii="Arial" w:hAnsi="Arial" w:cs="Arial"/>
          <w:noProof/>
          <w:szCs w:val="24"/>
        </w:rPr>
        <w:t>(10). https://doi.org/10.3390/ijms21103439</w:t>
      </w:r>
    </w:p>
    <w:p w14:paraId="0B4CEAFC"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Nkadimeng, S. M., Nabatanzi, A., Steinmann, C. M. L., &amp; Eloff, J. N. (2020). Phytochemical, cytotoxicity, antioxidant and anti-inflammatory effects of psilocybe natalensis magic mushroom. </w:t>
      </w:r>
      <w:r w:rsidRPr="00E772A2">
        <w:rPr>
          <w:rFonts w:ascii="Arial" w:hAnsi="Arial" w:cs="Arial"/>
          <w:i/>
          <w:iCs/>
          <w:noProof/>
          <w:szCs w:val="24"/>
        </w:rPr>
        <w:t>Plants</w:t>
      </w:r>
      <w:r w:rsidRPr="00E772A2">
        <w:rPr>
          <w:rFonts w:ascii="Arial" w:hAnsi="Arial" w:cs="Arial"/>
          <w:noProof/>
          <w:szCs w:val="24"/>
        </w:rPr>
        <w:t xml:space="preserve">, </w:t>
      </w:r>
      <w:r w:rsidRPr="00E772A2">
        <w:rPr>
          <w:rFonts w:ascii="Arial" w:hAnsi="Arial" w:cs="Arial"/>
          <w:i/>
          <w:iCs/>
          <w:noProof/>
          <w:szCs w:val="24"/>
        </w:rPr>
        <w:t>9</w:t>
      </w:r>
      <w:r w:rsidRPr="00E772A2">
        <w:rPr>
          <w:rFonts w:ascii="Arial" w:hAnsi="Arial" w:cs="Arial"/>
          <w:noProof/>
          <w:szCs w:val="24"/>
        </w:rPr>
        <w:t>(9), 1–13. https://doi.org/10.3390/plants9091127</w:t>
      </w:r>
    </w:p>
    <w:p w14:paraId="20DF84CA"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Numanovich, A. I., &amp; Abbosxonovich, M. A. (2020). THE ANALYSIS OF LANDS IN SECURITY ZONES OF HIGH-VOLTAGE POWER LINES (POWER LINE) ON THE EXAMPLE OF THE FERGANA REGION PhD of Fergana polytechnic institute, Uzbekistan PhD applicant of Fergana polytechnic institute, Uzbekistan. </w:t>
      </w:r>
      <w:r w:rsidRPr="00E772A2">
        <w:rPr>
          <w:rFonts w:ascii="Arial" w:hAnsi="Arial" w:cs="Arial"/>
          <w:i/>
          <w:iCs/>
          <w:noProof/>
          <w:szCs w:val="24"/>
        </w:rPr>
        <w:t>EPRA International Journal of Multidisciplinary Research (IJMR)-Peer Reviewed Journal</w:t>
      </w:r>
      <w:r w:rsidRPr="00E772A2">
        <w:rPr>
          <w:rFonts w:ascii="Arial" w:hAnsi="Arial" w:cs="Arial"/>
          <w:noProof/>
          <w:szCs w:val="24"/>
        </w:rPr>
        <w:t xml:space="preserve">, </w:t>
      </w:r>
      <w:r w:rsidRPr="00E772A2">
        <w:rPr>
          <w:rFonts w:ascii="Arial" w:hAnsi="Arial" w:cs="Arial"/>
          <w:i/>
          <w:iCs/>
          <w:noProof/>
          <w:szCs w:val="24"/>
        </w:rPr>
        <w:t>2</w:t>
      </w:r>
      <w:r w:rsidRPr="00E772A2">
        <w:rPr>
          <w:rFonts w:ascii="Arial" w:hAnsi="Arial" w:cs="Arial"/>
          <w:noProof/>
          <w:szCs w:val="24"/>
        </w:rPr>
        <w:t>, 198–210. https://doi.org/10.36713/epra2013</w:t>
      </w:r>
    </w:p>
    <w:p w14:paraId="39F60F8B"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Oboh, G. (2005). Effect of blanching on the antioxidant properties of some tropical green leafy vegetables. </w:t>
      </w:r>
      <w:r w:rsidRPr="00E772A2">
        <w:rPr>
          <w:rFonts w:ascii="Arial" w:hAnsi="Arial" w:cs="Arial"/>
          <w:i/>
          <w:iCs/>
          <w:noProof/>
          <w:szCs w:val="24"/>
        </w:rPr>
        <w:t>Lwt</w:t>
      </w:r>
      <w:r w:rsidRPr="00E772A2">
        <w:rPr>
          <w:rFonts w:ascii="Arial" w:hAnsi="Arial" w:cs="Arial"/>
          <w:noProof/>
          <w:szCs w:val="24"/>
        </w:rPr>
        <w:t xml:space="preserve">, </w:t>
      </w:r>
      <w:r w:rsidRPr="00E772A2">
        <w:rPr>
          <w:rFonts w:ascii="Arial" w:hAnsi="Arial" w:cs="Arial"/>
          <w:i/>
          <w:iCs/>
          <w:noProof/>
          <w:szCs w:val="24"/>
        </w:rPr>
        <w:t>38</w:t>
      </w:r>
      <w:r w:rsidRPr="00E772A2">
        <w:rPr>
          <w:rFonts w:ascii="Arial" w:hAnsi="Arial" w:cs="Arial"/>
          <w:noProof/>
          <w:szCs w:val="24"/>
        </w:rPr>
        <w:t>(5), 513–517. https://doi.org/10.1016/j.lwt.2004.07.007</w:t>
      </w:r>
    </w:p>
    <w:p w14:paraId="2FBF0DBE"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Ramos, E. H. S., Moraes, M. M., Nerys, L. L. D. A., Nascimento, S. C., Militão, G. C. G., De Figueiredo, R. C. B. Q., Da Câmara, C. A. G., &amp; Silva, T. G. (2014). Chemical composition, leishmanicidal and cytotoxic activities of the essential oils from Mangifera indica L. Var. Rosa and Espada. </w:t>
      </w:r>
      <w:r w:rsidRPr="00E772A2">
        <w:rPr>
          <w:rFonts w:ascii="Arial" w:hAnsi="Arial" w:cs="Arial"/>
          <w:i/>
          <w:iCs/>
          <w:noProof/>
          <w:szCs w:val="24"/>
        </w:rPr>
        <w:t>BioMed Research International</w:t>
      </w:r>
      <w:r w:rsidRPr="00E772A2">
        <w:rPr>
          <w:rFonts w:ascii="Arial" w:hAnsi="Arial" w:cs="Arial"/>
          <w:noProof/>
          <w:szCs w:val="24"/>
        </w:rPr>
        <w:t xml:space="preserve">, </w:t>
      </w:r>
      <w:r w:rsidRPr="00E772A2">
        <w:rPr>
          <w:rFonts w:ascii="Arial" w:hAnsi="Arial" w:cs="Arial"/>
          <w:i/>
          <w:iCs/>
          <w:noProof/>
          <w:szCs w:val="24"/>
        </w:rPr>
        <w:t>2014</w:t>
      </w:r>
      <w:r w:rsidRPr="00E772A2">
        <w:rPr>
          <w:rFonts w:ascii="Arial" w:hAnsi="Arial" w:cs="Arial"/>
          <w:noProof/>
          <w:szCs w:val="24"/>
        </w:rPr>
        <w:t>. https://doi.org/10.1155/2014/734946</w:t>
      </w:r>
    </w:p>
    <w:p w14:paraId="4F7F03C5"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Rampogu, S., Baek, A., Gajula, R. G., Zeb, A., Bavi, R. S., Kumar, R., Kim, Y., Kwon, Y. J., &amp; Lee, K. W. (2018). Ginger (Zingiber officinale) phytochemicals-gingerenone-A and shogaol inhibit SaHPPK: Molecular docking, molecular dynamics simulations and in vitro approaches. </w:t>
      </w:r>
      <w:r w:rsidRPr="00E772A2">
        <w:rPr>
          <w:rFonts w:ascii="Arial" w:hAnsi="Arial" w:cs="Arial"/>
          <w:i/>
          <w:iCs/>
          <w:noProof/>
          <w:szCs w:val="24"/>
        </w:rPr>
        <w:t>Annals of Clinical Microbiology and Antimicrobials</w:t>
      </w:r>
      <w:r w:rsidRPr="00E772A2">
        <w:rPr>
          <w:rFonts w:ascii="Arial" w:hAnsi="Arial" w:cs="Arial"/>
          <w:noProof/>
          <w:szCs w:val="24"/>
        </w:rPr>
        <w:t xml:space="preserve">, </w:t>
      </w:r>
      <w:r w:rsidRPr="00E772A2">
        <w:rPr>
          <w:rFonts w:ascii="Arial" w:hAnsi="Arial" w:cs="Arial"/>
          <w:i/>
          <w:iCs/>
          <w:noProof/>
          <w:szCs w:val="24"/>
        </w:rPr>
        <w:t>17</w:t>
      </w:r>
      <w:r w:rsidRPr="00E772A2">
        <w:rPr>
          <w:rFonts w:ascii="Arial" w:hAnsi="Arial" w:cs="Arial"/>
          <w:noProof/>
          <w:szCs w:val="24"/>
        </w:rPr>
        <w:t>(1), 1–15. https://doi.org/10.1186/s12941-018-0266-9</w:t>
      </w:r>
    </w:p>
    <w:p w14:paraId="56C07CEC"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Saeed, N., Khan, M. R., &amp; Shabbir, M. (2012). Antioxidant activity, total phenolic and total flavonoid contents of whole plant extracts Torilis leptophylla L. </w:t>
      </w:r>
      <w:r w:rsidRPr="00E772A2">
        <w:rPr>
          <w:rFonts w:ascii="Arial" w:hAnsi="Arial" w:cs="Arial"/>
          <w:i/>
          <w:iCs/>
          <w:noProof/>
          <w:szCs w:val="24"/>
        </w:rPr>
        <w:t>BMC Complementary and Alternative Medicine</w:t>
      </w:r>
      <w:r w:rsidRPr="00E772A2">
        <w:rPr>
          <w:rFonts w:ascii="Arial" w:hAnsi="Arial" w:cs="Arial"/>
          <w:noProof/>
          <w:szCs w:val="24"/>
        </w:rPr>
        <w:t xml:space="preserve">, </w:t>
      </w:r>
      <w:r w:rsidRPr="00E772A2">
        <w:rPr>
          <w:rFonts w:ascii="Arial" w:hAnsi="Arial" w:cs="Arial"/>
          <w:i/>
          <w:iCs/>
          <w:noProof/>
          <w:szCs w:val="24"/>
        </w:rPr>
        <w:t>12</w:t>
      </w:r>
      <w:r w:rsidRPr="00E772A2">
        <w:rPr>
          <w:rFonts w:ascii="Arial" w:hAnsi="Arial" w:cs="Arial"/>
          <w:noProof/>
          <w:szCs w:val="24"/>
        </w:rPr>
        <w:t>. https://doi.org/10.1186/1472-6882-12-221</w:t>
      </w:r>
    </w:p>
    <w:p w14:paraId="31855A34"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Salehi, B., Martorell, M., Arbiser, J. L., Sureda, A., Martins, N., Maurya, P. K., Sharifi-Rad, M., Kumar, P., &amp; Sharifi-Rad, J. (2018). Antioxidants: Positive or negative actors? </w:t>
      </w:r>
      <w:r w:rsidRPr="00E772A2">
        <w:rPr>
          <w:rFonts w:ascii="Arial" w:hAnsi="Arial" w:cs="Arial"/>
          <w:i/>
          <w:iCs/>
          <w:noProof/>
          <w:szCs w:val="24"/>
        </w:rPr>
        <w:t>Biomolecules</w:t>
      </w:r>
      <w:r w:rsidRPr="00E772A2">
        <w:rPr>
          <w:rFonts w:ascii="Arial" w:hAnsi="Arial" w:cs="Arial"/>
          <w:noProof/>
          <w:szCs w:val="24"/>
        </w:rPr>
        <w:t xml:space="preserve">, </w:t>
      </w:r>
      <w:r w:rsidRPr="00E772A2">
        <w:rPr>
          <w:rFonts w:ascii="Arial" w:hAnsi="Arial" w:cs="Arial"/>
          <w:i/>
          <w:iCs/>
          <w:noProof/>
          <w:szCs w:val="24"/>
        </w:rPr>
        <w:t>8</w:t>
      </w:r>
      <w:r w:rsidRPr="00E772A2">
        <w:rPr>
          <w:rFonts w:ascii="Arial" w:hAnsi="Arial" w:cs="Arial"/>
          <w:noProof/>
          <w:szCs w:val="24"/>
        </w:rPr>
        <w:t>(4), 1–11. https://doi.org/10.3390/biom8040124</w:t>
      </w:r>
    </w:p>
    <w:p w14:paraId="63E24904"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Saur, I. M. L., Panstruga, R., &amp; Schulze-Lefert, P. (2021). NOD-like receptor-mediated plant immunity: from structure to cell death. </w:t>
      </w:r>
      <w:r w:rsidRPr="00E772A2">
        <w:rPr>
          <w:rFonts w:ascii="Arial" w:hAnsi="Arial" w:cs="Arial"/>
          <w:i/>
          <w:iCs/>
          <w:noProof/>
          <w:szCs w:val="24"/>
        </w:rPr>
        <w:t>Nature Reviews Immunology</w:t>
      </w:r>
      <w:r w:rsidRPr="00E772A2">
        <w:rPr>
          <w:rFonts w:ascii="Arial" w:hAnsi="Arial" w:cs="Arial"/>
          <w:noProof/>
          <w:szCs w:val="24"/>
        </w:rPr>
        <w:t xml:space="preserve">, </w:t>
      </w:r>
      <w:r w:rsidRPr="00E772A2">
        <w:rPr>
          <w:rFonts w:ascii="Arial" w:hAnsi="Arial" w:cs="Arial"/>
          <w:i/>
          <w:iCs/>
          <w:noProof/>
          <w:szCs w:val="24"/>
        </w:rPr>
        <w:t>21</w:t>
      </w:r>
      <w:r w:rsidRPr="00E772A2">
        <w:rPr>
          <w:rFonts w:ascii="Arial" w:hAnsi="Arial" w:cs="Arial"/>
          <w:noProof/>
          <w:szCs w:val="24"/>
        </w:rPr>
        <w:t>(5), 305–318. https://doi.org/10.1038/s41577-020-00473-z</w:t>
      </w:r>
    </w:p>
    <w:p w14:paraId="7B180D45"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Shifah, F., Tareq, A. M., Sayeed, M. A., Islam, M. N., Emran, T. Bin, Ullah, M. A., Mukit, M. A., &amp; Ullah, A. (2020). Antidiarrheal, cytotoxic and thrombolytic activities of methanolic extract of hedychium coccineum leaves. </w:t>
      </w:r>
      <w:r w:rsidRPr="00E772A2">
        <w:rPr>
          <w:rFonts w:ascii="Arial" w:hAnsi="Arial" w:cs="Arial"/>
          <w:i/>
          <w:iCs/>
          <w:noProof/>
          <w:szCs w:val="24"/>
        </w:rPr>
        <w:t>Journal of Advanced Biotechnology and Experimental Therapeutics</w:t>
      </w:r>
      <w:r w:rsidRPr="00E772A2">
        <w:rPr>
          <w:rFonts w:ascii="Arial" w:hAnsi="Arial" w:cs="Arial"/>
          <w:noProof/>
          <w:szCs w:val="24"/>
        </w:rPr>
        <w:t xml:space="preserve">, </w:t>
      </w:r>
      <w:r w:rsidRPr="00E772A2">
        <w:rPr>
          <w:rFonts w:ascii="Arial" w:hAnsi="Arial" w:cs="Arial"/>
          <w:i/>
          <w:iCs/>
          <w:noProof/>
          <w:szCs w:val="24"/>
        </w:rPr>
        <w:t>3</w:t>
      </w:r>
      <w:r w:rsidRPr="00E772A2">
        <w:rPr>
          <w:rFonts w:ascii="Arial" w:hAnsi="Arial" w:cs="Arial"/>
          <w:noProof/>
          <w:szCs w:val="24"/>
        </w:rPr>
        <w:t>(1), 77–83. https://doi.org/10.5455/jabet.2020.d110</w:t>
      </w:r>
    </w:p>
    <w:p w14:paraId="64C202B4"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Shoichet, B. K., McGovern, S. L., Wei, B., &amp; Irwin, J. J. (2002). Lead discovery using molecular docking. </w:t>
      </w:r>
      <w:r w:rsidRPr="00E772A2">
        <w:rPr>
          <w:rFonts w:ascii="Arial" w:hAnsi="Arial" w:cs="Arial"/>
          <w:i/>
          <w:iCs/>
          <w:noProof/>
          <w:szCs w:val="24"/>
        </w:rPr>
        <w:t>Current Opinion in Chemical Biology</w:t>
      </w:r>
      <w:r w:rsidRPr="00E772A2">
        <w:rPr>
          <w:rFonts w:ascii="Arial" w:hAnsi="Arial" w:cs="Arial"/>
          <w:noProof/>
          <w:szCs w:val="24"/>
        </w:rPr>
        <w:t xml:space="preserve">, </w:t>
      </w:r>
      <w:r w:rsidRPr="00E772A2">
        <w:rPr>
          <w:rFonts w:ascii="Arial" w:hAnsi="Arial" w:cs="Arial"/>
          <w:i/>
          <w:iCs/>
          <w:noProof/>
          <w:szCs w:val="24"/>
        </w:rPr>
        <w:t>6</w:t>
      </w:r>
      <w:r w:rsidRPr="00E772A2">
        <w:rPr>
          <w:rFonts w:ascii="Arial" w:hAnsi="Arial" w:cs="Arial"/>
          <w:noProof/>
          <w:szCs w:val="24"/>
        </w:rPr>
        <w:t>(4), 439–446. https://doi.org/10.1016/S1367-5931(02)00339-3</w:t>
      </w:r>
    </w:p>
    <w:p w14:paraId="01EEB026"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Silverman, J. A., &amp; Deitcher, S. R. (2013). Marqibo® (vincristine sulfate liposome injection) improves the pharmacokinetics and pharmacodynamics of vincristine. </w:t>
      </w:r>
      <w:r w:rsidRPr="00E772A2">
        <w:rPr>
          <w:rFonts w:ascii="Arial" w:hAnsi="Arial" w:cs="Arial"/>
          <w:i/>
          <w:iCs/>
          <w:noProof/>
          <w:szCs w:val="24"/>
        </w:rPr>
        <w:t>Cancer Chemotherapy and Pharmacology</w:t>
      </w:r>
      <w:r w:rsidRPr="00E772A2">
        <w:rPr>
          <w:rFonts w:ascii="Arial" w:hAnsi="Arial" w:cs="Arial"/>
          <w:noProof/>
          <w:szCs w:val="24"/>
        </w:rPr>
        <w:t xml:space="preserve">, </w:t>
      </w:r>
      <w:r w:rsidRPr="00E772A2">
        <w:rPr>
          <w:rFonts w:ascii="Arial" w:hAnsi="Arial" w:cs="Arial"/>
          <w:i/>
          <w:iCs/>
          <w:noProof/>
          <w:szCs w:val="24"/>
        </w:rPr>
        <w:t>71</w:t>
      </w:r>
      <w:r w:rsidRPr="00E772A2">
        <w:rPr>
          <w:rFonts w:ascii="Arial" w:hAnsi="Arial" w:cs="Arial"/>
          <w:noProof/>
          <w:szCs w:val="24"/>
        </w:rPr>
        <w:t>(3), 555–564. https://doi.org/10.1007/s00280-012-2042-4</w:t>
      </w:r>
    </w:p>
    <w:p w14:paraId="3CE865D7"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lastRenderedPageBreak/>
        <w:t xml:space="preserve">Sinha, B. K., Talukdar, A. Das, Roy, D. K., Verma, D., &amp; Choudhury, M. D. (2014). On the identity and occurrence of Ormosia robusta (Fabaceae sophorea) in India. </w:t>
      </w:r>
      <w:r w:rsidRPr="00E772A2">
        <w:rPr>
          <w:rFonts w:ascii="Arial" w:hAnsi="Arial" w:cs="Arial"/>
          <w:i/>
          <w:iCs/>
          <w:noProof/>
          <w:szCs w:val="24"/>
        </w:rPr>
        <w:t>Indian Jounrnal of Plant Sciences</w:t>
      </w:r>
      <w:r w:rsidRPr="00E772A2">
        <w:rPr>
          <w:rFonts w:ascii="Arial" w:hAnsi="Arial" w:cs="Arial"/>
          <w:noProof/>
          <w:szCs w:val="24"/>
        </w:rPr>
        <w:t xml:space="preserve">, </w:t>
      </w:r>
      <w:r w:rsidRPr="00E772A2">
        <w:rPr>
          <w:rFonts w:ascii="Arial" w:hAnsi="Arial" w:cs="Arial"/>
          <w:i/>
          <w:iCs/>
          <w:noProof/>
          <w:szCs w:val="24"/>
        </w:rPr>
        <w:t>3</w:t>
      </w:r>
      <w:r w:rsidRPr="00E772A2">
        <w:rPr>
          <w:rFonts w:ascii="Arial" w:hAnsi="Arial" w:cs="Arial"/>
          <w:noProof/>
          <w:szCs w:val="24"/>
        </w:rPr>
        <w:t>(4), 53–57.</w:t>
      </w:r>
    </w:p>
    <w:p w14:paraId="3A97C040"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Tareq, A. M., Farhad, S., Neshar Uddin, A. B. M., Hoque, M., Nasrin, M. S., Uddin, M. M. R., Hasan, M., Sultana, A., Munira, M. S., Lyzu, C., Moazzem Hossen, S. M., Ali Reza, A. S. M., &amp; Emran, T. Bin. (2020). Chemical profiles, pharmacological properties, and in silico studies provide new insights on Cycas pectinata. </w:t>
      </w:r>
      <w:r w:rsidRPr="00E772A2">
        <w:rPr>
          <w:rFonts w:ascii="Arial" w:hAnsi="Arial" w:cs="Arial"/>
          <w:i/>
          <w:iCs/>
          <w:noProof/>
          <w:szCs w:val="24"/>
        </w:rPr>
        <w:t>Heliyon</w:t>
      </w:r>
      <w:r w:rsidRPr="00E772A2">
        <w:rPr>
          <w:rFonts w:ascii="Arial" w:hAnsi="Arial" w:cs="Arial"/>
          <w:noProof/>
          <w:szCs w:val="24"/>
        </w:rPr>
        <w:t xml:space="preserve">, </w:t>
      </w:r>
      <w:r w:rsidRPr="00E772A2">
        <w:rPr>
          <w:rFonts w:ascii="Arial" w:hAnsi="Arial" w:cs="Arial"/>
          <w:i/>
          <w:iCs/>
          <w:noProof/>
          <w:szCs w:val="24"/>
        </w:rPr>
        <w:t>6</w:t>
      </w:r>
      <w:r w:rsidRPr="00E772A2">
        <w:rPr>
          <w:rFonts w:ascii="Arial" w:hAnsi="Arial" w:cs="Arial"/>
          <w:noProof/>
          <w:szCs w:val="24"/>
        </w:rPr>
        <w:t>(6), e04061. https://doi.org/10.1016/j.heliyon.2020.e04061</w:t>
      </w:r>
    </w:p>
    <w:p w14:paraId="6AB72B3E"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Tariq, A., Sadia, S., Pan, K., Ullah, I., Mussarat, S., Sun, F., Abiodun, O. O., Batbaatar, A., Li, Z., Song, D., Xiong, Q., Ullah, R., Khan, S., Basnet, B. B., Kumar, B., Islam, R., &amp; Adnan, M. (2017). A systematic review on ethnomedicines of anti-cancer plants. </w:t>
      </w:r>
      <w:r w:rsidRPr="00E772A2">
        <w:rPr>
          <w:rFonts w:ascii="Arial" w:hAnsi="Arial" w:cs="Arial"/>
          <w:i/>
          <w:iCs/>
          <w:noProof/>
          <w:szCs w:val="24"/>
        </w:rPr>
        <w:t>Phytotherapy Research</w:t>
      </w:r>
      <w:r w:rsidRPr="00E772A2">
        <w:rPr>
          <w:rFonts w:ascii="Arial" w:hAnsi="Arial" w:cs="Arial"/>
          <w:noProof/>
          <w:szCs w:val="24"/>
        </w:rPr>
        <w:t xml:space="preserve">, </w:t>
      </w:r>
      <w:r w:rsidRPr="00E772A2">
        <w:rPr>
          <w:rFonts w:ascii="Arial" w:hAnsi="Arial" w:cs="Arial"/>
          <w:i/>
          <w:iCs/>
          <w:noProof/>
          <w:szCs w:val="24"/>
        </w:rPr>
        <w:t>31</w:t>
      </w:r>
      <w:r w:rsidRPr="00E772A2">
        <w:rPr>
          <w:rFonts w:ascii="Arial" w:hAnsi="Arial" w:cs="Arial"/>
          <w:noProof/>
          <w:szCs w:val="24"/>
        </w:rPr>
        <w:t>(2), 202–264. https://doi.org/10.1002/ptr.5751</w:t>
      </w:r>
    </w:p>
    <w:p w14:paraId="1002DB1E"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Truong, D. H., Nguyen, D. H., Ta, N. T. A., Bui, A. V., Do, T. H., &amp; Nguyen, H. C. (2019). Evaluation of the use of different solvents for phytochemical constituents, antioxidants, and in vitro anti-inflammatory activities of severinia buxifolia. </w:t>
      </w:r>
      <w:r w:rsidRPr="00E772A2">
        <w:rPr>
          <w:rFonts w:ascii="Arial" w:hAnsi="Arial" w:cs="Arial"/>
          <w:i/>
          <w:iCs/>
          <w:noProof/>
          <w:szCs w:val="24"/>
        </w:rPr>
        <w:t>Journal of Food Quality</w:t>
      </w:r>
      <w:r w:rsidRPr="00E772A2">
        <w:rPr>
          <w:rFonts w:ascii="Arial" w:hAnsi="Arial" w:cs="Arial"/>
          <w:noProof/>
          <w:szCs w:val="24"/>
        </w:rPr>
        <w:t xml:space="preserve">, </w:t>
      </w:r>
      <w:r w:rsidRPr="00E772A2">
        <w:rPr>
          <w:rFonts w:ascii="Arial" w:hAnsi="Arial" w:cs="Arial"/>
          <w:i/>
          <w:iCs/>
          <w:noProof/>
          <w:szCs w:val="24"/>
        </w:rPr>
        <w:t>2019</w:t>
      </w:r>
      <w:r w:rsidRPr="00E772A2">
        <w:rPr>
          <w:rFonts w:ascii="Arial" w:hAnsi="Arial" w:cs="Arial"/>
          <w:noProof/>
          <w:szCs w:val="24"/>
        </w:rPr>
        <w:t>. https://doi.org/10.1155/2019/8178294</w:t>
      </w:r>
    </w:p>
    <w:p w14:paraId="589CCF76"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Twilley, D., Rademan, S., &amp; Lall, N. (2020). A review on traditionally used South African medicinal plants, their secondary metabolites and their potential development into anticancer agents. </w:t>
      </w:r>
      <w:r w:rsidRPr="00E772A2">
        <w:rPr>
          <w:rFonts w:ascii="Arial" w:hAnsi="Arial" w:cs="Arial"/>
          <w:i/>
          <w:iCs/>
          <w:noProof/>
          <w:szCs w:val="24"/>
        </w:rPr>
        <w:t>Journal of Ethnopharmacology</w:t>
      </w:r>
      <w:r w:rsidRPr="00E772A2">
        <w:rPr>
          <w:rFonts w:ascii="Arial" w:hAnsi="Arial" w:cs="Arial"/>
          <w:noProof/>
          <w:szCs w:val="24"/>
        </w:rPr>
        <w:t xml:space="preserve">, </w:t>
      </w:r>
      <w:r w:rsidRPr="00E772A2">
        <w:rPr>
          <w:rFonts w:ascii="Arial" w:hAnsi="Arial" w:cs="Arial"/>
          <w:i/>
          <w:iCs/>
          <w:noProof/>
          <w:szCs w:val="24"/>
        </w:rPr>
        <w:t>261</w:t>
      </w:r>
      <w:r w:rsidRPr="00E772A2">
        <w:rPr>
          <w:rFonts w:ascii="Arial" w:hAnsi="Arial" w:cs="Arial"/>
          <w:noProof/>
          <w:szCs w:val="24"/>
        </w:rPr>
        <w:t>, 113101. https://doi.org/10.1016/j.jep.2020.113101</w:t>
      </w:r>
    </w:p>
    <w:p w14:paraId="12CFB93D"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Ugbaja, C. C., Fawibe, O. O., Oyelakin, A. S., Fadimu, I. O., Ajiboye, A. A., &amp; Agboola, D. A. (2017). Comparative Phytochemical and Nutritional Composition of &amp;lt;i&amp;gt;Trichosanthes cucumerina&amp;lt;/i&amp;gt; (L.) and Some&amp;lt;i&amp;gt; Solanum lycopersicum &amp;lt;/i&amp;gt;(L.) Cultivars in Nigeria. </w:t>
      </w:r>
      <w:r w:rsidRPr="00E772A2">
        <w:rPr>
          <w:rFonts w:ascii="Arial" w:hAnsi="Arial" w:cs="Arial"/>
          <w:i/>
          <w:iCs/>
          <w:noProof/>
          <w:szCs w:val="24"/>
        </w:rPr>
        <w:t>American Journal of Plant Sciences</w:t>
      </w:r>
      <w:r w:rsidRPr="00E772A2">
        <w:rPr>
          <w:rFonts w:ascii="Arial" w:hAnsi="Arial" w:cs="Arial"/>
          <w:noProof/>
          <w:szCs w:val="24"/>
        </w:rPr>
        <w:t xml:space="preserve">, </w:t>
      </w:r>
      <w:r w:rsidRPr="00E772A2">
        <w:rPr>
          <w:rFonts w:ascii="Arial" w:hAnsi="Arial" w:cs="Arial"/>
          <w:i/>
          <w:iCs/>
          <w:noProof/>
          <w:szCs w:val="24"/>
        </w:rPr>
        <w:t>08</w:t>
      </w:r>
      <w:r w:rsidRPr="00E772A2">
        <w:rPr>
          <w:rFonts w:ascii="Arial" w:hAnsi="Arial" w:cs="Arial"/>
          <w:noProof/>
          <w:szCs w:val="24"/>
        </w:rPr>
        <w:t>(02), 297–309. https://doi.org/10.4236/ajps.2017.82021</w:t>
      </w:r>
    </w:p>
    <w:p w14:paraId="460204B2"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Xie, Z., Wang, Y., Huang, J., Qian, N., Shen, G., &amp; Chen, L. (2019). Anti-inflammatory activity of polysaccharides from Phellinus linteus by regulating the NF-κB translocation in LPS-stimulated RAW264.7 macrophages. </w:t>
      </w:r>
      <w:r w:rsidRPr="00E772A2">
        <w:rPr>
          <w:rFonts w:ascii="Arial" w:hAnsi="Arial" w:cs="Arial"/>
          <w:i/>
          <w:iCs/>
          <w:noProof/>
          <w:szCs w:val="24"/>
        </w:rPr>
        <w:t>International Journal of Biological Macromolecules</w:t>
      </w:r>
      <w:r w:rsidRPr="00E772A2">
        <w:rPr>
          <w:rFonts w:ascii="Arial" w:hAnsi="Arial" w:cs="Arial"/>
          <w:noProof/>
          <w:szCs w:val="24"/>
        </w:rPr>
        <w:t xml:space="preserve">, </w:t>
      </w:r>
      <w:r w:rsidRPr="00E772A2">
        <w:rPr>
          <w:rFonts w:ascii="Arial" w:hAnsi="Arial" w:cs="Arial"/>
          <w:i/>
          <w:iCs/>
          <w:noProof/>
          <w:szCs w:val="24"/>
        </w:rPr>
        <w:t>129</w:t>
      </w:r>
      <w:r w:rsidRPr="00E772A2">
        <w:rPr>
          <w:rFonts w:ascii="Arial" w:hAnsi="Arial" w:cs="Arial"/>
          <w:noProof/>
          <w:szCs w:val="24"/>
        </w:rPr>
        <w:t>, 61–67. https://doi.org/10.1016/j.ijbiomac.2019.02.023</w:t>
      </w:r>
    </w:p>
    <w:p w14:paraId="567AE898"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Yesmin, S., Paul, A., Naz, T., Rahman, A. B. M. A., Akhter, S. F., Wahed, M. I. I., Emran, T. Bin, &amp; Siddiqui, S. A. (2020). Membrane stabilization as a mechanism of the anti-inflammatory activity of ethanolic root extract of Choi (Piper chaba). </w:t>
      </w:r>
      <w:r w:rsidRPr="00E772A2">
        <w:rPr>
          <w:rFonts w:ascii="Arial" w:hAnsi="Arial" w:cs="Arial"/>
          <w:i/>
          <w:iCs/>
          <w:noProof/>
          <w:szCs w:val="24"/>
        </w:rPr>
        <w:t>Clinical Phytoscience</w:t>
      </w:r>
      <w:r w:rsidRPr="00E772A2">
        <w:rPr>
          <w:rFonts w:ascii="Arial" w:hAnsi="Arial" w:cs="Arial"/>
          <w:noProof/>
          <w:szCs w:val="24"/>
        </w:rPr>
        <w:t xml:space="preserve">, </w:t>
      </w:r>
      <w:r w:rsidRPr="00E772A2">
        <w:rPr>
          <w:rFonts w:ascii="Arial" w:hAnsi="Arial" w:cs="Arial"/>
          <w:i/>
          <w:iCs/>
          <w:noProof/>
          <w:szCs w:val="24"/>
        </w:rPr>
        <w:t>6</w:t>
      </w:r>
      <w:r w:rsidRPr="00E772A2">
        <w:rPr>
          <w:rFonts w:ascii="Arial" w:hAnsi="Arial" w:cs="Arial"/>
          <w:noProof/>
          <w:szCs w:val="24"/>
        </w:rPr>
        <w:t>(1). https://doi.org/10.1186/s40816-020-00207-7</w:t>
      </w:r>
    </w:p>
    <w:p w14:paraId="4439F772" w14:textId="77777777" w:rsidR="00E772A2" w:rsidRPr="00E772A2" w:rsidRDefault="00E772A2" w:rsidP="00A64867">
      <w:pPr>
        <w:widowControl w:val="0"/>
        <w:autoSpaceDE w:val="0"/>
        <w:autoSpaceDN w:val="0"/>
        <w:adjustRightInd w:val="0"/>
        <w:ind w:left="480" w:hanging="480"/>
        <w:jc w:val="both"/>
        <w:rPr>
          <w:rFonts w:ascii="Arial" w:hAnsi="Arial" w:cs="Arial"/>
          <w:noProof/>
        </w:rPr>
      </w:pPr>
      <w:r w:rsidRPr="00E772A2">
        <w:rPr>
          <w:rFonts w:ascii="Arial" w:hAnsi="Arial" w:cs="Arial"/>
          <w:noProof/>
          <w:szCs w:val="24"/>
        </w:rPr>
        <w:t xml:space="preserve">Zhang, L., Virgous, C., &amp; Si, H. (2019). Synergistic anti-inflammatory effects and mechanisms of combined phytochemicals. </w:t>
      </w:r>
      <w:r w:rsidRPr="00E772A2">
        <w:rPr>
          <w:rFonts w:ascii="Arial" w:hAnsi="Arial" w:cs="Arial"/>
          <w:i/>
          <w:iCs/>
          <w:noProof/>
          <w:szCs w:val="24"/>
        </w:rPr>
        <w:t>Journal of Nutritional Biochemistry</w:t>
      </w:r>
      <w:r w:rsidRPr="00E772A2">
        <w:rPr>
          <w:rFonts w:ascii="Arial" w:hAnsi="Arial" w:cs="Arial"/>
          <w:noProof/>
          <w:szCs w:val="24"/>
        </w:rPr>
        <w:t xml:space="preserve">, </w:t>
      </w:r>
      <w:r w:rsidRPr="00E772A2">
        <w:rPr>
          <w:rFonts w:ascii="Arial" w:hAnsi="Arial" w:cs="Arial"/>
          <w:i/>
          <w:iCs/>
          <w:noProof/>
          <w:szCs w:val="24"/>
        </w:rPr>
        <w:t>69</w:t>
      </w:r>
      <w:r w:rsidRPr="00E772A2">
        <w:rPr>
          <w:rFonts w:ascii="Arial" w:hAnsi="Arial" w:cs="Arial"/>
          <w:noProof/>
          <w:szCs w:val="24"/>
        </w:rPr>
        <w:t>, 19–30. https://doi.org/10.1016/j.jnutbio.2019.03.009</w:t>
      </w:r>
    </w:p>
    <w:p w14:paraId="0CE2733D" w14:textId="12253ED6" w:rsidR="00441B6F" w:rsidRDefault="009D411A" w:rsidP="00E772A2">
      <w:pPr>
        <w:widowControl w:val="0"/>
        <w:autoSpaceDE w:val="0"/>
        <w:autoSpaceDN w:val="0"/>
        <w:adjustRightInd w:val="0"/>
        <w:ind w:left="480" w:hanging="480"/>
        <w:rPr>
          <w:rFonts w:ascii="Arial" w:hAnsi="Arial" w:cs="Arial"/>
        </w:rPr>
      </w:pPr>
      <w:r>
        <w:rPr>
          <w:rFonts w:ascii="Arial" w:hAnsi="Arial" w:cs="Arial"/>
        </w:rPr>
        <w:fldChar w:fldCharType="end"/>
      </w:r>
    </w:p>
    <w:p w14:paraId="666BA06F" w14:textId="77777777" w:rsidR="00B01FCD" w:rsidRPr="00FB3A86" w:rsidRDefault="00B01FCD" w:rsidP="00441B6F">
      <w:pPr>
        <w:pStyle w:val="Reference"/>
        <w:numPr>
          <w:ilvl w:val="0"/>
          <w:numId w:val="0"/>
        </w:numPr>
        <w:spacing w:line="240" w:lineRule="auto"/>
        <w:rPr>
          <w:rFonts w:ascii="Arial" w:hAnsi="Arial" w:cs="Arial"/>
        </w:rPr>
      </w:pPr>
    </w:p>
    <w:p w14:paraId="49F6A1C8" w14:textId="77777777" w:rsidR="00B01FCD" w:rsidRDefault="00B01FCD" w:rsidP="00441B6F">
      <w:pPr>
        <w:pStyle w:val="DefAcrHead"/>
        <w:spacing w:after="0"/>
        <w:jc w:val="both"/>
        <w:rPr>
          <w:rFonts w:ascii="Arial" w:hAnsi="Arial" w:cs="Arial"/>
        </w:rPr>
      </w:pPr>
      <w:r w:rsidRPr="00FB3A86">
        <w:rPr>
          <w:rFonts w:ascii="Arial" w:hAnsi="Arial" w:cs="Arial"/>
        </w:rPr>
        <w:t>Definitions, Acronyms, Abbreviations</w:t>
      </w:r>
    </w:p>
    <w:p w14:paraId="4A29A57C" w14:textId="77777777" w:rsidR="00BC70AD" w:rsidRPr="00BC70AD" w:rsidRDefault="00BC70AD" w:rsidP="00BC70AD">
      <w:pPr>
        <w:pStyle w:val="Body"/>
        <w:spacing w:after="0"/>
        <w:rPr>
          <w:rFonts w:ascii="Arial" w:hAnsi="Arial" w:cs="Arial"/>
        </w:rPr>
      </w:pPr>
      <w:r w:rsidRPr="00BC70AD">
        <w:rPr>
          <w:rFonts w:ascii="Arial" w:hAnsi="Arial" w:cs="Arial"/>
          <w:bCs/>
        </w:rPr>
        <w:t>MEORL:</w:t>
      </w:r>
      <w:r w:rsidRPr="00BC70AD">
        <w:rPr>
          <w:rFonts w:ascii="Arial" w:hAnsi="Arial" w:cs="Arial"/>
          <w:b/>
        </w:rPr>
        <w:t xml:space="preserve"> </w:t>
      </w:r>
      <w:r w:rsidRPr="00BC70AD">
        <w:rPr>
          <w:rFonts w:ascii="Arial" w:hAnsi="Arial" w:cs="Arial"/>
        </w:rPr>
        <w:t xml:space="preserve">Methanol Extract of </w:t>
      </w:r>
      <w:proofErr w:type="spellStart"/>
      <w:r w:rsidRPr="00BC70AD">
        <w:rPr>
          <w:rFonts w:ascii="Arial" w:hAnsi="Arial" w:cs="Arial"/>
          <w:i/>
          <w:iCs/>
        </w:rPr>
        <w:t>Ormosia</w:t>
      </w:r>
      <w:proofErr w:type="spellEnd"/>
      <w:r w:rsidRPr="00BC70AD">
        <w:rPr>
          <w:rFonts w:ascii="Arial" w:hAnsi="Arial" w:cs="Arial"/>
          <w:i/>
          <w:iCs/>
        </w:rPr>
        <w:t xml:space="preserve"> Robusta</w:t>
      </w:r>
      <w:r w:rsidRPr="00BC70AD">
        <w:rPr>
          <w:rFonts w:ascii="Arial" w:hAnsi="Arial" w:cs="Arial"/>
        </w:rPr>
        <w:t xml:space="preserve"> Leaves</w:t>
      </w:r>
    </w:p>
    <w:p w14:paraId="3ABE7265" w14:textId="77777777" w:rsidR="00BC70AD" w:rsidRPr="00BC70AD" w:rsidRDefault="00BC70AD" w:rsidP="00BC70AD">
      <w:pPr>
        <w:pStyle w:val="Body"/>
        <w:spacing w:after="0"/>
        <w:rPr>
          <w:rFonts w:ascii="Arial" w:hAnsi="Arial" w:cs="Arial"/>
        </w:rPr>
      </w:pPr>
      <w:r w:rsidRPr="00BC70AD">
        <w:rPr>
          <w:rFonts w:ascii="Arial" w:hAnsi="Arial" w:cs="Arial"/>
        </w:rPr>
        <w:t>ROS: Reactive Oxygen Species</w:t>
      </w:r>
    </w:p>
    <w:p w14:paraId="37375932" w14:textId="77777777" w:rsidR="00BC70AD" w:rsidRPr="00BC70AD" w:rsidRDefault="00BC70AD" w:rsidP="00BC70AD">
      <w:pPr>
        <w:pStyle w:val="Body"/>
        <w:spacing w:after="0"/>
        <w:rPr>
          <w:rFonts w:ascii="Arial" w:hAnsi="Arial" w:cs="Arial"/>
        </w:rPr>
      </w:pPr>
      <w:r w:rsidRPr="00BC70AD">
        <w:rPr>
          <w:rFonts w:ascii="Arial" w:hAnsi="Arial" w:cs="Arial"/>
        </w:rPr>
        <w:t>DPPH: 1, 1-Diphenyl-2-Picryl-Hydrazyl</w:t>
      </w:r>
    </w:p>
    <w:p w14:paraId="61659819" w14:textId="77777777" w:rsidR="00BC70AD" w:rsidRPr="00BC70AD" w:rsidRDefault="00BC70AD" w:rsidP="00BC70AD">
      <w:pPr>
        <w:pStyle w:val="Body"/>
        <w:spacing w:after="0"/>
        <w:rPr>
          <w:rFonts w:ascii="Arial" w:hAnsi="Arial" w:cs="Arial"/>
        </w:rPr>
      </w:pPr>
      <w:r w:rsidRPr="00BC70AD">
        <w:rPr>
          <w:rFonts w:ascii="Arial" w:hAnsi="Arial" w:cs="Arial"/>
        </w:rPr>
        <w:t>VCS: Vincristine Sulphate</w:t>
      </w:r>
    </w:p>
    <w:p w14:paraId="1188D51F" w14:textId="77777777" w:rsidR="00BC70AD" w:rsidRPr="00BC70AD" w:rsidRDefault="00BC70AD" w:rsidP="00BC70AD">
      <w:pPr>
        <w:pStyle w:val="Body"/>
        <w:spacing w:after="0"/>
        <w:rPr>
          <w:rFonts w:ascii="Arial" w:hAnsi="Arial" w:cs="Arial"/>
          <w:bCs/>
        </w:rPr>
      </w:pPr>
      <w:r w:rsidRPr="00BC70AD">
        <w:rPr>
          <w:rFonts w:ascii="Arial" w:hAnsi="Arial" w:cs="Arial"/>
          <w:bCs/>
        </w:rPr>
        <w:t>PDB: Protein Data Bank</w:t>
      </w:r>
    </w:p>
    <w:p w14:paraId="36DDCBAA" w14:textId="5B4CA640" w:rsidR="004D4277" w:rsidRPr="00BC70AD" w:rsidRDefault="00D12D7E" w:rsidP="009D411A">
      <w:pPr>
        <w:pStyle w:val="Body"/>
        <w:spacing w:after="0"/>
        <w:jc w:val="left"/>
        <w:rPr>
          <w:rFonts w:ascii="Arial" w:hAnsi="Arial" w:cs="Arial"/>
          <w:bCs/>
        </w:rPr>
        <w:sectPr w:rsidR="004D4277" w:rsidRPr="00BC70AD" w:rsidSect="001A126E">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r>
        <w:rPr>
          <w:rFonts w:ascii="Arial" w:hAnsi="Arial" w:cs="Arial"/>
          <w:bCs/>
        </w:rPr>
        <w:t>DS:</w:t>
      </w:r>
      <w:r w:rsidR="009D411A">
        <w:rPr>
          <w:rFonts w:ascii="Arial" w:hAnsi="Arial" w:cs="Arial"/>
          <w:bCs/>
        </w:rPr>
        <w:t xml:space="preserve"> </w:t>
      </w:r>
      <w:r>
        <w:rPr>
          <w:rFonts w:ascii="Arial" w:hAnsi="Arial" w:cs="Arial"/>
          <w:bCs/>
        </w:rPr>
        <w:t xml:space="preserve">Discovery </w:t>
      </w:r>
      <w:r w:rsidR="00BC70AD" w:rsidRPr="00BC70AD">
        <w:rPr>
          <w:rFonts w:ascii="Arial" w:hAnsi="Arial" w:cs="Arial"/>
          <w:bCs/>
        </w:rPr>
        <w:t xml:space="preserve">Studio </w:t>
      </w:r>
    </w:p>
    <w:p w14:paraId="75DAF9DE" w14:textId="77777777" w:rsidR="00B01FCD" w:rsidRDefault="00B01FCD" w:rsidP="00441B6F">
      <w:pPr>
        <w:pStyle w:val="Appendix"/>
        <w:spacing w:after="0"/>
        <w:jc w:val="both"/>
        <w:rPr>
          <w:rFonts w:ascii="Arial" w:hAnsi="Arial" w:cs="Arial"/>
          <w:b w:val="0"/>
        </w:rPr>
      </w:pPr>
    </w:p>
    <w:p w14:paraId="7EE06CB9" w14:textId="77777777" w:rsidR="00F675C6" w:rsidRDefault="00F675C6" w:rsidP="00441B6F">
      <w:pPr>
        <w:pStyle w:val="Appendix"/>
        <w:spacing w:after="0"/>
        <w:jc w:val="both"/>
        <w:rPr>
          <w:rFonts w:ascii="Arial" w:hAnsi="Arial" w:cs="Arial"/>
          <w:b w:val="0"/>
        </w:rPr>
      </w:pPr>
    </w:p>
    <w:p w14:paraId="2BD3003B" w14:textId="77777777" w:rsidR="00F675C6" w:rsidRDefault="00F675C6" w:rsidP="00441B6F">
      <w:pPr>
        <w:pStyle w:val="Appendix"/>
        <w:spacing w:after="0"/>
        <w:jc w:val="both"/>
        <w:rPr>
          <w:rFonts w:ascii="Arial" w:hAnsi="Arial" w:cs="Arial"/>
          <w:b w:val="0"/>
        </w:rPr>
      </w:pPr>
    </w:p>
    <w:p w14:paraId="2F96F6AE" w14:textId="77777777" w:rsidR="00F675C6" w:rsidRDefault="00F675C6" w:rsidP="00F675C6">
      <w:pPr>
        <w:spacing w:line="480" w:lineRule="auto"/>
        <w:jc w:val="both"/>
        <w:rPr>
          <w:rFonts w:ascii="Arial" w:hAnsi="Arial" w:cs="Arial"/>
          <w:bCs/>
        </w:rPr>
      </w:pPr>
      <w:r w:rsidRPr="00C40097">
        <w:rPr>
          <w:rFonts w:ascii="Arial" w:hAnsi="Arial" w:cs="Arial"/>
          <w:noProof/>
        </w:rPr>
        <w:drawing>
          <wp:inline distT="0" distB="0" distL="0" distR="0" wp14:anchorId="5D62B73B" wp14:editId="2F1C3737">
            <wp:extent cx="5212080" cy="3688183"/>
            <wp:effectExtent l="0" t="0" r="7620" b="7620"/>
            <wp:docPr id="1710052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52827" name="Picture 171005282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12080" cy="3688183"/>
                    </a:xfrm>
                    <a:prstGeom prst="rect">
                      <a:avLst/>
                    </a:prstGeom>
                  </pic:spPr>
                </pic:pic>
              </a:graphicData>
            </a:graphic>
          </wp:inline>
        </w:drawing>
      </w:r>
    </w:p>
    <w:p w14:paraId="4D822F07" w14:textId="77777777" w:rsidR="00F675C6" w:rsidRPr="00253FB5" w:rsidRDefault="00F675C6" w:rsidP="00F675C6">
      <w:pPr>
        <w:jc w:val="both"/>
        <w:rPr>
          <w:rFonts w:ascii="Arial" w:hAnsi="Arial" w:cs="Arial"/>
          <w:b/>
          <w:color w:val="252525"/>
        </w:rPr>
      </w:pPr>
      <w:r w:rsidRPr="00253FB5">
        <w:rPr>
          <w:rFonts w:ascii="Arial" w:hAnsi="Arial" w:cs="Arial"/>
          <w:b/>
        </w:rPr>
        <w:t xml:space="preserve">Supplementary Fig. S1: 2D interaction of A) Warangalone B) Lupeol C) </w:t>
      </w:r>
      <w:proofErr w:type="spellStart"/>
      <w:r w:rsidRPr="00253FB5">
        <w:rPr>
          <w:rFonts w:ascii="Arial" w:hAnsi="Arial" w:cs="Arial"/>
          <w:b/>
        </w:rPr>
        <w:t>Betulinic</w:t>
      </w:r>
      <w:proofErr w:type="spellEnd"/>
      <w:r w:rsidRPr="00253FB5">
        <w:rPr>
          <w:rFonts w:ascii="Arial" w:hAnsi="Arial" w:cs="Arial"/>
          <w:b/>
        </w:rPr>
        <w:t xml:space="preserve"> acid D) </w:t>
      </w:r>
      <w:r w:rsidRPr="00253FB5">
        <w:rPr>
          <w:rFonts w:ascii="Arial" w:hAnsi="Arial" w:cs="Arial"/>
          <w:b/>
          <w:color w:val="252525"/>
        </w:rPr>
        <w:t>co-crystalized ligand</w:t>
      </w:r>
      <w:r w:rsidRPr="00253FB5">
        <w:rPr>
          <w:rFonts w:ascii="Arial" w:hAnsi="Arial" w:cs="Arial"/>
          <w:b/>
        </w:rPr>
        <w:t xml:space="preserve"> with </w:t>
      </w:r>
      <w:r w:rsidRPr="00253FB5">
        <w:rPr>
          <w:rFonts w:ascii="Arial" w:hAnsi="Arial" w:cs="Arial"/>
          <w:b/>
          <w:color w:val="252525"/>
        </w:rPr>
        <w:t>glutathione reductase (PDB ID: 1XAN)</w:t>
      </w:r>
    </w:p>
    <w:p w14:paraId="1652F3C4" w14:textId="77777777" w:rsidR="00F675C6" w:rsidRDefault="00F675C6" w:rsidP="00F675C6">
      <w:pPr>
        <w:spacing w:line="480" w:lineRule="auto"/>
        <w:jc w:val="both"/>
        <w:rPr>
          <w:rFonts w:ascii="Arial" w:hAnsi="Arial" w:cs="Arial"/>
          <w:bCs/>
        </w:rPr>
      </w:pPr>
    </w:p>
    <w:p w14:paraId="075E5FFA" w14:textId="77777777" w:rsidR="00F675C6" w:rsidRDefault="00F675C6" w:rsidP="00F675C6">
      <w:pPr>
        <w:spacing w:line="480" w:lineRule="auto"/>
        <w:jc w:val="both"/>
        <w:rPr>
          <w:rFonts w:ascii="Arial" w:hAnsi="Arial" w:cs="Arial"/>
          <w:bCs/>
        </w:rPr>
      </w:pPr>
      <w:r w:rsidRPr="00C40097">
        <w:rPr>
          <w:rFonts w:ascii="Arial" w:hAnsi="Arial" w:cs="Arial"/>
          <w:noProof/>
        </w:rPr>
        <w:drawing>
          <wp:inline distT="0" distB="0" distL="0" distR="0" wp14:anchorId="687EF838" wp14:editId="6A0561DF">
            <wp:extent cx="5212080" cy="3688034"/>
            <wp:effectExtent l="0" t="0" r="7620" b="8255"/>
            <wp:docPr id="5943775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77561" name="Picture 5943775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2080" cy="3688034"/>
                    </a:xfrm>
                    <a:prstGeom prst="rect">
                      <a:avLst/>
                    </a:prstGeom>
                  </pic:spPr>
                </pic:pic>
              </a:graphicData>
            </a:graphic>
          </wp:inline>
        </w:drawing>
      </w:r>
    </w:p>
    <w:p w14:paraId="4A94AF05" w14:textId="77777777" w:rsidR="00F675C6" w:rsidRPr="00253FB5" w:rsidRDefault="00F675C6" w:rsidP="00F675C6">
      <w:pPr>
        <w:jc w:val="both"/>
        <w:rPr>
          <w:rFonts w:ascii="Arial" w:hAnsi="Arial" w:cs="Arial"/>
          <w:b/>
          <w:color w:val="252525"/>
        </w:rPr>
      </w:pPr>
      <w:r w:rsidRPr="00253FB5">
        <w:rPr>
          <w:rFonts w:ascii="Arial" w:hAnsi="Arial" w:cs="Arial"/>
          <w:b/>
        </w:rPr>
        <w:lastRenderedPageBreak/>
        <w:t xml:space="preserve">Supplementary Fig. S2: 2D interaction of A) warangalone B) </w:t>
      </w:r>
      <w:proofErr w:type="spellStart"/>
      <w:r w:rsidRPr="00253FB5">
        <w:rPr>
          <w:rFonts w:ascii="Arial" w:hAnsi="Arial" w:cs="Arial"/>
          <w:b/>
        </w:rPr>
        <w:t>Betulinic</w:t>
      </w:r>
      <w:proofErr w:type="spellEnd"/>
      <w:r w:rsidRPr="00253FB5">
        <w:rPr>
          <w:rFonts w:ascii="Arial" w:hAnsi="Arial" w:cs="Arial"/>
          <w:b/>
        </w:rPr>
        <w:t xml:space="preserve"> acid C) Euchrenone b8 D) </w:t>
      </w:r>
      <w:r w:rsidRPr="00253FB5">
        <w:rPr>
          <w:rFonts w:ascii="Arial" w:hAnsi="Arial" w:cs="Arial"/>
          <w:b/>
          <w:color w:val="252525"/>
        </w:rPr>
        <w:t>co-crystalized ligand</w:t>
      </w:r>
      <w:r w:rsidRPr="00253FB5">
        <w:rPr>
          <w:rFonts w:ascii="Arial" w:hAnsi="Arial" w:cs="Arial"/>
          <w:b/>
        </w:rPr>
        <w:t xml:space="preserve"> with </w:t>
      </w:r>
      <w:r w:rsidRPr="00253FB5">
        <w:rPr>
          <w:rFonts w:ascii="Arial" w:hAnsi="Arial" w:cs="Arial"/>
          <w:b/>
          <w:color w:val="252525"/>
        </w:rPr>
        <w:t>human cytochrome P450 CYP2C9 (PDB ID: 1OG5)</w:t>
      </w:r>
    </w:p>
    <w:p w14:paraId="450B2B4F" w14:textId="77777777" w:rsidR="00F675C6" w:rsidRDefault="00F675C6" w:rsidP="00F675C6">
      <w:pPr>
        <w:spacing w:line="480" w:lineRule="auto"/>
        <w:jc w:val="both"/>
        <w:rPr>
          <w:rFonts w:ascii="Arial" w:hAnsi="Arial" w:cs="Arial"/>
          <w:bCs/>
        </w:rPr>
      </w:pPr>
    </w:p>
    <w:p w14:paraId="58893D08" w14:textId="77777777" w:rsidR="00F675C6" w:rsidRDefault="00F675C6" w:rsidP="00F675C6">
      <w:pPr>
        <w:spacing w:line="480" w:lineRule="auto"/>
        <w:jc w:val="both"/>
        <w:rPr>
          <w:rFonts w:ascii="Arial" w:hAnsi="Arial" w:cs="Arial"/>
          <w:bCs/>
        </w:rPr>
      </w:pPr>
      <w:r w:rsidRPr="00C40097">
        <w:rPr>
          <w:rFonts w:ascii="Arial" w:hAnsi="Arial" w:cs="Arial"/>
          <w:noProof/>
        </w:rPr>
        <w:drawing>
          <wp:inline distT="0" distB="0" distL="0" distR="0" wp14:anchorId="6B888692" wp14:editId="6F9F71B8">
            <wp:extent cx="5212080" cy="3688277"/>
            <wp:effectExtent l="0" t="0" r="7620" b="7620"/>
            <wp:docPr id="6909079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07992" name="Picture 69090799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12080" cy="3688277"/>
                    </a:xfrm>
                    <a:prstGeom prst="rect">
                      <a:avLst/>
                    </a:prstGeom>
                  </pic:spPr>
                </pic:pic>
              </a:graphicData>
            </a:graphic>
          </wp:inline>
        </w:drawing>
      </w:r>
    </w:p>
    <w:p w14:paraId="23F732C0" w14:textId="77777777" w:rsidR="00F675C6" w:rsidRPr="00253FB5" w:rsidRDefault="00F675C6" w:rsidP="00F675C6">
      <w:pPr>
        <w:jc w:val="both"/>
        <w:rPr>
          <w:rFonts w:ascii="Arial" w:hAnsi="Arial" w:cs="Arial"/>
          <w:b/>
          <w:color w:val="252525"/>
        </w:rPr>
      </w:pPr>
      <w:r w:rsidRPr="00253FB5">
        <w:rPr>
          <w:rFonts w:ascii="Arial" w:hAnsi="Arial" w:cs="Arial"/>
          <w:b/>
        </w:rPr>
        <w:t xml:space="preserve">Supplementary Fig. S3: 2D interaction of A) Warangalone B) Lupeol C) </w:t>
      </w:r>
      <w:proofErr w:type="spellStart"/>
      <w:r w:rsidRPr="00253FB5">
        <w:rPr>
          <w:rFonts w:ascii="Arial" w:hAnsi="Arial" w:cs="Arial"/>
          <w:b/>
        </w:rPr>
        <w:t>Betulinic</w:t>
      </w:r>
      <w:proofErr w:type="spellEnd"/>
      <w:r w:rsidRPr="00253FB5">
        <w:rPr>
          <w:rFonts w:ascii="Arial" w:hAnsi="Arial" w:cs="Arial"/>
          <w:b/>
        </w:rPr>
        <w:t xml:space="preserve"> acid D) </w:t>
      </w:r>
      <w:r w:rsidRPr="00253FB5">
        <w:rPr>
          <w:rFonts w:ascii="Arial" w:hAnsi="Arial" w:cs="Arial"/>
          <w:b/>
          <w:color w:val="252525"/>
        </w:rPr>
        <w:t>co-crystalized ligand</w:t>
      </w:r>
      <w:r w:rsidRPr="00253FB5">
        <w:rPr>
          <w:rFonts w:ascii="Arial" w:hAnsi="Arial" w:cs="Arial"/>
          <w:b/>
        </w:rPr>
        <w:t xml:space="preserve"> with </w:t>
      </w:r>
      <w:r w:rsidRPr="00253FB5">
        <w:rPr>
          <w:rFonts w:ascii="Arial" w:hAnsi="Arial" w:cs="Arial"/>
          <w:b/>
          <w:color w:val="252525"/>
        </w:rPr>
        <w:t>phosphodiesterase-4 inhibitor (PDE4) receptor (PDB ID: 4WCU)</w:t>
      </w:r>
    </w:p>
    <w:p w14:paraId="2453C0D5" w14:textId="77777777" w:rsidR="00F675C6" w:rsidRPr="00FB3A86" w:rsidRDefault="00F675C6" w:rsidP="00441B6F">
      <w:pPr>
        <w:pStyle w:val="Appendix"/>
        <w:spacing w:after="0"/>
        <w:jc w:val="both"/>
        <w:rPr>
          <w:rFonts w:ascii="Arial" w:hAnsi="Arial" w:cs="Arial"/>
          <w:b w:val="0"/>
        </w:rPr>
      </w:pPr>
    </w:p>
    <w:sectPr w:rsidR="00F675C6" w:rsidRPr="00FB3A86" w:rsidSect="001A126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7CE1A" w14:textId="77777777" w:rsidR="00663B4E" w:rsidRDefault="00663B4E" w:rsidP="00C37E61">
      <w:r>
        <w:separator/>
      </w:r>
    </w:p>
  </w:endnote>
  <w:endnote w:type="continuationSeparator" w:id="0">
    <w:p w14:paraId="1424C734" w14:textId="77777777" w:rsidR="00663B4E" w:rsidRDefault="00663B4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FD143" w14:textId="77777777" w:rsidR="001A126E" w:rsidRDefault="001A12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77D1A" w14:textId="77777777" w:rsidR="001A126E" w:rsidRDefault="001A12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292DC" w14:textId="27661338" w:rsidR="003933B5" w:rsidRPr="001A126E" w:rsidRDefault="003933B5" w:rsidP="001A126E">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264B1" w14:textId="77777777" w:rsidR="003933B5" w:rsidRPr="00C37E61" w:rsidRDefault="003933B5"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EDF922" w14:textId="77777777" w:rsidR="00663B4E" w:rsidRDefault="00663B4E" w:rsidP="00C37E61">
      <w:r>
        <w:separator/>
      </w:r>
    </w:p>
  </w:footnote>
  <w:footnote w:type="continuationSeparator" w:id="0">
    <w:p w14:paraId="0937D1B0" w14:textId="77777777" w:rsidR="00663B4E" w:rsidRDefault="00663B4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72B56" w14:textId="764C8C2C" w:rsidR="001A126E" w:rsidRDefault="001A126E">
    <w:pPr>
      <w:pStyle w:val="Header"/>
    </w:pPr>
    <w:r>
      <w:rPr>
        <w:noProof/>
      </w:rPr>
      <w:pict w14:anchorId="3AFC26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7608985"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ECE18" w14:textId="1B94E306" w:rsidR="001A126E" w:rsidRDefault="001A126E">
    <w:pPr>
      <w:pStyle w:val="Header"/>
    </w:pPr>
    <w:r>
      <w:rPr>
        <w:noProof/>
      </w:rPr>
      <w:pict w14:anchorId="5596F7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7608986"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6772D" w14:textId="074AF899" w:rsidR="003933B5" w:rsidRPr="00296529" w:rsidRDefault="001A126E" w:rsidP="00296529">
    <w:pPr>
      <w:ind w:left="2160"/>
      <w:jc w:val="center"/>
      <w:rPr>
        <w:rFonts w:ascii="Times New Roman" w:eastAsia="Calibri" w:hAnsi="Times New Roman"/>
        <w:i/>
        <w:sz w:val="18"/>
        <w:szCs w:val="22"/>
      </w:rPr>
    </w:pPr>
    <w:r>
      <w:rPr>
        <w:noProof/>
      </w:rPr>
      <w:pict w14:anchorId="1B7C36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7608984"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CB6F2A8" w14:textId="77777777" w:rsidR="003933B5" w:rsidRPr="00296529" w:rsidRDefault="003933B5"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5187F3DE" w14:textId="77777777" w:rsidR="003933B5" w:rsidRPr="00296529" w:rsidRDefault="003933B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7A36782" w14:textId="77777777" w:rsidR="003933B5" w:rsidRPr="00296529" w:rsidRDefault="003933B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2C6DA98" w14:textId="77777777" w:rsidR="003933B5" w:rsidRDefault="003933B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1BCB012" w14:textId="77777777" w:rsidR="003933B5" w:rsidRDefault="003933B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EBB5484" w14:textId="77777777" w:rsidR="003933B5" w:rsidRDefault="003933B5">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9971F" w14:textId="6D9D1B3B" w:rsidR="001A126E" w:rsidRDefault="001A126E">
    <w:pPr>
      <w:pStyle w:val="Header"/>
    </w:pPr>
    <w:r>
      <w:rPr>
        <w:noProof/>
      </w:rPr>
      <w:pict w14:anchorId="2A6E89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7608988"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FCB26" w14:textId="248CA8FF" w:rsidR="001A126E" w:rsidRDefault="001A126E">
    <w:pPr>
      <w:pStyle w:val="Header"/>
    </w:pPr>
    <w:r>
      <w:rPr>
        <w:noProof/>
      </w:rPr>
      <w:pict w14:anchorId="7A337E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7608989"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C173D" w14:textId="5C4910CA" w:rsidR="001A126E" w:rsidRDefault="001A126E">
    <w:pPr>
      <w:pStyle w:val="Header"/>
    </w:pPr>
    <w:r>
      <w:rPr>
        <w:noProof/>
      </w:rPr>
      <w:pict w14:anchorId="37C359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7608987"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11131"/>
    <w:rsid w:val="00030174"/>
    <w:rsid w:val="0004579C"/>
    <w:rsid w:val="00060483"/>
    <w:rsid w:val="000A47FA"/>
    <w:rsid w:val="000A65D3"/>
    <w:rsid w:val="000B1E33"/>
    <w:rsid w:val="000C2C78"/>
    <w:rsid w:val="000D689F"/>
    <w:rsid w:val="000E7B7B"/>
    <w:rsid w:val="000E7D62"/>
    <w:rsid w:val="00103357"/>
    <w:rsid w:val="00107A30"/>
    <w:rsid w:val="00123C9F"/>
    <w:rsid w:val="00126190"/>
    <w:rsid w:val="00130F17"/>
    <w:rsid w:val="001320BF"/>
    <w:rsid w:val="00163BC4"/>
    <w:rsid w:val="00191062"/>
    <w:rsid w:val="00192B72"/>
    <w:rsid w:val="001A126E"/>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3FB5"/>
    <w:rsid w:val="002556F6"/>
    <w:rsid w:val="00283105"/>
    <w:rsid w:val="00284C4C"/>
    <w:rsid w:val="00287E68"/>
    <w:rsid w:val="00296529"/>
    <w:rsid w:val="002B27FB"/>
    <w:rsid w:val="002B685A"/>
    <w:rsid w:val="002C57D2"/>
    <w:rsid w:val="002E0D56"/>
    <w:rsid w:val="00315186"/>
    <w:rsid w:val="0033343E"/>
    <w:rsid w:val="003512C2"/>
    <w:rsid w:val="00371FB6"/>
    <w:rsid w:val="003757D8"/>
    <w:rsid w:val="003763C1"/>
    <w:rsid w:val="00376BBE"/>
    <w:rsid w:val="0039224F"/>
    <w:rsid w:val="003933B5"/>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372C"/>
    <w:rsid w:val="00505F06"/>
    <w:rsid w:val="00506828"/>
    <w:rsid w:val="0053056E"/>
    <w:rsid w:val="00554FDA"/>
    <w:rsid w:val="005C784C"/>
    <w:rsid w:val="005D17F6"/>
    <w:rsid w:val="005E5539"/>
    <w:rsid w:val="005F0012"/>
    <w:rsid w:val="00602BF5"/>
    <w:rsid w:val="00617FDD"/>
    <w:rsid w:val="00633614"/>
    <w:rsid w:val="00633F68"/>
    <w:rsid w:val="00636EB2"/>
    <w:rsid w:val="006375B8"/>
    <w:rsid w:val="0064144E"/>
    <w:rsid w:val="00652D88"/>
    <w:rsid w:val="00661DF4"/>
    <w:rsid w:val="00663B4E"/>
    <w:rsid w:val="0066510A"/>
    <w:rsid w:val="00673F9F"/>
    <w:rsid w:val="00686953"/>
    <w:rsid w:val="00687DEA"/>
    <w:rsid w:val="00687E67"/>
    <w:rsid w:val="006967F7"/>
    <w:rsid w:val="006A250C"/>
    <w:rsid w:val="006B21D3"/>
    <w:rsid w:val="006B57D0"/>
    <w:rsid w:val="006D30FF"/>
    <w:rsid w:val="006D6940"/>
    <w:rsid w:val="006F11EC"/>
    <w:rsid w:val="006F2E85"/>
    <w:rsid w:val="0070082C"/>
    <w:rsid w:val="007369E6"/>
    <w:rsid w:val="00746E59"/>
    <w:rsid w:val="00754C9A"/>
    <w:rsid w:val="0075599A"/>
    <w:rsid w:val="00761D52"/>
    <w:rsid w:val="0077749E"/>
    <w:rsid w:val="00790ADA"/>
    <w:rsid w:val="007C5D3F"/>
    <w:rsid w:val="007D2288"/>
    <w:rsid w:val="007E088F"/>
    <w:rsid w:val="007F7B32"/>
    <w:rsid w:val="00804BC2"/>
    <w:rsid w:val="0081431A"/>
    <w:rsid w:val="0083216F"/>
    <w:rsid w:val="00860000"/>
    <w:rsid w:val="008622AC"/>
    <w:rsid w:val="00863BD3"/>
    <w:rsid w:val="008641ED"/>
    <w:rsid w:val="00866D66"/>
    <w:rsid w:val="008671C6"/>
    <w:rsid w:val="00875803"/>
    <w:rsid w:val="008B459E"/>
    <w:rsid w:val="008C0CE6"/>
    <w:rsid w:val="008E13AE"/>
    <w:rsid w:val="008E1506"/>
    <w:rsid w:val="008E710C"/>
    <w:rsid w:val="008F69D6"/>
    <w:rsid w:val="00902823"/>
    <w:rsid w:val="00915CA6"/>
    <w:rsid w:val="00927834"/>
    <w:rsid w:val="009500A6"/>
    <w:rsid w:val="00957C18"/>
    <w:rsid w:val="009659BA"/>
    <w:rsid w:val="00983040"/>
    <w:rsid w:val="0098444A"/>
    <w:rsid w:val="009A4612"/>
    <w:rsid w:val="009A7D0F"/>
    <w:rsid w:val="009B3FB9"/>
    <w:rsid w:val="009C2465"/>
    <w:rsid w:val="009D35A0"/>
    <w:rsid w:val="009D411A"/>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4867"/>
    <w:rsid w:val="00A94063"/>
    <w:rsid w:val="00AA6219"/>
    <w:rsid w:val="00AA74E0"/>
    <w:rsid w:val="00AB703F"/>
    <w:rsid w:val="00AC6BB8"/>
    <w:rsid w:val="00AE008F"/>
    <w:rsid w:val="00AF2BCC"/>
    <w:rsid w:val="00B01FCD"/>
    <w:rsid w:val="00B1776C"/>
    <w:rsid w:val="00B52583"/>
    <w:rsid w:val="00B52896"/>
    <w:rsid w:val="00B95236"/>
    <w:rsid w:val="00B96BD9"/>
    <w:rsid w:val="00BA1B01"/>
    <w:rsid w:val="00BA2641"/>
    <w:rsid w:val="00BB1155"/>
    <w:rsid w:val="00BB37AA"/>
    <w:rsid w:val="00BC53A0"/>
    <w:rsid w:val="00BC70AD"/>
    <w:rsid w:val="00BE62AD"/>
    <w:rsid w:val="00BF121F"/>
    <w:rsid w:val="00BF1F80"/>
    <w:rsid w:val="00C166EF"/>
    <w:rsid w:val="00C17EB0"/>
    <w:rsid w:val="00C27F5F"/>
    <w:rsid w:val="00C30A0F"/>
    <w:rsid w:val="00C37E61"/>
    <w:rsid w:val="00C70F1B"/>
    <w:rsid w:val="00C71A47"/>
    <w:rsid w:val="00C73625"/>
    <w:rsid w:val="00C7464C"/>
    <w:rsid w:val="00C85588"/>
    <w:rsid w:val="00CD45C0"/>
    <w:rsid w:val="00CD6755"/>
    <w:rsid w:val="00CD6856"/>
    <w:rsid w:val="00CE0089"/>
    <w:rsid w:val="00CE793C"/>
    <w:rsid w:val="00CF193C"/>
    <w:rsid w:val="00D12D7E"/>
    <w:rsid w:val="00D173F1"/>
    <w:rsid w:val="00D74CB0"/>
    <w:rsid w:val="00D8295D"/>
    <w:rsid w:val="00D96845"/>
    <w:rsid w:val="00DB7627"/>
    <w:rsid w:val="00DC2A65"/>
    <w:rsid w:val="00DE15F0"/>
    <w:rsid w:val="00DE5663"/>
    <w:rsid w:val="00DE78AA"/>
    <w:rsid w:val="00E053D0"/>
    <w:rsid w:val="00E15994"/>
    <w:rsid w:val="00E2447C"/>
    <w:rsid w:val="00E3114E"/>
    <w:rsid w:val="00E31A70"/>
    <w:rsid w:val="00E35B02"/>
    <w:rsid w:val="00E66496"/>
    <w:rsid w:val="00E66B35"/>
    <w:rsid w:val="00E66E10"/>
    <w:rsid w:val="00E769F6"/>
    <w:rsid w:val="00E772A2"/>
    <w:rsid w:val="00E8407C"/>
    <w:rsid w:val="00E84F3C"/>
    <w:rsid w:val="00EA012C"/>
    <w:rsid w:val="00EC6A55"/>
    <w:rsid w:val="00ED0288"/>
    <w:rsid w:val="00EE52CB"/>
    <w:rsid w:val="00EF581D"/>
    <w:rsid w:val="00EF7FD8"/>
    <w:rsid w:val="00F06F59"/>
    <w:rsid w:val="00F17988"/>
    <w:rsid w:val="00F469F0"/>
    <w:rsid w:val="00F53273"/>
    <w:rsid w:val="00F675C6"/>
    <w:rsid w:val="00F755E4"/>
    <w:rsid w:val="00F77D02"/>
    <w:rsid w:val="00FA0295"/>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82AC728"/>
  <w15:docId w15:val="{2D147EFB-FF56-4D6F-916E-70CEB90D6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CD45C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D45C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CD45C0"/>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CD45C0"/>
    <w:rPr>
      <w:rFonts w:asciiTheme="majorHAnsi" w:eastAsiaTheme="majorEastAsia" w:hAnsiTheme="majorHAnsi" w:cstheme="majorBidi"/>
      <w:i/>
      <w:iCs/>
      <w:color w:val="365F91" w:themeColor="accent1" w:themeShade="BF"/>
    </w:rPr>
  </w:style>
  <w:style w:type="character" w:customStyle="1" w:styleId="label">
    <w:name w:val="label"/>
    <w:basedOn w:val="DefaultParagraphFont"/>
    <w:rsid w:val="00060483"/>
  </w:style>
  <w:style w:type="character" w:styleId="Strong">
    <w:name w:val="Strong"/>
    <w:basedOn w:val="DefaultParagraphFont"/>
    <w:uiPriority w:val="22"/>
    <w:qFormat/>
    <w:rsid w:val="00060483"/>
    <w:rPr>
      <w:b/>
      <w:bCs/>
    </w:rPr>
  </w:style>
  <w:style w:type="paragraph" w:styleId="NormalWeb">
    <w:name w:val="Normal (Web)"/>
    <w:basedOn w:val="Normal"/>
    <w:uiPriority w:val="99"/>
    <w:unhideWhenUsed/>
    <w:rsid w:val="00060483"/>
    <w:pPr>
      <w:spacing w:before="100" w:beforeAutospacing="1" w:after="100" w:afterAutospacing="1"/>
    </w:pPr>
    <w:rPr>
      <w:rFonts w:ascii="Times New Roman" w:hAnsi="Times New Roman"/>
      <w:sz w:val="24"/>
      <w:szCs w:val="24"/>
    </w:rPr>
  </w:style>
  <w:style w:type="character" w:styleId="FootnoteReference">
    <w:name w:val="footnote reference"/>
    <w:basedOn w:val="DefaultParagraphFont"/>
    <w:uiPriority w:val="99"/>
    <w:semiHidden/>
    <w:unhideWhenUsed/>
    <w:rsid w:val="003933B5"/>
    <w:rPr>
      <w:vertAlign w:val="superscript"/>
    </w:rPr>
  </w:style>
  <w:style w:type="character" w:styleId="UnresolvedMention">
    <w:name w:val="Unresolved Mention"/>
    <w:basedOn w:val="DefaultParagraphFont"/>
    <w:uiPriority w:val="99"/>
    <w:semiHidden/>
    <w:unhideWhenUsed/>
    <w:rsid w:val="00652D88"/>
    <w:rPr>
      <w:color w:val="605E5C"/>
      <w:shd w:val="clear" w:color="auto" w:fill="E1DFDD"/>
    </w:rPr>
  </w:style>
  <w:style w:type="table" w:customStyle="1" w:styleId="TableGrid1">
    <w:name w:val="Table Grid1"/>
    <w:basedOn w:val="TableNormal"/>
    <w:next w:val="TableGrid"/>
    <w:uiPriority w:val="59"/>
    <w:rsid w:val="00652D8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8651003">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64062175">
      <w:bodyDiv w:val="1"/>
      <w:marLeft w:val="0"/>
      <w:marRight w:val="0"/>
      <w:marTop w:val="0"/>
      <w:marBottom w:val="0"/>
      <w:divBdr>
        <w:top w:val="none" w:sz="0" w:space="0" w:color="auto"/>
        <w:left w:val="none" w:sz="0" w:space="0" w:color="auto"/>
        <w:bottom w:val="none" w:sz="0" w:space="0" w:color="auto"/>
        <w:right w:val="none" w:sz="0" w:space="0" w:color="auto"/>
      </w:divBdr>
    </w:div>
    <w:div w:id="42954896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8873767">
      <w:bodyDiv w:val="1"/>
      <w:marLeft w:val="0"/>
      <w:marRight w:val="0"/>
      <w:marTop w:val="0"/>
      <w:marBottom w:val="0"/>
      <w:divBdr>
        <w:top w:val="none" w:sz="0" w:space="0" w:color="auto"/>
        <w:left w:val="none" w:sz="0" w:space="0" w:color="auto"/>
        <w:bottom w:val="none" w:sz="0" w:space="0" w:color="auto"/>
        <w:right w:val="none" w:sz="0" w:space="0" w:color="auto"/>
      </w:divBdr>
    </w:div>
    <w:div w:id="97329478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50879530">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95519821">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86100959">
      <w:bodyDiv w:val="1"/>
      <w:marLeft w:val="0"/>
      <w:marRight w:val="0"/>
      <w:marTop w:val="0"/>
      <w:marBottom w:val="0"/>
      <w:divBdr>
        <w:top w:val="none" w:sz="0" w:space="0" w:color="auto"/>
        <w:left w:val="none" w:sz="0" w:space="0" w:color="auto"/>
        <w:bottom w:val="none" w:sz="0" w:space="0" w:color="auto"/>
        <w:right w:val="none" w:sz="0" w:space="0" w:color="auto"/>
      </w:divBdr>
    </w:div>
    <w:div w:id="145085595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sciencedirect.com/topics/pharmacology-toxicology-and-pharmaceutical-science/mutagenesis"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f"/><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hyperlink" Target="https://www.sciencedirect.com/topics/pharmacology-toxicology-and-pharmaceutical-science/lipophilicit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header" Target="header5.xml"/><Relationship Id="rId28"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hyperlink" Target="https://www.sciencedirect.com/topics/pharmacology-toxicology-and-pharmaceutical-science/hydrogen-bond"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header" Target="header4.xml"/><Relationship Id="rId27" Type="http://schemas.openxmlformats.org/officeDocument/2006/relationships/image" Target="media/image7.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A1124-4887-441D-9CE1-E30ABB380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36</TotalTime>
  <Pages>20</Pages>
  <Words>30549</Words>
  <Characters>174130</Characters>
  <Application>Microsoft Office Word</Application>
  <DocSecurity>0</DocSecurity>
  <Lines>1451</Lines>
  <Paragraphs>408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204271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cp:revision>
  <cp:lastPrinted>1999-07-06T11:00:00Z</cp:lastPrinted>
  <dcterms:created xsi:type="dcterms:W3CDTF">2025-04-05T20:53:00Z</dcterms:created>
  <dcterms:modified xsi:type="dcterms:W3CDTF">2025-04-09T06:03:00Z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f021dae9-6362-3560-af55-79f5ac14fc98</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http://www.zotero.org/styles/beni-suef-university-journal-of-basic-and-applied-sciences</vt:lpwstr>
  </property>
  <property fmtid="{D5CDD505-2E9C-101B-9397-08002B2CF9AE}" pid="12" name="Mendeley Recent Style Name 3_1">
    <vt:lpwstr>Beni-Suef University Journal of Basic and Applied Sciences</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http://www.zotero.org/styles/heliyon</vt:lpwstr>
  </property>
  <property fmtid="{D5CDD505-2E9C-101B-9397-08002B2CF9AE}" pid="18" name="Mendeley Recent Style Name 6_1">
    <vt:lpwstr>Heliyon</vt:lpwstr>
  </property>
  <property fmtid="{D5CDD505-2E9C-101B-9397-08002B2CF9AE}" pid="19" name="Mendeley Recent Style Id 7_1">
    <vt:lpwstr>http://www.zotero.org/styles/in-silico-pharmacology</vt:lpwstr>
  </property>
  <property fmtid="{D5CDD505-2E9C-101B-9397-08002B2CF9AE}" pid="20" name="Mendeley Recent Style Name 7_1">
    <vt:lpwstr>In Silico Pharmacology</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