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0665E" w14:textId="2DBB354F" w:rsidR="00B73EBD" w:rsidRDefault="00B73EBD" w:rsidP="00104D40">
      <w:pPr>
        <w:spacing w:after="0"/>
        <w:jc w:val="center"/>
        <w:rPr>
          <w:rFonts w:ascii="Arial" w:hAnsi="Arial" w:cs="Arial"/>
          <w:b/>
          <w:sz w:val="36"/>
          <w:szCs w:val="36"/>
        </w:rPr>
      </w:pPr>
      <w:r w:rsidRPr="00B73EBD">
        <w:rPr>
          <w:rFonts w:ascii="Arial" w:hAnsi="Arial" w:cs="Arial"/>
          <w:b/>
          <w:sz w:val="36"/>
          <w:szCs w:val="36"/>
        </w:rPr>
        <w:t>Original Research Article</w:t>
      </w:r>
    </w:p>
    <w:p w14:paraId="72C092FF" w14:textId="77777777" w:rsidR="00B73EBD" w:rsidRDefault="00B73EBD" w:rsidP="00104D40">
      <w:pPr>
        <w:spacing w:after="0"/>
        <w:jc w:val="center"/>
        <w:rPr>
          <w:rFonts w:ascii="Arial" w:hAnsi="Arial" w:cs="Arial"/>
          <w:b/>
          <w:sz w:val="36"/>
          <w:szCs w:val="36"/>
        </w:rPr>
      </w:pPr>
    </w:p>
    <w:p w14:paraId="4884633E" w14:textId="61A3C8EF" w:rsidR="00104D40" w:rsidRDefault="00D07BBD" w:rsidP="00104D40">
      <w:pPr>
        <w:spacing w:after="0"/>
        <w:jc w:val="center"/>
        <w:rPr>
          <w:rFonts w:ascii="Arial" w:hAnsi="Arial" w:cs="Arial"/>
          <w:b/>
          <w:sz w:val="36"/>
          <w:szCs w:val="36"/>
        </w:rPr>
      </w:pPr>
      <w:r>
        <w:rPr>
          <w:rFonts w:ascii="Arial" w:hAnsi="Arial" w:cs="Arial"/>
          <w:b/>
          <w:sz w:val="36"/>
          <w:szCs w:val="36"/>
        </w:rPr>
        <w:t>Solid</w:t>
      </w:r>
      <w:r w:rsidR="00DE723F">
        <w:rPr>
          <w:rFonts w:ascii="Arial" w:hAnsi="Arial" w:cs="Arial"/>
          <w:b/>
          <w:sz w:val="36"/>
          <w:szCs w:val="36"/>
        </w:rPr>
        <w:t xml:space="preserve"> Waste Management among Urban Households in Kerala</w:t>
      </w:r>
      <w:r w:rsidR="00104D40" w:rsidRPr="002906AF">
        <w:rPr>
          <w:rFonts w:ascii="Arial" w:hAnsi="Arial" w:cs="Arial"/>
          <w:b/>
          <w:sz w:val="36"/>
          <w:szCs w:val="36"/>
        </w:rPr>
        <w:t>: An Application of Contingent Valuation Approach</w:t>
      </w:r>
    </w:p>
    <w:p w14:paraId="19E010BA" w14:textId="77777777" w:rsidR="00DE723F" w:rsidRPr="002906AF" w:rsidRDefault="00DE723F" w:rsidP="00104D40">
      <w:pPr>
        <w:spacing w:after="0"/>
        <w:jc w:val="center"/>
        <w:rPr>
          <w:rFonts w:ascii="Arial" w:hAnsi="Arial" w:cs="Arial"/>
          <w:b/>
          <w:sz w:val="36"/>
          <w:szCs w:val="36"/>
        </w:rPr>
      </w:pPr>
    </w:p>
    <w:p w14:paraId="736A7963" w14:textId="77777777" w:rsidR="00104D40" w:rsidRPr="002906AF" w:rsidRDefault="00104D40" w:rsidP="00104D40">
      <w:pPr>
        <w:spacing w:after="0"/>
        <w:jc w:val="both"/>
        <w:rPr>
          <w:rFonts w:ascii="Arial" w:hAnsi="Arial" w:cs="Arial"/>
          <w:b/>
          <w:sz w:val="24"/>
          <w:szCs w:val="24"/>
        </w:rPr>
      </w:pPr>
      <w:bookmarkStart w:id="0" w:name="_GoBack"/>
      <w:bookmarkEnd w:id="0"/>
    </w:p>
    <w:p w14:paraId="56BFC566" w14:textId="77777777" w:rsidR="00104D40" w:rsidRPr="002906AF" w:rsidRDefault="002906AF" w:rsidP="00104D40">
      <w:pPr>
        <w:spacing w:after="0"/>
        <w:jc w:val="both"/>
        <w:rPr>
          <w:rFonts w:ascii="Arial" w:hAnsi="Arial" w:cs="Arial"/>
          <w:b/>
          <w:szCs w:val="22"/>
        </w:rPr>
      </w:pPr>
      <w:r w:rsidRPr="002906AF">
        <w:rPr>
          <w:rFonts w:ascii="Arial" w:hAnsi="Arial" w:cs="Arial"/>
          <w:b/>
          <w:szCs w:val="22"/>
        </w:rPr>
        <w:t>ABSTRACT</w:t>
      </w:r>
    </w:p>
    <w:p w14:paraId="1604AC67" w14:textId="77777777" w:rsidR="00104D40" w:rsidRPr="002906AF" w:rsidRDefault="00104D40" w:rsidP="00104D40">
      <w:pPr>
        <w:spacing w:after="0"/>
        <w:jc w:val="both"/>
        <w:rPr>
          <w:rFonts w:ascii="Arial" w:hAnsi="Arial" w:cs="Arial"/>
          <w:sz w:val="20"/>
        </w:rPr>
      </w:pPr>
      <w:r w:rsidRPr="002906AF">
        <w:rPr>
          <w:rFonts w:ascii="Arial" w:hAnsi="Arial" w:cs="Arial"/>
          <w:sz w:val="20"/>
        </w:rPr>
        <w:t xml:space="preserve">Solid waste generation has grown critical recently, emphasizing the need for civic involvement for ensuring waste management thereby environmental quality.  </w:t>
      </w:r>
      <w:r w:rsidRPr="002906AF">
        <w:rPr>
          <w:rFonts w:ascii="Arial" w:eastAsia="Times New Roman" w:hAnsi="Arial" w:cs="Arial"/>
          <w:sz w:val="20"/>
          <w:lang w:val="en-IN" w:eastAsia="en-IN" w:bidi="ar-SA"/>
        </w:rPr>
        <w:t>This study uses the dichotomous cho</w:t>
      </w:r>
      <w:r w:rsidR="001D3293" w:rsidRPr="002906AF">
        <w:rPr>
          <w:rFonts w:ascii="Arial" w:eastAsia="Times New Roman" w:hAnsi="Arial" w:cs="Arial"/>
          <w:sz w:val="20"/>
          <w:lang w:val="en-IN" w:eastAsia="en-IN" w:bidi="ar-SA"/>
        </w:rPr>
        <w:t>ice approach of contingent valuation</w:t>
      </w:r>
      <w:r w:rsidRPr="002906AF">
        <w:rPr>
          <w:rFonts w:ascii="Arial" w:eastAsia="Times New Roman" w:hAnsi="Arial" w:cs="Arial"/>
          <w:sz w:val="20"/>
          <w:lang w:val="en-IN" w:eastAsia="en-IN" w:bidi="ar-SA"/>
        </w:rPr>
        <w:t xml:space="preserve"> to investigate the willingness of urban Kerala families to pay for enhanced waste management</w:t>
      </w:r>
      <w:r w:rsidRPr="002906AF">
        <w:rPr>
          <w:rFonts w:ascii="Arial" w:hAnsi="Arial" w:cs="Arial"/>
          <w:sz w:val="20"/>
        </w:rPr>
        <w:t xml:space="preserve">. Secondly, the research investigates the factors determining households' readiness to pay for better waste management by employing multiple regression </w:t>
      </w:r>
      <w:r w:rsidR="001D3293" w:rsidRPr="002906AF">
        <w:rPr>
          <w:rFonts w:ascii="Arial" w:hAnsi="Arial" w:cs="Arial"/>
          <w:sz w:val="20"/>
        </w:rPr>
        <w:t>model</w:t>
      </w:r>
      <w:r w:rsidRPr="002906AF">
        <w:rPr>
          <w:rFonts w:ascii="Arial" w:hAnsi="Arial" w:cs="Arial"/>
          <w:sz w:val="20"/>
        </w:rPr>
        <w:t>. The findings indicate that households</w:t>
      </w:r>
      <w:r w:rsidRPr="002906AF">
        <w:rPr>
          <w:rFonts w:ascii="Arial" w:hAnsi="Arial" w:cs="Arial"/>
          <w:iCs/>
          <w:sz w:val="20"/>
        </w:rPr>
        <w:t xml:space="preserve"> are indeed ready to pay for improved waste management and along with socio economics determinants,</w:t>
      </w:r>
      <w:r w:rsidRPr="002906AF">
        <w:rPr>
          <w:rFonts w:ascii="Arial" w:hAnsi="Arial" w:cs="Arial"/>
          <w:sz w:val="20"/>
          <w:lang w:val="en-IN" w:bidi="ar-SA"/>
        </w:rPr>
        <w:t xml:space="preserve"> the waste generation level, proximity to dumping ground, and the availability of </w:t>
      </w:r>
      <w:r w:rsidRPr="002906AF">
        <w:rPr>
          <w:rFonts w:ascii="Arial" w:hAnsi="Arial" w:cs="Arial"/>
          <w:sz w:val="20"/>
        </w:rPr>
        <w:t xml:space="preserve">availability of a service for collecting </w:t>
      </w:r>
      <w:r w:rsidRPr="002906AF">
        <w:rPr>
          <w:rFonts w:ascii="Arial" w:hAnsi="Arial" w:cs="Arial"/>
          <w:sz w:val="20"/>
          <w:lang w:val="en-IN" w:bidi="ar-SA"/>
        </w:rPr>
        <w:t xml:space="preserve">waste </w:t>
      </w:r>
      <w:r w:rsidRPr="002906AF">
        <w:rPr>
          <w:rFonts w:ascii="Arial" w:hAnsi="Arial" w:cs="Arial"/>
          <w:iCs/>
          <w:sz w:val="20"/>
        </w:rPr>
        <w:t xml:space="preserve">are identified as the critical correlates of willingness. </w:t>
      </w:r>
    </w:p>
    <w:p w14:paraId="4C56B6CC" w14:textId="77777777" w:rsidR="00104D40" w:rsidRPr="002906AF" w:rsidRDefault="00104D40" w:rsidP="00104D40">
      <w:pPr>
        <w:spacing w:after="0"/>
        <w:ind w:firstLine="720"/>
        <w:jc w:val="both"/>
        <w:rPr>
          <w:rFonts w:ascii="Arial" w:hAnsi="Arial" w:cs="Arial"/>
          <w:color w:val="0D0D0D"/>
          <w:sz w:val="20"/>
          <w:shd w:val="clear" w:color="auto" w:fill="FFFFFF"/>
        </w:rPr>
      </w:pPr>
      <w:r w:rsidRPr="002906AF">
        <w:rPr>
          <w:rFonts w:ascii="Arial" w:hAnsi="Arial" w:cs="Arial"/>
          <w:color w:val="0D0D0D"/>
          <w:sz w:val="20"/>
          <w:shd w:val="clear" w:color="auto" w:fill="FFFFFF"/>
        </w:rPr>
        <w:t xml:space="preserve">. </w:t>
      </w:r>
    </w:p>
    <w:p w14:paraId="35AF7F9C" w14:textId="77777777" w:rsidR="00104D40" w:rsidRPr="002906AF" w:rsidRDefault="00104D40" w:rsidP="00104D40">
      <w:pPr>
        <w:spacing w:after="0"/>
        <w:rPr>
          <w:rFonts w:ascii="Arial" w:hAnsi="Arial" w:cs="Arial"/>
          <w:iCs/>
          <w:sz w:val="20"/>
        </w:rPr>
      </w:pPr>
      <w:r w:rsidRPr="002906AF">
        <w:rPr>
          <w:rFonts w:ascii="Arial" w:hAnsi="Arial" w:cs="Arial"/>
          <w:iCs/>
          <w:sz w:val="20"/>
        </w:rPr>
        <w:t>Keywords: solid waste; waste management; willingness to pay; dichotomous choice method; contingent valuation</w:t>
      </w:r>
    </w:p>
    <w:p w14:paraId="28BF52CC" w14:textId="77777777" w:rsidR="00104D40" w:rsidRPr="002906AF" w:rsidRDefault="00104D40" w:rsidP="00104D40">
      <w:pPr>
        <w:spacing w:after="0"/>
        <w:rPr>
          <w:rFonts w:ascii="Arial" w:eastAsia="Times New Roman" w:hAnsi="Arial" w:cs="Arial"/>
          <w:color w:val="000000"/>
          <w:sz w:val="20"/>
          <w:lang w:val="en-IN" w:eastAsia="en-IN" w:bidi="ar-SA"/>
        </w:rPr>
      </w:pPr>
      <w:r w:rsidRPr="002906AF">
        <w:rPr>
          <w:rFonts w:ascii="Arial" w:hAnsi="Arial" w:cs="Arial"/>
          <w:iCs/>
          <w:sz w:val="20"/>
        </w:rPr>
        <w:t>JEL: Q 50, Q51, Q53</w:t>
      </w:r>
    </w:p>
    <w:p w14:paraId="4ED82EC1" w14:textId="77777777" w:rsidR="009E6334" w:rsidRPr="002906AF" w:rsidRDefault="009E6334" w:rsidP="00DE11F7">
      <w:pPr>
        <w:spacing w:after="0"/>
        <w:jc w:val="both"/>
        <w:rPr>
          <w:rFonts w:ascii="Arial" w:hAnsi="Arial" w:cs="Arial"/>
          <w:b/>
          <w:sz w:val="24"/>
          <w:szCs w:val="24"/>
        </w:rPr>
      </w:pPr>
    </w:p>
    <w:p w14:paraId="5686895D" w14:textId="77777777" w:rsidR="00025438" w:rsidRPr="002906AF" w:rsidRDefault="009E6334" w:rsidP="00DE11F7">
      <w:pPr>
        <w:rPr>
          <w:rFonts w:ascii="Arial" w:hAnsi="Arial" w:cs="Arial"/>
          <w:b/>
          <w:bCs/>
          <w:sz w:val="24"/>
          <w:szCs w:val="24"/>
        </w:rPr>
      </w:pPr>
      <w:r w:rsidRPr="002906AF">
        <w:rPr>
          <w:rFonts w:ascii="Arial" w:hAnsi="Arial" w:cs="Arial"/>
          <w:b/>
          <w:bCs/>
          <w:sz w:val="24"/>
          <w:szCs w:val="24"/>
        </w:rPr>
        <w:t>1. INTRODUCTION</w:t>
      </w:r>
    </w:p>
    <w:p w14:paraId="02509A2B" w14:textId="77777777" w:rsidR="00C51CB1" w:rsidRPr="002906AF" w:rsidRDefault="00DF7328" w:rsidP="00510A20">
      <w:pPr>
        <w:pStyle w:val="Default"/>
        <w:spacing w:after="200" w:line="276" w:lineRule="auto"/>
        <w:jc w:val="both"/>
        <w:rPr>
          <w:rFonts w:ascii="Arial" w:hAnsi="Arial" w:cs="Arial"/>
          <w:sz w:val="20"/>
          <w:szCs w:val="20"/>
        </w:rPr>
      </w:pPr>
      <w:r w:rsidRPr="002906AF">
        <w:rPr>
          <w:rFonts w:ascii="Arial" w:hAnsi="Arial" w:cs="Arial"/>
          <w:sz w:val="20"/>
          <w:szCs w:val="20"/>
        </w:rPr>
        <w:t xml:space="preserve">Solid </w:t>
      </w:r>
      <w:r w:rsidR="005420DC" w:rsidRPr="002906AF">
        <w:rPr>
          <w:rFonts w:ascii="Arial" w:hAnsi="Arial" w:cs="Arial"/>
          <w:sz w:val="20"/>
          <w:szCs w:val="20"/>
        </w:rPr>
        <w:t>waste has emerged as a significant environmental challenge</w:t>
      </w:r>
      <w:r w:rsidRPr="002906AF">
        <w:rPr>
          <w:rFonts w:ascii="Arial" w:hAnsi="Arial" w:cs="Arial"/>
          <w:sz w:val="20"/>
          <w:szCs w:val="20"/>
        </w:rPr>
        <w:t xml:space="preserve"> in urban areas</w:t>
      </w:r>
      <w:r w:rsidR="00FA7463" w:rsidRPr="002906AF">
        <w:rPr>
          <w:rFonts w:ascii="Arial" w:hAnsi="Arial" w:cs="Arial"/>
          <w:sz w:val="20"/>
          <w:szCs w:val="20"/>
        </w:rPr>
        <w:t xml:space="preserve"> across the globe</w:t>
      </w:r>
      <w:r w:rsidRPr="002906AF">
        <w:rPr>
          <w:rFonts w:ascii="Arial" w:hAnsi="Arial" w:cs="Arial"/>
          <w:sz w:val="20"/>
          <w:szCs w:val="20"/>
        </w:rPr>
        <w:t>.</w:t>
      </w:r>
      <w:r w:rsidR="00391AD2" w:rsidRPr="002906AF">
        <w:rPr>
          <w:rFonts w:ascii="Arial" w:hAnsi="Arial" w:cs="Arial"/>
          <w:sz w:val="20"/>
          <w:szCs w:val="20"/>
        </w:rPr>
        <w:t xml:space="preserve"> Solid waste management (SWM) has become a critical issue for both developed and developing economies, as improper waste disposal is a major contributor to hazardous air pollution, environmental degradation, and serious health risks (Iyamu et al., 2020). Sustainable solid waste management is crucial for achieving multiple UN Sustainable Development Goals (SDGs) as it addresses urban waste challenges and promotes environmental sustainability (Abubaker, 2022). Efficient solid waste managemen</w:t>
      </w:r>
      <w:r w:rsidR="002C257F" w:rsidRPr="002906AF">
        <w:rPr>
          <w:rFonts w:ascii="Arial" w:hAnsi="Arial" w:cs="Arial"/>
          <w:sz w:val="20"/>
          <w:szCs w:val="20"/>
        </w:rPr>
        <w:t>t</w:t>
      </w:r>
      <w:r w:rsidR="00391AD2" w:rsidRPr="002906AF">
        <w:rPr>
          <w:rFonts w:ascii="Arial" w:hAnsi="Arial" w:cs="Arial"/>
          <w:sz w:val="20"/>
          <w:szCs w:val="20"/>
        </w:rPr>
        <w:t xml:space="preserve"> is a global concern, especially for developing countries (</w:t>
      </w:r>
      <w:proofErr w:type="spellStart"/>
      <w:r w:rsidR="00391AD2" w:rsidRPr="002906AF">
        <w:rPr>
          <w:rFonts w:ascii="Arial" w:hAnsi="Arial" w:cs="Arial"/>
          <w:color w:val="222222"/>
          <w:sz w:val="20"/>
          <w:szCs w:val="20"/>
          <w:shd w:val="clear" w:color="auto" w:fill="FFFFFF"/>
        </w:rPr>
        <w:t>Fadhullah</w:t>
      </w:r>
      <w:proofErr w:type="spellEnd"/>
      <w:r w:rsidR="00391AD2" w:rsidRPr="002906AF">
        <w:rPr>
          <w:rFonts w:ascii="Arial" w:hAnsi="Arial" w:cs="Arial"/>
          <w:sz w:val="20"/>
          <w:szCs w:val="20"/>
        </w:rPr>
        <w:t>, 2022</w:t>
      </w:r>
      <w:r w:rsidR="00823009">
        <w:rPr>
          <w:rFonts w:ascii="Arial" w:hAnsi="Arial" w:cs="Arial"/>
          <w:sz w:val="20"/>
          <w:szCs w:val="20"/>
        </w:rPr>
        <w:t xml:space="preserve">). A </w:t>
      </w:r>
      <w:r w:rsidR="00391AD2" w:rsidRPr="002906AF">
        <w:rPr>
          <w:rFonts w:ascii="Arial" w:hAnsi="Arial" w:cs="Arial"/>
          <w:sz w:val="20"/>
          <w:szCs w:val="20"/>
        </w:rPr>
        <w:t>key challenge of waste management in developing nations revolves around the establishment of sustainable financing.</w:t>
      </w:r>
    </w:p>
    <w:p w14:paraId="69370DE1" w14:textId="77777777" w:rsidR="00DF6B61" w:rsidRPr="002906AF" w:rsidRDefault="0022433A" w:rsidP="00823009">
      <w:pPr>
        <w:pStyle w:val="Default"/>
        <w:spacing w:after="200" w:line="276" w:lineRule="auto"/>
        <w:jc w:val="both"/>
        <w:rPr>
          <w:rFonts w:ascii="Arial" w:hAnsi="Arial" w:cs="Arial"/>
          <w:sz w:val="20"/>
          <w:szCs w:val="20"/>
        </w:rPr>
      </w:pPr>
      <w:r w:rsidRPr="002906AF">
        <w:rPr>
          <w:rFonts w:ascii="Arial" w:hAnsi="Arial" w:cs="Arial"/>
          <w:sz w:val="20"/>
          <w:szCs w:val="20"/>
        </w:rPr>
        <w:t>Kerala,</w:t>
      </w:r>
      <w:r w:rsidR="0019392A" w:rsidRPr="002906AF">
        <w:rPr>
          <w:rFonts w:ascii="Arial" w:hAnsi="Arial" w:cs="Arial"/>
          <w:sz w:val="20"/>
          <w:szCs w:val="20"/>
        </w:rPr>
        <w:t xml:space="preserve"> one of the most </w:t>
      </w:r>
      <w:r w:rsidR="00DF7328" w:rsidRPr="002906AF">
        <w:rPr>
          <w:rFonts w:ascii="Arial" w:hAnsi="Arial" w:cs="Arial"/>
          <w:sz w:val="20"/>
          <w:szCs w:val="20"/>
        </w:rPr>
        <w:t>densely</w:t>
      </w:r>
      <w:r w:rsidR="006176CE" w:rsidRPr="002906AF">
        <w:rPr>
          <w:rFonts w:ascii="Arial" w:hAnsi="Arial" w:cs="Arial"/>
          <w:sz w:val="20"/>
          <w:szCs w:val="20"/>
        </w:rPr>
        <w:t xml:space="preserve"> inhabited states in India</w:t>
      </w:r>
      <w:r w:rsidR="00DF7328" w:rsidRPr="002906AF">
        <w:rPr>
          <w:rFonts w:ascii="Arial" w:hAnsi="Arial" w:cs="Arial"/>
          <w:sz w:val="20"/>
          <w:szCs w:val="20"/>
        </w:rPr>
        <w:t xml:space="preserve">, has long </w:t>
      </w:r>
      <w:r w:rsidRPr="002906AF">
        <w:rPr>
          <w:rFonts w:ascii="Arial" w:hAnsi="Arial" w:cs="Arial"/>
          <w:sz w:val="20"/>
          <w:szCs w:val="20"/>
        </w:rPr>
        <w:t xml:space="preserve">been </w:t>
      </w:r>
      <w:r w:rsidR="00DF7328" w:rsidRPr="002906AF">
        <w:rPr>
          <w:rFonts w:ascii="Arial" w:hAnsi="Arial" w:cs="Arial"/>
          <w:sz w:val="20"/>
          <w:szCs w:val="20"/>
        </w:rPr>
        <w:t>struggl</w:t>
      </w:r>
      <w:r w:rsidRPr="002906AF">
        <w:rPr>
          <w:rFonts w:ascii="Arial" w:hAnsi="Arial" w:cs="Arial"/>
          <w:sz w:val="20"/>
          <w:szCs w:val="20"/>
        </w:rPr>
        <w:t>ing</w:t>
      </w:r>
      <w:r w:rsidR="00DF7328" w:rsidRPr="002906AF">
        <w:rPr>
          <w:rFonts w:ascii="Arial" w:hAnsi="Arial" w:cs="Arial"/>
          <w:sz w:val="20"/>
          <w:szCs w:val="20"/>
        </w:rPr>
        <w:t xml:space="preserve"> with </w:t>
      </w:r>
      <w:r w:rsidR="002102DB" w:rsidRPr="002906AF">
        <w:rPr>
          <w:rFonts w:ascii="Arial" w:hAnsi="Arial" w:cs="Arial"/>
          <w:sz w:val="20"/>
          <w:szCs w:val="20"/>
        </w:rPr>
        <w:t xml:space="preserve">issues of </w:t>
      </w:r>
      <w:r w:rsidR="00DF7328" w:rsidRPr="002906AF">
        <w:rPr>
          <w:rFonts w:ascii="Arial" w:hAnsi="Arial" w:cs="Arial"/>
          <w:sz w:val="20"/>
          <w:szCs w:val="20"/>
        </w:rPr>
        <w:t>waste di</w:t>
      </w:r>
      <w:r w:rsidRPr="002906AF">
        <w:rPr>
          <w:rFonts w:ascii="Arial" w:hAnsi="Arial" w:cs="Arial"/>
          <w:sz w:val="20"/>
          <w:szCs w:val="20"/>
        </w:rPr>
        <w:t xml:space="preserve">sposal. Most Kerala towns collect </w:t>
      </w:r>
      <w:r w:rsidR="000872AA" w:rsidRPr="002906AF">
        <w:rPr>
          <w:rFonts w:ascii="Arial" w:hAnsi="Arial" w:cs="Arial"/>
          <w:sz w:val="20"/>
          <w:szCs w:val="20"/>
        </w:rPr>
        <w:t>only a small portion</w:t>
      </w:r>
      <w:r w:rsidR="00DF7328" w:rsidRPr="002906AF">
        <w:rPr>
          <w:rFonts w:ascii="Arial" w:hAnsi="Arial" w:cs="Arial"/>
          <w:sz w:val="20"/>
          <w:szCs w:val="20"/>
        </w:rPr>
        <w:t xml:space="preserve"> of the </w:t>
      </w:r>
      <w:r w:rsidRPr="002906AF">
        <w:rPr>
          <w:rFonts w:ascii="Arial" w:hAnsi="Arial" w:cs="Arial"/>
          <w:sz w:val="20"/>
          <w:szCs w:val="20"/>
        </w:rPr>
        <w:t>total wa</w:t>
      </w:r>
      <w:r w:rsidR="000872AA" w:rsidRPr="002906AF">
        <w:rPr>
          <w:rFonts w:ascii="Arial" w:hAnsi="Arial" w:cs="Arial"/>
          <w:sz w:val="20"/>
          <w:szCs w:val="20"/>
        </w:rPr>
        <w:t>ste generated and a</w:t>
      </w:r>
      <w:r w:rsidR="005420DC" w:rsidRPr="002906AF">
        <w:rPr>
          <w:rFonts w:ascii="Arial" w:hAnsi="Arial" w:cs="Arial"/>
          <w:sz w:val="20"/>
          <w:szCs w:val="20"/>
        </w:rPr>
        <w:t xml:space="preserve"> large volume</w:t>
      </w:r>
      <w:r w:rsidR="00DF7328" w:rsidRPr="002906AF">
        <w:rPr>
          <w:rFonts w:ascii="Arial" w:hAnsi="Arial" w:cs="Arial"/>
          <w:sz w:val="20"/>
          <w:szCs w:val="20"/>
        </w:rPr>
        <w:t xml:space="preserve"> of the collected waste</w:t>
      </w:r>
      <w:r w:rsidR="00D62408" w:rsidRPr="002906AF">
        <w:rPr>
          <w:rFonts w:ascii="Arial" w:hAnsi="Arial" w:cs="Arial"/>
          <w:sz w:val="20"/>
          <w:szCs w:val="20"/>
        </w:rPr>
        <w:t xml:space="preserve"> is dumped</w:t>
      </w:r>
      <w:r w:rsidR="005420DC" w:rsidRPr="002906AF">
        <w:rPr>
          <w:rFonts w:ascii="Arial" w:hAnsi="Arial" w:cs="Arial"/>
          <w:sz w:val="20"/>
          <w:szCs w:val="20"/>
        </w:rPr>
        <w:t xml:space="preserve"> improperly</w:t>
      </w:r>
      <w:r w:rsidRPr="002906AF">
        <w:rPr>
          <w:rFonts w:ascii="Arial" w:hAnsi="Arial" w:cs="Arial"/>
          <w:sz w:val="20"/>
          <w:szCs w:val="20"/>
        </w:rPr>
        <w:t xml:space="preserve"> on the pavements and</w:t>
      </w:r>
      <w:r w:rsidR="00DF7328" w:rsidRPr="002906AF">
        <w:rPr>
          <w:rFonts w:ascii="Arial" w:hAnsi="Arial" w:cs="Arial"/>
          <w:sz w:val="20"/>
          <w:szCs w:val="20"/>
        </w:rPr>
        <w:t xml:space="preserve"> public areas.</w:t>
      </w:r>
      <w:r w:rsidR="00BD47AC" w:rsidRPr="002906AF">
        <w:rPr>
          <w:rFonts w:ascii="Arial" w:hAnsi="Arial" w:cs="Arial"/>
          <w:sz w:val="20"/>
          <w:szCs w:val="20"/>
        </w:rPr>
        <w:t xml:space="preserve"> </w:t>
      </w:r>
      <w:r w:rsidR="0061738E" w:rsidRPr="002906AF">
        <w:rPr>
          <w:rFonts w:ascii="Arial" w:hAnsi="Arial" w:cs="Arial"/>
          <w:sz w:val="20"/>
          <w:szCs w:val="20"/>
        </w:rPr>
        <w:t xml:space="preserve">Urban public </w:t>
      </w:r>
      <w:r w:rsidRPr="002906AF">
        <w:rPr>
          <w:rFonts w:ascii="Arial" w:hAnsi="Arial" w:cs="Arial"/>
          <w:sz w:val="20"/>
          <w:szCs w:val="20"/>
        </w:rPr>
        <w:t>authorities are found to have instituted</w:t>
      </w:r>
      <w:r w:rsidR="00DF7328" w:rsidRPr="002906AF">
        <w:rPr>
          <w:rFonts w:ascii="Arial" w:hAnsi="Arial" w:cs="Arial"/>
          <w:sz w:val="20"/>
          <w:szCs w:val="20"/>
        </w:rPr>
        <w:t xml:space="preserve"> waste treatment plants in collaboration with the private service providers for </w:t>
      </w:r>
      <w:r w:rsidR="00DF7328" w:rsidRPr="002906AF">
        <w:rPr>
          <w:rFonts w:ascii="Arial" w:hAnsi="Arial" w:cs="Arial"/>
          <w:noProof/>
          <w:sz w:val="20"/>
          <w:szCs w:val="20"/>
        </w:rPr>
        <w:t>effective</w:t>
      </w:r>
      <w:r w:rsidR="00DF7328" w:rsidRPr="002906AF">
        <w:rPr>
          <w:rFonts w:ascii="Arial" w:hAnsi="Arial" w:cs="Arial"/>
          <w:sz w:val="20"/>
          <w:szCs w:val="20"/>
        </w:rPr>
        <w:t xml:space="preserve"> waste management.  However, </w:t>
      </w:r>
      <w:r w:rsidR="00992A5D" w:rsidRPr="002906AF">
        <w:rPr>
          <w:rFonts w:ascii="Arial" w:hAnsi="Arial" w:cs="Arial"/>
          <w:sz w:val="20"/>
          <w:szCs w:val="20"/>
        </w:rPr>
        <w:t>a notable segment of the population lacks</w:t>
      </w:r>
      <w:r w:rsidR="00DF7328" w:rsidRPr="002906AF">
        <w:rPr>
          <w:rFonts w:ascii="Arial" w:hAnsi="Arial" w:cs="Arial"/>
          <w:sz w:val="20"/>
          <w:szCs w:val="20"/>
        </w:rPr>
        <w:t xml:space="preserve"> access to</w:t>
      </w:r>
      <w:r w:rsidR="00992A5D" w:rsidRPr="002906AF">
        <w:rPr>
          <w:rFonts w:ascii="Arial" w:hAnsi="Arial" w:cs="Arial"/>
          <w:sz w:val="20"/>
          <w:szCs w:val="20"/>
        </w:rPr>
        <w:t xml:space="preserve"> these</w:t>
      </w:r>
      <w:r w:rsidRPr="002906AF">
        <w:rPr>
          <w:rFonts w:ascii="Arial" w:hAnsi="Arial" w:cs="Arial"/>
          <w:sz w:val="20"/>
          <w:szCs w:val="20"/>
        </w:rPr>
        <w:t xml:space="preserve"> </w:t>
      </w:r>
      <w:r w:rsidR="00DF7328" w:rsidRPr="002906AF">
        <w:rPr>
          <w:rFonts w:ascii="Arial" w:hAnsi="Arial" w:cs="Arial"/>
          <w:sz w:val="20"/>
          <w:szCs w:val="20"/>
        </w:rPr>
        <w:t>government-provided waste collection services. In addition to polluting water,</w:t>
      </w:r>
      <w:r w:rsidR="00D24DA9" w:rsidRPr="002906AF">
        <w:rPr>
          <w:rFonts w:ascii="Arial" w:hAnsi="Arial" w:cs="Arial"/>
          <w:sz w:val="20"/>
          <w:szCs w:val="20"/>
        </w:rPr>
        <w:t xml:space="preserve"> land, and air, poor</w:t>
      </w:r>
      <w:r w:rsidR="00DF7328" w:rsidRPr="002906AF">
        <w:rPr>
          <w:rFonts w:ascii="Arial" w:hAnsi="Arial" w:cs="Arial"/>
          <w:sz w:val="20"/>
          <w:szCs w:val="20"/>
        </w:rPr>
        <w:t xml:space="preserve"> collection and disposal endangers human health and the ecosystem</w:t>
      </w:r>
      <w:r w:rsidR="0061738E" w:rsidRPr="002906AF">
        <w:rPr>
          <w:rFonts w:ascii="Arial" w:hAnsi="Arial" w:cs="Arial"/>
          <w:sz w:val="20"/>
          <w:szCs w:val="20"/>
        </w:rPr>
        <w:t xml:space="preserve"> in multiple ways</w:t>
      </w:r>
      <w:r w:rsidR="00DF7328" w:rsidRPr="002906AF">
        <w:rPr>
          <w:rFonts w:ascii="Arial" w:hAnsi="Arial" w:cs="Arial"/>
          <w:sz w:val="20"/>
          <w:szCs w:val="20"/>
        </w:rPr>
        <w:t xml:space="preserve">. </w:t>
      </w:r>
    </w:p>
    <w:p w14:paraId="001C5BAB" w14:textId="77777777" w:rsidR="00DE0977" w:rsidRPr="002906AF" w:rsidRDefault="004116D8" w:rsidP="00823009">
      <w:pPr>
        <w:pStyle w:val="Default"/>
        <w:spacing w:line="276" w:lineRule="auto"/>
        <w:jc w:val="both"/>
        <w:rPr>
          <w:rFonts w:ascii="Arial" w:hAnsi="Arial" w:cs="Arial"/>
          <w:sz w:val="20"/>
          <w:szCs w:val="20"/>
        </w:rPr>
      </w:pPr>
      <w:r w:rsidRPr="002906AF">
        <w:rPr>
          <w:rFonts w:ascii="Arial" w:hAnsi="Arial" w:cs="Arial"/>
          <w:sz w:val="20"/>
          <w:szCs w:val="20"/>
        </w:rPr>
        <w:t xml:space="preserve">Kerala stands out among the Indian states due to its proactive approach to tackle waste management issues, as demonstrated by the launch of the Clean Kerala Mission in 2002. </w:t>
      </w:r>
      <w:r w:rsidR="007E0158" w:rsidRPr="002906AF">
        <w:rPr>
          <w:rFonts w:ascii="Arial" w:hAnsi="Arial" w:cs="Arial"/>
          <w:sz w:val="20"/>
          <w:szCs w:val="20"/>
        </w:rPr>
        <w:t>In 2004, this mission aimed to transform Kerala into a garbage-free region, providing technical and financial support to local governments for compliance with the Municipal Solid Waste (Management and Handling) Rules of 2000.</w:t>
      </w:r>
      <w:r w:rsidR="00DE0977" w:rsidRPr="002906AF">
        <w:rPr>
          <w:rFonts w:ascii="Arial" w:hAnsi="Arial" w:cs="Arial"/>
          <w:sz w:val="20"/>
          <w:szCs w:val="20"/>
        </w:rPr>
        <w:t xml:space="preserve"> Despite of these</w:t>
      </w:r>
      <w:r w:rsidR="007E0158" w:rsidRPr="002906AF">
        <w:rPr>
          <w:rFonts w:ascii="Arial" w:hAnsi="Arial" w:cs="Arial"/>
          <w:sz w:val="20"/>
          <w:szCs w:val="20"/>
        </w:rPr>
        <w:t xml:space="preserve"> measures taken by local self-government bodies in implementing institutional </w:t>
      </w:r>
      <w:r w:rsidR="007E0158" w:rsidRPr="002906AF">
        <w:rPr>
          <w:rFonts w:ascii="Arial" w:hAnsi="Arial" w:cs="Arial"/>
          <w:sz w:val="20"/>
          <w:szCs w:val="20"/>
        </w:rPr>
        <w:lastRenderedPageBreak/>
        <w:t>reforms to preserve environmental quality, a substantial number of households in Kerala still lack regular waste collection services. Consequently, a comprehensive examination is imperative to address the multifaceted factors and practices influencing effective waste management by urban municipalities</w:t>
      </w:r>
      <w:r w:rsidR="00DE0977" w:rsidRPr="002906AF">
        <w:rPr>
          <w:rFonts w:ascii="Arial" w:hAnsi="Arial" w:cs="Arial"/>
          <w:sz w:val="20"/>
          <w:szCs w:val="20"/>
        </w:rPr>
        <w:t xml:space="preserve">. </w:t>
      </w:r>
    </w:p>
    <w:p w14:paraId="5AF55AF4" w14:textId="77777777" w:rsidR="001C741E" w:rsidRPr="002906AF" w:rsidRDefault="001C741E" w:rsidP="00DE11F7">
      <w:pPr>
        <w:pStyle w:val="Default"/>
        <w:spacing w:line="276" w:lineRule="auto"/>
        <w:jc w:val="both"/>
        <w:rPr>
          <w:rFonts w:ascii="Arial" w:hAnsi="Arial" w:cs="Arial"/>
          <w:sz w:val="20"/>
          <w:szCs w:val="20"/>
        </w:rPr>
      </w:pPr>
    </w:p>
    <w:p w14:paraId="11AF2673" w14:textId="77777777" w:rsidR="00F563F9" w:rsidRPr="002906AF" w:rsidRDefault="00F563F9" w:rsidP="00823009">
      <w:pPr>
        <w:pStyle w:val="Default"/>
        <w:spacing w:line="276" w:lineRule="auto"/>
        <w:jc w:val="both"/>
        <w:rPr>
          <w:rFonts w:ascii="Arial" w:hAnsi="Arial" w:cs="Arial"/>
          <w:sz w:val="20"/>
          <w:szCs w:val="20"/>
        </w:rPr>
      </w:pPr>
      <w:r w:rsidRPr="002906AF">
        <w:rPr>
          <w:rFonts w:ascii="Arial" w:hAnsi="Arial" w:cs="Arial"/>
          <w:sz w:val="20"/>
          <w:szCs w:val="20"/>
        </w:rPr>
        <w:t>Effective solid waste management has become a significant global challenge (Khan et al., 2022), highlighting the urgent need for innovative approaches to enhance resource recovery and prevent environmental pollution.</w:t>
      </w:r>
      <w:r w:rsidR="00633639" w:rsidRPr="002906AF">
        <w:rPr>
          <w:rFonts w:ascii="Arial" w:hAnsi="Arial" w:cs="Arial"/>
          <w:sz w:val="20"/>
          <w:szCs w:val="20"/>
        </w:rPr>
        <w:t xml:space="preserve"> Effectively managing municipal solid waste necessitates </w:t>
      </w:r>
      <w:r w:rsidR="00DE11F7" w:rsidRPr="002906AF">
        <w:rPr>
          <w:rFonts w:ascii="Arial" w:hAnsi="Arial" w:cs="Arial"/>
          <w:sz w:val="20"/>
          <w:szCs w:val="20"/>
        </w:rPr>
        <w:t>significant financial resources.</w:t>
      </w:r>
      <w:r w:rsidR="00633639" w:rsidRPr="002906AF">
        <w:rPr>
          <w:rFonts w:ascii="Arial" w:hAnsi="Arial" w:cs="Arial"/>
          <w:sz w:val="20"/>
          <w:szCs w:val="20"/>
        </w:rPr>
        <w:t xml:space="preserve"> The responsibility for planning, implementing, and investing in solid waste management primarily rests with local governments. To cover the ongoing expenses of Municipal Solid Waste Management (MSWM), user fees are typically employed as a common practice. However, local authorities often encounter operational challenges related to community willingness and participation when it comes to collecting these user charges. Consequently, a crucial question arises: What proportion of</w:t>
      </w:r>
      <w:r w:rsidR="00DE0977" w:rsidRPr="002906AF">
        <w:rPr>
          <w:rFonts w:ascii="Arial" w:hAnsi="Arial" w:cs="Arial"/>
          <w:sz w:val="20"/>
          <w:szCs w:val="20"/>
        </w:rPr>
        <w:t xml:space="preserve"> households is actually ready</w:t>
      </w:r>
      <w:r w:rsidR="00D24DA9" w:rsidRPr="002906AF">
        <w:rPr>
          <w:rFonts w:ascii="Arial" w:hAnsi="Arial" w:cs="Arial"/>
          <w:sz w:val="20"/>
          <w:szCs w:val="20"/>
        </w:rPr>
        <w:t xml:space="preserve"> to contribute</w:t>
      </w:r>
      <w:r w:rsidR="00633639" w:rsidRPr="002906AF">
        <w:rPr>
          <w:rFonts w:ascii="Arial" w:hAnsi="Arial" w:cs="Arial"/>
          <w:sz w:val="20"/>
          <w:szCs w:val="20"/>
        </w:rPr>
        <w:t xml:space="preserve"> for the impro</w:t>
      </w:r>
      <w:r w:rsidR="00D24DA9" w:rsidRPr="002906AF">
        <w:rPr>
          <w:rFonts w:ascii="Arial" w:hAnsi="Arial" w:cs="Arial"/>
          <w:sz w:val="20"/>
          <w:szCs w:val="20"/>
        </w:rPr>
        <w:t>ved environmental quality</w:t>
      </w:r>
      <w:r w:rsidR="008D7895" w:rsidRPr="002906AF">
        <w:rPr>
          <w:rFonts w:ascii="Arial" w:hAnsi="Arial" w:cs="Arial"/>
          <w:sz w:val="20"/>
          <w:szCs w:val="20"/>
        </w:rPr>
        <w:t>? I</w:t>
      </w:r>
      <w:r w:rsidR="00D24DA9" w:rsidRPr="002906AF">
        <w:rPr>
          <w:rFonts w:ascii="Arial" w:hAnsi="Arial" w:cs="Arial"/>
          <w:sz w:val="20"/>
          <w:szCs w:val="20"/>
        </w:rPr>
        <w:t>t becomes essential to estimate</w:t>
      </w:r>
      <w:r w:rsidR="00633639" w:rsidRPr="002906AF">
        <w:rPr>
          <w:rFonts w:ascii="Arial" w:hAnsi="Arial" w:cs="Arial"/>
          <w:sz w:val="20"/>
          <w:szCs w:val="20"/>
        </w:rPr>
        <w:t xml:space="preserve"> the level of </w:t>
      </w:r>
      <w:r w:rsidR="008D7895" w:rsidRPr="002906AF">
        <w:rPr>
          <w:rFonts w:ascii="Arial" w:hAnsi="Arial" w:cs="Arial"/>
          <w:sz w:val="20"/>
          <w:szCs w:val="20"/>
        </w:rPr>
        <w:t>willingnes</w:t>
      </w:r>
      <w:r w:rsidR="00BD47AC" w:rsidRPr="002906AF">
        <w:rPr>
          <w:rFonts w:ascii="Arial" w:hAnsi="Arial" w:cs="Arial"/>
          <w:sz w:val="20"/>
          <w:szCs w:val="20"/>
        </w:rPr>
        <w:t>s</w:t>
      </w:r>
      <w:r w:rsidR="00633639" w:rsidRPr="002906AF">
        <w:rPr>
          <w:rFonts w:ascii="Arial" w:hAnsi="Arial" w:cs="Arial"/>
          <w:sz w:val="20"/>
          <w:szCs w:val="20"/>
        </w:rPr>
        <w:t xml:space="preserve"> and identify the critical factors influencing it. This information is crucial during the implementation phase to determine an appropriate user charge. In this context, the current study's significance becomes evident.</w:t>
      </w:r>
    </w:p>
    <w:p w14:paraId="0762C98C" w14:textId="77777777" w:rsidR="00510A20" w:rsidRDefault="00510A20" w:rsidP="00DE11F7">
      <w:pPr>
        <w:jc w:val="both"/>
        <w:rPr>
          <w:rFonts w:ascii="Arial" w:hAnsi="Arial" w:cs="Arial"/>
          <w:b/>
          <w:sz w:val="24"/>
          <w:szCs w:val="24"/>
        </w:rPr>
      </w:pPr>
    </w:p>
    <w:p w14:paraId="73DAA313" w14:textId="77777777" w:rsidR="009256BF" w:rsidRPr="002906AF" w:rsidRDefault="009E6334" w:rsidP="00DE11F7">
      <w:pPr>
        <w:jc w:val="both"/>
        <w:rPr>
          <w:rFonts w:ascii="Arial" w:hAnsi="Arial" w:cs="Arial"/>
        </w:rPr>
      </w:pPr>
      <w:r w:rsidRPr="002906AF">
        <w:rPr>
          <w:rFonts w:ascii="Arial" w:hAnsi="Arial" w:cs="Arial"/>
          <w:b/>
          <w:sz w:val="24"/>
          <w:szCs w:val="24"/>
        </w:rPr>
        <w:t>2. OBJECTIVES</w:t>
      </w:r>
      <w:r w:rsidRPr="002906AF">
        <w:rPr>
          <w:rFonts w:ascii="Arial" w:hAnsi="Arial" w:cs="Arial"/>
        </w:rPr>
        <w:t xml:space="preserve"> </w:t>
      </w:r>
    </w:p>
    <w:p w14:paraId="25AEF7FB" w14:textId="77777777" w:rsidR="00AF629B" w:rsidRPr="002906AF" w:rsidRDefault="006C6E38" w:rsidP="00510A20">
      <w:pPr>
        <w:jc w:val="both"/>
        <w:rPr>
          <w:rFonts w:ascii="Arial" w:hAnsi="Arial" w:cs="Arial"/>
          <w:sz w:val="20"/>
        </w:rPr>
      </w:pPr>
      <w:r w:rsidRPr="002906AF">
        <w:rPr>
          <w:rFonts w:ascii="Arial" w:hAnsi="Arial" w:cs="Arial"/>
          <w:sz w:val="20"/>
        </w:rPr>
        <w:t>This research</w:t>
      </w:r>
      <w:r w:rsidR="009256BF" w:rsidRPr="002906AF">
        <w:rPr>
          <w:rFonts w:ascii="Arial" w:hAnsi="Arial" w:cs="Arial"/>
          <w:sz w:val="20"/>
        </w:rPr>
        <w:t xml:space="preserve"> aims to gauge</w:t>
      </w:r>
      <w:r w:rsidR="00D24DA9" w:rsidRPr="002906AF">
        <w:rPr>
          <w:rFonts w:ascii="Arial" w:hAnsi="Arial" w:cs="Arial"/>
          <w:sz w:val="20"/>
        </w:rPr>
        <w:t xml:space="preserve"> community support for better</w:t>
      </w:r>
      <w:r w:rsidRPr="002906AF">
        <w:rPr>
          <w:rFonts w:ascii="Arial" w:hAnsi="Arial" w:cs="Arial"/>
          <w:sz w:val="20"/>
        </w:rPr>
        <w:t xml:space="preserve"> </w:t>
      </w:r>
      <w:r w:rsidR="009256BF" w:rsidRPr="002906AF">
        <w:rPr>
          <w:rFonts w:ascii="Arial" w:hAnsi="Arial" w:cs="Arial"/>
          <w:sz w:val="20"/>
        </w:rPr>
        <w:t>waste management</w:t>
      </w:r>
      <w:r w:rsidRPr="002906AF">
        <w:rPr>
          <w:rFonts w:ascii="Arial" w:hAnsi="Arial" w:cs="Arial"/>
          <w:sz w:val="20"/>
        </w:rPr>
        <w:t xml:space="preserve"> services</w:t>
      </w:r>
      <w:r w:rsidR="00D24DA9" w:rsidRPr="002906AF">
        <w:rPr>
          <w:rFonts w:ascii="Arial" w:hAnsi="Arial" w:cs="Arial"/>
          <w:sz w:val="20"/>
        </w:rPr>
        <w:t xml:space="preserve"> and quantify its</w:t>
      </w:r>
      <w:r w:rsidR="009256BF" w:rsidRPr="002906AF">
        <w:rPr>
          <w:rFonts w:ascii="Arial" w:hAnsi="Arial" w:cs="Arial"/>
          <w:sz w:val="20"/>
        </w:rPr>
        <w:t xml:space="preserve"> monetary value that ur</w:t>
      </w:r>
      <w:r w:rsidR="00D62408" w:rsidRPr="002906AF">
        <w:rPr>
          <w:rFonts w:ascii="Arial" w:hAnsi="Arial" w:cs="Arial"/>
          <w:sz w:val="20"/>
        </w:rPr>
        <w:t>ban households in Kerala</w:t>
      </w:r>
      <w:r w:rsidR="00BD47AC" w:rsidRPr="002906AF">
        <w:rPr>
          <w:rFonts w:ascii="Arial" w:hAnsi="Arial" w:cs="Arial"/>
          <w:sz w:val="20"/>
        </w:rPr>
        <w:t xml:space="preserve"> </w:t>
      </w:r>
      <w:r w:rsidR="009256BF" w:rsidRPr="002906AF">
        <w:rPr>
          <w:rFonts w:ascii="Arial" w:hAnsi="Arial" w:cs="Arial"/>
          <w:sz w:val="20"/>
        </w:rPr>
        <w:t>place on the preservation of a clean and sustainable environm</w:t>
      </w:r>
      <w:r w:rsidRPr="002906AF">
        <w:rPr>
          <w:rFonts w:ascii="Arial" w:hAnsi="Arial" w:cs="Arial"/>
          <w:sz w:val="20"/>
        </w:rPr>
        <w:t xml:space="preserve">ent. </w:t>
      </w:r>
      <w:r w:rsidR="00D62408" w:rsidRPr="002906AF">
        <w:rPr>
          <w:rFonts w:ascii="Arial" w:hAnsi="Arial" w:cs="Arial"/>
          <w:sz w:val="20"/>
        </w:rPr>
        <w:t xml:space="preserve"> Furthermore, the study</w:t>
      </w:r>
      <w:r w:rsidR="00D62408" w:rsidRPr="002906AF">
        <w:rPr>
          <w:rFonts w:ascii="Arial" w:eastAsia="Times New Roman" w:hAnsi="Arial" w:cs="Arial"/>
          <w:sz w:val="20"/>
          <w:lang w:val="en-IN" w:eastAsia="en-IN" w:bidi="ar-SA"/>
        </w:rPr>
        <w:t xml:space="preserve"> intends to provide a thorough examination</w:t>
      </w:r>
      <w:r w:rsidR="0007625E" w:rsidRPr="002906AF">
        <w:rPr>
          <w:rFonts w:ascii="Arial" w:eastAsia="Times New Roman" w:hAnsi="Arial" w:cs="Arial"/>
          <w:sz w:val="20"/>
          <w:lang w:val="en-IN" w:eastAsia="en-IN" w:bidi="ar-SA"/>
        </w:rPr>
        <w:t xml:space="preserve"> of the socioeconomic determinants, like education, expenditure, age, gender, </w:t>
      </w:r>
      <w:r w:rsidR="00D62408" w:rsidRPr="002906AF">
        <w:rPr>
          <w:rFonts w:ascii="Arial" w:eastAsia="Times New Roman" w:hAnsi="Arial" w:cs="Arial"/>
          <w:sz w:val="20"/>
          <w:lang w:val="en-IN" w:eastAsia="en-IN" w:bidi="ar-SA"/>
        </w:rPr>
        <w:t>size</w:t>
      </w:r>
      <w:r w:rsidR="0007625E" w:rsidRPr="002906AF">
        <w:rPr>
          <w:rFonts w:ascii="Arial" w:eastAsia="Times New Roman" w:hAnsi="Arial" w:cs="Arial"/>
          <w:sz w:val="20"/>
          <w:lang w:val="en-IN" w:eastAsia="en-IN" w:bidi="ar-SA"/>
        </w:rPr>
        <w:t xml:space="preserve"> of household</w:t>
      </w:r>
      <w:r w:rsidR="00D62408" w:rsidRPr="002906AF">
        <w:rPr>
          <w:rFonts w:ascii="Arial" w:eastAsia="Times New Roman" w:hAnsi="Arial" w:cs="Arial"/>
          <w:sz w:val="20"/>
          <w:lang w:val="en-IN" w:eastAsia="en-IN" w:bidi="ar-SA"/>
        </w:rPr>
        <w:t xml:space="preserve">, and homestead size that affect willingness to pay for environmental improvements. </w:t>
      </w:r>
      <w:r w:rsidR="009256BF" w:rsidRPr="002906AF">
        <w:rPr>
          <w:rFonts w:ascii="Arial" w:hAnsi="Arial" w:cs="Arial"/>
          <w:sz w:val="20"/>
        </w:rPr>
        <w:t>Additionally, it intends to expl</w:t>
      </w:r>
      <w:r w:rsidR="00CF0007" w:rsidRPr="002906AF">
        <w:rPr>
          <w:rFonts w:ascii="Arial" w:hAnsi="Arial" w:cs="Arial"/>
          <w:sz w:val="20"/>
        </w:rPr>
        <w:t>ore</w:t>
      </w:r>
      <w:r w:rsidR="00034B0B" w:rsidRPr="002906AF">
        <w:rPr>
          <w:rFonts w:ascii="Arial" w:hAnsi="Arial" w:cs="Arial"/>
          <w:sz w:val="20"/>
        </w:rPr>
        <w:t xml:space="preserve"> s</w:t>
      </w:r>
      <w:r w:rsidR="009256BF" w:rsidRPr="002906AF">
        <w:rPr>
          <w:rFonts w:ascii="Arial" w:hAnsi="Arial" w:cs="Arial"/>
          <w:sz w:val="20"/>
        </w:rPr>
        <w:t xml:space="preserve">pecific enabling factors, such as the volume </w:t>
      </w:r>
      <w:r w:rsidR="00D62408" w:rsidRPr="002906AF">
        <w:rPr>
          <w:rFonts w:ascii="Arial" w:hAnsi="Arial" w:cs="Arial"/>
          <w:sz w:val="20"/>
        </w:rPr>
        <w:t>of garbage</w:t>
      </w:r>
      <w:r w:rsidR="00992A5D" w:rsidRPr="002906AF">
        <w:rPr>
          <w:rFonts w:ascii="Arial" w:hAnsi="Arial" w:cs="Arial"/>
          <w:sz w:val="20"/>
        </w:rPr>
        <w:t xml:space="preserve"> generation</w:t>
      </w:r>
      <w:r w:rsidR="00D62408" w:rsidRPr="002906AF">
        <w:rPr>
          <w:rFonts w:ascii="Arial" w:hAnsi="Arial" w:cs="Arial"/>
          <w:sz w:val="20"/>
        </w:rPr>
        <w:t>, availability of</w:t>
      </w:r>
      <w:r w:rsidR="009256BF" w:rsidRPr="002906AF">
        <w:rPr>
          <w:rFonts w:ascii="Arial" w:hAnsi="Arial" w:cs="Arial"/>
          <w:sz w:val="20"/>
        </w:rPr>
        <w:t xml:space="preserve"> disposal services, and the </w:t>
      </w:r>
      <w:r w:rsidR="00D62408" w:rsidRPr="002906AF">
        <w:rPr>
          <w:rFonts w:ascii="Arial" w:hAnsi="Arial" w:cs="Arial"/>
          <w:sz w:val="20"/>
        </w:rPr>
        <w:t>proximity of residences to</w:t>
      </w:r>
      <w:r w:rsidR="009256BF" w:rsidRPr="002906AF">
        <w:rPr>
          <w:rFonts w:ascii="Arial" w:hAnsi="Arial" w:cs="Arial"/>
          <w:sz w:val="20"/>
        </w:rPr>
        <w:t xml:space="preserve"> disposal sites</w:t>
      </w:r>
      <w:r w:rsidR="00034B0B" w:rsidRPr="002906AF">
        <w:rPr>
          <w:rFonts w:ascii="Arial" w:hAnsi="Arial" w:cs="Arial"/>
          <w:sz w:val="20"/>
        </w:rPr>
        <w:t xml:space="preserve"> and its relation with households’ willingness</w:t>
      </w:r>
      <w:r w:rsidR="009256BF" w:rsidRPr="002906AF">
        <w:rPr>
          <w:rFonts w:ascii="Arial" w:hAnsi="Arial" w:cs="Arial"/>
          <w:sz w:val="20"/>
        </w:rPr>
        <w:t>.</w:t>
      </w:r>
      <w:r w:rsidR="00FF7342" w:rsidRPr="002906AF">
        <w:rPr>
          <w:rFonts w:ascii="Arial" w:hAnsi="Arial" w:cs="Arial"/>
          <w:sz w:val="20"/>
        </w:rPr>
        <w:t xml:space="preserve"> </w:t>
      </w:r>
    </w:p>
    <w:p w14:paraId="446C1733" w14:textId="77777777" w:rsidR="006A307E" w:rsidRPr="002906AF" w:rsidRDefault="009E6334" w:rsidP="00DE11F7">
      <w:pPr>
        <w:jc w:val="both"/>
        <w:rPr>
          <w:rFonts w:ascii="Arial" w:hAnsi="Arial" w:cs="Arial"/>
          <w:b/>
          <w:sz w:val="24"/>
          <w:szCs w:val="24"/>
        </w:rPr>
      </w:pPr>
      <w:r w:rsidRPr="002906AF">
        <w:rPr>
          <w:rFonts w:ascii="Arial" w:hAnsi="Arial" w:cs="Arial"/>
          <w:b/>
          <w:sz w:val="24"/>
          <w:szCs w:val="24"/>
        </w:rPr>
        <w:t>3. MATERIALS AND METHODS</w:t>
      </w:r>
    </w:p>
    <w:p w14:paraId="01C2D028" w14:textId="77777777" w:rsidR="008D7895" w:rsidRPr="002906AF" w:rsidRDefault="005C722F" w:rsidP="00DE11F7">
      <w:pPr>
        <w:jc w:val="both"/>
        <w:rPr>
          <w:rFonts w:ascii="Arial" w:hAnsi="Arial" w:cs="Arial"/>
          <w:b/>
          <w:szCs w:val="22"/>
        </w:rPr>
      </w:pPr>
      <w:r w:rsidRPr="002906AF">
        <w:rPr>
          <w:rFonts w:ascii="Arial" w:hAnsi="Arial" w:cs="Arial"/>
          <w:b/>
          <w:szCs w:val="22"/>
        </w:rPr>
        <w:t>3</w:t>
      </w:r>
      <w:r w:rsidR="00CF0007" w:rsidRPr="002906AF">
        <w:rPr>
          <w:rFonts w:ascii="Arial" w:hAnsi="Arial" w:cs="Arial"/>
          <w:b/>
          <w:szCs w:val="22"/>
        </w:rPr>
        <w:t>.1</w:t>
      </w:r>
      <w:r w:rsidR="00034B0B" w:rsidRPr="002906AF">
        <w:rPr>
          <w:rFonts w:ascii="Arial" w:hAnsi="Arial" w:cs="Arial"/>
          <w:b/>
          <w:szCs w:val="22"/>
        </w:rPr>
        <w:t xml:space="preserve"> Data </w:t>
      </w:r>
    </w:p>
    <w:p w14:paraId="29B82CBB" w14:textId="77777777" w:rsidR="00823009" w:rsidRDefault="00DF7328" w:rsidP="002906AF">
      <w:pPr>
        <w:jc w:val="both"/>
        <w:rPr>
          <w:rFonts w:ascii="Arial" w:hAnsi="Arial" w:cs="Arial"/>
          <w:sz w:val="20"/>
        </w:rPr>
      </w:pPr>
      <w:r w:rsidRPr="002906AF">
        <w:rPr>
          <w:rFonts w:ascii="Arial" w:hAnsi="Arial" w:cs="Arial"/>
          <w:sz w:val="20"/>
        </w:rPr>
        <w:t>The</w:t>
      </w:r>
      <w:r w:rsidR="0007625E" w:rsidRPr="002906AF">
        <w:rPr>
          <w:rFonts w:ascii="Arial" w:hAnsi="Arial" w:cs="Arial"/>
          <w:sz w:val="20"/>
        </w:rPr>
        <w:t xml:space="preserve"> present</w:t>
      </w:r>
      <w:r w:rsidRPr="002906AF">
        <w:rPr>
          <w:rFonts w:ascii="Arial" w:hAnsi="Arial" w:cs="Arial"/>
          <w:sz w:val="20"/>
        </w:rPr>
        <w:t xml:space="preserve"> </w:t>
      </w:r>
      <w:r w:rsidR="00D62408" w:rsidRPr="002906AF">
        <w:rPr>
          <w:rFonts w:ascii="Arial" w:hAnsi="Arial" w:cs="Arial"/>
          <w:sz w:val="20"/>
        </w:rPr>
        <w:t>study gathered information</w:t>
      </w:r>
      <w:r w:rsidR="008D7895" w:rsidRPr="002906AF">
        <w:rPr>
          <w:rFonts w:ascii="Arial" w:hAnsi="Arial" w:cs="Arial"/>
          <w:sz w:val="20"/>
        </w:rPr>
        <w:t xml:space="preserve"> relating to</w:t>
      </w:r>
      <w:r w:rsidR="004D52FC" w:rsidRPr="002906AF">
        <w:rPr>
          <w:rFonts w:ascii="Arial" w:hAnsi="Arial" w:cs="Arial"/>
          <w:sz w:val="20"/>
        </w:rPr>
        <w:t xml:space="preserve"> waste management from </w:t>
      </w:r>
      <w:r w:rsidRPr="002906AF">
        <w:rPr>
          <w:rFonts w:ascii="Arial" w:hAnsi="Arial" w:cs="Arial"/>
          <w:sz w:val="20"/>
        </w:rPr>
        <w:t>384 sample</w:t>
      </w:r>
      <w:r w:rsidR="004D52FC" w:rsidRPr="002906AF">
        <w:rPr>
          <w:rFonts w:ascii="Arial" w:hAnsi="Arial" w:cs="Arial"/>
          <w:sz w:val="20"/>
        </w:rPr>
        <w:t xml:space="preserve"> household</w:t>
      </w:r>
      <w:r w:rsidR="00676B83" w:rsidRPr="002906AF">
        <w:rPr>
          <w:rFonts w:ascii="Arial" w:hAnsi="Arial" w:cs="Arial"/>
          <w:sz w:val="20"/>
        </w:rPr>
        <w:t>s</w:t>
      </w:r>
      <w:r w:rsidRPr="002906AF">
        <w:rPr>
          <w:rFonts w:ascii="Arial" w:hAnsi="Arial" w:cs="Arial"/>
          <w:sz w:val="20"/>
        </w:rPr>
        <w:t xml:space="preserve"> </w:t>
      </w:r>
      <w:r w:rsidR="00CC7083" w:rsidRPr="002906AF">
        <w:rPr>
          <w:rFonts w:ascii="Arial" w:hAnsi="Arial" w:cs="Arial"/>
          <w:sz w:val="20"/>
        </w:rPr>
        <w:t>of</w:t>
      </w:r>
      <w:r w:rsidRPr="002906AF">
        <w:rPr>
          <w:rFonts w:ascii="Arial" w:hAnsi="Arial" w:cs="Arial"/>
          <w:sz w:val="20"/>
        </w:rPr>
        <w:t xml:space="preserve"> </w:t>
      </w:r>
      <w:r w:rsidR="00CC7083" w:rsidRPr="002906AF">
        <w:rPr>
          <w:rFonts w:ascii="Arial" w:hAnsi="Arial" w:cs="Arial"/>
          <w:sz w:val="20"/>
        </w:rPr>
        <w:t xml:space="preserve">Calicut </w:t>
      </w:r>
      <w:r w:rsidR="00C76B6D" w:rsidRPr="002906AF">
        <w:rPr>
          <w:rFonts w:ascii="Arial" w:hAnsi="Arial" w:cs="Arial"/>
          <w:sz w:val="20"/>
        </w:rPr>
        <w:t>Municipal Corporation</w:t>
      </w:r>
      <w:r w:rsidR="00676B83" w:rsidRPr="002906AF">
        <w:rPr>
          <w:rFonts w:ascii="Arial" w:hAnsi="Arial" w:cs="Arial"/>
          <w:sz w:val="20"/>
        </w:rPr>
        <w:t xml:space="preserve"> of Kerala</w:t>
      </w:r>
      <w:r w:rsidR="00665BA0" w:rsidRPr="002906AF">
        <w:rPr>
          <w:rFonts w:ascii="Arial" w:hAnsi="Arial" w:cs="Arial"/>
          <w:sz w:val="20"/>
        </w:rPr>
        <w:t xml:space="preserve"> are</w:t>
      </w:r>
      <w:r w:rsidR="00C76B6D" w:rsidRPr="002906AF">
        <w:rPr>
          <w:rFonts w:ascii="Arial" w:hAnsi="Arial" w:cs="Arial"/>
          <w:sz w:val="20"/>
        </w:rPr>
        <w:t xml:space="preserve"> </w:t>
      </w:r>
      <w:r w:rsidR="004D52FC" w:rsidRPr="002906AF">
        <w:rPr>
          <w:rFonts w:ascii="Arial" w:hAnsi="Arial" w:cs="Arial"/>
          <w:sz w:val="20"/>
        </w:rPr>
        <w:t xml:space="preserve">identified through </w:t>
      </w:r>
      <w:r w:rsidR="00C76B6D" w:rsidRPr="002906AF">
        <w:rPr>
          <w:rFonts w:ascii="Arial" w:hAnsi="Arial" w:cs="Arial"/>
          <w:sz w:val="20"/>
        </w:rPr>
        <w:t xml:space="preserve">a </w:t>
      </w:r>
      <w:r w:rsidRPr="002906AF">
        <w:rPr>
          <w:rFonts w:ascii="Arial" w:hAnsi="Arial" w:cs="Arial"/>
          <w:sz w:val="20"/>
        </w:rPr>
        <w:t>stratifi</w:t>
      </w:r>
      <w:r w:rsidR="00676B83" w:rsidRPr="002906AF">
        <w:rPr>
          <w:rFonts w:ascii="Arial" w:hAnsi="Arial" w:cs="Arial"/>
          <w:sz w:val="20"/>
        </w:rPr>
        <w:t>ed random sampling. Calicut</w:t>
      </w:r>
      <w:r w:rsidR="00665BA0" w:rsidRPr="002906AF">
        <w:rPr>
          <w:rFonts w:ascii="Arial" w:hAnsi="Arial" w:cs="Arial"/>
          <w:sz w:val="20"/>
        </w:rPr>
        <w:t xml:space="preserve"> Corporation</w:t>
      </w:r>
      <w:r w:rsidRPr="002906AF">
        <w:rPr>
          <w:rFonts w:ascii="Arial" w:hAnsi="Arial" w:cs="Arial"/>
          <w:sz w:val="20"/>
        </w:rPr>
        <w:t xml:space="preserve"> comprises</w:t>
      </w:r>
      <w:r w:rsidR="00C76B6D" w:rsidRPr="002906AF">
        <w:rPr>
          <w:rFonts w:ascii="Arial" w:hAnsi="Arial" w:cs="Arial"/>
          <w:sz w:val="20"/>
        </w:rPr>
        <w:t xml:space="preserve"> of </w:t>
      </w:r>
      <w:r w:rsidRPr="002906AF">
        <w:rPr>
          <w:rFonts w:ascii="Arial" w:hAnsi="Arial" w:cs="Arial"/>
          <w:sz w:val="20"/>
        </w:rPr>
        <w:t>75 wards which are divided into two strata</w:t>
      </w:r>
      <w:r w:rsidR="00665BA0" w:rsidRPr="002906AF">
        <w:rPr>
          <w:rFonts w:ascii="Arial" w:hAnsi="Arial" w:cs="Arial"/>
          <w:sz w:val="20"/>
        </w:rPr>
        <w:t xml:space="preserve"> based on their</w:t>
      </w:r>
      <w:r w:rsidRPr="002906AF">
        <w:rPr>
          <w:rFonts w:ascii="Arial" w:hAnsi="Arial" w:cs="Arial"/>
          <w:sz w:val="20"/>
        </w:rPr>
        <w:t xml:space="preserve"> mean distance</w:t>
      </w:r>
      <w:r w:rsidR="00665BA0" w:rsidRPr="002906AF">
        <w:rPr>
          <w:rFonts w:ascii="Arial" w:hAnsi="Arial" w:cs="Arial"/>
          <w:sz w:val="20"/>
        </w:rPr>
        <w:t xml:space="preserve"> (8 km)</w:t>
      </w:r>
      <w:r w:rsidRPr="002906AF">
        <w:rPr>
          <w:rFonts w:ascii="Arial" w:hAnsi="Arial" w:cs="Arial"/>
          <w:sz w:val="20"/>
        </w:rPr>
        <w:t xml:space="preserve"> from waste t</w:t>
      </w:r>
      <w:r w:rsidR="00665BA0" w:rsidRPr="002906AF">
        <w:rPr>
          <w:rFonts w:ascii="Arial" w:hAnsi="Arial" w:cs="Arial"/>
          <w:sz w:val="20"/>
        </w:rPr>
        <w:t xml:space="preserve">reatment plant. </w:t>
      </w:r>
      <w:r w:rsidR="0019392A" w:rsidRPr="002906AF">
        <w:rPr>
          <w:rFonts w:ascii="Arial" w:hAnsi="Arial" w:cs="Arial"/>
          <w:sz w:val="20"/>
        </w:rPr>
        <w:t xml:space="preserve"> S</w:t>
      </w:r>
      <w:r w:rsidR="00665BA0" w:rsidRPr="002906AF">
        <w:rPr>
          <w:rFonts w:ascii="Arial" w:hAnsi="Arial" w:cs="Arial"/>
          <w:sz w:val="20"/>
        </w:rPr>
        <w:t>tra</w:t>
      </w:r>
      <w:r w:rsidR="008D7895" w:rsidRPr="002906AF">
        <w:rPr>
          <w:rFonts w:ascii="Arial" w:hAnsi="Arial" w:cs="Arial"/>
          <w:sz w:val="20"/>
        </w:rPr>
        <w:t xml:space="preserve">tum 1 comprised 33 wards within </w:t>
      </w:r>
      <w:r w:rsidR="00665BA0" w:rsidRPr="002906AF">
        <w:rPr>
          <w:rFonts w:ascii="Arial" w:hAnsi="Arial" w:cs="Arial"/>
          <w:sz w:val="20"/>
        </w:rPr>
        <w:t xml:space="preserve">mean distance, while </w:t>
      </w:r>
      <w:r w:rsidR="0019392A" w:rsidRPr="002906AF">
        <w:rPr>
          <w:rFonts w:ascii="Arial" w:hAnsi="Arial" w:cs="Arial"/>
          <w:sz w:val="20"/>
        </w:rPr>
        <w:t>S</w:t>
      </w:r>
      <w:r w:rsidR="00665BA0" w:rsidRPr="002906AF">
        <w:rPr>
          <w:rFonts w:ascii="Arial" w:hAnsi="Arial" w:cs="Arial"/>
          <w:sz w:val="20"/>
        </w:rPr>
        <w:t>tratum</w:t>
      </w:r>
      <w:r w:rsidRPr="002906AF">
        <w:rPr>
          <w:rFonts w:ascii="Arial" w:hAnsi="Arial" w:cs="Arial"/>
          <w:sz w:val="20"/>
        </w:rPr>
        <w:t xml:space="preserve"> II</w:t>
      </w:r>
      <w:r w:rsidR="00665BA0" w:rsidRPr="002906AF">
        <w:rPr>
          <w:rFonts w:ascii="Arial" w:hAnsi="Arial" w:cs="Arial"/>
          <w:sz w:val="20"/>
        </w:rPr>
        <w:t xml:space="preserve"> comprised 42 wards further away from the mean distance. Seven wards are randomly selected from Stratum</w:t>
      </w:r>
      <w:r w:rsidR="008D7895" w:rsidRPr="002906AF">
        <w:rPr>
          <w:rFonts w:ascii="Arial" w:hAnsi="Arial" w:cs="Arial"/>
          <w:sz w:val="20"/>
        </w:rPr>
        <w:t xml:space="preserve"> I, and eight </w:t>
      </w:r>
      <w:r w:rsidR="00C55089" w:rsidRPr="002906AF">
        <w:rPr>
          <w:rFonts w:ascii="Arial" w:hAnsi="Arial" w:cs="Arial"/>
          <w:sz w:val="20"/>
        </w:rPr>
        <w:t xml:space="preserve">from Stratum II. Each </w:t>
      </w:r>
      <w:proofErr w:type="gramStart"/>
      <w:r w:rsidR="00665BA0" w:rsidRPr="002906AF">
        <w:rPr>
          <w:rFonts w:ascii="Arial" w:hAnsi="Arial" w:cs="Arial"/>
          <w:sz w:val="20"/>
        </w:rPr>
        <w:t>wards</w:t>
      </w:r>
      <w:proofErr w:type="gramEnd"/>
      <w:r w:rsidRPr="002906AF">
        <w:rPr>
          <w:rFonts w:ascii="Arial" w:hAnsi="Arial" w:cs="Arial"/>
          <w:sz w:val="20"/>
        </w:rPr>
        <w:t xml:space="preserve"> represents 24-28 households</w:t>
      </w:r>
      <w:r w:rsidR="00665BA0" w:rsidRPr="002906AF">
        <w:rPr>
          <w:rFonts w:ascii="Arial" w:hAnsi="Arial" w:cs="Arial"/>
          <w:sz w:val="20"/>
        </w:rPr>
        <w:t>, in a proportion to the total households in that ward.</w:t>
      </w:r>
    </w:p>
    <w:p w14:paraId="1998BD22" w14:textId="77777777" w:rsidR="006A307E" w:rsidRPr="00D07BBD" w:rsidRDefault="00CF0007" w:rsidP="00DE11F7">
      <w:pPr>
        <w:jc w:val="both"/>
        <w:rPr>
          <w:rFonts w:ascii="Arial" w:hAnsi="Arial" w:cs="Arial"/>
          <w:sz w:val="20"/>
        </w:rPr>
      </w:pPr>
      <w:r w:rsidRPr="00063201">
        <w:rPr>
          <w:rFonts w:ascii="Arial" w:hAnsi="Arial" w:cs="Arial"/>
          <w:b/>
          <w:szCs w:val="22"/>
        </w:rPr>
        <w:t>3.2</w:t>
      </w:r>
      <w:r w:rsidR="006A307E" w:rsidRPr="00063201">
        <w:rPr>
          <w:rFonts w:ascii="Arial" w:hAnsi="Arial" w:cs="Arial"/>
          <w:b/>
          <w:szCs w:val="22"/>
        </w:rPr>
        <w:t xml:space="preserve"> Theoretical framework </w:t>
      </w:r>
    </w:p>
    <w:p w14:paraId="139C7880" w14:textId="77777777" w:rsidR="00AB229E" w:rsidRPr="00063201" w:rsidRDefault="00622A1C" w:rsidP="00063201">
      <w:pPr>
        <w:jc w:val="both"/>
        <w:rPr>
          <w:rFonts w:ascii="Arial" w:hAnsi="Arial" w:cs="Arial"/>
          <w:color w:val="000000"/>
          <w:sz w:val="20"/>
        </w:rPr>
      </w:pPr>
      <w:r w:rsidRPr="00063201">
        <w:rPr>
          <w:rFonts w:ascii="Arial" w:hAnsi="Arial" w:cs="Arial"/>
          <w:color w:val="000000"/>
          <w:sz w:val="20"/>
        </w:rPr>
        <w:t>Environmental quality is widely seen as a non-rival and non-excludable public benefit in terms of consumption</w:t>
      </w:r>
      <w:r w:rsidR="006A307E" w:rsidRPr="00063201">
        <w:rPr>
          <w:rFonts w:ascii="Arial" w:hAnsi="Arial" w:cs="Arial"/>
          <w:sz w:val="20"/>
        </w:rPr>
        <w:t xml:space="preserve">. </w:t>
      </w:r>
      <w:r w:rsidR="00DA26EB" w:rsidRPr="00063201">
        <w:rPr>
          <w:rFonts w:ascii="Arial" w:hAnsi="Arial" w:cs="Arial"/>
          <w:sz w:val="20"/>
        </w:rPr>
        <w:t xml:space="preserve">As such, it leads to the inherent possibility of market failure and consequent </w:t>
      </w:r>
      <w:r w:rsidR="00970BEB" w:rsidRPr="00063201">
        <w:rPr>
          <w:rFonts w:ascii="Arial" w:hAnsi="Arial" w:cs="Arial"/>
          <w:sz w:val="20"/>
        </w:rPr>
        <w:t>absence of</w:t>
      </w:r>
      <w:r w:rsidR="00DA26EB" w:rsidRPr="00063201">
        <w:rPr>
          <w:rFonts w:ascii="Arial" w:hAnsi="Arial" w:cs="Arial"/>
          <w:sz w:val="20"/>
        </w:rPr>
        <w:t xml:space="preserve"> </w:t>
      </w:r>
      <w:r w:rsidR="006A307E" w:rsidRPr="00063201">
        <w:rPr>
          <w:rFonts w:ascii="Arial" w:hAnsi="Arial" w:cs="Arial"/>
          <w:sz w:val="20"/>
        </w:rPr>
        <w:t>price signal</w:t>
      </w:r>
      <w:r w:rsidR="00DA26EB" w:rsidRPr="00063201">
        <w:rPr>
          <w:rFonts w:ascii="Arial" w:hAnsi="Arial" w:cs="Arial"/>
          <w:sz w:val="20"/>
        </w:rPr>
        <w:t>s.</w:t>
      </w:r>
      <w:r w:rsidR="006A307E" w:rsidRPr="00063201">
        <w:rPr>
          <w:rFonts w:ascii="Arial" w:hAnsi="Arial" w:cs="Arial"/>
          <w:sz w:val="20"/>
        </w:rPr>
        <w:t xml:space="preserve"> In such cases, government interventions through public policy measures</w:t>
      </w:r>
      <w:r w:rsidR="00127ABD" w:rsidRPr="00063201">
        <w:rPr>
          <w:rFonts w:ascii="Arial" w:hAnsi="Arial" w:cs="Arial"/>
          <w:sz w:val="20"/>
        </w:rPr>
        <w:t xml:space="preserve"> such as taxation, regulations, incentives, public projects etc. might be necessary. </w:t>
      </w:r>
      <w:r w:rsidRPr="00063201">
        <w:rPr>
          <w:rFonts w:ascii="Arial" w:hAnsi="Arial" w:cs="Arial"/>
          <w:color w:val="000000"/>
          <w:sz w:val="20"/>
        </w:rPr>
        <w:t>However, due to policy failure, all government interventions may not be socially acceptable.</w:t>
      </w:r>
      <w:r w:rsidR="006A307E" w:rsidRPr="00063201">
        <w:rPr>
          <w:rFonts w:ascii="Arial" w:hAnsi="Arial" w:cs="Arial"/>
          <w:sz w:val="20"/>
        </w:rPr>
        <w:t xml:space="preserve"> That is to say, government interventions distort a well- functioning market or fails to establish the foundations for the market to function eff</w:t>
      </w:r>
      <w:r w:rsidR="000164F4" w:rsidRPr="00063201">
        <w:rPr>
          <w:rFonts w:ascii="Arial" w:hAnsi="Arial" w:cs="Arial"/>
          <w:sz w:val="20"/>
        </w:rPr>
        <w:t>iciently (Callen and Thomas 2013</w:t>
      </w:r>
      <w:r w:rsidR="00EC2F12" w:rsidRPr="00063201">
        <w:rPr>
          <w:rFonts w:ascii="Arial" w:hAnsi="Arial" w:cs="Arial"/>
          <w:sz w:val="20"/>
        </w:rPr>
        <w:t xml:space="preserve">) leading to </w:t>
      </w:r>
      <w:r w:rsidRPr="00063201">
        <w:rPr>
          <w:rFonts w:ascii="Arial" w:hAnsi="Arial" w:cs="Arial"/>
          <w:color w:val="000000"/>
          <w:sz w:val="20"/>
        </w:rPr>
        <w:t xml:space="preserve">market failure and government failure, </w:t>
      </w:r>
      <w:r w:rsidR="00EC2F12" w:rsidRPr="00063201">
        <w:rPr>
          <w:rFonts w:ascii="Arial" w:hAnsi="Arial" w:cs="Arial"/>
          <w:color w:val="000000"/>
          <w:sz w:val="20"/>
        </w:rPr>
        <w:t xml:space="preserve">necessitating </w:t>
      </w:r>
      <w:r w:rsidRPr="00063201">
        <w:rPr>
          <w:rFonts w:ascii="Arial" w:hAnsi="Arial" w:cs="Arial"/>
          <w:color w:val="000000"/>
          <w:sz w:val="20"/>
        </w:rPr>
        <w:t>a</w:t>
      </w:r>
      <w:r w:rsidR="00127ABD" w:rsidRPr="00063201">
        <w:rPr>
          <w:rFonts w:ascii="Arial" w:hAnsi="Arial" w:cs="Arial"/>
          <w:color w:val="000000"/>
          <w:sz w:val="20"/>
        </w:rPr>
        <w:t>n alternative</w:t>
      </w:r>
      <w:r w:rsidRPr="00063201">
        <w:rPr>
          <w:rFonts w:ascii="Arial" w:hAnsi="Arial" w:cs="Arial"/>
          <w:color w:val="000000"/>
          <w:sz w:val="20"/>
        </w:rPr>
        <w:t xml:space="preserve"> method for evaluating non-</w:t>
      </w:r>
      <w:r w:rsidR="00034B0B" w:rsidRPr="00063201">
        <w:rPr>
          <w:rFonts w:ascii="Arial" w:hAnsi="Arial" w:cs="Arial"/>
          <w:color w:val="000000"/>
          <w:sz w:val="20"/>
        </w:rPr>
        <w:t xml:space="preserve"> market goods and services is required.</w:t>
      </w:r>
      <w:r w:rsidR="00EC2F12" w:rsidRPr="00063201">
        <w:rPr>
          <w:rFonts w:ascii="Arial" w:hAnsi="Arial" w:cs="Arial"/>
          <w:color w:val="000000"/>
          <w:sz w:val="20"/>
        </w:rPr>
        <w:t xml:space="preserve"> </w:t>
      </w:r>
    </w:p>
    <w:p w14:paraId="74C79459" w14:textId="77777777" w:rsidR="006A307E" w:rsidRPr="00063201" w:rsidRDefault="00AB229E" w:rsidP="00063201">
      <w:pPr>
        <w:autoSpaceDE w:val="0"/>
        <w:autoSpaceDN w:val="0"/>
        <w:adjustRightInd w:val="0"/>
        <w:spacing w:after="0"/>
        <w:jc w:val="both"/>
        <w:rPr>
          <w:rFonts w:ascii="Arial" w:hAnsi="Arial" w:cs="Arial"/>
          <w:sz w:val="20"/>
        </w:rPr>
      </w:pPr>
      <w:r w:rsidRPr="00063201">
        <w:rPr>
          <w:rFonts w:ascii="Arial" w:hAnsi="Arial" w:cs="Arial"/>
          <w:sz w:val="20"/>
        </w:rPr>
        <w:lastRenderedPageBreak/>
        <w:t xml:space="preserve">Owing to the absence of market data, the study employed an alternative estimation methodology predicated upon hypothetical market conditions. </w:t>
      </w:r>
      <w:r w:rsidR="006A307E" w:rsidRPr="00063201">
        <w:rPr>
          <w:rFonts w:ascii="Arial" w:hAnsi="Arial" w:cs="Arial"/>
          <w:color w:val="000000"/>
          <w:sz w:val="20"/>
        </w:rPr>
        <w:t xml:space="preserve"> </w:t>
      </w:r>
      <w:r w:rsidR="00622A1C" w:rsidRPr="00063201">
        <w:rPr>
          <w:rFonts w:ascii="Arial" w:hAnsi="Arial" w:cs="Arial"/>
          <w:sz w:val="20"/>
        </w:rPr>
        <w:t>Surveys ar</w:t>
      </w:r>
      <w:r w:rsidR="00890ECD" w:rsidRPr="00063201">
        <w:rPr>
          <w:rFonts w:ascii="Arial" w:hAnsi="Arial" w:cs="Arial"/>
          <w:sz w:val="20"/>
        </w:rPr>
        <w:t>e commonly used</w:t>
      </w:r>
      <w:r w:rsidR="00622A1C" w:rsidRPr="00063201">
        <w:rPr>
          <w:rFonts w:ascii="Arial" w:hAnsi="Arial" w:cs="Arial"/>
          <w:sz w:val="20"/>
        </w:rPr>
        <w:t xml:space="preserve"> to determine people's willingness </w:t>
      </w:r>
      <w:r w:rsidR="001B0328" w:rsidRPr="00063201">
        <w:rPr>
          <w:rFonts w:ascii="Arial" w:hAnsi="Arial" w:cs="Arial"/>
          <w:sz w:val="20"/>
        </w:rPr>
        <w:t>to pay</w:t>
      </w:r>
      <w:r w:rsidR="00622A1C" w:rsidRPr="00063201">
        <w:rPr>
          <w:rFonts w:ascii="Arial" w:hAnsi="Arial" w:cs="Arial"/>
          <w:sz w:val="20"/>
        </w:rPr>
        <w:t xml:space="preserve"> for a particular environment</w:t>
      </w:r>
      <w:r w:rsidR="00D32B4F" w:rsidRPr="00063201">
        <w:rPr>
          <w:rFonts w:ascii="Arial" w:hAnsi="Arial" w:cs="Arial"/>
          <w:sz w:val="20"/>
        </w:rPr>
        <w:t xml:space="preserve">al effort </w:t>
      </w:r>
      <w:proofErr w:type="spellStart"/>
      <w:r w:rsidR="00D32B4F" w:rsidRPr="00063201">
        <w:rPr>
          <w:rFonts w:ascii="Arial" w:hAnsi="Arial" w:cs="Arial"/>
          <w:sz w:val="20"/>
        </w:rPr>
        <w:t>utilise</w:t>
      </w:r>
      <w:proofErr w:type="spellEnd"/>
      <w:r w:rsidR="0019392A" w:rsidRPr="00063201">
        <w:rPr>
          <w:rFonts w:ascii="Arial" w:hAnsi="Arial" w:cs="Arial"/>
          <w:color w:val="000000"/>
          <w:sz w:val="20"/>
        </w:rPr>
        <w:t xml:space="preserve"> the Contingent Valuation M</w:t>
      </w:r>
      <w:r w:rsidR="005E7383" w:rsidRPr="00063201">
        <w:rPr>
          <w:rFonts w:ascii="Arial" w:hAnsi="Arial" w:cs="Arial"/>
          <w:color w:val="000000"/>
          <w:sz w:val="20"/>
        </w:rPr>
        <w:t>ethod</w:t>
      </w:r>
      <w:r w:rsidR="006A307E" w:rsidRPr="00063201">
        <w:rPr>
          <w:rFonts w:ascii="Arial" w:hAnsi="Arial" w:cs="Arial"/>
          <w:color w:val="000000"/>
          <w:sz w:val="20"/>
        </w:rPr>
        <w:t xml:space="preserve"> because the results are dependent, or contingent, on the devised hypothetical market</w:t>
      </w:r>
      <w:r w:rsidR="00D32B4F" w:rsidRPr="00063201">
        <w:rPr>
          <w:rFonts w:ascii="Arial" w:hAnsi="Arial" w:cs="Arial"/>
          <w:color w:val="000000"/>
          <w:sz w:val="20"/>
        </w:rPr>
        <w:t xml:space="preserve"> </w:t>
      </w:r>
      <w:r w:rsidR="00D32B4F" w:rsidRPr="00063201">
        <w:rPr>
          <w:rFonts w:ascii="Arial" w:hAnsi="Arial" w:cs="Arial"/>
          <w:sz w:val="20"/>
        </w:rPr>
        <w:t>(Callen and Thomas 2013)</w:t>
      </w:r>
      <w:r w:rsidR="00173871" w:rsidRPr="00063201">
        <w:rPr>
          <w:rFonts w:ascii="Arial" w:hAnsi="Arial" w:cs="Arial"/>
          <w:b/>
          <w:bCs/>
          <w:sz w:val="20"/>
        </w:rPr>
        <w:t>.</w:t>
      </w:r>
      <w:r w:rsidR="00D32B4F" w:rsidRPr="00063201">
        <w:rPr>
          <w:rFonts w:ascii="Arial" w:hAnsi="Arial" w:cs="Arial"/>
          <w:b/>
          <w:bCs/>
          <w:sz w:val="20"/>
        </w:rPr>
        <w:t xml:space="preserve"> </w:t>
      </w:r>
      <w:r w:rsidR="00173871" w:rsidRPr="00063201">
        <w:rPr>
          <w:rFonts w:ascii="Arial" w:hAnsi="Arial" w:cs="Arial"/>
          <w:bCs/>
          <w:sz w:val="20"/>
        </w:rPr>
        <w:t xml:space="preserve"> </w:t>
      </w:r>
      <w:r w:rsidR="00D32B4F" w:rsidRPr="00063201">
        <w:rPr>
          <w:rFonts w:ascii="Arial" w:hAnsi="Arial" w:cs="Arial"/>
          <w:bCs/>
          <w:sz w:val="20"/>
        </w:rPr>
        <w:t>T</w:t>
      </w:r>
      <w:r w:rsidR="00CF0007" w:rsidRPr="00063201">
        <w:rPr>
          <w:rFonts w:ascii="Arial" w:hAnsi="Arial" w:cs="Arial"/>
          <w:sz w:val="20"/>
        </w:rPr>
        <w:t>he contingent valuation method</w:t>
      </w:r>
      <w:r w:rsidR="00622A1C" w:rsidRPr="00063201">
        <w:rPr>
          <w:rFonts w:ascii="Arial" w:hAnsi="Arial" w:cs="Arial"/>
          <w:sz w:val="20"/>
        </w:rPr>
        <w:t xml:space="preserve"> entails asking individuals the greatest amount they are ready to pay for a benefit, as well as the least amount they are willing to accept if they do not want</w:t>
      </w:r>
      <w:r w:rsidR="003A75DD" w:rsidRPr="00063201">
        <w:rPr>
          <w:rFonts w:ascii="Arial" w:hAnsi="Arial" w:cs="Arial"/>
          <w:sz w:val="20"/>
        </w:rPr>
        <w:t xml:space="preserve"> the benefit </w:t>
      </w:r>
      <w:proofErr w:type="gramStart"/>
      <w:r w:rsidR="003A75DD" w:rsidRPr="00063201">
        <w:rPr>
          <w:rFonts w:ascii="Arial" w:hAnsi="Arial" w:cs="Arial"/>
          <w:sz w:val="20"/>
        </w:rPr>
        <w:t>(</w:t>
      </w:r>
      <w:r w:rsidR="00357840">
        <w:rPr>
          <w:rFonts w:ascii="Arial" w:hAnsi="Arial" w:cs="Arial"/>
          <w:sz w:val="20"/>
        </w:rPr>
        <w:t xml:space="preserve"> </w:t>
      </w:r>
      <w:r w:rsidR="003A75DD" w:rsidRPr="00063201">
        <w:rPr>
          <w:rFonts w:ascii="Arial" w:hAnsi="Arial" w:cs="Arial"/>
          <w:sz w:val="20"/>
        </w:rPr>
        <w:t>Callen</w:t>
      </w:r>
      <w:proofErr w:type="gramEnd"/>
      <w:r w:rsidR="003A75DD" w:rsidRPr="00063201">
        <w:rPr>
          <w:rFonts w:ascii="Arial" w:hAnsi="Arial" w:cs="Arial"/>
          <w:sz w:val="20"/>
        </w:rPr>
        <w:t xml:space="preserve"> and Thomas</w:t>
      </w:r>
      <w:r w:rsidR="000164F4" w:rsidRPr="00063201">
        <w:rPr>
          <w:rFonts w:ascii="Arial" w:hAnsi="Arial" w:cs="Arial"/>
          <w:sz w:val="20"/>
        </w:rPr>
        <w:t xml:space="preserve"> 2013</w:t>
      </w:r>
      <w:r w:rsidR="008D7895" w:rsidRPr="00063201">
        <w:rPr>
          <w:rFonts w:ascii="Arial" w:hAnsi="Arial" w:cs="Arial"/>
          <w:sz w:val="20"/>
        </w:rPr>
        <w:t>).</w:t>
      </w:r>
      <w:r w:rsidR="00DE0977" w:rsidRPr="00063201">
        <w:rPr>
          <w:rFonts w:ascii="Arial" w:hAnsi="Arial" w:cs="Arial"/>
          <w:sz w:val="20"/>
        </w:rPr>
        <w:t xml:space="preserve"> </w:t>
      </w:r>
      <w:r w:rsidR="005A3114" w:rsidRPr="00063201">
        <w:rPr>
          <w:rFonts w:ascii="Arial" w:hAnsi="Arial" w:cs="Arial"/>
          <w:sz w:val="20"/>
        </w:rPr>
        <w:t>This method is also known as the stated preference technique, as the people are directly asked to state their value rather than inferring values from the actual choice and t</w:t>
      </w:r>
      <w:r w:rsidR="00CF0007" w:rsidRPr="00063201">
        <w:rPr>
          <w:rFonts w:ascii="Arial" w:hAnsi="Arial" w:cs="Arial"/>
          <w:sz w:val="20"/>
        </w:rPr>
        <w:t>he willingness to pay</w:t>
      </w:r>
      <w:r w:rsidR="009550F6" w:rsidRPr="00063201">
        <w:rPr>
          <w:rFonts w:ascii="Arial" w:hAnsi="Arial" w:cs="Arial"/>
          <w:sz w:val="20"/>
        </w:rPr>
        <w:t xml:space="preserve"> will reflect the value of the particular environmental quality (</w:t>
      </w:r>
      <w:r w:rsidR="003A75DD" w:rsidRPr="00063201">
        <w:rPr>
          <w:rFonts w:ascii="Arial" w:hAnsi="Arial" w:cs="Arial"/>
          <w:noProof/>
          <w:sz w:val="20"/>
        </w:rPr>
        <w:t>Walsh et al.</w:t>
      </w:r>
      <w:r w:rsidR="009550F6" w:rsidRPr="00063201">
        <w:rPr>
          <w:rFonts w:ascii="Arial" w:hAnsi="Arial" w:cs="Arial"/>
          <w:noProof/>
          <w:sz w:val="20"/>
        </w:rPr>
        <w:t xml:space="preserve"> 1984</w:t>
      </w:r>
      <w:r w:rsidR="00DE11F7" w:rsidRPr="00063201">
        <w:rPr>
          <w:rFonts w:ascii="Arial" w:hAnsi="Arial" w:cs="Arial"/>
          <w:noProof/>
          <w:sz w:val="20"/>
        </w:rPr>
        <w:t xml:space="preserve">, </w:t>
      </w:r>
      <w:r w:rsidR="009550F6" w:rsidRPr="00063201">
        <w:rPr>
          <w:rFonts w:ascii="Arial" w:hAnsi="Arial" w:cs="Arial"/>
          <w:noProof/>
          <w:sz w:val="20"/>
        </w:rPr>
        <w:t>Mitchell &amp; Cars</w:t>
      </w:r>
      <w:r w:rsidR="003A75DD" w:rsidRPr="00063201">
        <w:rPr>
          <w:rFonts w:ascii="Arial" w:hAnsi="Arial" w:cs="Arial"/>
          <w:noProof/>
          <w:sz w:val="20"/>
        </w:rPr>
        <w:t>on</w:t>
      </w:r>
      <w:r w:rsidR="00793FF3" w:rsidRPr="00063201">
        <w:rPr>
          <w:rFonts w:ascii="Arial" w:hAnsi="Arial" w:cs="Arial"/>
          <w:noProof/>
          <w:sz w:val="20"/>
        </w:rPr>
        <w:t xml:space="preserve"> 201</w:t>
      </w:r>
      <w:r w:rsidR="009550F6" w:rsidRPr="00063201">
        <w:rPr>
          <w:rFonts w:ascii="Arial" w:hAnsi="Arial" w:cs="Arial"/>
          <w:noProof/>
          <w:sz w:val="20"/>
        </w:rPr>
        <w:t>3</w:t>
      </w:r>
      <w:r w:rsidRPr="00063201">
        <w:rPr>
          <w:rFonts w:ascii="Arial" w:hAnsi="Arial" w:cs="Arial"/>
          <w:sz w:val="20"/>
        </w:rPr>
        <w:t>)</w:t>
      </w:r>
      <w:r w:rsidR="00970BEB" w:rsidRPr="00063201">
        <w:rPr>
          <w:rFonts w:ascii="Arial" w:hAnsi="Arial" w:cs="Arial"/>
          <w:sz w:val="20"/>
        </w:rPr>
        <w:t>.</w:t>
      </w:r>
      <w:r w:rsidRPr="00063201">
        <w:rPr>
          <w:rFonts w:ascii="Arial" w:hAnsi="Arial" w:cs="Arial"/>
          <w:sz w:val="20"/>
        </w:rPr>
        <w:t xml:space="preserve"> </w:t>
      </w:r>
      <w:r w:rsidR="0030721B" w:rsidRPr="00063201">
        <w:rPr>
          <w:rFonts w:ascii="Arial" w:hAnsi="Arial" w:cs="Arial"/>
          <w:sz w:val="20"/>
        </w:rPr>
        <w:t>The main aim of the contingent valuation</w:t>
      </w:r>
      <w:r w:rsidR="009550F6" w:rsidRPr="00063201">
        <w:rPr>
          <w:rFonts w:ascii="Arial" w:hAnsi="Arial" w:cs="Arial"/>
          <w:sz w:val="20"/>
        </w:rPr>
        <w:t xml:space="preserve"> survey is to create a hypothetical market, as close to a real market, to obtain hypothetical bids 'that conform to actual bids if the actual market had existed</w:t>
      </w:r>
      <w:r w:rsidRPr="00063201">
        <w:rPr>
          <w:rFonts w:ascii="Arial" w:hAnsi="Arial" w:cs="Arial"/>
          <w:sz w:val="20"/>
        </w:rPr>
        <w:t xml:space="preserve"> (</w:t>
      </w:r>
      <w:r w:rsidRPr="00063201">
        <w:rPr>
          <w:rFonts w:ascii="Arial" w:hAnsi="Arial" w:cs="Arial"/>
          <w:noProof/>
          <w:sz w:val="20"/>
        </w:rPr>
        <w:t>Mitchell &amp; Carson 2013)</w:t>
      </w:r>
      <w:r w:rsidR="009550F6" w:rsidRPr="00063201">
        <w:rPr>
          <w:rFonts w:ascii="Arial" w:hAnsi="Arial" w:cs="Arial"/>
          <w:sz w:val="20"/>
        </w:rPr>
        <w:t>.</w:t>
      </w:r>
    </w:p>
    <w:p w14:paraId="27930FF9" w14:textId="77777777" w:rsidR="008D7895" w:rsidRPr="002906AF" w:rsidRDefault="008D7895" w:rsidP="008D7895">
      <w:pPr>
        <w:autoSpaceDE w:val="0"/>
        <w:autoSpaceDN w:val="0"/>
        <w:adjustRightInd w:val="0"/>
        <w:spacing w:after="0"/>
        <w:jc w:val="both"/>
        <w:rPr>
          <w:rFonts w:ascii="Arial" w:hAnsi="Arial" w:cs="Arial"/>
          <w:sz w:val="24"/>
          <w:szCs w:val="24"/>
        </w:rPr>
      </w:pPr>
    </w:p>
    <w:p w14:paraId="4FD87DD3" w14:textId="77777777" w:rsidR="008A0C05" w:rsidRPr="00063201" w:rsidRDefault="00CF0007" w:rsidP="00DE11F7">
      <w:pPr>
        <w:autoSpaceDE w:val="0"/>
        <w:autoSpaceDN w:val="0"/>
        <w:adjustRightInd w:val="0"/>
        <w:jc w:val="both"/>
        <w:rPr>
          <w:rFonts w:ascii="Arial" w:hAnsi="Arial" w:cs="Arial"/>
          <w:b/>
          <w:szCs w:val="22"/>
          <w:lang w:val="en-IN" w:bidi="ar-SA"/>
        </w:rPr>
      </w:pPr>
      <w:r w:rsidRPr="00063201">
        <w:rPr>
          <w:rFonts w:ascii="Arial" w:hAnsi="Arial" w:cs="Arial"/>
          <w:b/>
          <w:szCs w:val="22"/>
          <w:lang w:val="en-IN" w:bidi="ar-SA"/>
        </w:rPr>
        <w:t>3.3</w:t>
      </w:r>
      <w:r w:rsidR="008D7895" w:rsidRPr="00063201">
        <w:rPr>
          <w:rFonts w:ascii="Arial" w:hAnsi="Arial" w:cs="Arial"/>
          <w:b/>
          <w:szCs w:val="22"/>
          <w:lang w:val="en-IN" w:bidi="ar-SA"/>
        </w:rPr>
        <w:t>.</w:t>
      </w:r>
      <w:r w:rsidR="00E2570D" w:rsidRPr="00063201">
        <w:rPr>
          <w:rFonts w:ascii="Arial" w:hAnsi="Arial" w:cs="Arial"/>
          <w:b/>
          <w:szCs w:val="22"/>
          <w:lang w:val="en-IN" w:bidi="ar-SA"/>
        </w:rPr>
        <w:t xml:space="preserve"> Dichotomous Choice Method </w:t>
      </w:r>
    </w:p>
    <w:p w14:paraId="3F5FF499" w14:textId="77777777" w:rsidR="0054660F" w:rsidRPr="00063201" w:rsidRDefault="008A0C05" w:rsidP="00063201">
      <w:pPr>
        <w:jc w:val="both"/>
        <w:rPr>
          <w:rFonts w:ascii="Arial" w:hAnsi="Arial" w:cs="Arial"/>
          <w:sz w:val="20"/>
        </w:rPr>
      </w:pPr>
      <w:r w:rsidRPr="00063201">
        <w:rPr>
          <w:rFonts w:ascii="Arial" w:hAnsi="Arial" w:cs="Arial"/>
          <w:sz w:val="20"/>
        </w:rPr>
        <w:t>The present study utilizes the dichotomous choice method o</w:t>
      </w:r>
      <w:r w:rsidR="00CC6FDC" w:rsidRPr="00063201">
        <w:rPr>
          <w:rFonts w:ascii="Arial" w:hAnsi="Arial" w:cs="Arial"/>
          <w:sz w:val="20"/>
        </w:rPr>
        <w:t>f contingent valuation to elicit</w:t>
      </w:r>
      <w:r w:rsidRPr="00063201">
        <w:rPr>
          <w:rFonts w:ascii="Arial" w:hAnsi="Arial" w:cs="Arial"/>
          <w:sz w:val="20"/>
        </w:rPr>
        <w:t xml:space="preserve"> public</w:t>
      </w:r>
      <w:r w:rsidR="00CC6FDC" w:rsidRPr="00063201">
        <w:rPr>
          <w:rFonts w:ascii="Arial" w:hAnsi="Arial" w:cs="Arial"/>
          <w:sz w:val="20"/>
        </w:rPr>
        <w:t>s’ willingness towards</w:t>
      </w:r>
      <w:r w:rsidRPr="00063201">
        <w:rPr>
          <w:rFonts w:ascii="Arial" w:hAnsi="Arial" w:cs="Arial"/>
          <w:sz w:val="20"/>
        </w:rPr>
        <w:t xml:space="preserve"> enhanced waste management</w:t>
      </w:r>
      <w:r w:rsidR="00113DD2" w:rsidRPr="00063201">
        <w:rPr>
          <w:rFonts w:ascii="Arial" w:hAnsi="Arial" w:cs="Arial"/>
          <w:sz w:val="20"/>
        </w:rPr>
        <w:t>. Initially, respondents are queri</w:t>
      </w:r>
      <w:r w:rsidRPr="00063201">
        <w:rPr>
          <w:rFonts w:ascii="Arial" w:hAnsi="Arial" w:cs="Arial"/>
          <w:sz w:val="20"/>
        </w:rPr>
        <w:t xml:space="preserve">ed </w:t>
      </w:r>
      <w:r w:rsidR="00113DD2" w:rsidRPr="00063201">
        <w:rPr>
          <w:rFonts w:ascii="Arial" w:hAnsi="Arial" w:cs="Arial"/>
          <w:sz w:val="20"/>
        </w:rPr>
        <w:t>about their</w:t>
      </w:r>
      <w:r w:rsidRPr="00063201">
        <w:rPr>
          <w:rFonts w:ascii="Arial" w:hAnsi="Arial" w:cs="Arial"/>
          <w:sz w:val="20"/>
        </w:rPr>
        <w:t xml:space="preserve"> willing</w:t>
      </w:r>
      <w:r w:rsidR="00113DD2" w:rsidRPr="00063201">
        <w:rPr>
          <w:rFonts w:ascii="Arial" w:hAnsi="Arial" w:cs="Arial"/>
          <w:sz w:val="20"/>
        </w:rPr>
        <w:t>ness</w:t>
      </w:r>
      <w:r w:rsidRPr="00063201">
        <w:rPr>
          <w:rFonts w:ascii="Arial" w:hAnsi="Arial" w:cs="Arial"/>
          <w:sz w:val="20"/>
        </w:rPr>
        <w:t xml:space="preserve"> to contribute financially, even if it's a nominal amount, towards the described waste management improvements. If they answer aff</w:t>
      </w:r>
      <w:r w:rsidR="00113DD2" w:rsidRPr="00063201">
        <w:rPr>
          <w:rFonts w:ascii="Arial" w:hAnsi="Arial" w:cs="Arial"/>
          <w:sz w:val="20"/>
        </w:rPr>
        <w:t>irmatively to this initial</w:t>
      </w:r>
      <w:r w:rsidRPr="00063201">
        <w:rPr>
          <w:rFonts w:ascii="Arial" w:hAnsi="Arial" w:cs="Arial"/>
          <w:sz w:val="20"/>
        </w:rPr>
        <w:t xml:space="preserve"> question, a dichotomous valuation forma</w:t>
      </w:r>
      <w:r w:rsidR="00113DD2" w:rsidRPr="00063201">
        <w:rPr>
          <w:rFonts w:ascii="Arial" w:hAnsi="Arial" w:cs="Arial"/>
          <w:sz w:val="20"/>
        </w:rPr>
        <w:t>t</w:t>
      </w:r>
      <w:r w:rsidR="00CC6FDC" w:rsidRPr="00063201">
        <w:rPr>
          <w:rFonts w:ascii="Arial" w:hAnsi="Arial" w:cs="Arial"/>
          <w:sz w:val="20"/>
        </w:rPr>
        <w:t xml:space="preserve"> is employed. </w:t>
      </w:r>
      <w:r w:rsidR="00D62408" w:rsidRPr="00063201">
        <w:rPr>
          <w:rFonts w:ascii="Arial" w:hAnsi="Arial" w:cs="Arial"/>
          <w:sz w:val="20"/>
        </w:rPr>
        <w:t>In this format, households</w:t>
      </w:r>
      <w:r w:rsidRPr="00063201">
        <w:rPr>
          <w:rFonts w:ascii="Arial" w:hAnsi="Arial" w:cs="Arial"/>
          <w:sz w:val="20"/>
        </w:rPr>
        <w:t xml:space="preserve"> are </w:t>
      </w:r>
      <w:r w:rsidR="00F26FE8" w:rsidRPr="00063201">
        <w:rPr>
          <w:rFonts w:ascii="Arial" w:hAnsi="Arial" w:cs="Arial"/>
          <w:sz w:val="20"/>
        </w:rPr>
        <w:t xml:space="preserve">initially </w:t>
      </w:r>
      <w:r w:rsidRPr="00063201">
        <w:rPr>
          <w:rFonts w:ascii="Arial" w:hAnsi="Arial" w:cs="Arial"/>
          <w:sz w:val="20"/>
        </w:rPr>
        <w:t>present</w:t>
      </w:r>
      <w:r w:rsidR="00CC6FDC" w:rsidRPr="00063201">
        <w:rPr>
          <w:rFonts w:ascii="Arial" w:hAnsi="Arial" w:cs="Arial"/>
          <w:sz w:val="20"/>
        </w:rPr>
        <w:t>ed wit</w:t>
      </w:r>
      <w:r w:rsidR="00F26FE8" w:rsidRPr="00063201">
        <w:rPr>
          <w:rFonts w:ascii="Arial" w:hAnsi="Arial" w:cs="Arial"/>
          <w:sz w:val="20"/>
        </w:rPr>
        <w:t>h a specific</w:t>
      </w:r>
      <w:r w:rsidR="00CC6FDC" w:rsidRPr="00063201">
        <w:rPr>
          <w:rFonts w:ascii="Arial" w:hAnsi="Arial" w:cs="Arial"/>
          <w:sz w:val="20"/>
        </w:rPr>
        <w:t xml:space="preserve"> monetary bid</w:t>
      </w:r>
      <w:r w:rsidR="00113DD2" w:rsidRPr="00063201">
        <w:rPr>
          <w:rFonts w:ascii="Arial" w:hAnsi="Arial" w:cs="Arial"/>
          <w:sz w:val="20"/>
        </w:rPr>
        <w:t xml:space="preserve"> </w:t>
      </w:r>
      <w:r w:rsidR="00F26FE8" w:rsidRPr="00063201">
        <w:rPr>
          <w:rFonts w:ascii="Arial" w:hAnsi="Arial" w:cs="Arial"/>
          <w:sz w:val="20"/>
        </w:rPr>
        <w:t xml:space="preserve">and asked them to express </w:t>
      </w:r>
      <w:r w:rsidR="00113DD2" w:rsidRPr="00063201">
        <w:rPr>
          <w:rFonts w:ascii="Arial" w:hAnsi="Arial" w:cs="Arial"/>
          <w:sz w:val="20"/>
        </w:rPr>
        <w:t>willingness to</w:t>
      </w:r>
      <w:r w:rsidRPr="00063201">
        <w:rPr>
          <w:rFonts w:ascii="Arial" w:hAnsi="Arial" w:cs="Arial"/>
          <w:sz w:val="20"/>
        </w:rPr>
        <w:t xml:space="preserve"> that specific amount.</w:t>
      </w:r>
      <w:r w:rsidR="00F26FE8" w:rsidRPr="00063201">
        <w:rPr>
          <w:rFonts w:ascii="Arial" w:hAnsi="Arial" w:cs="Arial"/>
          <w:sz w:val="20"/>
        </w:rPr>
        <w:t xml:space="preserve"> If they agree, a higher bid is then presented, and respondents are further queried about their willingness to pay that sum.</w:t>
      </w:r>
      <w:r w:rsidR="00113DD2" w:rsidRPr="00063201">
        <w:rPr>
          <w:rFonts w:ascii="Arial" w:hAnsi="Arial" w:cs="Arial"/>
          <w:sz w:val="20"/>
        </w:rPr>
        <w:t xml:space="preserve"> </w:t>
      </w:r>
      <w:r w:rsidRPr="00063201">
        <w:rPr>
          <w:rFonts w:ascii="Arial" w:hAnsi="Arial" w:cs="Arial"/>
          <w:sz w:val="20"/>
        </w:rPr>
        <w:t>Conversely, i</w:t>
      </w:r>
      <w:r w:rsidR="00CC6FDC" w:rsidRPr="00063201">
        <w:rPr>
          <w:rFonts w:ascii="Arial" w:hAnsi="Arial" w:cs="Arial"/>
          <w:sz w:val="20"/>
        </w:rPr>
        <w:t>f they decline the initial bid</w:t>
      </w:r>
      <w:r w:rsidR="00943AE5" w:rsidRPr="00063201">
        <w:rPr>
          <w:rFonts w:ascii="Arial" w:hAnsi="Arial" w:cs="Arial"/>
          <w:sz w:val="20"/>
        </w:rPr>
        <w:t xml:space="preserve">, </w:t>
      </w:r>
      <w:r w:rsidR="00CC6FDC" w:rsidRPr="00063201">
        <w:rPr>
          <w:rFonts w:ascii="Arial" w:hAnsi="Arial" w:cs="Arial"/>
          <w:sz w:val="20"/>
        </w:rPr>
        <w:t>a lower bid</w:t>
      </w:r>
      <w:r w:rsidR="00943AE5" w:rsidRPr="00063201">
        <w:rPr>
          <w:rFonts w:ascii="Arial" w:hAnsi="Arial" w:cs="Arial"/>
          <w:sz w:val="20"/>
        </w:rPr>
        <w:t xml:space="preserve"> is proposed a</w:t>
      </w:r>
      <w:r w:rsidR="00F26FE8" w:rsidRPr="00063201">
        <w:rPr>
          <w:rFonts w:ascii="Arial" w:hAnsi="Arial" w:cs="Arial"/>
          <w:sz w:val="20"/>
        </w:rPr>
        <w:t xml:space="preserve">nd </w:t>
      </w:r>
      <w:r w:rsidR="00235A3A" w:rsidRPr="00063201">
        <w:rPr>
          <w:rFonts w:ascii="Arial" w:hAnsi="Arial" w:cs="Arial"/>
          <w:sz w:val="20"/>
        </w:rPr>
        <w:t>questioned whether they would be prepared t</w:t>
      </w:r>
      <w:r w:rsidR="00063201">
        <w:rPr>
          <w:rFonts w:ascii="Arial" w:hAnsi="Arial" w:cs="Arial"/>
          <w:sz w:val="20"/>
        </w:rPr>
        <w:t>o pay that</w:t>
      </w:r>
      <w:r w:rsidR="00943AE5" w:rsidRPr="00063201">
        <w:rPr>
          <w:rFonts w:ascii="Arial" w:hAnsi="Arial" w:cs="Arial"/>
          <w:sz w:val="20"/>
        </w:rPr>
        <w:t xml:space="preserve"> reduced bid</w:t>
      </w:r>
      <w:r w:rsidR="00CC6FDC" w:rsidRPr="00063201">
        <w:rPr>
          <w:rFonts w:ascii="Arial" w:hAnsi="Arial" w:cs="Arial"/>
          <w:sz w:val="20"/>
        </w:rPr>
        <w:t xml:space="preserve">. </w:t>
      </w:r>
      <w:r w:rsidRPr="00063201">
        <w:rPr>
          <w:rFonts w:ascii="Arial" w:hAnsi="Arial" w:cs="Arial"/>
          <w:sz w:val="20"/>
        </w:rPr>
        <w:t>Following this double-bounded approach, an open-ended follow-up question is posed to determine the maxim</w:t>
      </w:r>
      <w:r w:rsidR="00943AE5" w:rsidRPr="00063201">
        <w:rPr>
          <w:rFonts w:ascii="Arial" w:hAnsi="Arial" w:cs="Arial"/>
          <w:sz w:val="20"/>
        </w:rPr>
        <w:t>um amount households are ready</w:t>
      </w:r>
      <w:r w:rsidR="008941BF" w:rsidRPr="00063201">
        <w:rPr>
          <w:rFonts w:ascii="Arial" w:hAnsi="Arial" w:cs="Arial"/>
          <w:sz w:val="20"/>
        </w:rPr>
        <w:t xml:space="preserve"> to contribute. For those who respond negatively to the participation question, an additional inquiry is made to understand the reasons behind their unwillingness to contribute</w:t>
      </w:r>
      <w:r w:rsidR="008941BF" w:rsidRPr="00063201">
        <w:rPr>
          <w:rFonts w:ascii="Arial" w:hAnsi="Arial" w:cs="Arial"/>
          <w:sz w:val="20"/>
          <w:lang w:val="en-IN" w:bidi="ar-SA"/>
        </w:rPr>
        <w:t xml:space="preserve">. </w:t>
      </w:r>
    </w:p>
    <w:p w14:paraId="5F376F77" w14:textId="77777777" w:rsidR="008D7895" w:rsidRPr="00063201" w:rsidRDefault="008D7895" w:rsidP="008D7895">
      <w:pPr>
        <w:autoSpaceDE w:val="0"/>
        <w:autoSpaceDN w:val="0"/>
        <w:adjustRightInd w:val="0"/>
        <w:jc w:val="both"/>
        <w:rPr>
          <w:rFonts w:ascii="Arial" w:hAnsi="Arial" w:cs="Arial"/>
          <w:b/>
          <w:szCs w:val="22"/>
          <w:lang w:val="en-IN" w:bidi="ar-SA"/>
        </w:rPr>
      </w:pPr>
      <w:r w:rsidRPr="00063201">
        <w:rPr>
          <w:rFonts w:ascii="Arial" w:hAnsi="Arial" w:cs="Arial"/>
          <w:b/>
          <w:szCs w:val="22"/>
          <w:lang w:val="en-IN" w:bidi="ar-SA"/>
        </w:rPr>
        <w:t>3.4</w:t>
      </w:r>
      <w:r w:rsidR="00E2570D" w:rsidRPr="00063201">
        <w:rPr>
          <w:rFonts w:ascii="Arial" w:hAnsi="Arial" w:cs="Arial"/>
          <w:b/>
          <w:szCs w:val="22"/>
          <w:lang w:val="en-IN" w:bidi="ar-SA"/>
        </w:rPr>
        <w:t>. Econometric Method</w:t>
      </w:r>
    </w:p>
    <w:p w14:paraId="6CBC18EC" w14:textId="77777777" w:rsidR="00810629" w:rsidRPr="00063201" w:rsidRDefault="003A36C8" w:rsidP="00063201">
      <w:pPr>
        <w:autoSpaceDE w:val="0"/>
        <w:autoSpaceDN w:val="0"/>
        <w:adjustRightInd w:val="0"/>
        <w:jc w:val="both"/>
        <w:rPr>
          <w:rFonts w:ascii="Arial" w:hAnsi="Arial" w:cs="Arial"/>
          <w:b/>
          <w:sz w:val="20"/>
          <w:lang w:val="en-IN" w:bidi="ar-SA"/>
        </w:rPr>
      </w:pPr>
      <w:r w:rsidRPr="00063201">
        <w:rPr>
          <w:rFonts w:ascii="Arial" w:eastAsia="Times New Roman" w:hAnsi="Arial" w:cs="Arial"/>
          <w:sz w:val="20"/>
          <w:lang w:eastAsia="en-IN"/>
        </w:rPr>
        <w:t>OLS</w:t>
      </w:r>
      <w:r w:rsidR="00943AE5" w:rsidRPr="00063201">
        <w:rPr>
          <w:rFonts w:ascii="Arial" w:eastAsia="Times New Roman" w:hAnsi="Arial" w:cs="Arial"/>
          <w:sz w:val="20"/>
          <w:lang w:eastAsia="en-IN"/>
        </w:rPr>
        <w:t xml:space="preserve"> </w:t>
      </w:r>
      <w:r w:rsidRPr="00063201">
        <w:rPr>
          <w:rFonts w:ascii="Arial" w:eastAsia="Times New Roman" w:hAnsi="Arial" w:cs="Arial"/>
          <w:sz w:val="20"/>
          <w:lang w:eastAsia="en-IN"/>
        </w:rPr>
        <w:t xml:space="preserve">regression is </w:t>
      </w:r>
      <w:proofErr w:type="spellStart"/>
      <w:r w:rsidRPr="00063201">
        <w:rPr>
          <w:rFonts w:ascii="Arial" w:eastAsia="Times New Roman" w:hAnsi="Arial" w:cs="Arial"/>
          <w:sz w:val="20"/>
          <w:lang w:eastAsia="en-IN"/>
        </w:rPr>
        <w:t>utilised</w:t>
      </w:r>
      <w:proofErr w:type="spellEnd"/>
      <w:r w:rsidR="00235A3A" w:rsidRPr="00063201">
        <w:rPr>
          <w:rFonts w:ascii="Arial" w:eastAsia="Times New Roman" w:hAnsi="Arial" w:cs="Arial"/>
          <w:sz w:val="20"/>
          <w:lang w:eastAsia="en-IN"/>
        </w:rPr>
        <w:t xml:space="preserve"> to look into</w:t>
      </w:r>
      <w:r w:rsidR="006A307E" w:rsidRPr="00063201">
        <w:rPr>
          <w:rFonts w:ascii="Arial" w:eastAsia="Times New Roman" w:hAnsi="Arial" w:cs="Arial"/>
          <w:sz w:val="20"/>
          <w:lang w:eastAsia="en-IN"/>
        </w:rPr>
        <w:t xml:space="preserve"> the dominant factors that </w:t>
      </w:r>
      <w:r w:rsidRPr="00063201">
        <w:rPr>
          <w:rFonts w:ascii="Arial" w:eastAsia="Times New Roman" w:hAnsi="Arial" w:cs="Arial"/>
          <w:sz w:val="20"/>
          <w:lang w:eastAsia="en-IN"/>
        </w:rPr>
        <w:t>determine the WTP towards enhanced</w:t>
      </w:r>
      <w:r w:rsidR="00235A3A" w:rsidRPr="00063201">
        <w:rPr>
          <w:rFonts w:ascii="Arial" w:eastAsia="Times New Roman" w:hAnsi="Arial" w:cs="Arial"/>
          <w:sz w:val="20"/>
          <w:lang w:eastAsia="en-IN"/>
        </w:rPr>
        <w:t xml:space="preserve"> garbage</w:t>
      </w:r>
      <w:r w:rsidR="006A307E" w:rsidRPr="00063201">
        <w:rPr>
          <w:rFonts w:ascii="Arial" w:eastAsia="Times New Roman" w:hAnsi="Arial" w:cs="Arial"/>
          <w:sz w:val="20"/>
          <w:lang w:eastAsia="en-IN"/>
        </w:rPr>
        <w:t xml:space="preserve"> management among urban households</w:t>
      </w:r>
      <w:r w:rsidR="0054660F" w:rsidRPr="00063201">
        <w:rPr>
          <w:rFonts w:ascii="Arial" w:eastAsia="Times New Roman" w:hAnsi="Arial" w:cs="Arial"/>
          <w:sz w:val="20"/>
          <w:lang w:eastAsia="en-IN"/>
        </w:rPr>
        <w:t xml:space="preserve">. </w:t>
      </w:r>
      <w:r w:rsidR="00EC0C88" w:rsidRPr="00063201">
        <w:rPr>
          <w:rFonts w:ascii="Arial" w:hAnsi="Arial" w:cs="Arial"/>
          <w:bCs/>
          <w:sz w:val="20"/>
          <w:lang w:val="en-IN" w:bidi="ar-SA"/>
        </w:rPr>
        <w:t>The maximum willingness to p</w:t>
      </w:r>
      <w:r w:rsidR="00DA26EB" w:rsidRPr="00063201">
        <w:rPr>
          <w:rFonts w:ascii="Arial" w:hAnsi="Arial" w:cs="Arial"/>
          <w:bCs/>
          <w:sz w:val="20"/>
          <w:lang w:val="en-IN" w:bidi="ar-SA"/>
        </w:rPr>
        <w:t xml:space="preserve">ay of households is regressed on </w:t>
      </w:r>
      <w:r w:rsidR="00EC0C88" w:rsidRPr="00063201">
        <w:rPr>
          <w:rFonts w:ascii="Arial" w:hAnsi="Arial" w:cs="Arial"/>
          <w:bCs/>
          <w:sz w:val="20"/>
          <w:lang w:val="en-IN" w:bidi="ar-SA"/>
        </w:rPr>
        <w:t xml:space="preserve">explanatory variables including monthly household expenditure, household size, education level, gender, age, </w:t>
      </w:r>
      <w:r w:rsidR="0019392A" w:rsidRPr="00063201">
        <w:rPr>
          <w:rFonts w:ascii="Arial" w:hAnsi="Arial" w:cs="Arial"/>
          <w:bCs/>
          <w:sz w:val="20"/>
          <w:lang w:val="en-IN" w:bidi="ar-SA"/>
        </w:rPr>
        <w:t>quantity of waste generation, proximity to dumping ground</w:t>
      </w:r>
      <w:r w:rsidR="00EC0C88" w:rsidRPr="00063201">
        <w:rPr>
          <w:rFonts w:ascii="Arial" w:hAnsi="Arial" w:cs="Arial"/>
          <w:bCs/>
          <w:sz w:val="20"/>
          <w:lang w:val="en-IN" w:bidi="ar-SA"/>
        </w:rPr>
        <w:t xml:space="preserve"> and availability of waste disposal service. The model for det</w:t>
      </w:r>
      <w:r w:rsidR="00793FF3" w:rsidRPr="00063201">
        <w:rPr>
          <w:rFonts w:ascii="Arial" w:hAnsi="Arial" w:cs="Arial"/>
          <w:bCs/>
          <w:sz w:val="20"/>
          <w:lang w:val="en-IN" w:bidi="ar-SA"/>
        </w:rPr>
        <w:t>ermining factors influencing willingness to pay</w:t>
      </w:r>
      <w:r w:rsidR="00EC0C88" w:rsidRPr="00063201">
        <w:rPr>
          <w:rFonts w:ascii="Arial" w:hAnsi="Arial" w:cs="Arial"/>
          <w:bCs/>
          <w:sz w:val="20"/>
          <w:lang w:val="en-IN" w:bidi="ar-SA"/>
        </w:rPr>
        <w:t xml:space="preserve"> of household is defined as</w:t>
      </w:r>
    </w:p>
    <w:p w14:paraId="0714F6C5" w14:textId="77777777" w:rsidR="00EC0C88" w:rsidRPr="00063201" w:rsidRDefault="00EC0C88" w:rsidP="00DE11F7">
      <w:pPr>
        <w:autoSpaceDE w:val="0"/>
        <w:autoSpaceDN w:val="0"/>
        <w:adjustRightInd w:val="0"/>
        <w:spacing w:after="0"/>
        <w:jc w:val="center"/>
        <w:rPr>
          <w:rFonts w:ascii="Arial" w:hAnsi="Arial" w:cs="Arial"/>
          <w:bCs/>
          <w:sz w:val="20"/>
          <w:lang w:val="en-IN" w:bidi="ar-SA"/>
        </w:rPr>
      </w:pPr>
      <w:r w:rsidRPr="00063201">
        <w:rPr>
          <w:rFonts w:ascii="Arial" w:hAnsi="Arial" w:cs="Arial"/>
          <w:sz w:val="20"/>
          <w:lang w:val="en-IN" w:bidi="ar-SA"/>
        </w:rPr>
        <w:t>Y= α + β</w:t>
      </w:r>
      <w:r w:rsidRPr="00063201">
        <w:rPr>
          <w:rFonts w:ascii="Arial" w:hAnsi="Arial" w:cs="Arial"/>
          <w:sz w:val="20"/>
          <w:vertAlign w:val="subscript"/>
          <w:lang w:val="en-IN" w:bidi="ar-SA"/>
        </w:rPr>
        <w:t>1</w:t>
      </w:r>
      <w:r w:rsidRPr="00063201">
        <w:rPr>
          <w:rFonts w:ascii="Arial" w:hAnsi="Arial" w:cs="Arial"/>
          <w:sz w:val="20"/>
          <w:lang w:val="en-IN" w:bidi="ar-SA"/>
        </w:rPr>
        <w:t>X</w:t>
      </w:r>
      <w:r w:rsidRPr="00063201">
        <w:rPr>
          <w:rFonts w:ascii="Arial" w:hAnsi="Arial" w:cs="Arial"/>
          <w:sz w:val="20"/>
          <w:vertAlign w:val="subscript"/>
          <w:lang w:val="en-IN" w:bidi="ar-SA"/>
        </w:rPr>
        <w:t>1</w:t>
      </w:r>
      <w:r w:rsidRPr="00063201">
        <w:rPr>
          <w:rFonts w:ascii="Arial" w:hAnsi="Arial" w:cs="Arial"/>
          <w:sz w:val="20"/>
          <w:lang w:val="en-IN" w:bidi="ar-SA"/>
        </w:rPr>
        <w:t xml:space="preserve"> + β</w:t>
      </w:r>
      <w:r w:rsidRPr="00063201">
        <w:rPr>
          <w:rFonts w:ascii="Arial" w:hAnsi="Arial" w:cs="Arial"/>
          <w:sz w:val="20"/>
          <w:vertAlign w:val="subscript"/>
          <w:lang w:val="en-IN" w:bidi="ar-SA"/>
        </w:rPr>
        <w:t>2</w:t>
      </w:r>
      <w:r w:rsidRPr="00063201">
        <w:rPr>
          <w:rFonts w:ascii="Arial" w:hAnsi="Arial" w:cs="Arial"/>
          <w:sz w:val="20"/>
          <w:lang w:val="en-IN" w:bidi="ar-SA"/>
        </w:rPr>
        <w:t>X</w:t>
      </w:r>
      <w:r w:rsidRPr="00063201">
        <w:rPr>
          <w:rFonts w:ascii="Arial" w:hAnsi="Arial" w:cs="Arial"/>
          <w:sz w:val="20"/>
          <w:vertAlign w:val="subscript"/>
          <w:lang w:val="en-IN" w:bidi="ar-SA"/>
        </w:rPr>
        <w:t>2</w:t>
      </w:r>
      <w:r w:rsidRPr="00063201">
        <w:rPr>
          <w:rFonts w:ascii="Arial" w:hAnsi="Arial" w:cs="Arial"/>
          <w:sz w:val="20"/>
          <w:lang w:val="en-IN" w:bidi="ar-SA"/>
        </w:rPr>
        <w:t xml:space="preserve"> + β</w:t>
      </w:r>
      <w:r w:rsidRPr="00063201">
        <w:rPr>
          <w:rFonts w:ascii="Arial" w:hAnsi="Arial" w:cs="Arial"/>
          <w:sz w:val="20"/>
          <w:vertAlign w:val="subscript"/>
          <w:lang w:val="en-IN" w:bidi="ar-SA"/>
        </w:rPr>
        <w:t>3</w:t>
      </w:r>
      <w:r w:rsidRPr="00063201">
        <w:rPr>
          <w:rFonts w:ascii="Arial" w:hAnsi="Arial" w:cs="Arial"/>
          <w:sz w:val="20"/>
          <w:lang w:val="en-IN" w:bidi="ar-SA"/>
        </w:rPr>
        <w:t>X</w:t>
      </w:r>
      <w:r w:rsidRPr="00063201">
        <w:rPr>
          <w:rFonts w:ascii="Arial" w:hAnsi="Arial" w:cs="Arial"/>
          <w:sz w:val="20"/>
          <w:vertAlign w:val="subscript"/>
          <w:lang w:val="en-IN" w:bidi="ar-SA"/>
        </w:rPr>
        <w:t>3</w:t>
      </w:r>
      <w:r w:rsidRPr="00063201">
        <w:rPr>
          <w:rFonts w:ascii="Arial" w:hAnsi="Arial" w:cs="Arial"/>
          <w:sz w:val="20"/>
          <w:lang w:val="en-IN" w:bidi="ar-SA"/>
        </w:rPr>
        <w:t xml:space="preserve"> + β</w:t>
      </w:r>
      <w:r w:rsidRPr="00063201">
        <w:rPr>
          <w:rFonts w:ascii="Arial" w:hAnsi="Arial" w:cs="Arial"/>
          <w:sz w:val="20"/>
          <w:vertAlign w:val="subscript"/>
          <w:lang w:val="en-IN" w:bidi="ar-SA"/>
        </w:rPr>
        <w:t>4</w:t>
      </w:r>
      <w:r w:rsidRPr="00063201">
        <w:rPr>
          <w:rFonts w:ascii="Arial" w:hAnsi="Arial" w:cs="Arial"/>
          <w:sz w:val="20"/>
          <w:lang w:val="en-IN" w:bidi="ar-SA"/>
        </w:rPr>
        <w:t>X</w:t>
      </w:r>
      <w:r w:rsidRPr="00063201">
        <w:rPr>
          <w:rFonts w:ascii="Arial" w:hAnsi="Arial" w:cs="Arial"/>
          <w:sz w:val="20"/>
          <w:vertAlign w:val="subscript"/>
          <w:lang w:val="en-IN" w:bidi="ar-SA"/>
        </w:rPr>
        <w:t>4</w:t>
      </w:r>
      <w:r w:rsidRPr="00063201">
        <w:rPr>
          <w:rFonts w:ascii="Arial" w:hAnsi="Arial" w:cs="Arial"/>
          <w:sz w:val="20"/>
          <w:lang w:val="en-IN" w:bidi="ar-SA"/>
        </w:rPr>
        <w:t xml:space="preserve"> + β</w:t>
      </w:r>
      <w:r w:rsidRPr="00063201">
        <w:rPr>
          <w:rFonts w:ascii="Arial" w:hAnsi="Arial" w:cs="Arial"/>
          <w:sz w:val="20"/>
          <w:vertAlign w:val="subscript"/>
          <w:lang w:val="en-IN" w:bidi="ar-SA"/>
        </w:rPr>
        <w:t>5</w:t>
      </w:r>
      <w:r w:rsidRPr="00063201">
        <w:rPr>
          <w:rFonts w:ascii="Arial" w:hAnsi="Arial" w:cs="Arial"/>
          <w:sz w:val="20"/>
          <w:lang w:val="en-IN" w:bidi="ar-SA"/>
        </w:rPr>
        <w:t>X</w:t>
      </w:r>
      <w:r w:rsidRPr="00063201">
        <w:rPr>
          <w:rFonts w:ascii="Arial" w:hAnsi="Arial" w:cs="Arial"/>
          <w:sz w:val="20"/>
          <w:vertAlign w:val="subscript"/>
          <w:lang w:val="en-IN" w:bidi="ar-SA"/>
        </w:rPr>
        <w:t>5</w:t>
      </w:r>
      <w:r w:rsidRPr="00063201">
        <w:rPr>
          <w:rFonts w:ascii="Arial" w:hAnsi="Arial" w:cs="Arial"/>
          <w:sz w:val="20"/>
          <w:lang w:val="en-IN" w:bidi="ar-SA"/>
        </w:rPr>
        <w:t xml:space="preserve"> + β</w:t>
      </w:r>
      <w:r w:rsidRPr="00063201">
        <w:rPr>
          <w:rFonts w:ascii="Arial" w:hAnsi="Arial" w:cs="Arial"/>
          <w:sz w:val="20"/>
          <w:vertAlign w:val="subscript"/>
          <w:lang w:val="en-IN" w:bidi="ar-SA"/>
        </w:rPr>
        <w:t>6</w:t>
      </w:r>
      <w:r w:rsidRPr="00063201">
        <w:rPr>
          <w:rFonts w:ascii="Arial" w:hAnsi="Arial" w:cs="Arial"/>
          <w:sz w:val="20"/>
          <w:lang w:val="en-IN" w:bidi="ar-SA"/>
        </w:rPr>
        <w:t>X</w:t>
      </w:r>
      <w:r w:rsidRPr="00063201">
        <w:rPr>
          <w:rFonts w:ascii="Arial" w:hAnsi="Arial" w:cs="Arial"/>
          <w:sz w:val="20"/>
          <w:vertAlign w:val="subscript"/>
          <w:lang w:val="en-IN" w:bidi="ar-SA"/>
        </w:rPr>
        <w:t xml:space="preserve">6 </w:t>
      </w:r>
      <w:r w:rsidRPr="00063201">
        <w:rPr>
          <w:rFonts w:ascii="Arial" w:hAnsi="Arial" w:cs="Arial"/>
          <w:sz w:val="20"/>
          <w:lang w:val="en-IN" w:bidi="ar-SA"/>
        </w:rPr>
        <w:t>+ β</w:t>
      </w:r>
      <w:r w:rsidRPr="00063201">
        <w:rPr>
          <w:rFonts w:ascii="Arial" w:hAnsi="Arial" w:cs="Arial"/>
          <w:sz w:val="20"/>
          <w:vertAlign w:val="subscript"/>
          <w:lang w:val="en-IN" w:bidi="ar-SA"/>
        </w:rPr>
        <w:t>7</w:t>
      </w:r>
      <w:r w:rsidRPr="00063201">
        <w:rPr>
          <w:rFonts w:ascii="Arial" w:hAnsi="Arial" w:cs="Arial"/>
          <w:sz w:val="20"/>
          <w:lang w:val="en-IN" w:bidi="ar-SA"/>
        </w:rPr>
        <w:t>X</w:t>
      </w:r>
      <w:r w:rsidRPr="00063201">
        <w:rPr>
          <w:rFonts w:ascii="Arial" w:hAnsi="Arial" w:cs="Arial"/>
          <w:sz w:val="20"/>
          <w:vertAlign w:val="subscript"/>
          <w:lang w:val="en-IN" w:bidi="ar-SA"/>
        </w:rPr>
        <w:t xml:space="preserve">7 </w:t>
      </w:r>
      <w:r w:rsidRPr="00063201">
        <w:rPr>
          <w:rFonts w:ascii="Arial" w:hAnsi="Arial" w:cs="Arial"/>
          <w:sz w:val="20"/>
          <w:lang w:val="en-IN" w:bidi="ar-SA"/>
        </w:rPr>
        <w:t>+ β</w:t>
      </w:r>
      <w:r w:rsidRPr="00063201">
        <w:rPr>
          <w:rFonts w:ascii="Arial" w:hAnsi="Arial" w:cs="Arial"/>
          <w:sz w:val="20"/>
          <w:vertAlign w:val="subscript"/>
          <w:lang w:val="en-IN" w:bidi="ar-SA"/>
        </w:rPr>
        <w:t>8</w:t>
      </w:r>
      <w:r w:rsidRPr="00063201">
        <w:rPr>
          <w:rFonts w:ascii="Arial" w:hAnsi="Arial" w:cs="Arial"/>
          <w:sz w:val="20"/>
          <w:lang w:val="en-IN" w:bidi="ar-SA"/>
        </w:rPr>
        <w:t>X</w:t>
      </w:r>
      <w:r w:rsidRPr="00063201">
        <w:rPr>
          <w:rFonts w:ascii="Arial" w:hAnsi="Arial" w:cs="Arial"/>
          <w:sz w:val="20"/>
          <w:vertAlign w:val="subscript"/>
          <w:lang w:val="en-IN" w:bidi="ar-SA"/>
        </w:rPr>
        <w:t xml:space="preserve">8 </w:t>
      </w:r>
      <w:r w:rsidRPr="00063201">
        <w:rPr>
          <w:rFonts w:ascii="Arial" w:hAnsi="Arial" w:cs="Arial"/>
          <w:sz w:val="20"/>
          <w:lang w:val="en-IN" w:bidi="ar-SA"/>
        </w:rPr>
        <w:t xml:space="preserve">+ </w:t>
      </w:r>
      <w:proofErr w:type="spellStart"/>
      <w:r w:rsidRPr="00063201">
        <w:rPr>
          <w:rFonts w:ascii="Arial" w:hAnsi="Arial" w:cs="Arial"/>
          <w:sz w:val="20"/>
          <w:lang w:val="en-IN" w:bidi="ar-SA"/>
        </w:rPr>
        <w:t>u</w:t>
      </w:r>
      <w:r w:rsidRPr="00063201">
        <w:rPr>
          <w:rFonts w:ascii="Arial" w:hAnsi="Arial" w:cs="Arial"/>
          <w:sz w:val="20"/>
          <w:vertAlign w:val="subscript"/>
          <w:lang w:val="en-IN" w:bidi="ar-SA"/>
        </w:rPr>
        <w:t>i</w:t>
      </w:r>
      <w:proofErr w:type="spellEnd"/>
      <w:r w:rsidRPr="00063201">
        <w:rPr>
          <w:rFonts w:ascii="Arial" w:hAnsi="Arial" w:cs="Arial"/>
          <w:sz w:val="20"/>
          <w:lang w:val="en-IN" w:bidi="ar-SA"/>
        </w:rPr>
        <w:t>…… (1)</w:t>
      </w:r>
    </w:p>
    <w:p w14:paraId="4A4B9FBC"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Where,</w:t>
      </w:r>
    </w:p>
    <w:p w14:paraId="523BC3AA"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Y = WTP (Maximum willingness to pay in Rs)</w:t>
      </w:r>
    </w:p>
    <w:p w14:paraId="59CE3ED4"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1</w:t>
      </w:r>
      <w:r w:rsidRPr="00063201">
        <w:rPr>
          <w:rFonts w:ascii="Arial" w:hAnsi="Arial" w:cs="Arial"/>
          <w:sz w:val="20"/>
          <w:lang w:val="en-IN" w:bidi="ar-SA"/>
        </w:rPr>
        <w:t xml:space="preserve"> = Household monthly expenditure (In Rs)</w:t>
      </w:r>
    </w:p>
    <w:p w14:paraId="584D1E56"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2</w:t>
      </w:r>
      <w:r w:rsidRPr="00063201">
        <w:rPr>
          <w:rFonts w:ascii="Arial" w:hAnsi="Arial" w:cs="Arial"/>
          <w:sz w:val="20"/>
          <w:lang w:val="en-IN" w:bidi="ar-SA"/>
        </w:rPr>
        <w:t xml:space="preserve"> = Size of household (In number)  </w:t>
      </w:r>
    </w:p>
    <w:p w14:paraId="2191A27C"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3</w:t>
      </w:r>
      <w:r w:rsidRPr="00063201">
        <w:rPr>
          <w:rFonts w:ascii="Arial" w:hAnsi="Arial" w:cs="Arial"/>
          <w:sz w:val="20"/>
          <w:lang w:val="en-IN" w:bidi="ar-SA"/>
        </w:rPr>
        <w:t>= Educational category (1 if above primary; 0 if, below primary)</w:t>
      </w:r>
    </w:p>
    <w:p w14:paraId="6B132F55"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4</w:t>
      </w:r>
      <w:r w:rsidRPr="00063201">
        <w:rPr>
          <w:rFonts w:ascii="Arial" w:hAnsi="Arial" w:cs="Arial"/>
          <w:sz w:val="20"/>
          <w:lang w:val="en-IN" w:bidi="ar-SA"/>
        </w:rPr>
        <w:t>= Gender (1 if female; 0 if, male)</w:t>
      </w:r>
    </w:p>
    <w:p w14:paraId="5A0BCA3C"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 xml:space="preserve">5 = </w:t>
      </w:r>
      <w:r w:rsidRPr="00063201">
        <w:rPr>
          <w:rFonts w:ascii="Arial" w:hAnsi="Arial" w:cs="Arial"/>
          <w:sz w:val="20"/>
          <w:lang w:val="en-IN" w:bidi="ar-SA"/>
        </w:rPr>
        <w:t>Age (In years)</w:t>
      </w:r>
    </w:p>
    <w:p w14:paraId="115A5177"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6</w:t>
      </w:r>
      <w:r w:rsidRPr="00063201">
        <w:rPr>
          <w:rFonts w:ascii="Arial" w:hAnsi="Arial" w:cs="Arial"/>
          <w:sz w:val="20"/>
          <w:lang w:val="en-IN" w:bidi="ar-SA"/>
        </w:rPr>
        <w:t xml:space="preserve">= Quantity of waste generation (In kg/ week) </w:t>
      </w:r>
    </w:p>
    <w:p w14:paraId="50F40AC3"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7</w:t>
      </w:r>
      <w:r w:rsidRPr="00063201">
        <w:rPr>
          <w:rFonts w:ascii="Arial" w:hAnsi="Arial" w:cs="Arial"/>
          <w:sz w:val="20"/>
          <w:lang w:val="en-IN" w:bidi="ar-SA"/>
        </w:rPr>
        <w:t>= Availability of waste disposal service (1 if available: 0 if, otherwise)</w:t>
      </w:r>
    </w:p>
    <w:p w14:paraId="3D4DAE16" w14:textId="77777777" w:rsidR="00EC0C88" w:rsidRPr="00063201" w:rsidRDefault="00EC0C88" w:rsidP="00DE11F7">
      <w:pPr>
        <w:autoSpaceDE w:val="0"/>
        <w:autoSpaceDN w:val="0"/>
        <w:adjustRightInd w:val="0"/>
        <w:spacing w:after="0"/>
        <w:ind w:firstLine="720"/>
        <w:rPr>
          <w:rFonts w:ascii="Arial" w:hAnsi="Arial" w:cs="Arial"/>
          <w:sz w:val="20"/>
          <w:lang w:val="en-IN" w:bidi="ar-SA"/>
        </w:rPr>
      </w:pPr>
      <w:r w:rsidRPr="00063201">
        <w:rPr>
          <w:rFonts w:ascii="Arial" w:hAnsi="Arial" w:cs="Arial"/>
          <w:sz w:val="20"/>
          <w:lang w:val="en-IN" w:bidi="ar-SA"/>
        </w:rPr>
        <w:t>X</w:t>
      </w:r>
      <w:r w:rsidRPr="00063201">
        <w:rPr>
          <w:rFonts w:ascii="Arial" w:hAnsi="Arial" w:cs="Arial"/>
          <w:sz w:val="20"/>
          <w:vertAlign w:val="subscript"/>
          <w:lang w:val="en-IN" w:bidi="ar-SA"/>
        </w:rPr>
        <w:t>8</w:t>
      </w:r>
      <w:r w:rsidRPr="00063201">
        <w:rPr>
          <w:rFonts w:ascii="Arial" w:hAnsi="Arial" w:cs="Arial"/>
          <w:sz w:val="20"/>
          <w:lang w:val="en-IN" w:bidi="ar-SA"/>
        </w:rPr>
        <w:t>= Proximity to waste treatment plant (In Km).</w:t>
      </w:r>
    </w:p>
    <w:p w14:paraId="681C5443" w14:textId="77777777" w:rsidR="00EC0C88" w:rsidRPr="00063201" w:rsidRDefault="00EC0C88" w:rsidP="00DE11F7">
      <w:pPr>
        <w:autoSpaceDE w:val="0"/>
        <w:autoSpaceDN w:val="0"/>
        <w:adjustRightInd w:val="0"/>
        <w:spacing w:after="120"/>
        <w:ind w:firstLine="720"/>
        <w:rPr>
          <w:rFonts w:ascii="Arial" w:hAnsi="Arial" w:cs="Arial"/>
          <w:sz w:val="20"/>
          <w:lang w:val="en-IN" w:bidi="ar-SA"/>
        </w:rPr>
      </w:pPr>
      <w:r w:rsidRPr="00063201">
        <w:rPr>
          <w:rFonts w:ascii="Arial" w:hAnsi="Arial" w:cs="Arial"/>
          <w:sz w:val="20"/>
          <w:lang w:val="en-IN" w:bidi="ar-SA"/>
        </w:rPr>
        <w:t xml:space="preserve"> </w:t>
      </w:r>
      <w:proofErr w:type="spellStart"/>
      <w:r w:rsidRPr="00063201">
        <w:rPr>
          <w:rFonts w:ascii="Arial" w:hAnsi="Arial" w:cs="Arial"/>
          <w:sz w:val="20"/>
          <w:lang w:val="en-IN" w:bidi="ar-SA"/>
        </w:rPr>
        <w:t>u</w:t>
      </w:r>
      <w:r w:rsidRPr="00063201">
        <w:rPr>
          <w:rFonts w:ascii="Arial" w:hAnsi="Arial" w:cs="Arial"/>
          <w:sz w:val="20"/>
          <w:vertAlign w:val="subscript"/>
          <w:lang w:val="en-IN" w:bidi="ar-SA"/>
        </w:rPr>
        <w:t>i</w:t>
      </w:r>
      <w:proofErr w:type="spellEnd"/>
      <w:r w:rsidRPr="00063201">
        <w:rPr>
          <w:rFonts w:ascii="Arial" w:hAnsi="Arial" w:cs="Arial"/>
          <w:sz w:val="20"/>
          <w:lang w:val="en-IN" w:bidi="ar-SA"/>
        </w:rPr>
        <w:t xml:space="preserve"> = Error </w:t>
      </w:r>
      <w:r w:rsidRPr="00063201">
        <w:rPr>
          <w:rFonts w:ascii="Arial" w:hAnsi="Arial" w:cs="Arial"/>
          <w:noProof/>
          <w:sz w:val="20"/>
          <w:lang w:val="en-IN" w:bidi="ar-SA"/>
        </w:rPr>
        <w:t>variable</w:t>
      </w:r>
    </w:p>
    <w:p w14:paraId="21D9791D" w14:textId="77777777" w:rsidR="00956E22" w:rsidRPr="00063201" w:rsidRDefault="0054660F" w:rsidP="00063201">
      <w:pPr>
        <w:jc w:val="both"/>
        <w:rPr>
          <w:rFonts w:ascii="Arial" w:hAnsi="Arial" w:cs="Arial"/>
          <w:sz w:val="20"/>
        </w:rPr>
      </w:pPr>
      <w:r w:rsidRPr="00063201">
        <w:rPr>
          <w:rFonts w:ascii="Arial" w:hAnsi="Arial" w:cs="Arial"/>
          <w:bCs/>
          <w:sz w:val="20"/>
        </w:rPr>
        <w:t>T</w:t>
      </w:r>
      <w:r w:rsidR="00EC0C88" w:rsidRPr="00063201">
        <w:rPr>
          <w:rFonts w:ascii="Arial" w:hAnsi="Arial" w:cs="Arial"/>
          <w:bCs/>
          <w:sz w:val="20"/>
        </w:rPr>
        <w:t xml:space="preserve">he study </w:t>
      </w:r>
      <w:r w:rsidRPr="00063201">
        <w:rPr>
          <w:rFonts w:ascii="Arial" w:hAnsi="Arial" w:cs="Arial"/>
          <w:bCs/>
          <w:sz w:val="20"/>
        </w:rPr>
        <w:t>check</w:t>
      </w:r>
      <w:r w:rsidR="00EC0C88" w:rsidRPr="00063201">
        <w:rPr>
          <w:rFonts w:ascii="Arial" w:hAnsi="Arial" w:cs="Arial"/>
          <w:bCs/>
          <w:sz w:val="20"/>
        </w:rPr>
        <w:t>ed</w:t>
      </w:r>
      <w:r w:rsidRPr="00063201">
        <w:rPr>
          <w:rFonts w:ascii="Arial" w:hAnsi="Arial" w:cs="Arial"/>
          <w:bCs/>
          <w:sz w:val="20"/>
        </w:rPr>
        <w:t xml:space="preserve"> the basic assumptions such as linearity, multivariate normality, no multicollinearity, homoscedasticity and no auto correlation </w:t>
      </w:r>
      <w:r w:rsidRPr="00063201">
        <w:rPr>
          <w:rFonts w:ascii="Arial" w:hAnsi="Arial" w:cs="Arial"/>
          <w:sz w:val="20"/>
        </w:rPr>
        <w:t>to ensure that the obtained da</w:t>
      </w:r>
      <w:r w:rsidR="003A36C8" w:rsidRPr="00063201">
        <w:rPr>
          <w:rFonts w:ascii="Arial" w:hAnsi="Arial" w:cs="Arial"/>
          <w:sz w:val="20"/>
        </w:rPr>
        <w:t xml:space="preserve">ta can be subjected to multiple </w:t>
      </w:r>
      <w:r w:rsidRPr="00063201">
        <w:rPr>
          <w:rFonts w:ascii="Arial" w:hAnsi="Arial" w:cs="Arial"/>
          <w:sz w:val="20"/>
        </w:rPr>
        <w:t>regression.</w:t>
      </w:r>
      <w:r w:rsidR="00F73B0B" w:rsidRPr="00063201">
        <w:rPr>
          <w:rFonts w:ascii="Arial" w:hAnsi="Arial" w:cs="Arial"/>
          <w:sz w:val="20"/>
        </w:rPr>
        <w:t xml:space="preserve"> </w:t>
      </w:r>
      <w:r w:rsidR="0044169B" w:rsidRPr="00063201">
        <w:rPr>
          <w:rFonts w:ascii="Arial" w:hAnsi="Arial" w:cs="Arial"/>
          <w:bCs/>
          <w:sz w:val="20"/>
          <w:lang w:val="en-IN" w:bidi="ar-SA"/>
        </w:rPr>
        <w:t xml:space="preserve">Scatter plots of the </w:t>
      </w:r>
      <w:r w:rsidR="0044169B" w:rsidRPr="00063201">
        <w:rPr>
          <w:rFonts w:ascii="Arial" w:hAnsi="Arial" w:cs="Arial"/>
          <w:bCs/>
          <w:noProof/>
          <w:sz w:val="20"/>
          <w:lang w:val="en-IN" w:bidi="ar-SA"/>
        </w:rPr>
        <w:t>dependent</w:t>
      </w:r>
      <w:r w:rsidR="0044169B" w:rsidRPr="00063201">
        <w:rPr>
          <w:rFonts w:ascii="Arial" w:hAnsi="Arial" w:cs="Arial"/>
          <w:bCs/>
          <w:sz w:val="20"/>
          <w:lang w:val="en-IN" w:bidi="ar-SA"/>
        </w:rPr>
        <w:t xml:space="preserve"> variabl</w:t>
      </w:r>
      <w:r w:rsidR="009E6334" w:rsidRPr="00063201">
        <w:rPr>
          <w:rFonts w:ascii="Arial" w:hAnsi="Arial" w:cs="Arial"/>
          <w:bCs/>
          <w:sz w:val="20"/>
          <w:lang w:val="en-IN" w:bidi="ar-SA"/>
        </w:rPr>
        <w:t xml:space="preserve">e </w:t>
      </w:r>
      <w:r w:rsidR="0044169B" w:rsidRPr="00063201">
        <w:rPr>
          <w:rFonts w:ascii="Arial" w:hAnsi="Arial" w:cs="Arial"/>
          <w:bCs/>
          <w:sz w:val="20"/>
          <w:lang w:val="en-IN" w:bidi="ar-SA"/>
        </w:rPr>
        <w:t xml:space="preserve">against independent variables </w:t>
      </w:r>
      <w:r w:rsidR="0044169B" w:rsidRPr="00063201">
        <w:rPr>
          <w:rFonts w:ascii="Arial" w:hAnsi="Arial" w:cs="Arial"/>
          <w:bCs/>
          <w:noProof/>
          <w:sz w:val="20"/>
          <w:lang w:val="en-IN" w:bidi="ar-SA"/>
        </w:rPr>
        <w:t>are generated</w:t>
      </w:r>
      <w:r w:rsidR="00EB3C37" w:rsidRPr="00063201">
        <w:rPr>
          <w:rFonts w:ascii="Arial" w:hAnsi="Arial" w:cs="Arial"/>
          <w:bCs/>
          <w:sz w:val="20"/>
          <w:lang w:val="en-IN" w:bidi="ar-SA"/>
        </w:rPr>
        <w:t xml:space="preserve"> to check for</w:t>
      </w:r>
      <w:r w:rsidR="0044169B" w:rsidRPr="00063201">
        <w:rPr>
          <w:rFonts w:ascii="Arial" w:hAnsi="Arial" w:cs="Arial"/>
          <w:bCs/>
          <w:sz w:val="20"/>
          <w:lang w:val="en-IN" w:bidi="ar-SA"/>
        </w:rPr>
        <w:t xml:space="preserve"> lin</w:t>
      </w:r>
      <w:r w:rsidR="00EB3C37" w:rsidRPr="00063201">
        <w:rPr>
          <w:rFonts w:ascii="Arial" w:hAnsi="Arial" w:cs="Arial"/>
          <w:bCs/>
          <w:sz w:val="20"/>
          <w:lang w:val="en-IN" w:bidi="ar-SA"/>
        </w:rPr>
        <w:t xml:space="preserve">earity and found that the model </w:t>
      </w:r>
      <w:r w:rsidR="00F455C6" w:rsidRPr="00063201">
        <w:rPr>
          <w:rFonts w:ascii="Arial" w:hAnsi="Arial" w:cs="Arial"/>
          <w:bCs/>
          <w:sz w:val="20"/>
          <w:lang w:val="en-IN" w:bidi="ar-SA"/>
        </w:rPr>
        <w:t xml:space="preserve">satisfy the </w:t>
      </w:r>
      <w:r w:rsidR="00EB3C37" w:rsidRPr="00063201">
        <w:rPr>
          <w:rFonts w:ascii="Arial" w:hAnsi="Arial" w:cs="Arial"/>
          <w:bCs/>
          <w:sz w:val="20"/>
          <w:lang w:val="en-IN" w:bidi="ar-SA"/>
        </w:rPr>
        <w:t>assumption of linearity</w:t>
      </w:r>
      <w:r w:rsidR="0044169B" w:rsidRPr="00063201">
        <w:rPr>
          <w:rFonts w:ascii="Arial" w:hAnsi="Arial" w:cs="Arial"/>
          <w:bCs/>
          <w:sz w:val="20"/>
          <w:lang w:val="en-IN" w:bidi="ar-SA"/>
        </w:rPr>
        <w:t xml:space="preserve">. </w:t>
      </w:r>
      <w:r w:rsidR="00956E22" w:rsidRPr="00063201">
        <w:rPr>
          <w:rFonts w:ascii="Arial" w:hAnsi="Arial" w:cs="Arial"/>
          <w:bCs/>
          <w:sz w:val="20"/>
          <w:lang w:val="en-IN" w:bidi="ar-SA"/>
        </w:rPr>
        <w:t xml:space="preserve"> </w:t>
      </w:r>
      <w:r w:rsidR="00956E22" w:rsidRPr="00063201">
        <w:rPr>
          <w:rFonts w:ascii="Arial" w:hAnsi="Arial" w:cs="Arial"/>
          <w:sz w:val="20"/>
          <w:lang w:val="en-IN" w:bidi="ar-SA"/>
        </w:rPr>
        <w:t xml:space="preserve">The </w:t>
      </w:r>
      <w:r w:rsidR="00956E22" w:rsidRPr="00063201">
        <w:rPr>
          <w:rFonts w:ascii="Arial" w:hAnsi="Arial" w:cs="Arial"/>
          <w:sz w:val="20"/>
          <w:lang w:val="en-IN" w:bidi="ar-SA"/>
        </w:rPr>
        <w:lastRenderedPageBreak/>
        <w:t>residuals are plotted in a standard P-P plot to check normality and found that none of the data point</w:t>
      </w:r>
      <w:r w:rsidR="00FB5E70" w:rsidRPr="00063201">
        <w:rPr>
          <w:rFonts w:ascii="Arial" w:hAnsi="Arial" w:cs="Arial"/>
          <w:sz w:val="20"/>
          <w:lang w:val="en-IN" w:bidi="ar-SA"/>
        </w:rPr>
        <w:t>s</w:t>
      </w:r>
      <w:r w:rsidR="00956E22" w:rsidRPr="00063201">
        <w:rPr>
          <w:rFonts w:ascii="Arial" w:hAnsi="Arial" w:cs="Arial"/>
          <w:sz w:val="20"/>
          <w:lang w:val="en-IN" w:bidi="ar-SA"/>
        </w:rPr>
        <w:t xml:space="preserve"> </w:t>
      </w:r>
      <w:r w:rsidR="00FB5E70" w:rsidRPr="00063201">
        <w:rPr>
          <w:rFonts w:ascii="Arial" w:hAnsi="Arial" w:cs="Arial"/>
          <w:sz w:val="20"/>
          <w:lang w:val="en-IN" w:bidi="ar-SA"/>
        </w:rPr>
        <w:t>are far from the slope line, indicating that the residuals are normally distribut</w:t>
      </w:r>
      <w:r w:rsidR="009E6334" w:rsidRPr="00063201">
        <w:rPr>
          <w:rFonts w:ascii="Arial" w:hAnsi="Arial" w:cs="Arial"/>
          <w:sz w:val="20"/>
          <w:lang w:val="en-IN" w:bidi="ar-SA"/>
        </w:rPr>
        <w:t xml:space="preserve">ed. </w:t>
      </w:r>
      <w:r w:rsidR="00956E22" w:rsidRPr="00063201">
        <w:rPr>
          <w:rFonts w:ascii="Arial" w:hAnsi="Arial" w:cs="Arial"/>
          <w:i/>
          <w:iCs/>
          <w:noProof/>
          <w:sz w:val="20"/>
          <w:lang w:val="en-IN" w:eastAsia="en-IN" w:bidi="ar-SA"/>
        </w:rPr>
        <mc:AlternateContent>
          <mc:Choice Requires="wps">
            <w:drawing>
              <wp:anchor distT="0" distB="0" distL="114300" distR="114300" simplePos="0" relativeHeight="251670528" behindDoc="0" locked="0" layoutInCell="1" allowOverlap="1" wp14:anchorId="02A19544" wp14:editId="0BE7F9DF">
                <wp:simplePos x="0" y="0"/>
                <wp:positionH relativeFrom="column">
                  <wp:posOffset>-3650615</wp:posOffset>
                </wp:positionH>
                <wp:positionV relativeFrom="paragraph">
                  <wp:posOffset>133985</wp:posOffset>
                </wp:positionV>
                <wp:extent cx="2695575" cy="409575"/>
                <wp:effectExtent l="0" t="635"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426B7" w14:textId="77777777" w:rsidR="007A7061" w:rsidRPr="005E793D" w:rsidRDefault="007A7061" w:rsidP="00956E22">
                            <w:pPr>
                              <w:autoSpaceDE w:val="0"/>
                              <w:autoSpaceDN w:val="0"/>
                              <w:adjustRightInd w:val="0"/>
                              <w:spacing w:before="240" w:line="360" w:lineRule="auto"/>
                              <w:jc w:val="both"/>
                              <w:rPr>
                                <w:rFonts w:ascii="Times New Roman" w:hAnsi="Times New Roman"/>
                                <w:b/>
                                <w:bCs/>
                                <w:i/>
                                <w:iCs/>
                                <w:sz w:val="24"/>
                                <w:szCs w:val="24"/>
                                <w:lang w:val="en-IN" w:bidi="ar-SA"/>
                              </w:rPr>
                            </w:pPr>
                            <w:r w:rsidRPr="00637895">
                              <w:rPr>
                                <w:rFonts w:ascii="Times New Roman" w:hAnsi="Times New Roman"/>
                                <w:i/>
                                <w:iCs/>
                                <w:sz w:val="24"/>
                                <w:szCs w:val="24"/>
                                <w:lang w:val="en-IN" w:bidi="ar-SA"/>
                              </w:rPr>
                              <w:t>Source: Drawn from the primary data</w:t>
                            </w:r>
                          </w:p>
                          <w:p w14:paraId="315E1BE3" w14:textId="77777777" w:rsidR="007A7061" w:rsidRDefault="007A7061" w:rsidP="00956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19544" id="_x0000_t202" coordsize="21600,21600" o:spt="202" path="m,l,21600r21600,l21600,xe">
                <v:stroke joinstyle="miter"/>
                <v:path gradientshapeok="t" o:connecttype="rect"/>
              </v:shapetype>
              <v:shape id="Text Box 9" o:spid="_x0000_s1026" type="#_x0000_t202" style="position:absolute;left:0;text-align:left;margin-left:-287.45pt;margin-top:10.55pt;width:212.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h9swIAALk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" filled="f" stroked="f">
                <v:textbox>
                  <w:txbxContent>
                    <w:p w14:paraId="425426B7" w14:textId="77777777" w:rsidR="007A7061" w:rsidRPr="005E793D" w:rsidRDefault="007A7061" w:rsidP="00956E22">
                      <w:pPr>
                        <w:autoSpaceDE w:val="0"/>
                        <w:autoSpaceDN w:val="0"/>
                        <w:adjustRightInd w:val="0"/>
                        <w:spacing w:before="240" w:line="360" w:lineRule="auto"/>
                        <w:jc w:val="both"/>
                        <w:rPr>
                          <w:rFonts w:ascii="Times New Roman" w:hAnsi="Times New Roman"/>
                          <w:b/>
                          <w:bCs/>
                          <w:i/>
                          <w:iCs/>
                          <w:sz w:val="24"/>
                          <w:szCs w:val="24"/>
                          <w:lang w:val="en-IN" w:bidi="ar-SA"/>
                        </w:rPr>
                      </w:pPr>
                      <w:r w:rsidRPr="00637895">
                        <w:rPr>
                          <w:rFonts w:ascii="Times New Roman" w:hAnsi="Times New Roman"/>
                          <w:i/>
                          <w:iCs/>
                          <w:sz w:val="24"/>
                          <w:szCs w:val="24"/>
                          <w:lang w:val="en-IN" w:bidi="ar-SA"/>
                        </w:rPr>
                        <w:t>Source: Drawn from the primary data</w:t>
                      </w:r>
                    </w:p>
                    <w:p w14:paraId="315E1BE3" w14:textId="77777777" w:rsidR="007A7061" w:rsidRDefault="007A7061" w:rsidP="00956E22"/>
                  </w:txbxContent>
                </v:textbox>
              </v:shape>
            </w:pict>
          </mc:Fallback>
        </mc:AlternateContent>
      </w:r>
      <w:r w:rsidR="00956E22" w:rsidRPr="00063201">
        <w:rPr>
          <w:rFonts w:ascii="Arial" w:hAnsi="Arial" w:cs="Arial"/>
          <w:sz w:val="20"/>
          <w:lang w:val="en-IN" w:bidi="ar-SA"/>
        </w:rPr>
        <w:t>Pearson’s correlation coefficient matrix</w:t>
      </w:r>
      <w:r w:rsidR="00FB5E70" w:rsidRPr="00063201">
        <w:rPr>
          <w:rFonts w:ascii="Arial" w:hAnsi="Arial" w:cs="Arial"/>
          <w:sz w:val="20"/>
          <w:lang w:val="en-IN" w:bidi="ar-SA"/>
        </w:rPr>
        <w:t xml:space="preserve"> is employed</w:t>
      </w:r>
      <w:r w:rsidR="00F73B0B" w:rsidRPr="00063201">
        <w:rPr>
          <w:rFonts w:ascii="Arial" w:hAnsi="Arial" w:cs="Arial"/>
          <w:sz w:val="20"/>
          <w:lang w:val="en-IN" w:bidi="ar-SA"/>
        </w:rPr>
        <w:t xml:space="preserve"> to test multicollinearity </w:t>
      </w:r>
      <w:r w:rsidR="00730EDA" w:rsidRPr="00063201">
        <w:rPr>
          <w:rFonts w:ascii="Arial" w:hAnsi="Arial" w:cs="Arial"/>
          <w:bCs/>
          <w:sz w:val="20"/>
          <w:lang w:val="en-IN" w:bidi="ar-SA"/>
        </w:rPr>
        <w:t xml:space="preserve">and it </w:t>
      </w:r>
      <w:r w:rsidR="00956E22" w:rsidRPr="00063201">
        <w:rPr>
          <w:rFonts w:ascii="Arial" w:hAnsi="Arial" w:cs="Arial"/>
          <w:sz w:val="20"/>
        </w:rPr>
        <w:t xml:space="preserve">shows that </w:t>
      </w:r>
      <w:r w:rsidR="002174C5" w:rsidRPr="00063201">
        <w:rPr>
          <w:rFonts w:ascii="Arial" w:hAnsi="Arial" w:cs="Arial"/>
          <w:sz w:val="20"/>
        </w:rPr>
        <w:t xml:space="preserve">there </w:t>
      </w:r>
      <w:r w:rsidR="003A36C8" w:rsidRPr="00063201">
        <w:rPr>
          <w:rFonts w:ascii="Arial" w:hAnsi="Arial" w:cs="Arial"/>
          <w:sz w:val="20"/>
        </w:rPr>
        <w:t>is some moderate correlation</w:t>
      </w:r>
      <w:r w:rsidR="002174C5" w:rsidRPr="00063201">
        <w:rPr>
          <w:rFonts w:ascii="Arial" w:hAnsi="Arial" w:cs="Arial"/>
          <w:sz w:val="20"/>
        </w:rPr>
        <w:t xml:space="preserve"> between certain independent variables, but there does not appear to be a severe problem of multicollinearity. </w:t>
      </w:r>
    </w:p>
    <w:p w14:paraId="2F082128" w14:textId="77777777" w:rsidR="00F96024" w:rsidRPr="00063201" w:rsidRDefault="00F73B0B" w:rsidP="00063201">
      <w:pPr>
        <w:autoSpaceDE w:val="0"/>
        <w:autoSpaceDN w:val="0"/>
        <w:adjustRightInd w:val="0"/>
        <w:spacing w:after="120"/>
        <w:jc w:val="both"/>
        <w:rPr>
          <w:rFonts w:ascii="Arial" w:hAnsi="Arial" w:cs="Arial"/>
          <w:sz w:val="20"/>
        </w:rPr>
      </w:pPr>
      <w:r w:rsidRPr="00063201">
        <w:rPr>
          <w:rFonts w:ascii="Arial" w:hAnsi="Arial" w:cs="Arial"/>
          <w:sz w:val="20"/>
          <w:lang w:val="en-IN" w:bidi="ar-SA"/>
        </w:rPr>
        <w:t>The</w:t>
      </w:r>
      <w:r w:rsidR="003A36C8" w:rsidRPr="00063201">
        <w:rPr>
          <w:rFonts w:ascii="Arial" w:hAnsi="Arial" w:cs="Arial"/>
          <w:sz w:val="20"/>
          <w:lang w:val="en-IN" w:bidi="ar-SA"/>
        </w:rPr>
        <w:t xml:space="preserve"> </w:t>
      </w:r>
      <w:r w:rsidR="00034C3F" w:rsidRPr="00063201">
        <w:rPr>
          <w:rFonts w:ascii="Arial" w:hAnsi="Arial" w:cs="Arial"/>
          <w:sz w:val="20"/>
          <w:lang w:val="en-IN" w:bidi="ar-SA"/>
        </w:rPr>
        <w:t>White test is utilised to check</w:t>
      </w:r>
      <w:r w:rsidR="00D75DD9" w:rsidRPr="00063201">
        <w:rPr>
          <w:rFonts w:ascii="Arial" w:hAnsi="Arial" w:cs="Arial"/>
          <w:sz w:val="20"/>
          <w:lang w:val="en-IN" w:bidi="ar-SA"/>
        </w:rPr>
        <w:t xml:space="preserve"> th</w:t>
      </w:r>
      <w:r w:rsidR="003A36C8" w:rsidRPr="00063201">
        <w:rPr>
          <w:rFonts w:ascii="Arial" w:hAnsi="Arial" w:cs="Arial"/>
          <w:sz w:val="20"/>
          <w:lang w:val="en-IN" w:bidi="ar-SA"/>
        </w:rPr>
        <w:t>e problem of homoscedasticity and t</w:t>
      </w:r>
      <w:r w:rsidR="00D75DD9" w:rsidRPr="00063201">
        <w:rPr>
          <w:rFonts w:ascii="Arial" w:hAnsi="Arial" w:cs="Arial"/>
          <w:sz w:val="20"/>
          <w:lang w:val="en-IN" w:bidi="ar-SA"/>
        </w:rPr>
        <w:t>he res</w:t>
      </w:r>
      <w:r w:rsidR="00034C3F" w:rsidRPr="00063201">
        <w:rPr>
          <w:rFonts w:ascii="Arial" w:hAnsi="Arial" w:cs="Arial"/>
          <w:sz w:val="20"/>
          <w:lang w:val="en-IN" w:bidi="ar-SA"/>
        </w:rPr>
        <w:t>ults</w:t>
      </w:r>
      <w:r w:rsidR="00D75DD9" w:rsidRPr="00063201">
        <w:rPr>
          <w:rFonts w:ascii="Arial" w:hAnsi="Arial" w:cs="Arial"/>
          <w:sz w:val="20"/>
          <w:lang w:val="en-IN" w:bidi="ar-SA"/>
        </w:rPr>
        <w:t xml:space="preserve"> </w:t>
      </w:r>
      <w:r w:rsidR="00D75DD9" w:rsidRPr="00063201">
        <w:rPr>
          <w:rFonts w:ascii="Arial" w:hAnsi="Arial" w:cs="Arial"/>
          <w:noProof/>
          <w:sz w:val="20"/>
          <w:lang w:val="en-IN" w:bidi="ar-SA"/>
        </w:rPr>
        <w:t>show</w:t>
      </w:r>
      <w:r w:rsidR="00D75DD9" w:rsidRPr="00063201">
        <w:rPr>
          <w:rFonts w:ascii="Arial" w:hAnsi="Arial" w:cs="Arial"/>
          <w:sz w:val="20"/>
          <w:lang w:val="en-IN" w:bidi="ar-SA"/>
        </w:rPr>
        <w:t xml:space="preserve"> that the variances for the errors are not </w:t>
      </w:r>
      <w:r w:rsidR="00D75DD9" w:rsidRPr="00063201">
        <w:rPr>
          <w:rFonts w:ascii="Arial" w:hAnsi="Arial" w:cs="Arial"/>
          <w:noProof/>
          <w:sz w:val="20"/>
          <w:lang w:val="en-IN" w:bidi="ar-SA"/>
        </w:rPr>
        <w:t>equal</w:t>
      </w:r>
      <w:r w:rsidR="00D75DD9" w:rsidRPr="00063201">
        <w:rPr>
          <w:rFonts w:ascii="Arial" w:hAnsi="Arial" w:cs="Arial"/>
          <w:sz w:val="20"/>
          <w:lang w:val="en-IN" w:bidi="ar-SA"/>
        </w:rPr>
        <w:t xml:space="preserve"> that is </w:t>
      </w:r>
      <w:r w:rsidR="00D75DD9" w:rsidRPr="00063201">
        <w:rPr>
          <w:rFonts w:ascii="Arial" w:hAnsi="Arial" w:cs="Arial"/>
          <w:noProof/>
          <w:sz w:val="20"/>
          <w:lang w:val="en-IN" w:bidi="ar-SA"/>
        </w:rPr>
        <w:t>heteroscedasticity</w:t>
      </w:r>
      <w:r w:rsidR="00D75DD9" w:rsidRPr="00063201">
        <w:rPr>
          <w:rFonts w:ascii="Arial" w:hAnsi="Arial" w:cs="Arial"/>
          <w:sz w:val="20"/>
          <w:lang w:val="en-IN" w:bidi="ar-SA"/>
        </w:rPr>
        <w:t xml:space="preserve"> is present. </w:t>
      </w:r>
      <w:r w:rsidR="00C72917" w:rsidRPr="00063201">
        <w:rPr>
          <w:rFonts w:ascii="Arial" w:hAnsi="Arial" w:cs="Arial"/>
          <w:sz w:val="20"/>
          <w:lang w:val="en-IN" w:bidi="ar-SA"/>
        </w:rPr>
        <w:t xml:space="preserve">Thus, it </w:t>
      </w:r>
      <w:r w:rsidR="00C72917" w:rsidRPr="00063201">
        <w:rPr>
          <w:rFonts w:ascii="Arial" w:hAnsi="Arial" w:cs="Arial"/>
          <w:noProof/>
          <w:sz w:val="20"/>
          <w:lang w:val="en-IN" w:bidi="ar-SA"/>
        </w:rPr>
        <w:t>is found</w:t>
      </w:r>
      <w:r w:rsidR="00C72917" w:rsidRPr="00063201">
        <w:rPr>
          <w:rFonts w:ascii="Arial" w:hAnsi="Arial" w:cs="Arial"/>
          <w:sz w:val="20"/>
          <w:lang w:val="en-IN" w:bidi="ar-SA"/>
        </w:rPr>
        <w:t xml:space="preserve"> that the collected data </w:t>
      </w:r>
      <w:r w:rsidR="00C72917" w:rsidRPr="00063201">
        <w:rPr>
          <w:rFonts w:ascii="Arial" w:hAnsi="Arial" w:cs="Arial"/>
          <w:noProof/>
          <w:sz w:val="20"/>
          <w:lang w:val="en-IN" w:bidi="ar-SA"/>
        </w:rPr>
        <w:t>satisfied with</w:t>
      </w:r>
      <w:r w:rsidR="00C72917" w:rsidRPr="00063201">
        <w:rPr>
          <w:rFonts w:ascii="Arial" w:hAnsi="Arial" w:cs="Arial"/>
          <w:sz w:val="20"/>
          <w:lang w:val="en-IN" w:bidi="ar-SA"/>
        </w:rPr>
        <w:t xml:space="preserve"> all the basic assumptions of the Ordinary Least Square (OLS) except homoscedasticity. </w:t>
      </w:r>
      <w:r w:rsidR="00C72917" w:rsidRPr="00063201">
        <w:rPr>
          <w:rFonts w:ascii="Arial" w:hAnsi="Arial" w:cs="Arial"/>
          <w:sz w:val="20"/>
        </w:rPr>
        <w:t xml:space="preserve">As a result, the study employed a </w:t>
      </w:r>
      <w:r w:rsidR="00B218B1" w:rsidRPr="00063201">
        <w:rPr>
          <w:rFonts w:ascii="Arial" w:hAnsi="Arial" w:cs="Arial"/>
          <w:noProof/>
          <w:sz w:val="20"/>
          <w:lang w:val="en-IN" w:bidi="ar-SA"/>
        </w:rPr>
        <w:t>heteroscedasticity</w:t>
      </w:r>
      <w:r w:rsidR="00B218B1" w:rsidRPr="00063201">
        <w:rPr>
          <w:rFonts w:ascii="Arial" w:hAnsi="Arial" w:cs="Arial"/>
          <w:sz w:val="20"/>
        </w:rPr>
        <w:t xml:space="preserve"> </w:t>
      </w:r>
      <w:r w:rsidR="00C72917" w:rsidRPr="00063201">
        <w:rPr>
          <w:rFonts w:ascii="Arial" w:hAnsi="Arial" w:cs="Arial"/>
          <w:sz w:val="20"/>
        </w:rPr>
        <w:t xml:space="preserve">corrected model to investigate the </w:t>
      </w:r>
      <w:r w:rsidR="003A36C8" w:rsidRPr="00063201">
        <w:rPr>
          <w:rFonts w:ascii="Arial" w:hAnsi="Arial" w:cs="Arial"/>
          <w:sz w:val="20"/>
        </w:rPr>
        <w:t xml:space="preserve">critical correlates of </w:t>
      </w:r>
      <w:r w:rsidR="00C72917" w:rsidRPr="00063201">
        <w:rPr>
          <w:rFonts w:ascii="Arial" w:hAnsi="Arial" w:cs="Arial"/>
          <w:sz w:val="20"/>
        </w:rPr>
        <w:t xml:space="preserve">willingness to pay for better waste </w:t>
      </w:r>
      <w:r w:rsidR="00C72917" w:rsidRPr="00063201">
        <w:rPr>
          <w:rFonts w:ascii="Arial" w:hAnsi="Arial" w:cs="Arial"/>
          <w:noProof/>
          <w:sz w:val="20"/>
        </w:rPr>
        <w:t>management</w:t>
      </w:r>
      <w:r w:rsidR="00B218B1" w:rsidRPr="00063201">
        <w:rPr>
          <w:rFonts w:ascii="Arial" w:hAnsi="Arial" w:cs="Arial"/>
          <w:sz w:val="20"/>
        </w:rPr>
        <w:t>.</w:t>
      </w:r>
    </w:p>
    <w:p w14:paraId="65ECCA47" w14:textId="77777777" w:rsidR="00E2570D" w:rsidRPr="002906AF" w:rsidRDefault="009E6334" w:rsidP="00DE11F7">
      <w:pPr>
        <w:jc w:val="both"/>
        <w:rPr>
          <w:rFonts w:ascii="Arial" w:hAnsi="Arial" w:cs="Arial"/>
          <w:b/>
          <w:sz w:val="24"/>
          <w:szCs w:val="24"/>
        </w:rPr>
      </w:pPr>
      <w:r w:rsidRPr="002906AF">
        <w:rPr>
          <w:rFonts w:ascii="Arial" w:hAnsi="Arial" w:cs="Arial"/>
          <w:b/>
          <w:sz w:val="24"/>
          <w:szCs w:val="24"/>
        </w:rPr>
        <w:t>4. RESULTS AND DISCUSSIONS</w:t>
      </w:r>
    </w:p>
    <w:p w14:paraId="48190253" w14:textId="77777777" w:rsidR="003A2B70" w:rsidRPr="00063201" w:rsidRDefault="00E2570D" w:rsidP="00DE11F7">
      <w:pPr>
        <w:spacing w:after="120"/>
        <w:jc w:val="both"/>
        <w:rPr>
          <w:rFonts w:ascii="Arial" w:hAnsi="Arial" w:cs="Arial"/>
          <w:b/>
          <w:szCs w:val="22"/>
        </w:rPr>
      </w:pPr>
      <w:r w:rsidRPr="00063201">
        <w:rPr>
          <w:rFonts w:ascii="Arial" w:hAnsi="Arial" w:cs="Arial"/>
          <w:b/>
          <w:szCs w:val="22"/>
        </w:rPr>
        <w:t xml:space="preserve">4.1 </w:t>
      </w:r>
      <w:r w:rsidR="003A36C8" w:rsidRPr="00063201">
        <w:rPr>
          <w:rFonts w:ascii="Arial" w:hAnsi="Arial" w:cs="Arial"/>
          <w:b/>
          <w:szCs w:val="22"/>
        </w:rPr>
        <w:t>Estimation of WTP</w:t>
      </w:r>
      <w:r w:rsidR="003A2B70" w:rsidRPr="00063201">
        <w:rPr>
          <w:rFonts w:ascii="Arial" w:hAnsi="Arial" w:cs="Arial"/>
          <w:b/>
          <w:szCs w:val="22"/>
        </w:rPr>
        <w:t>: Contingent Valuation Method</w:t>
      </w:r>
    </w:p>
    <w:p w14:paraId="027AFFA6" w14:textId="77777777" w:rsidR="003A2B70" w:rsidRPr="00063201" w:rsidRDefault="003A36C8" w:rsidP="00063201">
      <w:pPr>
        <w:autoSpaceDE w:val="0"/>
        <w:autoSpaceDN w:val="0"/>
        <w:adjustRightInd w:val="0"/>
        <w:spacing w:after="120"/>
        <w:jc w:val="both"/>
        <w:rPr>
          <w:rFonts w:ascii="Arial" w:hAnsi="Arial" w:cs="Arial"/>
          <w:sz w:val="20"/>
          <w:lang w:val="en-IN" w:bidi="ar-SA"/>
        </w:rPr>
      </w:pPr>
      <w:proofErr w:type="spellStart"/>
      <w:r w:rsidRPr="00063201">
        <w:rPr>
          <w:rFonts w:ascii="Arial" w:hAnsi="Arial" w:cs="Arial"/>
          <w:color w:val="222222"/>
          <w:sz w:val="20"/>
          <w:shd w:val="clear" w:color="auto" w:fill="FFFFFF"/>
        </w:rPr>
        <w:t>Endalew</w:t>
      </w:r>
      <w:proofErr w:type="spellEnd"/>
      <w:r w:rsidRPr="00063201">
        <w:rPr>
          <w:rFonts w:ascii="Arial" w:hAnsi="Arial" w:cs="Arial"/>
          <w:color w:val="222222"/>
          <w:sz w:val="20"/>
          <w:shd w:val="clear" w:color="auto" w:fill="FFFFFF"/>
        </w:rPr>
        <w:t xml:space="preserve"> &amp; </w:t>
      </w:r>
      <w:proofErr w:type="spellStart"/>
      <w:r w:rsidRPr="00063201">
        <w:rPr>
          <w:rFonts w:ascii="Arial" w:hAnsi="Arial" w:cs="Arial"/>
          <w:color w:val="222222"/>
          <w:sz w:val="20"/>
          <w:shd w:val="clear" w:color="auto" w:fill="FFFFFF"/>
        </w:rPr>
        <w:t>Tassie</w:t>
      </w:r>
      <w:proofErr w:type="spellEnd"/>
      <w:r w:rsidRPr="00063201">
        <w:rPr>
          <w:rFonts w:ascii="Arial" w:hAnsi="Arial" w:cs="Arial"/>
          <w:color w:val="222222"/>
          <w:sz w:val="20"/>
          <w:shd w:val="clear" w:color="auto" w:fill="FFFFFF"/>
        </w:rPr>
        <w:t xml:space="preserve"> (2018) pointed out that </w:t>
      </w:r>
      <w:r w:rsidRPr="00063201">
        <w:rPr>
          <w:rFonts w:ascii="Arial" w:hAnsi="Arial" w:cs="Arial"/>
          <w:sz w:val="20"/>
          <w:lang w:val="en-IN" w:bidi="ar-SA"/>
        </w:rPr>
        <w:t>w</w:t>
      </w:r>
      <w:r w:rsidR="00A163E7" w:rsidRPr="00063201">
        <w:rPr>
          <w:rFonts w:ascii="Arial" w:hAnsi="Arial" w:cs="Arial"/>
          <w:sz w:val="20"/>
          <w:lang w:val="en-IN" w:bidi="ar-SA"/>
        </w:rPr>
        <w:t xml:space="preserve">illingness to pay </w:t>
      </w:r>
      <w:r w:rsidR="00A163E7" w:rsidRPr="00063201">
        <w:rPr>
          <w:rFonts w:ascii="Arial" w:hAnsi="Arial" w:cs="Arial"/>
          <w:noProof/>
          <w:sz w:val="20"/>
          <w:lang w:val="en-IN" w:bidi="ar-SA"/>
        </w:rPr>
        <w:t>of</w:t>
      </w:r>
      <w:r w:rsidR="00A163E7" w:rsidRPr="00063201">
        <w:rPr>
          <w:rFonts w:ascii="Arial" w:hAnsi="Arial" w:cs="Arial"/>
          <w:sz w:val="20"/>
          <w:lang w:val="en-IN" w:bidi="ar-SA"/>
        </w:rPr>
        <w:t xml:space="preserve"> the household can be</w:t>
      </w:r>
      <w:r w:rsidR="007A7061" w:rsidRPr="00063201">
        <w:rPr>
          <w:rFonts w:ascii="Arial" w:hAnsi="Arial" w:cs="Arial"/>
          <w:sz w:val="20"/>
          <w:lang w:val="en-IN" w:bidi="ar-SA"/>
        </w:rPr>
        <w:t xml:space="preserve"> treated as one of the</w:t>
      </w:r>
      <w:r w:rsidR="00A163E7" w:rsidRPr="00063201">
        <w:rPr>
          <w:rFonts w:ascii="Arial" w:hAnsi="Arial" w:cs="Arial"/>
          <w:sz w:val="20"/>
          <w:lang w:val="en-IN" w:bidi="ar-SA"/>
        </w:rPr>
        <w:t xml:space="preserve"> s</w:t>
      </w:r>
      <w:r w:rsidR="007A7061" w:rsidRPr="00063201">
        <w:rPr>
          <w:rFonts w:ascii="Arial" w:hAnsi="Arial" w:cs="Arial"/>
          <w:sz w:val="20"/>
          <w:lang w:val="en-IN" w:bidi="ar-SA"/>
        </w:rPr>
        <w:t xml:space="preserve">ources to finance </w:t>
      </w:r>
      <w:r w:rsidR="00A163E7" w:rsidRPr="00063201">
        <w:rPr>
          <w:rFonts w:ascii="Arial" w:hAnsi="Arial" w:cs="Arial"/>
          <w:sz w:val="20"/>
          <w:lang w:val="en-IN" w:bidi="ar-SA"/>
        </w:rPr>
        <w:t>wast</w:t>
      </w:r>
      <w:r w:rsidR="00235A3A" w:rsidRPr="00063201">
        <w:rPr>
          <w:rFonts w:ascii="Arial" w:hAnsi="Arial" w:cs="Arial"/>
          <w:sz w:val="20"/>
          <w:lang w:val="en-IN" w:bidi="ar-SA"/>
        </w:rPr>
        <w:t>e management. T</w:t>
      </w:r>
      <w:r w:rsidR="00A163E7" w:rsidRPr="00063201">
        <w:rPr>
          <w:rFonts w:ascii="Arial" w:hAnsi="Arial" w:cs="Arial"/>
          <w:sz w:val="20"/>
          <w:lang w:val="en-IN" w:bidi="ar-SA"/>
        </w:rPr>
        <w:t xml:space="preserve">he </w:t>
      </w:r>
      <w:r w:rsidR="00B30AD6" w:rsidRPr="00063201">
        <w:rPr>
          <w:rFonts w:ascii="Arial" w:hAnsi="Arial" w:cs="Arial"/>
          <w:sz w:val="20"/>
          <w:lang w:val="en-IN" w:bidi="ar-SA"/>
        </w:rPr>
        <w:t xml:space="preserve">contingent valuation </w:t>
      </w:r>
      <w:r w:rsidR="00A163E7" w:rsidRPr="00063201">
        <w:rPr>
          <w:rFonts w:ascii="Arial" w:hAnsi="Arial" w:cs="Arial"/>
          <w:sz w:val="20"/>
          <w:lang w:val="en-IN" w:bidi="ar-SA"/>
        </w:rPr>
        <w:t>survey asked the households regardin</w:t>
      </w:r>
      <w:r w:rsidR="00A36970" w:rsidRPr="00063201">
        <w:rPr>
          <w:rFonts w:ascii="Arial" w:hAnsi="Arial" w:cs="Arial"/>
          <w:sz w:val="20"/>
          <w:lang w:val="en-IN" w:bidi="ar-SA"/>
        </w:rPr>
        <w:t>g their readi</w:t>
      </w:r>
      <w:r w:rsidR="001B0328" w:rsidRPr="00063201">
        <w:rPr>
          <w:rFonts w:ascii="Arial" w:hAnsi="Arial" w:cs="Arial"/>
          <w:sz w:val="20"/>
          <w:lang w:val="en-IN" w:bidi="ar-SA"/>
        </w:rPr>
        <w:t>ness to pay</w:t>
      </w:r>
      <w:r w:rsidR="00A163E7" w:rsidRPr="00063201">
        <w:rPr>
          <w:rFonts w:ascii="Arial" w:hAnsi="Arial" w:cs="Arial"/>
          <w:sz w:val="20"/>
          <w:lang w:val="en-IN" w:bidi="ar-SA"/>
        </w:rPr>
        <w:t xml:space="preserve"> of any amount per month for </w:t>
      </w:r>
      <w:r w:rsidR="00235A3A" w:rsidRPr="00063201">
        <w:rPr>
          <w:rFonts w:ascii="Arial" w:hAnsi="Arial" w:cs="Arial"/>
          <w:sz w:val="20"/>
          <w:lang w:val="en-IN" w:bidi="ar-SA"/>
        </w:rPr>
        <w:t>w</w:t>
      </w:r>
      <w:r w:rsidR="00A163E7" w:rsidRPr="00063201">
        <w:rPr>
          <w:rFonts w:ascii="Arial" w:hAnsi="Arial" w:cs="Arial"/>
          <w:sz w:val="20"/>
          <w:lang w:val="en-IN" w:bidi="ar-SA"/>
        </w:rPr>
        <w:t>aste management</w:t>
      </w:r>
      <w:r w:rsidR="00F63DA0" w:rsidRPr="00063201">
        <w:rPr>
          <w:rFonts w:ascii="Arial" w:hAnsi="Arial" w:cs="Arial"/>
          <w:sz w:val="20"/>
          <w:lang w:val="en-IN" w:bidi="ar-SA"/>
        </w:rPr>
        <w:t xml:space="preserve"> and thereby environmental quality</w:t>
      </w:r>
      <w:r w:rsidR="006F0575" w:rsidRPr="00063201">
        <w:rPr>
          <w:rFonts w:ascii="Arial" w:hAnsi="Arial" w:cs="Arial"/>
          <w:sz w:val="20"/>
          <w:lang w:val="en-IN" w:bidi="ar-SA"/>
        </w:rPr>
        <w:t xml:space="preserve">. It shows the value that households attach </w:t>
      </w:r>
      <w:r w:rsidR="006F0575" w:rsidRPr="00063201">
        <w:rPr>
          <w:rFonts w:ascii="Arial" w:hAnsi="Arial" w:cs="Arial"/>
          <w:noProof/>
          <w:sz w:val="20"/>
          <w:lang w:val="en-IN" w:bidi="ar-SA"/>
        </w:rPr>
        <w:t>on</w:t>
      </w:r>
      <w:r w:rsidR="006F0575" w:rsidRPr="00063201">
        <w:rPr>
          <w:rFonts w:ascii="Arial" w:hAnsi="Arial" w:cs="Arial"/>
          <w:sz w:val="20"/>
          <w:lang w:val="en-IN" w:bidi="ar-SA"/>
        </w:rPr>
        <w:t xml:space="preserve"> a clean environment.</w:t>
      </w:r>
      <w:r w:rsidR="007A7061" w:rsidRPr="00063201">
        <w:rPr>
          <w:rFonts w:ascii="Arial" w:hAnsi="Arial" w:cs="Arial"/>
          <w:sz w:val="20"/>
          <w:lang w:val="en-IN" w:bidi="ar-SA"/>
        </w:rPr>
        <w:t xml:space="preserve"> As the research outcome of Fonta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(2008), Banga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(2011), Joel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(2012), and Ojo </w:t>
      </w:r>
      <w:r w:rsidR="007A7061" w:rsidRPr="00063201">
        <w:rPr>
          <w:rFonts w:ascii="Arial" w:hAnsi="Arial" w:cs="Arial"/>
          <w:noProof/>
          <w:sz w:val="20"/>
          <w:lang w:val="en-IN" w:bidi="ar-SA"/>
        </w:rPr>
        <w:t>et al.</w:t>
      </w:r>
      <w:r w:rsidR="007A7061" w:rsidRPr="00063201">
        <w:rPr>
          <w:rFonts w:ascii="Arial" w:hAnsi="Arial" w:cs="Arial"/>
          <w:sz w:val="20"/>
          <w:lang w:val="en-IN" w:bidi="ar-SA"/>
        </w:rPr>
        <w:t xml:space="preserve"> (2015), this study</w:t>
      </w:r>
      <w:r w:rsidR="00911FFE" w:rsidRPr="00063201">
        <w:rPr>
          <w:rFonts w:ascii="Arial" w:hAnsi="Arial" w:cs="Arial"/>
          <w:sz w:val="20"/>
          <w:lang w:val="en-IN" w:bidi="ar-SA"/>
        </w:rPr>
        <w:t xml:space="preserve"> </w:t>
      </w:r>
      <w:r w:rsidR="00CD2812" w:rsidRPr="00063201">
        <w:rPr>
          <w:rFonts w:ascii="Arial" w:hAnsi="Arial" w:cs="Arial"/>
          <w:sz w:val="20"/>
          <w:lang w:val="en-IN" w:bidi="ar-SA"/>
        </w:rPr>
        <w:t>found</w:t>
      </w:r>
      <w:r w:rsidR="00024E24" w:rsidRPr="00063201">
        <w:rPr>
          <w:rFonts w:ascii="Arial" w:hAnsi="Arial" w:cs="Arial"/>
          <w:sz w:val="20"/>
          <w:lang w:val="en-IN" w:bidi="ar-SA"/>
        </w:rPr>
        <w:t xml:space="preserve"> that a</w:t>
      </w:r>
      <w:r w:rsidR="003A2B70" w:rsidRPr="00063201">
        <w:rPr>
          <w:rFonts w:ascii="Arial" w:hAnsi="Arial" w:cs="Arial"/>
          <w:sz w:val="20"/>
          <w:lang w:val="en-IN" w:bidi="ar-SA"/>
        </w:rPr>
        <w:t xml:space="preserve"> </w:t>
      </w:r>
      <w:r w:rsidR="003E4454" w:rsidRPr="00063201">
        <w:rPr>
          <w:rFonts w:ascii="Arial" w:hAnsi="Arial" w:cs="Arial"/>
          <w:noProof/>
          <w:sz w:val="20"/>
          <w:lang w:val="en-IN" w:bidi="ar-SA"/>
        </w:rPr>
        <w:t xml:space="preserve">substantial percentage </w:t>
      </w:r>
      <w:r w:rsidR="003A2B70" w:rsidRPr="00063201">
        <w:rPr>
          <w:rFonts w:ascii="Arial" w:hAnsi="Arial" w:cs="Arial"/>
          <w:sz w:val="20"/>
          <w:lang w:val="en-IN" w:bidi="ar-SA"/>
        </w:rPr>
        <w:t xml:space="preserve">of </w:t>
      </w:r>
      <w:r w:rsidR="003A2B70" w:rsidRPr="00063201">
        <w:rPr>
          <w:rFonts w:ascii="Arial" w:hAnsi="Arial" w:cs="Arial"/>
          <w:noProof/>
          <w:sz w:val="20"/>
          <w:lang w:val="en-IN" w:bidi="ar-SA"/>
        </w:rPr>
        <w:t>households</w:t>
      </w:r>
      <w:r w:rsidR="00B17C91" w:rsidRPr="00063201">
        <w:rPr>
          <w:rFonts w:ascii="Arial" w:hAnsi="Arial" w:cs="Arial"/>
          <w:noProof/>
          <w:sz w:val="20"/>
          <w:lang w:val="en-IN" w:bidi="ar-SA"/>
        </w:rPr>
        <w:t xml:space="preserve"> (83.3 per cent)</w:t>
      </w:r>
      <w:r w:rsidR="003A2B70" w:rsidRPr="00063201">
        <w:rPr>
          <w:rFonts w:ascii="Arial" w:hAnsi="Arial" w:cs="Arial"/>
          <w:sz w:val="20"/>
          <w:lang w:val="en-IN" w:bidi="ar-SA"/>
        </w:rPr>
        <w:t xml:space="preserve"> are willing to pay for </w:t>
      </w:r>
      <w:r w:rsidR="00B17C91" w:rsidRPr="00063201">
        <w:rPr>
          <w:rFonts w:ascii="Arial" w:hAnsi="Arial" w:cs="Arial"/>
          <w:sz w:val="20"/>
          <w:lang w:val="en-IN" w:bidi="ar-SA"/>
        </w:rPr>
        <w:t>door to door waste collection service</w:t>
      </w:r>
      <w:r w:rsidR="003E4454" w:rsidRPr="00063201">
        <w:rPr>
          <w:rFonts w:ascii="Arial" w:hAnsi="Arial" w:cs="Arial"/>
          <w:sz w:val="20"/>
          <w:lang w:val="en-IN" w:bidi="ar-SA"/>
        </w:rPr>
        <w:t xml:space="preserve"> and, as a result,</w:t>
      </w:r>
      <w:r w:rsidR="003A2B70" w:rsidRPr="00063201">
        <w:rPr>
          <w:rFonts w:ascii="Arial" w:hAnsi="Arial" w:cs="Arial"/>
          <w:sz w:val="20"/>
          <w:lang w:val="en-IN" w:bidi="ar-SA"/>
        </w:rPr>
        <w:t xml:space="preserve"> a </w:t>
      </w:r>
      <w:r w:rsidR="003A2B70" w:rsidRPr="00063201">
        <w:rPr>
          <w:rFonts w:ascii="Arial" w:hAnsi="Arial" w:cs="Arial"/>
          <w:noProof/>
          <w:sz w:val="20"/>
          <w:lang w:val="en-IN" w:bidi="ar-SA"/>
        </w:rPr>
        <w:t>good</w:t>
      </w:r>
      <w:r w:rsidR="003A2B70" w:rsidRPr="00063201">
        <w:rPr>
          <w:rFonts w:ascii="Arial" w:hAnsi="Arial" w:cs="Arial"/>
          <w:sz w:val="20"/>
          <w:lang w:val="en-IN" w:bidi="ar-SA"/>
        </w:rPr>
        <w:t xml:space="preserve"> and clean environment</w:t>
      </w:r>
      <w:r w:rsidR="007A7061" w:rsidRPr="00063201">
        <w:rPr>
          <w:rFonts w:ascii="Arial" w:hAnsi="Arial" w:cs="Arial"/>
          <w:sz w:val="20"/>
          <w:lang w:val="en-IN" w:bidi="ar-SA"/>
        </w:rPr>
        <w:t>.</w:t>
      </w:r>
    </w:p>
    <w:p w14:paraId="43AE4072" w14:textId="77777777" w:rsidR="00193B35" w:rsidRPr="00063201" w:rsidRDefault="00193B35" w:rsidP="00063201">
      <w:pPr>
        <w:autoSpaceDE w:val="0"/>
        <w:autoSpaceDN w:val="0"/>
        <w:adjustRightInd w:val="0"/>
        <w:jc w:val="both"/>
        <w:rPr>
          <w:rFonts w:ascii="Arial" w:hAnsi="Arial" w:cs="Arial"/>
          <w:sz w:val="20"/>
          <w:lang w:val="en-IN" w:bidi="ar-SA"/>
        </w:rPr>
      </w:pPr>
      <w:r w:rsidRPr="00063201">
        <w:rPr>
          <w:rFonts w:ascii="Arial" w:eastAsia="Times New Roman" w:hAnsi="Arial" w:cs="Arial"/>
          <w:sz w:val="20"/>
          <w:lang w:val="en-IN" w:eastAsia="en-IN" w:bidi="ar-SA"/>
        </w:rPr>
        <w:t xml:space="preserve">The dichotomous choice method of contingent valuation is used to estimate the household's actual willingness to pay for environmental quality. A dichotomous format was shown to respondents who indicated in the affirmative when asked if they would be willing to pay. They were first asked if they would be willing to pay Rs. 100 and made an offer of that sum. Once they accepted, a bid that was twice as high as the first, Rs. 200, was made, and their desire to pay this sum was questioned. A lower bid of Rs. 50—half the original amount—was made available in the event that the first bid was rejected. Then, an open-ended follow-up question asking for the highest sum the household was willing to pay took the place of the double-bounded structure. </w:t>
      </w:r>
      <w:r w:rsidRPr="00063201">
        <w:rPr>
          <w:rFonts w:ascii="Arial" w:hAnsi="Arial" w:cs="Arial"/>
          <w:sz w:val="20"/>
          <w:lang w:val="en-IN" w:bidi="ar-SA"/>
        </w:rPr>
        <w:t xml:space="preserve">The purpose of the follow-up question is to help detect outliers and inconsistent responses. Two different bids (Rs.100 and Rs.200) </w:t>
      </w:r>
      <w:r w:rsidRPr="00063201">
        <w:rPr>
          <w:rFonts w:ascii="Arial" w:hAnsi="Arial" w:cs="Arial"/>
          <w:noProof/>
          <w:sz w:val="20"/>
          <w:lang w:val="en-IN" w:bidi="ar-SA"/>
        </w:rPr>
        <w:t>were used</w:t>
      </w:r>
      <w:r w:rsidRPr="00063201">
        <w:rPr>
          <w:rFonts w:ascii="Arial" w:hAnsi="Arial" w:cs="Arial"/>
          <w:sz w:val="20"/>
          <w:lang w:val="en-IN" w:bidi="ar-SA"/>
        </w:rPr>
        <w:t xml:space="preserve"> in this study and households were given with anyone of these bids randomly.</w:t>
      </w:r>
    </w:p>
    <w:p w14:paraId="0EEB37A7" w14:textId="77777777" w:rsidR="001C741E" w:rsidRPr="00063201" w:rsidRDefault="001E4B11" w:rsidP="00DE11F7">
      <w:pPr>
        <w:autoSpaceDE w:val="0"/>
        <w:autoSpaceDN w:val="0"/>
        <w:adjustRightInd w:val="0"/>
        <w:rPr>
          <w:rFonts w:ascii="Arial" w:hAnsi="Arial" w:cs="Arial"/>
          <w:b/>
          <w:sz w:val="20"/>
        </w:rPr>
      </w:pPr>
      <w:r w:rsidRPr="002906AF">
        <w:rPr>
          <w:rFonts w:ascii="Arial" w:hAnsi="Arial" w:cs="Arial"/>
          <w:b/>
          <w:sz w:val="24"/>
          <w:szCs w:val="24"/>
        </w:rPr>
        <w:t xml:space="preserve">      </w:t>
      </w:r>
      <w:r w:rsidR="0047548D" w:rsidRPr="002906AF">
        <w:rPr>
          <w:rFonts w:ascii="Arial" w:hAnsi="Arial" w:cs="Arial"/>
          <w:b/>
          <w:sz w:val="24"/>
          <w:szCs w:val="24"/>
        </w:rPr>
        <w:t xml:space="preserve"> </w:t>
      </w:r>
      <w:r w:rsidR="00063201">
        <w:rPr>
          <w:rFonts w:ascii="Arial" w:hAnsi="Arial" w:cs="Arial"/>
          <w:b/>
          <w:sz w:val="24"/>
          <w:szCs w:val="24"/>
        </w:rPr>
        <w:t xml:space="preserve">    </w:t>
      </w:r>
      <w:r w:rsidR="0047548D" w:rsidRPr="002906AF">
        <w:rPr>
          <w:rFonts w:ascii="Arial" w:hAnsi="Arial" w:cs="Arial"/>
          <w:b/>
          <w:sz w:val="24"/>
          <w:szCs w:val="24"/>
        </w:rPr>
        <w:t xml:space="preserve"> </w:t>
      </w:r>
      <w:r w:rsidR="0047548D" w:rsidRPr="00063201">
        <w:rPr>
          <w:rFonts w:ascii="Arial" w:hAnsi="Arial" w:cs="Arial"/>
          <w:b/>
          <w:sz w:val="20"/>
        </w:rPr>
        <w:t>Table 1</w:t>
      </w:r>
      <w:r w:rsidR="001C741E" w:rsidRPr="00063201">
        <w:rPr>
          <w:rFonts w:ascii="Arial" w:hAnsi="Arial" w:cs="Arial"/>
          <w:b/>
          <w:sz w:val="20"/>
        </w:rPr>
        <w:t xml:space="preserve"> Willingness to pay on different bids: Dichotomous choice approach</w:t>
      </w:r>
    </w:p>
    <w:tbl>
      <w:tblPr>
        <w:tblW w:w="3719" w:type="pct"/>
        <w:jc w:val="center"/>
        <w:tblLook w:val="04A0" w:firstRow="1" w:lastRow="0" w:firstColumn="1" w:lastColumn="0" w:noHBand="0" w:noVBand="1"/>
      </w:tblPr>
      <w:tblGrid>
        <w:gridCol w:w="1641"/>
        <w:gridCol w:w="1141"/>
        <w:gridCol w:w="1134"/>
        <w:gridCol w:w="1134"/>
        <w:gridCol w:w="994"/>
        <w:gridCol w:w="830"/>
      </w:tblGrid>
      <w:tr w:rsidR="001E4B11" w:rsidRPr="002906AF" w14:paraId="245A83C0" w14:textId="77777777" w:rsidTr="00063201">
        <w:trPr>
          <w:jc w:val="center"/>
        </w:trPr>
        <w:tc>
          <w:tcPr>
            <w:tcW w:w="1193" w:type="pct"/>
            <w:tcBorders>
              <w:top w:val="single" w:sz="4" w:space="0" w:color="auto"/>
              <w:bottom w:val="single" w:sz="4" w:space="0" w:color="auto"/>
            </w:tcBorders>
            <w:shd w:val="clear" w:color="auto" w:fill="auto"/>
            <w:vAlign w:val="center"/>
          </w:tcPr>
          <w:p w14:paraId="70C2AACD"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Initial bid (In Rs/Month)</w:t>
            </w:r>
          </w:p>
        </w:tc>
        <w:tc>
          <w:tcPr>
            <w:tcW w:w="830" w:type="pct"/>
            <w:tcBorders>
              <w:top w:val="single" w:sz="4" w:space="0" w:color="auto"/>
              <w:bottom w:val="single" w:sz="4" w:space="0" w:color="auto"/>
            </w:tcBorders>
            <w:shd w:val="clear" w:color="auto" w:fill="auto"/>
            <w:vAlign w:val="center"/>
          </w:tcPr>
          <w:p w14:paraId="771F6FF5"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Yes-Yes (in %)</w:t>
            </w:r>
          </w:p>
        </w:tc>
        <w:tc>
          <w:tcPr>
            <w:tcW w:w="825" w:type="pct"/>
            <w:tcBorders>
              <w:top w:val="single" w:sz="4" w:space="0" w:color="auto"/>
              <w:bottom w:val="single" w:sz="4" w:space="0" w:color="auto"/>
            </w:tcBorders>
            <w:shd w:val="clear" w:color="auto" w:fill="auto"/>
            <w:vAlign w:val="center"/>
          </w:tcPr>
          <w:p w14:paraId="0C170304"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Yes- No (in %)</w:t>
            </w:r>
          </w:p>
        </w:tc>
        <w:tc>
          <w:tcPr>
            <w:tcW w:w="825" w:type="pct"/>
            <w:tcBorders>
              <w:top w:val="single" w:sz="4" w:space="0" w:color="auto"/>
              <w:bottom w:val="single" w:sz="4" w:space="0" w:color="auto"/>
            </w:tcBorders>
            <w:shd w:val="clear" w:color="auto" w:fill="auto"/>
            <w:vAlign w:val="center"/>
          </w:tcPr>
          <w:p w14:paraId="69DB716A"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No- Yes (in %)</w:t>
            </w:r>
          </w:p>
        </w:tc>
        <w:tc>
          <w:tcPr>
            <w:tcW w:w="723" w:type="pct"/>
            <w:tcBorders>
              <w:top w:val="single" w:sz="4" w:space="0" w:color="auto"/>
              <w:bottom w:val="single" w:sz="4" w:space="0" w:color="auto"/>
            </w:tcBorders>
            <w:shd w:val="clear" w:color="auto" w:fill="auto"/>
            <w:vAlign w:val="center"/>
          </w:tcPr>
          <w:p w14:paraId="229ADBDB"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No-No (in %)</w:t>
            </w:r>
          </w:p>
        </w:tc>
        <w:tc>
          <w:tcPr>
            <w:tcW w:w="604" w:type="pct"/>
            <w:tcBorders>
              <w:top w:val="single" w:sz="4" w:space="0" w:color="auto"/>
              <w:bottom w:val="single" w:sz="4" w:space="0" w:color="auto"/>
            </w:tcBorders>
            <w:shd w:val="clear" w:color="auto" w:fill="auto"/>
            <w:vAlign w:val="center"/>
          </w:tcPr>
          <w:p w14:paraId="29F12D10" w14:textId="77777777" w:rsidR="001C741E" w:rsidRPr="00063201" w:rsidRDefault="001C741E" w:rsidP="00DE11F7">
            <w:pPr>
              <w:autoSpaceDE w:val="0"/>
              <w:autoSpaceDN w:val="0"/>
              <w:adjustRightInd w:val="0"/>
              <w:spacing w:before="60" w:after="60"/>
              <w:jc w:val="center"/>
              <w:rPr>
                <w:rFonts w:ascii="Arial" w:hAnsi="Arial" w:cs="Arial"/>
                <w:b/>
                <w:sz w:val="20"/>
              </w:rPr>
            </w:pPr>
            <w:r w:rsidRPr="00063201">
              <w:rPr>
                <w:rFonts w:ascii="Arial" w:hAnsi="Arial" w:cs="Arial"/>
                <w:b/>
                <w:sz w:val="20"/>
              </w:rPr>
              <w:t>Total</w:t>
            </w:r>
          </w:p>
        </w:tc>
      </w:tr>
      <w:tr w:rsidR="001E4B11" w:rsidRPr="002906AF" w14:paraId="0EE4C690" w14:textId="77777777" w:rsidTr="00063201">
        <w:trPr>
          <w:jc w:val="center"/>
        </w:trPr>
        <w:tc>
          <w:tcPr>
            <w:tcW w:w="1193" w:type="pct"/>
            <w:tcBorders>
              <w:top w:val="single" w:sz="4" w:space="0" w:color="auto"/>
            </w:tcBorders>
            <w:shd w:val="clear" w:color="auto" w:fill="auto"/>
            <w:vAlign w:val="center"/>
          </w:tcPr>
          <w:p w14:paraId="3F7D146C" w14:textId="77777777" w:rsidR="001C741E" w:rsidRPr="000820D4" w:rsidRDefault="001C741E" w:rsidP="00DE11F7">
            <w:pPr>
              <w:autoSpaceDE w:val="0"/>
              <w:autoSpaceDN w:val="0"/>
              <w:adjustRightInd w:val="0"/>
              <w:spacing w:before="60" w:after="60"/>
              <w:jc w:val="center"/>
              <w:rPr>
                <w:rFonts w:ascii="Arial" w:hAnsi="Arial" w:cs="Arial"/>
                <w:sz w:val="20"/>
              </w:rPr>
            </w:pPr>
            <w:r w:rsidRPr="000820D4">
              <w:rPr>
                <w:rFonts w:ascii="Arial" w:hAnsi="Arial" w:cs="Arial"/>
                <w:sz w:val="20"/>
              </w:rPr>
              <w:t>100</w:t>
            </w:r>
          </w:p>
        </w:tc>
        <w:tc>
          <w:tcPr>
            <w:tcW w:w="830" w:type="pct"/>
            <w:tcBorders>
              <w:top w:val="single" w:sz="4" w:space="0" w:color="auto"/>
            </w:tcBorders>
            <w:shd w:val="clear" w:color="auto" w:fill="auto"/>
            <w:vAlign w:val="center"/>
          </w:tcPr>
          <w:p w14:paraId="3C854B80"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55.73</w:t>
            </w:r>
          </w:p>
        </w:tc>
        <w:tc>
          <w:tcPr>
            <w:tcW w:w="825" w:type="pct"/>
            <w:tcBorders>
              <w:top w:val="single" w:sz="4" w:space="0" w:color="auto"/>
            </w:tcBorders>
            <w:shd w:val="clear" w:color="auto" w:fill="auto"/>
            <w:vAlign w:val="center"/>
          </w:tcPr>
          <w:p w14:paraId="60AE464A"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25.52</w:t>
            </w:r>
          </w:p>
        </w:tc>
        <w:tc>
          <w:tcPr>
            <w:tcW w:w="825" w:type="pct"/>
            <w:tcBorders>
              <w:top w:val="single" w:sz="4" w:space="0" w:color="auto"/>
            </w:tcBorders>
            <w:shd w:val="clear" w:color="auto" w:fill="auto"/>
            <w:vAlign w:val="center"/>
          </w:tcPr>
          <w:p w14:paraId="18CB6817"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2.08</w:t>
            </w:r>
          </w:p>
        </w:tc>
        <w:tc>
          <w:tcPr>
            <w:tcW w:w="723" w:type="pct"/>
            <w:tcBorders>
              <w:top w:val="single" w:sz="4" w:space="0" w:color="auto"/>
            </w:tcBorders>
            <w:shd w:val="clear" w:color="auto" w:fill="auto"/>
            <w:vAlign w:val="center"/>
          </w:tcPr>
          <w:p w14:paraId="4E6500B6"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16.67</w:t>
            </w:r>
          </w:p>
        </w:tc>
        <w:tc>
          <w:tcPr>
            <w:tcW w:w="604" w:type="pct"/>
            <w:tcBorders>
              <w:top w:val="single" w:sz="4" w:space="0" w:color="auto"/>
            </w:tcBorders>
            <w:shd w:val="clear" w:color="auto" w:fill="auto"/>
            <w:vAlign w:val="center"/>
          </w:tcPr>
          <w:p w14:paraId="13D93577"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384</w:t>
            </w:r>
          </w:p>
        </w:tc>
      </w:tr>
      <w:tr w:rsidR="001E4B11" w:rsidRPr="002906AF" w14:paraId="3A820CDA" w14:textId="77777777" w:rsidTr="00063201">
        <w:trPr>
          <w:trHeight w:val="266"/>
          <w:jc w:val="center"/>
        </w:trPr>
        <w:tc>
          <w:tcPr>
            <w:tcW w:w="1193" w:type="pct"/>
            <w:tcBorders>
              <w:bottom w:val="single" w:sz="4" w:space="0" w:color="auto"/>
            </w:tcBorders>
            <w:shd w:val="clear" w:color="auto" w:fill="auto"/>
            <w:vAlign w:val="center"/>
          </w:tcPr>
          <w:p w14:paraId="79A23BDB" w14:textId="77777777" w:rsidR="001C741E" w:rsidRPr="000820D4" w:rsidRDefault="001C741E" w:rsidP="00DE11F7">
            <w:pPr>
              <w:autoSpaceDE w:val="0"/>
              <w:autoSpaceDN w:val="0"/>
              <w:adjustRightInd w:val="0"/>
              <w:spacing w:before="60" w:after="60"/>
              <w:jc w:val="center"/>
              <w:rPr>
                <w:rFonts w:ascii="Arial" w:hAnsi="Arial" w:cs="Arial"/>
                <w:sz w:val="20"/>
              </w:rPr>
            </w:pPr>
            <w:r w:rsidRPr="000820D4">
              <w:rPr>
                <w:rFonts w:ascii="Arial" w:hAnsi="Arial" w:cs="Arial"/>
                <w:sz w:val="20"/>
              </w:rPr>
              <w:t>200</w:t>
            </w:r>
          </w:p>
        </w:tc>
        <w:tc>
          <w:tcPr>
            <w:tcW w:w="830" w:type="pct"/>
            <w:tcBorders>
              <w:bottom w:val="single" w:sz="4" w:space="0" w:color="auto"/>
            </w:tcBorders>
            <w:shd w:val="clear" w:color="auto" w:fill="auto"/>
            <w:vAlign w:val="center"/>
          </w:tcPr>
          <w:p w14:paraId="5FDF2D94"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13.80</w:t>
            </w:r>
          </w:p>
        </w:tc>
        <w:tc>
          <w:tcPr>
            <w:tcW w:w="825" w:type="pct"/>
            <w:tcBorders>
              <w:bottom w:val="single" w:sz="4" w:space="0" w:color="auto"/>
            </w:tcBorders>
            <w:shd w:val="clear" w:color="auto" w:fill="auto"/>
            <w:vAlign w:val="center"/>
          </w:tcPr>
          <w:p w14:paraId="0FE46BB3"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41.93</w:t>
            </w:r>
          </w:p>
        </w:tc>
        <w:tc>
          <w:tcPr>
            <w:tcW w:w="825" w:type="pct"/>
            <w:tcBorders>
              <w:bottom w:val="single" w:sz="4" w:space="0" w:color="auto"/>
            </w:tcBorders>
            <w:shd w:val="clear" w:color="auto" w:fill="auto"/>
            <w:vAlign w:val="center"/>
          </w:tcPr>
          <w:p w14:paraId="490458D7"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25.52</w:t>
            </w:r>
          </w:p>
        </w:tc>
        <w:tc>
          <w:tcPr>
            <w:tcW w:w="723" w:type="pct"/>
            <w:tcBorders>
              <w:bottom w:val="single" w:sz="4" w:space="0" w:color="auto"/>
            </w:tcBorders>
            <w:shd w:val="clear" w:color="auto" w:fill="auto"/>
            <w:vAlign w:val="center"/>
          </w:tcPr>
          <w:p w14:paraId="46D10D64"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18.75</w:t>
            </w:r>
          </w:p>
        </w:tc>
        <w:tc>
          <w:tcPr>
            <w:tcW w:w="604" w:type="pct"/>
            <w:tcBorders>
              <w:bottom w:val="single" w:sz="4" w:space="0" w:color="auto"/>
            </w:tcBorders>
            <w:shd w:val="clear" w:color="auto" w:fill="auto"/>
            <w:vAlign w:val="center"/>
          </w:tcPr>
          <w:p w14:paraId="5CFB94A3" w14:textId="77777777" w:rsidR="001C741E" w:rsidRPr="000820D4" w:rsidRDefault="001C741E" w:rsidP="00DE11F7">
            <w:pPr>
              <w:autoSpaceDE w:val="0"/>
              <w:autoSpaceDN w:val="0"/>
              <w:adjustRightInd w:val="0"/>
              <w:spacing w:before="60" w:after="60"/>
              <w:jc w:val="right"/>
              <w:rPr>
                <w:rFonts w:ascii="Arial" w:hAnsi="Arial" w:cs="Arial"/>
                <w:sz w:val="20"/>
              </w:rPr>
            </w:pPr>
            <w:r w:rsidRPr="000820D4">
              <w:rPr>
                <w:rFonts w:ascii="Arial" w:hAnsi="Arial" w:cs="Arial"/>
                <w:sz w:val="20"/>
              </w:rPr>
              <w:t>384</w:t>
            </w:r>
          </w:p>
        </w:tc>
      </w:tr>
    </w:tbl>
    <w:p w14:paraId="2A33E6A8" w14:textId="77777777" w:rsidR="001C741E" w:rsidRPr="00063201" w:rsidRDefault="001C741E" w:rsidP="00DE11F7">
      <w:pPr>
        <w:autoSpaceDE w:val="0"/>
        <w:autoSpaceDN w:val="0"/>
        <w:adjustRightInd w:val="0"/>
        <w:jc w:val="both"/>
        <w:rPr>
          <w:rFonts w:ascii="Arial" w:hAnsi="Arial" w:cs="Arial"/>
          <w:i/>
          <w:iCs/>
          <w:sz w:val="20"/>
        </w:rPr>
      </w:pPr>
      <w:r w:rsidRPr="002906AF">
        <w:rPr>
          <w:rFonts w:ascii="Arial" w:hAnsi="Arial" w:cs="Arial"/>
          <w:i/>
          <w:iCs/>
          <w:sz w:val="24"/>
          <w:szCs w:val="24"/>
        </w:rPr>
        <w:t xml:space="preserve">   </w:t>
      </w:r>
      <w:r w:rsidR="001E4B11" w:rsidRPr="002906AF">
        <w:rPr>
          <w:rFonts w:ascii="Arial" w:hAnsi="Arial" w:cs="Arial"/>
          <w:i/>
          <w:iCs/>
          <w:sz w:val="24"/>
          <w:szCs w:val="24"/>
        </w:rPr>
        <w:t xml:space="preserve">            </w:t>
      </w:r>
      <w:r w:rsidRPr="002906AF">
        <w:rPr>
          <w:rFonts w:ascii="Arial" w:hAnsi="Arial" w:cs="Arial"/>
          <w:i/>
          <w:iCs/>
          <w:sz w:val="24"/>
          <w:szCs w:val="24"/>
        </w:rPr>
        <w:t xml:space="preserve"> </w:t>
      </w:r>
      <w:r w:rsidR="001E4B11" w:rsidRPr="002906AF">
        <w:rPr>
          <w:rFonts w:ascii="Arial" w:hAnsi="Arial" w:cs="Arial"/>
          <w:i/>
          <w:iCs/>
          <w:sz w:val="24"/>
          <w:szCs w:val="24"/>
        </w:rPr>
        <w:t xml:space="preserve"> </w:t>
      </w:r>
      <w:r w:rsidRPr="00063201">
        <w:rPr>
          <w:rFonts w:ascii="Arial" w:hAnsi="Arial" w:cs="Arial"/>
          <w:i/>
          <w:iCs/>
          <w:sz w:val="20"/>
        </w:rPr>
        <w:t>Source: computed from primary data</w:t>
      </w:r>
    </w:p>
    <w:p w14:paraId="24247E3E" w14:textId="77777777" w:rsidR="00496119" w:rsidRPr="00063201" w:rsidRDefault="0047548D" w:rsidP="00063201">
      <w:pPr>
        <w:autoSpaceDE w:val="0"/>
        <w:autoSpaceDN w:val="0"/>
        <w:adjustRightInd w:val="0"/>
        <w:spacing w:after="120"/>
        <w:jc w:val="both"/>
        <w:rPr>
          <w:rFonts w:ascii="Arial" w:hAnsi="Arial" w:cs="Arial"/>
          <w:sz w:val="20"/>
        </w:rPr>
      </w:pPr>
      <w:r w:rsidRPr="00063201">
        <w:rPr>
          <w:rFonts w:ascii="Arial" w:hAnsi="Arial" w:cs="Arial"/>
          <w:sz w:val="20"/>
        </w:rPr>
        <w:t>Table 1</w:t>
      </w:r>
      <w:r w:rsidR="00D63C13" w:rsidRPr="00063201">
        <w:rPr>
          <w:rFonts w:ascii="Arial" w:hAnsi="Arial" w:cs="Arial"/>
          <w:sz w:val="20"/>
        </w:rPr>
        <w:t xml:space="preserve"> illustrates that</w:t>
      </w:r>
      <w:r w:rsidR="0005586B" w:rsidRPr="00063201">
        <w:rPr>
          <w:rFonts w:ascii="Arial" w:hAnsi="Arial" w:cs="Arial"/>
          <w:sz w:val="20"/>
        </w:rPr>
        <w:t xml:space="preserve"> as the amount is raised, </w:t>
      </w:r>
      <w:r w:rsidR="00D63C13" w:rsidRPr="00063201">
        <w:rPr>
          <w:rFonts w:ascii="Arial" w:hAnsi="Arial" w:cs="Arial"/>
          <w:sz w:val="20"/>
        </w:rPr>
        <w:t xml:space="preserve">the percentage of </w:t>
      </w:r>
      <w:r w:rsidR="00F6618B" w:rsidRPr="00063201">
        <w:rPr>
          <w:rFonts w:ascii="Arial" w:hAnsi="Arial" w:cs="Arial"/>
          <w:sz w:val="20"/>
        </w:rPr>
        <w:t>‘</w:t>
      </w:r>
      <w:r w:rsidR="00D63C13" w:rsidRPr="00063201">
        <w:rPr>
          <w:rFonts w:ascii="Arial" w:hAnsi="Arial" w:cs="Arial"/>
          <w:sz w:val="20"/>
        </w:rPr>
        <w:t>yes</w:t>
      </w:r>
      <w:r w:rsidR="0005586B" w:rsidRPr="00063201">
        <w:rPr>
          <w:rFonts w:ascii="Arial" w:hAnsi="Arial" w:cs="Arial"/>
          <w:sz w:val="20"/>
        </w:rPr>
        <w:t>-yes</w:t>
      </w:r>
      <w:r w:rsidR="00F6618B" w:rsidRPr="00063201">
        <w:rPr>
          <w:rFonts w:ascii="Arial" w:hAnsi="Arial" w:cs="Arial"/>
          <w:sz w:val="20"/>
        </w:rPr>
        <w:t>’</w:t>
      </w:r>
      <w:r w:rsidR="0005586B" w:rsidRPr="00063201">
        <w:rPr>
          <w:rFonts w:ascii="Arial" w:hAnsi="Arial" w:cs="Arial"/>
          <w:sz w:val="20"/>
        </w:rPr>
        <w:t xml:space="preserve"> responses decreases. At the first bid of Rs. 100, 55.73 per cent of households were ready</w:t>
      </w:r>
      <w:r w:rsidR="00D63C13" w:rsidRPr="00063201">
        <w:rPr>
          <w:rFonts w:ascii="Arial" w:hAnsi="Arial" w:cs="Arial"/>
          <w:sz w:val="20"/>
        </w:rPr>
        <w:t xml:space="preserve"> to pay at le</w:t>
      </w:r>
      <w:r w:rsidR="0005586B" w:rsidRPr="00063201">
        <w:rPr>
          <w:rFonts w:ascii="Arial" w:hAnsi="Arial" w:cs="Arial"/>
          <w:sz w:val="20"/>
        </w:rPr>
        <w:t>ast Rs. 200 for the</w:t>
      </w:r>
      <w:r w:rsidR="00D63C13" w:rsidRPr="00063201">
        <w:rPr>
          <w:rFonts w:ascii="Arial" w:hAnsi="Arial" w:cs="Arial"/>
          <w:sz w:val="20"/>
        </w:rPr>
        <w:t xml:space="preserve"> garbage col</w:t>
      </w:r>
      <w:r w:rsidR="0005586B" w:rsidRPr="00063201">
        <w:rPr>
          <w:rFonts w:ascii="Arial" w:hAnsi="Arial" w:cs="Arial"/>
          <w:sz w:val="20"/>
        </w:rPr>
        <w:t>lection syste</w:t>
      </w:r>
      <w:r w:rsidR="004A26AA" w:rsidRPr="00063201">
        <w:rPr>
          <w:rFonts w:ascii="Arial" w:hAnsi="Arial" w:cs="Arial"/>
          <w:sz w:val="20"/>
        </w:rPr>
        <w:t>m, whereas only a small group of respondents</w:t>
      </w:r>
      <w:r w:rsidR="0005586B" w:rsidRPr="00063201">
        <w:rPr>
          <w:rFonts w:ascii="Arial" w:hAnsi="Arial" w:cs="Arial"/>
          <w:sz w:val="20"/>
        </w:rPr>
        <w:t xml:space="preserve"> were ready</w:t>
      </w:r>
      <w:r w:rsidR="00D63C13" w:rsidRPr="00063201">
        <w:rPr>
          <w:rFonts w:ascii="Arial" w:hAnsi="Arial" w:cs="Arial"/>
          <w:sz w:val="20"/>
        </w:rPr>
        <w:t xml:space="preserve"> to pay Rs. 400 at the second bid of Rs. 200.</w:t>
      </w:r>
      <w:r w:rsidR="001C7CE9" w:rsidRPr="00063201">
        <w:rPr>
          <w:rFonts w:ascii="Arial" w:hAnsi="Arial" w:cs="Arial"/>
          <w:sz w:val="20"/>
        </w:rPr>
        <w:t xml:space="preserve"> </w:t>
      </w:r>
      <w:r w:rsidR="00B634BA" w:rsidRPr="00063201">
        <w:rPr>
          <w:rFonts w:ascii="Arial" w:hAnsi="Arial" w:cs="Arial"/>
          <w:sz w:val="20"/>
        </w:rPr>
        <w:t xml:space="preserve">In a </w:t>
      </w:r>
      <w:r w:rsidR="00B634BA" w:rsidRPr="00063201">
        <w:rPr>
          <w:rFonts w:ascii="Arial" w:hAnsi="Arial" w:cs="Arial"/>
          <w:noProof/>
          <w:sz w:val="20"/>
        </w:rPr>
        <w:t>well-developed</w:t>
      </w:r>
      <w:r w:rsidR="006F7DC4" w:rsidRPr="00063201">
        <w:rPr>
          <w:rFonts w:ascii="Arial" w:hAnsi="Arial" w:cs="Arial"/>
          <w:sz w:val="20"/>
        </w:rPr>
        <w:t xml:space="preserve"> contingent valuation</w:t>
      </w:r>
      <w:r w:rsidR="00B634BA" w:rsidRPr="00063201">
        <w:rPr>
          <w:rFonts w:ascii="Arial" w:hAnsi="Arial" w:cs="Arial"/>
          <w:sz w:val="20"/>
        </w:rPr>
        <w:t xml:space="preserve"> survey, the number of yes answers should decline as the bid amount increases</w:t>
      </w:r>
      <w:r w:rsidR="0005586B" w:rsidRPr="00063201">
        <w:rPr>
          <w:rFonts w:ascii="Arial" w:hAnsi="Arial" w:cs="Arial"/>
          <w:sz w:val="20"/>
        </w:rPr>
        <w:t xml:space="preserve"> and </w:t>
      </w:r>
      <w:r w:rsidR="0005586B" w:rsidRPr="00063201">
        <w:rPr>
          <w:rFonts w:ascii="Arial" w:hAnsi="Arial" w:cs="Arial"/>
          <w:noProof/>
          <w:sz w:val="20"/>
        </w:rPr>
        <w:t>the</w:t>
      </w:r>
      <w:r w:rsidR="0005586B" w:rsidRPr="00063201">
        <w:rPr>
          <w:rFonts w:ascii="Arial" w:hAnsi="Arial" w:cs="Arial"/>
          <w:sz w:val="20"/>
        </w:rPr>
        <w:t xml:space="preserve"> proportion of “no-no” answers increases as the bid amount </w:t>
      </w:r>
      <w:r w:rsidR="0005586B" w:rsidRPr="00063201">
        <w:rPr>
          <w:rFonts w:ascii="Arial" w:hAnsi="Arial" w:cs="Arial"/>
          <w:noProof/>
          <w:sz w:val="20"/>
        </w:rPr>
        <w:t>is increased</w:t>
      </w:r>
      <w:r w:rsidR="0005586B" w:rsidRPr="00063201">
        <w:rPr>
          <w:rFonts w:ascii="Arial" w:hAnsi="Arial" w:cs="Arial"/>
          <w:sz w:val="20"/>
        </w:rPr>
        <w:t>.</w:t>
      </w:r>
      <w:r w:rsidR="00B634BA" w:rsidRPr="00063201">
        <w:rPr>
          <w:rFonts w:ascii="Arial" w:hAnsi="Arial" w:cs="Arial"/>
          <w:sz w:val="20"/>
        </w:rPr>
        <w:t xml:space="preserve"> (Carson 2000)</w:t>
      </w:r>
      <w:r w:rsidR="00B634BA" w:rsidRPr="00063201">
        <w:rPr>
          <w:rFonts w:ascii="Arial" w:hAnsi="Arial" w:cs="Arial"/>
          <w:noProof/>
          <w:sz w:val="20"/>
        </w:rPr>
        <w:t xml:space="preserve">. </w:t>
      </w:r>
      <w:r w:rsidR="00B634BA" w:rsidRPr="00063201">
        <w:rPr>
          <w:rFonts w:ascii="Arial" w:hAnsi="Arial" w:cs="Arial"/>
          <w:sz w:val="20"/>
        </w:rPr>
        <w:t>At bid amount of Rs 100, there are 16.67 per cent “no-no” households, implying that they are not willing to pay at least</w:t>
      </w:r>
      <w:r w:rsidR="0005586B" w:rsidRPr="00063201">
        <w:rPr>
          <w:rFonts w:ascii="Arial" w:hAnsi="Arial" w:cs="Arial"/>
          <w:sz w:val="20"/>
        </w:rPr>
        <w:t xml:space="preserve"> Rs 50 and 18.75 per cent replied “no-no” to the</w:t>
      </w:r>
      <w:r w:rsidR="00CB03D3" w:rsidRPr="00063201">
        <w:rPr>
          <w:rFonts w:ascii="Arial" w:hAnsi="Arial" w:cs="Arial"/>
          <w:sz w:val="20"/>
        </w:rPr>
        <w:t xml:space="preserve"> highest</w:t>
      </w:r>
      <w:r w:rsidR="004A26AA" w:rsidRPr="00063201">
        <w:rPr>
          <w:rFonts w:ascii="Arial" w:hAnsi="Arial" w:cs="Arial"/>
          <w:sz w:val="20"/>
        </w:rPr>
        <w:t xml:space="preserve"> bid Rs.200. </w:t>
      </w:r>
      <w:r w:rsidR="00496119" w:rsidRPr="00063201">
        <w:rPr>
          <w:rFonts w:ascii="Arial" w:hAnsi="Arial" w:cs="Arial"/>
          <w:sz w:val="20"/>
        </w:rPr>
        <w:t>The response patterns of "yes-no" and "no-yes" indicate that the maximum willingness to pay for respo</w:t>
      </w:r>
      <w:r w:rsidR="009C30AE" w:rsidRPr="00063201">
        <w:rPr>
          <w:rFonts w:ascii="Arial" w:hAnsi="Arial" w:cs="Arial"/>
          <w:sz w:val="20"/>
        </w:rPr>
        <w:t xml:space="preserve">ndents falls between the starting bid and the higher </w:t>
      </w:r>
      <w:r w:rsidR="00496119" w:rsidRPr="00063201">
        <w:rPr>
          <w:rFonts w:ascii="Arial" w:hAnsi="Arial" w:cs="Arial"/>
          <w:sz w:val="20"/>
        </w:rPr>
        <w:t>amount for "yes" responses, a</w:t>
      </w:r>
      <w:r w:rsidR="009C30AE" w:rsidRPr="00063201">
        <w:rPr>
          <w:rFonts w:ascii="Arial" w:hAnsi="Arial" w:cs="Arial"/>
          <w:sz w:val="20"/>
        </w:rPr>
        <w:t>nd between the initial bid and the reduced bid</w:t>
      </w:r>
      <w:r w:rsidR="00496119" w:rsidRPr="00063201">
        <w:rPr>
          <w:rFonts w:ascii="Arial" w:hAnsi="Arial" w:cs="Arial"/>
          <w:sz w:val="20"/>
        </w:rPr>
        <w:t xml:space="preserve"> for "no" responses.</w:t>
      </w:r>
    </w:p>
    <w:p w14:paraId="270BE7BE" w14:textId="77777777" w:rsidR="0096567E" w:rsidRPr="00063201" w:rsidRDefault="00943784" w:rsidP="00063201">
      <w:pPr>
        <w:autoSpaceDE w:val="0"/>
        <w:autoSpaceDN w:val="0"/>
        <w:adjustRightInd w:val="0"/>
        <w:jc w:val="both"/>
        <w:rPr>
          <w:rFonts w:ascii="Arial" w:hAnsi="Arial" w:cs="Arial"/>
          <w:sz w:val="20"/>
          <w:lang w:val="en-IN" w:bidi="ar-SA"/>
        </w:rPr>
      </w:pPr>
      <w:r w:rsidRPr="00063201">
        <w:rPr>
          <w:rFonts w:ascii="Arial" w:hAnsi="Arial" w:cs="Arial"/>
          <w:sz w:val="20"/>
          <w:lang w:val="en-IN" w:bidi="ar-SA"/>
        </w:rPr>
        <w:lastRenderedPageBreak/>
        <w:t xml:space="preserve">Participants who choose "no" are prompted to provide a justification for their inability to make a payment. </w:t>
      </w:r>
      <w:r w:rsidR="003E4454" w:rsidRPr="00063201">
        <w:rPr>
          <w:rFonts w:ascii="Arial" w:hAnsi="Arial" w:cs="Arial"/>
          <w:sz w:val="20"/>
          <w:lang w:val="en-IN" w:bidi="ar-SA"/>
        </w:rPr>
        <w:t>The inability to pay is the main explanation cited by sample house</w:t>
      </w:r>
      <w:r w:rsidR="00CD2812" w:rsidRPr="00063201">
        <w:rPr>
          <w:rFonts w:ascii="Arial" w:hAnsi="Arial" w:cs="Arial"/>
          <w:sz w:val="20"/>
          <w:lang w:val="en-IN" w:bidi="ar-SA"/>
        </w:rPr>
        <w:t>holds for t</w:t>
      </w:r>
      <w:r w:rsidR="00024E24" w:rsidRPr="00063201">
        <w:rPr>
          <w:rFonts w:ascii="Arial" w:hAnsi="Arial" w:cs="Arial"/>
          <w:sz w:val="20"/>
          <w:lang w:val="en-IN" w:bidi="ar-SA"/>
        </w:rPr>
        <w:t>heir unwillingness</w:t>
      </w:r>
      <w:r w:rsidR="003E4454" w:rsidRPr="00063201">
        <w:rPr>
          <w:rFonts w:ascii="Arial" w:hAnsi="Arial" w:cs="Arial"/>
          <w:sz w:val="20"/>
          <w:lang w:val="en-IN" w:bidi="ar-SA"/>
        </w:rPr>
        <w:t xml:space="preserve">. </w:t>
      </w:r>
      <w:r w:rsidRPr="00063201">
        <w:rPr>
          <w:rFonts w:ascii="Arial" w:hAnsi="Arial" w:cs="Arial"/>
          <w:sz w:val="20"/>
          <w:lang w:val="en-IN" w:bidi="ar-SA"/>
        </w:rPr>
        <w:t>This result is in line with the findings of Ojo et al. (2015), who contend that unwill</w:t>
      </w:r>
      <w:r w:rsidR="00CB03D3" w:rsidRPr="00063201">
        <w:rPr>
          <w:rFonts w:ascii="Arial" w:hAnsi="Arial" w:cs="Arial"/>
          <w:sz w:val="20"/>
          <w:lang w:val="en-IN" w:bidi="ar-SA"/>
        </w:rPr>
        <w:t>ingness is mostly caused by low</w:t>
      </w:r>
      <w:r w:rsidRPr="00063201">
        <w:rPr>
          <w:rFonts w:ascii="Arial" w:hAnsi="Arial" w:cs="Arial"/>
          <w:sz w:val="20"/>
          <w:lang w:val="en-IN" w:bidi="ar-SA"/>
        </w:rPr>
        <w:t xml:space="preserve"> income</w:t>
      </w:r>
      <w:r w:rsidR="00753731" w:rsidRPr="00063201">
        <w:rPr>
          <w:rFonts w:ascii="Arial" w:hAnsi="Arial" w:cs="Arial"/>
          <w:sz w:val="20"/>
          <w:lang w:val="en-IN" w:bidi="ar-SA"/>
        </w:rPr>
        <w:t xml:space="preserve">. </w:t>
      </w:r>
      <w:r w:rsidR="003E4454" w:rsidRPr="00063201">
        <w:rPr>
          <w:rFonts w:ascii="Arial" w:hAnsi="Arial" w:cs="Arial"/>
          <w:sz w:val="20"/>
          <w:lang w:val="en-IN" w:bidi="ar-SA"/>
        </w:rPr>
        <w:t>Hous</w:t>
      </w:r>
      <w:r w:rsidR="00753731" w:rsidRPr="00063201">
        <w:rPr>
          <w:rFonts w:ascii="Arial" w:hAnsi="Arial" w:cs="Arial"/>
          <w:sz w:val="20"/>
          <w:lang w:val="en-IN" w:bidi="ar-SA"/>
        </w:rPr>
        <w:t>eholds cite a variety of causes for their unwillingness</w:t>
      </w:r>
      <w:r w:rsidR="003E4454" w:rsidRPr="00063201">
        <w:rPr>
          <w:rFonts w:ascii="Arial" w:hAnsi="Arial" w:cs="Arial"/>
          <w:sz w:val="20"/>
          <w:lang w:val="en-IN" w:bidi="ar-SA"/>
        </w:rPr>
        <w:t>, includi</w:t>
      </w:r>
      <w:r w:rsidR="00D93C55" w:rsidRPr="00063201">
        <w:rPr>
          <w:rFonts w:ascii="Arial" w:hAnsi="Arial" w:cs="Arial"/>
          <w:sz w:val="20"/>
          <w:lang w:val="en-IN" w:bidi="ar-SA"/>
        </w:rPr>
        <w:t>ng satisfaction regarding current</w:t>
      </w:r>
      <w:r w:rsidR="003E4454" w:rsidRPr="00063201">
        <w:rPr>
          <w:rFonts w:ascii="Arial" w:hAnsi="Arial" w:cs="Arial"/>
          <w:sz w:val="20"/>
          <w:lang w:val="en-IN" w:bidi="ar-SA"/>
        </w:rPr>
        <w:t xml:space="preserve"> ma</w:t>
      </w:r>
      <w:r w:rsidR="00753731" w:rsidRPr="00063201">
        <w:rPr>
          <w:rFonts w:ascii="Arial" w:hAnsi="Arial" w:cs="Arial"/>
          <w:sz w:val="20"/>
          <w:lang w:val="en-IN" w:bidi="ar-SA"/>
        </w:rPr>
        <w:t>nagement praxis</w:t>
      </w:r>
      <w:r w:rsidR="003E4454" w:rsidRPr="00063201">
        <w:rPr>
          <w:rFonts w:ascii="Arial" w:hAnsi="Arial" w:cs="Arial"/>
          <w:sz w:val="20"/>
          <w:lang w:val="en-IN" w:bidi="ar-SA"/>
        </w:rPr>
        <w:t xml:space="preserve">, the </w:t>
      </w:r>
      <w:r w:rsidR="003E4454" w:rsidRPr="00063201">
        <w:rPr>
          <w:rFonts w:ascii="Arial" w:hAnsi="Arial" w:cs="Arial"/>
          <w:noProof/>
          <w:sz w:val="20"/>
          <w:lang w:val="en-IN" w:bidi="ar-SA"/>
        </w:rPr>
        <w:t>unimportance</w:t>
      </w:r>
      <w:r w:rsidR="003E4454" w:rsidRPr="00063201">
        <w:rPr>
          <w:rFonts w:ascii="Arial" w:hAnsi="Arial" w:cs="Arial"/>
          <w:sz w:val="20"/>
          <w:lang w:val="en-IN" w:bidi="ar-SA"/>
        </w:rPr>
        <w:t xml:space="preserve"> of the scheme, responsibility of Corporation, and a lack of faith in collection agencies.</w:t>
      </w:r>
      <w:r w:rsidR="00024E24" w:rsidRPr="00063201">
        <w:rPr>
          <w:rFonts w:ascii="Arial" w:hAnsi="Arial" w:cs="Arial"/>
          <w:sz w:val="20"/>
          <w:lang w:val="en-IN" w:bidi="ar-SA"/>
        </w:rPr>
        <w:t xml:space="preserve"> </w:t>
      </w:r>
      <w:r w:rsidR="006E178B" w:rsidRPr="00063201">
        <w:rPr>
          <w:rFonts w:ascii="Arial" w:hAnsi="Arial" w:cs="Arial"/>
          <w:sz w:val="20"/>
        </w:rPr>
        <w:t xml:space="preserve">The willingness to pay </w:t>
      </w:r>
      <w:r w:rsidR="00E2570D" w:rsidRPr="00063201">
        <w:rPr>
          <w:rFonts w:ascii="Arial" w:hAnsi="Arial" w:cs="Arial"/>
          <w:sz w:val="20"/>
        </w:rPr>
        <w:t>will reflect the value of the particular environm</w:t>
      </w:r>
      <w:r w:rsidR="006E178B" w:rsidRPr="00063201">
        <w:rPr>
          <w:rFonts w:ascii="Arial" w:hAnsi="Arial" w:cs="Arial"/>
          <w:sz w:val="20"/>
        </w:rPr>
        <w:t>enta</w:t>
      </w:r>
      <w:r w:rsidR="008941BF" w:rsidRPr="00063201">
        <w:rPr>
          <w:rFonts w:ascii="Arial" w:hAnsi="Arial" w:cs="Arial"/>
          <w:sz w:val="20"/>
        </w:rPr>
        <w:t>l quality (</w:t>
      </w:r>
      <w:r w:rsidR="006E178B" w:rsidRPr="00063201">
        <w:rPr>
          <w:rFonts w:ascii="Arial" w:hAnsi="Arial" w:cs="Arial"/>
          <w:sz w:val="20"/>
        </w:rPr>
        <w:t>Walsh et al.,</w:t>
      </w:r>
      <w:r w:rsidR="00CF0007" w:rsidRPr="00063201">
        <w:rPr>
          <w:rFonts w:ascii="Arial" w:hAnsi="Arial" w:cs="Arial"/>
          <w:sz w:val="20"/>
        </w:rPr>
        <w:t xml:space="preserve"> </w:t>
      </w:r>
      <w:r w:rsidR="006E178B" w:rsidRPr="00063201">
        <w:rPr>
          <w:rFonts w:ascii="Arial" w:hAnsi="Arial" w:cs="Arial"/>
          <w:sz w:val="20"/>
        </w:rPr>
        <w:t xml:space="preserve">1984; </w:t>
      </w:r>
      <w:r w:rsidR="00307C10" w:rsidRPr="00063201">
        <w:rPr>
          <w:rFonts w:ascii="Arial" w:hAnsi="Arial" w:cs="Arial"/>
          <w:sz w:val="20"/>
        </w:rPr>
        <w:t>Mitchell and Carson</w:t>
      </w:r>
      <w:r w:rsidR="006E178B" w:rsidRPr="00063201">
        <w:rPr>
          <w:rFonts w:ascii="Arial" w:hAnsi="Arial" w:cs="Arial"/>
          <w:sz w:val="20"/>
        </w:rPr>
        <w:t xml:space="preserve">, </w:t>
      </w:r>
      <w:r w:rsidR="00C76C51" w:rsidRPr="00063201">
        <w:rPr>
          <w:rFonts w:ascii="Arial" w:hAnsi="Arial" w:cs="Arial"/>
          <w:sz w:val="20"/>
        </w:rPr>
        <w:t>1989</w:t>
      </w:r>
      <w:r w:rsidR="00E2570D" w:rsidRPr="00063201">
        <w:rPr>
          <w:rFonts w:ascii="Arial" w:hAnsi="Arial" w:cs="Arial"/>
          <w:sz w:val="20"/>
        </w:rPr>
        <w:t>).</w:t>
      </w:r>
    </w:p>
    <w:p w14:paraId="0EC627FD" w14:textId="77777777" w:rsidR="001C741E" w:rsidRPr="00063201" w:rsidRDefault="00E01991" w:rsidP="00DE11F7">
      <w:pPr>
        <w:autoSpaceDE w:val="0"/>
        <w:autoSpaceDN w:val="0"/>
        <w:adjustRightInd w:val="0"/>
        <w:ind w:firstLine="720"/>
        <w:rPr>
          <w:rFonts w:ascii="Arial" w:hAnsi="Arial" w:cs="Arial"/>
          <w:b/>
          <w:sz w:val="20"/>
          <w:lang w:val="en-IN" w:bidi="ar-SA"/>
        </w:rPr>
      </w:pPr>
      <w:r w:rsidRPr="00063201">
        <w:rPr>
          <w:rFonts w:ascii="Arial" w:hAnsi="Arial" w:cs="Arial"/>
          <w:b/>
          <w:sz w:val="20"/>
        </w:rPr>
        <w:t>Fig 1</w:t>
      </w:r>
      <w:r w:rsidR="001C741E" w:rsidRPr="00063201">
        <w:rPr>
          <w:rFonts w:ascii="Arial" w:hAnsi="Arial" w:cs="Arial"/>
          <w:b/>
          <w:sz w:val="20"/>
        </w:rPr>
        <w:t xml:space="preserve"> </w:t>
      </w:r>
      <w:r w:rsidR="001C741E" w:rsidRPr="00063201">
        <w:rPr>
          <w:rFonts w:ascii="Arial" w:hAnsi="Arial" w:cs="Arial"/>
          <w:b/>
          <w:noProof/>
          <w:sz w:val="20"/>
        </w:rPr>
        <w:t>Maximum</w:t>
      </w:r>
      <w:r w:rsidR="001C741E" w:rsidRPr="00063201">
        <w:rPr>
          <w:rFonts w:ascii="Arial" w:hAnsi="Arial" w:cs="Arial"/>
          <w:b/>
          <w:sz w:val="20"/>
        </w:rPr>
        <w:t xml:space="preserve"> willingness to pay towards waste management</w:t>
      </w:r>
    </w:p>
    <w:p w14:paraId="62F8BEB8" w14:textId="77777777" w:rsidR="001C741E" w:rsidRPr="002906AF" w:rsidRDefault="001C741E" w:rsidP="00DE11F7">
      <w:pPr>
        <w:autoSpaceDE w:val="0"/>
        <w:autoSpaceDN w:val="0"/>
        <w:adjustRightInd w:val="0"/>
        <w:jc w:val="center"/>
        <w:rPr>
          <w:rFonts w:ascii="Arial" w:hAnsi="Arial" w:cs="Arial"/>
          <w:b/>
          <w:sz w:val="24"/>
          <w:szCs w:val="24"/>
        </w:rPr>
      </w:pPr>
      <w:r w:rsidRPr="002906AF">
        <w:rPr>
          <w:rFonts w:ascii="Arial" w:hAnsi="Arial" w:cs="Arial"/>
          <w:noProof/>
          <w:sz w:val="24"/>
          <w:szCs w:val="24"/>
          <w:lang w:val="en-IN" w:eastAsia="en-IN" w:bidi="ar-SA"/>
        </w:rPr>
        <w:drawing>
          <wp:inline distT="0" distB="0" distL="0" distR="0" wp14:anchorId="5D698949" wp14:editId="34C492B2">
            <wp:extent cx="4572000" cy="1847850"/>
            <wp:effectExtent l="0" t="0" r="19050" b="1905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B98051" w14:textId="77777777" w:rsidR="001C741E" w:rsidRPr="00063201" w:rsidRDefault="001C741E" w:rsidP="00DE11F7">
      <w:pPr>
        <w:autoSpaceDE w:val="0"/>
        <w:autoSpaceDN w:val="0"/>
        <w:adjustRightInd w:val="0"/>
        <w:rPr>
          <w:rFonts w:ascii="Arial" w:hAnsi="Arial" w:cs="Arial"/>
          <w:i/>
          <w:iCs/>
          <w:sz w:val="20"/>
          <w:lang w:val="en-IN" w:bidi="ar-SA"/>
        </w:rPr>
      </w:pPr>
      <w:r w:rsidRPr="002906AF">
        <w:rPr>
          <w:rFonts w:ascii="Arial" w:hAnsi="Arial" w:cs="Arial"/>
          <w:i/>
          <w:iCs/>
          <w:sz w:val="24"/>
          <w:szCs w:val="24"/>
        </w:rPr>
        <w:t xml:space="preserve">          </w:t>
      </w:r>
      <w:r w:rsidR="001E4B11" w:rsidRPr="002906AF">
        <w:rPr>
          <w:rFonts w:ascii="Arial" w:hAnsi="Arial" w:cs="Arial"/>
          <w:i/>
          <w:iCs/>
          <w:sz w:val="24"/>
          <w:szCs w:val="24"/>
        </w:rPr>
        <w:t xml:space="preserve">    </w:t>
      </w:r>
      <w:r w:rsidRPr="002906AF">
        <w:rPr>
          <w:rFonts w:ascii="Arial" w:hAnsi="Arial" w:cs="Arial"/>
          <w:i/>
          <w:iCs/>
          <w:sz w:val="24"/>
          <w:szCs w:val="24"/>
        </w:rPr>
        <w:t xml:space="preserve"> </w:t>
      </w:r>
      <w:r w:rsidRPr="00063201">
        <w:rPr>
          <w:rFonts w:ascii="Arial" w:hAnsi="Arial" w:cs="Arial"/>
          <w:i/>
          <w:iCs/>
          <w:sz w:val="20"/>
        </w:rPr>
        <w:t>Sou</w:t>
      </w:r>
      <w:r w:rsidR="00F96024" w:rsidRPr="00063201">
        <w:rPr>
          <w:rFonts w:ascii="Arial" w:hAnsi="Arial" w:cs="Arial"/>
          <w:i/>
          <w:iCs/>
          <w:sz w:val="20"/>
        </w:rPr>
        <w:t>rce: Estimated from primary data</w:t>
      </w:r>
    </w:p>
    <w:p w14:paraId="167C9DB6" w14:textId="77777777" w:rsidR="001D7043" w:rsidRPr="00063201" w:rsidRDefault="002C35D9" w:rsidP="00063201">
      <w:pPr>
        <w:autoSpaceDE w:val="0"/>
        <w:autoSpaceDN w:val="0"/>
        <w:adjustRightInd w:val="0"/>
        <w:jc w:val="both"/>
        <w:rPr>
          <w:rFonts w:ascii="Arial" w:hAnsi="Arial" w:cs="Arial"/>
          <w:sz w:val="20"/>
          <w:lang w:val="en-IN" w:bidi="ar-SA"/>
        </w:rPr>
      </w:pPr>
      <w:r w:rsidRPr="00063201">
        <w:rPr>
          <w:rFonts w:ascii="Arial" w:hAnsi="Arial" w:cs="Arial"/>
          <w:sz w:val="20"/>
        </w:rPr>
        <w:t>As each individual has different set of priorities, w</w:t>
      </w:r>
      <w:r w:rsidR="00CF0007" w:rsidRPr="00063201">
        <w:rPr>
          <w:rFonts w:ascii="Arial" w:hAnsi="Arial" w:cs="Arial"/>
          <w:sz w:val="20"/>
        </w:rPr>
        <w:t>illingness to pay</w:t>
      </w:r>
      <w:r w:rsidRPr="00063201">
        <w:rPr>
          <w:rFonts w:ascii="Arial" w:hAnsi="Arial" w:cs="Arial"/>
          <w:sz w:val="20"/>
        </w:rPr>
        <w:t xml:space="preserve"> is</w:t>
      </w:r>
      <w:r w:rsidR="00911FFE" w:rsidRPr="00063201">
        <w:rPr>
          <w:rFonts w:ascii="Arial" w:hAnsi="Arial" w:cs="Arial"/>
          <w:sz w:val="20"/>
        </w:rPr>
        <w:t xml:space="preserve"> differs from</w:t>
      </w:r>
      <w:r w:rsidRPr="00063201">
        <w:rPr>
          <w:rFonts w:ascii="Arial" w:hAnsi="Arial" w:cs="Arial"/>
          <w:sz w:val="20"/>
        </w:rPr>
        <w:t xml:space="preserve"> one individual to another and t</w:t>
      </w:r>
      <w:r w:rsidR="00CF0007" w:rsidRPr="00063201">
        <w:rPr>
          <w:rFonts w:ascii="Arial" w:hAnsi="Arial" w:cs="Arial"/>
          <w:sz w:val="20"/>
        </w:rPr>
        <w:t>o secure a total</w:t>
      </w:r>
      <w:r w:rsidR="00911FFE" w:rsidRPr="00063201">
        <w:rPr>
          <w:rFonts w:ascii="Arial" w:hAnsi="Arial" w:cs="Arial"/>
          <w:sz w:val="20"/>
        </w:rPr>
        <w:t>,</w:t>
      </w:r>
      <w:r w:rsidR="00CF0007" w:rsidRPr="00063201">
        <w:rPr>
          <w:rFonts w:ascii="Arial" w:hAnsi="Arial" w:cs="Arial"/>
          <w:sz w:val="20"/>
        </w:rPr>
        <w:t xml:space="preserve"> an average of the aggregate willingness to pay</w:t>
      </w:r>
      <w:r w:rsidR="00911FFE" w:rsidRPr="00063201">
        <w:rPr>
          <w:rFonts w:ascii="Arial" w:hAnsi="Arial" w:cs="Arial"/>
          <w:sz w:val="20"/>
        </w:rPr>
        <w:t xml:space="preserve"> should be calculated (</w:t>
      </w:r>
      <w:r w:rsidR="00307C10" w:rsidRPr="00063201">
        <w:rPr>
          <w:rFonts w:ascii="Arial" w:hAnsi="Arial" w:cs="Arial"/>
          <w:sz w:val="20"/>
        </w:rPr>
        <w:t>Mitchel and Carson</w:t>
      </w:r>
      <w:r w:rsidR="009F57B6" w:rsidRPr="00063201">
        <w:rPr>
          <w:rFonts w:ascii="Arial" w:hAnsi="Arial" w:cs="Arial"/>
          <w:sz w:val="20"/>
        </w:rPr>
        <w:t>,</w:t>
      </w:r>
      <w:r w:rsidR="00911FFE" w:rsidRPr="00063201">
        <w:rPr>
          <w:rFonts w:ascii="Arial" w:hAnsi="Arial" w:cs="Arial"/>
          <w:sz w:val="20"/>
        </w:rPr>
        <w:t xml:space="preserve"> 1989). </w:t>
      </w:r>
      <w:r w:rsidR="00911FFE" w:rsidRPr="00063201">
        <w:rPr>
          <w:rFonts w:ascii="Arial" w:hAnsi="Arial" w:cs="Arial"/>
          <w:noProof/>
          <w:sz w:val="20"/>
          <w:lang w:val="en-IN" w:bidi="ar-SA"/>
        </w:rPr>
        <w:t>Figure</w:t>
      </w:r>
      <w:r w:rsidR="00911FFE" w:rsidRPr="00063201">
        <w:rPr>
          <w:rFonts w:ascii="Arial" w:hAnsi="Arial" w:cs="Arial"/>
          <w:sz w:val="20"/>
          <w:lang w:val="en-IN" w:bidi="ar-SA"/>
        </w:rPr>
        <w:t xml:space="preserve"> 1 shows the </w:t>
      </w:r>
      <w:r w:rsidR="00911FFE" w:rsidRPr="00063201">
        <w:rPr>
          <w:rFonts w:ascii="Arial" w:hAnsi="Arial" w:cs="Arial"/>
          <w:noProof/>
          <w:sz w:val="20"/>
          <w:lang w:val="en-IN" w:bidi="ar-SA"/>
        </w:rPr>
        <w:t>actual</w:t>
      </w:r>
      <w:r w:rsidR="004A26AA" w:rsidRPr="00063201">
        <w:rPr>
          <w:rFonts w:ascii="Arial" w:hAnsi="Arial" w:cs="Arial"/>
          <w:sz w:val="20"/>
          <w:lang w:val="en-IN" w:bidi="ar-SA"/>
        </w:rPr>
        <w:t xml:space="preserve"> willingness to pay for improved</w:t>
      </w:r>
      <w:r w:rsidR="00911FFE" w:rsidRPr="00063201">
        <w:rPr>
          <w:rFonts w:ascii="Arial" w:hAnsi="Arial" w:cs="Arial"/>
          <w:sz w:val="20"/>
          <w:lang w:val="en-IN" w:bidi="ar-SA"/>
        </w:rPr>
        <w:t xml:space="preserve"> waste management by </w:t>
      </w:r>
      <w:r w:rsidR="00911FFE" w:rsidRPr="00063201">
        <w:rPr>
          <w:rFonts w:ascii="Arial" w:hAnsi="Arial" w:cs="Arial"/>
          <w:noProof/>
          <w:sz w:val="20"/>
          <w:lang w:val="en-IN" w:bidi="ar-SA"/>
        </w:rPr>
        <w:t>urban</w:t>
      </w:r>
      <w:r w:rsidR="00CB03D3" w:rsidRPr="00063201">
        <w:rPr>
          <w:rFonts w:ascii="Arial" w:hAnsi="Arial" w:cs="Arial"/>
          <w:sz w:val="20"/>
          <w:lang w:val="en-IN" w:bidi="ar-SA"/>
        </w:rPr>
        <w:t xml:space="preserve"> families i</w:t>
      </w:r>
      <w:r w:rsidR="004A26AA" w:rsidRPr="00063201">
        <w:rPr>
          <w:rFonts w:ascii="Arial" w:hAnsi="Arial" w:cs="Arial"/>
          <w:sz w:val="20"/>
          <w:lang w:val="en-IN" w:bidi="ar-SA"/>
        </w:rPr>
        <w:t>n Kerala</w:t>
      </w:r>
    </w:p>
    <w:p w14:paraId="45BB1360" w14:textId="77777777" w:rsidR="00034C3F" w:rsidRPr="00063201" w:rsidRDefault="004A26AA" w:rsidP="00063201">
      <w:pPr>
        <w:autoSpaceDE w:val="0"/>
        <w:autoSpaceDN w:val="0"/>
        <w:adjustRightInd w:val="0"/>
        <w:jc w:val="both"/>
        <w:rPr>
          <w:rFonts w:ascii="Arial" w:hAnsi="Arial" w:cs="Arial"/>
          <w:sz w:val="20"/>
          <w:lang w:val="en-IN" w:bidi="ar-SA"/>
        </w:rPr>
      </w:pPr>
      <w:r w:rsidRPr="00063201">
        <w:rPr>
          <w:rFonts w:ascii="Arial" w:hAnsi="Arial" w:cs="Arial"/>
          <w:sz w:val="20"/>
          <w:lang w:val="en-IN" w:bidi="ar-SA"/>
        </w:rPr>
        <w:t>As a solution</w:t>
      </w:r>
      <w:r w:rsidR="001D7043" w:rsidRPr="00063201">
        <w:rPr>
          <w:rFonts w:ascii="Arial" w:hAnsi="Arial" w:cs="Arial"/>
          <w:sz w:val="20"/>
          <w:lang w:val="en-IN" w:bidi="ar-SA"/>
        </w:rPr>
        <w:t xml:space="preserve"> th</w:t>
      </w:r>
      <w:r w:rsidRPr="00063201">
        <w:rPr>
          <w:rFonts w:ascii="Arial" w:hAnsi="Arial" w:cs="Arial"/>
          <w:sz w:val="20"/>
          <w:lang w:val="en-IN" w:bidi="ar-SA"/>
        </w:rPr>
        <w:t>is</w:t>
      </w:r>
      <w:r w:rsidR="001D7043" w:rsidRPr="00063201">
        <w:rPr>
          <w:rFonts w:ascii="Arial" w:hAnsi="Arial" w:cs="Arial"/>
          <w:sz w:val="20"/>
          <w:lang w:val="en-IN" w:bidi="ar-SA"/>
        </w:rPr>
        <w:t xml:space="preserve"> escalating solid waste problem, the families are requested to indicate the monthly service price they are ready to pay up to the maximum amount. </w:t>
      </w:r>
      <w:r w:rsidR="003A2B70" w:rsidRPr="00063201">
        <w:rPr>
          <w:rFonts w:ascii="Arial" w:hAnsi="Arial" w:cs="Arial"/>
          <w:sz w:val="20"/>
          <w:lang w:val="en-IN" w:bidi="ar-SA"/>
        </w:rPr>
        <w:t>The results show that the maximum WTP is lies between Rs.50 and Rs.1000.</w:t>
      </w:r>
      <w:r w:rsidR="006458B7" w:rsidRPr="00063201">
        <w:rPr>
          <w:rFonts w:ascii="Arial" w:hAnsi="Arial" w:cs="Arial"/>
          <w:sz w:val="20"/>
          <w:lang w:val="en-IN" w:bidi="ar-SA"/>
        </w:rPr>
        <w:t xml:space="preserve"> The amount with the </w:t>
      </w:r>
      <w:r w:rsidR="006458B7" w:rsidRPr="00063201">
        <w:rPr>
          <w:rFonts w:ascii="Arial" w:hAnsi="Arial" w:cs="Arial"/>
          <w:noProof/>
          <w:sz w:val="20"/>
          <w:lang w:val="en-IN" w:bidi="ar-SA"/>
        </w:rPr>
        <w:t>highest</w:t>
      </w:r>
      <w:r w:rsidR="006458B7" w:rsidRPr="00063201">
        <w:rPr>
          <w:rFonts w:ascii="Arial" w:hAnsi="Arial" w:cs="Arial"/>
          <w:sz w:val="20"/>
          <w:lang w:val="en-IN" w:bidi="ar-SA"/>
        </w:rPr>
        <w:t xml:space="preserve"> occurrence</w:t>
      </w:r>
      <w:r w:rsidR="006458B7" w:rsidRPr="00063201">
        <w:rPr>
          <w:rFonts w:ascii="Arial" w:hAnsi="Arial" w:cs="Arial"/>
          <w:noProof/>
          <w:sz w:val="20"/>
          <w:lang w:val="en-IN" w:bidi="ar-SA"/>
        </w:rPr>
        <w:t>s</w:t>
      </w:r>
      <w:r w:rsidR="006458B7" w:rsidRPr="00063201">
        <w:rPr>
          <w:rFonts w:ascii="Arial" w:hAnsi="Arial" w:cs="Arial"/>
          <w:sz w:val="20"/>
          <w:lang w:val="en-IN" w:bidi="ar-SA"/>
        </w:rPr>
        <w:t xml:space="preserve"> is Rs.100 followed by Rs.200.</w:t>
      </w:r>
      <w:r w:rsidR="008A0D3C" w:rsidRPr="00063201">
        <w:rPr>
          <w:rFonts w:ascii="Arial" w:hAnsi="Arial" w:cs="Arial"/>
          <w:sz w:val="20"/>
          <w:lang w:val="en-IN" w:bidi="ar-SA"/>
        </w:rPr>
        <w:t xml:space="preserve"> </w:t>
      </w:r>
      <w:r w:rsidR="007C3AED" w:rsidRPr="00063201">
        <w:rPr>
          <w:rFonts w:ascii="Arial" w:hAnsi="Arial" w:cs="Arial"/>
          <w:sz w:val="20"/>
          <w:lang w:val="en-IN" w:bidi="ar-SA"/>
        </w:rPr>
        <w:t>The average household willingness to pay for better waste management is</w:t>
      </w:r>
      <w:r w:rsidR="00DD2C80" w:rsidRPr="00063201">
        <w:rPr>
          <w:rFonts w:ascii="Arial" w:hAnsi="Arial" w:cs="Arial"/>
          <w:sz w:val="20"/>
          <w:lang w:val="en-IN" w:bidi="ar-SA"/>
        </w:rPr>
        <w:t xml:space="preserve"> Rs.201 per month</w:t>
      </w:r>
      <w:r w:rsidR="009C31F1" w:rsidRPr="00063201">
        <w:rPr>
          <w:rFonts w:ascii="Arial" w:hAnsi="Arial" w:cs="Arial"/>
          <w:sz w:val="20"/>
          <w:lang w:val="en-IN" w:bidi="ar-SA"/>
        </w:rPr>
        <w:t xml:space="preserve"> which</w:t>
      </w:r>
      <w:r w:rsidR="00CB03D3" w:rsidRPr="00063201">
        <w:rPr>
          <w:rFonts w:ascii="Arial" w:hAnsi="Arial" w:cs="Arial"/>
          <w:sz w:val="20"/>
          <w:lang w:val="en-IN" w:bidi="ar-SA"/>
        </w:rPr>
        <w:t xml:space="preserve"> indicates on an average, Rs.201 is the market price placed by the households for a </w:t>
      </w:r>
      <w:r w:rsidR="00CB03D3" w:rsidRPr="00063201">
        <w:rPr>
          <w:rFonts w:ascii="Arial" w:hAnsi="Arial" w:cs="Arial"/>
          <w:noProof/>
          <w:sz w:val="20"/>
          <w:lang w:val="en-IN" w:bidi="ar-SA"/>
        </w:rPr>
        <w:t>clean</w:t>
      </w:r>
      <w:r w:rsidR="00CB03D3" w:rsidRPr="00063201">
        <w:rPr>
          <w:rFonts w:ascii="Arial" w:hAnsi="Arial" w:cs="Arial"/>
          <w:sz w:val="20"/>
          <w:lang w:val="en-IN" w:bidi="ar-SA"/>
        </w:rPr>
        <w:t xml:space="preserve"> environment</w:t>
      </w:r>
      <w:r w:rsidR="009C31F1" w:rsidRPr="00063201">
        <w:rPr>
          <w:rFonts w:ascii="Arial" w:hAnsi="Arial" w:cs="Arial"/>
          <w:sz w:val="20"/>
          <w:lang w:val="en-IN" w:bidi="ar-SA"/>
        </w:rPr>
        <w:t xml:space="preserve"> and t</w:t>
      </w:r>
      <w:r w:rsidR="003A2B70" w:rsidRPr="00063201">
        <w:rPr>
          <w:rFonts w:ascii="Arial" w:hAnsi="Arial" w:cs="Arial"/>
          <w:sz w:val="20"/>
          <w:lang w:val="en-IN" w:bidi="ar-SA"/>
        </w:rPr>
        <w:t>his amount shows th</w:t>
      </w:r>
      <w:r w:rsidR="00E43A47" w:rsidRPr="00063201">
        <w:rPr>
          <w:rFonts w:ascii="Arial" w:hAnsi="Arial" w:cs="Arial"/>
          <w:sz w:val="20"/>
          <w:lang w:val="en-IN" w:bidi="ar-SA"/>
        </w:rPr>
        <w:t>e willingness of the households</w:t>
      </w:r>
      <w:r w:rsidR="00034C3F" w:rsidRPr="00063201">
        <w:rPr>
          <w:rFonts w:ascii="Arial" w:hAnsi="Arial" w:cs="Arial"/>
          <w:sz w:val="20"/>
          <w:lang w:val="en-IN" w:bidi="ar-SA"/>
        </w:rPr>
        <w:t xml:space="preserve"> </w:t>
      </w:r>
      <w:r w:rsidR="00034C3F" w:rsidRPr="00063201">
        <w:rPr>
          <w:rFonts w:ascii="Arial" w:eastAsia="Times New Roman" w:hAnsi="Arial" w:cs="Arial"/>
          <w:sz w:val="20"/>
          <w:lang w:val="en-IN" w:eastAsia="en-IN" w:bidi="ar-SA"/>
        </w:rPr>
        <w:t>for better domestic solid waste management as a commodity.</w:t>
      </w:r>
    </w:p>
    <w:p w14:paraId="34E335EC" w14:textId="77777777" w:rsidR="003A2B70" w:rsidRPr="00063201" w:rsidRDefault="00B17C91" w:rsidP="00DE11F7">
      <w:pPr>
        <w:autoSpaceDE w:val="0"/>
        <w:autoSpaceDN w:val="0"/>
        <w:adjustRightInd w:val="0"/>
        <w:jc w:val="both"/>
        <w:rPr>
          <w:rFonts w:ascii="Arial" w:hAnsi="Arial" w:cs="Arial"/>
          <w:b/>
          <w:szCs w:val="22"/>
          <w:lang w:val="en-IN" w:bidi="ar-SA"/>
        </w:rPr>
      </w:pPr>
      <w:r w:rsidRPr="00063201">
        <w:rPr>
          <w:rFonts w:ascii="Arial" w:hAnsi="Arial" w:cs="Arial"/>
          <w:b/>
          <w:noProof/>
          <w:szCs w:val="22"/>
          <w:lang w:val="en-IN" w:eastAsia="en-IN" w:bidi="ar-SA"/>
        </w:rPr>
        <w:t xml:space="preserve">4.2 </w:t>
      </w:r>
      <w:r w:rsidR="0007625E" w:rsidRPr="00063201">
        <w:rPr>
          <w:rFonts w:ascii="Arial" w:hAnsi="Arial" w:cs="Arial"/>
          <w:b/>
          <w:bCs/>
          <w:szCs w:val="22"/>
          <w:lang w:val="en-IN" w:bidi="ar-SA"/>
        </w:rPr>
        <w:t>W</w:t>
      </w:r>
      <w:r w:rsidR="009E6334" w:rsidRPr="00063201">
        <w:rPr>
          <w:rFonts w:ascii="Arial" w:hAnsi="Arial" w:cs="Arial"/>
          <w:b/>
          <w:bCs/>
          <w:szCs w:val="22"/>
          <w:lang w:val="en-IN" w:bidi="ar-SA"/>
        </w:rPr>
        <w:t>illingness to p</w:t>
      </w:r>
      <w:r w:rsidR="00E14248" w:rsidRPr="00063201">
        <w:rPr>
          <w:rFonts w:ascii="Arial" w:hAnsi="Arial" w:cs="Arial"/>
          <w:b/>
          <w:bCs/>
          <w:szCs w:val="22"/>
          <w:lang w:val="en-IN" w:bidi="ar-SA"/>
        </w:rPr>
        <w:t>ay</w:t>
      </w:r>
      <w:r w:rsidR="009E6334" w:rsidRPr="00063201">
        <w:rPr>
          <w:rFonts w:ascii="Arial" w:hAnsi="Arial" w:cs="Arial"/>
          <w:b/>
          <w:bCs/>
          <w:szCs w:val="22"/>
          <w:lang w:val="en-IN" w:bidi="ar-SA"/>
        </w:rPr>
        <w:t>: Econometric a</w:t>
      </w:r>
      <w:r w:rsidR="003A2B70" w:rsidRPr="00063201">
        <w:rPr>
          <w:rFonts w:ascii="Arial" w:hAnsi="Arial" w:cs="Arial"/>
          <w:b/>
          <w:bCs/>
          <w:szCs w:val="22"/>
          <w:lang w:val="en-IN" w:bidi="ar-SA"/>
        </w:rPr>
        <w:t>pproach</w:t>
      </w:r>
    </w:p>
    <w:p w14:paraId="0B9875BB" w14:textId="77777777" w:rsidR="009C30AE" w:rsidRPr="00063201" w:rsidRDefault="009C30AE" w:rsidP="00063201">
      <w:pPr>
        <w:autoSpaceDE w:val="0"/>
        <w:autoSpaceDN w:val="0"/>
        <w:adjustRightInd w:val="0"/>
        <w:jc w:val="both"/>
        <w:rPr>
          <w:rFonts w:ascii="Arial" w:hAnsi="Arial" w:cs="Arial"/>
          <w:sz w:val="20"/>
        </w:rPr>
      </w:pPr>
      <w:r w:rsidRPr="00063201">
        <w:rPr>
          <w:rFonts w:ascii="Arial" w:eastAsia="Times New Roman" w:hAnsi="Arial" w:cs="Arial"/>
          <w:sz w:val="20"/>
          <w:lang w:val="en-IN" w:eastAsia="en-IN" w:bidi="ar-SA"/>
        </w:rPr>
        <w:t>The study uses a multiva</w:t>
      </w:r>
      <w:r w:rsidR="00034C3F" w:rsidRPr="00063201">
        <w:rPr>
          <w:rFonts w:ascii="Arial" w:eastAsia="Times New Roman" w:hAnsi="Arial" w:cs="Arial"/>
          <w:sz w:val="20"/>
          <w:lang w:val="en-IN" w:eastAsia="en-IN" w:bidi="ar-SA"/>
        </w:rPr>
        <w:t>riate regression model to examine</w:t>
      </w:r>
      <w:r w:rsidRPr="00063201">
        <w:rPr>
          <w:rFonts w:ascii="Arial" w:eastAsia="Times New Roman" w:hAnsi="Arial" w:cs="Arial"/>
          <w:sz w:val="20"/>
          <w:lang w:val="en-IN" w:eastAsia="en-IN" w:bidi="ar-SA"/>
        </w:rPr>
        <w:t xml:space="preserve"> the variables that influence willingness to pay for better waste management, based on solid theory and empirical data.</w:t>
      </w:r>
      <w:r w:rsidR="0047548D" w:rsidRPr="00063201">
        <w:rPr>
          <w:rFonts w:ascii="Arial" w:eastAsia="Times New Roman" w:hAnsi="Arial" w:cs="Arial"/>
          <w:sz w:val="20"/>
          <w:lang w:val="en-IN" w:eastAsia="en-IN" w:bidi="ar-SA"/>
        </w:rPr>
        <w:t xml:space="preserve"> </w:t>
      </w:r>
      <w:r w:rsidR="0047548D" w:rsidRPr="00063201">
        <w:rPr>
          <w:rFonts w:ascii="Arial" w:hAnsi="Arial" w:cs="Arial"/>
          <w:color w:val="000000"/>
          <w:sz w:val="20"/>
          <w:lang w:val="en-IN" w:bidi="ar-SA"/>
        </w:rPr>
        <w:t>The regression result</w:t>
      </w:r>
      <w:r w:rsidR="0047548D" w:rsidRPr="00063201">
        <w:rPr>
          <w:rFonts w:ascii="Arial" w:hAnsi="Arial" w:cs="Arial"/>
          <w:sz w:val="20"/>
          <w:lang w:val="en-IN" w:bidi="ar-SA"/>
        </w:rPr>
        <w:t xml:space="preserve"> elucidates the discernible impact of various explanatory variables on the maximum willingness to pay within the context of waste management. </w:t>
      </w:r>
      <w:r w:rsidRPr="00063201">
        <w:rPr>
          <w:rFonts w:ascii="Arial" w:eastAsia="Times New Roman" w:hAnsi="Arial" w:cs="Arial"/>
          <w:sz w:val="20"/>
          <w:lang w:val="en-IN" w:eastAsia="en-IN" w:bidi="ar-SA"/>
        </w:rPr>
        <w:t xml:space="preserve"> </w:t>
      </w:r>
    </w:p>
    <w:p w14:paraId="72E935FC" w14:textId="77777777" w:rsidR="001C741E" w:rsidRPr="00063201" w:rsidRDefault="001C741E" w:rsidP="00DE11F7">
      <w:pPr>
        <w:autoSpaceDE w:val="0"/>
        <w:autoSpaceDN w:val="0"/>
        <w:adjustRightInd w:val="0"/>
        <w:jc w:val="both"/>
        <w:rPr>
          <w:rFonts w:ascii="Arial" w:hAnsi="Arial" w:cs="Arial"/>
          <w:b/>
          <w:sz w:val="20"/>
          <w:lang w:val="en-IN" w:bidi="ar-SA"/>
        </w:rPr>
      </w:pPr>
      <w:r w:rsidRPr="002906AF">
        <w:rPr>
          <w:rFonts w:ascii="Arial" w:hAnsi="Arial" w:cs="Arial"/>
          <w:b/>
          <w:sz w:val="24"/>
          <w:szCs w:val="24"/>
          <w:lang w:val="en-IN" w:bidi="ar-SA"/>
        </w:rPr>
        <w:t xml:space="preserve">  </w:t>
      </w:r>
      <w:r w:rsidR="0047548D" w:rsidRPr="002906AF">
        <w:rPr>
          <w:rFonts w:ascii="Arial" w:hAnsi="Arial" w:cs="Arial"/>
          <w:b/>
          <w:sz w:val="24"/>
          <w:szCs w:val="24"/>
          <w:lang w:val="en-IN" w:bidi="ar-SA"/>
        </w:rPr>
        <w:t xml:space="preserve"> </w:t>
      </w:r>
      <w:r w:rsidR="0047548D" w:rsidRPr="002906AF">
        <w:rPr>
          <w:rFonts w:ascii="Arial" w:hAnsi="Arial" w:cs="Arial"/>
          <w:b/>
          <w:sz w:val="24"/>
          <w:szCs w:val="24"/>
          <w:lang w:val="en-IN" w:bidi="ar-SA"/>
        </w:rPr>
        <w:tab/>
      </w:r>
      <w:r w:rsidR="0047548D" w:rsidRPr="00063201">
        <w:rPr>
          <w:rFonts w:ascii="Arial" w:hAnsi="Arial" w:cs="Arial"/>
          <w:b/>
          <w:sz w:val="20"/>
          <w:lang w:val="en-IN" w:bidi="ar-SA"/>
        </w:rPr>
        <w:t xml:space="preserve"> </w:t>
      </w:r>
      <w:r w:rsidR="001E4B11" w:rsidRPr="00063201">
        <w:rPr>
          <w:rFonts w:ascii="Arial" w:hAnsi="Arial" w:cs="Arial"/>
          <w:b/>
          <w:sz w:val="20"/>
          <w:lang w:val="en-IN" w:bidi="ar-SA"/>
        </w:rPr>
        <w:t xml:space="preserve">    </w:t>
      </w:r>
      <w:r w:rsidR="0047548D" w:rsidRPr="00063201">
        <w:rPr>
          <w:rFonts w:ascii="Arial" w:hAnsi="Arial" w:cs="Arial"/>
          <w:b/>
          <w:sz w:val="20"/>
          <w:lang w:val="en-IN" w:bidi="ar-SA"/>
        </w:rPr>
        <w:t>Table 2</w:t>
      </w:r>
      <w:r w:rsidR="009C30AE" w:rsidRPr="00063201">
        <w:rPr>
          <w:rFonts w:ascii="Arial" w:hAnsi="Arial" w:cs="Arial"/>
          <w:b/>
          <w:sz w:val="20"/>
          <w:lang w:val="en-IN" w:bidi="ar-SA"/>
        </w:rPr>
        <w:t xml:space="preserve"> </w:t>
      </w:r>
      <w:r w:rsidRPr="00063201">
        <w:rPr>
          <w:rFonts w:ascii="Arial" w:hAnsi="Arial" w:cs="Arial"/>
          <w:b/>
          <w:sz w:val="20"/>
          <w:lang w:val="en-IN" w:bidi="ar-SA"/>
        </w:rPr>
        <w:t>Willingness to pa</w:t>
      </w:r>
      <w:r w:rsidR="0007625E" w:rsidRPr="00063201">
        <w:rPr>
          <w:rFonts w:ascii="Arial" w:hAnsi="Arial" w:cs="Arial"/>
          <w:b/>
          <w:sz w:val="20"/>
          <w:lang w:val="en-IN" w:bidi="ar-SA"/>
        </w:rPr>
        <w:t>y</w:t>
      </w:r>
      <w:r w:rsidR="009C30AE" w:rsidRPr="00063201">
        <w:rPr>
          <w:rFonts w:ascii="Arial" w:hAnsi="Arial" w:cs="Arial"/>
          <w:b/>
          <w:sz w:val="20"/>
          <w:lang w:val="en-IN" w:bidi="ar-SA"/>
        </w:rPr>
        <w:t>: Determinants</w:t>
      </w:r>
    </w:p>
    <w:tbl>
      <w:tblPr>
        <w:tblW w:w="3750" w:type="pct"/>
        <w:jc w:val="center"/>
        <w:tblCellMar>
          <w:left w:w="0" w:type="dxa"/>
          <w:right w:w="0" w:type="dxa"/>
        </w:tblCellMar>
        <w:tblLook w:val="0000" w:firstRow="0" w:lastRow="0" w:firstColumn="0" w:lastColumn="0" w:noHBand="0" w:noVBand="0"/>
      </w:tblPr>
      <w:tblGrid>
        <w:gridCol w:w="3242"/>
        <w:gridCol w:w="900"/>
        <w:gridCol w:w="1079"/>
        <w:gridCol w:w="858"/>
        <w:gridCol w:w="691"/>
      </w:tblGrid>
      <w:tr w:rsidR="001E4B11" w:rsidRPr="00063201" w14:paraId="030754DA" w14:textId="77777777" w:rsidTr="00063201">
        <w:trPr>
          <w:cantSplit/>
          <w:trHeight w:val="380"/>
          <w:jc w:val="center"/>
        </w:trPr>
        <w:tc>
          <w:tcPr>
            <w:tcW w:w="2394" w:type="pct"/>
            <w:tcBorders>
              <w:top w:val="single" w:sz="4" w:space="0" w:color="auto"/>
              <w:bottom w:val="single" w:sz="4" w:space="0" w:color="auto"/>
            </w:tcBorders>
            <w:shd w:val="clear" w:color="auto" w:fill="FFFFFF"/>
            <w:vAlign w:val="bottom"/>
          </w:tcPr>
          <w:p w14:paraId="77C90772" w14:textId="77777777" w:rsidR="001C741E" w:rsidRPr="000820D4" w:rsidRDefault="001C741E" w:rsidP="00DE11F7">
            <w:pPr>
              <w:pStyle w:val="NoSpacing"/>
              <w:rPr>
                <w:rFonts w:ascii="Arial" w:hAnsi="Arial" w:cs="Arial"/>
                <w:b/>
                <w:sz w:val="20"/>
                <w:lang w:val="en-IN" w:bidi="ar-SA"/>
              </w:rPr>
            </w:pPr>
            <w:r w:rsidRPr="000820D4">
              <w:rPr>
                <w:rFonts w:ascii="Arial" w:hAnsi="Arial" w:cs="Arial"/>
                <w:b/>
                <w:sz w:val="20"/>
                <w:lang w:val="en-IN" w:bidi="ar-SA"/>
              </w:rPr>
              <w:t>Variables</w:t>
            </w:r>
          </w:p>
        </w:tc>
        <w:tc>
          <w:tcPr>
            <w:tcW w:w="665" w:type="pct"/>
            <w:tcBorders>
              <w:top w:val="single" w:sz="4" w:space="0" w:color="auto"/>
              <w:bottom w:val="single" w:sz="4" w:space="0" w:color="auto"/>
            </w:tcBorders>
            <w:shd w:val="clear" w:color="auto" w:fill="FFFFFF"/>
            <w:vAlign w:val="bottom"/>
          </w:tcPr>
          <w:p w14:paraId="762F86D7" w14:textId="77777777" w:rsidR="001C741E" w:rsidRPr="000820D4" w:rsidRDefault="00063201"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1C741E" w:rsidRPr="000820D4">
              <w:rPr>
                <w:rFonts w:ascii="Arial" w:hAnsi="Arial" w:cs="Arial"/>
                <w:b/>
                <w:sz w:val="20"/>
                <w:lang w:val="en-IN" w:bidi="ar-SA"/>
              </w:rPr>
              <w:t>β</w:t>
            </w:r>
          </w:p>
        </w:tc>
        <w:tc>
          <w:tcPr>
            <w:tcW w:w="797" w:type="pct"/>
            <w:tcBorders>
              <w:top w:val="single" w:sz="4" w:space="0" w:color="auto"/>
              <w:bottom w:val="single" w:sz="4" w:space="0" w:color="auto"/>
            </w:tcBorders>
            <w:shd w:val="clear" w:color="auto" w:fill="FFFFFF"/>
            <w:vAlign w:val="bottom"/>
          </w:tcPr>
          <w:p w14:paraId="1854CBA3" w14:textId="77777777" w:rsidR="001C741E" w:rsidRPr="000820D4" w:rsidRDefault="00063201"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1C741E" w:rsidRPr="000820D4">
              <w:rPr>
                <w:rFonts w:ascii="Arial" w:hAnsi="Arial" w:cs="Arial"/>
                <w:b/>
                <w:sz w:val="20"/>
                <w:lang w:val="en-IN" w:bidi="ar-SA"/>
              </w:rPr>
              <w:t xml:space="preserve">Std. </w:t>
            </w:r>
            <w:r w:rsidRPr="000820D4">
              <w:rPr>
                <w:rFonts w:ascii="Arial" w:hAnsi="Arial" w:cs="Arial"/>
                <w:b/>
                <w:sz w:val="20"/>
                <w:lang w:val="en-IN" w:bidi="ar-SA"/>
              </w:rPr>
              <w:t xml:space="preserve"> </w:t>
            </w:r>
            <w:r w:rsidR="001C741E" w:rsidRPr="000820D4">
              <w:rPr>
                <w:rFonts w:ascii="Arial" w:hAnsi="Arial" w:cs="Arial"/>
                <w:b/>
                <w:sz w:val="20"/>
                <w:lang w:val="en-IN" w:bidi="ar-SA"/>
              </w:rPr>
              <w:t>Error</w:t>
            </w:r>
          </w:p>
        </w:tc>
        <w:tc>
          <w:tcPr>
            <w:tcW w:w="634" w:type="pct"/>
            <w:tcBorders>
              <w:top w:val="single" w:sz="4" w:space="0" w:color="auto"/>
              <w:bottom w:val="single" w:sz="4" w:space="0" w:color="auto"/>
            </w:tcBorders>
            <w:shd w:val="clear" w:color="auto" w:fill="FFFFFF"/>
            <w:vAlign w:val="bottom"/>
          </w:tcPr>
          <w:p w14:paraId="0814E47D" w14:textId="77777777" w:rsidR="001C741E" w:rsidRPr="000820D4" w:rsidRDefault="001C741E"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063201" w:rsidRPr="000820D4">
              <w:rPr>
                <w:rFonts w:ascii="Arial" w:hAnsi="Arial" w:cs="Arial"/>
                <w:b/>
                <w:sz w:val="20"/>
                <w:lang w:val="en-IN" w:bidi="ar-SA"/>
              </w:rPr>
              <w:t xml:space="preserve">  </w:t>
            </w:r>
            <w:r w:rsidRPr="000820D4">
              <w:rPr>
                <w:rFonts w:ascii="Arial" w:hAnsi="Arial" w:cs="Arial"/>
                <w:b/>
                <w:sz w:val="20"/>
                <w:lang w:val="en-IN" w:bidi="ar-SA"/>
              </w:rPr>
              <w:t xml:space="preserve">  </w:t>
            </w:r>
            <w:r w:rsidR="00063201" w:rsidRPr="000820D4">
              <w:rPr>
                <w:rFonts w:ascii="Arial" w:hAnsi="Arial" w:cs="Arial"/>
                <w:b/>
                <w:sz w:val="20"/>
                <w:lang w:val="en-IN" w:bidi="ar-SA"/>
              </w:rPr>
              <w:t xml:space="preserve"> </w:t>
            </w:r>
            <w:r w:rsidRPr="000820D4">
              <w:rPr>
                <w:rFonts w:ascii="Arial" w:hAnsi="Arial" w:cs="Arial"/>
                <w:b/>
                <w:sz w:val="20"/>
                <w:lang w:val="en-IN" w:bidi="ar-SA"/>
              </w:rPr>
              <w:t>t</w:t>
            </w:r>
          </w:p>
        </w:tc>
        <w:tc>
          <w:tcPr>
            <w:tcW w:w="508" w:type="pct"/>
            <w:tcBorders>
              <w:top w:val="single" w:sz="4" w:space="0" w:color="auto"/>
              <w:bottom w:val="single" w:sz="4" w:space="0" w:color="auto"/>
            </w:tcBorders>
            <w:shd w:val="clear" w:color="auto" w:fill="FFFFFF"/>
            <w:vAlign w:val="bottom"/>
          </w:tcPr>
          <w:p w14:paraId="248E52B3" w14:textId="77777777" w:rsidR="001C741E" w:rsidRPr="000820D4" w:rsidRDefault="001C741E" w:rsidP="00DE11F7">
            <w:pPr>
              <w:pStyle w:val="NoSpacing"/>
              <w:rPr>
                <w:rFonts w:ascii="Arial" w:hAnsi="Arial" w:cs="Arial"/>
                <w:b/>
                <w:sz w:val="20"/>
                <w:lang w:val="en-IN" w:bidi="ar-SA"/>
              </w:rPr>
            </w:pPr>
            <w:r w:rsidRPr="000820D4">
              <w:rPr>
                <w:rFonts w:ascii="Arial" w:hAnsi="Arial" w:cs="Arial"/>
                <w:b/>
                <w:sz w:val="20"/>
                <w:lang w:val="en-IN" w:bidi="ar-SA"/>
              </w:rPr>
              <w:t xml:space="preserve">        </w:t>
            </w:r>
            <w:r w:rsidR="00063201" w:rsidRPr="000820D4">
              <w:rPr>
                <w:rFonts w:ascii="Arial" w:hAnsi="Arial" w:cs="Arial"/>
                <w:b/>
                <w:sz w:val="20"/>
                <w:lang w:val="en-IN" w:bidi="ar-SA"/>
              </w:rPr>
              <w:t xml:space="preserve">                   </w:t>
            </w:r>
            <w:r w:rsidR="000820D4">
              <w:rPr>
                <w:rFonts w:ascii="Arial" w:hAnsi="Arial" w:cs="Arial"/>
                <w:b/>
                <w:sz w:val="20"/>
                <w:lang w:val="en-IN" w:bidi="ar-SA"/>
              </w:rPr>
              <w:t xml:space="preserve">   </w:t>
            </w:r>
            <w:r w:rsidR="00063201" w:rsidRPr="000820D4">
              <w:rPr>
                <w:rFonts w:ascii="Arial" w:hAnsi="Arial" w:cs="Arial"/>
                <w:b/>
                <w:i/>
                <w:sz w:val="20"/>
                <w:lang w:val="en-IN" w:bidi="ar-SA"/>
              </w:rPr>
              <w:t>P</w:t>
            </w:r>
          </w:p>
        </w:tc>
      </w:tr>
      <w:tr w:rsidR="001E4B11" w:rsidRPr="00063201" w14:paraId="3953EAAE" w14:textId="77777777" w:rsidTr="00063201">
        <w:trPr>
          <w:cantSplit/>
          <w:trHeight w:val="380"/>
          <w:jc w:val="center"/>
        </w:trPr>
        <w:tc>
          <w:tcPr>
            <w:tcW w:w="2394" w:type="pct"/>
            <w:tcBorders>
              <w:top w:val="single" w:sz="4" w:space="0" w:color="auto"/>
            </w:tcBorders>
            <w:shd w:val="clear" w:color="auto" w:fill="FFFFFF"/>
          </w:tcPr>
          <w:p w14:paraId="4B4EEF09" w14:textId="77777777" w:rsidR="00063201" w:rsidRDefault="00063201" w:rsidP="00DE11F7">
            <w:pPr>
              <w:pStyle w:val="NoSpacing"/>
              <w:rPr>
                <w:rFonts w:ascii="Arial" w:hAnsi="Arial" w:cs="Arial"/>
                <w:sz w:val="20"/>
                <w:lang w:val="en-IN" w:bidi="ar-SA"/>
              </w:rPr>
            </w:pPr>
          </w:p>
          <w:p w14:paraId="2E34FCD2"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(Constant)</w:t>
            </w:r>
          </w:p>
        </w:tc>
        <w:tc>
          <w:tcPr>
            <w:tcW w:w="665" w:type="pct"/>
            <w:tcBorders>
              <w:top w:val="single" w:sz="4" w:space="0" w:color="auto"/>
            </w:tcBorders>
            <w:shd w:val="clear" w:color="auto" w:fill="FFFFFF"/>
            <w:vAlign w:val="center"/>
          </w:tcPr>
          <w:p w14:paraId="41D3D8E2"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147.43</w:t>
            </w:r>
          </w:p>
        </w:tc>
        <w:tc>
          <w:tcPr>
            <w:tcW w:w="797" w:type="pct"/>
            <w:tcBorders>
              <w:top w:val="single" w:sz="4" w:space="0" w:color="auto"/>
            </w:tcBorders>
            <w:shd w:val="clear" w:color="auto" w:fill="FFFFFF"/>
            <w:vAlign w:val="center"/>
          </w:tcPr>
          <w:p w14:paraId="773432B6"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42.89</w:t>
            </w:r>
          </w:p>
        </w:tc>
        <w:tc>
          <w:tcPr>
            <w:tcW w:w="634" w:type="pct"/>
            <w:tcBorders>
              <w:top w:val="single" w:sz="4" w:space="0" w:color="auto"/>
            </w:tcBorders>
            <w:shd w:val="clear" w:color="auto" w:fill="FFFFFF"/>
            <w:vAlign w:val="center"/>
          </w:tcPr>
          <w:p w14:paraId="288A5D7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3.44</w:t>
            </w:r>
          </w:p>
        </w:tc>
        <w:tc>
          <w:tcPr>
            <w:tcW w:w="508" w:type="pct"/>
            <w:tcBorders>
              <w:top w:val="single" w:sz="4" w:space="0" w:color="auto"/>
            </w:tcBorders>
            <w:shd w:val="clear" w:color="auto" w:fill="FFFFFF"/>
            <w:vAlign w:val="center"/>
          </w:tcPr>
          <w:p w14:paraId="5F2F6C2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0605CFAF" w14:textId="77777777" w:rsidTr="00063201">
        <w:trPr>
          <w:cantSplit/>
          <w:trHeight w:val="380"/>
          <w:jc w:val="center"/>
        </w:trPr>
        <w:tc>
          <w:tcPr>
            <w:tcW w:w="2394" w:type="pct"/>
            <w:shd w:val="clear" w:color="auto" w:fill="FFFFFF"/>
          </w:tcPr>
          <w:p w14:paraId="635EF3FE"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Monthly expenditure</w:t>
            </w:r>
          </w:p>
        </w:tc>
        <w:tc>
          <w:tcPr>
            <w:tcW w:w="665" w:type="pct"/>
            <w:shd w:val="clear" w:color="auto" w:fill="FFFFFF"/>
            <w:vAlign w:val="center"/>
          </w:tcPr>
          <w:p w14:paraId="4CC34ED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c>
          <w:tcPr>
            <w:tcW w:w="797" w:type="pct"/>
            <w:shd w:val="clear" w:color="auto" w:fill="FFFFFF"/>
            <w:vAlign w:val="center"/>
          </w:tcPr>
          <w:p w14:paraId="7BB523D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c>
          <w:tcPr>
            <w:tcW w:w="634" w:type="pct"/>
            <w:shd w:val="clear" w:color="auto" w:fill="FFFFFF"/>
            <w:vAlign w:val="center"/>
          </w:tcPr>
          <w:p w14:paraId="6F2DBC3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8.77</w:t>
            </w:r>
          </w:p>
        </w:tc>
        <w:tc>
          <w:tcPr>
            <w:tcW w:w="508" w:type="pct"/>
            <w:shd w:val="clear" w:color="auto" w:fill="FFFFFF"/>
            <w:vAlign w:val="center"/>
          </w:tcPr>
          <w:p w14:paraId="489B39D1"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605E182B" w14:textId="77777777" w:rsidTr="00063201">
        <w:trPr>
          <w:cantSplit/>
          <w:trHeight w:val="380"/>
          <w:jc w:val="center"/>
        </w:trPr>
        <w:tc>
          <w:tcPr>
            <w:tcW w:w="2394" w:type="pct"/>
            <w:shd w:val="clear" w:color="auto" w:fill="FFFFFF"/>
          </w:tcPr>
          <w:p w14:paraId="27FD2E5D"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Household size</w:t>
            </w:r>
          </w:p>
        </w:tc>
        <w:tc>
          <w:tcPr>
            <w:tcW w:w="665" w:type="pct"/>
            <w:shd w:val="clear" w:color="auto" w:fill="FFFFFF"/>
            <w:vAlign w:val="center"/>
          </w:tcPr>
          <w:p w14:paraId="36E86BB2"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-18.25</w:t>
            </w:r>
          </w:p>
        </w:tc>
        <w:tc>
          <w:tcPr>
            <w:tcW w:w="797" w:type="pct"/>
            <w:shd w:val="clear" w:color="auto" w:fill="FFFFFF"/>
            <w:vAlign w:val="center"/>
          </w:tcPr>
          <w:p w14:paraId="0D785133"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4.25</w:t>
            </w:r>
          </w:p>
        </w:tc>
        <w:tc>
          <w:tcPr>
            <w:tcW w:w="634" w:type="pct"/>
            <w:shd w:val="clear" w:color="auto" w:fill="FFFFFF"/>
            <w:vAlign w:val="center"/>
          </w:tcPr>
          <w:p w14:paraId="5BCFDA95"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-4.29</w:t>
            </w:r>
          </w:p>
        </w:tc>
        <w:tc>
          <w:tcPr>
            <w:tcW w:w="508" w:type="pct"/>
            <w:shd w:val="clear" w:color="auto" w:fill="FFFFFF"/>
            <w:vAlign w:val="center"/>
          </w:tcPr>
          <w:p w14:paraId="500163CA"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7ECA07D3" w14:textId="77777777" w:rsidTr="00063201">
        <w:trPr>
          <w:cantSplit/>
          <w:trHeight w:val="367"/>
          <w:jc w:val="center"/>
        </w:trPr>
        <w:tc>
          <w:tcPr>
            <w:tcW w:w="2394" w:type="pct"/>
            <w:shd w:val="clear" w:color="auto" w:fill="FFFFFF"/>
          </w:tcPr>
          <w:p w14:paraId="14D21705"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lastRenderedPageBreak/>
              <w:t>Availability of collection service</w:t>
            </w:r>
          </w:p>
        </w:tc>
        <w:tc>
          <w:tcPr>
            <w:tcW w:w="665" w:type="pct"/>
            <w:shd w:val="clear" w:color="auto" w:fill="FFFFFF"/>
            <w:vAlign w:val="center"/>
          </w:tcPr>
          <w:p w14:paraId="5AC9D5C9"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28.06</w:t>
            </w:r>
          </w:p>
        </w:tc>
        <w:tc>
          <w:tcPr>
            <w:tcW w:w="797" w:type="pct"/>
            <w:shd w:val="clear" w:color="auto" w:fill="FFFFFF"/>
            <w:vAlign w:val="center"/>
          </w:tcPr>
          <w:p w14:paraId="0C1B57FD"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13.16</w:t>
            </w:r>
          </w:p>
        </w:tc>
        <w:tc>
          <w:tcPr>
            <w:tcW w:w="634" w:type="pct"/>
            <w:shd w:val="clear" w:color="auto" w:fill="FFFFFF"/>
            <w:vAlign w:val="center"/>
          </w:tcPr>
          <w:p w14:paraId="100B41D5"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2.13</w:t>
            </w:r>
          </w:p>
        </w:tc>
        <w:tc>
          <w:tcPr>
            <w:tcW w:w="508" w:type="pct"/>
            <w:shd w:val="clear" w:color="auto" w:fill="FFFFFF"/>
            <w:vAlign w:val="center"/>
          </w:tcPr>
          <w:p w14:paraId="1AE92F58"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0.03</w:t>
            </w:r>
          </w:p>
        </w:tc>
      </w:tr>
      <w:tr w:rsidR="001E4B11" w:rsidRPr="00063201" w14:paraId="1F128BF4" w14:textId="77777777" w:rsidTr="00063201">
        <w:trPr>
          <w:cantSplit/>
          <w:trHeight w:val="380"/>
          <w:jc w:val="center"/>
        </w:trPr>
        <w:tc>
          <w:tcPr>
            <w:tcW w:w="2394" w:type="pct"/>
            <w:shd w:val="clear" w:color="auto" w:fill="FFFFFF"/>
          </w:tcPr>
          <w:p w14:paraId="279B2716"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Age</w:t>
            </w:r>
          </w:p>
        </w:tc>
        <w:tc>
          <w:tcPr>
            <w:tcW w:w="665" w:type="pct"/>
            <w:shd w:val="clear" w:color="auto" w:fill="FFFFFF"/>
            <w:vAlign w:val="center"/>
          </w:tcPr>
          <w:p w14:paraId="06372D2B"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-2.36</w:t>
            </w:r>
          </w:p>
        </w:tc>
        <w:tc>
          <w:tcPr>
            <w:tcW w:w="797" w:type="pct"/>
            <w:shd w:val="clear" w:color="auto" w:fill="FFFFFF"/>
            <w:vAlign w:val="center"/>
          </w:tcPr>
          <w:p w14:paraId="0DCC8A9D"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0.61</w:t>
            </w:r>
          </w:p>
        </w:tc>
        <w:tc>
          <w:tcPr>
            <w:tcW w:w="634" w:type="pct"/>
            <w:shd w:val="clear" w:color="auto" w:fill="FFFFFF"/>
            <w:vAlign w:val="center"/>
          </w:tcPr>
          <w:p w14:paraId="7AEE6127"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-3.88</w:t>
            </w:r>
          </w:p>
        </w:tc>
        <w:tc>
          <w:tcPr>
            <w:tcW w:w="508" w:type="pct"/>
            <w:shd w:val="clear" w:color="auto" w:fill="FFFFFF"/>
            <w:vAlign w:val="center"/>
          </w:tcPr>
          <w:p w14:paraId="2612173F"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490C2247" w14:textId="77777777" w:rsidTr="00063201">
        <w:trPr>
          <w:cantSplit/>
          <w:trHeight w:val="380"/>
          <w:jc w:val="center"/>
        </w:trPr>
        <w:tc>
          <w:tcPr>
            <w:tcW w:w="2394" w:type="pct"/>
            <w:shd w:val="clear" w:color="auto" w:fill="FFFFFF"/>
          </w:tcPr>
          <w:p w14:paraId="258FCEBB"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 xml:space="preserve">Quantity of </w:t>
            </w:r>
            <w:proofErr w:type="gramStart"/>
            <w:r w:rsidRPr="00063201">
              <w:rPr>
                <w:rFonts w:ascii="Arial" w:hAnsi="Arial" w:cs="Arial"/>
                <w:sz w:val="20"/>
                <w:lang w:val="en-IN" w:bidi="ar-SA"/>
              </w:rPr>
              <w:t>waste  generated</w:t>
            </w:r>
            <w:proofErr w:type="gramEnd"/>
          </w:p>
        </w:tc>
        <w:tc>
          <w:tcPr>
            <w:tcW w:w="665" w:type="pct"/>
            <w:shd w:val="clear" w:color="auto" w:fill="FFFFFF"/>
            <w:vAlign w:val="center"/>
          </w:tcPr>
          <w:p w14:paraId="18FAB387"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22.49</w:t>
            </w:r>
          </w:p>
        </w:tc>
        <w:tc>
          <w:tcPr>
            <w:tcW w:w="797" w:type="pct"/>
            <w:shd w:val="clear" w:color="auto" w:fill="FFFFFF"/>
            <w:vAlign w:val="center"/>
          </w:tcPr>
          <w:p w14:paraId="64C6027B"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4.25</w:t>
            </w:r>
          </w:p>
        </w:tc>
        <w:tc>
          <w:tcPr>
            <w:tcW w:w="634" w:type="pct"/>
            <w:shd w:val="clear" w:color="auto" w:fill="FFFFFF"/>
            <w:vAlign w:val="center"/>
          </w:tcPr>
          <w:p w14:paraId="1B5A0A9E"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5.29</w:t>
            </w:r>
          </w:p>
        </w:tc>
        <w:tc>
          <w:tcPr>
            <w:tcW w:w="508" w:type="pct"/>
            <w:shd w:val="clear" w:color="auto" w:fill="FFFFFF"/>
            <w:vAlign w:val="center"/>
          </w:tcPr>
          <w:p w14:paraId="68561262"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78DAAD23" w14:textId="77777777" w:rsidTr="00063201">
        <w:trPr>
          <w:cantSplit/>
          <w:trHeight w:val="380"/>
          <w:jc w:val="center"/>
        </w:trPr>
        <w:tc>
          <w:tcPr>
            <w:tcW w:w="2394" w:type="pct"/>
            <w:shd w:val="clear" w:color="auto" w:fill="FFFFFF"/>
          </w:tcPr>
          <w:p w14:paraId="718BCE1D"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Gender</w:t>
            </w:r>
          </w:p>
        </w:tc>
        <w:tc>
          <w:tcPr>
            <w:tcW w:w="665" w:type="pct"/>
            <w:shd w:val="clear" w:color="auto" w:fill="FFFFFF"/>
            <w:vAlign w:val="center"/>
          </w:tcPr>
          <w:p w14:paraId="1B6F23F3"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34.05</w:t>
            </w:r>
          </w:p>
        </w:tc>
        <w:tc>
          <w:tcPr>
            <w:tcW w:w="797" w:type="pct"/>
            <w:shd w:val="clear" w:color="auto" w:fill="FFFFFF"/>
            <w:vAlign w:val="center"/>
          </w:tcPr>
          <w:p w14:paraId="11C2ED08"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10.95</w:t>
            </w:r>
          </w:p>
        </w:tc>
        <w:tc>
          <w:tcPr>
            <w:tcW w:w="634" w:type="pct"/>
            <w:shd w:val="clear" w:color="auto" w:fill="FFFFFF"/>
            <w:vAlign w:val="center"/>
          </w:tcPr>
          <w:p w14:paraId="7E0C17E1"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3.11</w:t>
            </w:r>
          </w:p>
        </w:tc>
        <w:tc>
          <w:tcPr>
            <w:tcW w:w="508" w:type="pct"/>
            <w:shd w:val="clear" w:color="auto" w:fill="FFFFFF"/>
            <w:vAlign w:val="center"/>
          </w:tcPr>
          <w:p w14:paraId="30FD19FC"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0.00</w:t>
            </w:r>
          </w:p>
        </w:tc>
      </w:tr>
      <w:tr w:rsidR="001E4B11" w:rsidRPr="00063201" w14:paraId="172DA94F" w14:textId="77777777" w:rsidTr="00063201">
        <w:trPr>
          <w:cantSplit/>
          <w:trHeight w:val="380"/>
          <w:jc w:val="center"/>
        </w:trPr>
        <w:tc>
          <w:tcPr>
            <w:tcW w:w="2394" w:type="pct"/>
            <w:shd w:val="clear" w:color="auto" w:fill="FFFFFF"/>
          </w:tcPr>
          <w:p w14:paraId="78311AB0"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 xml:space="preserve">Education category </w:t>
            </w:r>
          </w:p>
        </w:tc>
        <w:tc>
          <w:tcPr>
            <w:tcW w:w="665" w:type="pct"/>
            <w:shd w:val="clear" w:color="auto" w:fill="FFFFFF"/>
            <w:vAlign w:val="center"/>
          </w:tcPr>
          <w:p w14:paraId="0ED9BF43"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-2.96</w:t>
            </w:r>
          </w:p>
        </w:tc>
        <w:tc>
          <w:tcPr>
            <w:tcW w:w="797" w:type="pct"/>
            <w:shd w:val="clear" w:color="auto" w:fill="FFFFFF"/>
            <w:vAlign w:val="center"/>
          </w:tcPr>
          <w:p w14:paraId="528B216A"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13.15</w:t>
            </w:r>
          </w:p>
        </w:tc>
        <w:tc>
          <w:tcPr>
            <w:tcW w:w="634" w:type="pct"/>
            <w:shd w:val="clear" w:color="auto" w:fill="FFFFFF"/>
            <w:vAlign w:val="center"/>
          </w:tcPr>
          <w:p w14:paraId="3E8DC29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-0.23</w:t>
            </w:r>
          </w:p>
        </w:tc>
        <w:tc>
          <w:tcPr>
            <w:tcW w:w="508" w:type="pct"/>
            <w:shd w:val="clear" w:color="auto" w:fill="FFFFFF"/>
            <w:vAlign w:val="center"/>
          </w:tcPr>
          <w:p w14:paraId="5F6DED18"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0.82</w:t>
            </w:r>
          </w:p>
        </w:tc>
      </w:tr>
      <w:tr w:rsidR="001E4B11" w:rsidRPr="00063201" w14:paraId="4522D688" w14:textId="77777777" w:rsidTr="00063201">
        <w:trPr>
          <w:cantSplit/>
          <w:trHeight w:val="380"/>
          <w:jc w:val="center"/>
        </w:trPr>
        <w:tc>
          <w:tcPr>
            <w:tcW w:w="2394" w:type="pct"/>
            <w:tcBorders>
              <w:bottom w:val="single" w:sz="4" w:space="0" w:color="auto"/>
            </w:tcBorders>
            <w:shd w:val="clear" w:color="auto" w:fill="FFFFFF"/>
          </w:tcPr>
          <w:p w14:paraId="4DC4EB47"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Proximity to dumping ground</w:t>
            </w:r>
          </w:p>
        </w:tc>
        <w:tc>
          <w:tcPr>
            <w:tcW w:w="665" w:type="pct"/>
            <w:tcBorders>
              <w:bottom w:val="single" w:sz="4" w:space="0" w:color="auto"/>
            </w:tcBorders>
            <w:shd w:val="clear" w:color="auto" w:fill="FFFFFF"/>
            <w:vAlign w:val="center"/>
          </w:tcPr>
          <w:p w14:paraId="1682E9BF"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2.42</w:t>
            </w:r>
          </w:p>
        </w:tc>
        <w:tc>
          <w:tcPr>
            <w:tcW w:w="797" w:type="pct"/>
            <w:tcBorders>
              <w:bottom w:val="single" w:sz="4" w:space="0" w:color="auto"/>
            </w:tcBorders>
            <w:shd w:val="clear" w:color="auto" w:fill="FFFFFF"/>
            <w:vAlign w:val="center"/>
          </w:tcPr>
          <w:p w14:paraId="374E0DE4"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1.19</w:t>
            </w:r>
          </w:p>
        </w:tc>
        <w:tc>
          <w:tcPr>
            <w:tcW w:w="634" w:type="pct"/>
            <w:tcBorders>
              <w:bottom w:val="single" w:sz="4" w:space="0" w:color="auto"/>
            </w:tcBorders>
            <w:shd w:val="clear" w:color="auto" w:fill="FFFFFF"/>
            <w:vAlign w:val="center"/>
          </w:tcPr>
          <w:p w14:paraId="4877C4EF"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2.03</w:t>
            </w:r>
          </w:p>
        </w:tc>
        <w:tc>
          <w:tcPr>
            <w:tcW w:w="508" w:type="pct"/>
            <w:tcBorders>
              <w:bottom w:val="single" w:sz="4" w:space="0" w:color="auto"/>
            </w:tcBorders>
            <w:shd w:val="clear" w:color="auto" w:fill="FFFFFF"/>
            <w:vAlign w:val="center"/>
          </w:tcPr>
          <w:p w14:paraId="35CAEE40" w14:textId="77777777" w:rsidR="001C741E" w:rsidRPr="00063201" w:rsidRDefault="001C741E" w:rsidP="00DE11F7">
            <w:pPr>
              <w:pStyle w:val="NoSpacing"/>
              <w:jc w:val="right"/>
              <w:rPr>
                <w:rFonts w:ascii="Arial" w:hAnsi="Arial" w:cs="Arial"/>
                <w:sz w:val="20"/>
                <w:lang w:val="en-IN" w:bidi="ar-SA"/>
              </w:rPr>
            </w:pPr>
            <w:r w:rsidRPr="00063201">
              <w:rPr>
                <w:rFonts w:ascii="Arial" w:hAnsi="Arial" w:cs="Arial"/>
                <w:sz w:val="20"/>
                <w:lang w:val="en-IN" w:bidi="ar-SA"/>
              </w:rPr>
              <w:t>0.04</w:t>
            </w:r>
          </w:p>
        </w:tc>
      </w:tr>
      <w:tr w:rsidR="001C741E" w:rsidRPr="00063201" w14:paraId="0D378F19" w14:textId="77777777" w:rsidTr="00063201">
        <w:trPr>
          <w:cantSplit/>
          <w:trHeight w:val="380"/>
          <w:jc w:val="center"/>
        </w:trPr>
        <w:tc>
          <w:tcPr>
            <w:tcW w:w="5000" w:type="pct"/>
            <w:gridSpan w:val="5"/>
            <w:tcBorders>
              <w:top w:val="single" w:sz="4" w:space="0" w:color="auto"/>
              <w:bottom w:val="single" w:sz="4" w:space="0" w:color="auto"/>
            </w:tcBorders>
            <w:shd w:val="clear" w:color="auto" w:fill="FFFFFF"/>
          </w:tcPr>
          <w:p w14:paraId="648CEB9B" w14:textId="77777777" w:rsidR="001C741E" w:rsidRPr="00063201" w:rsidRDefault="001C741E" w:rsidP="00DE11F7">
            <w:pPr>
              <w:pStyle w:val="NoSpacing"/>
              <w:rPr>
                <w:rFonts w:ascii="Arial" w:hAnsi="Arial" w:cs="Arial"/>
                <w:sz w:val="20"/>
                <w:lang w:val="en-IN" w:bidi="ar-SA"/>
              </w:rPr>
            </w:pPr>
            <w:r w:rsidRPr="00063201">
              <w:rPr>
                <w:rFonts w:ascii="Arial" w:hAnsi="Arial" w:cs="Arial"/>
                <w:sz w:val="20"/>
                <w:lang w:val="en-IN" w:bidi="ar-SA"/>
              </w:rPr>
              <w:t xml:space="preserve">                              R</w:t>
            </w:r>
            <w:r w:rsidRPr="00063201">
              <w:rPr>
                <w:rFonts w:ascii="Arial" w:hAnsi="Arial" w:cs="Arial"/>
                <w:sz w:val="20"/>
                <w:vertAlign w:val="superscript"/>
                <w:lang w:val="en-IN" w:bidi="ar-SA"/>
              </w:rPr>
              <w:t xml:space="preserve">2 </w:t>
            </w:r>
            <w:r w:rsidRPr="00063201">
              <w:rPr>
                <w:rFonts w:ascii="Arial" w:hAnsi="Arial" w:cs="Arial"/>
                <w:sz w:val="20"/>
                <w:lang w:val="en-IN" w:bidi="ar-SA"/>
              </w:rPr>
              <w:t>= 0.48</w:t>
            </w:r>
            <w:r w:rsidRPr="00063201">
              <w:rPr>
                <w:rFonts w:ascii="Arial" w:hAnsi="Arial" w:cs="Arial"/>
                <w:sz w:val="20"/>
                <w:lang w:val="en-IN" w:bidi="ar-SA"/>
              </w:rPr>
              <w:tab/>
              <w:t xml:space="preserve">                          F = 43.76</w:t>
            </w:r>
          </w:p>
        </w:tc>
      </w:tr>
    </w:tbl>
    <w:p w14:paraId="27797A3D" w14:textId="77777777" w:rsidR="001C741E" w:rsidRPr="000820D4" w:rsidRDefault="001C741E" w:rsidP="00DE11F7">
      <w:pPr>
        <w:autoSpaceDE w:val="0"/>
        <w:autoSpaceDN w:val="0"/>
        <w:adjustRightInd w:val="0"/>
        <w:rPr>
          <w:rFonts w:ascii="Arial" w:hAnsi="Arial" w:cs="Arial"/>
          <w:i/>
          <w:sz w:val="20"/>
          <w:lang w:val="en-IN" w:bidi="ar-SA"/>
        </w:rPr>
      </w:pPr>
      <w:r w:rsidRPr="000820D4">
        <w:rPr>
          <w:rFonts w:ascii="Arial" w:hAnsi="Arial" w:cs="Arial"/>
          <w:i/>
          <w:sz w:val="20"/>
          <w:lang w:val="en-IN" w:bidi="ar-SA"/>
        </w:rPr>
        <w:t xml:space="preserve">     </w:t>
      </w:r>
      <w:r w:rsidR="00C55089" w:rsidRPr="000820D4">
        <w:rPr>
          <w:rFonts w:ascii="Arial" w:hAnsi="Arial" w:cs="Arial"/>
          <w:i/>
          <w:sz w:val="20"/>
          <w:lang w:val="en-IN" w:bidi="ar-SA"/>
        </w:rPr>
        <w:t xml:space="preserve">       </w:t>
      </w:r>
      <w:r w:rsidR="001E4B11" w:rsidRPr="000820D4">
        <w:rPr>
          <w:rFonts w:ascii="Arial" w:hAnsi="Arial" w:cs="Arial"/>
          <w:i/>
          <w:sz w:val="20"/>
          <w:lang w:val="en-IN" w:bidi="ar-SA"/>
        </w:rPr>
        <w:t xml:space="preserve">     </w:t>
      </w:r>
      <w:r w:rsidRPr="000820D4">
        <w:rPr>
          <w:rFonts w:ascii="Arial" w:hAnsi="Arial" w:cs="Arial"/>
          <w:i/>
          <w:sz w:val="20"/>
          <w:lang w:val="en-IN" w:bidi="ar-SA"/>
        </w:rPr>
        <w:t>Source: Estimated from the primary data</w:t>
      </w:r>
    </w:p>
    <w:p w14:paraId="7A534CED" w14:textId="77777777" w:rsidR="00C432B5" w:rsidRPr="000820D4" w:rsidRDefault="00B30AD6" w:rsidP="000820D4">
      <w:pPr>
        <w:autoSpaceDE w:val="0"/>
        <w:autoSpaceDN w:val="0"/>
        <w:adjustRightInd w:val="0"/>
        <w:jc w:val="both"/>
        <w:rPr>
          <w:rFonts w:ascii="Arial" w:hAnsi="Arial" w:cs="Arial"/>
          <w:sz w:val="20"/>
        </w:rPr>
      </w:pPr>
      <w:r w:rsidRPr="000820D4">
        <w:rPr>
          <w:rFonts w:ascii="Arial" w:hAnsi="Arial" w:cs="Arial"/>
          <w:sz w:val="20"/>
        </w:rPr>
        <w:t>First</w:t>
      </w:r>
      <w:r w:rsidR="00C432B5" w:rsidRPr="000820D4">
        <w:rPr>
          <w:rFonts w:ascii="Arial" w:hAnsi="Arial" w:cs="Arial"/>
          <w:sz w:val="20"/>
        </w:rPr>
        <w:t>, it is evident that monthly expenditure</w:t>
      </w:r>
      <w:r w:rsidR="00C432B5" w:rsidRPr="000820D4">
        <w:rPr>
          <w:rFonts w:ascii="Arial" w:hAnsi="Arial" w:cs="Arial"/>
          <w:sz w:val="20"/>
          <w:lang w:val="en-IN" w:bidi="ar-SA"/>
        </w:rPr>
        <w:t xml:space="preserve"> </w:t>
      </w:r>
      <w:r w:rsidR="00C432B5" w:rsidRPr="000820D4">
        <w:rPr>
          <w:rFonts w:ascii="Arial" w:hAnsi="Arial" w:cs="Arial"/>
          <w:sz w:val="20"/>
        </w:rPr>
        <w:t>exe</w:t>
      </w:r>
      <w:r w:rsidRPr="000820D4">
        <w:rPr>
          <w:rFonts w:ascii="Arial" w:hAnsi="Arial" w:cs="Arial"/>
          <w:sz w:val="20"/>
        </w:rPr>
        <w:t>rts a noteworthy</w:t>
      </w:r>
      <w:r w:rsidR="006F7DC4" w:rsidRPr="000820D4">
        <w:rPr>
          <w:rFonts w:ascii="Arial" w:hAnsi="Arial" w:cs="Arial"/>
          <w:sz w:val="20"/>
        </w:rPr>
        <w:t xml:space="preserve"> influence on willingness to pay</w:t>
      </w:r>
      <w:r w:rsidR="00C432B5" w:rsidRPr="000820D4">
        <w:rPr>
          <w:rFonts w:ascii="Arial" w:hAnsi="Arial" w:cs="Arial"/>
          <w:sz w:val="20"/>
        </w:rPr>
        <w:t>. This finding underscores the notion that households with higher monthly expenditures are inclined to allocate a greater portion of their re</w:t>
      </w:r>
      <w:r w:rsidR="00496119" w:rsidRPr="000820D4">
        <w:rPr>
          <w:rFonts w:ascii="Arial" w:hAnsi="Arial" w:cs="Arial"/>
          <w:sz w:val="20"/>
        </w:rPr>
        <w:t>sources towards environmental quality</w:t>
      </w:r>
      <w:r w:rsidR="00C432B5" w:rsidRPr="000820D4">
        <w:rPr>
          <w:rFonts w:ascii="Arial" w:hAnsi="Arial" w:cs="Arial"/>
          <w:sz w:val="20"/>
        </w:rPr>
        <w:t>.</w:t>
      </w:r>
      <w:r w:rsidR="00E5421C" w:rsidRPr="000820D4">
        <w:rPr>
          <w:rFonts w:ascii="Arial" w:hAnsi="Arial" w:cs="Arial"/>
          <w:sz w:val="20"/>
        </w:rPr>
        <w:t xml:space="preserve"> </w:t>
      </w:r>
      <w:r w:rsidR="00676906" w:rsidRPr="000820D4">
        <w:rPr>
          <w:rFonts w:ascii="Arial" w:hAnsi="Arial" w:cs="Arial"/>
          <w:sz w:val="20"/>
        </w:rPr>
        <w:t>This result is in line with that</w:t>
      </w:r>
      <w:r w:rsidR="003A2B70" w:rsidRPr="000820D4">
        <w:rPr>
          <w:rFonts w:ascii="Arial" w:hAnsi="Arial" w:cs="Arial"/>
          <w:sz w:val="20"/>
        </w:rPr>
        <w:t xml:space="preserve"> of the </w:t>
      </w:r>
      <w:r w:rsidR="008E3897" w:rsidRPr="000820D4">
        <w:rPr>
          <w:rFonts w:ascii="Arial" w:hAnsi="Arial" w:cs="Arial"/>
          <w:sz w:val="20"/>
        </w:rPr>
        <w:t>previous studies</w:t>
      </w:r>
      <w:r w:rsidR="003A2B70" w:rsidRPr="000820D4">
        <w:rPr>
          <w:rFonts w:ascii="Arial" w:hAnsi="Arial" w:cs="Arial"/>
          <w:sz w:val="20"/>
        </w:rPr>
        <w:t xml:space="preserve"> </w:t>
      </w:r>
      <w:r w:rsidR="00C76C51" w:rsidRPr="000820D4">
        <w:rPr>
          <w:rFonts w:ascii="Arial" w:hAnsi="Arial" w:cs="Arial"/>
          <w:bCs/>
          <w:sz w:val="20"/>
        </w:rPr>
        <w:t>(A</w:t>
      </w:r>
      <w:r w:rsidR="00D41BF6" w:rsidRPr="000820D4">
        <w:rPr>
          <w:rFonts w:ascii="Arial" w:hAnsi="Arial" w:cs="Arial"/>
          <w:bCs/>
          <w:sz w:val="20"/>
        </w:rPr>
        <w:t>l</w:t>
      </w:r>
      <w:r w:rsidR="00C76C51" w:rsidRPr="000820D4">
        <w:rPr>
          <w:rFonts w:ascii="Arial" w:hAnsi="Arial" w:cs="Arial"/>
          <w:bCs/>
          <w:sz w:val="20"/>
        </w:rPr>
        <w:t>t</w:t>
      </w:r>
      <w:r w:rsidR="00E5421C" w:rsidRPr="000820D4">
        <w:rPr>
          <w:rFonts w:ascii="Arial" w:hAnsi="Arial" w:cs="Arial"/>
          <w:bCs/>
          <w:sz w:val="20"/>
        </w:rPr>
        <w:t>af &amp; Deshazo 1996,</w:t>
      </w:r>
      <w:r w:rsidR="00D41BF6" w:rsidRPr="000820D4">
        <w:rPr>
          <w:rFonts w:ascii="Arial" w:hAnsi="Arial" w:cs="Arial"/>
          <w:bCs/>
          <w:sz w:val="20"/>
        </w:rPr>
        <w:t xml:space="preserve"> B</w:t>
      </w:r>
      <w:r w:rsidR="00E5421C" w:rsidRPr="000820D4">
        <w:rPr>
          <w:rFonts w:ascii="Arial" w:hAnsi="Arial" w:cs="Arial"/>
          <w:bCs/>
          <w:sz w:val="20"/>
        </w:rPr>
        <w:t>asili et al.</w:t>
      </w:r>
      <w:r w:rsidR="00D41BF6" w:rsidRPr="000820D4">
        <w:rPr>
          <w:rFonts w:ascii="Arial" w:hAnsi="Arial" w:cs="Arial"/>
          <w:bCs/>
          <w:sz w:val="20"/>
        </w:rPr>
        <w:t xml:space="preserve"> 2006</w:t>
      </w:r>
      <w:r w:rsidR="00E5421C" w:rsidRPr="000820D4">
        <w:rPr>
          <w:rFonts w:ascii="Arial" w:hAnsi="Arial" w:cs="Arial"/>
          <w:bCs/>
          <w:sz w:val="20"/>
        </w:rPr>
        <w:t>,</w:t>
      </w:r>
      <w:r w:rsidR="002F16AB" w:rsidRPr="000820D4">
        <w:rPr>
          <w:rFonts w:ascii="Arial" w:hAnsi="Arial" w:cs="Arial"/>
          <w:bCs/>
          <w:sz w:val="20"/>
        </w:rPr>
        <w:t xml:space="preserve"> Fonta et al., 2008</w:t>
      </w:r>
      <w:r w:rsidR="003A2B70" w:rsidRPr="000820D4">
        <w:rPr>
          <w:rFonts w:ascii="Arial" w:hAnsi="Arial" w:cs="Arial"/>
          <w:sz w:val="20"/>
        </w:rPr>
        <w:t>)</w:t>
      </w:r>
      <w:r w:rsidR="00F06C5D" w:rsidRPr="000820D4">
        <w:rPr>
          <w:rFonts w:ascii="Arial" w:hAnsi="Arial" w:cs="Arial"/>
          <w:sz w:val="20"/>
        </w:rPr>
        <w:t xml:space="preserve"> that</w:t>
      </w:r>
      <w:r w:rsidR="00C432B5" w:rsidRPr="000820D4">
        <w:rPr>
          <w:rFonts w:ascii="Arial" w:hAnsi="Arial" w:cs="Arial"/>
          <w:sz w:val="20"/>
        </w:rPr>
        <w:t xml:space="preserve"> affordability is critical in determining individuals' willingness to p</w:t>
      </w:r>
      <w:r w:rsidR="008941BF" w:rsidRPr="000820D4">
        <w:rPr>
          <w:rFonts w:ascii="Arial" w:hAnsi="Arial" w:cs="Arial"/>
          <w:sz w:val="20"/>
        </w:rPr>
        <w:t>ay for waste management</w:t>
      </w:r>
      <w:r w:rsidR="00C432B5" w:rsidRPr="000820D4">
        <w:rPr>
          <w:rFonts w:ascii="Arial" w:hAnsi="Arial" w:cs="Arial"/>
          <w:sz w:val="20"/>
        </w:rPr>
        <w:t>.</w:t>
      </w:r>
      <w:r w:rsidR="008E3D52" w:rsidRPr="000820D4">
        <w:rPr>
          <w:rFonts w:ascii="Arial" w:hAnsi="Arial" w:cs="Arial"/>
          <w:sz w:val="20"/>
        </w:rPr>
        <w:t xml:space="preserve"> Low-income</w:t>
      </w:r>
      <w:r w:rsidR="00F06C5D" w:rsidRPr="000820D4">
        <w:rPr>
          <w:rFonts w:ascii="Arial" w:hAnsi="Arial" w:cs="Arial"/>
          <w:sz w:val="20"/>
        </w:rPr>
        <w:t xml:space="preserve"> households may prioritize primary needs like</w:t>
      </w:r>
      <w:r w:rsidR="008E3D52" w:rsidRPr="000820D4">
        <w:rPr>
          <w:rFonts w:ascii="Arial" w:hAnsi="Arial" w:cs="Arial"/>
          <w:sz w:val="20"/>
        </w:rPr>
        <w:t xml:space="preserve"> food, shelter, and healthcare, over environmental improvements. Consequently, they may have limited discretionary income available for environmental expenditures. This economic reality ensures the importance of designing waste management policies and programs that </w:t>
      </w:r>
      <w:proofErr w:type="gramStart"/>
      <w:r w:rsidR="008E3D52" w:rsidRPr="000820D4">
        <w:rPr>
          <w:rFonts w:ascii="Arial" w:hAnsi="Arial" w:cs="Arial"/>
          <w:sz w:val="20"/>
        </w:rPr>
        <w:t>take into account</w:t>
      </w:r>
      <w:proofErr w:type="gramEnd"/>
      <w:r w:rsidR="008E3D52" w:rsidRPr="000820D4">
        <w:rPr>
          <w:rFonts w:ascii="Arial" w:hAnsi="Arial" w:cs="Arial"/>
          <w:sz w:val="20"/>
        </w:rPr>
        <w:t xml:space="preserve"> the financial circumstances of different income groups.</w:t>
      </w:r>
    </w:p>
    <w:p w14:paraId="68BB06F9" w14:textId="77777777" w:rsidR="001B7A25" w:rsidRPr="000820D4" w:rsidRDefault="00376AB3" w:rsidP="000820D4">
      <w:pPr>
        <w:jc w:val="both"/>
        <w:rPr>
          <w:rFonts w:ascii="Arial" w:hAnsi="Arial" w:cs="Arial"/>
          <w:color w:val="FF0000"/>
          <w:sz w:val="20"/>
        </w:rPr>
      </w:pPr>
      <w:r w:rsidRPr="000820D4">
        <w:rPr>
          <w:rFonts w:ascii="Arial" w:hAnsi="Arial" w:cs="Arial"/>
          <w:sz w:val="20"/>
        </w:rPr>
        <w:t>T</w:t>
      </w:r>
      <w:r w:rsidR="00C85B60" w:rsidRPr="000820D4">
        <w:rPr>
          <w:rFonts w:ascii="Arial" w:hAnsi="Arial" w:cs="Arial"/>
          <w:sz w:val="20"/>
        </w:rPr>
        <w:t>he</w:t>
      </w:r>
      <w:r w:rsidR="00F06C5D" w:rsidRPr="000820D4">
        <w:rPr>
          <w:rFonts w:ascii="Arial" w:hAnsi="Arial" w:cs="Arial"/>
          <w:sz w:val="20"/>
        </w:rPr>
        <w:t xml:space="preserve"> inverse</w:t>
      </w:r>
      <w:r w:rsidR="00A01F47" w:rsidRPr="000820D4">
        <w:rPr>
          <w:rFonts w:ascii="Arial" w:hAnsi="Arial" w:cs="Arial"/>
          <w:sz w:val="20"/>
        </w:rPr>
        <w:t xml:space="preserve"> relationship</w:t>
      </w:r>
      <w:r w:rsidR="00C85B60" w:rsidRPr="000820D4">
        <w:rPr>
          <w:rFonts w:ascii="Arial" w:hAnsi="Arial" w:cs="Arial"/>
          <w:sz w:val="20"/>
        </w:rPr>
        <w:t xml:space="preserve"> between </w:t>
      </w:r>
      <w:r w:rsidR="00F06C5D" w:rsidRPr="000820D4">
        <w:rPr>
          <w:rFonts w:ascii="Arial" w:hAnsi="Arial" w:cs="Arial"/>
          <w:sz w:val="20"/>
        </w:rPr>
        <w:t>size of household</w:t>
      </w:r>
      <w:r w:rsidR="00C85B60" w:rsidRPr="000820D4">
        <w:rPr>
          <w:rFonts w:ascii="Arial" w:hAnsi="Arial" w:cs="Arial"/>
          <w:sz w:val="20"/>
        </w:rPr>
        <w:t xml:space="preserve"> and willingness to pay</w:t>
      </w:r>
      <w:r w:rsidR="00A01F47" w:rsidRPr="000820D4">
        <w:rPr>
          <w:rFonts w:ascii="Arial" w:hAnsi="Arial" w:cs="Arial"/>
          <w:sz w:val="20"/>
        </w:rPr>
        <w:t xml:space="preserve"> lies in the role that extended family networks may play in waste disposal practices</w:t>
      </w:r>
      <w:r w:rsidR="00F06C5D" w:rsidRPr="000820D4">
        <w:rPr>
          <w:rFonts w:ascii="Arial" w:hAnsi="Arial" w:cs="Arial"/>
          <w:sz w:val="20"/>
        </w:rPr>
        <w:t xml:space="preserve"> (</w:t>
      </w:r>
      <w:r w:rsidR="00F06C5D" w:rsidRPr="000820D4">
        <w:rPr>
          <w:rFonts w:ascii="Arial" w:hAnsi="Arial" w:cs="Arial"/>
          <w:sz w:val="20"/>
          <w:lang w:val="en-IN" w:bidi="ar-SA"/>
        </w:rPr>
        <w:t>Adebo and Ajewole, 2012)</w:t>
      </w:r>
      <w:r w:rsidR="00A01F47" w:rsidRPr="000820D4">
        <w:rPr>
          <w:rFonts w:ascii="Arial" w:hAnsi="Arial" w:cs="Arial"/>
          <w:sz w:val="20"/>
        </w:rPr>
        <w:t xml:space="preserve">. </w:t>
      </w:r>
      <w:r w:rsidR="00E11525" w:rsidRPr="000820D4">
        <w:rPr>
          <w:rFonts w:ascii="Arial" w:hAnsi="Arial" w:cs="Arial"/>
          <w:sz w:val="20"/>
          <w:lang w:val="en-IN" w:bidi="ar-SA"/>
        </w:rPr>
        <w:t xml:space="preserve">Besides, there is a possibility that poor income group possess large family and they are not ready </w:t>
      </w:r>
      <w:r w:rsidR="00034C3F" w:rsidRPr="000820D4">
        <w:rPr>
          <w:rFonts w:ascii="Arial" w:hAnsi="Arial" w:cs="Arial"/>
          <w:sz w:val="20"/>
          <w:lang w:val="en-IN" w:bidi="ar-SA"/>
        </w:rPr>
        <w:t>to pay more for environmental quality</w:t>
      </w:r>
      <w:r w:rsidR="00E11525" w:rsidRPr="000820D4">
        <w:rPr>
          <w:rFonts w:ascii="Arial" w:hAnsi="Arial" w:cs="Arial"/>
          <w:sz w:val="20"/>
          <w:lang w:val="en-IN" w:bidi="ar-SA"/>
        </w:rPr>
        <w:t xml:space="preserve"> due to the </w:t>
      </w:r>
      <w:r w:rsidR="00E11525" w:rsidRPr="000820D4">
        <w:rPr>
          <w:rFonts w:ascii="Arial" w:hAnsi="Arial" w:cs="Arial"/>
          <w:noProof/>
          <w:sz w:val="20"/>
          <w:lang w:val="en-IN" w:bidi="ar-SA"/>
        </w:rPr>
        <w:t>overburden</w:t>
      </w:r>
      <w:r w:rsidR="00E11525" w:rsidRPr="000820D4">
        <w:rPr>
          <w:rFonts w:ascii="Arial" w:hAnsi="Arial" w:cs="Arial"/>
          <w:sz w:val="20"/>
          <w:lang w:val="en-IN" w:bidi="ar-SA"/>
        </w:rPr>
        <w:t>.</w:t>
      </w:r>
      <w:r w:rsidR="00FA45ED" w:rsidRPr="000820D4">
        <w:rPr>
          <w:rFonts w:ascii="Arial" w:hAnsi="Arial" w:cs="Arial"/>
          <w:sz w:val="20"/>
          <w:lang w:val="en-IN" w:bidi="ar-SA"/>
        </w:rPr>
        <w:t xml:space="preserve"> </w:t>
      </w:r>
      <w:r w:rsidR="001B7A25" w:rsidRPr="000820D4">
        <w:rPr>
          <w:rFonts w:ascii="Arial" w:hAnsi="Arial" w:cs="Arial"/>
          <w:sz w:val="20"/>
          <w:lang w:val="en-IN" w:bidi="ar-SA"/>
        </w:rPr>
        <w:t>These findings align with prior research conducted by Adebo and Aje</w:t>
      </w:r>
      <w:r w:rsidR="0032555B" w:rsidRPr="000820D4">
        <w:rPr>
          <w:rFonts w:ascii="Arial" w:hAnsi="Arial" w:cs="Arial"/>
          <w:sz w:val="20"/>
          <w:lang w:val="en-IN" w:bidi="ar-SA"/>
        </w:rPr>
        <w:t>wole (2012), Ojo et al. (2015),</w:t>
      </w:r>
      <w:r w:rsidR="001B7A25" w:rsidRPr="000820D4">
        <w:rPr>
          <w:rFonts w:ascii="Arial" w:hAnsi="Arial" w:cs="Arial"/>
          <w:sz w:val="20"/>
          <w:lang w:val="en-IN" w:bidi="ar-SA"/>
        </w:rPr>
        <w:t xml:space="preserve"> all of whom have independently recognized the significance of family size as a pivotal determinant of willingness to pay for environmental services. </w:t>
      </w:r>
      <w:r w:rsidR="0054696C" w:rsidRPr="000820D4">
        <w:rPr>
          <w:rFonts w:ascii="Arial" w:hAnsi="Arial" w:cs="Arial"/>
          <w:sz w:val="20"/>
          <w:lang w:val="en-IN" w:bidi="ar-SA"/>
        </w:rPr>
        <w:t>The</w:t>
      </w:r>
      <w:r w:rsidR="00B97380" w:rsidRPr="000820D4">
        <w:rPr>
          <w:rFonts w:ascii="Arial" w:hAnsi="Arial" w:cs="Arial"/>
          <w:sz w:val="20"/>
          <w:lang w:val="en-IN" w:bidi="ar-SA"/>
        </w:rPr>
        <w:t xml:space="preserve"> empirical evidence </w:t>
      </w:r>
      <w:r w:rsidR="00AB364F" w:rsidRPr="000820D4">
        <w:rPr>
          <w:rFonts w:ascii="Arial" w:hAnsi="Arial" w:cs="Arial"/>
          <w:sz w:val="20"/>
          <w:lang w:val="en-IN" w:bidi="ar-SA"/>
        </w:rPr>
        <w:t>on positive association</w:t>
      </w:r>
      <w:r w:rsidR="0054696C" w:rsidRPr="000820D4">
        <w:rPr>
          <w:rFonts w:ascii="Arial" w:hAnsi="Arial" w:cs="Arial"/>
          <w:sz w:val="20"/>
          <w:lang w:val="en-IN" w:bidi="ar-SA"/>
        </w:rPr>
        <w:t xml:space="preserve"> b</w:t>
      </w:r>
      <w:r w:rsidR="009C31F1" w:rsidRPr="000820D4">
        <w:rPr>
          <w:rFonts w:ascii="Arial" w:hAnsi="Arial" w:cs="Arial"/>
          <w:sz w:val="20"/>
          <w:lang w:val="en-IN" w:bidi="ar-SA"/>
        </w:rPr>
        <w:t>etween willing</w:t>
      </w:r>
      <w:r w:rsidR="0054696C" w:rsidRPr="000820D4">
        <w:rPr>
          <w:rFonts w:ascii="Arial" w:hAnsi="Arial" w:cs="Arial"/>
          <w:sz w:val="20"/>
          <w:lang w:val="en-IN" w:bidi="ar-SA"/>
        </w:rPr>
        <w:t xml:space="preserve">ness to pay and the availability of waste disposal services </w:t>
      </w:r>
      <w:r w:rsidR="00B97380" w:rsidRPr="000820D4">
        <w:rPr>
          <w:rFonts w:ascii="Arial" w:hAnsi="Arial" w:cs="Arial"/>
          <w:sz w:val="20"/>
          <w:lang w:val="en-IN" w:bidi="ar-SA"/>
        </w:rPr>
        <w:t>suggests that when households have access to waste disposal services, they are more inclined</w:t>
      </w:r>
      <w:r w:rsidR="00AB364F" w:rsidRPr="000820D4">
        <w:rPr>
          <w:rFonts w:ascii="Arial" w:hAnsi="Arial" w:cs="Arial"/>
          <w:sz w:val="20"/>
          <w:lang w:val="en-IN" w:bidi="ar-SA"/>
        </w:rPr>
        <w:t xml:space="preserve"> to express willingness for the enhanced</w:t>
      </w:r>
      <w:r w:rsidR="00B97380" w:rsidRPr="000820D4">
        <w:rPr>
          <w:rFonts w:ascii="Arial" w:hAnsi="Arial" w:cs="Arial"/>
          <w:sz w:val="20"/>
          <w:lang w:val="en-IN" w:bidi="ar-SA"/>
        </w:rPr>
        <w:t xml:space="preserve"> management of waste.</w:t>
      </w:r>
      <w:r w:rsidR="00AB364F" w:rsidRPr="000820D4">
        <w:rPr>
          <w:rFonts w:ascii="Arial" w:hAnsi="Arial" w:cs="Arial"/>
          <w:sz w:val="20"/>
          <w:lang w:val="en-IN" w:bidi="ar-SA"/>
        </w:rPr>
        <w:t xml:space="preserve"> </w:t>
      </w:r>
      <w:r w:rsidR="00F06C5D" w:rsidRPr="000820D4">
        <w:rPr>
          <w:rFonts w:ascii="Arial" w:hAnsi="Arial" w:cs="Arial"/>
          <w:sz w:val="20"/>
          <w:lang w:val="en-IN" w:bidi="ar-SA"/>
        </w:rPr>
        <w:t>In certain coastal wards,</w:t>
      </w:r>
      <w:r w:rsidR="00B97380" w:rsidRPr="000820D4">
        <w:rPr>
          <w:rFonts w:ascii="Arial" w:hAnsi="Arial" w:cs="Arial"/>
          <w:sz w:val="20"/>
          <w:lang w:val="en-IN" w:bidi="ar-SA"/>
        </w:rPr>
        <w:t xml:space="preserve"> collectio</w:t>
      </w:r>
      <w:r w:rsidR="00AB364F" w:rsidRPr="000820D4">
        <w:rPr>
          <w:rFonts w:ascii="Arial" w:hAnsi="Arial" w:cs="Arial"/>
          <w:sz w:val="20"/>
          <w:lang w:val="en-IN" w:bidi="ar-SA"/>
        </w:rPr>
        <w:t>n services are directly given</w:t>
      </w:r>
      <w:r w:rsidR="00B97380" w:rsidRPr="000820D4">
        <w:rPr>
          <w:rFonts w:ascii="Arial" w:hAnsi="Arial" w:cs="Arial"/>
          <w:sz w:val="20"/>
          <w:lang w:val="en-IN" w:bidi="ar-SA"/>
        </w:rPr>
        <w:t xml:space="preserve"> by a corporation, employing sanitary workers for this purp</w:t>
      </w:r>
      <w:r w:rsidR="00E63451" w:rsidRPr="000820D4">
        <w:rPr>
          <w:rFonts w:ascii="Arial" w:hAnsi="Arial" w:cs="Arial"/>
          <w:sz w:val="20"/>
          <w:lang w:val="en-IN" w:bidi="ar-SA"/>
        </w:rPr>
        <w:t xml:space="preserve">ose. Conversely, in other </w:t>
      </w:r>
      <w:proofErr w:type="spellStart"/>
      <w:r w:rsidR="00E63451" w:rsidRPr="000820D4">
        <w:rPr>
          <w:rFonts w:ascii="Arial" w:hAnsi="Arial" w:cs="Arial"/>
          <w:sz w:val="20"/>
          <w:lang w:val="en-IN" w:bidi="ar-SA"/>
        </w:rPr>
        <w:t>wards</w:t>
      </w:r>
      <w:proofErr w:type="spellEnd"/>
      <w:r w:rsidR="00E63451" w:rsidRPr="000820D4">
        <w:rPr>
          <w:rFonts w:ascii="Arial" w:hAnsi="Arial" w:cs="Arial"/>
          <w:sz w:val="20"/>
          <w:lang w:val="en-IN" w:bidi="ar-SA"/>
        </w:rPr>
        <w:t>,</w:t>
      </w:r>
      <w:r w:rsidR="00B97380" w:rsidRPr="000820D4">
        <w:rPr>
          <w:rFonts w:ascii="Arial" w:hAnsi="Arial" w:cs="Arial"/>
          <w:sz w:val="20"/>
          <w:lang w:val="en-IN" w:bidi="ar-SA"/>
        </w:rPr>
        <w:t xml:space="preserve"> the services are facilitated with the assistance of a community-driven organization known as </w:t>
      </w:r>
      <w:r w:rsidR="00B97380" w:rsidRPr="000820D4">
        <w:rPr>
          <w:rFonts w:ascii="Arial" w:hAnsi="Arial" w:cs="Arial"/>
          <w:i/>
          <w:sz w:val="20"/>
          <w:lang w:val="en-IN" w:bidi="ar-SA"/>
        </w:rPr>
        <w:t>'</w:t>
      </w:r>
      <w:proofErr w:type="spellStart"/>
      <w:r w:rsidR="00B97380" w:rsidRPr="000820D4">
        <w:rPr>
          <w:rFonts w:ascii="Arial" w:hAnsi="Arial" w:cs="Arial"/>
          <w:i/>
          <w:sz w:val="20"/>
          <w:lang w:val="en-IN" w:bidi="ar-SA"/>
        </w:rPr>
        <w:t>Kudumbasree</w:t>
      </w:r>
      <w:proofErr w:type="spellEnd"/>
      <w:r w:rsidR="001E4B11" w:rsidRPr="000820D4">
        <w:rPr>
          <w:rStyle w:val="FootnoteReference"/>
          <w:rFonts w:ascii="Arial" w:hAnsi="Arial" w:cs="Arial"/>
          <w:i/>
          <w:sz w:val="20"/>
          <w:lang w:val="en-IN" w:bidi="ar-SA"/>
        </w:rPr>
        <w:footnoteReference w:id="1"/>
      </w:r>
      <w:r w:rsidR="00B97380" w:rsidRPr="000820D4">
        <w:rPr>
          <w:rFonts w:ascii="Arial" w:hAnsi="Arial" w:cs="Arial"/>
          <w:i/>
          <w:sz w:val="20"/>
          <w:lang w:val="en-IN" w:bidi="ar-SA"/>
        </w:rPr>
        <w:t>.</w:t>
      </w:r>
      <w:r w:rsidR="00B97380" w:rsidRPr="000820D4">
        <w:rPr>
          <w:rFonts w:ascii="Arial" w:hAnsi="Arial" w:cs="Arial"/>
          <w:sz w:val="20"/>
          <w:lang w:val="en-IN" w:bidi="ar-SA"/>
        </w:rPr>
        <w:t>' Furthermore, for the collection of inorganic waste,</w:t>
      </w:r>
      <w:r w:rsidR="00823009">
        <w:rPr>
          <w:rFonts w:ascii="Arial" w:hAnsi="Arial" w:cs="Arial"/>
          <w:sz w:val="20"/>
          <w:lang w:val="en-IN" w:bidi="ar-SA"/>
        </w:rPr>
        <w:t xml:space="preserve"> </w:t>
      </w:r>
      <w:r w:rsidR="00B97380" w:rsidRPr="000820D4">
        <w:rPr>
          <w:rFonts w:ascii="Arial" w:hAnsi="Arial" w:cs="Arial"/>
          <w:sz w:val="20"/>
          <w:lang w:val="en-IN" w:bidi="ar-SA"/>
        </w:rPr>
        <w:t xml:space="preserve">residential associations take the lead, collaborating with an agency called </w:t>
      </w:r>
      <w:r w:rsidR="00B97380" w:rsidRPr="000820D4">
        <w:rPr>
          <w:rFonts w:ascii="Arial" w:hAnsi="Arial" w:cs="Arial"/>
          <w:i/>
          <w:sz w:val="20"/>
          <w:lang w:val="en-IN" w:bidi="ar-SA"/>
        </w:rPr>
        <w:t>'</w:t>
      </w:r>
      <w:proofErr w:type="spellStart"/>
      <w:r w:rsidR="00B97380" w:rsidRPr="000820D4">
        <w:rPr>
          <w:rFonts w:ascii="Arial" w:hAnsi="Arial" w:cs="Arial"/>
          <w:i/>
          <w:sz w:val="20"/>
          <w:lang w:val="en-IN" w:bidi="ar-SA"/>
        </w:rPr>
        <w:t>Niravu</w:t>
      </w:r>
      <w:proofErr w:type="spellEnd"/>
      <w:r w:rsidRPr="000820D4">
        <w:rPr>
          <w:rStyle w:val="FootnoteReference"/>
          <w:rFonts w:ascii="Arial" w:hAnsi="Arial" w:cs="Arial"/>
          <w:i/>
          <w:sz w:val="20"/>
          <w:lang w:val="en-IN" w:bidi="ar-SA"/>
        </w:rPr>
        <w:footnoteReference w:id="2"/>
      </w:r>
      <w:r w:rsidR="00B97380" w:rsidRPr="000820D4">
        <w:rPr>
          <w:rFonts w:ascii="Arial" w:hAnsi="Arial" w:cs="Arial"/>
          <w:i/>
          <w:sz w:val="20"/>
          <w:lang w:val="en-IN" w:bidi="ar-SA"/>
        </w:rPr>
        <w:t>.</w:t>
      </w:r>
      <w:r w:rsidR="00B97380" w:rsidRPr="000820D4">
        <w:rPr>
          <w:rFonts w:ascii="Arial" w:hAnsi="Arial" w:cs="Arial"/>
          <w:sz w:val="20"/>
          <w:lang w:val="en-IN" w:bidi="ar-SA"/>
        </w:rPr>
        <w:t>'</w:t>
      </w:r>
      <w:r w:rsidR="008941BF" w:rsidRPr="000820D4">
        <w:rPr>
          <w:rFonts w:ascii="Arial" w:hAnsi="Arial" w:cs="Arial"/>
          <w:sz w:val="20"/>
          <w:lang w:val="en-IN" w:bidi="ar-SA"/>
        </w:rPr>
        <w:t xml:space="preserve"> </w:t>
      </w:r>
      <w:r w:rsidR="00B97380" w:rsidRPr="000820D4">
        <w:rPr>
          <w:rFonts w:ascii="Arial" w:hAnsi="Arial" w:cs="Arial"/>
          <w:sz w:val="20"/>
          <w:lang w:val="en-IN" w:bidi="ar-SA"/>
        </w:rPr>
        <w:t>By fostering partnerships between local communities, governmental bodies, and specialized agencies, it becomes possible to enhance waste disposal services and, consequently, elicit greater willingness from households to invest in sustainable waste management practices.</w:t>
      </w:r>
    </w:p>
    <w:p w14:paraId="6A07676E" w14:textId="77777777" w:rsidR="0020439F" w:rsidRPr="000820D4" w:rsidRDefault="00AB364F" w:rsidP="000820D4">
      <w:pPr>
        <w:autoSpaceDE w:val="0"/>
        <w:autoSpaceDN w:val="0"/>
        <w:adjustRightInd w:val="0"/>
        <w:jc w:val="both"/>
        <w:rPr>
          <w:rFonts w:ascii="Arial" w:hAnsi="Arial" w:cs="Arial"/>
          <w:sz w:val="20"/>
        </w:rPr>
      </w:pPr>
      <w:r w:rsidRPr="000820D4">
        <w:rPr>
          <w:rFonts w:ascii="Arial" w:hAnsi="Arial" w:cs="Arial"/>
          <w:sz w:val="20"/>
        </w:rPr>
        <w:t>Additionally</w:t>
      </w:r>
      <w:r w:rsidR="0020439F" w:rsidRPr="000820D4">
        <w:rPr>
          <w:rFonts w:ascii="Arial" w:hAnsi="Arial" w:cs="Arial"/>
          <w:sz w:val="20"/>
        </w:rPr>
        <w:t>, it is observed that the age of resp</w:t>
      </w:r>
      <w:r w:rsidR="00300DA2" w:rsidRPr="000820D4">
        <w:rPr>
          <w:rFonts w:ascii="Arial" w:hAnsi="Arial" w:cs="Arial"/>
          <w:sz w:val="20"/>
        </w:rPr>
        <w:t>ondents exerts</w:t>
      </w:r>
      <w:r w:rsidR="0020439F" w:rsidRPr="000820D4">
        <w:rPr>
          <w:rFonts w:ascii="Arial" w:hAnsi="Arial" w:cs="Arial"/>
          <w:sz w:val="20"/>
        </w:rPr>
        <w:t xml:space="preserve"> statistically significant negative influence. Specifically, this implies that as respondents advance in age, their propensity to allocate financial resources towards environmental quality improvements </w:t>
      </w:r>
      <w:proofErr w:type="gramStart"/>
      <w:r w:rsidR="0020439F" w:rsidRPr="000820D4">
        <w:rPr>
          <w:rFonts w:ascii="Arial" w:hAnsi="Arial" w:cs="Arial"/>
          <w:sz w:val="20"/>
        </w:rPr>
        <w:t>diminishes..</w:t>
      </w:r>
      <w:proofErr w:type="gramEnd"/>
      <w:r w:rsidR="00BD163F" w:rsidRPr="000820D4">
        <w:rPr>
          <w:rFonts w:ascii="Arial" w:hAnsi="Arial" w:cs="Arial"/>
          <w:sz w:val="20"/>
        </w:rPr>
        <w:t xml:space="preserve"> </w:t>
      </w:r>
      <w:r w:rsidR="0020439F" w:rsidRPr="000820D4">
        <w:rPr>
          <w:rFonts w:ascii="Arial" w:hAnsi="Arial" w:cs="Arial"/>
          <w:sz w:val="20"/>
        </w:rPr>
        <w:t xml:space="preserve">Furthermore, older individuals might perceive waste collection as a government responsibility and, consequently, exhibit </w:t>
      </w:r>
      <w:r w:rsidR="0020439F" w:rsidRPr="000820D4">
        <w:rPr>
          <w:rFonts w:ascii="Arial" w:hAnsi="Arial" w:cs="Arial"/>
          <w:sz w:val="20"/>
        </w:rPr>
        <w:lastRenderedPageBreak/>
        <w:t>a reduced inclination to make financial contributions for it. This finding aligns with previous research</w:t>
      </w:r>
      <w:r w:rsidR="00C65320" w:rsidRPr="000820D4">
        <w:rPr>
          <w:rFonts w:ascii="Arial" w:hAnsi="Arial" w:cs="Arial"/>
          <w:sz w:val="20"/>
        </w:rPr>
        <w:t xml:space="preserve"> conducted by Afroz et al. (2009</w:t>
      </w:r>
      <w:r w:rsidR="0020439F" w:rsidRPr="000820D4">
        <w:rPr>
          <w:rFonts w:ascii="Arial" w:hAnsi="Arial" w:cs="Arial"/>
          <w:sz w:val="20"/>
        </w:rPr>
        <w:t>), Banga et al. (2011), and Joel et al. (2012), which reported similar results.</w:t>
      </w:r>
    </w:p>
    <w:p w14:paraId="3917D328" w14:textId="77777777" w:rsidR="008941BF" w:rsidRPr="000820D4" w:rsidRDefault="00401090" w:rsidP="000820D4">
      <w:pPr>
        <w:jc w:val="both"/>
        <w:rPr>
          <w:rFonts w:ascii="Arial" w:hAnsi="Arial" w:cs="Arial"/>
          <w:sz w:val="20"/>
        </w:rPr>
      </w:pPr>
      <w:r w:rsidRPr="000820D4">
        <w:rPr>
          <w:rFonts w:ascii="Arial" w:hAnsi="Arial" w:cs="Arial"/>
          <w:sz w:val="20"/>
        </w:rPr>
        <w:t>The</w:t>
      </w:r>
      <w:r w:rsidR="00B65185" w:rsidRPr="000820D4">
        <w:rPr>
          <w:rFonts w:ascii="Arial" w:hAnsi="Arial" w:cs="Arial"/>
          <w:sz w:val="20"/>
        </w:rPr>
        <w:t xml:space="preserve"> results </w:t>
      </w:r>
      <w:proofErr w:type="gramStart"/>
      <w:r w:rsidR="00B65185" w:rsidRPr="000820D4">
        <w:rPr>
          <w:rFonts w:ascii="Arial" w:hAnsi="Arial" w:cs="Arial"/>
          <w:sz w:val="20"/>
        </w:rPr>
        <w:t>shows</w:t>
      </w:r>
      <w:proofErr w:type="gramEnd"/>
      <w:r w:rsidRPr="000820D4">
        <w:rPr>
          <w:rFonts w:ascii="Arial" w:hAnsi="Arial" w:cs="Arial"/>
          <w:sz w:val="20"/>
        </w:rPr>
        <w:t xml:space="preserve"> a positive and statistically significant connection between the volume of waste generated and the willingness to financially support </w:t>
      </w:r>
      <w:r w:rsidR="00B65185" w:rsidRPr="000820D4">
        <w:rPr>
          <w:rFonts w:ascii="Arial" w:hAnsi="Arial" w:cs="Arial"/>
          <w:sz w:val="20"/>
        </w:rPr>
        <w:t xml:space="preserve">waste management initiatives which </w:t>
      </w:r>
      <w:r w:rsidRPr="000820D4">
        <w:rPr>
          <w:rFonts w:ascii="Arial" w:hAnsi="Arial" w:cs="Arial"/>
          <w:sz w:val="20"/>
        </w:rPr>
        <w:t xml:space="preserve">is alignment with the </w:t>
      </w:r>
      <w:r w:rsidR="00D01E50" w:rsidRPr="000820D4">
        <w:rPr>
          <w:rFonts w:ascii="Arial" w:hAnsi="Arial" w:cs="Arial"/>
          <w:sz w:val="20"/>
        </w:rPr>
        <w:t>findings from Hagos et al. (2013</w:t>
      </w:r>
      <w:r w:rsidRPr="000820D4">
        <w:rPr>
          <w:rFonts w:ascii="Arial" w:hAnsi="Arial" w:cs="Arial"/>
          <w:sz w:val="20"/>
        </w:rPr>
        <w:t>)</w:t>
      </w:r>
      <w:r w:rsidR="00B65185" w:rsidRPr="000820D4">
        <w:rPr>
          <w:rFonts w:ascii="Arial" w:hAnsi="Arial" w:cs="Arial"/>
          <w:sz w:val="20"/>
        </w:rPr>
        <w:t xml:space="preserve"> that</w:t>
      </w:r>
      <w:r w:rsidRPr="000820D4">
        <w:rPr>
          <w:rFonts w:ascii="Arial" w:hAnsi="Arial" w:cs="Arial"/>
          <w:sz w:val="20"/>
        </w:rPr>
        <w:t xml:space="preserve"> reinforces the notion that households with greater solid waste generation tend to exhibit a heightened demand for improved solid waste management services. In essence, households that produce larger amounts of waste appear to be more motivated to invest in better waste management solutions. </w:t>
      </w:r>
    </w:p>
    <w:p w14:paraId="620C8A75" w14:textId="77777777" w:rsidR="00056112" w:rsidRPr="000820D4" w:rsidRDefault="000E43E4" w:rsidP="000820D4">
      <w:pPr>
        <w:jc w:val="both"/>
        <w:rPr>
          <w:rFonts w:ascii="Arial" w:hAnsi="Arial" w:cs="Arial"/>
          <w:sz w:val="20"/>
        </w:rPr>
      </w:pPr>
      <w:r w:rsidRPr="000820D4">
        <w:rPr>
          <w:rFonts w:ascii="Arial" w:hAnsi="Arial" w:cs="Arial"/>
          <w:sz w:val="20"/>
        </w:rPr>
        <w:t>R</w:t>
      </w:r>
      <w:r w:rsidR="003A2B70" w:rsidRPr="000820D4">
        <w:rPr>
          <w:rFonts w:ascii="Arial" w:hAnsi="Arial" w:cs="Arial"/>
          <w:sz w:val="20"/>
        </w:rPr>
        <w:t>egression result</w:t>
      </w:r>
      <w:r w:rsidR="00DB0DB2" w:rsidRPr="000820D4">
        <w:rPr>
          <w:rFonts w:ascii="Arial" w:hAnsi="Arial" w:cs="Arial"/>
          <w:sz w:val="20"/>
        </w:rPr>
        <w:t>s</w:t>
      </w:r>
      <w:r w:rsidRPr="000820D4">
        <w:rPr>
          <w:rFonts w:ascii="Arial" w:hAnsi="Arial" w:cs="Arial"/>
          <w:sz w:val="20"/>
        </w:rPr>
        <w:t xml:space="preserve"> indicate</w:t>
      </w:r>
      <w:r w:rsidR="00E14248" w:rsidRPr="000820D4">
        <w:rPr>
          <w:rFonts w:ascii="Arial" w:hAnsi="Arial" w:cs="Arial"/>
          <w:sz w:val="20"/>
        </w:rPr>
        <w:t xml:space="preserve"> that </w:t>
      </w:r>
      <w:r w:rsidR="000E2915" w:rsidRPr="000820D4">
        <w:rPr>
          <w:rFonts w:ascii="Arial" w:hAnsi="Arial" w:cs="Arial"/>
          <w:sz w:val="20"/>
        </w:rPr>
        <w:t>h</w:t>
      </w:r>
      <w:r w:rsidR="00E87231" w:rsidRPr="000820D4">
        <w:rPr>
          <w:rFonts w:ascii="Arial" w:hAnsi="Arial" w:cs="Arial"/>
          <w:sz w:val="20"/>
        </w:rPr>
        <w:t xml:space="preserve">ouseholds in close proximity to the treatment plant exhibit a low </w:t>
      </w:r>
      <w:r w:rsidR="00E14248" w:rsidRPr="000820D4">
        <w:rPr>
          <w:rFonts w:ascii="Arial" w:hAnsi="Arial" w:cs="Arial"/>
          <w:sz w:val="20"/>
        </w:rPr>
        <w:t>willingness to pay</w:t>
      </w:r>
      <w:r w:rsidR="006F7DC4" w:rsidRPr="000820D4">
        <w:rPr>
          <w:rFonts w:ascii="Arial" w:hAnsi="Arial" w:cs="Arial"/>
          <w:sz w:val="20"/>
        </w:rPr>
        <w:t xml:space="preserve"> </w:t>
      </w:r>
      <w:r w:rsidR="00E87231" w:rsidRPr="000820D4">
        <w:rPr>
          <w:rFonts w:ascii="Arial" w:hAnsi="Arial" w:cs="Arial"/>
          <w:sz w:val="20"/>
        </w:rPr>
        <w:t>compared to thei</w:t>
      </w:r>
      <w:r w:rsidR="00A36970" w:rsidRPr="000820D4">
        <w:rPr>
          <w:rFonts w:ascii="Arial" w:hAnsi="Arial" w:cs="Arial"/>
          <w:sz w:val="20"/>
        </w:rPr>
        <w:t xml:space="preserve">r counterparts residing </w:t>
      </w:r>
      <w:r w:rsidR="00E87231" w:rsidRPr="000820D4">
        <w:rPr>
          <w:rFonts w:ascii="Arial" w:hAnsi="Arial" w:cs="Arial"/>
          <w:sz w:val="20"/>
        </w:rPr>
        <w:t>away from the treatment plant. It is of paramount importance to empha</w:t>
      </w:r>
      <w:r w:rsidR="00E14248" w:rsidRPr="000820D4">
        <w:rPr>
          <w:rFonts w:ascii="Arial" w:hAnsi="Arial" w:cs="Arial"/>
          <w:sz w:val="20"/>
        </w:rPr>
        <w:t>size that this divergence in willingness to pay</w:t>
      </w:r>
      <w:r w:rsidR="00E87231" w:rsidRPr="000820D4">
        <w:rPr>
          <w:rFonts w:ascii="Arial" w:hAnsi="Arial" w:cs="Arial"/>
          <w:sz w:val="20"/>
        </w:rPr>
        <w:t xml:space="preserve"> is not underpinned b</w:t>
      </w:r>
      <w:r w:rsidR="00E070FB" w:rsidRPr="000820D4">
        <w:rPr>
          <w:rFonts w:ascii="Arial" w:hAnsi="Arial" w:cs="Arial"/>
          <w:sz w:val="20"/>
        </w:rPr>
        <w:t>y a disparity in their</w:t>
      </w:r>
      <w:r w:rsidR="00E87231" w:rsidRPr="000820D4">
        <w:rPr>
          <w:rFonts w:ascii="Arial" w:hAnsi="Arial" w:cs="Arial"/>
          <w:sz w:val="20"/>
        </w:rPr>
        <w:t xml:space="preserve"> willingness to contribute financially or their differential perceptions of environmental quality. Rather, it can be ascribed t</w:t>
      </w:r>
      <w:r w:rsidR="00A36970" w:rsidRPr="000820D4">
        <w:rPr>
          <w:rFonts w:ascii="Arial" w:hAnsi="Arial" w:cs="Arial"/>
          <w:sz w:val="20"/>
        </w:rPr>
        <w:t xml:space="preserve">o a fundamental economic factor </w:t>
      </w:r>
      <w:r w:rsidR="00E87231" w:rsidRPr="000820D4">
        <w:rPr>
          <w:rFonts w:ascii="Arial" w:hAnsi="Arial" w:cs="Arial"/>
          <w:sz w:val="20"/>
        </w:rPr>
        <w:t>namely, income disparities. They are really interested in projects that guarantee environmental quality because they are exposed to a lot of pollutants. As a result, they</w:t>
      </w:r>
      <w:r w:rsidR="00E070FB" w:rsidRPr="000820D4">
        <w:rPr>
          <w:rFonts w:ascii="Arial" w:hAnsi="Arial" w:cs="Arial"/>
          <w:sz w:val="20"/>
        </w:rPr>
        <w:t xml:space="preserve"> tend to acknowledge the</w:t>
      </w:r>
      <w:r w:rsidR="00E87231" w:rsidRPr="000820D4">
        <w:rPr>
          <w:rFonts w:ascii="Arial" w:hAnsi="Arial" w:cs="Arial"/>
          <w:sz w:val="20"/>
        </w:rPr>
        <w:t xml:space="preserve"> significance of environmental initiatives, given the pronounced pollution levels prevalent in their immediate surroundings. Conversely, households residing further away from the treatment plant often find themselves in closer proximity to urban centers and may lack viable alternative mechanisms for waste disposal. Many of these households are already subscribers to </w:t>
      </w:r>
      <w:proofErr w:type="spellStart"/>
      <w:r w:rsidR="00E87231" w:rsidRPr="000820D4">
        <w:rPr>
          <w:rFonts w:ascii="Arial" w:hAnsi="Arial" w:cs="Arial"/>
          <w:i/>
          <w:sz w:val="20"/>
        </w:rPr>
        <w:t>Kudumbasree's</w:t>
      </w:r>
      <w:proofErr w:type="spellEnd"/>
      <w:r w:rsidR="00E87231" w:rsidRPr="002906AF">
        <w:rPr>
          <w:rFonts w:ascii="Arial" w:hAnsi="Arial" w:cs="Arial"/>
          <w:sz w:val="24"/>
          <w:szCs w:val="24"/>
        </w:rPr>
        <w:t xml:space="preserve"> </w:t>
      </w:r>
      <w:r w:rsidR="00E87231" w:rsidRPr="000820D4">
        <w:rPr>
          <w:rFonts w:ascii="Arial" w:hAnsi="Arial" w:cs="Arial"/>
          <w:sz w:val="20"/>
        </w:rPr>
        <w:t>waste management services. Conse</w:t>
      </w:r>
      <w:r w:rsidR="00A36970" w:rsidRPr="000820D4">
        <w:rPr>
          <w:rFonts w:ascii="Arial" w:hAnsi="Arial" w:cs="Arial"/>
          <w:sz w:val="20"/>
        </w:rPr>
        <w:t>quently, they exhibit a preference for</w:t>
      </w:r>
      <w:r w:rsidR="00E87231" w:rsidRPr="000820D4">
        <w:rPr>
          <w:rFonts w:ascii="Arial" w:hAnsi="Arial" w:cs="Arial"/>
          <w:sz w:val="20"/>
        </w:rPr>
        <w:t xml:space="preserve"> devised waste management projects that are both comprehensive and efficacious. </w:t>
      </w:r>
    </w:p>
    <w:p w14:paraId="16289E0C" w14:textId="77777777" w:rsidR="00E070FB" w:rsidRPr="000820D4" w:rsidRDefault="001511B3" w:rsidP="000820D4">
      <w:pPr>
        <w:jc w:val="both"/>
        <w:rPr>
          <w:rFonts w:ascii="Arial" w:hAnsi="Arial" w:cs="Arial"/>
          <w:sz w:val="20"/>
        </w:rPr>
      </w:pPr>
      <w:r w:rsidRPr="000820D4">
        <w:rPr>
          <w:rFonts w:ascii="Arial" w:hAnsi="Arial" w:cs="Arial"/>
          <w:sz w:val="20"/>
        </w:rPr>
        <w:t>The result substantiates the expectation that female responden</w:t>
      </w:r>
      <w:r w:rsidR="00056112" w:rsidRPr="000820D4">
        <w:rPr>
          <w:rFonts w:ascii="Arial" w:hAnsi="Arial" w:cs="Arial"/>
          <w:sz w:val="20"/>
        </w:rPr>
        <w:t>ts exhibit a greater interest</w:t>
      </w:r>
      <w:r w:rsidRPr="000820D4">
        <w:rPr>
          <w:rFonts w:ascii="Arial" w:hAnsi="Arial" w:cs="Arial"/>
          <w:sz w:val="20"/>
        </w:rPr>
        <w:t xml:space="preserve"> to contribute financially towards enhanced waste management services when compared to their mal</w:t>
      </w:r>
      <w:r w:rsidR="00056112" w:rsidRPr="000820D4">
        <w:rPr>
          <w:rFonts w:ascii="Arial" w:hAnsi="Arial" w:cs="Arial"/>
          <w:sz w:val="20"/>
        </w:rPr>
        <w:t>e counterparts. This</w:t>
      </w:r>
      <w:r w:rsidRPr="000820D4">
        <w:rPr>
          <w:rFonts w:ascii="Arial" w:hAnsi="Arial" w:cs="Arial"/>
          <w:sz w:val="20"/>
        </w:rPr>
        <w:t xml:space="preserve"> can be attributed to several plausible factors. Firstly, it is not uncommon for females to assume primary responsibility for managing solid waste issues within households, particularly if they are homemakers. This domestic role places them in closer proximity to waste-related matters, thereby enhancing their awareness and sensitivity to waste management concerns. Furthermore, women residing in proximity to the treatment plant often bear a disproportionate burden when it comes to solid waste disposal. Empirical evidence from studies cond</w:t>
      </w:r>
      <w:r w:rsidR="00E14248" w:rsidRPr="000820D4">
        <w:rPr>
          <w:rFonts w:ascii="Arial" w:hAnsi="Arial" w:cs="Arial"/>
          <w:sz w:val="20"/>
        </w:rPr>
        <w:t>ucted by Fonta et al. (2008)</w:t>
      </w:r>
      <w:r w:rsidRPr="000820D4">
        <w:rPr>
          <w:rFonts w:ascii="Arial" w:hAnsi="Arial" w:cs="Arial"/>
          <w:sz w:val="20"/>
        </w:rPr>
        <w:t xml:space="preserve"> corroborates the findings of the present study by establishing a significant influence of the respondent's gender on ho</w:t>
      </w:r>
      <w:r w:rsidR="00E14248" w:rsidRPr="000820D4">
        <w:rPr>
          <w:rFonts w:ascii="Arial" w:hAnsi="Arial" w:cs="Arial"/>
          <w:sz w:val="20"/>
        </w:rPr>
        <w:t>usehold willingness to pay</w:t>
      </w:r>
      <w:r w:rsidR="00056112" w:rsidRPr="000820D4">
        <w:rPr>
          <w:rFonts w:ascii="Arial" w:hAnsi="Arial" w:cs="Arial"/>
          <w:sz w:val="20"/>
        </w:rPr>
        <w:t xml:space="preserve">. </w:t>
      </w:r>
    </w:p>
    <w:p w14:paraId="2F43E948" w14:textId="77777777" w:rsidR="001511B3" w:rsidRPr="000820D4" w:rsidRDefault="001511B3" w:rsidP="000820D4">
      <w:pPr>
        <w:jc w:val="both"/>
        <w:rPr>
          <w:rFonts w:ascii="Arial" w:hAnsi="Arial" w:cs="Arial"/>
          <w:sz w:val="20"/>
        </w:rPr>
      </w:pPr>
      <w:r w:rsidRPr="000820D4">
        <w:rPr>
          <w:rFonts w:ascii="Arial" w:hAnsi="Arial" w:cs="Arial"/>
          <w:sz w:val="20"/>
        </w:rPr>
        <w:t>The theoretical expectation regarding the positive influence of household edu</w:t>
      </w:r>
      <w:r w:rsidR="00E070FB" w:rsidRPr="000820D4">
        <w:rPr>
          <w:rFonts w:ascii="Arial" w:hAnsi="Arial" w:cs="Arial"/>
          <w:sz w:val="20"/>
        </w:rPr>
        <w:t>cation on</w:t>
      </w:r>
      <w:r w:rsidRPr="000820D4">
        <w:rPr>
          <w:rFonts w:ascii="Arial" w:hAnsi="Arial" w:cs="Arial"/>
          <w:sz w:val="20"/>
        </w:rPr>
        <w:t xml:space="preserve"> decision-making concerning environmental quality and its subsequent positive impact on willingness to pay was not supported by the empirical findings in this study. Contrary to this expectation, the level of education within households was found to be statistically insignificant in its effect on willingness to pay for envi</w:t>
      </w:r>
      <w:r w:rsidR="00E070FB" w:rsidRPr="000820D4">
        <w:rPr>
          <w:rFonts w:ascii="Arial" w:hAnsi="Arial" w:cs="Arial"/>
          <w:sz w:val="20"/>
        </w:rPr>
        <w:t>ronmental quality</w:t>
      </w:r>
      <w:r w:rsidRPr="000820D4">
        <w:rPr>
          <w:rFonts w:ascii="Arial" w:hAnsi="Arial" w:cs="Arial"/>
          <w:sz w:val="20"/>
        </w:rPr>
        <w:t>. This unexpected outcome contrasts with the research findings reported in prior studies conducted by Fonta et al. (2008), Hango et</w:t>
      </w:r>
      <w:r w:rsidR="00D01E50" w:rsidRPr="000820D4">
        <w:rPr>
          <w:rFonts w:ascii="Arial" w:hAnsi="Arial" w:cs="Arial"/>
          <w:sz w:val="20"/>
        </w:rPr>
        <w:t xml:space="preserve"> al. (2013</w:t>
      </w:r>
      <w:r w:rsidR="0029660F" w:rsidRPr="000820D4">
        <w:rPr>
          <w:rFonts w:ascii="Arial" w:hAnsi="Arial" w:cs="Arial"/>
          <w:sz w:val="20"/>
        </w:rPr>
        <w:t>), and Joel et al. (2012)</w:t>
      </w:r>
      <w:r w:rsidRPr="000820D4">
        <w:rPr>
          <w:rFonts w:ascii="Arial" w:hAnsi="Arial" w:cs="Arial"/>
          <w:sz w:val="20"/>
        </w:rPr>
        <w:t xml:space="preserve">. </w:t>
      </w:r>
      <w:r w:rsidR="00F96024" w:rsidRPr="000820D4">
        <w:rPr>
          <w:rFonts w:ascii="Arial" w:hAnsi="Arial" w:cs="Arial"/>
          <w:sz w:val="20"/>
        </w:rPr>
        <w:t>The inconsistency</w:t>
      </w:r>
      <w:r w:rsidRPr="000820D4">
        <w:rPr>
          <w:rFonts w:ascii="Arial" w:hAnsi="Arial" w:cs="Arial"/>
          <w:sz w:val="20"/>
        </w:rPr>
        <w:t xml:space="preserve"> between the current study's results and those of previous research raises questions and calls for further exploration into the specific factors or contextual variables that may be contributing to this deviation</w:t>
      </w:r>
      <w:r w:rsidR="00F96024" w:rsidRPr="000820D4">
        <w:rPr>
          <w:rFonts w:ascii="Arial" w:hAnsi="Arial" w:cs="Arial"/>
          <w:sz w:val="20"/>
        </w:rPr>
        <w:t xml:space="preserve">. </w:t>
      </w:r>
    </w:p>
    <w:p w14:paraId="5B594E77" w14:textId="77777777" w:rsidR="00C55089" w:rsidRDefault="009E6334" w:rsidP="00C55089">
      <w:pPr>
        <w:autoSpaceDE w:val="0"/>
        <w:autoSpaceDN w:val="0"/>
        <w:adjustRightInd w:val="0"/>
        <w:spacing w:after="0"/>
        <w:jc w:val="both"/>
        <w:rPr>
          <w:rFonts w:ascii="Arial" w:hAnsi="Arial" w:cs="Arial"/>
          <w:b/>
          <w:bCs/>
          <w:sz w:val="24"/>
          <w:szCs w:val="24"/>
        </w:rPr>
      </w:pPr>
      <w:r w:rsidRPr="002906AF">
        <w:rPr>
          <w:rFonts w:ascii="Arial" w:hAnsi="Arial" w:cs="Arial"/>
          <w:b/>
          <w:bCs/>
          <w:sz w:val="24"/>
          <w:szCs w:val="24"/>
        </w:rPr>
        <w:t>5. CONCLUSIONS AND POLICY IMPLICATIONS</w:t>
      </w:r>
    </w:p>
    <w:p w14:paraId="0C2406DF" w14:textId="77777777" w:rsidR="000820D4" w:rsidRPr="002906AF" w:rsidRDefault="000820D4" w:rsidP="00C55089">
      <w:pPr>
        <w:autoSpaceDE w:val="0"/>
        <w:autoSpaceDN w:val="0"/>
        <w:adjustRightInd w:val="0"/>
        <w:spacing w:after="0"/>
        <w:jc w:val="both"/>
        <w:rPr>
          <w:rFonts w:ascii="Arial" w:hAnsi="Arial" w:cs="Arial"/>
          <w:b/>
          <w:bCs/>
          <w:sz w:val="24"/>
          <w:szCs w:val="24"/>
        </w:rPr>
      </w:pPr>
    </w:p>
    <w:p w14:paraId="5D28521B" w14:textId="77777777" w:rsidR="00C76D17" w:rsidRPr="000820D4" w:rsidRDefault="00C55089" w:rsidP="0081439E">
      <w:pPr>
        <w:jc w:val="both"/>
        <w:rPr>
          <w:rFonts w:ascii="Arial" w:hAnsi="Arial" w:cs="Arial"/>
          <w:sz w:val="20"/>
        </w:rPr>
      </w:pPr>
      <w:r w:rsidRPr="000820D4">
        <w:rPr>
          <w:rFonts w:ascii="Arial" w:hAnsi="Arial" w:cs="Arial"/>
          <w:bCs/>
          <w:sz w:val="20"/>
        </w:rPr>
        <w:t>The current economic activities and development practices associated with solid waste pose a significant threat to environmental quality. Waste generation and management practices in urban households in Kerala require special attention, particular</w:t>
      </w:r>
      <w:r w:rsidR="009C30AE" w:rsidRPr="000820D4">
        <w:rPr>
          <w:rFonts w:ascii="Arial" w:hAnsi="Arial" w:cs="Arial"/>
          <w:bCs/>
          <w:sz w:val="20"/>
        </w:rPr>
        <w:t>ly regarding household involvement in enhancing garbage</w:t>
      </w:r>
      <w:r w:rsidRPr="000820D4">
        <w:rPr>
          <w:rFonts w:ascii="Arial" w:hAnsi="Arial" w:cs="Arial"/>
          <w:bCs/>
          <w:sz w:val="20"/>
        </w:rPr>
        <w:t xml:space="preserve"> management and environmental quality. The study finds that households' willingness to pay for improved waste management exceeds th</w:t>
      </w:r>
      <w:r w:rsidR="00034C3F" w:rsidRPr="000820D4">
        <w:rPr>
          <w:rFonts w:ascii="Arial" w:hAnsi="Arial" w:cs="Arial"/>
          <w:bCs/>
          <w:sz w:val="20"/>
        </w:rPr>
        <w:t>eir actual payments. Therefore, fixing</w:t>
      </w:r>
      <w:r w:rsidR="00034C3F" w:rsidRPr="000820D4">
        <w:rPr>
          <w:rFonts w:ascii="Arial" w:hAnsi="Arial" w:cs="Arial"/>
          <w:sz w:val="20"/>
        </w:rPr>
        <w:t xml:space="preserve"> a </w:t>
      </w:r>
      <w:r w:rsidR="00034C3F" w:rsidRPr="000820D4">
        <w:rPr>
          <w:rFonts w:ascii="Arial" w:hAnsi="Arial" w:cs="Arial"/>
          <w:sz w:val="20"/>
        </w:rPr>
        <w:lastRenderedPageBreak/>
        <w:t xml:space="preserve">cost that is socially acceptable and that most people are prepared to pay, </w:t>
      </w:r>
      <w:r w:rsidRPr="000820D4">
        <w:rPr>
          <w:rFonts w:ascii="Arial" w:hAnsi="Arial" w:cs="Arial"/>
          <w:bCs/>
          <w:sz w:val="20"/>
        </w:rPr>
        <w:t>is recommended</w:t>
      </w:r>
      <w:r w:rsidR="00A36970" w:rsidRPr="000820D4">
        <w:rPr>
          <w:rFonts w:ascii="Arial" w:hAnsi="Arial" w:cs="Arial"/>
          <w:bCs/>
          <w:sz w:val="20"/>
        </w:rPr>
        <w:t>.</w:t>
      </w:r>
      <w:r w:rsidRPr="000820D4">
        <w:rPr>
          <w:rFonts w:ascii="Arial" w:hAnsi="Arial" w:cs="Arial"/>
          <w:bCs/>
          <w:sz w:val="20"/>
        </w:rPr>
        <w:t xml:space="preserve"> Implementing a user charge as a general policy to cover waste management costs is suggested to ensure environmental quality. Moving away from a single-rate payment system to charging different rates based on the quantity of waste is recommended, as it appears affordable and can generate more revenue for authorities. Consequently, society's contribution to improved solid waste management can be viewed as a reflection of societal aspirations toward environmental quality and sustainable living</w:t>
      </w:r>
      <w:r w:rsidRPr="000820D4">
        <w:rPr>
          <w:rFonts w:ascii="Arial" w:hAnsi="Arial" w:cs="Arial"/>
          <w:b/>
          <w:bCs/>
          <w:sz w:val="20"/>
        </w:rPr>
        <w:t>.</w:t>
      </w:r>
      <w:r w:rsidR="00F91D0A" w:rsidRPr="000820D4">
        <w:rPr>
          <w:rFonts w:ascii="Arial" w:hAnsi="Arial" w:cs="Arial"/>
          <w:b/>
          <w:bCs/>
          <w:sz w:val="20"/>
        </w:rPr>
        <w:t xml:space="preserve"> </w:t>
      </w:r>
      <w:r w:rsidR="00F91D0A" w:rsidRPr="000820D4">
        <w:rPr>
          <w:rFonts w:ascii="Arial" w:hAnsi="Arial" w:cs="Arial"/>
          <w:bCs/>
          <w:sz w:val="20"/>
        </w:rPr>
        <w:t>Along with this,</w:t>
      </w:r>
      <w:r w:rsidR="00F91D0A" w:rsidRPr="000820D4">
        <w:rPr>
          <w:rFonts w:ascii="Arial" w:hAnsi="Arial" w:cs="Arial"/>
          <w:b/>
          <w:bCs/>
          <w:sz w:val="20"/>
        </w:rPr>
        <w:t xml:space="preserve"> </w:t>
      </w:r>
      <w:r w:rsidR="0099208C" w:rsidRPr="000820D4">
        <w:rPr>
          <w:rFonts w:ascii="Arial" w:hAnsi="Arial" w:cs="Arial"/>
          <w:bCs/>
          <w:sz w:val="20"/>
        </w:rPr>
        <w:t>t</w:t>
      </w:r>
      <w:r w:rsidR="00F91D0A" w:rsidRPr="000820D4">
        <w:rPr>
          <w:rFonts w:ascii="Arial" w:hAnsi="Arial" w:cs="Arial"/>
          <w:bCs/>
          <w:sz w:val="20"/>
        </w:rPr>
        <w:t xml:space="preserve">he </w:t>
      </w:r>
      <w:r w:rsidR="0099208C" w:rsidRPr="000820D4">
        <w:rPr>
          <w:rFonts w:ascii="Arial" w:hAnsi="Arial" w:cs="Arial"/>
          <w:bCs/>
          <w:sz w:val="20"/>
        </w:rPr>
        <w:t xml:space="preserve">newly instituted </w:t>
      </w:r>
      <w:r w:rsidR="00F91D0A" w:rsidRPr="000820D4">
        <w:rPr>
          <w:rFonts w:ascii="Arial" w:hAnsi="Arial" w:cs="Arial"/>
          <w:bCs/>
          <w:sz w:val="20"/>
        </w:rPr>
        <w:t xml:space="preserve">Haritha </w:t>
      </w:r>
      <w:proofErr w:type="spellStart"/>
      <w:r w:rsidR="00F91D0A" w:rsidRPr="000820D4">
        <w:rPr>
          <w:rFonts w:ascii="Arial" w:hAnsi="Arial" w:cs="Arial"/>
          <w:bCs/>
          <w:sz w:val="20"/>
        </w:rPr>
        <w:t>Karmasena</w:t>
      </w:r>
      <w:proofErr w:type="spellEnd"/>
      <w:r w:rsidR="00F91D0A" w:rsidRPr="000820D4">
        <w:rPr>
          <w:rFonts w:ascii="Arial" w:hAnsi="Arial" w:cs="Arial"/>
          <w:bCs/>
          <w:sz w:val="20"/>
        </w:rPr>
        <w:t xml:space="preserve"> Project</w:t>
      </w:r>
      <w:r w:rsidR="0099208C" w:rsidRPr="000820D4">
        <w:rPr>
          <w:rFonts w:ascii="Arial" w:hAnsi="Arial" w:cs="Arial"/>
          <w:bCs/>
          <w:sz w:val="20"/>
        </w:rPr>
        <w:t xml:space="preserve"> by Government of Kerala</w:t>
      </w:r>
      <w:r w:rsidR="00F91D0A" w:rsidRPr="000820D4">
        <w:rPr>
          <w:rFonts w:ascii="Arial" w:hAnsi="Arial" w:cs="Arial"/>
          <w:bCs/>
          <w:sz w:val="20"/>
        </w:rPr>
        <w:t xml:space="preserve"> instills hope for Kerala's waste management by offering a comprehensive strategy that encompasses solid waste management, water resource rejuvenation, and organic cultivation. </w:t>
      </w:r>
    </w:p>
    <w:p w14:paraId="6EE2BF61" w14:textId="77777777" w:rsidR="00C820C8" w:rsidRPr="000820D4" w:rsidRDefault="00C820C8" w:rsidP="000820D4">
      <w:pPr>
        <w:jc w:val="both"/>
        <w:rPr>
          <w:rFonts w:ascii="Arial" w:hAnsi="Arial" w:cs="Arial"/>
          <w:sz w:val="24"/>
          <w:szCs w:val="24"/>
        </w:rPr>
      </w:pPr>
      <w:r w:rsidRPr="000820D4">
        <w:rPr>
          <w:rFonts w:ascii="Arial" w:hAnsi="Arial" w:cs="Arial"/>
          <w:b/>
          <w:bCs/>
          <w:sz w:val="24"/>
          <w:szCs w:val="24"/>
        </w:rPr>
        <w:t>REFERENCE:</w:t>
      </w:r>
      <w:r w:rsidRPr="000820D4">
        <w:rPr>
          <w:rFonts w:ascii="Arial" w:hAnsi="Arial" w:cs="Arial"/>
          <w:sz w:val="24"/>
          <w:szCs w:val="24"/>
        </w:rPr>
        <w:t xml:space="preserve"> </w:t>
      </w:r>
    </w:p>
    <w:p w14:paraId="0BD4E9D2" w14:textId="77777777" w:rsidR="00C51CB1" w:rsidRPr="000820D4" w:rsidRDefault="00C51CB1" w:rsidP="00C51CB1">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Abubakar, I. R., </w:t>
      </w:r>
      <w:proofErr w:type="spellStart"/>
      <w:r w:rsidRPr="000820D4">
        <w:rPr>
          <w:rFonts w:ascii="Arial" w:hAnsi="Arial" w:cs="Arial"/>
          <w:color w:val="222222"/>
          <w:sz w:val="20"/>
          <w:shd w:val="clear" w:color="auto" w:fill="FFFFFF"/>
        </w:rPr>
        <w:t>Maniruzzaman</w:t>
      </w:r>
      <w:proofErr w:type="spellEnd"/>
      <w:r w:rsidRPr="000820D4">
        <w:rPr>
          <w:rFonts w:ascii="Arial" w:hAnsi="Arial" w:cs="Arial"/>
          <w:color w:val="222222"/>
          <w:sz w:val="20"/>
          <w:shd w:val="clear" w:color="auto" w:fill="FFFFFF"/>
        </w:rPr>
        <w:t xml:space="preserve">, K. M., Dano, U. L., </w:t>
      </w:r>
      <w:proofErr w:type="spellStart"/>
      <w:r w:rsidRPr="000820D4">
        <w:rPr>
          <w:rFonts w:ascii="Arial" w:hAnsi="Arial" w:cs="Arial"/>
          <w:color w:val="222222"/>
          <w:sz w:val="20"/>
          <w:shd w:val="clear" w:color="auto" w:fill="FFFFFF"/>
        </w:rPr>
        <w:t>AlShihri</w:t>
      </w:r>
      <w:proofErr w:type="spellEnd"/>
      <w:r w:rsidRPr="000820D4">
        <w:rPr>
          <w:rFonts w:ascii="Arial" w:hAnsi="Arial" w:cs="Arial"/>
          <w:color w:val="222222"/>
          <w:sz w:val="20"/>
          <w:shd w:val="clear" w:color="auto" w:fill="FFFFFF"/>
        </w:rPr>
        <w:t xml:space="preserve">, F. S., AlShammari, M. S., Ahmed, S. M. S., ... &amp; </w:t>
      </w:r>
      <w:proofErr w:type="spellStart"/>
      <w:r w:rsidRPr="000820D4">
        <w:rPr>
          <w:rFonts w:ascii="Arial" w:hAnsi="Arial" w:cs="Arial"/>
          <w:color w:val="222222"/>
          <w:sz w:val="20"/>
          <w:shd w:val="clear" w:color="auto" w:fill="FFFFFF"/>
        </w:rPr>
        <w:t>Alrawaf</w:t>
      </w:r>
      <w:proofErr w:type="spellEnd"/>
      <w:r w:rsidRPr="000820D4">
        <w:rPr>
          <w:rFonts w:ascii="Arial" w:hAnsi="Arial" w:cs="Arial"/>
          <w:color w:val="222222"/>
          <w:sz w:val="20"/>
          <w:shd w:val="clear" w:color="auto" w:fill="FFFFFF"/>
        </w:rPr>
        <w:t>, T. I. (2022). Environmental sustainability impacts of solid waste management practices in the global South. </w:t>
      </w:r>
      <w:r w:rsidRPr="000820D4">
        <w:rPr>
          <w:rFonts w:ascii="Arial" w:hAnsi="Arial" w:cs="Arial"/>
          <w:i/>
          <w:iCs/>
          <w:color w:val="222222"/>
          <w:sz w:val="20"/>
          <w:shd w:val="clear" w:color="auto" w:fill="FFFFFF"/>
        </w:rPr>
        <w:t>International journal of environmental research and public health</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19</w:t>
      </w:r>
      <w:r w:rsidRPr="000820D4">
        <w:rPr>
          <w:rFonts w:ascii="Arial" w:hAnsi="Arial" w:cs="Arial"/>
          <w:color w:val="222222"/>
          <w:sz w:val="20"/>
          <w:shd w:val="clear" w:color="auto" w:fill="FFFFFF"/>
        </w:rPr>
        <w:t xml:space="preserve">(19), 12717. </w:t>
      </w:r>
    </w:p>
    <w:p w14:paraId="021AE141" w14:textId="77777777" w:rsidR="00C51CB1" w:rsidRPr="000820D4" w:rsidRDefault="00C51CB1" w:rsidP="00C51CB1">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Adebo, G.M. and Ajewole, O.C., 2012. Gender and the urban environment: Analysis of willingness to pay for waste management disposal in Ekiti-State, Nigeria. </w:t>
      </w:r>
      <w:r w:rsidRPr="000820D4">
        <w:rPr>
          <w:rFonts w:ascii="Arial" w:hAnsi="Arial" w:cs="Arial"/>
          <w:i/>
          <w:iCs/>
          <w:color w:val="222222"/>
          <w:sz w:val="20"/>
          <w:shd w:val="clear" w:color="auto" w:fill="FFFFFF"/>
        </w:rPr>
        <w:t>American International Journal of Contemporary Research</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w:t>
      </w:r>
      <w:r w:rsidRPr="000820D4">
        <w:rPr>
          <w:rFonts w:ascii="Arial" w:hAnsi="Arial" w:cs="Arial"/>
          <w:color w:val="222222"/>
          <w:sz w:val="20"/>
          <w:shd w:val="clear" w:color="auto" w:fill="FFFFFF"/>
        </w:rPr>
        <w:t xml:space="preserve">(5), pp.228-236. </w:t>
      </w:r>
    </w:p>
    <w:p w14:paraId="5C40246C" w14:textId="77777777" w:rsidR="0038188E"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p>
    <w:p w14:paraId="23C22AB7" w14:textId="77777777" w:rsidR="0038188E"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Afroz, R., </w:t>
      </w:r>
      <w:proofErr w:type="spellStart"/>
      <w:r w:rsidRPr="000820D4">
        <w:rPr>
          <w:rFonts w:ascii="Arial" w:hAnsi="Arial" w:cs="Arial"/>
          <w:color w:val="222222"/>
          <w:sz w:val="20"/>
          <w:shd w:val="clear" w:color="auto" w:fill="FFFFFF"/>
        </w:rPr>
        <w:t>Hanaki</w:t>
      </w:r>
      <w:proofErr w:type="spellEnd"/>
      <w:r w:rsidRPr="000820D4">
        <w:rPr>
          <w:rFonts w:ascii="Arial" w:hAnsi="Arial" w:cs="Arial"/>
          <w:color w:val="222222"/>
          <w:sz w:val="20"/>
          <w:shd w:val="clear" w:color="auto" w:fill="FFFFFF"/>
        </w:rPr>
        <w:t>, K. and Hasegawa-Kurisu, K., 2009. Willingness to pay for waste management improvement in Dhaka city, Bangladesh. </w:t>
      </w:r>
      <w:r w:rsidRPr="000820D4">
        <w:rPr>
          <w:rFonts w:ascii="Arial" w:hAnsi="Arial" w:cs="Arial"/>
          <w:i/>
          <w:iCs/>
          <w:color w:val="222222"/>
          <w:sz w:val="20"/>
          <w:shd w:val="clear" w:color="auto" w:fill="FFFFFF"/>
        </w:rPr>
        <w:t>Journal of environmental management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90</w:t>
      </w:r>
      <w:r w:rsidRPr="000820D4">
        <w:rPr>
          <w:rFonts w:ascii="Arial" w:hAnsi="Arial" w:cs="Arial"/>
          <w:color w:val="222222"/>
          <w:sz w:val="20"/>
          <w:shd w:val="clear" w:color="auto" w:fill="FFFFFF"/>
        </w:rPr>
        <w:t>(1), pp.492-503.</w:t>
      </w:r>
    </w:p>
    <w:p w14:paraId="6AED730A" w14:textId="77777777" w:rsidR="0038188E"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Altaf, M.A. and Deshazo, J.R., 1996. Household demand for improved solid waste management: A case study of Gujranwala, Pakistan. </w:t>
      </w:r>
      <w:r w:rsidRPr="000820D4">
        <w:rPr>
          <w:rFonts w:ascii="Arial" w:hAnsi="Arial" w:cs="Arial"/>
          <w:i/>
          <w:iCs/>
          <w:color w:val="222222"/>
          <w:sz w:val="20"/>
          <w:shd w:val="clear" w:color="auto" w:fill="FFFFFF"/>
        </w:rPr>
        <w:t>World Development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24</w:t>
      </w:r>
      <w:r w:rsidRPr="000820D4">
        <w:rPr>
          <w:rFonts w:ascii="Arial" w:hAnsi="Arial" w:cs="Arial"/>
          <w:color w:val="222222"/>
          <w:sz w:val="20"/>
          <w:shd w:val="clear" w:color="auto" w:fill="FFFFFF"/>
        </w:rPr>
        <w:t>(5), pp.857-868.</w:t>
      </w:r>
    </w:p>
    <w:p w14:paraId="32632831" w14:textId="77777777" w:rsidR="006F32A5" w:rsidRPr="000820D4" w:rsidRDefault="0038188E"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Banga, M., </w:t>
      </w:r>
      <w:proofErr w:type="spellStart"/>
      <w:r w:rsidRPr="000820D4">
        <w:rPr>
          <w:rFonts w:ascii="Arial" w:hAnsi="Arial" w:cs="Arial"/>
          <w:color w:val="222222"/>
          <w:sz w:val="20"/>
          <w:shd w:val="clear" w:color="auto" w:fill="FFFFFF"/>
        </w:rPr>
        <w:t>Lokina</w:t>
      </w:r>
      <w:proofErr w:type="spellEnd"/>
      <w:r w:rsidRPr="000820D4">
        <w:rPr>
          <w:rFonts w:ascii="Arial" w:hAnsi="Arial" w:cs="Arial"/>
          <w:color w:val="222222"/>
          <w:sz w:val="20"/>
          <w:shd w:val="clear" w:color="auto" w:fill="FFFFFF"/>
        </w:rPr>
        <w:t xml:space="preserve">, R.B. and </w:t>
      </w:r>
      <w:proofErr w:type="spellStart"/>
      <w:r w:rsidRPr="000820D4">
        <w:rPr>
          <w:rFonts w:ascii="Arial" w:hAnsi="Arial" w:cs="Arial"/>
          <w:color w:val="222222"/>
          <w:sz w:val="20"/>
          <w:shd w:val="clear" w:color="auto" w:fill="FFFFFF"/>
        </w:rPr>
        <w:t>Mkenda</w:t>
      </w:r>
      <w:proofErr w:type="spellEnd"/>
      <w:r w:rsidRPr="000820D4">
        <w:rPr>
          <w:rFonts w:ascii="Arial" w:hAnsi="Arial" w:cs="Arial"/>
          <w:color w:val="222222"/>
          <w:sz w:val="20"/>
          <w:shd w:val="clear" w:color="auto" w:fill="FFFFFF"/>
        </w:rPr>
        <w:t>, A.F., 2011. Households’ willingness to pay for improved solid waste collection services in Kampala city, Uganda. </w:t>
      </w:r>
      <w:r w:rsidRPr="000820D4">
        <w:rPr>
          <w:rFonts w:ascii="Arial" w:hAnsi="Arial" w:cs="Arial"/>
          <w:i/>
          <w:iCs/>
          <w:color w:val="222222"/>
          <w:sz w:val="20"/>
          <w:shd w:val="clear" w:color="auto" w:fill="FFFFFF"/>
        </w:rPr>
        <w:t>The Journal of Environment &amp; Development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20</w:t>
      </w:r>
      <w:r w:rsidRPr="000820D4">
        <w:rPr>
          <w:rFonts w:ascii="Arial" w:hAnsi="Arial" w:cs="Arial"/>
          <w:color w:val="222222"/>
          <w:sz w:val="20"/>
          <w:shd w:val="clear" w:color="auto" w:fill="FFFFFF"/>
        </w:rPr>
        <w:t>(4), pp.428-448.</w:t>
      </w:r>
    </w:p>
    <w:p w14:paraId="2109A676" w14:textId="77777777" w:rsidR="0032555B" w:rsidRPr="000820D4" w:rsidRDefault="0032555B"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Basili, M., Di Matteo, M. and Ferrini, S., 2006. </w:t>
      </w:r>
      <w:proofErr w:type="spellStart"/>
      <w:r w:rsidRPr="000820D4">
        <w:rPr>
          <w:rFonts w:ascii="Arial" w:hAnsi="Arial" w:cs="Arial"/>
          <w:color w:val="222222"/>
          <w:sz w:val="20"/>
          <w:shd w:val="clear" w:color="auto" w:fill="FFFFFF"/>
        </w:rPr>
        <w:t>Analysing</w:t>
      </w:r>
      <w:proofErr w:type="spellEnd"/>
      <w:r w:rsidRPr="000820D4">
        <w:rPr>
          <w:rFonts w:ascii="Arial" w:hAnsi="Arial" w:cs="Arial"/>
          <w:color w:val="222222"/>
          <w:sz w:val="20"/>
          <w:shd w:val="clear" w:color="auto" w:fill="FFFFFF"/>
        </w:rPr>
        <w:t xml:space="preserve"> demand for environmental quality: A willingness to pay/accept study in the province of Siena (Italy). </w:t>
      </w:r>
      <w:r w:rsidRPr="000820D4">
        <w:rPr>
          <w:rFonts w:ascii="Arial" w:hAnsi="Arial" w:cs="Arial"/>
          <w:i/>
          <w:iCs/>
          <w:color w:val="222222"/>
          <w:sz w:val="20"/>
          <w:shd w:val="clear" w:color="auto" w:fill="FFFFFF"/>
        </w:rPr>
        <w:t>Waste Management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26</w:t>
      </w:r>
      <w:r w:rsidRPr="000820D4">
        <w:rPr>
          <w:rFonts w:ascii="Arial" w:hAnsi="Arial" w:cs="Arial"/>
          <w:color w:val="222222"/>
          <w:sz w:val="20"/>
          <w:shd w:val="clear" w:color="auto" w:fill="FFFFFF"/>
        </w:rPr>
        <w:t>(3), pp.209-219.</w:t>
      </w:r>
    </w:p>
    <w:p w14:paraId="0A43BB5C" w14:textId="77777777" w:rsidR="008228A6" w:rsidRPr="000820D4" w:rsidRDefault="006F32A5"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Cal</w:t>
      </w:r>
      <w:r w:rsidR="000164F4" w:rsidRPr="000820D4">
        <w:rPr>
          <w:rFonts w:ascii="Arial" w:hAnsi="Arial" w:cs="Arial"/>
          <w:color w:val="222222"/>
          <w:sz w:val="20"/>
          <w:shd w:val="clear" w:color="auto" w:fill="FFFFFF"/>
        </w:rPr>
        <w:t>lan, S.J. and Thomas, J.M., 2013</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Environmental economics and management: Theory, policy, and applications</w:t>
      </w:r>
      <w:r w:rsidRPr="000820D4">
        <w:rPr>
          <w:rFonts w:ascii="Arial" w:hAnsi="Arial" w:cs="Arial"/>
          <w:color w:val="222222"/>
          <w:sz w:val="20"/>
          <w:shd w:val="clear" w:color="auto" w:fill="FFFFFF"/>
        </w:rPr>
        <w:t>. Cengage Learning.</w:t>
      </w:r>
    </w:p>
    <w:p w14:paraId="63777EA1" w14:textId="77777777" w:rsidR="000835FD" w:rsidRPr="000820D4" w:rsidRDefault="007A7061" w:rsidP="00DE11F7">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Endalew</w:t>
      </w:r>
      <w:proofErr w:type="spellEnd"/>
      <w:r w:rsidRPr="000820D4">
        <w:rPr>
          <w:rFonts w:ascii="Arial" w:hAnsi="Arial" w:cs="Arial"/>
          <w:color w:val="222222"/>
          <w:sz w:val="20"/>
          <w:shd w:val="clear" w:color="auto" w:fill="FFFFFF"/>
        </w:rPr>
        <w:t xml:space="preserve">, B., &amp; </w:t>
      </w:r>
      <w:proofErr w:type="spellStart"/>
      <w:r w:rsidRPr="000820D4">
        <w:rPr>
          <w:rFonts w:ascii="Arial" w:hAnsi="Arial" w:cs="Arial"/>
          <w:color w:val="222222"/>
          <w:sz w:val="20"/>
          <w:shd w:val="clear" w:color="auto" w:fill="FFFFFF"/>
        </w:rPr>
        <w:t>Tassie</w:t>
      </w:r>
      <w:proofErr w:type="spellEnd"/>
      <w:r w:rsidRPr="000820D4">
        <w:rPr>
          <w:rFonts w:ascii="Arial" w:hAnsi="Arial" w:cs="Arial"/>
          <w:color w:val="222222"/>
          <w:sz w:val="20"/>
          <w:shd w:val="clear" w:color="auto" w:fill="FFFFFF"/>
        </w:rPr>
        <w:t>, K. (2018). Urban households’ demand for improved solid waste management service in Bahir Dar city: A contingent valuation study. </w:t>
      </w:r>
      <w:r w:rsidRPr="000820D4">
        <w:rPr>
          <w:rFonts w:ascii="Arial" w:hAnsi="Arial" w:cs="Arial"/>
          <w:i/>
          <w:iCs/>
          <w:color w:val="222222"/>
          <w:sz w:val="20"/>
          <w:shd w:val="clear" w:color="auto" w:fill="FFFFFF"/>
        </w:rPr>
        <w:t>Cogent Environmental Science</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4</w:t>
      </w:r>
      <w:r w:rsidRPr="000820D4">
        <w:rPr>
          <w:rFonts w:ascii="Arial" w:hAnsi="Arial" w:cs="Arial"/>
          <w:color w:val="222222"/>
          <w:sz w:val="20"/>
          <w:shd w:val="clear" w:color="auto" w:fill="FFFFFF"/>
        </w:rPr>
        <w:t>(1), 1426160.</w:t>
      </w:r>
    </w:p>
    <w:p w14:paraId="7A41C7E4" w14:textId="77777777" w:rsidR="007A7061" w:rsidRPr="000820D4" w:rsidRDefault="000835FD"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 </w:t>
      </w:r>
      <w:proofErr w:type="spellStart"/>
      <w:r w:rsidRPr="000820D4">
        <w:rPr>
          <w:rFonts w:ascii="Arial" w:hAnsi="Arial" w:cs="Arial"/>
          <w:color w:val="222222"/>
          <w:sz w:val="20"/>
          <w:shd w:val="clear" w:color="auto" w:fill="FFFFFF"/>
        </w:rPr>
        <w:t>Fadhullah</w:t>
      </w:r>
      <w:proofErr w:type="spellEnd"/>
      <w:r w:rsidRPr="000820D4">
        <w:rPr>
          <w:rFonts w:ascii="Arial" w:hAnsi="Arial" w:cs="Arial"/>
          <w:color w:val="222222"/>
          <w:sz w:val="20"/>
          <w:shd w:val="clear" w:color="auto" w:fill="FFFFFF"/>
        </w:rPr>
        <w:t>, W., Imran, N. I. N., Ismail, S. N. S., Jaafar, M. H., &amp; Abdullah, H. (2022). Household solid waste management practices and perceptions among residents in the East Coast of Malaysia. </w:t>
      </w:r>
      <w:r w:rsidRPr="000820D4">
        <w:rPr>
          <w:rFonts w:ascii="Arial" w:hAnsi="Arial" w:cs="Arial"/>
          <w:i/>
          <w:iCs/>
          <w:color w:val="222222"/>
          <w:sz w:val="20"/>
          <w:shd w:val="clear" w:color="auto" w:fill="FFFFFF"/>
        </w:rPr>
        <w:t>BMC public health</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22</w:t>
      </w:r>
      <w:r w:rsidRPr="000820D4">
        <w:rPr>
          <w:rFonts w:ascii="Arial" w:hAnsi="Arial" w:cs="Arial"/>
          <w:color w:val="222222"/>
          <w:sz w:val="20"/>
          <w:shd w:val="clear" w:color="auto" w:fill="FFFFFF"/>
        </w:rPr>
        <w:t>, 1-20.</w:t>
      </w:r>
    </w:p>
    <w:p w14:paraId="489E7B20" w14:textId="77777777" w:rsidR="009C5ACE" w:rsidRPr="000820D4" w:rsidRDefault="009C5ACE" w:rsidP="00DE11F7">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Fonta</w:t>
      </w:r>
      <w:proofErr w:type="spellEnd"/>
      <w:r w:rsidRPr="000820D4">
        <w:rPr>
          <w:rFonts w:ascii="Arial" w:hAnsi="Arial" w:cs="Arial"/>
          <w:color w:val="222222"/>
          <w:sz w:val="20"/>
          <w:shd w:val="clear" w:color="auto" w:fill="FFFFFF"/>
        </w:rPr>
        <w:t xml:space="preserve">, W.M., </w:t>
      </w:r>
      <w:proofErr w:type="spellStart"/>
      <w:r w:rsidRPr="000820D4">
        <w:rPr>
          <w:rFonts w:ascii="Arial" w:hAnsi="Arial" w:cs="Arial"/>
          <w:color w:val="222222"/>
          <w:sz w:val="20"/>
          <w:shd w:val="clear" w:color="auto" w:fill="FFFFFF"/>
        </w:rPr>
        <w:t>Ichoku</w:t>
      </w:r>
      <w:proofErr w:type="spellEnd"/>
      <w:r w:rsidRPr="000820D4">
        <w:rPr>
          <w:rFonts w:ascii="Arial" w:hAnsi="Arial" w:cs="Arial"/>
          <w:color w:val="222222"/>
          <w:sz w:val="20"/>
          <w:shd w:val="clear" w:color="auto" w:fill="FFFFFF"/>
        </w:rPr>
        <w:t xml:space="preserve">, H.E., </w:t>
      </w:r>
      <w:proofErr w:type="spellStart"/>
      <w:r w:rsidRPr="000820D4">
        <w:rPr>
          <w:rFonts w:ascii="Arial" w:hAnsi="Arial" w:cs="Arial"/>
          <w:color w:val="222222"/>
          <w:sz w:val="20"/>
          <w:shd w:val="clear" w:color="auto" w:fill="FFFFFF"/>
        </w:rPr>
        <w:t>Ogujiuba</w:t>
      </w:r>
      <w:proofErr w:type="spellEnd"/>
      <w:r w:rsidRPr="000820D4">
        <w:rPr>
          <w:rFonts w:ascii="Arial" w:hAnsi="Arial" w:cs="Arial"/>
          <w:color w:val="222222"/>
          <w:sz w:val="20"/>
          <w:shd w:val="clear" w:color="auto" w:fill="FFFFFF"/>
        </w:rPr>
        <w:t>, K.K. and Chukwu, J.O., 2008. Using a contingent valuation approach for improved solid waste management facility: Evidence from Enugu State, Nigeria. </w:t>
      </w:r>
      <w:r w:rsidRPr="000820D4">
        <w:rPr>
          <w:rFonts w:ascii="Arial" w:hAnsi="Arial" w:cs="Arial"/>
          <w:i/>
          <w:iCs/>
          <w:color w:val="222222"/>
          <w:sz w:val="20"/>
          <w:shd w:val="clear" w:color="auto" w:fill="FFFFFF"/>
        </w:rPr>
        <w:t>Journal of African economies</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17</w:t>
      </w:r>
      <w:r w:rsidRPr="000820D4">
        <w:rPr>
          <w:rFonts w:ascii="Arial" w:hAnsi="Arial" w:cs="Arial"/>
          <w:color w:val="222222"/>
          <w:sz w:val="20"/>
          <w:shd w:val="clear" w:color="auto" w:fill="FFFFFF"/>
        </w:rPr>
        <w:t>(2), pp.277-304.</w:t>
      </w:r>
    </w:p>
    <w:p w14:paraId="02E659DD" w14:textId="77777777" w:rsidR="000835FD" w:rsidRPr="000820D4" w:rsidRDefault="009C5ACE"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Hagos, D., Mekonnen, A. and </w:t>
      </w:r>
      <w:proofErr w:type="spellStart"/>
      <w:r w:rsidRPr="000820D4">
        <w:rPr>
          <w:rFonts w:ascii="Arial" w:hAnsi="Arial" w:cs="Arial"/>
          <w:color w:val="222222"/>
          <w:sz w:val="20"/>
          <w:shd w:val="clear" w:color="auto" w:fill="FFFFFF"/>
        </w:rPr>
        <w:t>Gebreegziabher</w:t>
      </w:r>
      <w:proofErr w:type="spellEnd"/>
      <w:r w:rsidRPr="000820D4">
        <w:rPr>
          <w:rFonts w:ascii="Arial" w:hAnsi="Arial" w:cs="Arial"/>
          <w:color w:val="222222"/>
          <w:sz w:val="20"/>
          <w:shd w:val="clear" w:color="auto" w:fill="FFFFFF"/>
        </w:rPr>
        <w:t xml:space="preserve">, Z., 2013. </w:t>
      </w:r>
      <w:r w:rsidR="00000C1B" w:rsidRPr="000820D4">
        <w:rPr>
          <w:rFonts w:ascii="Arial" w:hAnsi="Arial" w:cs="Arial"/>
          <w:color w:val="222222"/>
          <w:sz w:val="20"/>
          <w:shd w:val="clear" w:color="auto" w:fill="FFFFFF"/>
        </w:rPr>
        <w:t>Households’</w:t>
      </w:r>
      <w:r w:rsidRPr="000820D4">
        <w:rPr>
          <w:rFonts w:ascii="Arial" w:hAnsi="Arial" w:cs="Arial"/>
          <w:color w:val="222222"/>
          <w:sz w:val="20"/>
          <w:shd w:val="clear" w:color="auto" w:fill="FFFFFF"/>
        </w:rPr>
        <w:t xml:space="preserve"> willingness to pay for improved urban solid waste management: The case of Mekelle city, Ethiopia. </w:t>
      </w:r>
      <w:r w:rsidRPr="000820D4">
        <w:rPr>
          <w:rFonts w:ascii="Arial" w:hAnsi="Arial" w:cs="Arial"/>
          <w:i/>
          <w:iCs/>
          <w:color w:val="222222"/>
          <w:sz w:val="20"/>
          <w:shd w:val="clear" w:color="auto" w:fill="FFFFFF"/>
        </w:rPr>
        <w:t>Ethiopian Journal of Economics</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22</w:t>
      </w:r>
      <w:r w:rsidRPr="000820D4">
        <w:rPr>
          <w:rFonts w:ascii="Arial" w:hAnsi="Arial" w:cs="Arial"/>
          <w:color w:val="222222"/>
          <w:sz w:val="20"/>
          <w:shd w:val="clear" w:color="auto" w:fill="FFFFFF"/>
        </w:rPr>
        <w:t>(1), pp.107-138.</w:t>
      </w:r>
    </w:p>
    <w:p w14:paraId="5A122197" w14:textId="77777777" w:rsidR="009C5ACE" w:rsidRPr="000820D4" w:rsidRDefault="000835FD"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 Iyamu, H. O., Anda, M., &amp; Ho, G. (2020). A review of municipal solid waste management in the BRIC and high-income countries: A thematic framework for low-income countries. </w:t>
      </w:r>
      <w:r w:rsidRPr="000820D4">
        <w:rPr>
          <w:rFonts w:ascii="Arial" w:hAnsi="Arial" w:cs="Arial"/>
          <w:i/>
          <w:iCs/>
          <w:color w:val="222222"/>
          <w:sz w:val="20"/>
          <w:shd w:val="clear" w:color="auto" w:fill="FFFFFF"/>
        </w:rPr>
        <w:t>Habitat International</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95</w:t>
      </w:r>
      <w:r w:rsidRPr="000820D4">
        <w:rPr>
          <w:rFonts w:ascii="Arial" w:hAnsi="Arial" w:cs="Arial"/>
          <w:color w:val="222222"/>
          <w:sz w:val="20"/>
          <w:shd w:val="clear" w:color="auto" w:fill="FFFFFF"/>
        </w:rPr>
        <w:t>, 102097.</w:t>
      </w:r>
    </w:p>
    <w:p w14:paraId="049F8171" w14:textId="77777777" w:rsidR="009C5ACE" w:rsidRPr="000820D4" w:rsidRDefault="002D0792"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Jin, J., Wang, </w:t>
      </w:r>
      <w:proofErr w:type="spellStart"/>
      <w:r w:rsidRPr="000820D4">
        <w:rPr>
          <w:rFonts w:ascii="Arial" w:hAnsi="Arial" w:cs="Arial"/>
          <w:color w:val="222222"/>
          <w:sz w:val="20"/>
          <w:shd w:val="clear" w:color="auto" w:fill="FFFFFF"/>
        </w:rPr>
        <w:t>Z.</w:t>
      </w:r>
      <w:r w:rsidR="009C5ACE" w:rsidRPr="000820D4">
        <w:rPr>
          <w:rFonts w:ascii="Arial" w:hAnsi="Arial" w:cs="Arial"/>
          <w:color w:val="222222"/>
          <w:sz w:val="20"/>
          <w:shd w:val="clear" w:color="auto" w:fill="FFFFFF"/>
        </w:rPr>
        <w:t>and</w:t>
      </w:r>
      <w:proofErr w:type="spellEnd"/>
      <w:r w:rsidR="009C5ACE" w:rsidRPr="000820D4">
        <w:rPr>
          <w:rFonts w:ascii="Arial" w:hAnsi="Arial" w:cs="Arial"/>
          <w:color w:val="222222"/>
          <w:sz w:val="20"/>
          <w:shd w:val="clear" w:color="auto" w:fill="FFFFFF"/>
        </w:rPr>
        <w:t xml:space="preserve"> Ran, S., 2006. Comparison of contingent valuation and choice experiment in solid waste management programs in Macao. </w:t>
      </w:r>
      <w:r w:rsidR="009C5ACE" w:rsidRPr="000820D4">
        <w:rPr>
          <w:rFonts w:ascii="Arial" w:hAnsi="Arial" w:cs="Arial"/>
          <w:i/>
          <w:iCs/>
          <w:color w:val="222222"/>
          <w:sz w:val="20"/>
          <w:shd w:val="clear" w:color="auto" w:fill="FFFFFF"/>
        </w:rPr>
        <w:t>Ecological Economics</w:t>
      </w:r>
      <w:r w:rsidR="009C5ACE" w:rsidRPr="000820D4">
        <w:rPr>
          <w:rFonts w:ascii="Arial" w:hAnsi="Arial" w:cs="Arial"/>
          <w:color w:val="222222"/>
          <w:sz w:val="20"/>
          <w:shd w:val="clear" w:color="auto" w:fill="FFFFFF"/>
        </w:rPr>
        <w:t>, </w:t>
      </w:r>
      <w:r w:rsidR="009C5ACE" w:rsidRPr="000820D4">
        <w:rPr>
          <w:rFonts w:ascii="Arial" w:hAnsi="Arial" w:cs="Arial"/>
          <w:i/>
          <w:iCs/>
          <w:color w:val="222222"/>
          <w:sz w:val="20"/>
          <w:shd w:val="clear" w:color="auto" w:fill="FFFFFF"/>
        </w:rPr>
        <w:t>57</w:t>
      </w:r>
      <w:r w:rsidR="009C5ACE" w:rsidRPr="000820D4">
        <w:rPr>
          <w:rFonts w:ascii="Arial" w:hAnsi="Arial" w:cs="Arial"/>
          <w:color w:val="222222"/>
          <w:sz w:val="20"/>
          <w:shd w:val="clear" w:color="auto" w:fill="FFFFFF"/>
        </w:rPr>
        <w:t>(3), pp.430-441.</w:t>
      </w:r>
    </w:p>
    <w:p w14:paraId="76357F86" w14:textId="77777777" w:rsidR="00F563F9" w:rsidRPr="000820D4" w:rsidRDefault="002D0792"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 xml:space="preserve">Joel, S, Mark, K., &amp; Grace, </w:t>
      </w:r>
      <w:r w:rsidR="008228A6" w:rsidRPr="000820D4">
        <w:rPr>
          <w:rFonts w:ascii="Arial" w:hAnsi="Arial" w:cs="Arial"/>
          <w:color w:val="222222"/>
          <w:sz w:val="20"/>
          <w:shd w:val="clear" w:color="auto" w:fill="FFFFFF"/>
        </w:rPr>
        <w:t>C. J. (2012).</w:t>
      </w:r>
      <w:r w:rsidR="00C76D17" w:rsidRPr="000820D4">
        <w:rPr>
          <w:rFonts w:ascii="Arial" w:hAnsi="Arial" w:cs="Arial"/>
          <w:color w:val="222222"/>
          <w:sz w:val="20"/>
          <w:shd w:val="clear" w:color="auto" w:fill="FFFFFF"/>
        </w:rPr>
        <w:t xml:space="preserve"> </w:t>
      </w:r>
      <w:r w:rsidR="008228A6" w:rsidRPr="000820D4">
        <w:rPr>
          <w:rFonts w:ascii="Arial" w:hAnsi="Arial" w:cs="Arial"/>
          <w:color w:val="222222"/>
          <w:sz w:val="20"/>
          <w:shd w:val="clear" w:color="auto" w:fill="FFFFFF"/>
        </w:rPr>
        <w:t xml:space="preserve"> Economic valuation of improved solid waste management in Eldoret Municipality. </w:t>
      </w:r>
      <w:r w:rsidR="008228A6" w:rsidRPr="000820D4">
        <w:rPr>
          <w:rFonts w:ascii="Arial" w:hAnsi="Arial" w:cs="Arial"/>
          <w:i/>
          <w:iCs/>
          <w:color w:val="222222"/>
          <w:sz w:val="20"/>
          <w:shd w:val="clear" w:color="auto" w:fill="FFFFFF"/>
        </w:rPr>
        <w:t>Journal of Emerging Trends in Economics and Management Sciences</w:t>
      </w:r>
      <w:r w:rsidR="008228A6" w:rsidRPr="000820D4">
        <w:rPr>
          <w:rFonts w:ascii="Arial" w:hAnsi="Arial" w:cs="Arial"/>
          <w:color w:val="222222"/>
          <w:sz w:val="20"/>
          <w:shd w:val="clear" w:color="auto" w:fill="FFFFFF"/>
        </w:rPr>
        <w:t>, </w:t>
      </w:r>
      <w:r w:rsidR="008228A6" w:rsidRPr="000820D4">
        <w:rPr>
          <w:rFonts w:ascii="Arial" w:hAnsi="Arial" w:cs="Arial"/>
          <w:i/>
          <w:iCs/>
          <w:color w:val="222222"/>
          <w:sz w:val="20"/>
          <w:shd w:val="clear" w:color="auto" w:fill="FFFFFF"/>
        </w:rPr>
        <w:t>3</w:t>
      </w:r>
      <w:r w:rsidR="008228A6" w:rsidRPr="000820D4">
        <w:rPr>
          <w:rFonts w:ascii="Arial" w:hAnsi="Arial" w:cs="Arial"/>
          <w:color w:val="222222"/>
          <w:sz w:val="20"/>
          <w:shd w:val="clear" w:color="auto" w:fill="FFFFFF"/>
        </w:rPr>
        <w:t>(6), 962</w:t>
      </w:r>
      <w:r w:rsidR="00F563F9" w:rsidRPr="000820D4">
        <w:rPr>
          <w:rFonts w:ascii="Arial" w:hAnsi="Arial" w:cs="Arial"/>
          <w:color w:val="222222"/>
          <w:sz w:val="20"/>
          <w:shd w:val="clear" w:color="auto" w:fill="FFFFFF"/>
        </w:rPr>
        <w:t xml:space="preserve"> </w:t>
      </w:r>
    </w:p>
    <w:p w14:paraId="7D6A2FB6" w14:textId="77777777" w:rsidR="008228A6" w:rsidRPr="000820D4" w:rsidRDefault="00F563F9" w:rsidP="00DE11F7">
      <w:pPr>
        <w:autoSpaceDE w:val="0"/>
        <w:autoSpaceDN w:val="0"/>
        <w:adjustRightInd w:val="0"/>
        <w:spacing w:after="0"/>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lastRenderedPageBreak/>
        <w:t xml:space="preserve">Khan, S., Anjum, R., Raza, S. T., </w:t>
      </w:r>
      <w:proofErr w:type="spellStart"/>
      <w:r w:rsidRPr="000820D4">
        <w:rPr>
          <w:rFonts w:ascii="Arial" w:hAnsi="Arial" w:cs="Arial"/>
          <w:color w:val="222222"/>
          <w:sz w:val="20"/>
          <w:shd w:val="clear" w:color="auto" w:fill="FFFFFF"/>
        </w:rPr>
        <w:t>Bazai</w:t>
      </w:r>
      <w:proofErr w:type="spellEnd"/>
      <w:r w:rsidRPr="000820D4">
        <w:rPr>
          <w:rFonts w:ascii="Arial" w:hAnsi="Arial" w:cs="Arial"/>
          <w:color w:val="222222"/>
          <w:sz w:val="20"/>
          <w:shd w:val="clear" w:color="auto" w:fill="FFFFFF"/>
        </w:rPr>
        <w:t>, N. A., &amp; Ihtisham, M. (2022). Technologies for municipal solid waste management: Current status, challenges, and future perspectives. </w:t>
      </w:r>
      <w:r w:rsidRPr="000820D4">
        <w:rPr>
          <w:rFonts w:ascii="Arial" w:hAnsi="Arial" w:cs="Arial"/>
          <w:i/>
          <w:iCs/>
          <w:color w:val="222222"/>
          <w:sz w:val="20"/>
          <w:shd w:val="clear" w:color="auto" w:fill="FFFFFF"/>
        </w:rPr>
        <w:t>Chemosphere</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288</w:t>
      </w:r>
      <w:r w:rsidRPr="000820D4">
        <w:rPr>
          <w:rFonts w:ascii="Arial" w:hAnsi="Arial" w:cs="Arial"/>
          <w:color w:val="222222"/>
          <w:sz w:val="20"/>
          <w:shd w:val="clear" w:color="auto" w:fill="FFFFFF"/>
        </w:rPr>
        <w:t>, 132403.</w:t>
      </w:r>
    </w:p>
    <w:p w14:paraId="6DB55904" w14:textId="77777777" w:rsidR="009F57B6" w:rsidRPr="000820D4" w:rsidRDefault="002D0792" w:rsidP="00DE11F7">
      <w:pPr>
        <w:autoSpaceDE w:val="0"/>
        <w:autoSpaceDN w:val="0"/>
        <w:adjustRightInd w:val="0"/>
        <w:spacing w:after="0"/>
        <w:ind w:left="720" w:hanging="720"/>
        <w:jc w:val="both"/>
        <w:rPr>
          <w:rFonts w:ascii="Arial" w:hAnsi="Arial" w:cs="Arial"/>
          <w:sz w:val="20"/>
        </w:rPr>
      </w:pPr>
      <w:r w:rsidRPr="000820D4">
        <w:rPr>
          <w:rFonts w:ascii="Arial" w:hAnsi="Arial" w:cs="Arial"/>
          <w:color w:val="222222"/>
          <w:sz w:val="20"/>
          <w:shd w:val="clear" w:color="auto" w:fill="FFFFFF"/>
        </w:rPr>
        <w:t xml:space="preserve">Mitchel, R. </w:t>
      </w:r>
      <w:proofErr w:type="gramStart"/>
      <w:r w:rsidRPr="000820D4">
        <w:rPr>
          <w:rFonts w:ascii="Arial" w:hAnsi="Arial" w:cs="Arial"/>
          <w:color w:val="222222"/>
          <w:sz w:val="20"/>
          <w:shd w:val="clear" w:color="auto" w:fill="FFFFFF"/>
        </w:rPr>
        <w:t>C.,</w:t>
      </w:r>
      <w:r w:rsidR="00307C10" w:rsidRPr="000820D4">
        <w:rPr>
          <w:rFonts w:ascii="Arial" w:hAnsi="Arial" w:cs="Arial"/>
          <w:color w:val="222222"/>
          <w:sz w:val="20"/>
          <w:shd w:val="clear" w:color="auto" w:fill="FFFFFF"/>
        </w:rPr>
        <w:t>&amp;</w:t>
      </w:r>
      <w:proofErr w:type="gramEnd"/>
      <w:r w:rsidR="00307C10" w:rsidRPr="000820D4">
        <w:rPr>
          <w:rFonts w:ascii="Arial" w:hAnsi="Arial" w:cs="Arial"/>
          <w:color w:val="222222"/>
          <w:sz w:val="20"/>
          <w:shd w:val="clear" w:color="auto" w:fill="FFFFFF"/>
        </w:rPr>
        <w:t xml:space="preserve"> Carson, R. T. (1989). Using Surveys to value Public Goods: The contingent valuation method. Washington. </w:t>
      </w:r>
      <w:r w:rsidR="00307C10" w:rsidRPr="000820D4">
        <w:rPr>
          <w:rFonts w:ascii="Arial" w:hAnsi="Arial" w:cs="Arial"/>
          <w:i/>
          <w:iCs/>
          <w:color w:val="222222"/>
          <w:sz w:val="20"/>
          <w:shd w:val="clear" w:color="auto" w:fill="FFFFFF"/>
        </w:rPr>
        <w:t>DC, Resources for the Future</w:t>
      </w:r>
      <w:r w:rsidR="00307C10" w:rsidRPr="000820D4">
        <w:rPr>
          <w:rFonts w:ascii="Arial" w:hAnsi="Arial" w:cs="Arial"/>
          <w:color w:val="222222"/>
          <w:sz w:val="20"/>
          <w:shd w:val="clear" w:color="auto" w:fill="FFFFFF"/>
        </w:rPr>
        <w:t>.</w:t>
      </w:r>
      <w:r w:rsidR="00000C1B" w:rsidRPr="000820D4">
        <w:rPr>
          <w:rFonts w:ascii="Arial" w:hAnsi="Arial" w:cs="Arial"/>
          <w:sz w:val="20"/>
        </w:rPr>
        <w:t xml:space="preserve"> </w:t>
      </w:r>
    </w:p>
    <w:p w14:paraId="6124F10D" w14:textId="77777777" w:rsidR="006F32A5" w:rsidRPr="000820D4" w:rsidRDefault="006F32A5" w:rsidP="00DE11F7">
      <w:pPr>
        <w:autoSpaceDE w:val="0"/>
        <w:autoSpaceDN w:val="0"/>
        <w:adjustRightInd w:val="0"/>
        <w:spacing w:after="0"/>
        <w:ind w:left="720" w:hanging="720"/>
        <w:jc w:val="both"/>
        <w:rPr>
          <w:rFonts w:ascii="Arial" w:hAnsi="Arial" w:cs="Arial"/>
          <w:color w:val="FF0000"/>
          <w:sz w:val="20"/>
          <w:shd w:val="clear" w:color="auto" w:fill="FFFFFF"/>
        </w:rPr>
      </w:pPr>
      <w:r w:rsidRPr="000820D4">
        <w:rPr>
          <w:rFonts w:ascii="Arial" w:hAnsi="Arial" w:cs="Arial"/>
          <w:sz w:val="20"/>
          <w:shd w:val="clear" w:color="auto" w:fill="FFFFFF"/>
        </w:rPr>
        <w:t>Mitchell, R.C. and Carson, R.T., 2013. </w:t>
      </w:r>
      <w:r w:rsidRPr="000820D4">
        <w:rPr>
          <w:rFonts w:ascii="Arial" w:hAnsi="Arial" w:cs="Arial"/>
          <w:i/>
          <w:iCs/>
          <w:sz w:val="20"/>
          <w:shd w:val="clear" w:color="auto" w:fill="FFFFFF"/>
        </w:rPr>
        <w:t>Using surveys to value public goods: the contingent valuation method</w:t>
      </w:r>
      <w:r w:rsidRPr="000820D4">
        <w:rPr>
          <w:rFonts w:ascii="Arial" w:hAnsi="Arial" w:cs="Arial"/>
          <w:sz w:val="20"/>
          <w:shd w:val="clear" w:color="auto" w:fill="FFFFFF"/>
        </w:rPr>
        <w:t xml:space="preserve">. </w:t>
      </w:r>
      <w:proofErr w:type="spellStart"/>
      <w:r w:rsidRPr="000820D4">
        <w:rPr>
          <w:rFonts w:ascii="Arial" w:hAnsi="Arial" w:cs="Arial"/>
          <w:sz w:val="20"/>
          <w:shd w:val="clear" w:color="auto" w:fill="FFFFFF"/>
        </w:rPr>
        <w:t>Rff</w:t>
      </w:r>
      <w:proofErr w:type="spellEnd"/>
      <w:r w:rsidRPr="000820D4">
        <w:rPr>
          <w:rFonts w:ascii="Arial" w:hAnsi="Arial" w:cs="Arial"/>
          <w:sz w:val="20"/>
          <w:shd w:val="clear" w:color="auto" w:fill="FFFFFF"/>
        </w:rPr>
        <w:t xml:space="preserve"> </w:t>
      </w:r>
      <w:proofErr w:type="gramStart"/>
      <w:r w:rsidRPr="000820D4">
        <w:rPr>
          <w:rFonts w:ascii="Arial" w:hAnsi="Arial" w:cs="Arial"/>
          <w:sz w:val="20"/>
          <w:shd w:val="clear" w:color="auto" w:fill="FFFFFF"/>
        </w:rPr>
        <w:t>press</w:t>
      </w:r>
      <w:r w:rsidRPr="000820D4">
        <w:rPr>
          <w:rFonts w:ascii="Arial" w:hAnsi="Arial" w:cs="Arial"/>
          <w:color w:val="FF0000"/>
          <w:sz w:val="20"/>
          <w:shd w:val="clear" w:color="auto" w:fill="FFFFFF"/>
        </w:rPr>
        <w:t>..</w:t>
      </w:r>
      <w:proofErr w:type="gramEnd"/>
    </w:p>
    <w:p w14:paraId="614070A3" w14:textId="77777777" w:rsidR="00C55089" w:rsidRPr="000820D4" w:rsidRDefault="006F32A5" w:rsidP="00C55089">
      <w:pPr>
        <w:autoSpaceDE w:val="0"/>
        <w:autoSpaceDN w:val="0"/>
        <w:adjustRightInd w:val="0"/>
        <w:spacing w:after="0"/>
        <w:ind w:left="720" w:hanging="720"/>
        <w:jc w:val="both"/>
        <w:rPr>
          <w:rFonts w:ascii="Arial" w:hAnsi="Arial" w:cs="Arial"/>
          <w:color w:val="222222"/>
          <w:sz w:val="20"/>
          <w:shd w:val="clear" w:color="auto" w:fill="FFFFFF"/>
        </w:rPr>
      </w:pPr>
      <w:proofErr w:type="spellStart"/>
      <w:r w:rsidRPr="000820D4">
        <w:rPr>
          <w:rFonts w:ascii="Arial" w:hAnsi="Arial" w:cs="Arial"/>
          <w:color w:val="222222"/>
          <w:sz w:val="20"/>
          <w:shd w:val="clear" w:color="auto" w:fill="FFFFFF"/>
        </w:rPr>
        <w:t>Ojo</w:t>
      </w:r>
      <w:proofErr w:type="spellEnd"/>
      <w:r w:rsidRPr="000820D4">
        <w:rPr>
          <w:rFonts w:ascii="Arial" w:hAnsi="Arial" w:cs="Arial"/>
          <w:color w:val="222222"/>
          <w:sz w:val="20"/>
          <w:shd w:val="clear" w:color="auto" w:fill="FFFFFF"/>
        </w:rPr>
        <w:t>, A.</w:t>
      </w:r>
      <w:r w:rsidR="00C76D17" w:rsidRPr="000820D4">
        <w:rPr>
          <w:rFonts w:ascii="Arial" w:hAnsi="Arial" w:cs="Arial"/>
          <w:color w:val="222222"/>
          <w:sz w:val="20"/>
          <w:shd w:val="clear" w:color="auto" w:fill="FFFFFF"/>
        </w:rPr>
        <w:t xml:space="preserve">M., </w:t>
      </w:r>
      <w:proofErr w:type="spellStart"/>
      <w:r w:rsidR="00C76D17" w:rsidRPr="000820D4">
        <w:rPr>
          <w:rFonts w:ascii="Arial" w:hAnsi="Arial" w:cs="Arial"/>
          <w:color w:val="222222"/>
          <w:sz w:val="20"/>
          <w:shd w:val="clear" w:color="auto" w:fill="FFFFFF"/>
        </w:rPr>
        <w:t>Ogbole</w:t>
      </w:r>
      <w:proofErr w:type="spellEnd"/>
      <w:r w:rsidR="00C76D17" w:rsidRPr="000820D4">
        <w:rPr>
          <w:rFonts w:ascii="Arial" w:hAnsi="Arial" w:cs="Arial"/>
          <w:color w:val="222222"/>
          <w:sz w:val="20"/>
          <w:shd w:val="clear" w:color="auto" w:fill="FFFFFF"/>
        </w:rPr>
        <w:t xml:space="preserve">, E.O. and </w:t>
      </w:r>
      <w:proofErr w:type="spellStart"/>
      <w:r w:rsidR="00C76D17" w:rsidRPr="000820D4">
        <w:rPr>
          <w:rFonts w:ascii="Arial" w:hAnsi="Arial" w:cs="Arial"/>
          <w:color w:val="222222"/>
          <w:sz w:val="20"/>
          <w:shd w:val="clear" w:color="auto" w:fill="FFFFFF"/>
        </w:rPr>
        <w:t>Ojo</w:t>
      </w:r>
      <w:proofErr w:type="spellEnd"/>
      <w:r w:rsidR="00C76D17" w:rsidRPr="000820D4">
        <w:rPr>
          <w:rFonts w:ascii="Arial" w:hAnsi="Arial" w:cs="Arial"/>
          <w:color w:val="222222"/>
          <w:sz w:val="20"/>
          <w:shd w:val="clear" w:color="auto" w:fill="FFFFFF"/>
        </w:rPr>
        <w:t>, O.A.,</w:t>
      </w:r>
      <w:r w:rsidRPr="000820D4">
        <w:rPr>
          <w:rFonts w:ascii="Arial" w:hAnsi="Arial" w:cs="Arial"/>
          <w:color w:val="222222"/>
          <w:sz w:val="20"/>
          <w:shd w:val="clear" w:color="auto" w:fill="FFFFFF"/>
        </w:rPr>
        <w:t>2015. Analysis of improved household solid waste management system in Minna metropolis, Niger state, Nigeria. </w:t>
      </w:r>
      <w:r w:rsidRPr="000820D4">
        <w:rPr>
          <w:rFonts w:ascii="Arial" w:hAnsi="Arial" w:cs="Arial"/>
          <w:i/>
          <w:iCs/>
          <w:color w:val="222222"/>
          <w:sz w:val="20"/>
          <w:shd w:val="clear" w:color="auto" w:fill="FFFFFF"/>
        </w:rPr>
        <w:t>Scien</w:t>
      </w:r>
      <w:r w:rsidR="002D0792" w:rsidRPr="000820D4">
        <w:rPr>
          <w:rFonts w:ascii="Arial" w:hAnsi="Arial" w:cs="Arial"/>
          <w:i/>
          <w:iCs/>
          <w:color w:val="222222"/>
          <w:sz w:val="20"/>
          <w:shd w:val="clear" w:color="auto" w:fill="FFFFFF"/>
        </w:rPr>
        <w:t xml:space="preserve">tific Papers Series-Management, Economic </w:t>
      </w:r>
      <w:r w:rsidR="00DE11F7" w:rsidRPr="000820D4">
        <w:rPr>
          <w:rFonts w:ascii="Arial" w:hAnsi="Arial" w:cs="Arial"/>
          <w:i/>
          <w:iCs/>
          <w:color w:val="222222"/>
          <w:sz w:val="20"/>
          <w:shd w:val="clear" w:color="auto" w:fill="FFFFFF"/>
        </w:rPr>
        <w:t xml:space="preserve">Engineering </w:t>
      </w:r>
      <w:proofErr w:type="spellStart"/>
      <w:r w:rsidR="00DE11F7" w:rsidRPr="000820D4">
        <w:rPr>
          <w:rFonts w:ascii="Arial" w:hAnsi="Arial" w:cs="Arial"/>
          <w:i/>
          <w:iCs/>
          <w:color w:val="222222"/>
          <w:sz w:val="20"/>
          <w:shd w:val="clear" w:color="auto" w:fill="FFFFFF"/>
        </w:rPr>
        <w:t>in</w:t>
      </w:r>
      <w:r w:rsidRPr="000820D4">
        <w:rPr>
          <w:rFonts w:ascii="Arial" w:hAnsi="Arial" w:cs="Arial"/>
          <w:i/>
          <w:iCs/>
          <w:color w:val="222222"/>
          <w:sz w:val="20"/>
          <w:shd w:val="clear" w:color="auto" w:fill="FFFFFF"/>
        </w:rPr>
        <w:t>Agriculture</w:t>
      </w:r>
      <w:proofErr w:type="spellEnd"/>
      <w:r w:rsidRPr="000820D4">
        <w:rPr>
          <w:rFonts w:ascii="Arial" w:hAnsi="Arial" w:cs="Arial"/>
          <w:i/>
          <w:iCs/>
          <w:color w:val="222222"/>
          <w:sz w:val="20"/>
          <w:shd w:val="clear" w:color="auto" w:fill="FFFFFF"/>
        </w:rPr>
        <w:t xml:space="preserve"> and Rural Development</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15</w:t>
      </w:r>
      <w:r w:rsidRPr="000820D4">
        <w:rPr>
          <w:rFonts w:ascii="Arial" w:hAnsi="Arial" w:cs="Arial"/>
          <w:color w:val="222222"/>
          <w:sz w:val="20"/>
          <w:shd w:val="clear" w:color="auto" w:fill="FFFFFF"/>
        </w:rPr>
        <w:t>(2), pp.237-242.</w:t>
      </w:r>
    </w:p>
    <w:p w14:paraId="002E1328" w14:textId="77777777" w:rsidR="00C55089" w:rsidRPr="00823009" w:rsidRDefault="00663ED6" w:rsidP="00823009">
      <w:pPr>
        <w:ind w:left="720" w:hanging="720"/>
        <w:jc w:val="both"/>
        <w:rPr>
          <w:rFonts w:ascii="Arial" w:hAnsi="Arial" w:cs="Arial"/>
          <w:color w:val="222222"/>
          <w:sz w:val="20"/>
          <w:shd w:val="clear" w:color="auto" w:fill="FFFFFF"/>
        </w:rPr>
      </w:pPr>
      <w:r w:rsidRPr="000820D4">
        <w:rPr>
          <w:rFonts w:ascii="Arial" w:hAnsi="Arial" w:cs="Arial"/>
          <w:color w:val="222222"/>
          <w:sz w:val="20"/>
          <w:shd w:val="clear" w:color="auto" w:fill="FFFFFF"/>
        </w:rPr>
        <w:t>Walsh, R.G., Loomis, J.B. and Gillman, R.A., 1984. Valuing option, existence, and bequest demands for wilderness. </w:t>
      </w:r>
      <w:r w:rsidRPr="000820D4">
        <w:rPr>
          <w:rFonts w:ascii="Arial" w:hAnsi="Arial" w:cs="Arial"/>
          <w:i/>
          <w:iCs/>
          <w:color w:val="222222"/>
          <w:sz w:val="20"/>
          <w:shd w:val="clear" w:color="auto" w:fill="FFFFFF"/>
        </w:rPr>
        <w:t>Land Economics</w:t>
      </w:r>
      <w:r w:rsidRPr="000820D4">
        <w:rPr>
          <w:rFonts w:ascii="Arial" w:hAnsi="Arial" w:cs="Arial"/>
          <w:color w:val="222222"/>
          <w:sz w:val="20"/>
          <w:shd w:val="clear" w:color="auto" w:fill="FFFFFF"/>
        </w:rPr>
        <w:t>, </w:t>
      </w:r>
      <w:r w:rsidRPr="000820D4">
        <w:rPr>
          <w:rFonts w:ascii="Arial" w:hAnsi="Arial" w:cs="Arial"/>
          <w:i/>
          <w:iCs/>
          <w:color w:val="222222"/>
          <w:sz w:val="20"/>
          <w:shd w:val="clear" w:color="auto" w:fill="FFFFFF"/>
        </w:rPr>
        <w:t>60</w:t>
      </w:r>
      <w:r w:rsidRPr="000820D4">
        <w:rPr>
          <w:rFonts w:ascii="Arial" w:hAnsi="Arial" w:cs="Arial"/>
          <w:color w:val="222222"/>
          <w:sz w:val="20"/>
          <w:shd w:val="clear" w:color="auto" w:fill="FFFFFF"/>
        </w:rPr>
        <w:t>(1), pp.14-29.</w:t>
      </w:r>
    </w:p>
    <w:sectPr w:rsidR="00C55089" w:rsidRPr="00823009" w:rsidSect="00E25FB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1771A" w14:textId="77777777" w:rsidR="004E06AA" w:rsidRDefault="004E06AA" w:rsidP="00025438">
      <w:pPr>
        <w:spacing w:after="0" w:line="240" w:lineRule="auto"/>
      </w:pPr>
      <w:r>
        <w:separator/>
      </w:r>
    </w:p>
  </w:endnote>
  <w:endnote w:type="continuationSeparator" w:id="0">
    <w:p w14:paraId="4CDFD379" w14:textId="77777777" w:rsidR="004E06AA" w:rsidRDefault="004E06AA" w:rsidP="00025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Kartika">
    <w:charset w:val="00"/>
    <w:family w:val="roman"/>
    <w:pitch w:val="variable"/>
    <w:sig w:usb0="008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EE67C" w14:textId="77777777" w:rsidR="00E25FBC" w:rsidRDefault="00E25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E095" w14:textId="77777777" w:rsidR="00E25FBC" w:rsidRDefault="00E25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EA0A" w14:textId="77777777" w:rsidR="00E25FBC" w:rsidRDefault="00E25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0292B" w14:textId="77777777" w:rsidR="004E06AA" w:rsidRDefault="004E06AA" w:rsidP="00025438">
      <w:pPr>
        <w:spacing w:after="0" w:line="240" w:lineRule="auto"/>
      </w:pPr>
      <w:r>
        <w:separator/>
      </w:r>
    </w:p>
  </w:footnote>
  <w:footnote w:type="continuationSeparator" w:id="0">
    <w:p w14:paraId="4C35A1DA" w14:textId="77777777" w:rsidR="004E06AA" w:rsidRDefault="004E06AA" w:rsidP="00025438">
      <w:pPr>
        <w:spacing w:after="0" w:line="240" w:lineRule="auto"/>
      </w:pPr>
      <w:r>
        <w:continuationSeparator/>
      </w:r>
    </w:p>
  </w:footnote>
  <w:footnote w:id="1">
    <w:p w14:paraId="7F72D7D6" w14:textId="77777777" w:rsidR="001E4B11" w:rsidRPr="000820D4" w:rsidRDefault="001E4B11">
      <w:pPr>
        <w:pStyle w:val="FootnoteText"/>
        <w:rPr>
          <w:rFonts w:ascii="Arial" w:hAnsi="Arial" w:cs="Arial"/>
          <w:szCs w:val="20"/>
          <w:lang w:val="en-IN"/>
        </w:rPr>
      </w:pPr>
      <w:r w:rsidRPr="000820D4">
        <w:rPr>
          <w:rStyle w:val="FootnoteReference"/>
          <w:rFonts w:ascii="Arial" w:hAnsi="Arial" w:cs="Arial"/>
          <w:szCs w:val="20"/>
        </w:rPr>
        <w:footnoteRef/>
      </w:r>
      <w:r w:rsidRPr="000820D4">
        <w:rPr>
          <w:rFonts w:ascii="Arial" w:hAnsi="Arial" w:cs="Arial"/>
          <w:szCs w:val="20"/>
        </w:rPr>
        <w:t xml:space="preserve"> Kudumbasree is the poverty eradication and women empowerment   programme implemented by the Kerala State Poverty Eradication Mission of the Government of Kerala, launched on 1998. In Kozhikode Corporation, Kudumbasree actively involved in the household waste management as </w:t>
      </w:r>
      <w:proofErr w:type="gramStart"/>
      <w:r w:rsidRPr="000820D4">
        <w:rPr>
          <w:rFonts w:ascii="Arial" w:hAnsi="Arial" w:cs="Arial"/>
          <w:szCs w:val="20"/>
        </w:rPr>
        <w:t>a  self</w:t>
      </w:r>
      <w:proofErr w:type="gramEnd"/>
      <w:r w:rsidRPr="000820D4">
        <w:rPr>
          <w:rFonts w:ascii="Arial" w:hAnsi="Arial" w:cs="Arial"/>
          <w:szCs w:val="20"/>
        </w:rPr>
        <w:t>-employment programme with the support of government.</w:t>
      </w:r>
    </w:p>
  </w:footnote>
  <w:footnote w:id="2">
    <w:p w14:paraId="73CF1B69" w14:textId="77777777" w:rsidR="00376AB3" w:rsidRPr="000820D4" w:rsidRDefault="00376AB3" w:rsidP="00376AB3">
      <w:pPr>
        <w:pStyle w:val="NormalWeb"/>
        <w:shd w:val="clear" w:color="auto" w:fill="FFFFFF"/>
        <w:spacing w:before="0" w:beforeAutospacing="0" w:after="150" w:afterAutospacing="0"/>
        <w:jc w:val="both"/>
        <w:rPr>
          <w:rFonts w:ascii="Arial" w:hAnsi="Arial" w:cs="Arial"/>
          <w:b/>
          <w:color w:val="333333"/>
          <w:sz w:val="20"/>
          <w:szCs w:val="20"/>
        </w:rPr>
      </w:pPr>
      <w:r w:rsidRPr="000820D4">
        <w:rPr>
          <w:rStyle w:val="FootnoteReference"/>
          <w:rFonts w:ascii="Arial" w:hAnsi="Arial" w:cs="Arial"/>
          <w:sz w:val="20"/>
          <w:szCs w:val="20"/>
        </w:rPr>
        <w:footnoteRef/>
      </w:r>
      <w:r w:rsidRPr="000820D4">
        <w:rPr>
          <w:rFonts w:ascii="Arial" w:hAnsi="Arial" w:cs="Arial"/>
          <w:sz w:val="20"/>
          <w:szCs w:val="20"/>
        </w:rPr>
        <w:t xml:space="preserve"> Niravu started as a </w:t>
      </w:r>
      <w:proofErr w:type="gramStart"/>
      <w:r w:rsidRPr="000820D4">
        <w:rPr>
          <w:rFonts w:ascii="Arial" w:hAnsi="Arial" w:cs="Arial"/>
          <w:sz w:val="20"/>
          <w:szCs w:val="20"/>
        </w:rPr>
        <w:t>community based</w:t>
      </w:r>
      <w:proofErr w:type="gramEnd"/>
      <w:r w:rsidRPr="000820D4">
        <w:rPr>
          <w:rFonts w:ascii="Arial" w:hAnsi="Arial" w:cs="Arial"/>
          <w:sz w:val="20"/>
          <w:szCs w:val="20"/>
        </w:rPr>
        <w:t xml:space="preserve"> organization collectively engaged in promoting organic farming and zero waste management in Vengeri, Kozhikode in 2006. Now, </w:t>
      </w:r>
      <w:proofErr w:type="gramStart"/>
      <w:r w:rsidRPr="000820D4">
        <w:rPr>
          <w:rFonts w:ascii="Arial" w:hAnsi="Arial" w:cs="Arial"/>
          <w:sz w:val="20"/>
          <w:szCs w:val="20"/>
        </w:rPr>
        <w:t>it</w:t>
      </w:r>
      <w:proofErr w:type="gramEnd"/>
      <w:r w:rsidRPr="000820D4">
        <w:rPr>
          <w:rFonts w:ascii="Arial" w:hAnsi="Arial" w:cs="Arial"/>
          <w:sz w:val="20"/>
          <w:szCs w:val="20"/>
        </w:rPr>
        <w:t xml:space="preserve"> extent its service as a private service provider in the collection of inorganic waste from different parts of the Corporation.</w:t>
      </w:r>
    </w:p>
    <w:p w14:paraId="6B5B6FEC" w14:textId="77777777" w:rsidR="00376AB3" w:rsidRPr="00376AB3" w:rsidRDefault="00376AB3">
      <w:pPr>
        <w:pStyle w:val="FootnoteText"/>
        <w:rPr>
          <w:lang w:val="en-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468D" w14:textId="0EC10809" w:rsidR="00E25FBC" w:rsidRDefault="00E25FBC">
    <w:pPr>
      <w:pStyle w:val="Header"/>
    </w:pPr>
    <w:r>
      <w:rPr>
        <w:noProof/>
      </w:rPr>
      <w:pict w14:anchorId="7430C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67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E567" w14:textId="47C6F215" w:rsidR="00E25FBC" w:rsidRDefault="00E25FBC">
    <w:pPr>
      <w:pStyle w:val="Header"/>
    </w:pPr>
    <w:r>
      <w:rPr>
        <w:noProof/>
      </w:rPr>
      <w:pict w14:anchorId="56604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67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C4679" w14:textId="31598605" w:rsidR="00E25FBC" w:rsidRDefault="00E25FBC">
    <w:pPr>
      <w:pStyle w:val="Header"/>
    </w:pPr>
    <w:r>
      <w:rPr>
        <w:noProof/>
      </w:rPr>
      <w:pict w14:anchorId="4EC33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767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C13"/>
    <w:multiLevelType w:val="multilevel"/>
    <w:tmpl w:val="2C0E907E"/>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9E5097"/>
    <w:multiLevelType w:val="multilevel"/>
    <w:tmpl w:val="0BE82CF4"/>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FD0615F"/>
    <w:multiLevelType w:val="hybridMultilevel"/>
    <w:tmpl w:val="6620432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3775"/>
    <w:multiLevelType w:val="hybridMultilevel"/>
    <w:tmpl w:val="1D1031A0"/>
    <w:lvl w:ilvl="0" w:tplc="40090009">
      <w:start w:val="1"/>
      <w:numFmt w:val="bullet"/>
      <w:lvlText w:val=""/>
      <w:lvlJc w:val="left"/>
      <w:pPr>
        <w:ind w:left="3905"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2DD4DD8"/>
    <w:multiLevelType w:val="multilevel"/>
    <w:tmpl w:val="9C9480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D36A7C"/>
    <w:multiLevelType w:val="hybridMultilevel"/>
    <w:tmpl w:val="A518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72CFF"/>
    <w:multiLevelType w:val="multilevel"/>
    <w:tmpl w:val="8B3CEC8A"/>
    <w:lvl w:ilvl="0">
      <w:start w:val="1"/>
      <w:numFmt w:val="decimal"/>
      <w:lvlText w:val="%1."/>
      <w:lvlJc w:val="left"/>
      <w:pPr>
        <w:ind w:left="720" w:hanging="480"/>
      </w:pPr>
      <w:rPr>
        <w:rFonts w:hint="default"/>
      </w:rPr>
    </w:lvl>
    <w:lvl w:ilvl="1">
      <w:start w:val="5"/>
      <w:numFmt w:val="decimal"/>
      <w:isLgl/>
      <w:lvlText w:val="%1.%2"/>
      <w:lvlJc w:val="left"/>
      <w:pPr>
        <w:ind w:left="840" w:hanging="600"/>
      </w:pPr>
      <w:rPr>
        <w:rFonts w:hint="default"/>
      </w:rPr>
    </w:lvl>
    <w:lvl w:ilvl="2">
      <w:start w:val="10"/>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7" w15:restartNumberingAfterBreak="0">
    <w:nsid w:val="25015521"/>
    <w:multiLevelType w:val="multilevel"/>
    <w:tmpl w:val="A044F3F6"/>
    <w:lvl w:ilvl="0">
      <w:start w:val="2"/>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278F469A"/>
    <w:multiLevelType w:val="hybridMultilevel"/>
    <w:tmpl w:val="C5EA17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0F3ABC"/>
    <w:multiLevelType w:val="hybridMultilevel"/>
    <w:tmpl w:val="A4700252"/>
    <w:lvl w:ilvl="0" w:tplc="6AE8E21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86026B"/>
    <w:multiLevelType w:val="hybridMultilevel"/>
    <w:tmpl w:val="4AAAB41E"/>
    <w:lvl w:ilvl="0" w:tplc="98A6BC9A">
      <w:start w:val="1"/>
      <w:numFmt w:val="bullet"/>
      <w:lvlText w:val=""/>
      <w:lvlJc w:val="left"/>
      <w:pPr>
        <w:tabs>
          <w:tab w:val="num" w:pos="720"/>
        </w:tabs>
        <w:ind w:left="720" w:hanging="360"/>
      </w:pPr>
      <w:rPr>
        <w:rFonts w:ascii="Wingdings 3" w:hAnsi="Wingdings 3" w:hint="default"/>
      </w:rPr>
    </w:lvl>
    <w:lvl w:ilvl="1" w:tplc="D9341DF6">
      <w:start w:val="1"/>
      <w:numFmt w:val="bullet"/>
      <w:lvlText w:val=""/>
      <w:lvlJc w:val="left"/>
      <w:pPr>
        <w:tabs>
          <w:tab w:val="num" w:pos="1440"/>
        </w:tabs>
        <w:ind w:left="1440" w:hanging="360"/>
      </w:pPr>
      <w:rPr>
        <w:rFonts w:ascii="Wingdings 3" w:hAnsi="Wingdings 3" w:hint="default"/>
      </w:rPr>
    </w:lvl>
    <w:lvl w:ilvl="2" w:tplc="E65880A4" w:tentative="1">
      <w:start w:val="1"/>
      <w:numFmt w:val="bullet"/>
      <w:lvlText w:val=""/>
      <w:lvlJc w:val="left"/>
      <w:pPr>
        <w:tabs>
          <w:tab w:val="num" w:pos="2160"/>
        </w:tabs>
        <w:ind w:left="2160" w:hanging="360"/>
      </w:pPr>
      <w:rPr>
        <w:rFonts w:ascii="Wingdings 3" w:hAnsi="Wingdings 3" w:hint="default"/>
      </w:rPr>
    </w:lvl>
    <w:lvl w:ilvl="3" w:tplc="7E868130" w:tentative="1">
      <w:start w:val="1"/>
      <w:numFmt w:val="bullet"/>
      <w:lvlText w:val=""/>
      <w:lvlJc w:val="left"/>
      <w:pPr>
        <w:tabs>
          <w:tab w:val="num" w:pos="2880"/>
        </w:tabs>
        <w:ind w:left="2880" w:hanging="360"/>
      </w:pPr>
      <w:rPr>
        <w:rFonts w:ascii="Wingdings 3" w:hAnsi="Wingdings 3" w:hint="default"/>
      </w:rPr>
    </w:lvl>
    <w:lvl w:ilvl="4" w:tplc="B3EAA366" w:tentative="1">
      <w:start w:val="1"/>
      <w:numFmt w:val="bullet"/>
      <w:lvlText w:val=""/>
      <w:lvlJc w:val="left"/>
      <w:pPr>
        <w:tabs>
          <w:tab w:val="num" w:pos="3600"/>
        </w:tabs>
        <w:ind w:left="3600" w:hanging="360"/>
      </w:pPr>
      <w:rPr>
        <w:rFonts w:ascii="Wingdings 3" w:hAnsi="Wingdings 3" w:hint="default"/>
      </w:rPr>
    </w:lvl>
    <w:lvl w:ilvl="5" w:tplc="E86620AA" w:tentative="1">
      <w:start w:val="1"/>
      <w:numFmt w:val="bullet"/>
      <w:lvlText w:val=""/>
      <w:lvlJc w:val="left"/>
      <w:pPr>
        <w:tabs>
          <w:tab w:val="num" w:pos="4320"/>
        </w:tabs>
        <w:ind w:left="4320" w:hanging="360"/>
      </w:pPr>
      <w:rPr>
        <w:rFonts w:ascii="Wingdings 3" w:hAnsi="Wingdings 3" w:hint="default"/>
      </w:rPr>
    </w:lvl>
    <w:lvl w:ilvl="6" w:tplc="6100A302" w:tentative="1">
      <w:start w:val="1"/>
      <w:numFmt w:val="bullet"/>
      <w:lvlText w:val=""/>
      <w:lvlJc w:val="left"/>
      <w:pPr>
        <w:tabs>
          <w:tab w:val="num" w:pos="5040"/>
        </w:tabs>
        <w:ind w:left="5040" w:hanging="360"/>
      </w:pPr>
      <w:rPr>
        <w:rFonts w:ascii="Wingdings 3" w:hAnsi="Wingdings 3" w:hint="default"/>
      </w:rPr>
    </w:lvl>
    <w:lvl w:ilvl="7" w:tplc="EFA2ADDC" w:tentative="1">
      <w:start w:val="1"/>
      <w:numFmt w:val="bullet"/>
      <w:lvlText w:val=""/>
      <w:lvlJc w:val="left"/>
      <w:pPr>
        <w:tabs>
          <w:tab w:val="num" w:pos="5760"/>
        </w:tabs>
        <w:ind w:left="5760" w:hanging="360"/>
      </w:pPr>
      <w:rPr>
        <w:rFonts w:ascii="Wingdings 3" w:hAnsi="Wingdings 3" w:hint="default"/>
      </w:rPr>
    </w:lvl>
    <w:lvl w:ilvl="8" w:tplc="6C54682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3A86C25"/>
    <w:multiLevelType w:val="hybridMultilevel"/>
    <w:tmpl w:val="21D8A444"/>
    <w:lvl w:ilvl="0" w:tplc="CF6CF5EE">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2" w15:restartNumberingAfterBreak="0">
    <w:nsid w:val="33F75562"/>
    <w:multiLevelType w:val="hybridMultilevel"/>
    <w:tmpl w:val="40B02E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E9490B"/>
    <w:multiLevelType w:val="hybridMultilevel"/>
    <w:tmpl w:val="CC4C2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E1546"/>
    <w:multiLevelType w:val="hybridMultilevel"/>
    <w:tmpl w:val="0D92054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B31357"/>
    <w:multiLevelType w:val="multilevel"/>
    <w:tmpl w:val="075CC9D0"/>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B1D614A"/>
    <w:multiLevelType w:val="multilevel"/>
    <w:tmpl w:val="562ADE8E"/>
    <w:lvl w:ilvl="0">
      <w:start w:val="5"/>
      <w:numFmt w:val="decimal"/>
      <w:lvlText w:val="%1"/>
      <w:lvlJc w:val="left"/>
      <w:pPr>
        <w:ind w:left="660" w:hanging="660"/>
      </w:pPr>
      <w:rPr>
        <w:rFonts w:hint="default"/>
        <w:b/>
      </w:rPr>
    </w:lvl>
    <w:lvl w:ilvl="1">
      <w:start w:val="3"/>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3"/>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7" w15:restartNumberingAfterBreak="0">
    <w:nsid w:val="4B4A0A49"/>
    <w:multiLevelType w:val="hybridMultilevel"/>
    <w:tmpl w:val="FBE65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885CE2"/>
    <w:multiLevelType w:val="multilevel"/>
    <w:tmpl w:val="29340C0A"/>
    <w:lvl w:ilvl="0">
      <w:start w:val="5"/>
      <w:numFmt w:val="decimal"/>
      <w:lvlText w:val="%1"/>
      <w:lvlJc w:val="left"/>
      <w:pPr>
        <w:ind w:left="600" w:hanging="600"/>
      </w:pPr>
      <w:rPr>
        <w:rFonts w:hint="default"/>
      </w:rPr>
    </w:lvl>
    <w:lvl w:ilvl="1">
      <w:start w:val="2"/>
      <w:numFmt w:val="decimal"/>
      <w:lvlText w:val="%1.%2"/>
      <w:lvlJc w:val="left"/>
      <w:pPr>
        <w:ind w:left="72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56C32D59"/>
    <w:multiLevelType w:val="hybridMultilevel"/>
    <w:tmpl w:val="C8C606B8"/>
    <w:lvl w:ilvl="0" w:tplc="2076AD56">
      <w:start w:val="1"/>
      <w:numFmt w:val="bullet"/>
      <w:lvlText w:val=""/>
      <w:lvlJc w:val="left"/>
      <w:pPr>
        <w:ind w:left="2204" w:hanging="360"/>
      </w:pPr>
      <w:rPr>
        <w:rFonts w:ascii="Wingdings" w:hAnsi="Wingdings" w:hint="default"/>
        <w:sz w:val="28"/>
        <w:szCs w:val="28"/>
      </w:rPr>
    </w:lvl>
    <w:lvl w:ilvl="1" w:tplc="40090003" w:tentative="1">
      <w:start w:val="1"/>
      <w:numFmt w:val="bullet"/>
      <w:lvlText w:val="o"/>
      <w:lvlJc w:val="left"/>
      <w:pPr>
        <w:ind w:left="2924" w:hanging="360"/>
      </w:pPr>
      <w:rPr>
        <w:rFonts w:ascii="Courier New" w:hAnsi="Courier New" w:cs="Courier New" w:hint="default"/>
      </w:rPr>
    </w:lvl>
    <w:lvl w:ilvl="2" w:tplc="40090005" w:tentative="1">
      <w:start w:val="1"/>
      <w:numFmt w:val="bullet"/>
      <w:lvlText w:val=""/>
      <w:lvlJc w:val="left"/>
      <w:pPr>
        <w:ind w:left="3644" w:hanging="360"/>
      </w:pPr>
      <w:rPr>
        <w:rFonts w:ascii="Wingdings" w:hAnsi="Wingdings" w:hint="default"/>
      </w:rPr>
    </w:lvl>
    <w:lvl w:ilvl="3" w:tplc="40090001" w:tentative="1">
      <w:start w:val="1"/>
      <w:numFmt w:val="bullet"/>
      <w:lvlText w:val=""/>
      <w:lvlJc w:val="left"/>
      <w:pPr>
        <w:ind w:left="4364" w:hanging="360"/>
      </w:pPr>
      <w:rPr>
        <w:rFonts w:ascii="Symbol" w:hAnsi="Symbol" w:hint="default"/>
      </w:rPr>
    </w:lvl>
    <w:lvl w:ilvl="4" w:tplc="40090003" w:tentative="1">
      <w:start w:val="1"/>
      <w:numFmt w:val="bullet"/>
      <w:lvlText w:val="o"/>
      <w:lvlJc w:val="left"/>
      <w:pPr>
        <w:ind w:left="5084" w:hanging="360"/>
      </w:pPr>
      <w:rPr>
        <w:rFonts w:ascii="Courier New" w:hAnsi="Courier New" w:cs="Courier New" w:hint="default"/>
      </w:rPr>
    </w:lvl>
    <w:lvl w:ilvl="5" w:tplc="40090005" w:tentative="1">
      <w:start w:val="1"/>
      <w:numFmt w:val="bullet"/>
      <w:lvlText w:val=""/>
      <w:lvlJc w:val="left"/>
      <w:pPr>
        <w:ind w:left="5804" w:hanging="360"/>
      </w:pPr>
      <w:rPr>
        <w:rFonts w:ascii="Wingdings" w:hAnsi="Wingdings" w:hint="default"/>
      </w:rPr>
    </w:lvl>
    <w:lvl w:ilvl="6" w:tplc="40090001" w:tentative="1">
      <w:start w:val="1"/>
      <w:numFmt w:val="bullet"/>
      <w:lvlText w:val=""/>
      <w:lvlJc w:val="left"/>
      <w:pPr>
        <w:ind w:left="6524" w:hanging="360"/>
      </w:pPr>
      <w:rPr>
        <w:rFonts w:ascii="Symbol" w:hAnsi="Symbol" w:hint="default"/>
      </w:rPr>
    </w:lvl>
    <w:lvl w:ilvl="7" w:tplc="40090003" w:tentative="1">
      <w:start w:val="1"/>
      <w:numFmt w:val="bullet"/>
      <w:lvlText w:val="o"/>
      <w:lvlJc w:val="left"/>
      <w:pPr>
        <w:ind w:left="7244" w:hanging="360"/>
      </w:pPr>
      <w:rPr>
        <w:rFonts w:ascii="Courier New" w:hAnsi="Courier New" w:cs="Courier New" w:hint="default"/>
      </w:rPr>
    </w:lvl>
    <w:lvl w:ilvl="8" w:tplc="40090005" w:tentative="1">
      <w:start w:val="1"/>
      <w:numFmt w:val="bullet"/>
      <w:lvlText w:val=""/>
      <w:lvlJc w:val="left"/>
      <w:pPr>
        <w:ind w:left="7964" w:hanging="360"/>
      </w:pPr>
      <w:rPr>
        <w:rFonts w:ascii="Wingdings" w:hAnsi="Wingdings" w:hint="default"/>
      </w:rPr>
    </w:lvl>
  </w:abstractNum>
  <w:abstractNum w:abstractNumId="20" w15:restartNumberingAfterBreak="0">
    <w:nsid w:val="5B407B01"/>
    <w:multiLevelType w:val="hybridMultilevel"/>
    <w:tmpl w:val="69426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3FE6059"/>
    <w:multiLevelType w:val="hybridMultilevel"/>
    <w:tmpl w:val="C08C3D70"/>
    <w:lvl w:ilvl="0" w:tplc="CF6CF5EE">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67E750D7"/>
    <w:multiLevelType w:val="hybridMultilevel"/>
    <w:tmpl w:val="3830EA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8FE21F8"/>
    <w:multiLevelType w:val="hybridMultilevel"/>
    <w:tmpl w:val="D2185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2F5CE6"/>
    <w:multiLevelType w:val="hybridMultilevel"/>
    <w:tmpl w:val="8DCA16B2"/>
    <w:lvl w:ilvl="0" w:tplc="EE389C4C">
      <w:start w:val="1"/>
      <w:numFmt w:val="decimal"/>
      <w:lvlText w:val="%1)"/>
      <w:lvlJc w:val="left"/>
      <w:pPr>
        <w:ind w:left="420" w:hanging="360"/>
      </w:pPr>
      <w:rPr>
        <w:rFonts w:hint="default"/>
        <w:b w:val="0"/>
        <w:bCs/>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5" w15:restartNumberingAfterBreak="0">
    <w:nsid w:val="6F684500"/>
    <w:multiLevelType w:val="hybridMultilevel"/>
    <w:tmpl w:val="87AEB532"/>
    <w:lvl w:ilvl="0" w:tplc="40090009">
      <w:start w:val="1"/>
      <w:numFmt w:val="bullet"/>
      <w:lvlText w:val=""/>
      <w:lvlJc w:val="left"/>
      <w:pPr>
        <w:ind w:left="4680" w:hanging="360"/>
      </w:pPr>
      <w:rPr>
        <w:rFonts w:ascii="Wingdings" w:hAnsi="Wingdings"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26" w15:restartNumberingAfterBreak="0">
    <w:nsid w:val="734038C5"/>
    <w:multiLevelType w:val="hybridMultilevel"/>
    <w:tmpl w:val="2F5AE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6CC41B6"/>
    <w:multiLevelType w:val="hybridMultilevel"/>
    <w:tmpl w:val="02944B80"/>
    <w:lvl w:ilvl="0" w:tplc="11508F7C">
      <w:start w:val="3"/>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381D1E"/>
    <w:multiLevelType w:val="hybridMultilevel"/>
    <w:tmpl w:val="61B6FABA"/>
    <w:lvl w:ilvl="0" w:tplc="40090009">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
  </w:num>
  <w:num w:numId="5">
    <w:abstractNumId w:val="22"/>
  </w:num>
  <w:num w:numId="6">
    <w:abstractNumId w:val="2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6"/>
  </w:num>
  <w:num w:numId="10">
    <w:abstractNumId w:val="28"/>
  </w:num>
  <w:num w:numId="11">
    <w:abstractNumId w:val="1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4"/>
  </w:num>
  <w:num w:numId="16">
    <w:abstractNumId w:val="17"/>
  </w:num>
  <w:num w:numId="17">
    <w:abstractNumId w:val="26"/>
  </w:num>
  <w:num w:numId="18">
    <w:abstractNumId w:val="20"/>
  </w:num>
  <w:num w:numId="19">
    <w:abstractNumId w:val="23"/>
  </w:num>
  <w:num w:numId="20">
    <w:abstractNumId w:val="9"/>
  </w:num>
  <w:num w:numId="21">
    <w:abstractNumId w:val="27"/>
  </w:num>
  <w:num w:numId="22">
    <w:abstractNumId w:val="8"/>
  </w:num>
  <w:num w:numId="23">
    <w:abstractNumId w:val="7"/>
  </w:num>
  <w:num w:numId="24">
    <w:abstractNumId w:val="19"/>
  </w:num>
  <w:num w:numId="25">
    <w:abstractNumId w:val="16"/>
  </w:num>
  <w:num w:numId="26">
    <w:abstractNumId w:val="1"/>
  </w:num>
  <w:num w:numId="27">
    <w:abstractNumId w:val="18"/>
  </w:num>
  <w:num w:numId="28">
    <w:abstractNumId w:val="25"/>
  </w:num>
  <w:num w:numId="29">
    <w:abstractNumId w:val="2"/>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E6E"/>
    <w:rsid w:val="00000C1B"/>
    <w:rsid w:val="00003B86"/>
    <w:rsid w:val="000164F4"/>
    <w:rsid w:val="00024E24"/>
    <w:rsid w:val="00025438"/>
    <w:rsid w:val="000265AA"/>
    <w:rsid w:val="00030AFC"/>
    <w:rsid w:val="00031080"/>
    <w:rsid w:val="00034B0B"/>
    <w:rsid w:val="00034C3F"/>
    <w:rsid w:val="00036086"/>
    <w:rsid w:val="0004089A"/>
    <w:rsid w:val="00046D50"/>
    <w:rsid w:val="000501B2"/>
    <w:rsid w:val="0005586B"/>
    <w:rsid w:val="00056112"/>
    <w:rsid w:val="00056DF0"/>
    <w:rsid w:val="00063201"/>
    <w:rsid w:val="0007424C"/>
    <w:rsid w:val="0007625E"/>
    <w:rsid w:val="000820D4"/>
    <w:rsid w:val="0008264E"/>
    <w:rsid w:val="00082AFF"/>
    <w:rsid w:val="000835FD"/>
    <w:rsid w:val="00086E1E"/>
    <w:rsid w:val="000872AA"/>
    <w:rsid w:val="00087C1B"/>
    <w:rsid w:val="00094E9A"/>
    <w:rsid w:val="000962F8"/>
    <w:rsid w:val="000A0A40"/>
    <w:rsid w:val="000A2434"/>
    <w:rsid w:val="000A49A8"/>
    <w:rsid w:val="000B004C"/>
    <w:rsid w:val="000B4740"/>
    <w:rsid w:val="000D25F5"/>
    <w:rsid w:val="000D434E"/>
    <w:rsid w:val="000D4CF7"/>
    <w:rsid w:val="000D71DD"/>
    <w:rsid w:val="000E2915"/>
    <w:rsid w:val="000E3233"/>
    <w:rsid w:val="000E43E4"/>
    <w:rsid w:val="000E506B"/>
    <w:rsid w:val="000E740E"/>
    <w:rsid w:val="000F7740"/>
    <w:rsid w:val="001006E0"/>
    <w:rsid w:val="001031C0"/>
    <w:rsid w:val="00104D40"/>
    <w:rsid w:val="00113DD2"/>
    <w:rsid w:val="001154C5"/>
    <w:rsid w:val="001165C8"/>
    <w:rsid w:val="00116D10"/>
    <w:rsid w:val="00127ABD"/>
    <w:rsid w:val="0013229E"/>
    <w:rsid w:val="00140260"/>
    <w:rsid w:val="001420BA"/>
    <w:rsid w:val="00142BC8"/>
    <w:rsid w:val="0014569B"/>
    <w:rsid w:val="001457AF"/>
    <w:rsid w:val="001511B3"/>
    <w:rsid w:val="00163DBA"/>
    <w:rsid w:val="00173871"/>
    <w:rsid w:val="001809A9"/>
    <w:rsid w:val="001815E8"/>
    <w:rsid w:val="0019392A"/>
    <w:rsid w:val="00193B35"/>
    <w:rsid w:val="001A4EDA"/>
    <w:rsid w:val="001B0328"/>
    <w:rsid w:val="001B3B29"/>
    <w:rsid w:val="001B5DDB"/>
    <w:rsid w:val="001B7A25"/>
    <w:rsid w:val="001C2EE3"/>
    <w:rsid w:val="001C741E"/>
    <w:rsid w:val="001C7CE9"/>
    <w:rsid w:val="001D2D92"/>
    <w:rsid w:val="001D3293"/>
    <w:rsid w:val="001D5286"/>
    <w:rsid w:val="001D7043"/>
    <w:rsid w:val="001E2A95"/>
    <w:rsid w:val="001E4B11"/>
    <w:rsid w:val="001E6B3C"/>
    <w:rsid w:val="001F2EF3"/>
    <w:rsid w:val="001F3CC1"/>
    <w:rsid w:val="001F7740"/>
    <w:rsid w:val="0020439F"/>
    <w:rsid w:val="00204409"/>
    <w:rsid w:val="002102DB"/>
    <w:rsid w:val="0021694A"/>
    <w:rsid w:val="002174C5"/>
    <w:rsid w:val="002201D2"/>
    <w:rsid w:val="0022433A"/>
    <w:rsid w:val="00235A3A"/>
    <w:rsid w:val="00236C51"/>
    <w:rsid w:val="00237B28"/>
    <w:rsid w:val="002433D5"/>
    <w:rsid w:val="00245C68"/>
    <w:rsid w:val="00253E32"/>
    <w:rsid w:val="002541CD"/>
    <w:rsid w:val="002557F6"/>
    <w:rsid w:val="002573F4"/>
    <w:rsid w:val="00267630"/>
    <w:rsid w:val="002701AC"/>
    <w:rsid w:val="002777A6"/>
    <w:rsid w:val="002906AF"/>
    <w:rsid w:val="00292CA5"/>
    <w:rsid w:val="00294920"/>
    <w:rsid w:val="002959D7"/>
    <w:rsid w:val="0029660F"/>
    <w:rsid w:val="002A0A45"/>
    <w:rsid w:val="002A75A3"/>
    <w:rsid w:val="002B6660"/>
    <w:rsid w:val="002B7ABC"/>
    <w:rsid w:val="002C2197"/>
    <w:rsid w:val="002C257F"/>
    <w:rsid w:val="002C35D9"/>
    <w:rsid w:val="002D0792"/>
    <w:rsid w:val="002D3143"/>
    <w:rsid w:val="002E2AB7"/>
    <w:rsid w:val="002E40A3"/>
    <w:rsid w:val="002E5C6D"/>
    <w:rsid w:val="002F16AB"/>
    <w:rsid w:val="00300DA2"/>
    <w:rsid w:val="0030721B"/>
    <w:rsid w:val="00307C10"/>
    <w:rsid w:val="0031327A"/>
    <w:rsid w:val="00325115"/>
    <w:rsid w:val="0032555B"/>
    <w:rsid w:val="00326737"/>
    <w:rsid w:val="00336FEB"/>
    <w:rsid w:val="0033749F"/>
    <w:rsid w:val="00350808"/>
    <w:rsid w:val="00352F35"/>
    <w:rsid w:val="003534C6"/>
    <w:rsid w:val="00357840"/>
    <w:rsid w:val="0036020E"/>
    <w:rsid w:val="003652C5"/>
    <w:rsid w:val="00367A59"/>
    <w:rsid w:val="00374BBE"/>
    <w:rsid w:val="00376973"/>
    <w:rsid w:val="00376AB3"/>
    <w:rsid w:val="0038188E"/>
    <w:rsid w:val="0038327F"/>
    <w:rsid w:val="00391AD2"/>
    <w:rsid w:val="00393D7B"/>
    <w:rsid w:val="003A1036"/>
    <w:rsid w:val="003A2B70"/>
    <w:rsid w:val="003A36C8"/>
    <w:rsid w:val="003A75DD"/>
    <w:rsid w:val="003B6920"/>
    <w:rsid w:val="003C7787"/>
    <w:rsid w:val="003D2E94"/>
    <w:rsid w:val="003E4454"/>
    <w:rsid w:val="003E756F"/>
    <w:rsid w:val="003F4B44"/>
    <w:rsid w:val="00400007"/>
    <w:rsid w:val="00401090"/>
    <w:rsid w:val="004032FA"/>
    <w:rsid w:val="004116D8"/>
    <w:rsid w:val="00413522"/>
    <w:rsid w:val="00416DF7"/>
    <w:rsid w:val="00420F3C"/>
    <w:rsid w:val="00440747"/>
    <w:rsid w:val="0044169B"/>
    <w:rsid w:val="00444551"/>
    <w:rsid w:val="00444CAB"/>
    <w:rsid w:val="00452E9A"/>
    <w:rsid w:val="00455FBC"/>
    <w:rsid w:val="004623F4"/>
    <w:rsid w:val="00465D17"/>
    <w:rsid w:val="00466ADA"/>
    <w:rsid w:val="0047548D"/>
    <w:rsid w:val="00481649"/>
    <w:rsid w:val="004870B9"/>
    <w:rsid w:val="00487B2C"/>
    <w:rsid w:val="0049147B"/>
    <w:rsid w:val="00492988"/>
    <w:rsid w:val="00495CB1"/>
    <w:rsid w:val="00496119"/>
    <w:rsid w:val="004A26AA"/>
    <w:rsid w:val="004A46D9"/>
    <w:rsid w:val="004B16EF"/>
    <w:rsid w:val="004B29D9"/>
    <w:rsid w:val="004C415A"/>
    <w:rsid w:val="004C5990"/>
    <w:rsid w:val="004D52FC"/>
    <w:rsid w:val="004E0511"/>
    <w:rsid w:val="004E06AA"/>
    <w:rsid w:val="004E402A"/>
    <w:rsid w:val="004E46C2"/>
    <w:rsid w:val="004E4DE7"/>
    <w:rsid w:val="004F3161"/>
    <w:rsid w:val="004F67AA"/>
    <w:rsid w:val="005003A5"/>
    <w:rsid w:val="00510A20"/>
    <w:rsid w:val="00535E1A"/>
    <w:rsid w:val="00536E6E"/>
    <w:rsid w:val="005402A9"/>
    <w:rsid w:val="005420DC"/>
    <w:rsid w:val="00543838"/>
    <w:rsid w:val="0054660F"/>
    <w:rsid w:val="0054696C"/>
    <w:rsid w:val="00550E18"/>
    <w:rsid w:val="00574CDB"/>
    <w:rsid w:val="00577DF5"/>
    <w:rsid w:val="00580184"/>
    <w:rsid w:val="005864F3"/>
    <w:rsid w:val="005912B7"/>
    <w:rsid w:val="00592160"/>
    <w:rsid w:val="005946D0"/>
    <w:rsid w:val="005A0C5B"/>
    <w:rsid w:val="005A3114"/>
    <w:rsid w:val="005B43D2"/>
    <w:rsid w:val="005B756C"/>
    <w:rsid w:val="005C4B20"/>
    <w:rsid w:val="005C5A06"/>
    <w:rsid w:val="005C722F"/>
    <w:rsid w:val="005D4CC2"/>
    <w:rsid w:val="005D5AE1"/>
    <w:rsid w:val="005D794E"/>
    <w:rsid w:val="005E43EF"/>
    <w:rsid w:val="005E7383"/>
    <w:rsid w:val="005F33D6"/>
    <w:rsid w:val="006002D7"/>
    <w:rsid w:val="00604877"/>
    <w:rsid w:val="00604D73"/>
    <w:rsid w:val="00613F4D"/>
    <w:rsid w:val="006160F5"/>
    <w:rsid w:val="0061738E"/>
    <w:rsid w:val="006176CE"/>
    <w:rsid w:val="00622A1C"/>
    <w:rsid w:val="00631267"/>
    <w:rsid w:val="00633639"/>
    <w:rsid w:val="006371CE"/>
    <w:rsid w:val="00640270"/>
    <w:rsid w:val="006458B7"/>
    <w:rsid w:val="00647B5E"/>
    <w:rsid w:val="0066067F"/>
    <w:rsid w:val="00663ED6"/>
    <w:rsid w:val="00665BA0"/>
    <w:rsid w:val="00670556"/>
    <w:rsid w:val="00676906"/>
    <w:rsid w:val="00676B83"/>
    <w:rsid w:val="00682FE4"/>
    <w:rsid w:val="00692A5D"/>
    <w:rsid w:val="006A307E"/>
    <w:rsid w:val="006A3B77"/>
    <w:rsid w:val="006B5357"/>
    <w:rsid w:val="006C3F88"/>
    <w:rsid w:val="006C6E38"/>
    <w:rsid w:val="006D258D"/>
    <w:rsid w:val="006D7B77"/>
    <w:rsid w:val="006E178B"/>
    <w:rsid w:val="006E774B"/>
    <w:rsid w:val="006F0201"/>
    <w:rsid w:val="006F0575"/>
    <w:rsid w:val="006F32A5"/>
    <w:rsid w:val="006F5460"/>
    <w:rsid w:val="006F7DC4"/>
    <w:rsid w:val="00703F65"/>
    <w:rsid w:val="00705134"/>
    <w:rsid w:val="007105B9"/>
    <w:rsid w:val="00711F02"/>
    <w:rsid w:val="00714DB5"/>
    <w:rsid w:val="00715BB4"/>
    <w:rsid w:val="00722CC7"/>
    <w:rsid w:val="00730EDA"/>
    <w:rsid w:val="00732A2F"/>
    <w:rsid w:val="00753731"/>
    <w:rsid w:val="00755D80"/>
    <w:rsid w:val="00785538"/>
    <w:rsid w:val="0078683B"/>
    <w:rsid w:val="00787933"/>
    <w:rsid w:val="00793FF3"/>
    <w:rsid w:val="007A2032"/>
    <w:rsid w:val="007A306A"/>
    <w:rsid w:val="007A7061"/>
    <w:rsid w:val="007A7F1D"/>
    <w:rsid w:val="007B0B88"/>
    <w:rsid w:val="007B62DA"/>
    <w:rsid w:val="007C3AED"/>
    <w:rsid w:val="007C61FD"/>
    <w:rsid w:val="007E0158"/>
    <w:rsid w:val="007F362B"/>
    <w:rsid w:val="007F4359"/>
    <w:rsid w:val="007F6DC4"/>
    <w:rsid w:val="00800FC7"/>
    <w:rsid w:val="00807A2B"/>
    <w:rsid w:val="00807DB3"/>
    <w:rsid w:val="00810629"/>
    <w:rsid w:val="0081439E"/>
    <w:rsid w:val="00816137"/>
    <w:rsid w:val="008222A4"/>
    <w:rsid w:val="008228A6"/>
    <w:rsid w:val="00823009"/>
    <w:rsid w:val="00836938"/>
    <w:rsid w:val="00837866"/>
    <w:rsid w:val="00841691"/>
    <w:rsid w:val="0085679C"/>
    <w:rsid w:val="0085765C"/>
    <w:rsid w:val="0086746D"/>
    <w:rsid w:val="00890ECD"/>
    <w:rsid w:val="008941BF"/>
    <w:rsid w:val="00897BA8"/>
    <w:rsid w:val="008A0C05"/>
    <w:rsid w:val="008A0D3C"/>
    <w:rsid w:val="008A38CD"/>
    <w:rsid w:val="008A575C"/>
    <w:rsid w:val="008C3568"/>
    <w:rsid w:val="008C616A"/>
    <w:rsid w:val="008C6D0A"/>
    <w:rsid w:val="008D39B3"/>
    <w:rsid w:val="008D49AE"/>
    <w:rsid w:val="008D7895"/>
    <w:rsid w:val="008E3167"/>
    <w:rsid w:val="008E3897"/>
    <w:rsid w:val="008E3D52"/>
    <w:rsid w:val="008E3F95"/>
    <w:rsid w:val="008F4FF4"/>
    <w:rsid w:val="0090542B"/>
    <w:rsid w:val="00910A6D"/>
    <w:rsid w:val="00911FFE"/>
    <w:rsid w:val="00913C12"/>
    <w:rsid w:val="00917D50"/>
    <w:rsid w:val="009208A2"/>
    <w:rsid w:val="009256BF"/>
    <w:rsid w:val="00925F6C"/>
    <w:rsid w:val="00931E99"/>
    <w:rsid w:val="00936086"/>
    <w:rsid w:val="00943784"/>
    <w:rsid w:val="00943AE5"/>
    <w:rsid w:val="00944DD9"/>
    <w:rsid w:val="00945BA4"/>
    <w:rsid w:val="009469CE"/>
    <w:rsid w:val="00947310"/>
    <w:rsid w:val="009550F6"/>
    <w:rsid w:val="00956E22"/>
    <w:rsid w:val="0096462D"/>
    <w:rsid w:val="0096567E"/>
    <w:rsid w:val="00966095"/>
    <w:rsid w:val="00970BEB"/>
    <w:rsid w:val="009834FD"/>
    <w:rsid w:val="0099208C"/>
    <w:rsid w:val="00992A5D"/>
    <w:rsid w:val="009A46B6"/>
    <w:rsid w:val="009B1611"/>
    <w:rsid w:val="009C30AE"/>
    <w:rsid w:val="009C31F1"/>
    <w:rsid w:val="009C3B7C"/>
    <w:rsid w:val="009C5ACE"/>
    <w:rsid w:val="009D257A"/>
    <w:rsid w:val="009E6334"/>
    <w:rsid w:val="009F57B6"/>
    <w:rsid w:val="00A01F47"/>
    <w:rsid w:val="00A113EC"/>
    <w:rsid w:val="00A12064"/>
    <w:rsid w:val="00A163E7"/>
    <w:rsid w:val="00A36970"/>
    <w:rsid w:val="00A469E8"/>
    <w:rsid w:val="00A46FEE"/>
    <w:rsid w:val="00A54F79"/>
    <w:rsid w:val="00A56C29"/>
    <w:rsid w:val="00A633B4"/>
    <w:rsid w:val="00A70BD3"/>
    <w:rsid w:val="00A7121F"/>
    <w:rsid w:val="00A83847"/>
    <w:rsid w:val="00A84470"/>
    <w:rsid w:val="00A932DA"/>
    <w:rsid w:val="00AA095A"/>
    <w:rsid w:val="00AB0D1E"/>
    <w:rsid w:val="00AB229E"/>
    <w:rsid w:val="00AB364F"/>
    <w:rsid w:val="00AD0DE7"/>
    <w:rsid w:val="00AD264B"/>
    <w:rsid w:val="00AE6CF7"/>
    <w:rsid w:val="00AE73CC"/>
    <w:rsid w:val="00AF629B"/>
    <w:rsid w:val="00AF67E7"/>
    <w:rsid w:val="00B07E16"/>
    <w:rsid w:val="00B10313"/>
    <w:rsid w:val="00B17C91"/>
    <w:rsid w:val="00B218B1"/>
    <w:rsid w:val="00B25820"/>
    <w:rsid w:val="00B27CF6"/>
    <w:rsid w:val="00B30AD6"/>
    <w:rsid w:val="00B40EE9"/>
    <w:rsid w:val="00B41F65"/>
    <w:rsid w:val="00B4296D"/>
    <w:rsid w:val="00B44F74"/>
    <w:rsid w:val="00B4534A"/>
    <w:rsid w:val="00B5729F"/>
    <w:rsid w:val="00B634BA"/>
    <w:rsid w:val="00B641D9"/>
    <w:rsid w:val="00B65185"/>
    <w:rsid w:val="00B72965"/>
    <w:rsid w:val="00B72EF9"/>
    <w:rsid w:val="00B73EBD"/>
    <w:rsid w:val="00B940FB"/>
    <w:rsid w:val="00B96733"/>
    <w:rsid w:val="00B97380"/>
    <w:rsid w:val="00BB4B10"/>
    <w:rsid w:val="00BB4C71"/>
    <w:rsid w:val="00BC3922"/>
    <w:rsid w:val="00BD163F"/>
    <w:rsid w:val="00BD1A43"/>
    <w:rsid w:val="00BD47AC"/>
    <w:rsid w:val="00BE4CA5"/>
    <w:rsid w:val="00BF14CA"/>
    <w:rsid w:val="00BF19B9"/>
    <w:rsid w:val="00C06609"/>
    <w:rsid w:val="00C144CB"/>
    <w:rsid w:val="00C205DE"/>
    <w:rsid w:val="00C219FC"/>
    <w:rsid w:val="00C23650"/>
    <w:rsid w:val="00C23669"/>
    <w:rsid w:val="00C3199E"/>
    <w:rsid w:val="00C432B5"/>
    <w:rsid w:val="00C50EF8"/>
    <w:rsid w:val="00C51CB1"/>
    <w:rsid w:val="00C52595"/>
    <w:rsid w:val="00C52E0E"/>
    <w:rsid w:val="00C52FD8"/>
    <w:rsid w:val="00C55089"/>
    <w:rsid w:val="00C6033D"/>
    <w:rsid w:val="00C61356"/>
    <w:rsid w:val="00C61496"/>
    <w:rsid w:val="00C63734"/>
    <w:rsid w:val="00C64EBB"/>
    <w:rsid w:val="00C65320"/>
    <w:rsid w:val="00C71B2F"/>
    <w:rsid w:val="00C72917"/>
    <w:rsid w:val="00C73CFB"/>
    <w:rsid w:val="00C76B6D"/>
    <w:rsid w:val="00C76C51"/>
    <w:rsid w:val="00C76D17"/>
    <w:rsid w:val="00C807F8"/>
    <w:rsid w:val="00C820C8"/>
    <w:rsid w:val="00C84DEE"/>
    <w:rsid w:val="00C85B60"/>
    <w:rsid w:val="00C85B92"/>
    <w:rsid w:val="00C9085B"/>
    <w:rsid w:val="00CA7CF7"/>
    <w:rsid w:val="00CB03D3"/>
    <w:rsid w:val="00CB30D5"/>
    <w:rsid w:val="00CB4CBA"/>
    <w:rsid w:val="00CC4633"/>
    <w:rsid w:val="00CC57B6"/>
    <w:rsid w:val="00CC6FDC"/>
    <w:rsid w:val="00CC7083"/>
    <w:rsid w:val="00CC784C"/>
    <w:rsid w:val="00CD2812"/>
    <w:rsid w:val="00CE0A4C"/>
    <w:rsid w:val="00CE318B"/>
    <w:rsid w:val="00CF0007"/>
    <w:rsid w:val="00CF39E6"/>
    <w:rsid w:val="00D01E50"/>
    <w:rsid w:val="00D07BBD"/>
    <w:rsid w:val="00D10AC2"/>
    <w:rsid w:val="00D20A49"/>
    <w:rsid w:val="00D2197D"/>
    <w:rsid w:val="00D24DA9"/>
    <w:rsid w:val="00D32B4F"/>
    <w:rsid w:val="00D401FB"/>
    <w:rsid w:val="00D41BF6"/>
    <w:rsid w:val="00D62408"/>
    <w:rsid w:val="00D63C13"/>
    <w:rsid w:val="00D652CB"/>
    <w:rsid w:val="00D75DD9"/>
    <w:rsid w:val="00D83CD7"/>
    <w:rsid w:val="00D93C55"/>
    <w:rsid w:val="00DA26EB"/>
    <w:rsid w:val="00DA7D86"/>
    <w:rsid w:val="00DB0DB2"/>
    <w:rsid w:val="00DB4886"/>
    <w:rsid w:val="00DC159E"/>
    <w:rsid w:val="00DC3A7B"/>
    <w:rsid w:val="00DC777A"/>
    <w:rsid w:val="00DD25F3"/>
    <w:rsid w:val="00DD2C80"/>
    <w:rsid w:val="00DD2F4D"/>
    <w:rsid w:val="00DE0977"/>
    <w:rsid w:val="00DE11F7"/>
    <w:rsid w:val="00DE2AEC"/>
    <w:rsid w:val="00DE723F"/>
    <w:rsid w:val="00DE7E73"/>
    <w:rsid w:val="00DF0270"/>
    <w:rsid w:val="00DF6B61"/>
    <w:rsid w:val="00DF7328"/>
    <w:rsid w:val="00E00C0C"/>
    <w:rsid w:val="00E01991"/>
    <w:rsid w:val="00E070FB"/>
    <w:rsid w:val="00E11525"/>
    <w:rsid w:val="00E14248"/>
    <w:rsid w:val="00E2570D"/>
    <w:rsid w:val="00E25FBC"/>
    <w:rsid w:val="00E4032A"/>
    <w:rsid w:val="00E404D6"/>
    <w:rsid w:val="00E409EC"/>
    <w:rsid w:val="00E425AB"/>
    <w:rsid w:val="00E43A47"/>
    <w:rsid w:val="00E51858"/>
    <w:rsid w:val="00E5421C"/>
    <w:rsid w:val="00E545F9"/>
    <w:rsid w:val="00E6119E"/>
    <w:rsid w:val="00E61CFB"/>
    <w:rsid w:val="00E629C8"/>
    <w:rsid w:val="00E63451"/>
    <w:rsid w:val="00E662C5"/>
    <w:rsid w:val="00E66E6A"/>
    <w:rsid w:val="00E74000"/>
    <w:rsid w:val="00E85A49"/>
    <w:rsid w:val="00E87231"/>
    <w:rsid w:val="00EA02CD"/>
    <w:rsid w:val="00EB38D1"/>
    <w:rsid w:val="00EB3C37"/>
    <w:rsid w:val="00EB69C2"/>
    <w:rsid w:val="00EC0AB3"/>
    <w:rsid w:val="00EC0C88"/>
    <w:rsid w:val="00EC2F12"/>
    <w:rsid w:val="00EC41FA"/>
    <w:rsid w:val="00ED0AED"/>
    <w:rsid w:val="00ED647F"/>
    <w:rsid w:val="00EE08B2"/>
    <w:rsid w:val="00EF42AD"/>
    <w:rsid w:val="00F05BB8"/>
    <w:rsid w:val="00F06C5D"/>
    <w:rsid w:val="00F108E2"/>
    <w:rsid w:val="00F23091"/>
    <w:rsid w:val="00F26FE8"/>
    <w:rsid w:val="00F318E3"/>
    <w:rsid w:val="00F403D9"/>
    <w:rsid w:val="00F455C6"/>
    <w:rsid w:val="00F52FE5"/>
    <w:rsid w:val="00F54947"/>
    <w:rsid w:val="00F563F9"/>
    <w:rsid w:val="00F6041F"/>
    <w:rsid w:val="00F608BA"/>
    <w:rsid w:val="00F612AE"/>
    <w:rsid w:val="00F63DA0"/>
    <w:rsid w:val="00F6618B"/>
    <w:rsid w:val="00F73B0B"/>
    <w:rsid w:val="00F7426D"/>
    <w:rsid w:val="00F8334D"/>
    <w:rsid w:val="00F85606"/>
    <w:rsid w:val="00F91D0A"/>
    <w:rsid w:val="00F96024"/>
    <w:rsid w:val="00F96423"/>
    <w:rsid w:val="00FA45ED"/>
    <w:rsid w:val="00FA54C3"/>
    <w:rsid w:val="00FA6BCE"/>
    <w:rsid w:val="00FA7463"/>
    <w:rsid w:val="00FB5E70"/>
    <w:rsid w:val="00FC74A1"/>
    <w:rsid w:val="00FD044F"/>
    <w:rsid w:val="00FE797A"/>
    <w:rsid w:val="00FF068F"/>
    <w:rsid w:val="00FF734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65ABDB"/>
  <w15:docId w15:val="{1BA6E708-9831-4B83-A3DE-EE87C180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B70"/>
    <w:pPr>
      <w:spacing w:after="200" w:line="276" w:lineRule="auto"/>
    </w:pPr>
    <w:rPr>
      <w:rFonts w:ascii="Calibri" w:eastAsia="Calibri" w:hAnsi="Calibri" w:cs="Times New Roman"/>
      <w:szCs w:val="20"/>
      <w:lang w:val="en-US" w:bidi="hi-IN"/>
    </w:rPr>
  </w:style>
  <w:style w:type="paragraph" w:styleId="Heading1">
    <w:name w:val="heading 1"/>
    <w:basedOn w:val="Normal"/>
    <w:link w:val="Heading1Char"/>
    <w:uiPriority w:val="9"/>
    <w:qFormat/>
    <w:rsid w:val="003A2B70"/>
    <w:pPr>
      <w:spacing w:before="100" w:beforeAutospacing="1" w:after="100" w:afterAutospacing="1" w:line="240" w:lineRule="auto"/>
      <w:outlineLvl w:val="0"/>
    </w:pPr>
    <w:rPr>
      <w:rFonts w:ascii="Times New Roman" w:eastAsia="Times New Roman" w:hAnsi="Times New Roman" w:cs="Arial Unicode MS"/>
      <w:b/>
      <w:bCs/>
      <w:kern w:val="36"/>
      <w:sz w:val="48"/>
      <w:szCs w:val="48"/>
      <w:lang w:bidi="ml-IN"/>
    </w:rPr>
  </w:style>
  <w:style w:type="paragraph" w:styleId="Heading2">
    <w:name w:val="heading 2"/>
    <w:basedOn w:val="Normal"/>
    <w:link w:val="Heading2Char"/>
    <w:uiPriority w:val="9"/>
    <w:qFormat/>
    <w:rsid w:val="003A2B70"/>
    <w:pPr>
      <w:spacing w:before="100" w:beforeAutospacing="1" w:after="100" w:afterAutospacing="1" w:line="240" w:lineRule="auto"/>
      <w:outlineLvl w:val="1"/>
    </w:pPr>
    <w:rPr>
      <w:rFonts w:ascii="Times New Roman" w:eastAsia="Times New Roman" w:hAnsi="Times New Roman"/>
      <w:b/>
      <w:bCs/>
      <w:sz w:val="36"/>
      <w:szCs w:val="36"/>
      <w:lang w:val="en-IN" w:eastAsia="en-IN" w:bidi="ar-SA"/>
    </w:rPr>
  </w:style>
  <w:style w:type="paragraph" w:styleId="Heading3">
    <w:name w:val="heading 3"/>
    <w:basedOn w:val="Normal"/>
    <w:link w:val="Heading3Char"/>
    <w:uiPriority w:val="9"/>
    <w:qFormat/>
    <w:rsid w:val="003A2B70"/>
    <w:pPr>
      <w:spacing w:before="100" w:beforeAutospacing="1" w:after="100" w:afterAutospacing="1" w:line="240" w:lineRule="auto"/>
      <w:outlineLvl w:val="2"/>
    </w:pPr>
    <w:rPr>
      <w:rFonts w:ascii="Times New Roman" w:eastAsia="Times New Roman" w:hAnsi="Times New Roman"/>
      <w:b/>
      <w:bCs/>
      <w:sz w:val="27"/>
      <w:szCs w:val="27"/>
      <w:lang w:val="en-IN" w:eastAsia="en-IN" w:bidi="ar-SA"/>
    </w:rPr>
  </w:style>
  <w:style w:type="paragraph" w:styleId="Heading5">
    <w:name w:val="heading 5"/>
    <w:basedOn w:val="Normal"/>
    <w:next w:val="Normal"/>
    <w:link w:val="Heading5Char"/>
    <w:uiPriority w:val="9"/>
    <w:semiHidden/>
    <w:unhideWhenUsed/>
    <w:qFormat/>
    <w:rsid w:val="003A2B70"/>
    <w:pPr>
      <w:keepNext/>
      <w:keepLines/>
      <w:spacing w:before="40" w:after="0"/>
      <w:outlineLvl w:val="4"/>
    </w:pPr>
    <w:rPr>
      <w:rFonts w:ascii="Cambria" w:eastAsia="Times New Roman"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B70"/>
    <w:rPr>
      <w:rFonts w:ascii="Times New Roman" w:eastAsia="Times New Roman" w:hAnsi="Times New Roman" w:cs="Arial Unicode MS"/>
      <w:b/>
      <w:bCs/>
      <w:kern w:val="36"/>
      <w:sz w:val="48"/>
      <w:szCs w:val="48"/>
      <w:lang w:bidi="ml-IN"/>
    </w:rPr>
  </w:style>
  <w:style w:type="character" w:customStyle="1" w:styleId="Heading2Char">
    <w:name w:val="Heading 2 Char"/>
    <w:basedOn w:val="DefaultParagraphFont"/>
    <w:link w:val="Heading2"/>
    <w:uiPriority w:val="9"/>
    <w:rsid w:val="003A2B7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A2B70"/>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semiHidden/>
    <w:rsid w:val="003A2B70"/>
    <w:rPr>
      <w:rFonts w:ascii="Cambria" w:eastAsia="Times New Roman" w:hAnsi="Cambria" w:cs="Times New Roman"/>
      <w:color w:val="365F91"/>
      <w:szCs w:val="20"/>
      <w:lang w:val="en-US" w:bidi="hi-IN"/>
    </w:rPr>
  </w:style>
  <w:style w:type="paragraph" w:styleId="ListParagraph">
    <w:name w:val="List Paragraph"/>
    <w:basedOn w:val="Normal"/>
    <w:uiPriority w:val="34"/>
    <w:qFormat/>
    <w:rsid w:val="003A2B70"/>
    <w:pPr>
      <w:ind w:left="720"/>
      <w:contextualSpacing/>
    </w:pPr>
  </w:style>
  <w:style w:type="paragraph" w:customStyle="1" w:styleId="Default">
    <w:name w:val="Default"/>
    <w:rsid w:val="003A2B70"/>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paragraph" w:styleId="BodyText2">
    <w:name w:val="Body Text 2"/>
    <w:basedOn w:val="Normal"/>
    <w:link w:val="BodyText2Char"/>
    <w:unhideWhenUsed/>
    <w:rsid w:val="003A2B70"/>
    <w:pPr>
      <w:spacing w:after="0" w:line="480" w:lineRule="auto"/>
      <w:jc w:val="both"/>
    </w:pPr>
    <w:rPr>
      <w:rFonts w:ascii="Arial" w:eastAsia="Times New Roman" w:hAnsi="Arial" w:cs="Arial"/>
      <w:sz w:val="24"/>
      <w:szCs w:val="24"/>
      <w:lang w:bidi="ar-SA"/>
    </w:rPr>
  </w:style>
  <w:style w:type="character" w:customStyle="1" w:styleId="BodyText2Char">
    <w:name w:val="Body Text 2 Char"/>
    <w:basedOn w:val="DefaultParagraphFont"/>
    <w:link w:val="BodyText2"/>
    <w:rsid w:val="003A2B70"/>
    <w:rPr>
      <w:rFonts w:ascii="Arial" w:eastAsia="Times New Roman" w:hAnsi="Arial" w:cs="Arial"/>
      <w:sz w:val="24"/>
      <w:szCs w:val="24"/>
    </w:rPr>
  </w:style>
  <w:style w:type="paragraph" w:styleId="Header">
    <w:name w:val="header"/>
    <w:basedOn w:val="Normal"/>
    <w:link w:val="HeaderChar"/>
    <w:uiPriority w:val="99"/>
    <w:unhideWhenUsed/>
    <w:rsid w:val="003A2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B70"/>
    <w:rPr>
      <w:rFonts w:ascii="Calibri" w:eastAsia="Calibri" w:hAnsi="Calibri" w:cs="Times New Roman"/>
      <w:szCs w:val="20"/>
      <w:lang w:val="en-US" w:bidi="hi-IN"/>
    </w:rPr>
  </w:style>
  <w:style w:type="paragraph" w:styleId="Footer">
    <w:name w:val="footer"/>
    <w:basedOn w:val="Normal"/>
    <w:link w:val="FooterChar"/>
    <w:uiPriority w:val="99"/>
    <w:unhideWhenUsed/>
    <w:rsid w:val="003A2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B70"/>
    <w:rPr>
      <w:rFonts w:ascii="Calibri" w:eastAsia="Calibri" w:hAnsi="Calibri" w:cs="Times New Roman"/>
      <w:szCs w:val="20"/>
      <w:lang w:val="en-US" w:bidi="hi-IN"/>
    </w:rPr>
  </w:style>
  <w:style w:type="character" w:styleId="Hyperlink">
    <w:name w:val="Hyperlink"/>
    <w:uiPriority w:val="99"/>
    <w:unhideWhenUsed/>
    <w:rsid w:val="003A2B70"/>
    <w:rPr>
      <w:color w:val="0000FF"/>
      <w:u w:val="single"/>
    </w:rPr>
  </w:style>
  <w:style w:type="table" w:styleId="TableGrid">
    <w:name w:val="Table Grid"/>
    <w:basedOn w:val="TableNormal"/>
    <w:uiPriority w:val="39"/>
    <w:rsid w:val="003A2B70"/>
    <w:pPr>
      <w:spacing w:after="0" w:line="240" w:lineRule="auto"/>
    </w:pPr>
    <w:rPr>
      <w:rFonts w:ascii="Calibri" w:eastAsia="Calibri" w:hAnsi="Calibri" w:cs="Times New Roman"/>
      <w:sz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A2B70"/>
    <w:pPr>
      <w:spacing w:before="100" w:beforeAutospacing="1" w:after="100" w:afterAutospacing="1" w:line="240" w:lineRule="auto"/>
    </w:pPr>
    <w:rPr>
      <w:rFonts w:ascii="Times New Roman" w:eastAsia="Times New Roman" w:hAnsi="Times New Roman"/>
      <w:sz w:val="24"/>
      <w:szCs w:val="24"/>
      <w:lang w:val="en-IN" w:eastAsia="en-IN" w:bidi="ar-SA"/>
    </w:rPr>
  </w:style>
  <w:style w:type="paragraph" w:styleId="NoSpacing">
    <w:name w:val="No Spacing"/>
    <w:uiPriority w:val="1"/>
    <w:qFormat/>
    <w:rsid w:val="003A2B70"/>
    <w:pPr>
      <w:spacing w:after="0" w:line="240" w:lineRule="auto"/>
    </w:pPr>
    <w:rPr>
      <w:rFonts w:ascii="Calibri" w:eastAsia="Calibri" w:hAnsi="Calibri" w:cs="Times New Roman"/>
      <w:szCs w:val="20"/>
      <w:lang w:val="en-US" w:bidi="hi-IN"/>
    </w:rPr>
  </w:style>
  <w:style w:type="paragraph" w:styleId="BalloonText">
    <w:name w:val="Balloon Text"/>
    <w:basedOn w:val="Normal"/>
    <w:link w:val="BalloonTextChar"/>
    <w:uiPriority w:val="99"/>
    <w:semiHidden/>
    <w:unhideWhenUsed/>
    <w:rsid w:val="003A2B70"/>
    <w:pPr>
      <w:spacing w:after="0" w:line="240" w:lineRule="auto"/>
    </w:pPr>
    <w:rPr>
      <w:rFonts w:ascii="Segoe UI" w:hAnsi="Segoe UI" w:cs="Arial Unicode MS"/>
      <w:sz w:val="18"/>
      <w:szCs w:val="16"/>
      <w:lang w:bidi="ml-IN"/>
    </w:rPr>
  </w:style>
  <w:style w:type="character" w:customStyle="1" w:styleId="BalloonTextChar">
    <w:name w:val="Balloon Text Char"/>
    <w:basedOn w:val="DefaultParagraphFont"/>
    <w:link w:val="BalloonText"/>
    <w:uiPriority w:val="99"/>
    <w:semiHidden/>
    <w:rsid w:val="003A2B70"/>
    <w:rPr>
      <w:rFonts w:ascii="Segoe UI" w:eastAsia="Calibri" w:hAnsi="Segoe UI" w:cs="Arial Unicode MS"/>
      <w:sz w:val="18"/>
      <w:szCs w:val="16"/>
      <w:lang w:bidi="ml-IN"/>
    </w:rPr>
  </w:style>
  <w:style w:type="paragraph" w:styleId="FootnoteText">
    <w:name w:val="footnote text"/>
    <w:basedOn w:val="Normal"/>
    <w:link w:val="FootnoteTextChar"/>
    <w:uiPriority w:val="99"/>
    <w:semiHidden/>
    <w:unhideWhenUsed/>
    <w:rsid w:val="003A2B70"/>
    <w:pPr>
      <w:spacing w:after="0" w:line="240" w:lineRule="auto"/>
    </w:pPr>
    <w:rPr>
      <w:rFonts w:cs="Arial Unicode MS"/>
      <w:sz w:val="20"/>
      <w:szCs w:val="18"/>
      <w:lang w:bidi="ml-IN"/>
    </w:rPr>
  </w:style>
  <w:style w:type="character" w:customStyle="1" w:styleId="FootnoteTextChar">
    <w:name w:val="Footnote Text Char"/>
    <w:basedOn w:val="DefaultParagraphFont"/>
    <w:link w:val="FootnoteText"/>
    <w:uiPriority w:val="99"/>
    <w:semiHidden/>
    <w:rsid w:val="003A2B70"/>
    <w:rPr>
      <w:rFonts w:ascii="Calibri" w:eastAsia="Calibri" w:hAnsi="Calibri" w:cs="Arial Unicode MS"/>
      <w:sz w:val="20"/>
      <w:szCs w:val="18"/>
      <w:lang w:bidi="ml-IN"/>
    </w:rPr>
  </w:style>
  <w:style w:type="character" w:styleId="FootnoteReference">
    <w:name w:val="footnote reference"/>
    <w:uiPriority w:val="99"/>
    <w:semiHidden/>
    <w:unhideWhenUsed/>
    <w:rsid w:val="003A2B70"/>
    <w:rPr>
      <w:vertAlign w:val="superscript"/>
    </w:rPr>
  </w:style>
  <w:style w:type="character" w:styleId="PageNumber">
    <w:name w:val="page number"/>
    <w:basedOn w:val="DefaultParagraphFont"/>
    <w:uiPriority w:val="99"/>
    <w:semiHidden/>
    <w:unhideWhenUsed/>
    <w:rsid w:val="003A2B70"/>
  </w:style>
  <w:style w:type="paragraph" w:styleId="BodyText">
    <w:name w:val="Body Text"/>
    <w:basedOn w:val="Normal"/>
    <w:link w:val="BodyTextChar"/>
    <w:uiPriority w:val="99"/>
    <w:semiHidden/>
    <w:unhideWhenUsed/>
    <w:rsid w:val="003A2B70"/>
    <w:pPr>
      <w:spacing w:after="120"/>
    </w:pPr>
  </w:style>
  <w:style w:type="character" w:customStyle="1" w:styleId="BodyTextChar">
    <w:name w:val="Body Text Char"/>
    <w:basedOn w:val="DefaultParagraphFont"/>
    <w:link w:val="BodyText"/>
    <w:uiPriority w:val="99"/>
    <w:semiHidden/>
    <w:rsid w:val="003A2B70"/>
    <w:rPr>
      <w:rFonts w:ascii="Calibri" w:eastAsia="Calibri" w:hAnsi="Calibri" w:cs="Times New Roman"/>
      <w:szCs w:val="20"/>
      <w:lang w:val="en-US" w:bidi="hi-IN"/>
    </w:rPr>
  </w:style>
  <w:style w:type="paragraph" w:styleId="BodyTextIndent">
    <w:name w:val="Body Text Indent"/>
    <w:basedOn w:val="Normal"/>
    <w:link w:val="BodyTextIndentChar"/>
    <w:uiPriority w:val="99"/>
    <w:unhideWhenUsed/>
    <w:rsid w:val="003A2B70"/>
    <w:pPr>
      <w:spacing w:after="0" w:line="240" w:lineRule="auto"/>
    </w:pPr>
    <w:rPr>
      <w:rFonts w:ascii="Palatino" w:eastAsia="Times New Roman" w:hAnsi="Palatino"/>
      <w:color w:val="000000"/>
      <w:sz w:val="24"/>
      <w:lang w:bidi="ar-SA"/>
    </w:rPr>
  </w:style>
  <w:style w:type="character" w:customStyle="1" w:styleId="BodyTextIndentChar">
    <w:name w:val="Body Text Indent Char"/>
    <w:basedOn w:val="DefaultParagraphFont"/>
    <w:link w:val="BodyTextIndent"/>
    <w:uiPriority w:val="99"/>
    <w:rsid w:val="003A2B70"/>
    <w:rPr>
      <w:rFonts w:ascii="Palatino" w:eastAsia="Times New Roman" w:hAnsi="Palatino" w:cs="Times New Roman"/>
      <w:color w:val="000000"/>
      <w:sz w:val="24"/>
      <w:szCs w:val="20"/>
      <w:lang w:val="en-US"/>
    </w:rPr>
  </w:style>
  <w:style w:type="paragraph" w:customStyle="1" w:styleId="Pa1">
    <w:name w:val="Pa1"/>
    <w:basedOn w:val="Default"/>
    <w:next w:val="Default"/>
    <w:uiPriority w:val="99"/>
    <w:rsid w:val="003A2B70"/>
    <w:pPr>
      <w:spacing w:line="241" w:lineRule="atLeast"/>
    </w:pPr>
    <w:rPr>
      <w:rFonts w:cs="Mangal"/>
      <w:color w:val="auto"/>
    </w:rPr>
  </w:style>
  <w:style w:type="paragraph" w:customStyle="1" w:styleId="papertitle">
    <w:name w:val="paper title"/>
    <w:basedOn w:val="Default"/>
    <w:next w:val="Default"/>
    <w:uiPriority w:val="99"/>
    <w:rsid w:val="003A2B70"/>
    <w:rPr>
      <w:rFonts w:cs="Mangal"/>
      <w:color w:val="auto"/>
    </w:rPr>
  </w:style>
  <w:style w:type="character" w:styleId="Strong">
    <w:name w:val="Strong"/>
    <w:uiPriority w:val="22"/>
    <w:qFormat/>
    <w:rsid w:val="003A2B70"/>
    <w:rPr>
      <w:b/>
      <w:bCs/>
    </w:rPr>
  </w:style>
  <w:style w:type="paragraph" w:customStyle="1" w:styleId="lead">
    <w:name w:val="lead"/>
    <w:basedOn w:val="Normal"/>
    <w:rsid w:val="003A2B70"/>
    <w:pPr>
      <w:spacing w:before="100" w:beforeAutospacing="1" w:after="100" w:afterAutospacing="1" w:line="240" w:lineRule="auto"/>
    </w:pPr>
    <w:rPr>
      <w:rFonts w:ascii="Times New Roman" w:eastAsia="Times New Roman" w:hAnsi="Times New Roman"/>
      <w:sz w:val="24"/>
      <w:szCs w:val="24"/>
      <w:lang w:val="en-IN" w:eastAsia="en-IN" w:bidi="ar-SA"/>
    </w:rPr>
  </w:style>
  <w:style w:type="character" w:styleId="HTMLCite">
    <w:name w:val="HTML Cite"/>
    <w:uiPriority w:val="99"/>
    <w:semiHidden/>
    <w:unhideWhenUsed/>
    <w:rsid w:val="003A2B70"/>
    <w:rPr>
      <w:i/>
      <w:iCs/>
    </w:rPr>
  </w:style>
  <w:style w:type="character" w:customStyle="1" w:styleId="languageicon">
    <w:name w:val="languageicon"/>
    <w:basedOn w:val="DefaultParagraphFont"/>
    <w:rsid w:val="003A2B70"/>
  </w:style>
  <w:style w:type="character" w:styleId="SubtleEmphasis">
    <w:name w:val="Subtle Emphasis"/>
    <w:uiPriority w:val="19"/>
    <w:qFormat/>
    <w:rsid w:val="003A2B70"/>
    <w:rPr>
      <w:i/>
      <w:iCs/>
      <w:color w:val="404040"/>
    </w:rPr>
  </w:style>
  <w:style w:type="character" w:customStyle="1" w:styleId="source">
    <w:name w:val="source"/>
    <w:basedOn w:val="DefaultParagraphFont"/>
    <w:rsid w:val="003A2B70"/>
  </w:style>
  <w:style w:type="character" w:styleId="PlaceholderText">
    <w:name w:val="Placeholder Text"/>
    <w:uiPriority w:val="99"/>
    <w:semiHidden/>
    <w:rsid w:val="003A2B70"/>
    <w:rPr>
      <w:color w:val="808080"/>
    </w:rPr>
  </w:style>
  <w:style w:type="character" w:styleId="Emphasis">
    <w:name w:val="Emphasis"/>
    <w:uiPriority w:val="20"/>
    <w:qFormat/>
    <w:rsid w:val="003A2B70"/>
    <w:rPr>
      <w:i/>
      <w:iCs/>
    </w:rPr>
  </w:style>
  <w:style w:type="character" w:customStyle="1" w:styleId="title-text">
    <w:name w:val="title-text"/>
    <w:basedOn w:val="DefaultParagraphFont"/>
    <w:rsid w:val="0078683B"/>
  </w:style>
  <w:style w:type="character" w:customStyle="1" w:styleId="a">
    <w:name w:val="a"/>
    <w:basedOn w:val="DefaultParagraphFont"/>
    <w:rsid w:val="00722CC7"/>
  </w:style>
  <w:style w:type="character" w:customStyle="1" w:styleId="l">
    <w:name w:val="l"/>
    <w:basedOn w:val="DefaultParagraphFont"/>
    <w:rsid w:val="00722CC7"/>
  </w:style>
  <w:style w:type="character" w:customStyle="1" w:styleId="l7">
    <w:name w:val="l7"/>
    <w:basedOn w:val="DefaultParagraphFont"/>
    <w:rsid w:val="00722CC7"/>
  </w:style>
  <w:style w:type="character" w:customStyle="1" w:styleId="l6">
    <w:name w:val="l6"/>
    <w:basedOn w:val="DefaultParagraphFont"/>
    <w:rsid w:val="00722CC7"/>
  </w:style>
  <w:style w:type="character" w:customStyle="1" w:styleId="l10">
    <w:name w:val="l10"/>
    <w:basedOn w:val="DefaultParagraphFont"/>
    <w:rsid w:val="00722CC7"/>
  </w:style>
  <w:style w:type="character" w:styleId="LineNumber">
    <w:name w:val="line number"/>
    <w:basedOn w:val="DefaultParagraphFont"/>
    <w:uiPriority w:val="99"/>
    <w:semiHidden/>
    <w:unhideWhenUsed/>
    <w:rsid w:val="0051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347">
      <w:bodyDiv w:val="1"/>
      <w:marLeft w:val="0"/>
      <w:marRight w:val="0"/>
      <w:marTop w:val="0"/>
      <w:marBottom w:val="0"/>
      <w:divBdr>
        <w:top w:val="none" w:sz="0" w:space="0" w:color="auto"/>
        <w:left w:val="none" w:sz="0" w:space="0" w:color="auto"/>
        <w:bottom w:val="none" w:sz="0" w:space="0" w:color="auto"/>
        <w:right w:val="none" w:sz="0" w:space="0" w:color="auto"/>
      </w:divBdr>
    </w:div>
    <w:div w:id="251396256">
      <w:bodyDiv w:val="1"/>
      <w:marLeft w:val="0"/>
      <w:marRight w:val="0"/>
      <w:marTop w:val="0"/>
      <w:marBottom w:val="0"/>
      <w:divBdr>
        <w:top w:val="none" w:sz="0" w:space="0" w:color="auto"/>
        <w:left w:val="none" w:sz="0" w:space="0" w:color="auto"/>
        <w:bottom w:val="none" w:sz="0" w:space="0" w:color="auto"/>
        <w:right w:val="none" w:sz="0" w:space="0" w:color="auto"/>
      </w:divBdr>
    </w:div>
    <w:div w:id="266232878">
      <w:bodyDiv w:val="1"/>
      <w:marLeft w:val="0"/>
      <w:marRight w:val="0"/>
      <w:marTop w:val="0"/>
      <w:marBottom w:val="0"/>
      <w:divBdr>
        <w:top w:val="none" w:sz="0" w:space="0" w:color="auto"/>
        <w:left w:val="none" w:sz="0" w:space="0" w:color="auto"/>
        <w:bottom w:val="none" w:sz="0" w:space="0" w:color="auto"/>
        <w:right w:val="none" w:sz="0" w:space="0" w:color="auto"/>
      </w:divBdr>
    </w:div>
    <w:div w:id="334571857">
      <w:bodyDiv w:val="1"/>
      <w:marLeft w:val="0"/>
      <w:marRight w:val="0"/>
      <w:marTop w:val="0"/>
      <w:marBottom w:val="0"/>
      <w:divBdr>
        <w:top w:val="none" w:sz="0" w:space="0" w:color="auto"/>
        <w:left w:val="none" w:sz="0" w:space="0" w:color="auto"/>
        <w:bottom w:val="none" w:sz="0" w:space="0" w:color="auto"/>
        <w:right w:val="none" w:sz="0" w:space="0" w:color="auto"/>
      </w:divBdr>
    </w:div>
    <w:div w:id="701783923">
      <w:bodyDiv w:val="1"/>
      <w:marLeft w:val="0"/>
      <w:marRight w:val="0"/>
      <w:marTop w:val="0"/>
      <w:marBottom w:val="0"/>
      <w:divBdr>
        <w:top w:val="none" w:sz="0" w:space="0" w:color="auto"/>
        <w:left w:val="none" w:sz="0" w:space="0" w:color="auto"/>
        <w:bottom w:val="none" w:sz="0" w:space="0" w:color="auto"/>
        <w:right w:val="none" w:sz="0" w:space="0" w:color="auto"/>
      </w:divBdr>
    </w:div>
    <w:div w:id="810287593">
      <w:bodyDiv w:val="1"/>
      <w:marLeft w:val="0"/>
      <w:marRight w:val="0"/>
      <w:marTop w:val="0"/>
      <w:marBottom w:val="0"/>
      <w:divBdr>
        <w:top w:val="none" w:sz="0" w:space="0" w:color="auto"/>
        <w:left w:val="none" w:sz="0" w:space="0" w:color="auto"/>
        <w:bottom w:val="none" w:sz="0" w:space="0" w:color="auto"/>
        <w:right w:val="none" w:sz="0" w:space="0" w:color="auto"/>
      </w:divBdr>
    </w:div>
    <w:div w:id="887375541">
      <w:bodyDiv w:val="1"/>
      <w:marLeft w:val="0"/>
      <w:marRight w:val="0"/>
      <w:marTop w:val="0"/>
      <w:marBottom w:val="0"/>
      <w:divBdr>
        <w:top w:val="none" w:sz="0" w:space="0" w:color="auto"/>
        <w:left w:val="none" w:sz="0" w:space="0" w:color="auto"/>
        <w:bottom w:val="none" w:sz="0" w:space="0" w:color="auto"/>
        <w:right w:val="none" w:sz="0" w:space="0" w:color="auto"/>
      </w:divBdr>
    </w:div>
    <w:div w:id="912087707">
      <w:bodyDiv w:val="1"/>
      <w:marLeft w:val="0"/>
      <w:marRight w:val="0"/>
      <w:marTop w:val="0"/>
      <w:marBottom w:val="0"/>
      <w:divBdr>
        <w:top w:val="none" w:sz="0" w:space="0" w:color="auto"/>
        <w:left w:val="none" w:sz="0" w:space="0" w:color="auto"/>
        <w:bottom w:val="none" w:sz="0" w:space="0" w:color="auto"/>
        <w:right w:val="none" w:sz="0" w:space="0" w:color="auto"/>
      </w:divBdr>
    </w:div>
    <w:div w:id="958149663">
      <w:bodyDiv w:val="1"/>
      <w:marLeft w:val="0"/>
      <w:marRight w:val="0"/>
      <w:marTop w:val="0"/>
      <w:marBottom w:val="0"/>
      <w:divBdr>
        <w:top w:val="none" w:sz="0" w:space="0" w:color="auto"/>
        <w:left w:val="none" w:sz="0" w:space="0" w:color="auto"/>
        <w:bottom w:val="none" w:sz="0" w:space="0" w:color="auto"/>
        <w:right w:val="none" w:sz="0" w:space="0" w:color="auto"/>
      </w:divBdr>
    </w:div>
    <w:div w:id="1138957070">
      <w:bodyDiv w:val="1"/>
      <w:marLeft w:val="0"/>
      <w:marRight w:val="0"/>
      <w:marTop w:val="0"/>
      <w:marBottom w:val="0"/>
      <w:divBdr>
        <w:top w:val="none" w:sz="0" w:space="0" w:color="auto"/>
        <w:left w:val="none" w:sz="0" w:space="0" w:color="auto"/>
        <w:bottom w:val="none" w:sz="0" w:space="0" w:color="auto"/>
        <w:right w:val="none" w:sz="0" w:space="0" w:color="auto"/>
      </w:divBdr>
    </w:div>
    <w:div w:id="1311862440">
      <w:bodyDiv w:val="1"/>
      <w:marLeft w:val="0"/>
      <w:marRight w:val="0"/>
      <w:marTop w:val="0"/>
      <w:marBottom w:val="0"/>
      <w:divBdr>
        <w:top w:val="none" w:sz="0" w:space="0" w:color="auto"/>
        <w:left w:val="none" w:sz="0" w:space="0" w:color="auto"/>
        <w:bottom w:val="none" w:sz="0" w:space="0" w:color="auto"/>
        <w:right w:val="none" w:sz="0" w:space="0" w:color="auto"/>
      </w:divBdr>
    </w:div>
    <w:div w:id="1855224480">
      <w:bodyDiv w:val="1"/>
      <w:marLeft w:val="0"/>
      <w:marRight w:val="0"/>
      <w:marTop w:val="0"/>
      <w:marBottom w:val="0"/>
      <w:divBdr>
        <w:top w:val="none" w:sz="0" w:space="0" w:color="auto"/>
        <w:left w:val="none" w:sz="0" w:space="0" w:color="auto"/>
        <w:bottom w:val="none" w:sz="0" w:space="0" w:color="auto"/>
        <w:right w:val="none" w:sz="0" w:space="0" w:color="auto"/>
      </w:divBdr>
      <w:divsChild>
        <w:div w:id="1119452203">
          <w:marLeft w:val="0"/>
          <w:marRight w:val="0"/>
          <w:marTop w:val="0"/>
          <w:marBottom w:val="0"/>
          <w:divBdr>
            <w:top w:val="none" w:sz="0" w:space="0" w:color="auto"/>
            <w:left w:val="none" w:sz="0" w:space="0" w:color="auto"/>
            <w:bottom w:val="none" w:sz="0" w:space="0" w:color="auto"/>
            <w:right w:val="none" w:sz="0" w:space="0" w:color="auto"/>
          </w:divBdr>
        </w:div>
        <w:div w:id="808547177">
          <w:marLeft w:val="0"/>
          <w:marRight w:val="0"/>
          <w:marTop w:val="0"/>
          <w:marBottom w:val="0"/>
          <w:divBdr>
            <w:top w:val="none" w:sz="0" w:space="0" w:color="auto"/>
            <w:left w:val="none" w:sz="0" w:space="0" w:color="auto"/>
            <w:bottom w:val="none" w:sz="0" w:space="0" w:color="auto"/>
            <w:right w:val="none" w:sz="0" w:space="0" w:color="auto"/>
          </w:divBdr>
        </w:div>
        <w:div w:id="1005743076">
          <w:marLeft w:val="0"/>
          <w:marRight w:val="0"/>
          <w:marTop w:val="0"/>
          <w:marBottom w:val="0"/>
          <w:divBdr>
            <w:top w:val="none" w:sz="0" w:space="0" w:color="auto"/>
            <w:left w:val="none" w:sz="0" w:space="0" w:color="auto"/>
            <w:bottom w:val="none" w:sz="0" w:space="0" w:color="auto"/>
            <w:right w:val="none" w:sz="0" w:space="0" w:color="auto"/>
          </w:divBdr>
        </w:div>
        <w:div w:id="1076707606">
          <w:marLeft w:val="0"/>
          <w:marRight w:val="0"/>
          <w:marTop w:val="0"/>
          <w:marBottom w:val="0"/>
          <w:divBdr>
            <w:top w:val="none" w:sz="0" w:space="0" w:color="auto"/>
            <w:left w:val="none" w:sz="0" w:space="0" w:color="auto"/>
            <w:bottom w:val="none" w:sz="0" w:space="0" w:color="auto"/>
            <w:right w:val="none" w:sz="0" w:space="0" w:color="auto"/>
          </w:divBdr>
        </w:div>
        <w:div w:id="2020690258">
          <w:marLeft w:val="0"/>
          <w:marRight w:val="0"/>
          <w:marTop w:val="0"/>
          <w:marBottom w:val="0"/>
          <w:divBdr>
            <w:top w:val="none" w:sz="0" w:space="0" w:color="auto"/>
            <w:left w:val="none" w:sz="0" w:space="0" w:color="auto"/>
            <w:bottom w:val="none" w:sz="0" w:space="0" w:color="auto"/>
            <w:right w:val="none" w:sz="0" w:space="0" w:color="auto"/>
          </w:divBdr>
        </w:div>
        <w:div w:id="1569414135">
          <w:marLeft w:val="0"/>
          <w:marRight w:val="0"/>
          <w:marTop w:val="0"/>
          <w:marBottom w:val="0"/>
          <w:divBdr>
            <w:top w:val="none" w:sz="0" w:space="0" w:color="auto"/>
            <w:left w:val="none" w:sz="0" w:space="0" w:color="auto"/>
            <w:bottom w:val="none" w:sz="0" w:space="0" w:color="auto"/>
            <w:right w:val="none" w:sz="0" w:space="0" w:color="auto"/>
          </w:divBdr>
        </w:div>
        <w:div w:id="1220240105">
          <w:marLeft w:val="0"/>
          <w:marRight w:val="0"/>
          <w:marTop w:val="0"/>
          <w:marBottom w:val="0"/>
          <w:divBdr>
            <w:top w:val="none" w:sz="0" w:space="0" w:color="auto"/>
            <w:left w:val="none" w:sz="0" w:space="0" w:color="auto"/>
            <w:bottom w:val="none" w:sz="0" w:space="0" w:color="auto"/>
            <w:right w:val="none" w:sz="0" w:space="0" w:color="auto"/>
          </w:divBdr>
        </w:div>
        <w:div w:id="406079955">
          <w:marLeft w:val="0"/>
          <w:marRight w:val="0"/>
          <w:marTop w:val="0"/>
          <w:marBottom w:val="0"/>
          <w:divBdr>
            <w:top w:val="none" w:sz="0" w:space="0" w:color="auto"/>
            <w:left w:val="none" w:sz="0" w:space="0" w:color="auto"/>
            <w:bottom w:val="none" w:sz="0" w:space="0" w:color="auto"/>
            <w:right w:val="none" w:sz="0" w:space="0" w:color="auto"/>
          </w:divBdr>
        </w:div>
        <w:div w:id="953832628">
          <w:marLeft w:val="0"/>
          <w:marRight w:val="0"/>
          <w:marTop w:val="0"/>
          <w:marBottom w:val="0"/>
          <w:divBdr>
            <w:top w:val="none" w:sz="0" w:space="0" w:color="auto"/>
            <w:left w:val="none" w:sz="0" w:space="0" w:color="auto"/>
            <w:bottom w:val="none" w:sz="0" w:space="0" w:color="auto"/>
            <w:right w:val="none" w:sz="0" w:space="0" w:color="auto"/>
          </w:divBdr>
        </w:div>
        <w:div w:id="541207035">
          <w:marLeft w:val="0"/>
          <w:marRight w:val="0"/>
          <w:marTop w:val="0"/>
          <w:marBottom w:val="0"/>
          <w:divBdr>
            <w:top w:val="none" w:sz="0" w:space="0" w:color="auto"/>
            <w:left w:val="none" w:sz="0" w:space="0" w:color="auto"/>
            <w:bottom w:val="none" w:sz="0" w:space="0" w:color="auto"/>
            <w:right w:val="none" w:sz="0" w:space="0" w:color="auto"/>
          </w:divBdr>
        </w:div>
        <w:div w:id="267467458">
          <w:marLeft w:val="0"/>
          <w:marRight w:val="0"/>
          <w:marTop w:val="0"/>
          <w:marBottom w:val="0"/>
          <w:divBdr>
            <w:top w:val="none" w:sz="0" w:space="0" w:color="auto"/>
            <w:left w:val="none" w:sz="0" w:space="0" w:color="auto"/>
            <w:bottom w:val="none" w:sz="0" w:space="0" w:color="auto"/>
            <w:right w:val="none" w:sz="0" w:space="0" w:color="auto"/>
          </w:divBdr>
        </w:div>
        <w:div w:id="739526222">
          <w:marLeft w:val="0"/>
          <w:marRight w:val="0"/>
          <w:marTop w:val="0"/>
          <w:marBottom w:val="0"/>
          <w:divBdr>
            <w:top w:val="none" w:sz="0" w:space="0" w:color="auto"/>
            <w:left w:val="none" w:sz="0" w:space="0" w:color="auto"/>
            <w:bottom w:val="none" w:sz="0" w:space="0" w:color="auto"/>
            <w:right w:val="none" w:sz="0" w:space="0" w:color="auto"/>
          </w:divBdr>
        </w:div>
        <w:div w:id="920605684">
          <w:marLeft w:val="0"/>
          <w:marRight w:val="0"/>
          <w:marTop w:val="0"/>
          <w:marBottom w:val="0"/>
          <w:divBdr>
            <w:top w:val="none" w:sz="0" w:space="0" w:color="auto"/>
            <w:left w:val="none" w:sz="0" w:space="0" w:color="auto"/>
            <w:bottom w:val="none" w:sz="0" w:space="0" w:color="auto"/>
            <w:right w:val="none" w:sz="0" w:space="0" w:color="auto"/>
          </w:divBdr>
        </w:div>
        <w:div w:id="1708526291">
          <w:marLeft w:val="0"/>
          <w:marRight w:val="0"/>
          <w:marTop w:val="0"/>
          <w:marBottom w:val="0"/>
          <w:divBdr>
            <w:top w:val="none" w:sz="0" w:space="0" w:color="auto"/>
            <w:left w:val="none" w:sz="0" w:space="0" w:color="auto"/>
            <w:bottom w:val="none" w:sz="0" w:space="0" w:color="auto"/>
            <w:right w:val="none" w:sz="0" w:space="0" w:color="auto"/>
          </w:divBdr>
        </w:div>
        <w:div w:id="1367212967">
          <w:marLeft w:val="0"/>
          <w:marRight w:val="0"/>
          <w:marTop w:val="0"/>
          <w:marBottom w:val="0"/>
          <w:divBdr>
            <w:top w:val="none" w:sz="0" w:space="0" w:color="auto"/>
            <w:left w:val="none" w:sz="0" w:space="0" w:color="auto"/>
            <w:bottom w:val="none" w:sz="0" w:space="0" w:color="auto"/>
            <w:right w:val="none" w:sz="0" w:space="0" w:color="auto"/>
          </w:divBdr>
        </w:div>
        <w:div w:id="438448684">
          <w:marLeft w:val="0"/>
          <w:marRight w:val="0"/>
          <w:marTop w:val="0"/>
          <w:marBottom w:val="0"/>
          <w:divBdr>
            <w:top w:val="none" w:sz="0" w:space="0" w:color="auto"/>
            <w:left w:val="none" w:sz="0" w:space="0" w:color="auto"/>
            <w:bottom w:val="none" w:sz="0" w:space="0" w:color="auto"/>
            <w:right w:val="none" w:sz="0" w:space="0" w:color="auto"/>
          </w:divBdr>
        </w:div>
        <w:div w:id="1774278598">
          <w:marLeft w:val="0"/>
          <w:marRight w:val="0"/>
          <w:marTop w:val="0"/>
          <w:marBottom w:val="0"/>
          <w:divBdr>
            <w:top w:val="none" w:sz="0" w:space="0" w:color="auto"/>
            <w:left w:val="none" w:sz="0" w:space="0" w:color="auto"/>
            <w:bottom w:val="none" w:sz="0" w:space="0" w:color="auto"/>
            <w:right w:val="none" w:sz="0" w:space="0" w:color="auto"/>
          </w:divBdr>
        </w:div>
        <w:div w:id="1843350721">
          <w:marLeft w:val="0"/>
          <w:marRight w:val="0"/>
          <w:marTop w:val="0"/>
          <w:marBottom w:val="0"/>
          <w:divBdr>
            <w:top w:val="none" w:sz="0" w:space="0" w:color="auto"/>
            <w:left w:val="none" w:sz="0" w:space="0" w:color="auto"/>
            <w:bottom w:val="none" w:sz="0" w:space="0" w:color="auto"/>
            <w:right w:val="none" w:sz="0" w:space="0" w:color="auto"/>
          </w:divBdr>
        </w:div>
        <w:div w:id="511069185">
          <w:marLeft w:val="0"/>
          <w:marRight w:val="0"/>
          <w:marTop w:val="0"/>
          <w:marBottom w:val="0"/>
          <w:divBdr>
            <w:top w:val="none" w:sz="0" w:space="0" w:color="auto"/>
            <w:left w:val="none" w:sz="0" w:space="0" w:color="auto"/>
            <w:bottom w:val="none" w:sz="0" w:space="0" w:color="auto"/>
            <w:right w:val="none" w:sz="0" w:space="0" w:color="auto"/>
          </w:divBdr>
        </w:div>
      </w:divsChild>
    </w:div>
    <w:div w:id="1863281269">
      <w:bodyDiv w:val="1"/>
      <w:marLeft w:val="0"/>
      <w:marRight w:val="0"/>
      <w:marTop w:val="0"/>
      <w:marBottom w:val="0"/>
      <w:divBdr>
        <w:top w:val="none" w:sz="0" w:space="0" w:color="auto"/>
        <w:left w:val="none" w:sz="0" w:space="0" w:color="auto"/>
        <w:bottom w:val="none" w:sz="0" w:space="0" w:color="auto"/>
        <w:right w:val="none" w:sz="0" w:space="0" w:color="auto"/>
      </w:divBdr>
    </w:div>
    <w:div w:id="1925727165">
      <w:bodyDiv w:val="1"/>
      <w:marLeft w:val="0"/>
      <w:marRight w:val="0"/>
      <w:marTop w:val="0"/>
      <w:marBottom w:val="0"/>
      <w:divBdr>
        <w:top w:val="none" w:sz="0" w:space="0" w:color="auto"/>
        <w:left w:val="none" w:sz="0" w:space="0" w:color="auto"/>
        <w:bottom w:val="none" w:sz="0" w:space="0" w:color="auto"/>
        <w:right w:val="none" w:sz="0" w:space="0" w:color="auto"/>
      </w:divBdr>
    </w:div>
    <w:div w:id="205403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209492563429571"/>
          <c:y val="6.2146892655367235E-2"/>
          <c:w val="0.83901618547681545"/>
          <c:h val="0.69387962097958089"/>
        </c:manualLayout>
      </c:layout>
      <c:barChart>
        <c:barDir val="col"/>
        <c:grouping val="clustered"/>
        <c:varyColors val="0"/>
        <c:ser>
          <c:idx val="0"/>
          <c:order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Sheet1!$B$1:$B$12</c:f>
              <c:numCache>
                <c:formatCode>General</c:formatCode>
                <c:ptCount val="12"/>
                <c:pt idx="0">
                  <c:v>50</c:v>
                </c:pt>
                <c:pt idx="1">
                  <c:v>100</c:v>
                </c:pt>
                <c:pt idx="2">
                  <c:v>150</c:v>
                </c:pt>
                <c:pt idx="3">
                  <c:v>200</c:v>
                </c:pt>
                <c:pt idx="4">
                  <c:v>250</c:v>
                </c:pt>
                <c:pt idx="5">
                  <c:v>300</c:v>
                </c:pt>
                <c:pt idx="6">
                  <c:v>350</c:v>
                </c:pt>
                <c:pt idx="7">
                  <c:v>400</c:v>
                </c:pt>
                <c:pt idx="8">
                  <c:v>500</c:v>
                </c:pt>
                <c:pt idx="9">
                  <c:v>600</c:v>
                </c:pt>
                <c:pt idx="10">
                  <c:v>750</c:v>
                </c:pt>
                <c:pt idx="11">
                  <c:v>1000</c:v>
                </c:pt>
              </c:numCache>
            </c:numRef>
          </c:cat>
          <c:val>
            <c:numRef>
              <c:f>Sheet1!$C$1:$C$12</c:f>
              <c:numCache>
                <c:formatCode>General</c:formatCode>
                <c:ptCount val="12"/>
                <c:pt idx="0">
                  <c:v>2.1</c:v>
                </c:pt>
                <c:pt idx="1">
                  <c:v>22.4</c:v>
                </c:pt>
                <c:pt idx="2">
                  <c:v>3.1</c:v>
                </c:pt>
                <c:pt idx="3">
                  <c:v>19.8</c:v>
                </c:pt>
                <c:pt idx="4">
                  <c:v>7.6</c:v>
                </c:pt>
                <c:pt idx="5">
                  <c:v>13.8</c:v>
                </c:pt>
                <c:pt idx="6">
                  <c:v>0.8</c:v>
                </c:pt>
                <c:pt idx="7">
                  <c:v>0.8</c:v>
                </c:pt>
                <c:pt idx="8">
                  <c:v>12.2</c:v>
                </c:pt>
                <c:pt idx="9">
                  <c:v>0.3</c:v>
                </c:pt>
                <c:pt idx="10">
                  <c:v>0.3</c:v>
                </c:pt>
                <c:pt idx="11">
                  <c:v>0.3</c:v>
                </c:pt>
              </c:numCache>
            </c:numRef>
          </c:val>
          <c:extLst>
            <c:ext xmlns:c16="http://schemas.microsoft.com/office/drawing/2014/chart" uri="{C3380CC4-5D6E-409C-BE32-E72D297353CC}">
              <c16:uniqueId val="{00000000-D2DD-4AB9-9194-5805666EE0D7}"/>
            </c:ext>
          </c:extLst>
        </c:ser>
        <c:dLbls>
          <c:dLblPos val="outEnd"/>
          <c:showLegendKey val="0"/>
          <c:showVal val="1"/>
          <c:showCatName val="0"/>
          <c:showSerName val="0"/>
          <c:showPercent val="0"/>
          <c:showBubbleSize val="0"/>
        </c:dLbls>
        <c:gapWidth val="100"/>
        <c:overlap val="-24"/>
        <c:axId val="142583296"/>
        <c:axId val="144564992"/>
      </c:barChart>
      <c:catAx>
        <c:axId val="14258329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Maximum WTP ( In Rs/month)</a:t>
                </a:r>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44564992"/>
        <c:crosses val="autoZero"/>
        <c:auto val="1"/>
        <c:lblAlgn val="ctr"/>
        <c:lblOffset val="100"/>
        <c:noMultiLvlLbl val="0"/>
      </c:catAx>
      <c:valAx>
        <c:axId val="144564992"/>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IN" b="0">
                    <a:solidFill>
                      <a:sysClr val="windowText" lastClr="000000"/>
                    </a:solidFill>
                  </a:rPr>
                  <a:t>Percentage to total household</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4258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E454-A161-46C5-BB77-D81217AB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SDI 1084</cp:lastModifiedBy>
  <cp:revision>6</cp:revision>
  <cp:lastPrinted>2024-01-13T13:03:00Z</cp:lastPrinted>
  <dcterms:created xsi:type="dcterms:W3CDTF">2025-03-29T05:55:00Z</dcterms:created>
  <dcterms:modified xsi:type="dcterms:W3CDTF">2025-03-31T06:33:00Z</dcterms:modified>
</cp:coreProperties>
</file>