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09BF" w14:textId="77777777" w:rsidR="008506E6" w:rsidRDefault="008506E6">
      <w:pPr>
        <w:pStyle w:val="Title"/>
        <w:spacing w:after="0"/>
        <w:jc w:val="both"/>
        <w:rPr>
          <w:rFonts w:ascii="Arial" w:hAnsi="Arial" w:cs="Arial"/>
        </w:rPr>
      </w:pPr>
    </w:p>
    <w:p w14:paraId="05FEE471" w14:textId="77777777" w:rsidR="00AC627F" w:rsidRDefault="00AC627F">
      <w:pPr>
        <w:pStyle w:val="Author"/>
        <w:spacing w:line="240" w:lineRule="auto"/>
        <w:rPr>
          <w:rFonts w:ascii="Arial" w:hAnsi="Arial"/>
          <w:bCs/>
          <w:i/>
          <w:iCs/>
          <w:kern w:val="28"/>
          <w:sz w:val="36"/>
          <w:u w:val="single"/>
        </w:rPr>
      </w:pPr>
      <w:r w:rsidRPr="00AC627F">
        <w:rPr>
          <w:rFonts w:ascii="Arial" w:hAnsi="Arial"/>
          <w:bCs/>
          <w:i/>
          <w:iCs/>
          <w:kern w:val="28"/>
          <w:sz w:val="36"/>
          <w:u w:val="single"/>
        </w:rPr>
        <w:t>Short Research Article</w:t>
      </w:r>
    </w:p>
    <w:p w14:paraId="1E8E86DD" w14:textId="77777777" w:rsidR="00AC627F" w:rsidRPr="00AC627F" w:rsidRDefault="00AC627F">
      <w:pPr>
        <w:pStyle w:val="Author"/>
        <w:spacing w:line="240" w:lineRule="auto"/>
        <w:rPr>
          <w:rFonts w:ascii="Arial" w:hAnsi="Arial"/>
          <w:bCs/>
          <w:i/>
          <w:iCs/>
          <w:kern w:val="28"/>
          <w:sz w:val="36"/>
          <w:u w:val="single"/>
        </w:rPr>
      </w:pPr>
    </w:p>
    <w:p w14:paraId="5CD88E85" w14:textId="77777777" w:rsidR="008506E6" w:rsidRDefault="005B3201">
      <w:pPr>
        <w:pStyle w:val="Author"/>
        <w:spacing w:line="240" w:lineRule="auto"/>
        <w:rPr>
          <w:rFonts w:ascii="Arial" w:hAnsi="Arial" w:cs="Arial"/>
          <w:bCs/>
          <w:iCs/>
          <w:kern w:val="28"/>
          <w:sz w:val="36"/>
        </w:rPr>
      </w:pPr>
      <w:r>
        <w:rPr>
          <w:rFonts w:ascii="Arial" w:hAnsi="Arial"/>
          <w:bCs/>
          <w:iCs/>
          <w:kern w:val="28"/>
          <w:sz w:val="36"/>
        </w:rPr>
        <w:t>Assessing Environmental Health Through Physicochemical Analysis of the Sabangan River, Barangay Can-</w:t>
      </w:r>
      <w:proofErr w:type="spellStart"/>
      <w:r>
        <w:rPr>
          <w:rFonts w:ascii="Arial" w:hAnsi="Arial"/>
          <w:bCs/>
          <w:iCs/>
          <w:kern w:val="28"/>
          <w:sz w:val="36"/>
        </w:rPr>
        <w:t>ayan</w:t>
      </w:r>
      <w:proofErr w:type="spellEnd"/>
      <w:r>
        <w:rPr>
          <w:rFonts w:ascii="Arial" w:hAnsi="Arial"/>
          <w:bCs/>
          <w:iCs/>
          <w:kern w:val="28"/>
          <w:sz w:val="36"/>
        </w:rPr>
        <w:t>, Malaybalay City, Bukidnon</w:t>
      </w:r>
    </w:p>
    <w:p w14:paraId="7AE07408" w14:textId="77777777" w:rsidR="008506E6" w:rsidRDefault="008506E6">
      <w:pPr>
        <w:pStyle w:val="Author"/>
        <w:spacing w:line="240" w:lineRule="auto"/>
        <w:jc w:val="both"/>
        <w:rPr>
          <w:rFonts w:ascii="Arial" w:hAnsi="Arial" w:cs="Arial"/>
          <w:sz w:val="36"/>
        </w:rPr>
      </w:pPr>
    </w:p>
    <w:p w14:paraId="39632726" w14:textId="77777777" w:rsidR="00AC627F" w:rsidRDefault="00AC627F">
      <w:pPr>
        <w:pStyle w:val="Affiliation"/>
        <w:spacing w:after="0" w:line="240" w:lineRule="auto"/>
        <w:rPr>
          <w:rFonts w:ascii="Arial" w:hAnsi="Arial" w:cs="Arial"/>
          <w:i/>
        </w:rPr>
      </w:pPr>
    </w:p>
    <w:p w14:paraId="7E3E73B9" w14:textId="77777777" w:rsidR="00206B64" w:rsidRDefault="00206B64">
      <w:pPr>
        <w:pStyle w:val="Affiliation"/>
        <w:spacing w:after="0" w:line="240" w:lineRule="auto"/>
        <w:rPr>
          <w:rFonts w:ascii="Arial" w:hAnsi="Arial" w:cs="Arial"/>
          <w:i/>
        </w:rPr>
      </w:pPr>
    </w:p>
    <w:p w14:paraId="0A7297B9" w14:textId="77777777" w:rsidR="00206B64" w:rsidRDefault="00206B64">
      <w:pPr>
        <w:pStyle w:val="Affiliation"/>
        <w:spacing w:after="0" w:line="240" w:lineRule="auto"/>
        <w:rPr>
          <w:rFonts w:ascii="Arial" w:hAnsi="Arial" w:cs="Arial"/>
          <w:i/>
        </w:rPr>
      </w:pPr>
    </w:p>
    <w:p w14:paraId="2BE1AFE7" w14:textId="77777777" w:rsidR="008506E6" w:rsidRDefault="008506E6">
      <w:pPr>
        <w:pStyle w:val="Affiliation"/>
        <w:spacing w:after="0" w:line="240" w:lineRule="auto"/>
        <w:jc w:val="both"/>
        <w:rPr>
          <w:rFonts w:ascii="Arial" w:hAnsi="Arial" w:cs="Arial"/>
        </w:rPr>
      </w:pPr>
    </w:p>
    <w:p w14:paraId="0C25F542" w14:textId="77777777" w:rsidR="008506E6" w:rsidRDefault="008506E6">
      <w:pPr>
        <w:pStyle w:val="Affiliation"/>
        <w:spacing w:after="0" w:line="240" w:lineRule="auto"/>
        <w:jc w:val="both"/>
        <w:rPr>
          <w:rFonts w:ascii="Arial" w:hAnsi="Arial" w:cs="Arial"/>
        </w:rPr>
      </w:pPr>
    </w:p>
    <w:p w14:paraId="273E8B44" w14:textId="77777777" w:rsidR="008506E6" w:rsidRDefault="000C114C">
      <w:pPr>
        <w:pStyle w:val="Copyright"/>
        <w:spacing w:after="0" w:line="240" w:lineRule="auto"/>
        <w:jc w:val="both"/>
        <w:rPr>
          <w:rFonts w:ascii="Arial" w:hAnsi="Arial" w:cs="Arial"/>
        </w:rPr>
        <w:sectPr w:rsidR="008506E6" w:rsidSect="00206B6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9EC910C" wp14:editId="43853D78">
                <wp:extent cx="5303520" cy="635"/>
                <wp:effectExtent l="0" t="0" r="11430" b="18415"/>
                <wp:docPr id="213004517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82B191"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" strokeweight="1.5pt">
                <o:lock v:ext="edit" shapetype="f"/>
                <w10:anchorlock/>
              </v:shape>
            </w:pict>
          </mc:Fallback>
        </mc:AlternateContent>
      </w:r>
      <w:r>
        <w:rPr>
          <w:rFonts w:ascii="Arial" w:hAnsi="Arial" w:cs="Arial"/>
        </w:rPr>
        <w:t>.</w:t>
      </w:r>
    </w:p>
    <w:p w14:paraId="25718293" w14:textId="77777777" w:rsidR="008506E6" w:rsidRDefault="005B3201">
      <w:pPr>
        <w:pStyle w:val="AbstHead"/>
        <w:spacing w:after="0"/>
        <w:jc w:val="both"/>
        <w:rPr>
          <w:rFonts w:ascii="Arial" w:hAnsi="Arial" w:cs="Arial"/>
        </w:rPr>
      </w:pPr>
      <w:r>
        <w:rPr>
          <w:rFonts w:ascii="Arial" w:hAnsi="Arial" w:cs="Arial"/>
        </w:rPr>
        <w:t>ABSTRACT</w:t>
      </w:r>
    </w:p>
    <w:p w14:paraId="0EAB1733" w14:textId="77777777" w:rsidR="008506E6" w:rsidRDefault="008506E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8506E6" w14:paraId="07F21BF2" w14:textId="77777777">
        <w:tc>
          <w:tcPr>
            <w:tcW w:w="9576" w:type="dxa"/>
            <w:shd w:val="clear" w:color="auto" w:fill="F2F2F2"/>
          </w:tcPr>
          <w:p w14:paraId="54A5B22E" w14:textId="77777777" w:rsidR="008506E6" w:rsidRDefault="005B3201">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szCs w:val="22"/>
              </w:rPr>
              <w:t>This study aimed to assess the physicochemical water quality of the Sabangan River in Barangay Can-</w:t>
            </w:r>
            <w:proofErr w:type="spellStart"/>
            <w:r>
              <w:rPr>
                <w:rFonts w:ascii="Arial" w:eastAsia="Calibri" w:hAnsi="Arial"/>
                <w:szCs w:val="22"/>
              </w:rPr>
              <w:t>ayan</w:t>
            </w:r>
            <w:proofErr w:type="spellEnd"/>
            <w:r>
              <w:rPr>
                <w:rFonts w:ascii="Arial" w:eastAsia="Calibri" w:hAnsi="Arial"/>
                <w:szCs w:val="22"/>
              </w:rPr>
              <w:t>, Malaybalay City, Bukidnon. Specifically, it evaluated total dissolved solids (TDS), turbidity, dissolved oxygen (DO), pH, and total alkalinity in upstream, midstream, and downstream sections of the river to determine compliance with the Department of Environment and Natural Resources (DENR) Class C standards for recreational waters.</w:t>
            </w:r>
          </w:p>
          <w:p w14:paraId="73B16074" w14:textId="77777777" w:rsidR="008506E6" w:rsidRDefault="005B3201">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szCs w:val="22"/>
              </w:rPr>
              <w:t>This study employed a qualitative descriptive research design to characterize the physicochemical properties of the river water based on observed and measured parameters.</w:t>
            </w:r>
          </w:p>
          <w:p w14:paraId="76CE48DC" w14:textId="77777777" w:rsidR="008506E6" w:rsidRDefault="005B3201">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eastAsia="Calibri" w:hAnsi="Arial"/>
                <w:szCs w:val="22"/>
              </w:rPr>
              <w:t>The study was conducted at the Sabangan River, Barangay Can-</w:t>
            </w:r>
            <w:proofErr w:type="spellStart"/>
            <w:r>
              <w:rPr>
                <w:rFonts w:ascii="Arial" w:eastAsia="Calibri" w:hAnsi="Arial"/>
                <w:szCs w:val="22"/>
              </w:rPr>
              <w:t>ayan</w:t>
            </w:r>
            <w:proofErr w:type="spellEnd"/>
            <w:r>
              <w:rPr>
                <w:rFonts w:ascii="Arial" w:eastAsia="Calibri" w:hAnsi="Arial"/>
                <w:szCs w:val="22"/>
              </w:rPr>
              <w:t>, Malaybalay City, Bukidnon, Philippines. Sampling was conducted early in the morning on April 8, 2024.</w:t>
            </w:r>
          </w:p>
          <w:p w14:paraId="62CE108A" w14:textId="77777777" w:rsidR="008506E6" w:rsidRDefault="005B3201">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eastAsia="Calibri" w:hAnsi="Arial"/>
                <w:szCs w:val="22"/>
              </w:rPr>
              <w:t xml:space="preserve">Water samples were collected and analyzed ex-situ at F.A.S.T. Laboratories to determine key physicochemical parameters using standard laboratory methods. pH was assessed using the 4500 H+B electrometric method, turbidity was measured through 2130 B Nephelometry, TDS was determined via 2540 C Gravimetry, DO was analyzed using the 4500 </w:t>
            </w:r>
            <w:proofErr w:type="spellStart"/>
            <w:r>
              <w:rPr>
                <w:rFonts w:ascii="Arial" w:eastAsia="Calibri" w:hAnsi="Arial"/>
                <w:szCs w:val="22"/>
              </w:rPr>
              <w:t>oC</w:t>
            </w:r>
            <w:proofErr w:type="spellEnd"/>
            <w:r>
              <w:rPr>
                <w:rFonts w:ascii="Arial" w:eastAsia="Calibri" w:hAnsi="Arial"/>
                <w:szCs w:val="22"/>
              </w:rPr>
              <w:t xml:space="preserve"> </w:t>
            </w:r>
            <w:proofErr w:type="spellStart"/>
            <w:r>
              <w:rPr>
                <w:rFonts w:ascii="Arial" w:eastAsia="Calibri" w:hAnsi="Arial"/>
                <w:szCs w:val="22"/>
              </w:rPr>
              <w:t>Azide</w:t>
            </w:r>
            <w:proofErr w:type="spellEnd"/>
            <w:r>
              <w:rPr>
                <w:rFonts w:ascii="Arial" w:eastAsia="Calibri" w:hAnsi="Arial"/>
                <w:szCs w:val="22"/>
              </w:rPr>
              <w:t xml:space="preserve"> modification method, and total alkalinity was tested through 2320 B </w:t>
            </w:r>
            <w:proofErr w:type="spellStart"/>
            <w:r>
              <w:rPr>
                <w:rFonts w:ascii="Arial" w:eastAsia="Calibri" w:hAnsi="Arial"/>
                <w:szCs w:val="22"/>
              </w:rPr>
              <w:t>Titrimetry</w:t>
            </w:r>
            <w:proofErr w:type="spellEnd"/>
            <w:r>
              <w:rPr>
                <w:rFonts w:ascii="Arial" w:eastAsia="Calibri" w:hAnsi="Arial"/>
                <w:szCs w:val="22"/>
              </w:rPr>
              <w:t>.</w:t>
            </w:r>
          </w:p>
          <w:p w14:paraId="165D5846" w14:textId="77777777" w:rsidR="008506E6" w:rsidRDefault="005B3201">
            <w:pPr>
              <w:pStyle w:val="Body"/>
              <w:spacing w:after="0"/>
              <w:rPr>
                <w:rFonts w:ascii="Arial" w:eastAsia="Calibri" w:hAnsi="Arial"/>
                <w:szCs w:val="22"/>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szCs w:val="22"/>
              </w:rPr>
              <w:t xml:space="preserve">The analysis revealed that TDS was 146.67 mg/L, turbidity was 0.413 NTU, DO was 8.47 mg/L, pH was 8.26, and total alkalinity was 112 mg/L. All measured parameters were within the DENR Class C standards for recreational waters, indicating low levels of dissolved impurities, high water clarity, and a well-buffered aquatic system. </w:t>
            </w:r>
          </w:p>
          <w:p w14:paraId="16103C9D" w14:textId="77777777" w:rsidR="008506E6" w:rsidRDefault="005B320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szCs w:val="22"/>
              </w:rPr>
              <w:t>The findings suggest that the Sabangan River maintains good water quality for recreational use. However, continuous monitoring is recommended to prevent potential contamination from tourism and local activities. Future research should examine additional water quality indicators such as biochemical oxygen demand (BOD), fecal coliform levels, nutrient concentrations, and heavy metal contamination to provide a more comprehensive assessment of the river's ecological health.</w:t>
            </w:r>
          </w:p>
        </w:tc>
      </w:tr>
    </w:tbl>
    <w:p w14:paraId="6E26BC46" w14:textId="77777777" w:rsidR="008506E6" w:rsidRDefault="008506E6">
      <w:pPr>
        <w:pStyle w:val="Body"/>
        <w:spacing w:after="0"/>
        <w:rPr>
          <w:rFonts w:ascii="Arial" w:hAnsi="Arial" w:cs="Arial"/>
          <w:i/>
        </w:rPr>
      </w:pPr>
    </w:p>
    <w:p w14:paraId="5F11AD75" w14:textId="77777777" w:rsidR="008506E6" w:rsidRDefault="005B3201">
      <w:pPr>
        <w:pStyle w:val="Body"/>
        <w:spacing w:after="0"/>
        <w:rPr>
          <w:rFonts w:ascii="Arial" w:hAnsi="Arial" w:cs="Arial"/>
          <w:i/>
        </w:rPr>
      </w:pPr>
      <w:proofErr w:type="spellStart"/>
      <w:proofErr w:type="gramStart"/>
      <w:r>
        <w:rPr>
          <w:rFonts w:ascii="Arial" w:hAnsi="Arial" w:cs="Arial"/>
          <w:i/>
        </w:rPr>
        <w:lastRenderedPageBreak/>
        <w:t>Keywords:dissolved</w:t>
      </w:r>
      <w:proofErr w:type="spellEnd"/>
      <w:proofErr w:type="gramEnd"/>
      <w:r>
        <w:rPr>
          <w:rFonts w:ascii="Arial" w:hAnsi="Arial" w:cs="Arial"/>
          <w:i/>
        </w:rPr>
        <w:t xml:space="preserve"> oxygen, pH, total alkalinity, total dissolved solids, total alkalinity, turbidity, </w:t>
      </w:r>
      <w:proofErr w:type="spellStart"/>
      <w:r>
        <w:rPr>
          <w:rFonts w:ascii="Arial" w:hAnsi="Arial" w:cs="Arial"/>
          <w:i/>
        </w:rPr>
        <w:t>physicochemcial</w:t>
      </w:r>
      <w:proofErr w:type="spellEnd"/>
      <w:r>
        <w:rPr>
          <w:rFonts w:ascii="Arial" w:hAnsi="Arial" w:cs="Arial"/>
          <w:i/>
        </w:rPr>
        <w:t xml:space="preserve"> analysis, </w:t>
      </w:r>
      <w:r>
        <w:rPr>
          <w:rFonts w:ascii="Arial" w:hAnsi="Arial"/>
          <w:i/>
        </w:rPr>
        <w:t>Sabangan River, water quality</w:t>
      </w:r>
    </w:p>
    <w:p w14:paraId="44384E3A" w14:textId="77777777" w:rsidR="008506E6" w:rsidRDefault="008506E6">
      <w:pPr>
        <w:pStyle w:val="Body"/>
        <w:spacing w:after="0"/>
        <w:rPr>
          <w:rFonts w:ascii="Arial" w:hAnsi="Arial" w:cs="Arial"/>
          <w:i/>
        </w:rPr>
      </w:pPr>
    </w:p>
    <w:p w14:paraId="3F1DD00D" w14:textId="77777777" w:rsidR="008506E6" w:rsidRDefault="008506E6">
      <w:pPr>
        <w:pStyle w:val="Body"/>
        <w:spacing w:after="0"/>
        <w:rPr>
          <w:rFonts w:ascii="Arial" w:hAnsi="Arial" w:cs="Arial"/>
          <w:i/>
          <w:sz w:val="18"/>
        </w:rPr>
      </w:pPr>
    </w:p>
    <w:p w14:paraId="75C35969" w14:textId="77777777" w:rsidR="008506E6" w:rsidRDefault="008506E6">
      <w:pPr>
        <w:pStyle w:val="Body"/>
        <w:spacing w:after="0"/>
        <w:rPr>
          <w:rFonts w:ascii="Arial" w:hAnsi="Arial" w:cs="Arial"/>
          <w:i/>
        </w:rPr>
      </w:pPr>
    </w:p>
    <w:p w14:paraId="624A176A" w14:textId="77777777" w:rsidR="008506E6" w:rsidRDefault="005B3201">
      <w:pPr>
        <w:pStyle w:val="AbstHead"/>
        <w:spacing w:after="0"/>
        <w:jc w:val="both"/>
        <w:rPr>
          <w:rFonts w:ascii="Arial" w:hAnsi="Arial" w:cs="Arial"/>
        </w:rPr>
      </w:pPr>
      <w:r>
        <w:rPr>
          <w:rFonts w:ascii="Arial" w:hAnsi="Arial" w:cs="Arial"/>
        </w:rPr>
        <w:t xml:space="preserve">1. INTRODUCTION </w:t>
      </w:r>
    </w:p>
    <w:p w14:paraId="4F712A87" w14:textId="77777777" w:rsidR="008506E6" w:rsidRDefault="008506E6">
      <w:pPr>
        <w:pStyle w:val="AbstHead"/>
        <w:spacing w:after="0"/>
        <w:jc w:val="both"/>
        <w:rPr>
          <w:rFonts w:ascii="Arial" w:hAnsi="Arial" w:cs="Arial"/>
        </w:rPr>
      </w:pPr>
    </w:p>
    <w:p w14:paraId="437961E6" w14:textId="77777777" w:rsidR="008506E6" w:rsidRDefault="005B3201">
      <w:pPr>
        <w:pStyle w:val="Body"/>
        <w:spacing w:after="0"/>
        <w:rPr>
          <w:rFonts w:ascii="Arial" w:hAnsi="Arial"/>
        </w:rPr>
      </w:pPr>
      <w:r>
        <w:rPr>
          <w:rFonts w:ascii="Arial" w:hAnsi="Arial"/>
        </w:rPr>
        <w:t>Water quality in river ecosystems is crucial for ecological stability, biodiversity conservation, and human well-being, especially for recreational activities such as swimming, fishing, and boating (Doi et al., 2013). Healthy river systems support biodiversity, regulate nutrient cycles, and provide safe human and aquatic life environments. However, poor water quality threatens the environmental balance and public health, as pollution introduces harmful substances such as chemicals, heavy metals, and microorganisms into river systems (Cheng et al., 2023; Jennings et al., 2023; Ezekiel et al., 2023; Ruan et al., 2023). Assessing water quality is essential for monitoring physicochemical properties such as pH, dissolved oxygen, total dissolved solids, turbidity, and alkalinity, ensuring compliance with environmental regulations and safeguarding public health (</w:t>
      </w:r>
      <w:proofErr w:type="spellStart"/>
      <w:r>
        <w:rPr>
          <w:rFonts w:ascii="Arial" w:hAnsi="Arial"/>
        </w:rPr>
        <w:t>Adelagun</w:t>
      </w:r>
      <w:proofErr w:type="spellEnd"/>
      <w:r>
        <w:rPr>
          <w:rFonts w:ascii="Arial" w:hAnsi="Arial"/>
        </w:rPr>
        <w:t xml:space="preserve"> et al., 2021).</w:t>
      </w:r>
    </w:p>
    <w:p w14:paraId="22AD7AC4" w14:textId="77777777" w:rsidR="008506E6" w:rsidRDefault="008506E6">
      <w:pPr>
        <w:pStyle w:val="Body"/>
        <w:spacing w:after="0"/>
        <w:rPr>
          <w:rFonts w:ascii="Arial" w:hAnsi="Arial"/>
        </w:rPr>
      </w:pPr>
    </w:p>
    <w:p w14:paraId="744B6C3E" w14:textId="77777777" w:rsidR="008506E6" w:rsidRDefault="005B3201">
      <w:pPr>
        <w:pStyle w:val="Body"/>
        <w:spacing w:after="0"/>
        <w:rPr>
          <w:rFonts w:ascii="Arial" w:hAnsi="Arial"/>
        </w:rPr>
      </w:pPr>
      <w:r>
        <w:rPr>
          <w:rFonts w:ascii="Arial" w:hAnsi="Arial"/>
        </w:rPr>
        <w:t xml:space="preserve">Several studies have assessed river water quality in Malaybalay City and surrounding areas, but key tributaries remain underexplored. Damasco et al. (2024) conducted a physicochemical assessment of </w:t>
      </w:r>
      <w:proofErr w:type="spellStart"/>
      <w:r>
        <w:rPr>
          <w:rFonts w:ascii="Arial" w:hAnsi="Arial"/>
        </w:rPr>
        <w:t>Kalawaig</w:t>
      </w:r>
      <w:proofErr w:type="spellEnd"/>
      <w:r>
        <w:rPr>
          <w:rFonts w:ascii="Arial" w:hAnsi="Arial"/>
        </w:rPr>
        <w:t xml:space="preserve"> Creek, analyzing parameters such as dissolved oxygen, pH, total dissolved solids, and alkalinity. Similarly, </w:t>
      </w:r>
      <w:proofErr w:type="spellStart"/>
      <w:r>
        <w:rPr>
          <w:rFonts w:ascii="Arial" w:hAnsi="Arial"/>
        </w:rPr>
        <w:t>Bete</w:t>
      </w:r>
      <w:proofErr w:type="spellEnd"/>
      <w:r>
        <w:rPr>
          <w:rFonts w:ascii="Arial" w:hAnsi="Arial"/>
        </w:rPr>
        <w:t xml:space="preserve"> et al. (2024) studied the </w:t>
      </w:r>
      <w:proofErr w:type="spellStart"/>
      <w:r>
        <w:rPr>
          <w:rFonts w:ascii="Arial" w:hAnsi="Arial"/>
        </w:rPr>
        <w:t>Tagoloan</w:t>
      </w:r>
      <w:proofErr w:type="spellEnd"/>
      <w:r>
        <w:rPr>
          <w:rFonts w:ascii="Arial" w:hAnsi="Arial"/>
        </w:rPr>
        <w:t xml:space="preserve"> River, evaluating temperature, conductivity, salinity, nitrates, phosphates, and fecal coliforms. Their findings indicated high salinity from wastewater and excessive fecal coliform levels, classifying the river as marginal for primary contact use. While these studies provide valuable insights, the Sabangan River, which the </w:t>
      </w:r>
      <w:proofErr w:type="spellStart"/>
      <w:r>
        <w:rPr>
          <w:rFonts w:ascii="Arial" w:hAnsi="Arial"/>
        </w:rPr>
        <w:t>Kibalabag</w:t>
      </w:r>
      <w:proofErr w:type="spellEnd"/>
      <w:r>
        <w:rPr>
          <w:rFonts w:ascii="Arial" w:hAnsi="Arial"/>
        </w:rPr>
        <w:t xml:space="preserve"> River feeds before merging with the </w:t>
      </w:r>
      <w:proofErr w:type="spellStart"/>
      <w:r>
        <w:rPr>
          <w:rFonts w:ascii="Arial" w:hAnsi="Arial"/>
        </w:rPr>
        <w:t>Tagoloan</w:t>
      </w:r>
      <w:proofErr w:type="spellEnd"/>
      <w:r>
        <w:rPr>
          <w:rFonts w:ascii="Arial" w:hAnsi="Arial"/>
        </w:rPr>
        <w:t xml:space="preserve"> River, has still not been thoroughly studied. Given its importance in recreation and ecology, assessing its physicochemical properties is essential for understanding its current state and implementing effective water management strategies.</w:t>
      </w:r>
    </w:p>
    <w:p w14:paraId="0C848BD3" w14:textId="77777777" w:rsidR="008506E6" w:rsidRDefault="008506E6">
      <w:pPr>
        <w:pStyle w:val="Body"/>
        <w:spacing w:after="0"/>
        <w:rPr>
          <w:rFonts w:ascii="Arial" w:hAnsi="Arial"/>
        </w:rPr>
      </w:pPr>
    </w:p>
    <w:p w14:paraId="53F4D686" w14:textId="77777777" w:rsidR="008506E6" w:rsidRDefault="005B3201">
      <w:pPr>
        <w:pStyle w:val="Body"/>
        <w:spacing w:after="0"/>
        <w:rPr>
          <w:rFonts w:ascii="Arial" w:hAnsi="Arial"/>
        </w:rPr>
      </w:pPr>
      <w:r>
        <w:rPr>
          <w:rFonts w:ascii="Arial" w:hAnsi="Arial"/>
        </w:rPr>
        <w:t xml:space="preserve">The Sabangan River is crucial in maintaining ecological balance and supporting livelihoods, tourism, and biodiversity. It is a popular recreational site, but human activities such as tourism, land use changes, and potential agricultural runoff may introduce pollutants that could compromise water quality and long-term sustainability. Aside from its environmental importance, the river has cultural and historical significance; it has long been a meeting place for tribal leaders and is regarded as a site of ancestral heritage. Additionally, the </w:t>
      </w:r>
      <w:proofErr w:type="spellStart"/>
      <w:r>
        <w:rPr>
          <w:rFonts w:ascii="Arial" w:hAnsi="Arial"/>
        </w:rPr>
        <w:t>Kibalabag</w:t>
      </w:r>
      <w:proofErr w:type="spellEnd"/>
      <w:r>
        <w:rPr>
          <w:rFonts w:ascii="Arial" w:hAnsi="Arial"/>
        </w:rPr>
        <w:t xml:space="preserve"> River, which flows into the Sabangan River, is the primary water source for Malaybalay City, further emphasizing the need for continuous water quality monitoring. Given increasing environmental pressures, assessing the Sabangan River's physicochemical properties is necessary to safeguard local livelihoods, inform future management decisions, and support conservation efforts.</w:t>
      </w:r>
    </w:p>
    <w:p w14:paraId="72D6A759" w14:textId="77777777" w:rsidR="008506E6" w:rsidRDefault="008506E6">
      <w:pPr>
        <w:pStyle w:val="Body"/>
        <w:spacing w:after="0"/>
        <w:rPr>
          <w:rFonts w:ascii="Arial" w:hAnsi="Arial"/>
        </w:rPr>
      </w:pPr>
    </w:p>
    <w:p w14:paraId="2FDEE4EA" w14:textId="77777777" w:rsidR="008506E6" w:rsidRDefault="005B3201">
      <w:pPr>
        <w:pStyle w:val="Body"/>
        <w:spacing w:after="0"/>
        <w:rPr>
          <w:rFonts w:ascii="Arial" w:hAnsi="Arial"/>
        </w:rPr>
      </w:pPr>
      <w:r>
        <w:rPr>
          <w:rFonts w:ascii="Arial" w:hAnsi="Arial"/>
        </w:rPr>
        <w:t xml:space="preserve">Given the fundamental role of water quality in sustaining both ecological balance and human health, numerous studies have assessed the physicochemical properties and pollution levels of rivers in the region. For instance, </w:t>
      </w:r>
      <w:proofErr w:type="spellStart"/>
      <w:r>
        <w:rPr>
          <w:rFonts w:ascii="Arial" w:hAnsi="Arial"/>
        </w:rPr>
        <w:t>Lubos</w:t>
      </w:r>
      <w:proofErr w:type="spellEnd"/>
      <w:r>
        <w:rPr>
          <w:rFonts w:ascii="Arial" w:hAnsi="Arial"/>
        </w:rPr>
        <w:t xml:space="preserve"> et al. (2020) examined the </w:t>
      </w:r>
      <w:proofErr w:type="spellStart"/>
      <w:r>
        <w:rPr>
          <w:rFonts w:ascii="Arial" w:hAnsi="Arial"/>
        </w:rPr>
        <w:t>Sawaga</w:t>
      </w:r>
      <w:proofErr w:type="spellEnd"/>
      <w:r>
        <w:rPr>
          <w:rFonts w:ascii="Arial" w:hAnsi="Arial"/>
        </w:rPr>
        <w:t xml:space="preserve"> River, a tributary of the </w:t>
      </w:r>
      <w:proofErr w:type="spellStart"/>
      <w:r>
        <w:rPr>
          <w:rFonts w:ascii="Arial" w:hAnsi="Arial"/>
        </w:rPr>
        <w:t>Tagoloan</w:t>
      </w:r>
      <w:proofErr w:type="spellEnd"/>
      <w:r>
        <w:rPr>
          <w:rFonts w:ascii="Arial" w:hAnsi="Arial"/>
        </w:rPr>
        <w:t xml:space="preserve"> River that serves as a critical water source for Malaybalay. Their findings revealed alarming pollution levels, emphasizing the need for ongoing water quality monitoring in local water sources. Their study found alarming pollution levels, such as high concentrations of ammonia, nitrite, and total coliforms, which have raised concerns about water safety for domestic use and local fisheries. Similarly, research by </w:t>
      </w:r>
      <w:proofErr w:type="spellStart"/>
      <w:r>
        <w:rPr>
          <w:rFonts w:ascii="Arial" w:hAnsi="Arial"/>
        </w:rPr>
        <w:t>Opiso</w:t>
      </w:r>
      <w:proofErr w:type="spellEnd"/>
      <w:r>
        <w:rPr>
          <w:rFonts w:ascii="Arial" w:hAnsi="Arial"/>
        </w:rPr>
        <w:t xml:space="preserve"> and </w:t>
      </w:r>
      <w:proofErr w:type="spellStart"/>
      <w:r>
        <w:rPr>
          <w:rFonts w:ascii="Arial" w:hAnsi="Arial"/>
        </w:rPr>
        <w:t>Alburoa</w:t>
      </w:r>
      <w:proofErr w:type="spellEnd"/>
      <w:r>
        <w:rPr>
          <w:rFonts w:ascii="Arial" w:hAnsi="Arial"/>
        </w:rPr>
        <w:t xml:space="preserve"> (2014) on the </w:t>
      </w:r>
      <w:proofErr w:type="spellStart"/>
      <w:r>
        <w:rPr>
          <w:rFonts w:ascii="Arial" w:hAnsi="Arial"/>
        </w:rPr>
        <w:t>Sawaga</w:t>
      </w:r>
      <w:proofErr w:type="spellEnd"/>
      <w:r>
        <w:rPr>
          <w:rFonts w:ascii="Arial" w:hAnsi="Arial"/>
        </w:rPr>
        <w:t xml:space="preserve"> River highlighted elevated nitrate levels, moderately acidic pH, and high total suspended solids, indicating the impacts of agricultural runoff and nearby settlements on water quality. In other parts of the country, studies on rivers like the Sindangan River (Laranjo et al., </w:t>
      </w:r>
      <w:r>
        <w:rPr>
          <w:rFonts w:ascii="Arial" w:hAnsi="Arial"/>
        </w:rPr>
        <w:lastRenderedPageBreak/>
        <w:t xml:space="preserve">2023) and the </w:t>
      </w:r>
      <w:proofErr w:type="spellStart"/>
      <w:r>
        <w:rPr>
          <w:rFonts w:ascii="Arial" w:hAnsi="Arial"/>
        </w:rPr>
        <w:t>Pagbanganan</w:t>
      </w:r>
      <w:proofErr w:type="spellEnd"/>
      <w:r>
        <w:rPr>
          <w:rFonts w:ascii="Arial" w:hAnsi="Arial"/>
        </w:rPr>
        <w:t xml:space="preserve"> River (</w:t>
      </w:r>
      <w:proofErr w:type="spellStart"/>
      <w:r>
        <w:rPr>
          <w:rFonts w:ascii="Arial" w:hAnsi="Arial"/>
        </w:rPr>
        <w:t>Villarmino</w:t>
      </w:r>
      <w:proofErr w:type="spellEnd"/>
      <w:r>
        <w:rPr>
          <w:rFonts w:ascii="Arial" w:hAnsi="Arial"/>
        </w:rPr>
        <w:t xml:space="preserve"> &amp; Quevedo, 2021) have also identified concerning trends, including rising total suspended solids and phosphate levels, pointing to the need for ongoing monitoring and pollution control. In addition, Rahman et al. (2021) examined seasonal variations in physicochemical parameters on the Turag River, showing how changes in water quality can vary with the seasons, affecting the overall ecosystem. These studies underscore the importance of assessing and managing river systems to ensure water quality and mitigate the impact of anthropogenic activities, which is particularly relevant to our study of the Sabangan River.</w:t>
      </w:r>
    </w:p>
    <w:p w14:paraId="1500A7EC" w14:textId="77777777" w:rsidR="008506E6" w:rsidRDefault="008506E6">
      <w:pPr>
        <w:pStyle w:val="Body"/>
        <w:spacing w:after="0"/>
        <w:rPr>
          <w:rFonts w:ascii="Arial" w:hAnsi="Arial"/>
        </w:rPr>
      </w:pPr>
    </w:p>
    <w:p w14:paraId="5536C414" w14:textId="77777777" w:rsidR="008506E6" w:rsidRDefault="005B3201">
      <w:pPr>
        <w:pStyle w:val="Body"/>
        <w:spacing w:after="0"/>
        <w:rPr>
          <w:rFonts w:ascii="Arial" w:hAnsi="Arial" w:cs="Arial"/>
        </w:rPr>
      </w:pPr>
      <w:r>
        <w:rPr>
          <w:rFonts w:ascii="Arial" w:hAnsi="Arial"/>
        </w:rPr>
        <w:t xml:space="preserve">This study aimed to conduct a comprehensive physicochemical assessment of the Sabangan River, specifically focusing on parameters such as total dissolved solids (TDS), dissolved oxygen (DO), turbidity, total alkalinity, and </w:t>
      </w:r>
      <w:proofErr w:type="spellStart"/>
      <w:r>
        <w:rPr>
          <w:rFonts w:ascii="Arial" w:hAnsi="Arial"/>
        </w:rPr>
        <w:t>pH.</w:t>
      </w:r>
      <w:proofErr w:type="spellEnd"/>
      <w:r>
        <w:rPr>
          <w:rFonts w:ascii="Arial" w:hAnsi="Arial"/>
        </w:rPr>
        <w:t xml:space="preserve"> This study seeks to provide valuable insights into the river's water quality and potential hazards by addressing the existing research gap. The findings will support policymakers and stakeholders in developing effective management strategies to preserve the Sabangan River's ecological and cultural value for present and future generations.</w:t>
      </w:r>
    </w:p>
    <w:p w14:paraId="310D07B6" w14:textId="77777777" w:rsidR="008506E6" w:rsidRDefault="005B3201">
      <w:pPr>
        <w:pStyle w:val="AbstHead"/>
        <w:spacing w:after="0"/>
        <w:jc w:val="both"/>
        <w:rPr>
          <w:rFonts w:ascii="Arial" w:hAnsi="Arial" w:cs="Arial"/>
        </w:rPr>
      </w:pPr>
      <w:r>
        <w:rPr>
          <w:rFonts w:ascii="Arial" w:hAnsi="Arial" w:cs="Arial"/>
        </w:rPr>
        <w:t xml:space="preserve">2. material and methods </w:t>
      </w:r>
    </w:p>
    <w:p w14:paraId="5BED9FCA" w14:textId="77777777" w:rsidR="008506E6" w:rsidRDefault="008506E6">
      <w:pPr>
        <w:pStyle w:val="AbstHead"/>
        <w:spacing w:after="0"/>
        <w:jc w:val="both"/>
        <w:rPr>
          <w:rFonts w:ascii="Arial" w:hAnsi="Arial" w:cs="Arial"/>
        </w:rPr>
      </w:pPr>
    </w:p>
    <w:p w14:paraId="4617FDF2" w14:textId="77777777" w:rsidR="008506E6" w:rsidRDefault="005B3201">
      <w:pPr>
        <w:pStyle w:val="Body"/>
        <w:spacing w:after="0"/>
        <w:rPr>
          <w:rFonts w:ascii="Arial" w:hAnsi="Arial"/>
          <w:b/>
          <w:bCs/>
          <w:sz w:val="22"/>
          <w:szCs w:val="22"/>
        </w:rPr>
      </w:pPr>
      <w:r>
        <w:rPr>
          <w:rFonts w:ascii="Arial" w:hAnsi="Arial"/>
          <w:b/>
          <w:bCs/>
          <w:sz w:val="22"/>
          <w:szCs w:val="22"/>
        </w:rPr>
        <w:t>2.1 Research design</w:t>
      </w:r>
    </w:p>
    <w:p w14:paraId="21760688" w14:textId="77777777" w:rsidR="008506E6" w:rsidRDefault="005B3201">
      <w:pPr>
        <w:pStyle w:val="Body"/>
        <w:spacing w:after="0"/>
        <w:rPr>
          <w:rFonts w:ascii="Arial" w:hAnsi="Arial"/>
        </w:rPr>
      </w:pPr>
      <w:r>
        <w:rPr>
          <w:rFonts w:ascii="Arial" w:hAnsi="Arial"/>
        </w:rPr>
        <w:t>This qualitative study used a descriptive research design to examine the physicochemical parameters of the Sabangan River in Barangay Can-Ayan, Malaybalay City, Bukidnon. The study aimed to assess key parameters such as turbidity, total dissolved solids (TDS), dissolved oxygen (DO), hydrogen ion concentration (pH), and total alkalinity, providing a detailed examination of these variables. Field research techniques were utilized to collect data directly from the river's ecosystem, ensuring accuracy and reliability. Additionally, qualitative analysis methods were applied to interpret the collected data, comprehensively describing the river's physicochemical characteristics. The study also assessed spatial variations across upstream, downstream, and midstream locations to provide insights into the Sabangan River's ecological conditions.</w:t>
      </w:r>
    </w:p>
    <w:p w14:paraId="47E54C2C" w14:textId="77777777" w:rsidR="008506E6" w:rsidRDefault="008506E6">
      <w:pPr>
        <w:pStyle w:val="Body"/>
        <w:spacing w:after="0"/>
        <w:rPr>
          <w:rFonts w:ascii="Arial" w:hAnsi="Arial"/>
        </w:rPr>
      </w:pPr>
    </w:p>
    <w:p w14:paraId="42A819BD" w14:textId="77777777" w:rsidR="008506E6" w:rsidRDefault="005B3201">
      <w:pPr>
        <w:pStyle w:val="Body"/>
        <w:spacing w:after="0"/>
        <w:rPr>
          <w:rFonts w:ascii="Arial" w:hAnsi="Arial"/>
          <w:b/>
          <w:bCs/>
          <w:sz w:val="22"/>
          <w:szCs w:val="22"/>
        </w:rPr>
      </w:pPr>
      <w:r>
        <w:rPr>
          <w:rFonts w:ascii="Arial" w:hAnsi="Arial"/>
          <w:b/>
          <w:bCs/>
          <w:sz w:val="22"/>
          <w:szCs w:val="22"/>
        </w:rPr>
        <w:t>2.2 Entry Protocol</w:t>
      </w:r>
    </w:p>
    <w:p w14:paraId="45F034C3" w14:textId="77777777" w:rsidR="008506E6" w:rsidRDefault="005B3201">
      <w:pPr>
        <w:pStyle w:val="Body"/>
        <w:spacing w:after="0"/>
        <w:rPr>
          <w:rFonts w:ascii="Arial" w:hAnsi="Arial"/>
        </w:rPr>
      </w:pPr>
      <w:r>
        <w:rPr>
          <w:rFonts w:ascii="Arial" w:hAnsi="Arial"/>
        </w:rPr>
        <w:t>All necessary permissions were obtained from the relevant authorities to conduct research outside San Isidro College and in all designated study sites. Formal letters outlining the study’s objectives, scope, and duration were submitted to ensure compliance with institutional and regulatory requirements. Approval from the principal of the Integrated Basic Education Department (IBED) authorized off-campus research, while parental consent was secured to uphold ethical standards and ensure the safety of the student researchers. Additionally, authorization from the City Environment and Natural Resources Office (CENRO) of Malaybalay City permitted field studies and sample collection at the Sabangan River, enabling the successful execution of the study.</w:t>
      </w:r>
    </w:p>
    <w:p w14:paraId="2B24F329" w14:textId="77777777" w:rsidR="008506E6" w:rsidRDefault="008506E6">
      <w:pPr>
        <w:pStyle w:val="Body"/>
        <w:spacing w:after="0"/>
        <w:rPr>
          <w:rFonts w:ascii="Arial" w:hAnsi="Arial"/>
        </w:rPr>
      </w:pPr>
    </w:p>
    <w:p w14:paraId="439128F6" w14:textId="77777777" w:rsidR="008506E6" w:rsidRDefault="005B3201">
      <w:pPr>
        <w:pStyle w:val="Body"/>
        <w:spacing w:after="0"/>
        <w:rPr>
          <w:rFonts w:ascii="Arial" w:hAnsi="Arial"/>
        </w:rPr>
      </w:pPr>
      <w:r>
        <w:rPr>
          <w:rFonts w:ascii="Arial" w:hAnsi="Arial"/>
        </w:rPr>
        <w:t>Figure 1</w:t>
      </w:r>
      <w:r w:rsidR="00AC627F">
        <w:rPr>
          <w:rFonts w:ascii="Arial" w:hAnsi="Arial"/>
        </w:rPr>
        <w:t>.</w:t>
      </w:r>
      <w:r>
        <w:rPr>
          <w:rFonts w:ascii="Arial" w:hAnsi="Arial"/>
        </w:rPr>
        <w:t xml:space="preserve"> Map of Study Site Sabangan River</w:t>
      </w:r>
    </w:p>
    <w:p w14:paraId="32DD40A2" w14:textId="77777777" w:rsidR="00AC627F" w:rsidRDefault="00AC627F">
      <w:pPr>
        <w:pStyle w:val="Body"/>
        <w:spacing w:after="0"/>
        <w:rPr>
          <w:rFonts w:ascii="Arial" w:hAnsi="Arial"/>
        </w:rPr>
      </w:pPr>
    </w:p>
    <w:p w14:paraId="6D054377" w14:textId="77777777" w:rsidR="008506E6" w:rsidRDefault="005B3201">
      <w:pPr>
        <w:pStyle w:val="Body"/>
        <w:spacing w:after="0"/>
        <w:rPr>
          <w:rFonts w:ascii="Arial" w:hAnsi="Arial"/>
        </w:rPr>
      </w:pPr>
      <w:r>
        <w:rPr>
          <w:rFonts w:ascii="Arial" w:hAnsi="Arial"/>
          <w:noProof/>
        </w:rPr>
        <w:lastRenderedPageBreak/>
        <w:drawing>
          <wp:inline distT="0" distB="0" distL="114300" distR="114300" wp14:anchorId="699402B4" wp14:editId="6E38929F">
            <wp:extent cx="5172710" cy="2364105"/>
            <wp:effectExtent l="0" t="0" r="8890" b="17145"/>
            <wp:docPr id="3" name="Picture 3" descr="Your paragraph tex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r paragraph text (4)"/>
                    <pic:cNvPicPr>
                      <a:picLocks noChangeAspect="1"/>
                    </pic:cNvPicPr>
                  </pic:nvPicPr>
                  <pic:blipFill>
                    <a:blip r:embed="rId15"/>
                    <a:stretch>
                      <a:fillRect/>
                    </a:stretch>
                  </pic:blipFill>
                  <pic:spPr>
                    <a:xfrm>
                      <a:off x="0" y="0"/>
                      <a:ext cx="5172710" cy="2364105"/>
                    </a:xfrm>
                    <a:prstGeom prst="rect">
                      <a:avLst/>
                    </a:prstGeom>
                  </pic:spPr>
                </pic:pic>
              </a:graphicData>
            </a:graphic>
          </wp:inline>
        </w:drawing>
      </w:r>
    </w:p>
    <w:p w14:paraId="7DFA2A68" w14:textId="77777777" w:rsidR="008506E6" w:rsidRDefault="008506E6">
      <w:pPr>
        <w:pStyle w:val="Body"/>
        <w:spacing w:after="0"/>
        <w:rPr>
          <w:rFonts w:ascii="Arial" w:hAnsi="Arial"/>
        </w:rPr>
      </w:pPr>
    </w:p>
    <w:p w14:paraId="0139D37E" w14:textId="77777777" w:rsidR="008506E6" w:rsidRDefault="005B3201">
      <w:pPr>
        <w:pStyle w:val="Body"/>
        <w:spacing w:after="0"/>
        <w:rPr>
          <w:rFonts w:ascii="Arial" w:hAnsi="Arial"/>
          <w:b/>
          <w:bCs/>
          <w:sz w:val="22"/>
          <w:szCs w:val="22"/>
        </w:rPr>
      </w:pPr>
      <w:r>
        <w:rPr>
          <w:rFonts w:ascii="Arial" w:hAnsi="Arial"/>
          <w:b/>
          <w:bCs/>
          <w:sz w:val="22"/>
          <w:szCs w:val="22"/>
        </w:rPr>
        <w:t>2.3 Study Site</w:t>
      </w:r>
    </w:p>
    <w:p w14:paraId="2273380E" w14:textId="77777777" w:rsidR="008506E6" w:rsidRDefault="005B3201">
      <w:pPr>
        <w:pStyle w:val="Body"/>
        <w:spacing w:after="0"/>
        <w:rPr>
          <w:rFonts w:ascii="Arial" w:hAnsi="Arial"/>
        </w:rPr>
      </w:pPr>
      <w:r>
        <w:rPr>
          <w:rFonts w:ascii="Arial" w:hAnsi="Arial"/>
        </w:rPr>
        <w:t xml:space="preserve">Three sampling stations were established along the Sabangan River: the upstream location at 8°12'27.7"N and 125°09'01.4"E, the midstream location at 8°12'22.0"N and 125°08'57.6"E, which is the most popular recreational site for tourists, and the downstream location at 8°12'20.3"N and 125°08'53.8"E, where the Can-Ayan River meets the Sabangan River, forming the </w:t>
      </w:r>
      <w:proofErr w:type="spellStart"/>
      <w:r>
        <w:rPr>
          <w:rFonts w:ascii="Arial" w:hAnsi="Arial"/>
        </w:rPr>
        <w:t>Tagaloan</w:t>
      </w:r>
      <w:proofErr w:type="spellEnd"/>
      <w:r>
        <w:rPr>
          <w:rFonts w:ascii="Arial" w:hAnsi="Arial"/>
        </w:rPr>
        <w:t xml:space="preserve"> River. Sampling was conducted on April 8, 2024, with the upstream sample collected at 6:37 am, the midstream sample at 6:44 am, and the downstream sample at 6:49 am.</w:t>
      </w:r>
    </w:p>
    <w:p w14:paraId="393A3C2A" w14:textId="77777777" w:rsidR="008506E6" w:rsidRDefault="008506E6">
      <w:pPr>
        <w:pStyle w:val="Body"/>
        <w:spacing w:after="0"/>
        <w:rPr>
          <w:rFonts w:ascii="Arial" w:hAnsi="Arial"/>
        </w:rPr>
      </w:pPr>
    </w:p>
    <w:p w14:paraId="0A22FCC0" w14:textId="77777777" w:rsidR="008506E6" w:rsidRDefault="008506E6">
      <w:pPr>
        <w:pStyle w:val="Body"/>
        <w:spacing w:after="0"/>
        <w:rPr>
          <w:rFonts w:ascii="Arial" w:hAnsi="Arial"/>
        </w:rPr>
      </w:pPr>
    </w:p>
    <w:p w14:paraId="7B4719AE" w14:textId="77777777" w:rsidR="008506E6" w:rsidRDefault="005B3201">
      <w:pPr>
        <w:pStyle w:val="Body"/>
        <w:spacing w:after="0"/>
        <w:rPr>
          <w:rFonts w:ascii="Arial" w:hAnsi="Arial"/>
          <w:b/>
          <w:bCs/>
          <w:sz w:val="22"/>
          <w:szCs w:val="22"/>
        </w:rPr>
      </w:pPr>
      <w:r>
        <w:rPr>
          <w:rFonts w:ascii="Arial" w:hAnsi="Arial"/>
          <w:b/>
          <w:bCs/>
          <w:sz w:val="22"/>
          <w:szCs w:val="22"/>
        </w:rPr>
        <w:t>2.4 Collection and Analysis of Physicochemical Parameters</w:t>
      </w:r>
    </w:p>
    <w:p w14:paraId="71B1106F" w14:textId="77777777" w:rsidR="008506E6" w:rsidRDefault="005B3201">
      <w:pPr>
        <w:pStyle w:val="Body"/>
        <w:spacing w:after="0"/>
        <w:rPr>
          <w:rFonts w:ascii="Arial" w:hAnsi="Arial"/>
        </w:rPr>
      </w:pPr>
      <w:r>
        <w:rPr>
          <w:rFonts w:ascii="Arial" w:hAnsi="Arial"/>
        </w:rPr>
        <w:t xml:space="preserve">Sampling points were strategically chosen along the river to capture water quality variations across upstream, midstream, and downstream locations, adapting the protocols from Igloria et al. (2024) but modified to match the needs of the study. Transect walks were conducted to collect water samples systematically, with grab samples taken from the mid-depth of each stream. The sampling distances were approximately 170.28 meters between the upstream and midstream stations and 165.69 meters between the midstream and downstream stations. Water samples were collected using sterile polyethylene bottles, following strict sterilization protocols to prevent contamination. Each sample was carefully labeled with relevant information, including the sampling location, date, and time, and was placed in a cooler chilled to 4°C for transportation to F.A.S.T. Laboratories. Documentation was maintained to track sample handling and processing. The water samples were analyzed at the laboratory for key physicochemical parameters, including pH, turbidity, DO, TDS, and total alkalinity. The methods employed were pH testing using the 4500 H+B electrometric method, turbidity testing utilizing 2130 B Nephelometry, TDS analysis through 2540 C Gravimetry, DO using the 4500 </w:t>
      </w:r>
      <w:proofErr w:type="spellStart"/>
      <w:r>
        <w:rPr>
          <w:rFonts w:ascii="Arial" w:hAnsi="Arial"/>
        </w:rPr>
        <w:t>oC</w:t>
      </w:r>
      <w:proofErr w:type="spellEnd"/>
      <w:r>
        <w:rPr>
          <w:rFonts w:ascii="Arial" w:hAnsi="Arial"/>
        </w:rPr>
        <w:t xml:space="preserve"> </w:t>
      </w:r>
      <w:proofErr w:type="spellStart"/>
      <w:r>
        <w:rPr>
          <w:rFonts w:ascii="Arial" w:hAnsi="Arial"/>
        </w:rPr>
        <w:t>Azide</w:t>
      </w:r>
      <w:proofErr w:type="spellEnd"/>
      <w:r>
        <w:rPr>
          <w:rFonts w:ascii="Arial" w:hAnsi="Arial"/>
        </w:rPr>
        <w:t xml:space="preserve"> modification method, and total alkalinity tested via 2320 B </w:t>
      </w:r>
      <w:proofErr w:type="spellStart"/>
      <w:r>
        <w:rPr>
          <w:rFonts w:ascii="Arial" w:hAnsi="Arial"/>
        </w:rPr>
        <w:t>Titrimetry</w:t>
      </w:r>
      <w:proofErr w:type="spellEnd"/>
      <w:r>
        <w:rPr>
          <w:rFonts w:ascii="Arial" w:hAnsi="Arial"/>
        </w:rPr>
        <w:t>. These methods were specifically conducted by F.A.S.T. Laboratories, ensuring consistency and accuracy. Stringent quality control measures were applied throughout the analysis to ensure the reliability and accuracy of the data. The results from the physicochemical analysis were then compared to the Department of Environment and Natural Resources (DENR) standards for C water resources to assess compliance with the required water quality guidelines.</w:t>
      </w:r>
    </w:p>
    <w:p w14:paraId="30D065A4" w14:textId="77777777" w:rsidR="008506E6" w:rsidRDefault="008506E6">
      <w:pPr>
        <w:pStyle w:val="Body"/>
        <w:spacing w:after="0"/>
        <w:rPr>
          <w:rFonts w:ascii="Arial" w:hAnsi="Arial"/>
        </w:rPr>
      </w:pPr>
    </w:p>
    <w:p w14:paraId="45D80D09" w14:textId="77777777" w:rsidR="008506E6" w:rsidRDefault="005B3201">
      <w:pPr>
        <w:pStyle w:val="Head1"/>
        <w:spacing w:after="0"/>
        <w:jc w:val="both"/>
        <w:rPr>
          <w:rFonts w:ascii="Arial" w:hAnsi="Arial" w:cs="Arial"/>
        </w:rPr>
      </w:pPr>
      <w:r>
        <w:rPr>
          <w:rFonts w:ascii="Arial" w:hAnsi="Arial" w:cs="Arial"/>
        </w:rPr>
        <w:t>3. results and discussion</w:t>
      </w:r>
    </w:p>
    <w:p w14:paraId="0C78DE8D" w14:textId="77777777" w:rsidR="008506E6" w:rsidRDefault="008506E6">
      <w:pPr>
        <w:pStyle w:val="Head1"/>
        <w:spacing w:after="0"/>
        <w:jc w:val="both"/>
        <w:rPr>
          <w:rFonts w:ascii="Arial" w:hAnsi="Arial" w:cs="Arial"/>
        </w:rPr>
      </w:pPr>
    </w:p>
    <w:p w14:paraId="13FE7741" w14:textId="77777777" w:rsidR="008506E6" w:rsidRDefault="005B3201">
      <w:pPr>
        <w:pStyle w:val="Body"/>
        <w:spacing w:after="0"/>
        <w:rPr>
          <w:rFonts w:ascii="Arial" w:hAnsi="Arial" w:cs="Arial"/>
        </w:rPr>
      </w:pPr>
      <w:r>
        <w:rPr>
          <w:rFonts w:ascii="Arial" w:hAnsi="Arial" w:cs="Arial"/>
          <w:b/>
          <w:caps/>
          <w:sz w:val="22"/>
        </w:rPr>
        <w:t xml:space="preserve">3.1 </w:t>
      </w:r>
      <w:r>
        <w:rPr>
          <w:rFonts w:ascii="Arial" w:hAnsi="Arial" w:cs="Arial"/>
          <w:b/>
          <w:sz w:val="22"/>
        </w:rPr>
        <w:t>Physical Properties</w:t>
      </w:r>
    </w:p>
    <w:p w14:paraId="2431BCA6" w14:textId="77777777" w:rsidR="008506E6" w:rsidRDefault="008506E6">
      <w:pPr>
        <w:pStyle w:val="Body"/>
        <w:spacing w:after="0"/>
        <w:rPr>
          <w:rFonts w:ascii="Arial" w:hAnsi="Arial" w:cs="Arial"/>
        </w:rPr>
      </w:pPr>
    </w:p>
    <w:p w14:paraId="231F0373" w14:textId="77777777" w:rsidR="008506E6" w:rsidRDefault="005B3201">
      <w:pPr>
        <w:pStyle w:val="Body"/>
        <w:spacing w:after="0"/>
        <w:rPr>
          <w:rFonts w:ascii="Arial" w:hAnsi="Arial" w:cs="Arial"/>
        </w:rPr>
      </w:pPr>
      <w:r>
        <w:rPr>
          <w:rFonts w:ascii="Arial" w:hAnsi="Arial" w:cs="Arial"/>
          <w:b/>
          <w:u w:val="single"/>
        </w:rPr>
        <w:lastRenderedPageBreak/>
        <w:t>3.1.1 Total Dissolved Solids</w:t>
      </w:r>
      <w:r>
        <w:rPr>
          <w:rFonts w:ascii="Arial" w:hAnsi="Arial" w:cs="Arial"/>
        </w:rPr>
        <w:t xml:space="preserve"> </w:t>
      </w:r>
    </w:p>
    <w:p w14:paraId="77D40FC4" w14:textId="77777777" w:rsidR="008506E6" w:rsidRDefault="008506E6">
      <w:pPr>
        <w:pStyle w:val="Body"/>
        <w:spacing w:after="0"/>
        <w:rPr>
          <w:rFonts w:ascii="Arial" w:hAnsi="Arial" w:cs="Arial"/>
        </w:rPr>
      </w:pPr>
    </w:p>
    <w:p w14:paraId="1D6DCCDD" w14:textId="77777777" w:rsidR="008506E6" w:rsidRDefault="005B3201">
      <w:pPr>
        <w:tabs>
          <w:tab w:val="left" w:pos="1080"/>
        </w:tabs>
        <w:jc w:val="both"/>
        <w:rPr>
          <w:rFonts w:ascii="Arial" w:hAnsi="Arial"/>
          <w:b/>
        </w:rPr>
      </w:pPr>
      <w:r>
        <w:rPr>
          <w:rFonts w:ascii="Arial" w:hAnsi="Arial"/>
          <w:b/>
        </w:rPr>
        <w:t>Table 1.</w:t>
      </w:r>
      <w:r>
        <w:rPr>
          <w:rFonts w:ascii="Arial" w:hAnsi="Arial"/>
          <w:b/>
        </w:rPr>
        <w:tab/>
        <w:t>Total Dissolved Solids Results</w:t>
      </w:r>
    </w:p>
    <w:tbl>
      <w:tblPr>
        <w:tblStyle w:val="Style10"/>
        <w:tblpPr w:leftFromText="180" w:rightFromText="180" w:vertAnchor="text" w:horzAnchor="page" w:tblpX="2325" w:tblpY="225"/>
        <w:tblOverlap w:val="never"/>
        <w:tblW w:w="0" w:type="auto"/>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841"/>
        <w:gridCol w:w="896"/>
        <w:gridCol w:w="896"/>
        <w:gridCol w:w="896"/>
        <w:gridCol w:w="1030"/>
        <w:gridCol w:w="1358"/>
      </w:tblGrid>
      <w:tr w:rsidR="008506E6" w14:paraId="52F7E753" w14:textId="77777777">
        <w:trPr>
          <w:trHeight w:val="810"/>
        </w:trPr>
        <w:tc>
          <w:tcPr>
            <w:tcW w:w="0" w:type="auto"/>
            <w:tcBorders>
              <w:top w:val="single" w:sz="6" w:space="0" w:color="000000"/>
              <w:left w:val="nil"/>
              <w:bottom w:val="single" w:sz="6" w:space="0" w:color="000000"/>
              <w:right w:val="nil"/>
            </w:tcBorders>
            <w:tcMar>
              <w:top w:w="0" w:type="dxa"/>
              <w:left w:w="100" w:type="dxa"/>
              <w:bottom w:w="0" w:type="dxa"/>
              <w:right w:w="100" w:type="dxa"/>
            </w:tcMar>
            <w:vAlign w:val="center"/>
          </w:tcPr>
          <w:p w14:paraId="1858FB1A" w14:textId="77777777" w:rsidR="008506E6" w:rsidRDefault="005B3201">
            <w:pPr>
              <w:ind w:right="-80"/>
              <w:rPr>
                <w:rFonts w:ascii="Arial" w:hAnsi="Arial" w:cs="Arial"/>
                <w:b/>
                <w:bCs/>
              </w:rPr>
            </w:pPr>
            <w:r>
              <w:rPr>
                <w:rFonts w:ascii="Arial" w:hAnsi="Arial" w:cs="Arial"/>
                <w:b/>
                <w:bCs/>
              </w:rPr>
              <w:t>Parameter</w:t>
            </w:r>
          </w:p>
        </w:tc>
        <w:tc>
          <w:tcPr>
            <w:tcW w:w="0" w:type="auto"/>
            <w:tcBorders>
              <w:top w:val="single" w:sz="6" w:space="0" w:color="000000"/>
              <w:left w:val="nil"/>
              <w:bottom w:val="single" w:sz="6" w:space="0" w:color="000000"/>
              <w:right w:val="nil"/>
            </w:tcBorders>
            <w:tcMar>
              <w:top w:w="0" w:type="dxa"/>
              <w:left w:w="100" w:type="dxa"/>
              <w:bottom w:w="0" w:type="dxa"/>
              <w:right w:w="100" w:type="dxa"/>
            </w:tcMar>
            <w:vAlign w:val="center"/>
          </w:tcPr>
          <w:p w14:paraId="28A5CC7E" w14:textId="77777777" w:rsidR="008506E6" w:rsidRDefault="005B3201">
            <w:pPr>
              <w:ind w:right="40"/>
              <w:rPr>
                <w:rFonts w:ascii="Arial" w:hAnsi="Arial" w:cs="Arial"/>
                <w:b/>
                <w:bCs/>
              </w:rPr>
            </w:pPr>
            <w:r>
              <w:rPr>
                <w:rFonts w:ascii="Arial" w:hAnsi="Arial" w:cs="Arial"/>
                <w:b/>
                <w:bCs/>
              </w:rPr>
              <w:t>Up</w:t>
            </w:r>
          </w:p>
          <w:p w14:paraId="7BA2D284" w14:textId="77777777" w:rsidR="008506E6" w:rsidRDefault="005B3201">
            <w:pPr>
              <w:ind w:right="40"/>
              <w:rPr>
                <w:rFonts w:ascii="Arial" w:hAnsi="Arial" w:cs="Arial"/>
                <w:b/>
                <w:bCs/>
              </w:rPr>
            </w:pPr>
            <w:r>
              <w:rPr>
                <w:rFonts w:ascii="Arial" w:hAnsi="Arial" w:cs="Arial"/>
                <w:b/>
                <w:bCs/>
              </w:rPr>
              <w:t>stream</w:t>
            </w:r>
          </w:p>
        </w:tc>
        <w:tc>
          <w:tcPr>
            <w:tcW w:w="0" w:type="auto"/>
            <w:tcBorders>
              <w:top w:val="single" w:sz="6" w:space="0" w:color="000000"/>
              <w:left w:val="nil"/>
              <w:bottom w:val="single" w:sz="6" w:space="0" w:color="000000"/>
              <w:right w:val="nil"/>
            </w:tcBorders>
            <w:tcMar>
              <w:top w:w="0" w:type="dxa"/>
              <w:left w:w="100" w:type="dxa"/>
              <w:bottom w:w="0" w:type="dxa"/>
              <w:right w:w="100" w:type="dxa"/>
            </w:tcMar>
            <w:vAlign w:val="center"/>
          </w:tcPr>
          <w:p w14:paraId="3072FC81" w14:textId="77777777" w:rsidR="008506E6" w:rsidRDefault="005B3201">
            <w:pPr>
              <w:ind w:right="40"/>
              <w:rPr>
                <w:rFonts w:ascii="Arial" w:hAnsi="Arial" w:cs="Arial"/>
                <w:b/>
                <w:bCs/>
              </w:rPr>
            </w:pPr>
            <w:r>
              <w:rPr>
                <w:rFonts w:ascii="Arial" w:hAnsi="Arial" w:cs="Arial"/>
                <w:b/>
                <w:bCs/>
              </w:rPr>
              <w:t>Mid</w:t>
            </w:r>
          </w:p>
          <w:p w14:paraId="464D9FBA" w14:textId="77777777" w:rsidR="008506E6" w:rsidRDefault="005B3201">
            <w:pPr>
              <w:ind w:right="40"/>
              <w:rPr>
                <w:rFonts w:ascii="Arial" w:hAnsi="Arial" w:cs="Arial"/>
                <w:b/>
                <w:bCs/>
              </w:rPr>
            </w:pPr>
            <w:r>
              <w:rPr>
                <w:rFonts w:ascii="Arial" w:hAnsi="Arial" w:cs="Arial"/>
                <w:b/>
                <w:bCs/>
              </w:rPr>
              <w:t>stream</w:t>
            </w:r>
          </w:p>
        </w:tc>
        <w:tc>
          <w:tcPr>
            <w:tcW w:w="0" w:type="auto"/>
            <w:tcBorders>
              <w:top w:val="single" w:sz="6" w:space="0" w:color="000000"/>
              <w:left w:val="nil"/>
              <w:bottom w:val="single" w:sz="6" w:space="0" w:color="000000"/>
              <w:right w:val="nil"/>
            </w:tcBorders>
            <w:tcMar>
              <w:top w:w="0" w:type="dxa"/>
              <w:left w:w="100" w:type="dxa"/>
              <w:bottom w:w="0" w:type="dxa"/>
              <w:right w:w="100" w:type="dxa"/>
            </w:tcMar>
            <w:vAlign w:val="center"/>
          </w:tcPr>
          <w:p w14:paraId="2AF58B9F" w14:textId="77777777" w:rsidR="008506E6" w:rsidRDefault="005B3201">
            <w:pPr>
              <w:ind w:right="40"/>
              <w:rPr>
                <w:rFonts w:ascii="Arial" w:hAnsi="Arial" w:cs="Arial"/>
                <w:b/>
                <w:bCs/>
              </w:rPr>
            </w:pPr>
            <w:r>
              <w:rPr>
                <w:rFonts w:ascii="Arial" w:hAnsi="Arial" w:cs="Arial"/>
                <w:b/>
                <w:bCs/>
              </w:rPr>
              <w:t>Down</w:t>
            </w:r>
          </w:p>
          <w:p w14:paraId="28FA1F91" w14:textId="77777777" w:rsidR="008506E6" w:rsidRDefault="005B3201">
            <w:pPr>
              <w:ind w:right="40"/>
              <w:rPr>
                <w:rFonts w:ascii="Arial" w:hAnsi="Arial" w:cs="Arial"/>
                <w:b/>
                <w:bCs/>
              </w:rPr>
            </w:pPr>
            <w:r>
              <w:rPr>
                <w:rFonts w:ascii="Arial" w:hAnsi="Arial" w:cs="Arial"/>
                <w:b/>
                <w:bCs/>
              </w:rPr>
              <w:t>stream</w:t>
            </w:r>
          </w:p>
        </w:tc>
        <w:tc>
          <w:tcPr>
            <w:tcW w:w="0" w:type="auto"/>
            <w:tcBorders>
              <w:top w:val="single" w:sz="6" w:space="0" w:color="000000"/>
              <w:left w:val="nil"/>
              <w:bottom w:val="single" w:sz="6" w:space="0" w:color="000000"/>
              <w:right w:val="nil"/>
            </w:tcBorders>
            <w:tcMar>
              <w:top w:w="0" w:type="dxa"/>
              <w:left w:w="100" w:type="dxa"/>
              <w:bottom w:w="0" w:type="dxa"/>
              <w:right w:w="100" w:type="dxa"/>
            </w:tcMar>
            <w:vAlign w:val="center"/>
          </w:tcPr>
          <w:p w14:paraId="1E99B81F" w14:textId="77777777" w:rsidR="008506E6" w:rsidRDefault="005B3201">
            <w:pPr>
              <w:ind w:right="40"/>
              <w:rPr>
                <w:rFonts w:ascii="Arial" w:hAnsi="Arial" w:cs="Arial"/>
                <w:b/>
                <w:bCs/>
              </w:rPr>
            </w:pPr>
            <w:r>
              <w:rPr>
                <w:rFonts w:ascii="Arial" w:hAnsi="Arial" w:cs="Arial"/>
                <w:b/>
                <w:bCs/>
              </w:rPr>
              <w:t>Average</w:t>
            </w:r>
          </w:p>
        </w:tc>
        <w:tc>
          <w:tcPr>
            <w:tcW w:w="0" w:type="auto"/>
            <w:tcBorders>
              <w:top w:val="single" w:sz="6" w:space="0" w:color="000000"/>
              <w:left w:val="nil"/>
              <w:bottom w:val="single" w:sz="6" w:space="0" w:color="000000"/>
              <w:right w:val="nil"/>
            </w:tcBorders>
            <w:tcMar>
              <w:top w:w="0" w:type="dxa"/>
              <w:left w:w="100" w:type="dxa"/>
              <w:bottom w:w="0" w:type="dxa"/>
              <w:right w:w="100" w:type="dxa"/>
            </w:tcMar>
            <w:vAlign w:val="center"/>
          </w:tcPr>
          <w:p w14:paraId="0A394AD1" w14:textId="77777777" w:rsidR="008506E6" w:rsidRDefault="005B3201">
            <w:pPr>
              <w:ind w:right="40"/>
              <w:rPr>
                <w:rFonts w:ascii="Arial" w:hAnsi="Arial" w:cs="Arial"/>
                <w:b/>
                <w:bCs/>
              </w:rPr>
            </w:pPr>
            <w:r>
              <w:rPr>
                <w:rFonts w:ascii="Arial" w:hAnsi="Arial" w:cs="Arial"/>
                <w:b/>
                <w:bCs/>
              </w:rPr>
              <w:t>Standard</w:t>
            </w:r>
          </w:p>
        </w:tc>
      </w:tr>
      <w:tr w:rsidR="008506E6" w14:paraId="101F44EF" w14:textId="77777777">
        <w:trPr>
          <w:trHeight w:val="810"/>
        </w:trPr>
        <w:tc>
          <w:tcPr>
            <w:tcW w:w="0" w:type="auto"/>
            <w:tcBorders>
              <w:top w:val="nil"/>
              <w:left w:val="nil"/>
              <w:bottom w:val="single" w:sz="6" w:space="0" w:color="000000"/>
              <w:right w:val="nil"/>
            </w:tcBorders>
            <w:tcMar>
              <w:top w:w="0" w:type="dxa"/>
              <w:left w:w="100" w:type="dxa"/>
              <w:bottom w:w="0" w:type="dxa"/>
              <w:right w:w="100" w:type="dxa"/>
            </w:tcMar>
            <w:vAlign w:val="center"/>
          </w:tcPr>
          <w:p w14:paraId="0B724C39" w14:textId="77777777" w:rsidR="008506E6" w:rsidRDefault="005B3201">
            <w:pPr>
              <w:ind w:right="40"/>
              <w:rPr>
                <w:rFonts w:ascii="Arial" w:hAnsi="Arial" w:cs="Arial"/>
              </w:rPr>
            </w:pPr>
            <w:r>
              <w:rPr>
                <w:rFonts w:ascii="Arial" w:hAnsi="Arial" w:cs="Arial"/>
              </w:rPr>
              <w:t>Total Dissolved Solids (mg/L)</w:t>
            </w:r>
          </w:p>
        </w:tc>
        <w:tc>
          <w:tcPr>
            <w:tcW w:w="0" w:type="auto"/>
            <w:tcBorders>
              <w:top w:val="nil"/>
              <w:left w:val="nil"/>
              <w:bottom w:val="single" w:sz="6" w:space="0" w:color="000000"/>
              <w:right w:val="nil"/>
            </w:tcBorders>
            <w:tcMar>
              <w:top w:w="0" w:type="dxa"/>
              <w:left w:w="100" w:type="dxa"/>
              <w:bottom w:w="0" w:type="dxa"/>
              <w:right w:w="100" w:type="dxa"/>
            </w:tcMar>
            <w:vAlign w:val="center"/>
          </w:tcPr>
          <w:p w14:paraId="3AE2DDDB" w14:textId="77777777" w:rsidR="008506E6" w:rsidRDefault="005B3201">
            <w:pPr>
              <w:ind w:right="40"/>
              <w:rPr>
                <w:rFonts w:ascii="Arial" w:hAnsi="Arial" w:cs="Arial"/>
              </w:rPr>
            </w:pPr>
            <w:r>
              <w:rPr>
                <w:rFonts w:ascii="Arial" w:hAnsi="Arial" w:cs="Arial"/>
              </w:rPr>
              <w:t>178</w:t>
            </w:r>
          </w:p>
        </w:tc>
        <w:tc>
          <w:tcPr>
            <w:tcW w:w="0" w:type="auto"/>
            <w:tcBorders>
              <w:top w:val="nil"/>
              <w:left w:val="nil"/>
              <w:bottom w:val="single" w:sz="6" w:space="0" w:color="000000"/>
              <w:right w:val="nil"/>
            </w:tcBorders>
            <w:tcMar>
              <w:top w:w="0" w:type="dxa"/>
              <w:left w:w="100" w:type="dxa"/>
              <w:bottom w:w="0" w:type="dxa"/>
              <w:right w:w="100" w:type="dxa"/>
            </w:tcMar>
            <w:vAlign w:val="center"/>
          </w:tcPr>
          <w:p w14:paraId="2C65E869" w14:textId="77777777" w:rsidR="008506E6" w:rsidRDefault="005B3201">
            <w:pPr>
              <w:ind w:right="40"/>
              <w:rPr>
                <w:rFonts w:ascii="Arial" w:hAnsi="Arial" w:cs="Arial"/>
              </w:rPr>
            </w:pPr>
            <w:r>
              <w:rPr>
                <w:rFonts w:ascii="Arial" w:hAnsi="Arial" w:cs="Arial"/>
              </w:rPr>
              <w:t>168</w:t>
            </w:r>
          </w:p>
        </w:tc>
        <w:tc>
          <w:tcPr>
            <w:tcW w:w="0" w:type="auto"/>
            <w:tcBorders>
              <w:top w:val="nil"/>
              <w:left w:val="nil"/>
              <w:bottom w:val="single" w:sz="6" w:space="0" w:color="000000"/>
              <w:right w:val="nil"/>
            </w:tcBorders>
            <w:tcMar>
              <w:top w:w="0" w:type="dxa"/>
              <w:left w:w="100" w:type="dxa"/>
              <w:bottom w:w="0" w:type="dxa"/>
              <w:right w:w="100" w:type="dxa"/>
            </w:tcMar>
            <w:vAlign w:val="center"/>
          </w:tcPr>
          <w:p w14:paraId="5C91D36B" w14:textId="77777777" w:rsidR="008506E6" w:rsidRDefault="005B3201">
            <w:pPr>
              <w:ind w:right="40"/>
              <w:rPr>
                <w:rFonts w:ascii="Arial" w:hAnsi="Arial" w:cs="Arial"/>
              </w:rPr>
            </w:pPr>
            <w:r>
              <w:rPr>
                <w:rFonts w:ascii="Arial" w:hAnsi="Arial" w:cs="Arial"/>
              </w:rPr>
              <w:t>94</w:t>
            </w:r>
          </w:p>
        </w:tc>
        <w:tc>
          <w:tcPr>
            <w:tcW w:w="0" w:type="auto"/>
            <w:tcBorders>
              <w:top w:val="nil"/>
              <w:left w:val="nil"/>
              <w:bottom w:val="single" w:sz="6" w:space="0" w:color="000000"/>
              <w:right w:val="nil"/>
            </w:tcBorders>
            <w:tcMar>
              <w:top w:w="0" w:type="dxa"/>
              <w:left w:w="100" w:type="dxa"/>
              <w:bottom w:w="0" w:type="dxa"/>
              <w:right w:w="100" w:type="dxa"/>
            </w:tcMar>
            <w:vAlign w:val="center"/>
          </w:tcPr>
          <w:p w14:paraId="61689074" w14:textId="77777777" w:rsidR="008506E6" w:rsidRDefault="005B3201">
            <w:pPr>
              <w:ind w:right="40"/>
              <w:rPr>
                <w:rFonts w:ascii="Arial" w:hAnsi="Arial" w:cs="Arial"/>
              </w:rPr>
            </w:pPr>
            <w:r>
              <w:rPr>
                <w:rFonts w:ascii="Arial" w:hAnsi="Arial" w:cs="Arial"/>
              </w:rPr>
              <w:t>146.67</w:t>
            </w:r>
          </w:p>
        </w:tc>
        <w:tc>
          <w:tcPr>
            <w:tcW w:w="0" w:type="auto"/>
            <w:tcBorders>
              <w:top w:val="nil"/>
              <w:left w:val="nil"/>
              <w:bottom w:val="single" w:sz="6" w:space="0" w:color="000000"/>
              <w:right w:val="nil"/>
            </w:tcBorders>
            <w:tcMar>
              <w:top w:w="0" w:type="dxa"/>
              <w:left w:w="100" w:type="dxa"/>
              <w:bottom w:w="0" w:type="dxa"/>
              <w:right w:w="100" w:type="dxa"/>
            </w:tcMar>
            <w:vAlign w:val="center"/>
          </w:tcPr>
          <w:p w14:paraId="037A9127" w14:textId="77777777" w:rsidR="008506E6" w:rsidRDefault="005B3201">
            <w:pPr>
              <w:ind w:right="40"/>
              <w:rPr>
                <w:rFonts w:ascii="Arial" w:hAnsi="Arial" w:cs="Arial"/>
              </w:rPr>
            </w:pPr>
            <w:r>
              <w:rPr>
                <w:rFonts w:ascii="Arial" w:hAnsi="Arial" w:cs="Arial"/>
              </w:rPr>
              <w:t>&gt;1,000 mg/L</w:t>
            </w:r>
          </w:p>
        </w:tc>
      </w:tr>
    </w:tbl>
    <w:p w14:paraId="1AA44E68" w14:textId="77777777" w:rsidR="008506E6" w:rsidRDefault="008506E6">
      <w:pPr>
        <w:tabs>
          <w:tab w:val="left" w:pos="1080"/>
        </w:tabs>
        <w:jc w:val="both"/>
        <w:rPr>
          <w:rFonts w:ascii="Arial" w:hAnsi="Arial"/>
          <w:b/>
        </w:rPr>
      </w:pPr>
    </w:p>
    <w:p w14:paraId="2C60AD7F" w14:textId="77777777" w:rsidR="008506E6" w:rsidRDefault="008506E6">
      <w:pPr>
        <w:tabs>
          <w:tab w:val="left" w:pos="1080"/>
        </w:tabs>
        <w:jc w:val="both"/>
        <w:rPr>
          <w:rFonts w:ascii="Arial" w:hAnsi="Arial"/>
          <w:b/>
        </w:rPr>
      </w:pPr>
    </w:p>
    <w:p w14:paraId="13ECA014" w14:textId="77777777" w:rsidR="008506E6" w:rsidRDefault="005B3201">
      <w:pPr>
        <w:pStyle w:val="Body"/>
        <w:spacing w:after="0"/>
        <w:rPr>
          <w:rFonts w:ascii="Arial" w:hAnsi="Arial"/>
        </w:rPr>
      </w:pPr>
      <w:r>
        <w:rPr>
          <w:rFonts w:ascii="Arial" w:hAnsi="Arial"/>
        </w:rPr>
        <w:t xml:space="preserve">Table 1 presents the Total Dissolved Solids (TDS) concentrations across the Sabangan River. The upstream site recorded 178 milligrams per liter, midstream 168 milligrams per liter, and downstream 94 milligrams per liter, with an overall average of 146.67 milligrams per liter. These values are well below the DENR Class C standard of 1,000 milligrams per liter, indicating minimal dissolved salts, minerals, and organic matter (Muchanga &amp; </w:t>
      </w:r>
      <w:proofErr w:type="spellStart"/>
      <w:r>
        <w:rPr>
          <w:rFonts w:ascii="Arial" w:hAnsi="Arial"/>
        </w:rPr>
        <w:t>Sichingabula</w:t>
      </w:r>
      <w:proofErr w:type="spellEnd"/>
      <w:r>
        <w:rPr>
          <w:rFonts w:ascii="Arial" w:hAnsi="Arial"/>
        </w:rPr>
        <w:t>, 2021; Mathur et al., 2024; Paudel et al., 2024).</w:t>
      </w:r>
    </w:p>
    <w:p w14:paraId="77C5E8EB" w14:textId="77777777" w:rsidR="008506E6" w:rsidRDefault="008506E6">
      <w:pPr>
        <w:pStyle w:val="Body"/>
        <w:spacing w:after="0"/>
        <w:rPr>
          <w:rFonts w:ascii="Arial" w:hAnsi="Arial"/>
        </w:rPr>
      </w:pPr>
    </w:p>
    <w:p w14:paraId="7E856E69" w14:textId="77777777" w:rsidR="008506E6" w:rsidRDefault="005B3201">
      <w:pPr>
        <w:pStyle w:val="Body"/>
        <w:spacing w:after="0"/>
        <w:rPr>
          <w:rFonts w:ascii="Arial" w:hAnsi="Arial"/>
        </w:rPr>
      </w:pPr>
      <w:r>
        <w:rPr>
          <w:rFonts w:ascii="Arial" w:hAnsi="Arial"/>
        </w:rPr>
        <w:t>These low TDS levels suggest that the Sabangan River is suitable for drinking, irrigation, and aquatic life. High TDS concentrations can affect water taste, hardness, and palatability, potentially causing gastrointestinal discomfort if consumed at excessive levels (</w:t>
      </w:r>
      <w:proofErr w:type="spellStart"/>
      <w:r>
        <w:rPr>
          <w:rFonts w:ascii="Arial" w:hAnsi="Arial"/>
        </w:rPr>
        <w:t>Lemessa</w:t>
      </w:r>
      <w:proofErr w:type="spellEnd"/>
      <w:r>
        <w:rPr>
          <w:rFonts w:ascii="Arial" w:hAnsi="Arial"/>
        </w:rPr>
        <w:t xml:space="preserve"> et al., 2023). Elevated TDS, particularly when composed of sodium, sulfate, or chloride ions, has been associated with hypertension and kidney-related issues in sensitive individuals (Pushpalatha et al., 2022). Since the Sabangan River’s TDS values remain well within safe limits, it presents no immediate health risks, but continuous monitoring is necessary to prevent contamination from anthropogenic sources.</w:t>
      </w:r>
    </w:p>
    <w:p w14:paraId="5FE9B9D7" w14:textId="77777777" w:rsidR="008506E6" w:rsidRDefault="008506E6">
      <w:pPr>
        <w:pStyle w:val="Body"/>
        <w:spacing w:after="0"/>
        <w:rPr>
          <w:rFonts w:ascii="Arial" w:hAnsi="Arial"/>
        </w:rPr>
      </w:pPr>
    </w:p>
    <w:p w14:paraId="248B4526" w14:textId="77777777" w:rsidR="008506E6" w:rsidRDefault="005B3201">
      <w:pPr>
        <w:pStyle w:val="Body"/>
        <w:spacing w:after="0"/>
        <w:rPr>
          <w:rFonts w:ascii="Arial" w:hAnsi="Arial"/>
        </w:rPr>
      </w:pPr>
      <w:r>
        <w:rPr>
          <w:rFonts w:ascii="Arial" w:hAnsi="Arial"/>
        </w:rPr>
        <w:t>Comparative studies highlight variations in TDS levels across different Philippine rivers. Labajo-</w:t>
      </w:r>
      <w:proofErr w:type="spellStart"/>
      <w:r>
        <w:rPr>
          <w:rFonts w:ascii="Arial" w:hAnsi="Arial"/>
        </w:rPr>
        <w:t>Villantes</w:t>
      </w:r>
      <w:proofErr w:type="spellEnd"/>
      <w:r>
        <w:rPr>
          <w:rFonts w:ascii="Arial" w:hAnsi="Arial"/>
        </w:rPr>
        <w:t xml:space="preserve"> and </w:t>
      </w:r>
      <w:proofErr w:type="spellStart"/>
      <w:r>
        <w:rPr>
          <w:rFonts w:ascii="Arial" w:hAnsi="Arial"/>
        </w:rPr>
        <w:t>Nuñeza</w:t>
      </w:r>
      <w:proofErr w:type="spellEnd"/>
      <w:r>
        <w:rPr>
          <w:rFonts w:ascii="Arial" w:hAnsi="Arial"/>
        </w:rPr>
        <w:t xml:space="preserve"> (2014) found TDS levels in the Labo and Clarin Rivers ranging from 27.0 to 71.0 milligrams per liter, averaging 59 milligrams per liter, aligning with the DENR’s water quality guidelines. Meanwhile, the </w:t>
      </w:r>
      <w:proofErr w:type="spellStart"/>
      <w:r>
        <w:rPr>
          <w:rFonts w:ascii="Arial" w:hAnsi="Arial"/>
        </w:rPr>
        <w:t>Meycauayan</w:t>
      </w:r>
      <w:proofErr w:type="spellEnd"/>
      <w:r>
        <w:rPr>
          <w:rFonts w:ascii="Arial" w:hAnsi="Arial"/>
        </w:rPr>
        <w:t xml:space="preserve"> River recorded TDS levels of 249.55 milligrams per liter upstream, 325 milligrams per liter midstream, and 481.40 milligrams per liter downstream, averaging 351.98 milligrams per liter (</w:t>
      </w:r>
      <w:proofErr w:type="spellStart"/>
      <w:r>
        <w:rPr>
          <w:rFonts w:ascii="Arial" w:hAnsi="Arial"/>
        </w:rPr>
        <w:t>Pleto</w:t>
      </w:r>
      <w:proofErr w:type="spellEnd"/>
      <w:r>
        <w:rPr>
          <w:rFonts w:ascii="Arial" w:hAnsi="Arial"/>
        </w:rPr>
        <w:t xml:space="preserve"> et al., 2020). These comparisons confirm that the Sabangan River remains within safe limits for environmental and human health.</w:t>
      </w:r>
    </w:p>
    <w:p w14:paraId="0DE886B1" w14:textId="77777777" w:rsidR="008506E6" w:rsidRDefault="008506E6">
      <w:pPr>
        <w:pStyle w:val="Body"/>
        <w:spacing w:after="0"/>
        <w:rPr>
          <w:rFonts w:ascii="Arial" w:hAnsi="Arial"/>
        </w:rPr>
      </w:pPr>
    </w:p>
    <w:p w14:paraId="2C83FD82" w14:textId="77777777" w:rsidR="008506E6" w:rsidRDefault="005B3201">
      <w:pPr>
        <w:pStyle w:val="Body"/>
        <w:spacing w:after="0"/>
        <w:rPr>
          <w:rFonts w:ascii="Arial" w:hAnsi="Arial" w:cs="Arial"/>
          <w:b/>
          <w:u w:val="single"/>
        </w:rPr>
      </w:pPr>
      <w:r>
        <w:rPr>
          <w:rFonts w:ascii="Arial" w:hAnsi="Arial" w:cs="Arial"/>
          <w:b/>
          <w:u w:val="single"/>
        </w:rPr>
        <w:t>3.1.2 Turbidity</w:t>
      </w:r>
    </w:p>
    <w:p w14:paraId="5EA12975" w14:textId="77777777" w:rsidR="008506E6" w:rsidRDefault="008506E6">
      <w:pPr>
        <w:pStyle w:val="Body"/>
        <w:spacing w:after="0"/>
        <w:rPr>
          <w:rFonts w:ascii="Arial" w:hAnsi="Arial" w:cs="Arial"/>
          <w:b/>
          <w:u w:val="single"/>
        </w:rPr>
      </w:pPr>
    </w:p>
    <w:p w14:paraId="67C06769" w14:textId="77777777" w:rsidR="008506E6" w:rsidRDefault="005B3201">
      <w:pPr>
        <w:tabs>
          <w:tab w:val="left" w:pos="1080"/>
        </w:tabs>
        <w:jc w:val="both"/>
        <w:rPr>
          <w:rFonts w:ascii="Arial" w:hAnsi="Arial"/>
          <w:b/>
        </w:rPr>
      </w:pPr>
      <w:r>
        <w:rPr>
          <w:rFonts w:ascii="Arial" w:hAnsi="Arial"/>
          <w:b/>
        </w:rPr>
        <w:t>Table 2.</w:t>
      </w:r>
      <w:r>
        <w:rPr>
          <w:rFonts w:ascii="Arial" w:hAnsi="Arial"/>
          <w:b/>
        </w:rPr>
        <w:tab/>
        <w:t>Turbidity Results</w:t>
      </w:r>
    </w:p>
    <w:tbl>
      <w:tblPr>
        <w:tblStyle w:val="Style10"/>
        <w:tblpPr w:leftFromText="180" w:rightFromText="180" w:vertAnchor="text" w:horzAnchor="page" w:tblpX="3035" w:tblpY="91"/>
        <w:tblOverlap w:val="never"/>
        <w:tblW w:w="0" w:type="auto"/>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607"/>
        <w:gridCol w:w="896"/>
        <w:gridCol w:w="896"/>
        <w:gridCol w:w="896"/>
        <w:gridCol w:w="1030"/>
        <w:gridCol w:w="1358"/>
      </w:tblGrid>
      <w:tr w:rsidR="008506E6" w14:paraId="2DE77E86" w14:textId="77777777">
        <w:trPr>
          <w:trHeight w:val="810"/>
        </w:trPr>
        <w:tc>
          <w:tcPr>
            <w:tcW w:w="1607"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5B4C154A" w14:textId="77777777" w:rsidR="008506E6" w:rsidRDefault="005B3201">
            <w:pPr>
              <w:ind w:right="-80"/>
              <w:rPr>
                <w:rFonts w:ascii="Arial" w:hAnsi="Arial" w:cs="Arial"/>
                <w:b/>
                <w:bCs/>
              </w:rPr>
            </w:pPr>
            <w:r>
              <w:rPr>
                <w:rFonts w:ascii="Arial" w:hAnsi="Arial" w:cs="Arial"/>
                <w:b/>
                <w:bCs/>
              </w:rPr>
              <w:t>Parameter</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10D9922D" w14:textId="77777777" w:rsidR="008506E6" w:rsidRDefault="005B3201">
            <w:pPr>
              <w:ind w:right="40"/>
              <w:rPr>
                <w:rFonts w:ascii="Arial" w:hAnsi="Arial" w:cs="Arial"/>
                <w:b/>
                <w:bCs/>
              </w:rPr>
            </w:pPr>
            <w:r>
              <w:rPr>
                <w:rFonts w:ascii="Arial" w:hAnsi="Arial" w:cs="Arial"/>
                <w:b/>
                <w:bCs/>
              </w:rPr>
              <w:t>Up</w:t>
            </w:r>
          </w:p>
          <w:p w14:paraId="05C9771B" w14:textId="77777777" w:rsidR="008506E6" w:rsidRDefault="005B3201">
            <w:pPr>
              <w:ind w:right="40"/>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1CEB0779" w14:textId="77777777" w:rsidR="008506E6" w:rsidRDefault="005B3201">
            <w:pPr>
              <w:ind w:right="40"/>
              <w:rPr>
                <w:rFonts w:ascii="Arial" w:hAnsi="Arial" w:cs="Arial"/>
                <w:b/>
                <w:bCs/>
              </w:rPr>
            </w:pPr>
            <w:r>
              <w:rPr>
                <w:rFonts w:ascii="Arial" w:hAnsi="Arial" w:cs="Arial"/>
                <w:b/>
                <w:bCs/>
              </w:rPr>
              <w:t>Mid</w:t>
            </w:r>
          </w:p>
          <w:p w14:paraId="7F8A7D6D" w14:textId="77777777" w:rsidR="008506E6" w:rsidRDefault="005B3201">
            <w:pPr>
              <w:ind w:right="40"/>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7EFAC1F2" w14:textId="77777777" w:rsidR="008506E6" w:rsidRDefault="005B3201">
            <w:pPr>
              <w:ind w:right="40"/>
              <w:rPr>
                <w:rFonts w:ascii="Arial" w:hAnsi="Arial" w:cs="Arial"/>
                <w:b/>
                <w:bCs/>
              </w:rPr>
            </w:pPr>
            <w:r>
              <w:rPr>
                <w:rFonts w:ascii="Arial" w:hAnsi="Arial" w:cs="Arial"/>
                <w:b/>
                <w:bCs/>
              </w:rPr>
              <w:t>Down</w:t>
            </w:r>
          </w:p>
          <w:p w14:paraId="74EF4AC9" w14:textId="77777777" w:rsidR="008506E6" w:rsidRDefault="005B3201">
            <w:pPr>
              <w:ind w:right="40"/>
              <w:rPr>
                <w:rFonts w:ascii="Arial" w:hAnsi="Arial" w:cs="Arial"/>
                <w:b/>
                <w:bCs/>
              </w:rPr>
            </w:pPr>
            <w:r>
              <w:rPr>
                <w:rFonts w:ascii="Arial" w:hAnsi="Arial" w:cs="Arial"/>
                <w:b/>
                <w:bCs/>
              </w:rPr>
              <w:t>stream</w:t>
            </w:r>
          </w:p>
        </w:tc>
        <w:tc>
          <w:tcPr>
            <w:tcW w:w="1030"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1B14F430" w14:textId="77777777" w:rsidR="008506E6" w:rsidRDefault="005B3201">
            <w:pPr>
              <w:ind w:right="40"/>
              <w:rPr>
                <w:rFonts w:ascii="Arial" w:hAnsi="Arial" w:cs="Arial"/>
                <w:b/>
                <w:bCs/>
              </w:rPr>
            </w:pPr>
            <w:r>
              <w:rPr>
                <w:rFonts w:ascii="Arial" w:hAnsi="Arial" w:cs="Arial"/>
                <w:b/>
                <w:bCs/>
              </w:rPr>
              <w:t>Average</w:t>
            </w:r>
          </w:p>
        </w:tc>
        <w:tc>
          <w:tcPr>
            <w:tcW w:w="1358"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0DE88FF6" w14:textId="77777777" w:rsidR="008506E6" w:rsidRDefault="005B3201">
            <w:pPr>
              <w:ind w:right="40"/>
              <w:rPr>
                <w:rFonts w:ascii="Arial" w:hAnsi="Arial" w:cs="Arial"/>
                <w:b/>
                <w:bCs/>
              </w:rPr>
            </w:pPr>
            <w:r>
              <w:rPr>
                <w:rFonts w:ascii="Arial" w:hAnsi="Arial" w:cs="Arial"/>
                <w:b/>
                <w:bCs/>
              </w:rPr>
              <w:t>Standard</w:t>
            </w:r>
          </w:p>
        </w:tc>
      </w:tr>
      <w:tr w:rsidR="008506E6" w14:paraId="4244B096" w14:textId="77777777">
        <w:trPr>
          <w:trHeight w:val="810"/>
        </w:trPr>
        <w:tc>
          <w:tcPr>
            <w:tcW w:w="1607" w:type="dxa"/>
            <w:tcBorders>
              <w:top w:val="nil"/>
              <w:left w:val="nil"/>
              <w:bottom w:val="single" w:sz="6" w:space="0" w:color="000000"/>
              <w:right w:val="nil"/>
            </w:tcBorders>
            <w:tcMar>
              <w:top w:w="0" w:type="dxa"/>
              <w:left w:w="100" w:type="dxa"/>
              <w:bottom w:w="0" w:type="dxa"/>
              <w:right w:w="100" w:type="dxa"/>
            </w:tcMar>
            <w:vAlign w:val="center"/>
          </w:tcPr>
          <w:p w14:paraId="24EDB053" w14:textId="77777777" w:rsidR="008506E6" w:rsidRDefault="005B3201">
            <w:pPr>
              <w:ind w:right="40"/>
              <w:rPr>
                <w:rFonts w:ascii="Arial" w:hAnsi="Arial" w:cs="Arial"/>
              </w:rPr>
            </w:pPr>
            <w:r>
              <w:rPr>
                <w:rFonts w:ascii="Arial" w:hAnsi="Arial" w:cs="Arial"/>
              </w:rPr>
              <w:t>Turbidity (NTU)</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4D922B3B" w14:textId="77777777" w:rsidR="008506E6" w:rsidRDefault="005B3201">
            <w:pPr>
              <w:ind w:right="40"/>
              <w:rPr>
                <w:rFonts w:ascii="Arial" w:hAnsi="Arial" w:cs="Arial"/>
              </w:rPr>
            </w:pPr>
            <w:r>
              <w:rPr>
                <w:rFonts w:ascii="Arial" w:hAnsi="Arial" w:cs="Arial"/>
              </w:rPr>
              <w:t>0.42</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7B91506B" w14:textId="77777777" w:rsidR="008506E6" w:rsidRDefault="005B3201">
            <w:pPr>
              <w:ind w:right="40"/>
              <w:rPr>
                <w:rFonts w:ascii="Arial" w:hAnsi="Arial" w:cs="Arial"/>
              </w:rPr>
            </w:pPr>
            <w:r>
              <w:rPr>
                <w:rFonts w:ascii="Arial" w:hAnsi="Arial" w:cs="Arial"/>
              </w:rPr>
              <w:t>0.41</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10C71ED9" w14:textId="77777777" w:rsidR="008506E6" w:rsidRDefault="005B3201">
            <w:pPr>
              <w:ind w:right="40"/>
              <w:rPr>
                <w:rFonts w:ascii="Arial" w:hAnsi="Arial" w:cs="Arial"/>
              </w:rPr>
            </w:pPr>
            <w:r>
              <w:rPr>
                <w:rFonts w:ascii="Arial" w:hAnsi="Arial" w:cs="Arial"/>
              </w:rPr>
              <w:t>0.41</w:t>
            </w:r>
          </w:p>
        </w:tc>
        <w:tc>
          <w:tcPr>
            <w:tcW w:w="1030" w:type="dxa"/>
            <w:tcBorders>
              <w:top w:val="nil"/>
              <w:left w:val="nil"/>
              <w:bottom w:val="single" w:sz="6" w:space="0" w:color="000000"/>
              <w:right w:val="nil"/>
            </w:tcBorders>
            <w:tcMar>
              <w:top w:w="0" w:type="dxa"/>
              <w:left w:w="100" w:type="dxa"/>
              <w:bottom w:w="0" w:type="dxa"/>
              <w:right w:w="100" w:type="dxa"/>
            </w:tcMar>
            <w:vAlign w:val="center"/>
          </w:tcPr>
          <w:p w14:paraId="41F7159E" w14:textId="77777777" w:rsidR="008506E6" w:rsidRDefault="005B3201">
            <w:pPr>
              <w:ind w:right="40"/>
              <w:rPr>
                <w:rFonts w:ascii="Arial" w:hAnsi="Arial" w:cs="Arial"/>
              </w:rPr>
            </w:pPr>
            <w:r>
              <w:rPr>
                <w:rFonts w:ascii="Arial" w:hAnsi="Arial" w:cs="Arial"/>
              </w:rPr>
              <w:t>0.413</w:t>
            </w:r>
          </w:p>
        </w:tc>
        <w:tc>
          <w:tcPr>
            <w:tcW w:w="1358" w:type="dxa"/>
            <w:tcBorders>
              <w:top w:val="nil"/>
              <w:left w:val="nil"/>
              <w:bottom w:val="single" w:sz="6" w:space="0" w:color="000000"/>
              <w:right w:val="nil"/>
            </w:tcBorders>
            <w:tcMar>
              <w:top w:w="0" w:type="dxa"/>
              <w:left w:w="100" w:type="dxa"/>
              <w:bottom w:w="0" w:type="dxa"/>
              <w:right w:w="100" w:type="dxa"/>
            </w:tcMar>
            <w:vAlign w:val="center"/>
          </w:tcPr>
          <w:p w14:paraId="3F051D60" w14:textId="77777777" w:rsidR="008506E6" w:rsidRDefault="005B3201">
            <w:pPr>
              <w:ind w:right="40"/>
              <w:rPr>
                <w:rFonts w:ascii="Arial" w:hAnsi="Arial" w:cs="Arial"/>
              </w:rPr>
            </w:pPr>
            <w:r>
              <w:rPr>
                <w:rFonts w:ascii="Arial" w:hAnsi="Arial" w:cs="Arial"/>
              </w:rPr>
              <w:t>&gt;5 NTU</w:t>
            </w:r>
          </w:p>
        </w:tc>
      </w:tr>
    </w:tbl>
    <w:p w14:paraId="6037339F" w14:textId="77777777" w:rsidR="008506E6" w:rsidRDefault="008506E6">
      <w:pPr>
        <w:tabs>
          <w:tab w:val="left" w:pos="1080"/>
        </w:tabs>
        <w:jc w:val="both"/>
        <w:rPr>
          <w:rFonts w:ascii="Arial" w:hAnsi="Arial"/>
          <w:b/>
        </w:rPr>
      </w:pPr>
    </w:p>
    <w:p w14:paraId="40C43F64" w14:textId="77777777" w:rsidR="008506E6" w:rsidRDefault="008506E6">
      <w:pPr>
        <w:pStyle w:val="Body"/>
        <w:spacing w:after="0"/>
        <w:rPr>
          <w:rFonts w:ascii="Arial" w:hAnsi="Arial"/>
        </w:rPr>
      </w:pPr>
    </w:p>
    <w:p w14:paraId="43C0B6FF" w14:textId="77777777" w:rsidR="008506E6" w:rsidRDefault="008506E6">
      <w:pPr>
        <w:pStyle w:val="Body"/>
        <w:spacing w:after="0"/>
        <w:rPr>
          <w:rFonts w:ascii="Arial" w:hAnsi="Arial"/>
        </w:rPr>
      </w:pPr>
    </w:p>
    <w:p w14:paraId="53391C0B" w14:textId="77777777" w:rsidR="008506E6" w:rsidRDefault="008506E6">
      <w:pPr>
        <w:pStyle w:val="Body"/>
        <w:spacing w:after="0"/>
        <w:rPr>
          <w:rFonts w:ascii="Arial" w:hAnsi="Arial"/>
        </w:rPr>
      </w:pPr>
    </w:p>
    <w:p w14:paraId="50F5AFCE" w14:textId="77777777" w:rsidR="008506E6" w:rsidRDefault="008506E6">
      <w:pPr>
        <w:pStyle w:val="Body"/>
        <w:spacing w:after="0"/>
        <w:rPr>
          <w:rFonts w:ascii="Arial" w:hAnsi="Arial"/>
        </w:rPr>
      </w:pPr>
    </w:p>
    <w:p w14:paraId="7C665B8E" w14:textId="77777777" w:rsidR="008506E6" w:rsidRDefault="008506E6">
      <w:pPr>
        <w:pStyle w:val="Body"/>
        <w:spacing w:after="0"/>
        <w:rPr>
          <w:rFonts w:ascii="Arial" w:hAnsi="Arial"/>
        </w:rPr>
      </w:pPr>
    </w:p>
    <w:p w14:paraId="7DD36219" w14:textId="77777777" w:rsidR="008506E6" w:rsidRDefault="008506E6">
      <w:pPr>
        <w:pStyle w:val="Body"/>
        <w:spacing w:after="0"/>
        <w:rPr>
          <w:rFonts w:ascii="Arial" w:hAnsi="Arial"/>
        </w:rPr>
      </w:pPr>
    </w:p>
    <w:p w14:paraId="316761AD" w14:textId="77777777" w:rsidR="008506E6" w:rsidRDefault="008506E6">
      <w:pPr>
        <w:pStyle w:val="Body"/>
        <w:spacing w:after="0"/>
        <w:rPr>
          <w:rFonts w:ascii="Arial" w:hAnsi="Arial"/>
        </w:rPr>
      </w:pPr>
    </w:p>
    <w:p w14:paraId="661B08C8" w14:textId="77777777" w:rsidR="008506E6" w:rsidRDefault="008506E6">
      <w:pPr>
        <w:pStyle w:val="Body"/>
        <w:spacing w:after="0"/>
        <w:rPr>
          <w:rFonts w:ascii="Arial" w:hAnsi="Arial"/>
        </w:rPr>
      </w:pPr>
    </w:p>
    <w:p w14:paraId="362CBFD1" w14:textId="77777777" w:rsidR="008506E6" w:rsidRDefault="005B3201">
      <w:pPr>
        <w:pStyle w:val="Body"/>
        <w:spacing w:after="0"/>
        <w:rPr>
          <w:rFonts w:ascii="Arial" w:hAnsi="Arial"/>
        </w:rPr>
      </w:pPr>
      <w:r>
        <w:rPr>
          <w:rFonts w:ascii="Arial" w:hAnsi="Arial"/>
        </w:rPr>
        <w:t xml:space="preserve">Table 2 presents turbidity levels, with values of 0.42 nephelometric turbidity units upstream, 0.41 nephelometric turbidity units midstream, and 0.41 nephelometric turbidity units downstream, averaging 0.413 nephelometric turbidity units. These values are exceptionally </w:t>
      </w:r>
      <w:r>
        <w:rPr>
          <w:rFonts w:ascii="Arial" w:hAnsi="Arial"/>
        </w:rPr>
        <w:lastRenderedPageBreak/>
        <w:t xml:space="preserve">low and fall well below the DENR Class C standard of 5 nephelometric turbidity units, indicating clear water conditions with minimal suspended solids or microbial contamination (Muchanga &amp; </w:t>
      </w:r>
      <w:proofErr w:type="spellStart"/>
      <w:r>
        <w:rPr>
          <w:rFonts w:ascii="Arial" w:hAnsi="Arial"/>
        </w:rPr>
        <w:t>Sichingabula</w:t>
      </w:r>
      <w:proofErr w:type="spellEnd"/>
      <w:r>
        <w:rPr>
          <w:rFonts w:ascii="Arial" w:hAnsi="Arial"/>
        </w:rPr>
        <w:t>, 2021; Malaki et al., 2024).</w:t>
      </w:r>
    </w:p>
    <w:p w14:paraId="6DC782A0" w14:textId="77777777" w:rsidR="008506E6" w:rsidRDefault="008506E6">
      <w:pPr>
        <w:pStyle w:val="Body"/>
        <w:spacing w:after="0"/>
        <w:rPr>
          <w:rFonts w:ascii="Arial" w:hAnsi="Arial"/>
        </w:rPr>
      </w:pPr>
    </w:p>
    <w:p w14:paraId="19EB1BD4" w14:textId="77777777" w:rsidR="008506E6" w:rsidRDefault="005B3201">
      <w:pPr>
        <w:pStyle w:val="Body"/>
        <w:spacing w:after="0"/>
        <w:rPr>
          <w:rFonts w:ascii="Arial" w:hAnsi="Arial"/>
        </w:rPr>
      </w:pPr>
      <w:r>
        <w:rPr>
          <w:rFonts w:ascii="Arial" w:hAnsi="Arial"/>
        </w:rPr>
        <w:t>Turbidity is an important indicator of water safety since high turbidity levels can shield pathogens from disinfection processes, increasing the risk of waterborne diseases such as diarrhea, cholera, and giardiasis (Jayasekara et al., 2024). High turbidity has also been linked to skin and eye irritation, particularly in recreational waters (</w:t>
      </w:r>
      <w:proofErr w:type="spellStart"/>
      <w:r>
        <w:rPr>
          <w:rFonts w:ascii="Arial" w:hAnsi="Arial"/>
        </w:rPr>
        <w:t>Awogbami</w:t>
      </w:r>
      <w:proofErr w:type="spellEnd"/>
      <w:r>
        <w:rPr>
          <w:rFonts w:ascii="Arial" w:hAnsi="Arial"/>
        </w:rPr>
        <w:t xml:space="preserve"> et al., 2023). The Sabangan River’s low turbidity suggests a low risk of microbial contamination, reinforcing its suitability for recreational use. However, regular assessments of microbial content remain essential to ensure long-term safety.</w:t>
      </w:r>
    </w:p>
    <w:p w14:paraId="6B97567A" w14:textId="77777777" w:rsidR="008506E6" w:rsidRDefault="008506E6">
      <w:pPr>
        <w:pStyle w:val="Body"/>
        <w:spacing w:after="0"/>
        <w:rPr>
          <w:rFonts w:ascii="Arial" w:hAnsi="Arial"/>
        </w:rPr>
      </w:pPr>
    </w:p>
    <w:p w14:paraId="27DD6495" w14:textId="77777777" w:rsidR="008506E6" w:rsidRDefault="005B3201">
      <w:pPr>
        <w:pStyle w:val="Body"/>
        <w:spacing w:after="0"/>
        <w:rPr>
          <w:rFonts w:ascii="Arial" w:hAnsi="Arial"/>
        </w:rPr>
      </w:pPr>
      <w:r>
        <w:rPr>
          <w:rFonts w:ascii="Arial" w:hAnsi="Arial"/>
        </w:rPr>
        <w:t xml:space="preserve">Comparative studies show that rivers exposed to urban runoff and mining activities often exhibit significantly higher turbidity levels. The Sapangdaku River in Toledo City, Cebu, recorded turbidity values ranging from 22 nephelometric turbidity units upstream to 35 nephelometric turbidity units midstream, surpassing DENR standards and indicating poor water quality (Sanchez et al., 2020). Conversely, the </w:t>
      </w:r>
      <w:proofErr w:type="spellStart"/>
      <w:r>
        <w:rPr>
          <w:rFonts w:ascii="Arial" w:hAnsi="Arial"/>
        </w:rPr>
        <w:t>Egaña</w:t>
      </w:r>
      <w:proofErr w:type="spellEnd"/>
      <w:r>
        <w:rPr>
          <w:rFonts w:ascii="Arial" w:hAnsi="Arial"/>
        </w:rPr>
        <w:t xml:space="preserve"> River in </w:t>
      </w:r>
      <w:proofErr w:type="spellStart"/>
      <w:r>
        <w:rPr>
          <w:rFonts w:ascii="Arial" w:hAnsi="Arial"/>
        </w:rPr>
        <w:t>Sibalom</w:t>
      </w:r>
      <w:proofErr w:type="spellEnd"/>
      <w:r>
        <w:rPr>
          <w:rFonts w:ascii="Arial" w:hAnsi="Arial"/>
        </w:rPr>
        <w:t>, Antique, had a turbidity level of 1.27 nephelometric turbidity units, reflecting good water quality (</w:t>
      </w:r>
      <w:proofErr w:type="spellStart"/>
      <w:r>
        <w:rPr>
          <w:rFonts w:ascii="Arial" w:hAnsi="Arial"/>
        </w:rPr>
        <w:t>Alimen</w:t>
      </w:r>
      <w:proofErr w:type="spellEnd"/>
      <w:r>
        <w:rPr>
          <w:rFonts w:ascii="Arial" w:hAnsi="Arial"/>
        </w:rPr>
        <w:t xml:space="preserve"> et al., 2019). Similarly, the </w:t>
      </w:r>
      <w:proofErr w:type="spellStart"/>
      <w:r>
        <w:rPr>
          <w:rFonts w:ascii="Arial" w:hAnsi="Arial"/>
        </w:rPr>
        <w:t>Ciambulawung</w:t>
      </w:r>
      <w:proofErr w:type="spellEnd"/>
      <w:r>
        <w:rPr>
          <w:rFonts w:ascii="Arial" w:hAnsi="Arial"/>
        </w:rPr>
        <w:t xml:space="preserve"> River in Banten Province reported turbidity levels between 1.50 and 3.70 nephelometric turbidity units, averaging 2.30 nephelometric turbidity units, all within safe limits (Effendi et al., 2015). These comparisons highlight that the Sabangan River remains in an optimal state, free from significant suspended sediments or pollutants.</w:t>
      </w:r>
    </w:p>
    <w:p w14:paraId="73686F15" w14:textId="77777777" w:rsidR="008506E6" w:rsidRDefault="008506E6">
      <w:pPr>
        <w:pStyle w:val="Body"/>
        <w:spacing w:after="0"/>
        <w:rPr>
          <w:rFonts w:ascii="Arial" w:hAnsi="Arial"/>
        </w:rPr>
      </w:pPr>
    </w:p>
    <w:p w14:paraId="087A795C" w14:textId="77777777" w:rsidR="008506E6" w:rsidRDefault="005B3201">
      <w:pPr>
        <w:pStyle w:val="Body"/>
        <w:spacing w:after="0"/>
        <w:rPr>
          <w:rFonts w:ascii="Arial" w:hAnsi="Arial" w:cs="Arial"/>
        </w:rPr>
      </w:pPr>
      <w:r>
        <w:rPr>
          <w:rFonts w:ascii="Arial" w:hAnsi="Arial" w:cs="Arial"/>
          <w:b/>
          <w:caps/>
          <w:sz w:val="22"/>
        </w:rPr>
        <w:t xml:space="preserve">3.2 </w:t>
      </w:r>
      <w:r>
        <w:rPr>
          <w:rFonts w:ascii="Arial" w:hAnsi="Arial" w:cs="Arial"/>
          <w:b/>
          <w:sz w:val="22"/>
        </w:rPr>
        <w:t>Chemical Properties</w:t>
      </w:r>
    </w:p>
    <w:p w14:paraId="5D8E744B" w14:textId="77777777" w:rsidR="008506E6" w:rsidRDefault="008506E6">
      <w:pPr>
        <w:pStyle w:val="Body"/>
        <w:spacing w:after="0"/>
        <w:rPr>
          <w:rFonts w:ascii="Arial" w:hAnsi="Arial" w:cs="Arial"/>
        </w:rPr>
      </w:pPr>
    </w:p>
    <w:p w14:paraId="3D105217" w14:textId="77777777" w:rsidR="008506E6" w:rsidRDefault="005B3201">
      <w:pPr>
        <w:pStyle w:val="Body"/>
        <w:spacing w:after="0"/>
        <w:rPr>
          <w:rFonts w:ascii="Arial" w:hAnsi="Arial" w:cs="Arial"/>
        </w:rPr>
      </w:pPr>
      <w:r>
        <w:rPr>
          <w:rFonts w:ascii="Arial" w:hAnsi="Arial" w:cs="Arial"/>
          <w:b/>
          <w:u w:val="single"/>
        </w:rPr>
        <w:t>3.2.1 Dissolved Oxygen</w:t>
      </w:r>
    </w:p>
    <w:p w14:paraId="362A04F6" w14:textId="77777777" w:rsidR="008506E6" w:rsidRDefault="008506E6">
      <w:pPr>
        <w:pStyle w:val="Body"/>
        <w:spacing w:after="0"/>
        <w:rPr>
          <w:rFonts w:ascii="Arial" w:hAnsi="Arial" w:cs="Arial"/>
        </w:rPr>
      </w:pPr>
    </w:p>
    <w:p w14:paraId="050D2B96" w14:textId="77777777" w:rsidR="008506E6" w:rsidRDefault="005B3201">
      <w:pPr>
        <w:tabs>
          <w:tab w:val="left" w:pos="1080"/>
        </w:tabs>
        <w:jc w:val="both"/>
        <w:rPr>
          <w:rFonts w:ascii="Arial" w:hAnsi="Arial"/>
          <w:b/>
        </w:rPr>
      </w:pPr>
      <w:r>
        <w:rPr>
          <w:rFonts w:ascii="Arial" w:hAnsi="Arial"/>
          <w:b/>
        </w:rPr>
        <w:t>Table 3.</w:t>
      </w:r>
      <w:r>
        <w:rPr>
          <w:rFonts w:ascii="Arial" w:hAnsi="Arial"/>
          <w:b/>
        </w:rPr>
        <w:tab/>
        <w:t>Dissolved Oxygen Results</w:t>
      </w:r>
    </w:p>
    <w:tbl>
      <w:tblPr>
        <w:tblStyle w:val="Style10"/>
        <w:tblpPr w:leftFromText="180" w:rightFromText="180" w:vertAnchor="text" w:horzAnchor="page" w:tblpX="3035" w:tblpY="91"/>
        <w:tblOverlap w:val="never"/>
        <w:tblW w:w="0" w:type="auto"/>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607"/>
        <w:gridCol w:w="896"/>
        <w:gridCol w:w="896"/>
        <w:gridCol w:w="896"/>
        <w:gridCol w:w="1030"/>
        <w:gridCol w:w="1358"/>
      </w:tblGrid>
      <w:tr w:rsidR="008506E6" w14:paraId="3BE71FF7" w14:textId="77777777">
        <w:trPr>
          <w:trHeight w:val="810"/>
        </w:trPr>
        <w:tc>
          <w:tcPr>
            <w:tcW w:w="1607"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654DC147" w14:textId="77777777" w:rsidR="008506E6" w:rsidRDefault="005B3201">
            <w:pPr>
              <w:ind w:right="-80"/>
              <w:jc w:val="both"/>
              <w:rPr>
                <w:rFonts w:ascii="Arial" w:hAnsi="Arial" w:cs="Arial"/>
                <w:b/>
                <w:bCs/>
              </w:rPr>
            </w:pPr>
            <w:r>
              <w:rPr>
                <w:rFonts w:ascii="Arial" w:hAnsi="Arial" w:cs="Arial"/>
                <w:b/>
                <w:bCs/>
              </w:rPr>
              <w:t>Parameter</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72FCABF0" w14:textId="77777777" w:rsidR="008506E6" w:rsidRDefault="005B3201">
            <w:pPr>
              <w:ind w:right="40"/>
              <w:jc w:val="both"/>
              <w:rPr>
                <w:rFonts w:ascii="Arial" w:hAnsi="Arial" w:cs="Arial"/>
                <w:b/>
                <w:bCs/>
              </w:rPr>
            </w:pPr>
            <w:r>
              <w:rPr>
                <w:rFonts w:ascii="Arial" w:hAnsi="Arial" w:cs="Arial"/>
                <w:b/>
                <w:bCs/>
              </w:rPr>
              <w:t>Up</w:t>
            </w:r>
          </w:p>
          <w:p w14:paraId="625D0CA6" w14:textId="77777777" w:rsidR="008506E6" w:rsidRDefault="005B3201">
            <w:pPr>
              <w:ind w:right="40"/>
              <w:jc w:val="both"/>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26BB1CE4" w14:textId="77777777" w:rsidR="008506E6" w:rsidRDefault="005B3201">
            <w:pPr>
              <w:ind w:right="40"/>
              <w:jc w:val="both"/>
              <w:rPr>
                <w:rFonts w:ascii="Arial" w:hAnsi="Arial" w:cs="Arial"/>
                <w:b/>
                <w:bCs/>
              </w:rPr>
            </w:pPr>
            <w:r>
              <w:rPr>
                <w:rFonts w:ascii="Arial" w:hAnsi="Arial" w:cs="Arial"/>
                <w:b/>
                <w:bCs/>
              </w:rPr>
              <w:t>Mid</w:t>
            </w:r>
          </w:p>
          <w:p w14:paraId="73500F79" w14:textId="77777777" w:rsidR="008506E6" w:rsidRDefault="005B3201">
            <w:pPr>
              <w:ind w:right="40"/>
              <w:jc w:val="both"/>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616E7B15" w14:textId="77777777" w:rsidR="008506E6" w:rsidRDefault="005B3201">
            <w:pPr>
              <w:ind w:right="40"/>
              <w:jc w:val="both"/>
              <w:rPr>
                <w:rFonts w:ascii="Arial" w:hAnsi="Arial" w:cs="Arial"/>
                <w:b/>
                <w:bCs/>
              </w:rPr>
            </w:pPr>
            <w:r>
              <w:rPr>
                <w:rFonts w:ascii="Arial" w:hAnsi="Arial" w:cs="Arial"/>
                <w:b/>
                <w:bCs/>
              </w:rPr>
              <w:t>Down</w:t>
            </w:r>
          </w:p>
          <w:p w14:paraId="6674C4A5" w14:textId="77777777" w:rsidR="008506E6" w:rsidRDefault="005B3201">
            <w:pPr>
              <w:ind w:right="40"/>
              <w:jc w:val="both"/>
              <w:rPr>
                <w:rFonts w:ascii="Arial" w:hAnsi="Arial" w:cs="Arial"/>
                <w:b/>
                <w:bCs/>
              </w:rPr>
            </w:pPr>
            <w:r>
              <w:rPr>
                <w:rFonts w:ascii="Arial" w:hAnsi="Arial" w:cs="Arial"/>
                <w:b/>
                <w:bCs/>
              </w:rPr>
              <w:t>stream</w:t>
            </w:r>
          </w:p>
        </w:tc>
        <w:tc>
          <w:tcPr>
            <w:tcW w:w="1030"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28A8DCFD" w14:textId="77777777" w:rsidR="008506E6" w:rsidRDefault="005B3201">
            <w:pPr>
              <w:ind w:right="40"/>
              <w:jc w:val="both"/>
              <w:rPr>
                <w:rFonts w:ascii="Arial" w:hAnsi="Arial" w:cs="Arial"/>
                <w:b/>
                <w:bCs/>
              </w:rPr>
            </w:pPr>
            <w:r>
              <w:rPr>
                <w:rFonts w:ascii="Arial" w:hAnsi="Arial" w:cs="Arial"/>
                <w:b/>
                <w:bCs/>
              </w:rPr>
              <w:t>Average</w:t>
            </w:r>
          </w:p>
        </w:tc>
        <w:tc>
          <w:tcPr>
            <w:tcW w:w="1358"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713290BA" w14:textId="77777777" w:rsidR="008506E6" w:rsidRDefault="005B3201">
            <w:pPr>
              <w:ind w:right="40"/>
              <w:jc w:val="both"/>
              <w:rPr>
                <w:rFonts w:ascii="Arial" w:hAnsi="Arial" w:cs="Arial"/>
                <w:b/>
                <w:bCs/>
              </w:rPr>
            </w:pPr>
            <w:r>
              <w:rPr>
                <w:rFonts w:ascii="Arial" w:hAnsi="Arial" w:cs="Arial"/>
                <w:b/>
                <w:bCs/>
              </w:rPr>
              <w:t>Standard</w:t>
            </w:r>
          </w:p>
        </w:tc>
      </w:tr>
      <w:tr w:rsidR="008506E6" w14:paraId="56B9B760" w14:textId="77777777">
        <w:trPr>
          <w:trHeight w:val="810"/>
        </w:trPr>
        <w:tc>
          <w:tcPr>
            <w:tcW w:w="1607" w:type="dxa"/>
            <w:tcBorders>
              <w:top w:val="nil"/>
              <w:left w:val="nil"/>
              <w:bottom w:val="single" w:sz="6" w:space="0" w:color="000000"/>
              <w:right w:val="nil"/>
            </w:tcBorders>
            <w:tcMar>
              <w:top w:w="0" w:type="dxa"/>
              <w:left w:w="100" w:type="dxa"/>
              <w:bottom w:w="0" w:type="dxa"/>
              <w:right w:w="100" w:type="dxa"/>
            </w:tcMar>
            <w:vAlign w:val="center"/>
          </w:tcPr>
          <w:p w14:paraId="2CC20BE4" w14:textId="77777777" w:rsidR="008506E6" w:rsidRDefault="005B3201">
            <w:pPr>
              <w:ind w:right="40"/>
              <w:jc w:val="both"/>
              <w:rPr>
                <w:rFonts w:ascii="Arial" w:hAnsi="Arial" w:cs="Arial"/>
              </w:rPr>
            </w:pPr>
            <w:r>
              <w:rPr>
                <w:rFonts w:ascii="Arial" w:hAnsi="Arial" w:cs="Arial"/>
              </w:rPr>
              <w:t>Dissolved Oxygen (mg/L)</w:t>
            </w:r>
          </w:p>
        </w:tc>
        <w:tc>
          <w:tcPr>
            <w:tcW w:w="896" w:type="dxa"/>
            <w:tcBorders>
              <w:top w:val="nil"/>
              <w:left w:val="nil"/>
              <w:bottom w:val="single" w:sz="6" w:space="0" w:color="000000"/>
              <w:right w:val="nil"/>
            </w:tcBorders>
            <w:tcMar>
              <w:top w:w="0" w:type="dxa"/>
              <w:left w:w="100" w:type="dxa"/>
              <w:bottom w:w="0" w:type="dxa"/>
              <w:right w:w="100" w:type="dxa"/>
            </w:tcMar>
            <w:vAlign w:val="bottom"/>
          </w:tcPr>
          <w:p w14:paraId="2B4EF668" w14:textId="77777777" w:rsidR="008506E6" w:rsidRDefault="005B3201">
            <w:pPr>
              <w:spacing w:line="480" w:lineRule="auto"/>
              <w:ind w:right="40"/>
              <w:jc w:val="both"/>
              <w:rPr>
                <w:rFonts w:ascii="Arial" w:hAnsi="Arial" w:cs="Arial"/>
              </w:rPr>
            </w:pPr>
            <w:r>
              <w:rPr>
                <w:rFonts w:ascii="Arial" w:hAnsi="Arial" w:cs="Arial"/>
              </w:rPr>
              <w:t>8.5</w:t>
            </w:r>
          </w:p>
        </w:tc>
        <w:tc>
          <w:tcPr>
            <w:tcW w:w="896" w:type="dxa"/>
            <w:tcBorders>
              <w:top w:val="nil"/>
              <w:left w:val="nil"/>
              <w:bottom w:val="single" w:sz="6" w:space="0" w:color="000000"/>
              <w:right w:val="nil"/>
            </w:tcBorders>
            <w:tcMar>
              <w:top w:w="0" w:type="dxa"/>
              <w:left w:w="100" w:type="dxa"/>
              <w:bottom w:w="0" w:type="dxa"/>
              <w:right w:w="100" w:type="dxa"/>
            </w:tcMar>
            <w:vAlign w:val="bottom"/>
          </w:tcPr>
          <w:p w14:paraId="0F4FBFB0" w14:textId="77777777" w:rsidR="008506E6" w:rsidRDefault="005B3201">
            <w:pPr>
              <w:spacing w:line="480" w:lineRule="auto"/>
              <w:ind w:right="40"/>
              <w:jc w:val="both"/>
              <w:rPr>
                <w:rFonts w:ascii="Arial" w:hAnsi="Arial" w:cs="Arial"/>
              </w:rPr>
            </w:pPr>
            <w:r>
              <w:rPr>
                <w:rFonts w:ascii="Arial" w:hAnsi="Arial" w:cs="Arial"/>
              </w:rPr>
              <w:t>8.4</w:t>
            </w:r>
          </w:p>
        </w:tc>
        <w:tc>
          <w:tcPr>
            <w:tcW w:w="896" w:type="dxa"/>
            <w:tcBorders>
              <w:top w:val="nil"/>
              <w:left w:val="nil"/>
              <w:bottom w:val="single" w:sz="6" w:space="0" w:color="000000"/>
              <w:right w:val="nil"/>
            </w:tcBorders>
            <w:tcMar>
              <w:top w:w="0" w:type="dxa"/>
              <w:left w:w="100" w:type="dxa"/>
              <w:bottom w:w="0" w:type="dxa"/>
              <w:right w:w="100" w:type="dxa"/>
            </w:tcMar>
            <w:vAlign w:val="bottom"/>
          </w:tcPr>
          <w:p w14:paraId="0179767E" w14:textId="77777777" w:rsidR="008506E6" w:rsidRDefault="005B3201">
            <w:pPr>
              <w:spacing w:line="480" w:lineRule="auto"/>
              <w:ind w:right="40"/>
              <w:jc w:val="both"/>
              <w:rPr>
                <w:rFonts w:ascii="Arial" w:hAnsi="Arial" w:cs="Arial"/>
              </w:rPr>
            </w:pPr>
            <w:r>
              <w:rPr>
                <w:rFonts w:ascii="Arial" w:hAnsi="Arial" w:cs="Arial"/>
              </w:rPr>
              <w:t>8.5</w:t>
            </w:r>
          </w:p>
        </w:tc>
        <w:tc>
          <w:tcPr>
            <w:tcW w:w="1030" w:type="dxa"/>
            <w:tcBorders>
              <w:top w:val="nil"/>
              <w:left w:val="nil"/>
              <w:bottom w:val="single" w:sz="6" w:space="0" w:color="000000"/>
              <w:right w:val="nil"/>
            </w:tcBorders>
            <w:tcMar>
              <w:top w:w="0" w:type="dxa"/>
              <w:left w:w="100" w:type="dxa"/>
              <w:bottom w:w="0" w:type="dxa"/>
              <w:right w:w="100" w:type="dxa"/>
            </w:tcMar>
            <w:vAlign w:val="bottom"/>
          </w:tcPr>
          <w:p w14:paraId="2BC3720D" w14:textId="77777777" w:rsidR="008506E6" w:rsidRDefault="005B3201">
            <w:pPr>
              <w:spacing w:line="480" w:lineRule="auto"/>
              <w:ind w:right="40"/>
              <w:jc w:val="both"/>
              <w:rPr>
                <w:rFonts w:ascii="Arial" w:hAnsi="Arial" w:cs="Arial"/>
              </w:rPr>
            </w:pPr>
            <w:r>
              <w:rPr>
                <w:rFonts w:ascii="Arial" w:hAnsi="Arial" w:cs="Arial"/>
              </w:rPr>
              <w:t>8.47</w:t>
            </w:r>
          </w:p>
        </w:tc>
        <w:tc>
          <w:tcPr>
            <w:tcW w:w="1358" w:type="dxa"/>
            <w:tcBorders>
              <w:top w:val="nil"/>
              <w:left w:val="nil"/>
              <w:bottom w:val="single" w:sz="6" w:space="0" w:color="000000"/>
              <w:right w:val="nil"/>
            </w:tcBorders>
            <w:tcMar>
              <w:top w:w="0" w:type="dxa"/>
              <w:left w:w="100" w:type="dxa"/>
              <w:bottom w:w="0" w:type="dxa"/>
              <w:right w:w="100" w:type="dxa"/>
            </w:tcMar>
            <w:vAlign w:val="bottom"/>
          </w:tcPr>
          <w:p w14:paraId="03FB31FF" w14:textId="77777777" w:rsidR="008506E6" w:rsidRDefault="005B3201">
            <w:pPr>
              <w:spacing w:line="480" w:lineRule="auto"/>
              <w:ind w:right="40"/>
              <w:jc w:val="both"/>
              <w:rPr>
                <w:rFonts w:ascii="Arial" w:hAnsi="Arial" w:cs="Arial"/>
              </w:rPr>
            </w:pPr>
            <w:r>
              <w:rPr>
                <w:rFonts w:ascii="Arial" w:hAnsi="Arial" w:cs="Arial"/>
              </w:rPr>
              <w:t>&lt;5 mg/L</w:t>
            </w:r>
          </w:p>
        </w:tc>
      </w:tr>
    </w:tbl>
    <w:p w14:paraId="2DBCB4C1" w14:textId="77777777" w:rsidR="008506E6" w:rsidRDefault="008506E6">
      <w:pPr>
        <w:tabs>
          <w:tab w:val="left" w:pos="1080"/>
        </w:tabs>
        <w:jc w:val="both"/>
        <w:rPr>
          <w:rFonts w:ascii="Arial" w:hAnsi="Arial"/>
          <w:b/>
        </w:rPr>
      </w:pPr>
    </w:p>
    <w:p w14:paraId="3B6F2E39" w14:textId="77777777" w:rsidR="008506E6" w:rsidRDefault="008506E6">
      <w:pPr>
        <w:pStyle w:val="Body"/>
        <w:spacing w:after="0"/>
        <w:rPr>
          <w:rFonts w:ascii="Arial" w:hAnsi="Arial"/>
        </w:rPr>
      </w:pPr>
    </w:p>
    <w:p w14:paraId="334D1FF1" w14:textId="77777777" w:rsidR="008506E6" w:rsidRDefault="008506E6">
      <w:pPr>
        <w:pStyle w:val="Body"/>
        <w:spacing w:after="0"/>
        <w:rPr>
          <w:rFonts w:ascii="Arial" w:hAnsi="Arial"/>
        </w:rPr>
      </w:pPr>
    </w:p>
    <w:p w14:paraId="30CF3539" w14:textId="77777777" w:rsidR="008506E6" w:rsidRDefault="008506E6">
      <w:pPr>
        <w:pStyle w:val="Body"/>
        <w:spacing w:after="0"/>
        <w:rPr>
          <w:rFonts w:ascii="Arial" w:hAnsi="Arial"/>
        </w:rPr>
      </w:pPr>
    </w:p>
    <w:p w14:paraId="183988ED" w14:textId="77777777" w:rsidR="008506E6" w:rsidRDefault="008506E6">
      <w:pPr>
        <w:pStyle w:val="Body"/>
        <w:spacing w:after="0"/>
        <w:rPr>
          <w:rFonts w:ascii="Arial" w:hAnsi="Arial"/>
        </w:rPr>
      </w:pPr>
    </w:p>
    <w:p w14:paraId="7246AEEE" w14:textId="77777777" w:rsidR="008506E6" w:rsidRDefault="008506E6">
      <w:pPr>
        <w:pStyle w:val="Body"/>
        <w:spacing w:after="0"/>
        <w:rPr>
          <w:rFonts w:ascii="Arial" w:hAnsi="Arial"/>
        </w:rPr>
      </w:pPr>
    </w:p>
    <w:p w14:paraId="1CB1E191" w14:textId="77777777" w:rsidR="008506E6" w:rsidRDefault="008506E6">
      <w:pPr>
        <w:pStyle w:val="Body"/>
        <w:spacing w:after="0"/>
        <w:rPr>
          <w:rFonts w:ascii="Arial" w:hAnsi="Arial"/>
        </w:rPr>
      </w:pPr>
    </w:p>
    <w:p w14:paraId="6F2729F3" w14:textId="77777777" w:rsidR="008506E6" w:rsidRDefault="008506E6">
      <w:pPr>
        <w:pStyle w:val="Body"/>
        <w:spacing w:after="0"/>
        <w:rPr>
          <w:rFonts w:ascii="Arial" w:hAnsi="Arial"/>
        </w:rPr>
      </w:pPr>
    </w:p>
    <w:p w14:paraId="4C814AE9" w14:textId="77777777" w:rsidR="008506E6" w:rsidRDefault="005B3201">
      <w:pPr>
        <w:pStyle w:val="Body"/>
        <w:spacing w:after="0"/>
        <w:rPr>
          <w:rFonts w:ascii="Arial" w:hAnsi="Arial"/>
        </w:rPr>
      </w:pPr>
      <w:r>
        <w:rPr>
          <w:rFonts w:ascii="Arial" w:hAnsi="Arial"/>
        </w:rPr>
        <w:t>Table 3 presents the Dissolved Oxygen (DO) concentrations, which averaged 8.47 milligrams per liter, exceeding the DENR minimum standard of 5 milligrams per liter for Class C waters. This high DO level indicates a well-oxygenated river system, crucial for supporting fish and other aquatic life (Auta et al., 2023; Mathur et al., 2024).</w:t>
      </w:r>
    </w:p>
    <w:p w14:paraId="17239B66" w14:textId="77777777" w:rsidR="008506E6" w:rsidRDefault="008506E6">
      <w:pPr>
        <w:pStyle w:val="Body"/>
        <w:spacing w:after="0"/>
        <w:rPr>
          <w:rFonts w:ascii="Arial" w:hAnsi="Arial"/>
        </w:rPr>
      </w:pPr>
    </w:p>
    <w:p w14:paraId="4C0D47DC" w14:textId="77777777" w:rsidR="008506E6" w:rsidRDefault="005B3201">
      <w:pPr>
        <w:pStyle w:val="Body"/>
        <w:spacing w:after="0"/>
        <w:rPr>
          <w:rFonts w:ascii="Arial" w:hAnsi="Arial"/>
        </w:rPr>
      </w:pPr>
      <w:r>
        <w:rPr>
          <w:rFonts w:ascii="Arial" w:hAnsi="Arial"/>
        </w:rPr>
        <w:t>Dissolved oxygen is a key indicator of water quality, as it measures the availability of oxygen for aquatic organisms. The Sabangan River’s swift-moving waters likely facilitate oxygen dissolution, supporting a stable and biologically active ecosystem (USGS, 2019). High DO levels generally suggest low organic pollution and healthy biochemical processes, reinforcing the pristine condition of the river (Auta et al., 2023).</w:t>
      </w:r>
    </w:p>
    <w:p w14:paraId="348A986B" w14:textId="77777777" w:rsidR="008506E6" w:rsidRDefault="008506E6">
      <w:pPr>
        <w:pStyle w:val="Body"/>
        <w:spacing w:after="0"/>
        <w:rPr>
          <w:rFonts w:ascii="Arial" w:hAnsi="Arial"/>
        </w:rPr>
      </w:pPr>
    </w:p>
    <w:p w14:paraId="4405FE03" w14:textId="77777777" w:rsidR="008506E6" w:rsidRDefault="005B3201">
      <w:pPr>
        <w:pStyle w:val="Body"/>
        <w:spacing w:after="0"/>
        <w:rPr>
          <w:rFonts w:ascii="Arial" w:hAnsi="Arial"/>
        </w:rPr>
      </w:pPr>
      <w:r>
        <w:rPr>
          <w:rFonts w:ascii="Arial" w:hAnsi="Arial"/>
        </w:rPr>
        <w:t>Studies on other rivers have revealed lower DO concentrations. The Labo and Clarin Rivers recorded DO levels between 1.52 and 4.57 milligrams per liter, averaging 2.76 milligrams per liter, which, although within acceptable limits, remain below the DENR’s 5-milligram-per-liter threshold (Labajo-</w:t>
      </w:r>
      <w:proofErr w:type="spellStart"/>
      <w:r>
        <w:rPr>
          <w:rFonts w:ascii="Arial" w:hAnsi="Arial"/>
        </w:rPr>
        <w:t>Villantes</w:t>
      </w:r>
      <w:proofErr w:type="spellEnd"/>
      <w:r>
        <w:rPr>
          <w:rFonts w:ascii="Arial" w:hAnsi="Arial"/>
        </w:rPr>
        <w:t xml:space="preserve"> &amp; </w:t>
      </w:r>
      <w:proofErr w:type="spellStart"/>
      <w:r>
        <w:rPr>
          <w:rFonts w:ascii="Arial" w:hAnsi="Arial"/>
        </w:rPr>
        <w:t>Nuñeza</w:t>
      </w:r>
      <w:proofErr w:type="spellEnd"/>
      <w:r>
        <w:rPr>
          <w:rFonts w:ascii="Arial" w:hAnsi="Arial"/>
        </w:rPr>
        <w:t xml:space="preserve">, 2014). Similarly, the </w:t>
      </w:r>
      <w:proofErr w:type="spellStart"/>
      <w:r>
        <w:rPr>
          <w:rFonts w:ascii="Arial" w:hAnsi="Arial"/>
        </w:rPr>
        <w:t>Meycauayan</w:t>
      </w:r>
      <w:proofErr w:type="spellEnd"/>
      <w:r>
        <w:rPr>
          <w:rFonts w:ascii="Arial" w:hAnsi="Arial"/>
        </w:rPr>
        <w:t xml:space="preserve"> River exhibited DO levels ranging from 0.49 to 0.98 milligrams per liter, averaging 3.34 milligrams per liter, indicating poorer water quality (</w:t>
      </w:r>
      <w:proofErr w:type="spellStart"/>
      <w:r>
        <w:rPr>
          <w:rFonts w:ascii="Arial" w:hAnsi="Arial"/>
        </w:rPr>
        <w:t>Pleto</w:t>
      </w:r>
      <w:proofErr w:type="spellEnd"/>
      <w:r>
        <w:rPr>
          <w:rFonts w:ascii="Arial" w:hAnsi="Arial"/>
        </w:rPr>
        <w:t xml:space="preserve"> et al., 2020). These comparisons emphasize that the </w:t>
      </w:r>
      <w:r>
        <w:rPr>
          <w:rFonts w:ascii="Arial" w:hAnsi="Arial"/>
        </w:rPr>
        <w:lastRenderedPageBreak/>
        <w:t>Sabangan River supports a healthier aquatic system than many urban and industrial-impacted rivers.</w:t>
      </w:r>
    </w:p>
    <w:p w14:paraId="34EE9B52" w14:textId="77777777" w:rsidR="008506E6" w:rsidRDefault="008506E6">
      <w:pPr>
        <w:pStyle w:val="Body"/>
        <w:spacing w:after="0"/>
        <w:rPr>
          <w:rFonts w:ascii="Arial" w:hAnsi="Arial"/>
        </w:rPr>
      </w:pPr>
    </w:p>
    <w:p w14:paraId="40C977A6" w14:textId="77777777" w:rsidR="008506E6" w:rsidRDefault="005B3201">
      <w:pPr>
        <w:pStyle w:val="Body"/>
        <w:spacing w:after="0"/>
        <w:rPr>
          <w:rFonts w:ascii="Arial" w:hAnsi="Arial"/>
        </w:rPr>
      </w:pPr>
      <w:r>
        <w:rPr>
          <w:rFonts w:ascii="Arial" w:hAnsi="Arial"/>
        </w:rPr>
        <w:t>Low DO levels in water bodies can lead to the proliferation of anaerobic bacteria, including those that produce toxic compounds such as hydrogen sulfide and methane, which are harmful when inhaled or ingested (Guo et al., 2022). Reduced oxygen availability can also promote the growth of harmful algal blooms, producing toxins that cause respiratory and gastrointestinal illnesses in humans (Rocha et al., 2023). Since the Sabangan River maintains high DO levels, it supports a healthy aquatic ecosystem with minimal risks of hypoxia-related hazards.</w:t>
      </w:r>
    </w:p>
    <w:p w14:paraId="0BFFF380" w14:textId="77777777" w:rsidR="008506E6" w:rsidRDefault="008506E6">
      <w:pPr>
        <w:pStyle w:val="Body"/>
        <w:spacing w:after="0"/>
        <w:rPr>
          <w:rFonts w:ascii="Arial" w:hAnsi="Arial"/>
        </w:rPr>
      </w:pPr>
    </w:p>
    <w:p w14:paraId="752D20F5" w14:textId="77777777" w:rsidR="008506E6" w:rsidRDefault="005B3201">
      <w:pPr>
        <w:pStyle w:val="Body"/>
        <w:spacing w:after="0"/>
        <w:rPr>
          <w:rFonts w:ascii="Arial" w:hAnsi="Arial"/>
        </w:rPr>
      </w:pPr>
      <w:r>
        <w:rPr>
          <w:rFonts w:ascii="Arial" w:hAnsi="Arial" w:cs="Arial"/>
          <w:b/>
          <w:u w:val="single"/>
        </w:rPr>
        <w:t>3.2.2 pH</w:t>
      </w:r>
    </w:p>
    <w:p w14:paraId="5F563E54" w14:textId="77777777" w:rsidR="008506E6" w:rsidRDefault="008506E6">
      <w:pPr>
        <w:pStyle w:val="Body"/>
        <w:spacing w:after="0"/>
        <w:rPr>
          <w:rFonts w:ascii="Arial" w:hAnsi="Arial" w:cs="Arial"/>
        </w:rPr>
      </w:pPr>
    </w:p>
    <w:p w14:paraId="0AA208F1" w14:textId="77777777" w:rsidR="008506E6" w:rsidRDefault="005B3201">
      <w:pPr>
        <w:tabs>
          <w:tab w:val="left" w:pos="1080"/>
        </w:tabs>
        <w:jc w:val="both"/>
        <w:rPr>
          <w:rFonts w:ascii="Arial" w:hAnsi="Arial"/>
          <w:b/>
        </w:rPr>
      </w:pPr>
      <w:r>
        <w:rPr>
          <w:rFonts w:ascii="Arial" w:hAnsi="Arial"/>
          <w:b/>
        </w:rPr>
        <w:t>Table 4.</w:t>
      </w:r>
      <w:r>
        <w:rPr>
          <w:rFonts w:ascii="Arial" w:hAnsi="Arial"/>
          <w:b/>
        </w:rPr>
        <w:tab/>
        <w:t>pH Results</w:t>
      </w:r>
    </w:p>
    <w:tbl>
      <w:tblPr>
        <w:tblStyle w:val="Style10"/>
        <w:tblpPr w:leftFromText="180" w:rightFromText="180" w:vertAnchor="text" w:horzAnchor="page" w:tblpX="3035" w:tblpY="91"/>
        <w:tblOverlap w:val="never"/>
        <w:tblW w:w="0" w:type="auto"/>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607"/>
        <w:gridCol w:w="896"/>
        <w:gridCol w:w="896"/>
        <w:gridCol w:w="896"/>
        <w:gridCol w:w="1030"/>
        <w:gridCol w:w="1358"/>
      </w:tblGrid>
      <w:tr w:rsidR="008506E6" w14:paraId="42AFF0AF" w14:textId="77777777">
        <w:trPr>
          <w:trHeight w:val="810"/>
        </w:trPr>
        <w:tc>
          <w:tcPr>
            <w:tcW w:w="1607"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053DB2A9" w14:textId="77777777" w:rsidR="008506E6" w:rsidRDefault="005B3201">
            <w:pPr>
              <w:ind w:right="-80"/>
              <w:rPr>
                <w:rFonts w:ascii="Arial" w:hAnsi="Arial" w:cs="Arial"/>
                <w:b/>
                <w:bCs/>
              </w:rPr>
            </w:pPr>
            <w:r>
              <w:rPr>
                <w:rFonts w:ascii="Arial" w:hAnsi="Arial" w:cs="Arial"/>
                <w:b/>
                <w:bCs/>
              </w:rPr>
              <w:t>Parameter</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2AFBBE36" w14:textId="77777777" w:rsidR="008506E6" w:rsidRDefault="005B3201">
            <w:pPr>
              <w:ind w:right="40"/>
              <w:rPr>
                <w:rFonts w:ascii="Arial" w:hAnsi="Arial" w:cs="Arial"/>
                <w:b/>
                <w:bCs/>
              </w:rPr>
            </w:pPr>
            <w:r>
              <w:rPr>
                <w:rFonts w:ascii="Arial" w:hAnsi="Arial" w:cs="Arial"/>
                <w:b/>
                <w:bCs/>
              </w:rPr>
              <w:t>Up</w:t>
            </w:r>
          </w:p>
          <w:p w14:paraId="16BCD5AB" w14:textId="77777777" w:rsidR="008506E6" w:rsidRDefault="005B3201">
            <w:pPr>
              <w:ind w:right="40"/>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655DAF80" w14:textId="77777777" w:rsidR="008506E6" w:rsidRDefault="005B3201">
            <w:pPr>
              <w:ind w:right="40"/>
              <w:rPr>
                <w:rFonts w:ascii="Arial" w:hAnsi="Arial" w:cs="Arial"/>
                <w:b/>
                <w:bCs/>
              </w:rPr>
            </w:pPr>
            <w:r>
              <w:rPr>
                <w:rFonts w:ascii="Arial" w:hAnsi="Arial" w:cs="Arial"/>
                <w:b/>
                <w:bCs/>
              </w:rPr>
              <w:t>Mid</w:t>
            </w:r>
          </w:p>
          <w:p w14:paraId="5622AC0C" w14:textId="77777777" w:rsidR="008506E6" w:rsidRDefault="005B3201">
            <w:pPr>
              <w:ind w:right="40"/>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0B2F2D71" w14:textId="77777777" w:rsidR="008506E6" w:rsidRDefault="005B3201">
            <w:pPr>
              <w:ind w:right="40"/>
              <w:rPr>
                <w:rFonts w:ascii="Arial" w:hAnsi="Arial" w:cs="Arial"/>
                <w:b/>
                <w:bCs/>
              </w:rPr>
            </w:pPr>
            <w:r>
              <w:rPr>
                <w:rFonts w:ascii="Arial" w:hAnsi="Arial" w:cs="Arial"/>
                <w:b/>
                <w:bCs/>
              </w:rPr>
              <w:t>Down</w:t>
            </w:r>
          </w:p>
          <w:p w14:paraId="2BEEFCCD" w14:textId="77777777" w:rsidR="008506E6" w:rsidRDefault="005B3201">
            <w:pPr>
              <w:ind w:right="40"/>
              <w:rPr>
                <w:rFonts w:ascii="Arial" w:hAnsi="Arial" w:cs="Arial"/>
                <w:b/>
                <w:bCs/>
              </w:rPr>
            </w:pPr>
            <w:r>
              <w:rPr>
                <w:rFonts w:ascii="Arial" w:hAnsi="Arial" w:cs="Arial"/>
                <w:b/>
                <w:bCs/>
              </w:rPr>
              <w:t>stream</w:t>
            </w:r>
          </w:p>
        </w:tc>
        <w:tc>
          <w:tcPr>
            <w:tcW w:w="1030"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0A651985" w14:textId="77777777" w:rsidR="008506E6" w:rsidRDefault="005B3201">
            <w:pPr>
              <w:ind w:right="40"/>
              <w:rPr>
                <w:rFonts w:ascii="Arial" w:hAnsi="Arial" w:cs="Arial"/>
                <w:b/>
                <w:bCs/>
              </w:rPr>
            </w:pPr>
            <w:r>
              <w:rPr>
                <w:rFonts w:ascii="Arial" w:hAnsi="Arial" w:cs="Arial"/>
                <w:b/>
                <w:bCs/>
              </w:rPr>
              <w:t>Average</w:t>
            </w:r>
          </w:p>
        </w:tc>
        <w:tc>
          <w:tcPr>
            <w:tcW w:w="1358"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6390BD02" w14:textId="77777777" w:rsidR="008506E6" w:rsidRDefault="005B3201">
            <w:pPr>
              <w:ind w:right="40"/>
              <w:rPr>
                <w:rFonts w:ascii="Arial" w:hAnsi="Arial" w:cs="Arial"/>
                <w:b/>
                <w:bCs/>
              </w:rPr>
            </w:pPr>
            <w:r>
              <w:rPr>
                <w:rFonts w:ascii="Arial" w:hAnsi="Arial" w:cs="Arial"/>
                <w:b/>
                <w:bCs/>
              </w:rPr>
              <w:t>Standard</w:t>
            </w:r>
          </w:p>
        </w:tc>
      </w:tr>
      <w:tr w:rsidR="008506E6" w14:paraId="349B5AAF" w14:textId="77777777">
        <w:trPr>
          <w:trHeight w:val="810"/>
        </w:trPr>
        <w:tc>
          <w:tcPr>
            <w:tcW w:w="1607" w:type="dxa"/>
            <w:tcBorders>
              <w:top w:val="nil"/>
              <w:left w:val="nil"/>
              <w:bottom w:val="single" w:sz="6" w:space="0" w:color="000000"/>
              <w:right w:val="nil"/>
            </w:tcBorders>
            <w:tcMar>
              <w:top w:w="0" w:type="dxa"/>
              <w:left w:w="100" w:type="dxa"/>
              <w:bottom w:w="0" w:type="dxa"/>
              <w:right w:w="100" w:type="dxa"/>
            </w:tcMar>
            <w:vAlign w:val="center"/>
          </w:tcPr>
          <w:p w14:paraId="72B1462F" w14:textId="77777777" w:rsidR="008506E6" w:rsidRDefault="005B3201">
            <w:pPr>
              <w:ind w:right="40"/>
              <w:rPr>
                <w:rFonts w:ascii="Arial" w:hAnsi="Arial" w:cs="Arial"/>
              </w:rPr>
            </w:pPr>
            <w:r>
              <w:rPr>
                <w:rFonts w:ascii="Arial" w:hAnsi="Arial" w:cs="Arial"/>
              </w:rPr>
              <w:t>pH</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15DE6666" w14:textId="77777777" w:rsidR="008506E6" w:rsidRDefault="005B3201">
            <w:pPr>
              <w:ind w:right="40"/>
              <w:jc w:val="center"/>
              <w:rPr>
                <w:rFonts w:ascii="Arial" w:hAnsi="Arial" w:cs="Arial"/>
              </w:rPr>
            </w:pPr>
            <w:r>
              <w:rPr>
                <w:rFonts w:ascii="Arial" w:hAnsi="Arial" w:cs="Arial"/>
              </w:rPr>
              <w:t>8.30</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100B0B22" w14:textId="77777777" w:rsidR="008506E6" w:rsidRDefault="005B3201">
            <w:pPr>
              <w:ind w:right="40"/>
              <w:jc w:val="center"/>
              <w:rPr>
                <w:rFonts w:ascii="Arial" w:hAnsi="Arial" w:cs="Arial"/>
              </w:rPr>
            </w:pPr>
            <w:r>
              <w:rPr>
                <w:rFonts w:ascii="Arial" w:hAnsi="Arial" w:cs="Arial"/>
              </w:rPr>
              <w:t>8.26</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12B6D40C" w14:textId="77777777" w:rsidR="008506E6" w:rsidRDefault="005B3201">
            <w:pPr>
              <w:ind w:right="40"/>
              <w:jc w:val="center"/>
              <w:rPr>
                <w:rFonts w:ascii="Arial" w:hAnsi="Arial" w:cs="Arial"/>
              </w:rPr>
            </w:pPr>
            <w:r>
              <w:rPr>
                <w:rFonts w:ascii="Arial" w:hAnsi="Arial" w:cs="Arial"/>
              </w:rPr>
              <w:t>8.22</w:t>
            </w:r>
          </w:p>
        </w:tc>
        <w:tc>
          <w:tcPr>
            <w:tcW w:w="1030" w:type="dxa"/>
            <w:tcBorders>
              <w:top w:val="nil"/>
              <w:left w:val="nil"/>
              <w:bottom w:val="single" w:sz="6" w:space="0" w:color="000000"/>
              <w:right w:val="nil"/>
            </w:tcBorders>
            <w:tcMar>
              <w:top w:w="0" w:type="dxa"/>
              <w:left w:w="100" w:type="dxa"/>
              <w:bottom w:w="0" w:type="dxa"/>
              <w:right w:w="100" w:type="dxa"/>
            </w:tcMar>
            <w:vAlign w:val="center"/>
          </w:tcPr>
          <w:p w14:paraId="0AF188C9" w14:textId="77777777" w:rsidR="008506E6" w:rsidRDefault="005B3201">
            <w:pPr>
              <w:ind w:right="40"/>
              <w:jc w:val="center"/>
              <w:rPr>
                <w:rFonts w:ascii="Arial" w:hAnsi="Arial" w:cs="Arial"/>
              </w:rPr>
            </w:pPr>
            <w:r>
              <w:rPr>
                <w:rFonts w:ascii="Arial" w:hAnsi="Arial" w:cs="Arial"/>
              </w:rPr>
              <w:t>8.26</w:t>
            </w:r>
          </w:p>
        </w:tc>
        <w:tc>
          <w:tcPr>
            <w:tcW w:w="1358" w:type="dxa"/>
            <w:tcBorders>
              <w:top w:val="nil"/>
              <w:left w:val="nil"/>
              <w:bottom w:val="single" w:sz="6" w:space="0" w:color="000000"/>
              <w:right w:val="nil"/>
            </w:tcBorders>
            <w:tcMar>
              <w:top w:w="0" w:type="dxa"/>
              <w:left w:w="100" w:type="dxa"/>
              <w:bottom w:w="0" w:type="dxa"/>
              <w:right w:w="100" w:type="dxa"/>
            </w:tcMar>
            <w:vAlign w:val="center"/>
          </w:tcPr>
          <w:p w14:paraId="6F1931E0" w14:textId="77777777" w:rsidR="008506E6" w:rsidRDefault="005B3201">
            <w:pPr>
              <w:ind w:right="40"/>
              <w:jc w:val="center"/>
              <w:rPr>
                <w:rFonts w:ascii="Arial" w:hAnsi="Arial" w:cs="Arial"/>
              </w:rPr>
            </w:pPr>
            <w:r>
              <w:rPr>
                <w:rFonts w:ascii="Arial" w:hAnsi="Arial" w:cs="Arial"/>
              </w:rPr>
              <w:t>6.5-8.5</w:t>
            </w:r>
          </w:p>
        </w:tc>
      </w:tr>
    </w:tbl>
    <w:p w14:paraId="46F2AC3D" w14:textId="77777777" w:rsidR="008506E6" w:rsidRDefault="008506E6">
      <w:pPr>
        <w:tabs>
          <w:tab w:val="left" w:pos="1080"/>
        </w:tabs>
        <w:jc w:val="both"/>
        <w:rPr>
          <w:rFonts w:ascii="Arial" w:hAnsi="Arial"/>
          <w:b/>
        </w:rPr>
      </w:pPr>
    </w:p>
    <w:p w14:paraId="66C670A2" w14:textId="77777777" w:rsidR="008506E6" w:rsidRDefault="008506E6">
      <w:pPr>
        <w:pStyle w:val="Body"/>
        <w:spacing w:after="0"/>
        <w:rPr>
          <w:rFonts w:ascii="Arial" w:hAnsi="Arial"/>
        </w:rPr>
      </w:pPr>
    </w:p>
    <w:p w14:paraId="65DBD3D6" w14:textId="77777777" w:rsidR="008506E6" w:rsidRDefault="008506E6">
      <w:pPr>
        <w:pStyle w:val="Body"/>
        <w:spacing w:after="0"/>
        <w:rPr>
          <w:rFonts w:ascii="Arial" w:hAnsi="Arial"/>
        </w:rPr>
      </w:pPr>
    </w:p>
    <w:p w14:paraId="3D5AA28B" w14:textId="77777777" w:rsidR="008506E6" w:rsidRDefault="008506E6">
      <w:pPr>
        <w:pStyle w:val="Body"/>
        <w:spacing w:after="0"/>
        <w:rPr>
          <w:rFonts w:ascii="Arial" w:hAnsi="Arial"/>
        </w:rPr>
      </w:pPr>
    </w:p>
    <w:p w14:paraId="591A7441" w14:textId="77777777" w:rsidR="008506E6" w:rsidRDefault="008506E6">
      <w:pPr>
        <w:pStyle w:val="Body"/>
        <w:spacing w:after="0"/>
        <w:rPr>
          <w:rFonts w:ascii="Arial" w:hAnsi="Arial"/>
        </w:rPr>
      </w:pPr>
    </w:p>
    <w:p w14:paraId="66EABF92" w14:textId="77777777" w:rsidR="008506E6" w:rsidRDefault="008506E6">
      <w:pPr>
        <w:pStyle w:val="Body"/>
        <w:spacing w:after="0"/>
        <w:rPr>
          <w:rFonts w:ascii="Arial" w:hAnsi="Arial"/>
        </w:rPr>
      </w:pPr>
    </w:p>
    <w:p w14:paraId="56C43BB3" w14:textId="77777777" w:rsidR="008506E6" w:rsidRDefault="008506E6">
      <w:pPr>
        <w:pStyle w:val="Body"/>
        <w:spacing w:after="0"/>
        <w:rPr>
          <w:rFonts w:ascii="Arial" w:hAnsi="Arial"/>
        </w:rPr>
      </w:pPr>
    </w:p>
    <w:p w14:paraId="41331EF0" w14:textId="77777777" w:rsidR="008506E6" w:rsidRDefault="008506E6">
      <w:pPr>
        <w:pStyle w:val="Body"/>
        <w:spacing w:after="0"/>
        <w:rPr>
          <w:rFonts w:ascii="Arial" w:hAnsi="Arial"/>
        </w:rPr>
      </w:pPr>
    </w:p>
    <w:p w14:paraId="6136C004" w14:textId="77777777" w:rsidR="008506E6" w:rsidRDefault="005B3201">
      <w:pPr>
        <w:pStyle w:val="Body"/>
        <w:spacing w:after="0"/>
        <w:rPr>
          <w:rFonts w:ascii="Arial" w:hAnsi="Arial"/>
        </w:rPr>
      </w:pPr>
      <w:r>
        <w:rPr>
          <w:rFonts w:ascii="Arial" w:hAnsi="Arial"/>
        </w:rPr>
        <w:t>Table 4 presents the pH values across the Sabangan River, with an average of 8.26, ranging from 8.30 upstream to 8.22 downstream. These values fall within the DENR Class C standard of 6.5 to 8.5, indicating a stable and well-buffered aquatic environment (Mathur et al., 2024; Paudel et al., 2024).</w:t>
      </w:r>
    </w:p>
    <w:p w14:paraId="0C7149B3" w14:textId="77777777" w:rsidR="008506E6" w:rsidRDefault="008506E6">
      <w:pPr>
        <w:pStyle w:val="Body"/>
        <w:spacing w:after="0"/>
        <w:rPr>
          <w:rFonts w:ascii="Arial" w:hAnsi="Arial"/>
        </w:rPr>
      </w:pPr>
    </w:p>
    <w:p w14:paraId="71250F3F" w14:textId="77777777" w:rsidR="008506E6" w:rsidRDefault="005B3201">
      <w:pPr>
        <w:pStyle w:val="Body"/>
        <w:spacing w:after="0"/>
        <w:rPr>
          <w:rFonts w:ascii="Arial" w:hAnsi="Arial"/>
        </w:rPr>
      </w:pPr>
      <w:r>
        <w:rPr>
          <w:rFonts w:ascii="Arial" w:hAnsi="Arial"/>
        </w:rPr>
        <w:t>A pH of 8.26 suggests a slightly alkaline environment, typical of river systems influenced by carbonate weathering, especially in areas with limestone or dolomite bedrock. The presence of bicarbonate ions (HCO₃⁻) contributes to this alkalinity, helping to neutralize acidic inputs and ensuring a balanced ecosystem (Mathur et al., 2024; Paudel et al., 2024).</w:t>
      </w:r>
    </w:p>
    <w:p w14:paraId="35C6DF12" w14:textId="77777777" w:rsidR="008506E6" w:rsidRDefault="008506E6">
      <w:pPr>
        <w:pStyle w:val="Body"/>
        <w:spacing w:after="0"/>
        <w:rPr>
          <w:rFonts w:ascii="Arial" w:hAnsi="Arial"/>
        </w:rPr>
      </w:pPr>
    </w:p>
    <w:p w14:paraId="296880B2" w14:textId="77777777" w:rsidR="008506E6" w:rsidRDefault="005B3201">
      <w:pPr>
        <w:pStyle w:val="Body"/>
        <w:spacing w:after="0"/>
        <w:rPr>
          <w:rFonts w:ascii="Arial" w:hAnsi="Arial"/>
        </w:rPr>
      </w:pPr>
      <w:r>
        <w:rPr>
          <w:rFonts w:ascii="Arial" w:hAnsi="Arial"/>
        </w:rPr>
        <w:t xml:space="preserve">Comparative studies in other Philippine rivers report similar pH conditions. </w:t>
      </w:r>
      <w:proofErr w:type="spellStart"/>
      <w:r>
        <w:rPr>
          <w:rFonts w:ascii="Arial" w:hAnsi="Arial"/>
        </w:rPr>
        <w:t>Alimen</w:t>
      </w:r>
      <w:proofErr w:type="spellEnd"/>
      <w:r>
        <w:rPr>
          <w:rFonts w:ascii="Arial" w:hAnsi="Arial"/>
        </w:rPr>
        <w:t xml:space="preserve"> et al. (2019) recorded a pH of 8.15 in the </w:t>
      </w:r>
      <w:proofErr w:type="spellStart"/>
      <w:r>
        <w:rPr>
          <w:rFonts w:ascii="Arial" w:hAnsi="Arial"/>
        </w:rPr>
        <w:t>Egaña</w:t>
      </w:r>
      <w:proofErr w:type="spellEnd"/>
      <w:r>
        <w:rPr>
          <w:rFonts w:ascii="Arial" w:hAnsi="Arial"/>
        </w:rPr>
        <w:t xml:space="preserve"> River, indicating good water quality. In contrast, the </w:t>
      </w:r>
      <w:proofErr w:type="spellStart"/>
      <w:r>
        <w:rPr>
          <w:rFonts w:ascii="Arial" w:hAnsi="Arial"/>
        </w:rPr>
        <w:t>Sawaga</w:t>
      </w:r>
      <w:proofErr w:type="spellEnd"/>
      <w:r>
        <w:rPr>
          <w:rFonts w:ascii="Arial" w:hAnsi="Arial"/>
        </w:rPr>
        <w:t xml:space="preserve"> River exhibited more variable pH levels of 7.73 upstream, 6.63 midstream, and 7.80 downstream, demonstrating greater fluctuations in acidity and buffering capacity (</w:t>
      </w:r>
      <w:proofErr w:type="spellStart"/>
      <w:r>
        <w:rPr>
          <w:rFonts w:ascii="Arial" w:hAnsi="Arial"/>
        </w:rPr>
        <w:t>Bertomen</w:t>
      </w:r>
      <w:proofErr w:type="spellEnd"/>
      <w:r>
        <w:rPr>
          <w:rFonts w:ascii="Arial" w:hAnsi="Arial"/>
        </w:rPr>
        <w:t xml:space="preserve"> et al., 2017). The Sabangan River’s consistent pH values reinforce its stability and ecological health.</w:t>
      </w:r>
    </w:p>
    <w:p w14:paraId="291DE742" w14:textId="77777777" w:rsidR="008506E6" w:rsidRDefault="008506E6">
      <w:pPr>
        <w:pStyle w:val="Body"/>
        <w:spacing w:after="0"/>
        <w:rPr>
          <w:rFonts w:ascii="Arial" w:hAnsi="Arial"/>
        </w:rPr>
      </w:pPr>
    </w:p>
    <w:p w14:paraId="7B3DAA76" w14:textId="77777777" w:rsidR="008506E6" w:rsidRDefault="005B3201">
      <w:pPr>
        <w:pStyle w:val="Body"/>
        <w:spacing w:after="0"/>
        <w:rPr>
          <w:rFonts w:ascii="Arial" w:hAnsi="Arial"/>
        </w:rPr>
      </w:pPr>
      <w:r>
        <w:rPr>
          <w:rFonts w:ascii="Arial" w:hAnsi="Arial"/>
        </w:rPr>
        <w:t xml:space="preserve">pH plays a crucial role in water safety, as extremely low or high pH values can cause skin irritation, eye discomfort, and gastrointestinal distress (pH of Water: Environmental Measurement Systems, 2019). Water with a pH above 8.0 can reduce the effectiveness of chlorine disinfection, increasing the risk of microbial contamination (Obasi &amp; </w:t>
      </w:r>
      <w:proofErr w:type="spellStart"/>
      <w:r>
        <w:rPr>
          <w:rFonts w:ascii="Arial" w:hAnsi="Arial"/>
        </w:rPr>
        <w:t>Akudinobi</w:t>
      </w:r>
      <w:proofErr w:type="spellEnd"/>
      <w:r>
        <w:rPr>
          <w:rFonts w:ascii="Arial" w:hAnsi="Arial"/>
        </w:rPr>
        <w:t>, 2020). While the Sabangan River’s pH remains within a safe range, continued monitoring is recommended to detect any potential shifts due to pollutant inputs or climate variability.</w:t>
      </w:r>
    </w:p>
    <w:p w14:paraId="07C168C2" w14:textId="77777777" w:rsidR="008506E6" w:rsidRDefault="008506E6">
      <w:pPr>
        <w:pStyle w:val="Body"/>
        <w:spacing w:after="0"/>
        <w:rPr>
          <w:rFonts w:ascii="Arial" w:hAnsi="Arial"/>
        </w:rPr>
      </w:pPr>
    </w:p>
    <w:p w14:paraId="21DC7F91" w14:textId="77777777" w:rsidR="008506E6" w:rsidRDefault="005B3201">
      <w:pPr>
        <w:pStyle w:val="Body"/>
        <w:spacing w:after="0"/>
        <w:rPr>
          <w:rFonts w:ascii="Arial" w:hAnsi="Arial"/>
        </w:rPr>
      </w:pPr>
      <w:r>
        <w:rPr>
          <w:rFonts w:ascii="Arial" w:hAnsi="Arial" w:cs="Arial"/>
          <w:b/>
          <w:u w:val="single"/>
        </w:rPr>
        <w:t>3.2.3 Total Alkalinity</w:t>
      </w:r>
    </w:p>
    <w:p w14:paraId="2316B425" w14:textId="77777777" w:rsidR="008506E6" w:rsidRDefault="008506E6">
      <w:pPr>
        <w:pStyle w:val="Body"/>
        <w:spacing w:after="0"/>
        <w:rPr>
          <w:rFonts w:ascii="Arial" w:hAnsi="Arial"/>
        </w:rPr>
      </w:pPr>
    </w:p>
    <w:p w14:paraId="3909BA72" w14:textId="77777777" w:rsidR="008506E6" w:rsidRDefault="005B3201">
      <w:pPr>
        <w:tabs>
          <w:tab w:val="left" w:pos="1080"/>
        </w:tabs>
        <w:jc w:val="both"/>
        <w:rPr>
          <w:rFonts w:ascii="Arial" w:hAnsi="Arial"/>
          <w:b/>
        </w:rPr>
      </w:pPr>
      <w:r>
        <w:rPr>
          <w:rFonts w:ascii="Arial" w:hAnsi="Arial"/>
          <w:b/>
        </w:rPr>
        <w:t>Table 5.</w:t>
      </w:r>
      <w:r>
        <w:rPr>
          <w:rFonts w:ascii="Arial" w:hAnsi="Arial"/>
          <w:b/>
        </w:rPr>
        <w:tab/>
        <w:t xml:space="preserve">Total </w:t>
      </w:r>
      <w:proofErr w:type="spellStart"/>
      <w:r>
        <w:rPr>
          <w:rFonts w:ascii="Arial" w:hAnsi="Arial"/>
          <w:b/>
        </w:rPr>
        <w:t>Alkaliity</w:t>
      </w:r>
      <w:proofErr w:type="spellEnd"/>
      <w:r>
        <w:rPr>
          <w:rFonts w:ascii="Arial" w:hAnsi="Arial"/>
          <w:b/>
        </w:rPr>
        <w:t xml:space="preserve"> Results</w:t>
      </w:r>
    </w:p>
    <w:tbl>
      <w:tblPr>
        <w:tblStyle w:val="Style10"/>
        <w:tblpPr w:leftFromText="180" w:rightFromText="180" w:vertAnchor="text" w:horzAnchor="page" w:tblpX="3035" w:tblpY="91"/>
        <w:tblOverlap w:val="never"/>
        <w:tblW w:w="0" w:type="auto"/>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607"/>
        <w:gridCol w:w="896"/>
        <w:gridCol w:w="896"/>
        <w:gridCol w:w="896"/>
        <w:gridCol w:w="1030"/>
        <w:gridCol w:w="1358"/>
      </w:tblGrid>
      <w:tr w:rsidR="008506E6" w14:paraId="2652143F" w14:textId="77777777">
        <w:trPr>
          <w:trHeight w:val="810"/>
        </w:trPr>
        <w:tc>
          <w:tcPr>
            <w:tcW w:w="1607"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45427A6F" w14:textId="77777777" w:rsidR="008506E6" w:rsidRDefault="005B3201">
            <w:pPr>
              <w:ind w:right="-80"/>
              <w:rPr>
                <w:rFonts w:ascii="Arial" w:hAnsi="Arial" w:cs="Arial"/>
                <w:b/>
                <w:bCs/>
              </w:rPr>
            </w:pPr>
            <w:r>
              <w:rPr>
                <w:rFonts w:ascii="Arial" w:hAnsi="Arial" w:cs="Arial"/>
                <w:b/>
                <w:bCs/>
              </w:rPr>
              <w:t>Parameter</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225FD80E" w14:textId="77777777" w:rsidR="008506E6" w:rsidRDefault="005B3201">
            <w:pPr>
              <w:ind w:right="40"/>
              <w:rPr>
                <w:rFonts w:ascii="Arial" w:hAnsi="Arial" w:cs="Arial"/>
                <w:b/>
                <w:bCs/>
              </w:rPr>
            </w:pPr>
            <w:r>
              <w:rPr>
                <w:rFonts w:ascii="Arial" w:hAnsi="Arial" w:cs="Arial"/>
                <w:b/>
                <w:bCs/>
              </w:rPr>
              <w:t>Up</w:t>
            </w:r>
          </w:p>
          <w:p w14:paraId="51F061DC" w14:textId="77777777" w:rsidR="008506E6" w:rsidRDefault="005B3201">
            <w:pPr>
              <w:ind w:right="40"/>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0DE7076C" w14:textId="77777777" w:rsidR="008506E6" w:rsidRDefault="005B3201">
            <w:pPr>
              <w:ind w:right="40"/>
              <w:rPr>
                <w:rFonts w:ascii="Arial" w:hAnsi="Arial" w:cs="Arial"/>
                <w:b/>
                <w:bCs/>
              </w:rPr>
            </w:pPr>
            <w:r>
              <w:rPr>
                <w:rFonts w:ascii="Arial" w:hAnsi="Arial" w:cs="Arial"/>
                <w:b/>
                <w:bCs/>
              </w:rPr>
              <w:t>Mid</w:t>
            </w:r>
          </w:p>
          <w:p w14:paraId="73146D2F" w14:textId="77777777" w:rsidR="008506E6" w:rsidRDefault="005B3201">
            <w:pPr>
              <w:ind w:right="40"/>
              <w:rPr>
                <w:rFonts w:ascii="Arial" w:hAnsi="Arial" w:cs="Arial"/>
                <w:b/>
                <w:bCs/>
              </w:rPr>
            </w:pPr>
            <w:r>
              <w:rPr>
                <w:rFonts w:ascii="Arial" w:hAnsi="Arial" w:cs="Arial"/>
                <w:b/>
                <w:bCs/>
              </w:rPr>
              <w:t>stream</w:t>
            </w:r>
          </w:p>
        </w:tc>
        <w:tc>
          <w:tcPr>
            <w:tcW w:w="896"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71AD91B1" w14:textId="77777777" w:rsidR="008506E6" w:rsidRDefault="005B3201">
            <w:pPr>
              <w:ind w:right="40"/>
              <w:rPr>
                <w:rFonts w:ascii="Arial" w:hAnsi="Arial" w:cs="Arial"/>
                <w:b/>
                <w:bCs/>
              </w:rPr>
            </w:pPr>
            <w:r>
              <w:rPr>
                <w:rFonts w:ascii="Arial" w:hAnsi="Arial" w:cs="Arial"/>
                <w:b/>
                <w:bCs/>
              </w:rPr>
              <w:t>Down</w:t>
            </w:r>
          </w:p>
          <w:p w14:paraId="2ABB299D" w14:textId="77777777" w:rsidR="008506E6" w:rsidRDefault="005B3201">
            <w:pPr>
              <w:ind w:right="40"/>
              <w:rPr>
                <w:rFonts w:ascii="Arial" w:hAnsi="Arial" w:cs="Arial"/>
                <w:b/>
                <w:bCs/>
              </w:rPr>
            </w:pPr>
            <w:r>
              <w:rPr>
                <w:rFonts w:ascii="Arial" w:hAnsi="Arial" w:cs="Arial"/>
                <w:b/>
                <w:bCs/>
              </w:rPr>
              <w:t>stream</w:t>
            </w:r>
          </w:p>
        </w:tc>
        <w:tc>
          <w:tcPr>
            <w:tcW w:w="1030"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69383EAE" w14:textId="77777777" w:rsidR="008506E6" w:rsidRDefault="005B3201">
            <w:pPr>
              <w:ind w:right="40"/>
              <w:rPr>
                <w:rFonts w:ascii="Arial" w:hAnsi="Arial" w:cs="Arial"/>
                <w:b/>
                <w:bCs/>
              </w:rPr>
            </w:pPr>
            <w:r>
              <w:rPr>
                <w:rFonts w:ascii="Arial" w:hAnsi="Arial" w:cs="Arial"/>
                <w:b/>
                <w:bCs/>
              </w:rPr>
              <w:t>Average</w:t>
            </w:r>
          </w:p>
        </w:tc>
        <w:tc>
          <w:tcPr>
            <w:tcW w:w="1358" w:type="dxa"/>
            <w:tcBorders>
              <w:top w:val="single" w:sz="6" w:space="0" w:color="000000"/>
              <w:left w:val="nil"/>
              <w:bottom w:val="single" w:sz="6" w:space="0" w:color="000000"/>
              <w:right w:val="nil"/>
            </w:tcBorders>
            <w:tcMar>
              <w:top w:w="0" w:type="dxa"/>
              <w:left w:w="100" w:type="dxa"/>
              <w:bottom w:w="0" w:type="dxa"/>
              <w:right w:w="100" w:type="dxa"/>
            </w:tcMar>
            <w:vAlign w:val="center"/>
          </w:tcPr>
          <w:p w14:paraId="2DC98077" w14:textId="77777777" w:rsidR="008506E6" w:rsidRDefault="005B3201">
            <w:pPr>
              <w:ind w:right="40"/>
              <w:rPr>
                <w:rFonts w:ascii="Arial" w:hAnsi="Arial" w:cs="Arial"/>
                <w:b/>
                <w:bCs/>
              </w:rPr>
            </w:pPr>
            <w:r>
              <w:rPr>
                <w:rFonts w:ascii="Arial" w:hAnsi="Arial" w:cs="Arial"/>
                <w:b/>
                <w:bCs/>
              </w:rPr>
              <w:t>Standard</w:t>
            </w:r>
          </w:p>
        </w:tc>
      </w:tr>
      <w:tr w:rsidR="008506E6" w14:paraId="4E48C56A" w14:textId="77777777">
        <w:trPr>
          <w:trHeight w:val="810"/>
        </w:trPr>
        <w:tc>
          <w:tcPr>
            <w:tcW w:w="1607" w:type="dxa"/>
            <w:tcBorders>
              <w:top w:val="nil"/>
              <w:left w:val="nil"/>
              <w:bottom w:val="single" w:sz="6" w:space="0" w:color="000000"/>
              <w:right w:val="nil"/>
            </w:tcBorders>
            <w:tcMar>
              <w:top w:w="0" w:type="dxa"/>
              <w:left w:w="100" w:type="dxa"/>
              <w:bottom w:w="0" w:type="dxa"/>
              <w:right w:w="100" w:type="dxa"/>
            </w:tcMar>
            <w:vAlign w:val="center"/>
          </w:tcPr>
          <w:p w14:paraId="35DF8583" w14:textId="77777777" w:rsidR="008506E6" w:rsidRDefault="005B3201">
            <w:pPr>
              <w:ind w:right="40"/>
              <w:rPr>
                <w:rFonts w:ascii="Arial" w:hAnsi="Arial" w:cs="Arial"/>
              </w:rPr>
            </w:pPr>
            <w:r>
              <w:rPr>
                <w:rFonts w:ascii="Arial" w:hAnsi="Arial" w:cs="Arial"/>
              </w:rPr>
              <w:lastRenderedPageBreak/>
              <w:t>Total Alkalinity (mg/L)</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5B11B726" w14:textId="77777777" w:rsidR="008506E6" w:rsidRDefault="005B3201">
            <w:pPr>
              <w:ind w:right="40"/>
              <w:rPr>
                <w:rFonts w:ascii="Arial" w:hAnsi="Arial" w:cs="Arial"/>
              </w:rPr>
            </w:pPr>
            <w:r>
              <w:rPr>
                <w:rFonts w:ascii="Arial" w:hAnsi="Arial" w:cs="Arial"/>
              </w:rPr>
              <w:t>112</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51AC0E5C" w14:textId="77777777" w:rsidR="008506E6" w:rsidRDefault="005B3201">
            <w:pPr>
              <w:ind w:right="40"/>
              <w:rPr>
                <w:rFonts w:ascii="Arial" w:hAnsi="Arial" w:cs="Arial"/>
              </w:rPr>
            </w:pPr>
            <w:r>
              <w:rPr>
                <w:rFonts w:ascii="Arial" w:hAnsi="Arial" w:cs="Arial"/>
              </w:rPr>
              <w:t>112</w:t>
            </w:r>
          </w:p>
        </w:tc>
        <w:tc>
          <w:tcPr>
            <w:tcW w:w="896" w:type="dxa"/>
            <w:tcBorders>
              <w:top w:val="nil"/>
              <w:left w:val="nil"/>
              <w:bottom w:val="single" w:sz="6" w:space="0" w:color="000000"/>
              <w:right w:val="nil"/>
            </w:tcBorders>
            <w:tcMar>
              <w:top w:w="0" w:type="dxa"/>
              <w:left w:w="100" w:type="dxa"/>
              <w:bottom w:w="0" w:type="dxa"/>
              <w:right w:w="100" w:type="dxa"/>
            </w:tcMar>
            <w:vAlign w:val="center"/>
          </w:tcPr>
          <w:p w14:paraId="50AFCC4B" w14:textId="77777777" w:rsidR="008506E6" w:rsidRDefault="005B3201">
            <w:pPr>
              <w:ind w:right="40"/>
              <w:rPr>
                <w:rFonts w:ascii="Arial" w:hAnsi="Arial" w:cs="Arial"/>
              </w:rPr>
            </w:pPr>
            <w:r>
              <w:rPr>
                <w:rFonts w:ascii="Arial" w:hAnsi="Arial" w:cs="Arial"/>
              </w:rPr>
              <w:t>112</w:t>
            </w:r>
          </w:p>
        </w:tc>
        <w:tc>
          <w:tcPr>
            <w:tcW w:w="1030" w:type="dxa"/>
            <w:tcBorders>
              <w:top w:val="nil"/>
              <w:left w:val="nil"/>
              <w:bottom w:val="single" w:sz="6" w:space="0" w:color="000000"/>
              <w:right w:val="nil"/>
            </w:tcBorders>
            <w:tcMar>
              <w:top w:w="0" w:type="dxa"/>
              <w:left w:w="100" w:type="dxa"/>
              <w:bottom w:w="0" w:type="dxa"/>
              <w:right w:w="100" w:type="dxa"/>
            </w:tcMar>
            <w:vAlign w:val="center"/>
          </w:tcPr>
          <w:p w14:paraId="033D302B" w14:textId="77777777" w:rsidR="008506E6" w:rsidRDefault="005B3201">
            <w:pPr>
              <w:ind w:right="40"/>
              <w:rPr>
                <w:rFonts w:ascii="Arial" w:hAnsi="Arial" w:cs="Arial"/>
              </w:rPr>
            </w:pPr>
            <w:r>
              <w:rPr>
                <w:rFonts w:ascii="Arial" w:hAnsi="Arial" w:cs="Arial"/>
              </w:rPr>
              <w:t>112</w:t>
            </w:r>
          </w:p>
        </w:tc>
        <w:tc>
          <w:tcPr>
            <w:tcW w:w="1358" w:type="dxa"/>
            <w:tcBorders>
              <w:top w:val="nil"/>
              <w:left w:val="nil"/>
              <w:bottom w:val="single" w:sz="6" w:space="0" w:color="000000"/>
              <w:right w:val="nil"/>
            </w:tcBorders>
            <w:tcMar>
              <w:top w:w="0" w:type="dxa"/>
              <w:left w:w="100" w:type="dxa"/>
              <w:bottom w:w="0" w:type="dxa"/>
              <w:right w:w="100" w:type="dxa"/>
            </w:tcMar>
            <w:vAlign w:val="center"/>
          </w:tcPr>
          <w:p w14:paraId="5D6D89B5" w14:textId="77777777" w:rsidR="008506E6" w:rsidRDefault="005B3201">
            <w:pPr>
              <w:ind w:right="40"/>
              <w:rPr>
                <w:rFonts w:ascii="Arial" w:hAnsi="Arial" w:cs="Arial"/>
              </w:rPr>
            </w:pPr>
            <w:r>
              <w:rPr>
                <w:rFonts w:ascii="Arial" w:hAnsi="Arial" w:cs="Arial"/>
              </w:rPr>
              <w:t>5-500 mg/L</w:t>
            </w:r>
          </w:p>
        </w:tc>
      </w:tr>
    </w:tbl>
    <w:p w14:paraId="58CA4A20" w14:textId="77777777" w:rsidR="008506E6" w:rsidRDefault="008506E6">
      <w:pPr>
        <w:tabs>
          <w:tab w:val="left" w:pos="1080"/>
        </w:tabs>
        <w:jc w:val="both"/>
        <w:rPr>
          <w:rFonts w:ascii="Arial" w:hAnsi="Arial"/>
          <w:b/>
        </w:rPr>
      </w:pPr>
    </w:p>
    <w:p w14:paraId="638A8690" w14:textId="77777777" w:rsidR="008506E6" w:rsidRDefault="008506E6">
      <w:pPr>
        <w:pStyle w:val="Body"/>
        <w:spacing w:after="0"/>
        <w:rPr>
          <w:rFonts w:ascii="Arial" w:hAnsi="Arial"/>
        </w:rPr>
      </w:pPr>
    </w:p>
    <w:p w14:paraId="54593374" w14:textId="77777777" w:rsidR="008506E6" w:rsidRDefault="008506E6">
      <w:pPr>
        <w:pStyle w:val="Body"/>
        <w:spacing w:after="0"/>
        <w:rPr>
          <w:rFonts w:ascii="Arial" w:hAnsi="Arial"/>
        </w:rPr>
      </w:pPr>
    </w:p>
    <w:p w14:paraId="7D17CD9E" w14:textId="77777777" w:rsidR="008506E6" w:rsidRDefault="008506E6">
      <w:pPr>
        <w:pStyle w:val="Body"/>
        <w:spacing w:after="0"/>
        <w:rPr>
          <w:rFonts w:ascii="Arial" w:hAnsi="Arial"/>
        </w:rPr>
      </w:pPr>
    </w:p>
    <w:p w14:paraId="1538167E" w14:textId="77777777" w:rsidR="008506E6" w:rsidRDefault="008506E6">
      <w:pPr>
        <w:pStyle w:val="Body"/>
        <w:spacing w:after="0"/>
        <w:rPr>
          <w:rFonts w:ascii="Arial" w:hAnsi="Arial"/>
        </w:rPr>
      </w:pPr>
    </w:p>
    <w:p w14:paraId="23C3AF6D" w14:textId="77777777" w:rsidR="008506E6" w:rsidRDefault="008506E6">
      <w:pPr>
        <w:pStyle w:val="Body"/>
        <w:spacing w:after="0"/>
        <w:rPr>
          <w:rFonts w:ascii="Arial" w:hAnsi="Arial"/>
        </w:rPr>
      </w:pPr>
    </w:p>
    <w:p w14:paraId="252D9F4C" w14:textId="77777777" w:rsidR="008506E6" w:rsidRDefault="008506E6">
      <w:pPr>
        <w:pStyle w:val="Body"/>
        <w:spacing w:after="0"/>
        <w:rPr>
          <w:rFonts w:ascii="Arial" w:hAnsi="Arial"/>
        </w:rPr>
      </w:pPr>
    </w:p>
    <w:p w14:paraId="6244F103" w14:textId="77777777" w:rsidR="008506E6" w:rsidRDefault="008506E6">
      <w:pPr>
        <w:pStyle w:val="Body"/>
        <w:spacing w:after="0"/>
        <w:rPr>
          <w:rFonts w:ascii="Arial" w:hAnsi="Arial"/>
        </w:rPr>
      </w:pPr>
    </w:p>
    <w:p w14:paraId="09DEE818" w14:textId="77777777" w:rsidR="008506E6" w:rsidRDefault="005B3201">
      <w:pPr>
        <w:pStyle w:val="Body"/>
        <w:spacing w:after="0"/>
        <w:rPr>
          <w:rFonts w:ascii="Arial" w:hAnsi="Arial"/>
        </w:rPr>
      </w:pPr>
      <w:r>
        <w:rPr>
          <w:rFonts w:ascii="Arial" w:hAnsi="Arial"/>
        </w:rPr>
        <w:t>Table 5 presents the total alkalinity of the Sabangan River, with an average concentration of 112 milligrams per liter, consistent across all sampling sites. This level falls within the recommended range of 5 to 500 milligrams per liter, indicating a strong buffering capacity that prevents pH fluctuations (Lawson, 1995).</w:t>
      </w:r>
    </w:p>
    <w:p w14:paraId="477A98B1" w14:textId="77777777" w:rsidR="008506E6" w:rsidRDefault="008506E6">
      <w:pPr>
        <w:pStyle w:val="Body"/>
        <w:spacing w:after="0"/>
        <w:rPr>
          <w:rFonts w:ascii="Arial" w:hAnsi="Arial"/>
        </w:rPr>
      </w:pPr>
    </w:p>
    <w:p w14:paraId="45408C14" w14:textId="77777777" w:rsidR="008506E6" w:rsidRDefault="005B3201">
      <w:pPr>
        <w:pStyle w:val="Body"/>
        <w:spacing w:after="0"/>
        <w:rPr>
          <w:rFonts w:ascii="Arial" w:hAnsi="Arial"/>
        </w:rPr>
      </w:pPr>
      <w:r>
        <w:rPr>
          <w:rFonts w:ascii="Arial" w:hAnsi="Arial"/>
        </w:rPr>
        <w:t>Total alkalinity refers to the water’s ability to neutralize acids, primarily controlled by hydroxide (OH⁻), bicarbonate (HCO₃⁻), and carbonate (CO₃²⁻) ions. The observed alkalinity in the Sabangan River suggests a well-buffered system, reducing the likelihood of acidification from pollutants or acidic rainfall (Mathur et al., 2024; Paudel et al., 2024).</w:t>
      </w:r>
    </w:p>
    <w:p w14:paraId="584AA392" w14:textId="77777777" w:rsidR="008506E6" w:rsidRDefault="008506E6">
      <w:pPr>
        <w:pStyle w:val="Body"/>
        <w:spacing w:after="0"/>
        <w:rPr>
          <w:rFonts w:ascii="Arial" w:hAnsi="Arial"/>
        </w:rPr>
      </w:pPr>
    </w:p>
    <w:p w14:paraId="4271FCBE" w14:textId="77777777" w:rsidR="008506E6" w:rsidRDefault="005B3201">
      <w:pPr>
        <w:pStyle w:val="Body"/>
        <w:spacing w:after="0"/>
        <w:rPr>
          <w:rFonts w:ascii="Arial" w:hAnsi="Arial"/>
        </w:rPr>
      </w:pPr>
      <w:r>
        <w:rPr>
          <w:rFonts w:ascii="Arial" w:hAnsi="Arial"/>
        </w:rPr>
        <w:t xml:space="preserve">Comparisons with other Philippine rivers highlight the importance of alkalinity in maintaining water stability. The </w:t>
      </w:r>
      <w:proofErr w:type="spellStart"/>
      <w:r>
        <w:rPr>
          <w:rFonts w:ascii="Arial" w:hAnsi="Arial"/>
        </w:rPr>
        <w:t>Carangan</w:t>
      </w:r>
      <w:proofErr w:type="spellEnd"/>
      <w:r>
        <w:rPr>
          <w:rFonts w:ascii="Arial" w:hAnsi="Arial"/>
        </w:rPr>
        <w:t xml:space="preserve"> Estero in Ozamiz City recorded alkalinity values between 8.6 and 16.7 milligrams per liter, significantly lower than those in the Sabangan River, making it more susceptible to acidification (</w:t>
      </w:r>
      <w:proofErr w:type="spellStart"/>
      <w:r>
        <w:rPr>
          <w:rFonts w:ascii="Arial" w:hAnsi="Arial"/>
        </w:rPr>
        <w:t>Enguito</w:t>
      </w:r>
      <w:proofErr w:type="spellEnd"/>
      <w:r>
        <w:rPr>
          <w:rFonts w:ascii="Arial" w:hAnsi="Arial"/>
        </w:rPr>
        <w:t xml:space="preserve"> et al., 2013). Conversely, the </w:t>
      </w:r>
      <w:proofErr w:type="spellStart"/>
      <w:r>
        <w:rPr>
          <w:rFonts w:ascii="Arial" w:hAnsi="Arial"/>
        </w:rPr>
        <w:t>Jalaur</w:t>
      </w:r>
      <w:proofErr w:type="spellEnd"/>
      <w:r>
        <w:rPr>
          <w:rFonts w:ascii="Arial" w:hAnsi="Arial"/>
        </w:rPr>
        <w:t xml:space="preserve"> River in Iloilo exhibited alkalinity levels above 100 milligrams per liter, similar to those found in the Sabangan River, reinforcing its stable water chemistry (</w:t>
      </w:r>
      <w:proofErr w:type="spellStart"/>
      <w:r>
        <w:rPr>
          <w:rFonts w:ascii="Arial" w:hAnsi="Arial"/>
        </w:rPr>
        <w:t>Borlongan</w:t>
      </w:r>
      <w:proofErr w:type="spellEnd"/>
      <w:r>
        <w:rPr>
          <w:rFonts w:ascii="Arial" w:hAnsi="Arial"/>
        </w:rPr>
        <w:t xml:space="preserve"> et al., 2013).</w:t>
      </w:r>
    </w:p>
    <w:p w14:paraId="29F9E3A9" w14:textId="77777777" w:rsidR="008506E6" w:rsidRDefault="008506E6">
      <w:pPr>
        <w:pStyle w:val="Body"/>
        <w:spacing w:after="0"/>
        <w:rPr>
          <w:rFonts w:ascii="Arial" w:hAnsi="Arial"/>
        </w:rPr>
      </w:pPr>
    </w:p>
    <w:p w14:paraId="729F8DAD" w14:textId="77777777" w:rsidR="008506E6" w:rsidRDefault="005B3201">
      <w:pPr>
        <w:pStyle w:val="Body"/>
        <w:spacing w:after="0"/>
        <w:rPr>
          <w:rFonts w:ascii="Arial" w:hAnsi="Arial"/>
        </w:rPr>
      </w:pPr>
      <w:r>
        <w:rPr>
          <w:rFonts w:ascii="Arial" w:hAnsi="Arial"/>
        </w:rPr>
        <w:t>Low alkalinity can result in unstable pH conditions, making water more susceptible to acidification, which can lead to the release of toxic metals such as lead and copper (Boyd, 2015). Chronic exposure to low-alkalinity water has been linked to respiratory issues and increased risks of heavy metal poisoning (Ezenwa et al., 2023). In contrast, excessively high alkalinity can give water an unpleasant taste and lead to calcium carbonate buildup, affecting water pipes and infrastructure (Amadi et al., 2023). Since the Sabangan River maintains moderate alkalinity levels, it provides a stable chemical environment that minimizes health risks.</w:t>
      </w:r>
    </w:p>
    <w:p w14:paraId="6E0B2A65" w14:textId="77777777" w:rsidR="008506E6" w:rsidRDefault="008506E6">
      <w:pPr>
        <w:pStyle w:val="Body"/>
        <w:spacing w:after="0"/>
        <w:rPr>
          <w:rFonts w:ascii="Arial" w:hAnsi="Arial" w:cs="Arial"/>
        </w:rPr>
      </w:pPr>
    </w:p>
    <w:p w14:paraId="3D664AF8" w14:textId="77777777" w:rsidR="008506E6" w:rsidRDefault="005B3201">
      <w:pPr>
        <w:pStyle w:val="ConcHead"/>
        <w:spacing w:after="0"/>
        <w:jc w:val="both"/>
        <w:rPr>
          <w:rFonts w:ascii="Arial" w:hAnsi="Arial" w:cs="Arial"/>
        </w:rPr>
      </w:pPr>
      <w:r>
        <w:rPr>
          <w:rFonts w:ascii="Arial" w:hAnsi="Arial" w:cs="Arial"/>
        </w:rPr>
        <w:t>4. Conclusion</w:t>
      </w:r>
    </w:p>
    <w:p w14:paraId="1856E3B0" w14:textId="77777777" w:rsidR="008506E6" w:rsidRDefault="008506E6">
      <w:pPr>
        <w:pStyle w:val="ConcHead"/>
        <w:spacing w:after="0"/>
        <w:jc w:val="both"/>
        <w:rPr>
          <w:rFonts w:ascii="Arial" w:hAnsi="Arial" w:cs="Arial"/>
        </w:rPr>
      </w:pPr>
    </w:p>
    <w:p w14:paraId="58699760" w14:textId="77777777" w:rsidR="008506E6" w:rsidRDefault="005B3201">
      <w:pPr>
        <w:pStyle w:val="Body"/>
        <w:spacing w:after="0"/>
        <w:rPr>
          <w:rFonts w:ascii="Arial" w:hAnsi="Arial"/>
        </w:rPr>
      </w:pPr>
      <w:r>
        <w:rPr>
          <w:rFonts w:ascii="Arial" w:hAnsi="Arial"/>
        </w:rPr>
        <w:t>The physical parameter results revealed consistently low levels of Total Dissolved Solids (TDS) and turbidity throughout the Sabangan River. Regular monitoring is recommended to maintain these favorable conditions and address any potential sources of contamination promptly. The chemical parameter analysis indicates healthy levels of dissolved oxygen, pH, and total alkalinity, suggesting the need for continued monitoring to detect fluctuations due to seasonal variations or anthropogenic activities, ensuring the river's long-term sustainability. Further investigation into parameters such as nutrient levels, heavy metal concentrations, and microbial contamination could inform ongoing monitoring efforts to safeguard water quality and ecosystem integrity. Additionally, conducting the study during the wet season is recommended, as this study was done during the dry season.</w:t>
      </w:r>
    </w:p>
    <w:p w14:paraId="65E11FCE" w14:textId="77777777" w:rsidR="008506E6" w:rsidRDefault="008506E6">
      <w:pPr>
        <w:pStyle w:val="Body"/>
        <w:spacing w:after="0"/>
        <w:rPr>
          <w:rFonts w:ascii="Arial" w:hAnsi="Arial"/>
        </w:rPr>
      </w:pPr>
    </w:p>
    <w:p w14:paraId="23DE27F4" w14:textId="77777777" w:rsidR="008506E6" w:rsidRDefault="008506E6"/>
    <w:p w14:paraId="1CAF8752" w14:textId="77777777" w:rsidR="008506E6" w:rsidRDefault="008506E6"/>
    <w:p w14:paraId="702A3322" w14:textId="77777777" w:rsidR="008506E6" w:rsidRDefault="008506E6">
      <w:pPr>
        <w:pStyle w:val="ReferHead"/>
        <w:spacing w:after="0"/>
        <w:jc w:val="both"/>
        <w:rPr>
          <w:rFonts w:ascii="Arial" w:hAnsi="Arial" w:cs="Arial"/>
          <w:b w:val="0"/>
          <w:caps w:val="0"/>
          <w:sz w:val="20"/>
        </w:rPr>
      </w:pPr>
    </w:p>
    <w:p w14:paraId="1DF88EFF" w14:textId="77777777" w:rsidR="008506E6" w:rsidRDefault="008506E6">
      <w:pPr>
        <w:pStyle w:val="ReferHead"/>
        <w:spacing w:after="0"/>
        <w:jc w:val="both"/>
        <w:rPr>
          <w:rFonts w:ascii="Arial" w:hAnsi="Arial" w:cs="Arial"/>
        </w:rPr>
      </w:pPr>
    </w:p>
    <w:p w14:paraId="639298FD" w14:textId="77777777" w:rsidR="525B5E18" w:rsidRDefault="525B5E18" w:rsidP="525B5E18">
      <w:pPr>
        <w:pStyle w:val="ReferHead"/>
        <w:spacing w:after="0"/>
        <w:jc w:val="both"/>
        <w:rPr>
          <w:rFonts w:ascii="Arial" w:hAnsi="Arial" w:cs="Arial"/>
        </w:rPr>
      </w:pPr>
      <w:r w:rsidRPr="525B5E18">
        <w:rPr>
          <w:rFonts w:ascii="Arial" w:hAnsi="Arial" w:cs="Arial"/>
        </w:rPr>
        <w:t>References</w:t>
      </w:r>
    </w:p>
    <w:p w14:paraId="0A03FF46" w14:textId="77777777" w:rsidR="008506E6" w:rsidRDefault="008506E6">
      <w:pPr>
        <w:pStyle w:val="ReferHead"/>
        <w:spacing w:after="0"/>
        <w:jc w:val="both"/>
        <w:rPr>
          <w:rFonts w:ascii="Arial" w:hAnsi="Arial" w:cs="Arial"/>
        </w:rPr>
      </w:pPr>
    </w:p>
    <w:p w14:paraId="5664E058" w14:textId="77777777" w:rsidR="008506E6" w:rsidRDefault="532F3A44" w:rsidP="525B5E18">
      <w:pPr>
        <w:spacing w:afterLines="100" w:after="240"/>
        <w:jc w:val="both"/>
        <w:rPr>
          <w:rFonts w:ascii="Arial" w:hAnsi="Arial" w:cs="Arial"/>
        </w:rPr>
      </w:pPr>
      <w:r w:rsidRPr="525B5E18">
        <w:rPr>
          <w:rFonts w:ascii="Arial" w:hAnsi="Arial" w:cs="Arial"/>
        </w:rPr>
        <w:t xml:space="preserve">Doi, H., Katano, I., Negishi, J. N., Sanada, S., &amp; Kayaba, Y. (2013). Effects of biodiversity, habitat structure, and water quality on recreational use of rivers. </w:t>
      </w:r>
      <w:r w:rsidRPr="525B5E18">
        <w:rPr>
          <w:rFonts w:ascii="Arial" w:hAnsi="Arial" w:cs="Arial"/>
          <w:i/>
          <w:iCs/>
        </w:rPr>
        <w:t>Ecosphere</w:t>
      </w:r>
      <w:r w:rsidRPr="525B5E18">
        <w:rPr>
          <w:rFonts w:ascii="Arial" w:hAnsi="Arial" w:cs="Arial"/>
        </w:rPr>
        <w:t xml:space="preserve">, </w:t>
      </w:r>
      <w:r w:rsidRPr="525B5E18">
        <w:rPr>
          <w:rFonts w:ascii="Arial" w:hAnsi="Arial" w:cs="Arial"/>
          <w:i/>
          <w:iCs/>
        </w:rPr>
        <w:t>4</w:t>
      </w:r>
      <w:r w:rsidRPr="525B5E18">
        <w:rPr>
          <w:rFonts w:ascii="Arial" w:hAnsi="Arial" w:cs="Arial"/>
        </w:rPr>
        <w:t>(8), 1–11. https://doi.org/10.1890/es12-00305.1</w:t>
      </w:r>
    </w:p>
    <w:p w14:paraId="76FF677B" w14:textId="77777777" w:rsidR="008506E6" w:rsidRDefault="532F3A44" w:rsidP="525B5E18">
      <w:pPr>
        <w:spacing w:afterLines="100" w:after="240"/>
        <w:jc w:val="both"/>
        <w:rPr>
          <w:rFonts w:ascii="Arial" w:hAnsi="Arial" w:cs="Arial"/>
        </w:rPr>
      </w:pPr>
      <w:r w:rsidRPr="525B5E18">
        <w:rPr>
          <w:rFonts w:ascii="Arial" w:hAnsi="Arial" w:cs="Arial"/>
        </w:rPr>
        <w:t xml:space="preserve">Cheng, Y., Kang, Q., Liu, K., Cui, P., Zhao, K., Li, J., Ma, X., &amp; Ni, Q. (2023). Impact of Urbanization on Ecosystem Service Value from the Perspective of </w:t>
      </w:r>
      <w:proofErr w:type="spellStart"/>
      <w:r w:rsidRPr="525B5E18">
        <w:rPr>
          <w:rFonts w:ascii="Arial" w:hAnsi="Arial" w:cs="Arial"/>
        </w:rPr>
        <w:t>Spatio</w:t>
      </w:r>
      <w:proofErr w:type="spellEnd"/>
      <w:r w:rsidRPr="525B5E18">
        <w:rPr>
          <w:rFonts w:ascii="Arial" w:hAnsi="Arial" w:cs="Arial"/>
        </w:rPr>
        <w:t xml:space="preserve">-Temporal Heterogeneity: A Case Study from the Yellow River Basin. </w:t>
      </w:r>
      <w:r w:rsidRPr="525B5E18">
        <w:rPr>
          <w:rFonts w:ascii="Arial" w:hAnsi="Arial" w:cs="Arial"/>
          <w:i/>
          <w:iCs/>
        </w:rPr>
        <w:t>Land</w:t>
      </w:r>
      <w:r w:rsidRPr="525B5E18">
        <w:rPr>
          <w:rFonts w:ascii="Arial" w:hAnsi="Arial" w:cs="Arial"/>
        </w:rPr>
        <w:t xml:space="preserve">, </w:t>
      </w:r>
      <w:r w:rsidRPr="525B5E18">
        <w:rPr>
          <w:rFonts w:ascii="Arial" w:hAnsi="Arial" w:cs="Arial"/>
          <w:i/>
          <w:iCs/>
        </w:rPr>
        <w:t>12</w:t>
      </w:r>
      <w:r w:rsidRPr="525B5E18">
        <w:rPr>
          <w:rFonts w:ascii="Arial" w:hAnsi="Arial" w:cs="Arial"/>
        </w:rPr>
        <w:t xml:space="preserve">(7), 1301. </w:t>
      </w:r>
      <w:hyperlink r:id="rId16">
        <w:r w:rsidRPr="525B5E18">
          <w:rPr>
            <w:rFonts w:ascii="Arial" w:hAnsi="Arial" w:cs="Arial"/>
          </w:rPr>
          <w:t>https://doi.org/10.3390/land12071301</w:t>
        </w:r>
      </w:hyperlink>
    </w:p>
    <w:p w14:paraId="3F31DFE1" w14:textId="77777777" w:rsidR="008506E6" w:rsidRDefault="532F3A44" w:rsidP="525B5E18">
      <w:pPr>
        <w:spacing w:afterLines="100" w:after="240"/>
        <w:jc w:val="both"/>
        <w:rPr>
          <w:rFonts w:ascii="Arial" w:hAnsi="Arial" w:cs="Arial"/>
        </w:rPr>
      </w:pPr>
      <w:r w:rsidRPr="525B5E18">
        <w:rPr>
          <w:rFonts w:ascii="Arial" w:hAnsi="Arial" w:cs="Arial"/>
        </w:rPr>
        <w:t xml:space="preserve">Jennings, J. C., Bellmore, J. R., Armstrong, J. B., &amp; Wisseman, R. W. (2023). Effects of process‐based floodplain restoration on aquatic macroinvertebrate production and community structure. </w:t>
      </w:r>
      <w:r w:rsidRPr="525B5E18">
        <w:rPr>
          <w:rFonts w:ascii="Arial" w:hAnsi="Arial" w:cs="Arial"/>
          <w:i/>
          <w:iCs/>
        </w:rPr>
        <w:t>River Research and Applications</w:t>
      </w:r>
      <w:r w:rsidRPr="525B5E18">
        <w:rPr>
          <w:rFonts w:ascii="Arial" w:hAnsi="Arial" w:cs="Arial"/>
        </w:rPr>
        <w:t xml:space="preserve">, </w:t>
      </w:r>
      <w:r w:rsidRPr="525B5E18">
        <w:rPr>
          <w:rFonts w:ascii="Arial" w:hAnsi="Arial" w:cs="Arial"/>
          <w:i/>
          <w:iCs/>
        </w:rPr>
        <w:t>39</w:t>
      </w:r>
      <w:r w:rsidRPr="525B5E18">
        <w:rPr>
          <w:rFonts w:ascii="Arial" w:hAnsi="Arial" w:cs="Arial"/>
        </w:rPr>
        <w:t>(9), 1709–1723. https://doi.org/10.1002/rra.4174</w:t>
      </w:r>
    </w:p>
    <w:p w14:paraId="7766A0DD" w14:textId="77777777" w:rsidR="008506E6" w:rsidRDefault="532F3A44" w:rsidP="525B5E18">
      <w:pPr>
        <w:spacing w:afterLines="100" w:after="240"/>
        <w:jc w:val="both"/>
        <w:rPr>
          <w:rFonts w:ascii="Arial" w:hAnsi="Arial" w:cs="Arial"/>
        </w:rPr>
      </w:pPr>
      <w:r w:rsidRPr="525B5E18">
        <w:rPr>
          <w:rFonts w:ascii="Arial" w:hAnsi="Arial" w:cs="Arial"/>
        </w:rPr>
        <w:t xml:space="preserve">Ezekiel, B. B., </w:t>
      </w:r>
      <w:proofErr w:type="spellStart"/>
      <w:r w:rsidRPr="525B5E18">
        <w:rPr>
          <w:rFonts w:ascii="Arial" w:hAnsi="Arial" w:cs="Arial"/>
        </w:rPr>
        <w:t>Adelalu</w:t>
      </w:r>
      <w:proofErr w:type="spellEnd"/>
      <w:r w:rsidRPr="525B5E18">
        <w:rPr>
          <w:rFonts w:ascii="Arial" w:hAnsi="Arial" w:cs="Arial"/>
        </w:rPr>
        <w:t xml:space="preserve">, T. G., Christopher, J. N., &amp; Alhassan, T. (2023). Assessment of agro allied chemical pollution on surface water quality of River </w:t>
      </w:r>
      <w:proofErr w:type="spellStart"/>
      <w:r w:rsidRPr="525B5E18">
        <w:rPr>
          <w:rFonts w:ascii="Arial" w:hAnsi="Arial" w:cs="Arial"/>
        </w:rPr>
        <w:t>Lamurde</w:t>
      </w:r>
      <w:proofErr w:type="spellEnd"/>
      <w:r w:rsidRPr="525B5E18">
        <w:rPr>
          <w:rFonts w:ascii="Arial" w:hAnsi="Arial" w:cs="Arial"/>
        </w:rPr>
        <w:t xml:space="preserve"> and Mayo-</w:t>
      </w:r>
      <w:proofErr w:type="spellStart"/>
      <w:r w:rsidRPr="525B5E18">
        <w:rPr>
          <w:rFonts w:ascii="Arial" w:hAnsi="Arial" w:cs="Arial"/>
        </w:rPr>
        <w:t>Gwoi</w:t>
      </w:r>
      <w:proofErr w:type="spellEnd"/>
      <w:r w:rsidRPr="525B5E18">
        <w:rPr>
          <w:rFonts w:ascii="Arial" w:hAnsi="Arial" w:cs="Arial"/>
        </w:rPr>
        <w:t xml:space="preserve">, </w:t>
      </w:r>
      <w:proofErr w:type="spellStart"/>
      <w:r w:rsidRPr="525B5E18">
        <w:rPr>
          <w:rFonts w:ascii="Arial" w:hAnsi="Arial" w:cs="Arial"/>
        </w:rPr>
        <w:t>Jalingo</w:t>
      </w:r>
      <w:proofErr w:type="spellEnd"/>
      <w:r w:rsidRPr="525B5E18">
        <w:rPr>
          <w:rFonts w:ascii="Arial" w:hAnsi="Arial" w:cs="Arial"/>
        </w:rPr>
        <w:t xml:space="preserve">, Taraba State, Nigeria. </w:t>
      </w:r>
      <w:r w:rsidRPr="525B5E18">
        <w:rPr>
          <w:rFonts w:ascii="Arial" w:hAnsi="Arial" w:cs="Arial"/>
          <w:i/>
          <w:iCs/>
        </w:rPr>
        <w:t>Advances in Environmental and Engineering Research</w:t>
      </w:r>
      <w:r w:rsidRPr="525B5E18">
        <w:rPr>
          <w:rFonts w:ascii="Arial" w:hAnsi="Arial" w:cs="Arial"/>
        </w:rPr>
        <w:t xml:space="preserve">, </w:t>
      </w:r>
      <w:r w:rsidRPr="525B5E18">
        <w:rPr>
          <w:rFonts w:ascii="Arial" w:hAnsi="Arial" w:cs="Arial"/>
          <w:i/>
          <w:iCs/>
        </w:rPr>
        <w:t>04</w:t>
      </w:r>
      <w:r w:rsidRPr="525B5E18">
        <w:rPr>
          <w:rFonts w:ascii="Arial" w:hAnsi="Arial" w:cs="Arial"/>
        </w:rPr>
        <w:t>(01), 1–21. https://doi.org/10.21926/aeer.2301008</w:t>
      </w:r>
    </w:p>
    <w:p w14:paraId="37362E3B" w14:textId="77777777" w:rsidR="008506E6" w:rsidRDefault="532F3A44" w:rsidP="525B5E18">
      <w:pPr>
        <w:spacing w:afterLines="100" w:after="240"/>
        <w:jc w:val="both"/>
        <w:rPr>
          <w:rFonts w:ascii="Arial" w:hAnsi="Arial" w:cs="Arial"/>
        </w:rPr>
      </w:pPr>
      <w:r w:rsidRPr="525B5E18">
        <w:rPr>
          <w:rFonts w:ascii="Arial" w:hAnsi="Arial" w:cs="Arial"/>
        </w:rPr>
        <w:t xml:space="preserve">Ruan, J., Cui, Y., Meng, D., Wang, J., Song, Y., &amp; Mao, Y. (2023). Integrated prediction of water pollution and risk assessment of water system connectivity based on dynamic model average and model selection criteria. </w:t>
      </w:r>
      <w:proofErr w:type="spellStart"/>
      <w:r w:rsidRPr="525B5E18">
        <w:rPr>
          <w:rFonts w:ascii="Arial" w:hAnsi="Arial" w:cs="Arial"/>
          <w:i/>
          <w:iCs/>
        </w:rPr>
        <w:t>PLoS</w:t>
      </w:r>
      <w:proofErr w:type="spellEnd"/>
      <w:r w:rsidRPr="525B5E18">
        <w:rPr>
          <w:rFonts w:ascii="Arial" w:hAnsi="Arial" w:cs="Arial"/>
          <w:i/>
          <w:iCs/>
        </w:rPr>
        <w:t xml:space="preserve"> ONE</w:t>
      </w:r>
      <w:r w:rsidRPr="525B5E18">
        <w:rPr>
          <w:rFonts w:ascii="Arial" w:hAnsi="Arial" w:cs="Arial"/>
        </w:rPr>
        <w:t xml:space="preserve">, </w:t>
      </w:r>
      <w:r w:rsidRPr="525B5E18">
        <w:rPr>
          <w:rFonts w:ascii="Arial" w:hAnsi="Arial" w:cs="Arial"/>
          <w:i/>
          <w:iCs/>
        </w:rPr>
        <w:t>18</w:t>
      </w:r>
      <w:r w:rsidRPr="525B5E18">
        <w:rPr>
          <w:rFonts w:ascii="Arial" w:hAnsi="Arial" w:cs="Arial"/>
        </w:rPr>
        <w:t>(10), e0287209. https://doi.org/10.1371/journal.pone.0287209</w:t>
      </w:r>
    </w:p>
    <w:p w14:paraId="34984F4C" w14:textId="77777777" w:rsidR="008506E6" w:rsidRDefault="532F3A44" w:rsidP="525B5E18">
      <w:pPr>
        <w:spacing w:afterLines="100" w:after="240"/>
        <w:jc w:val="both"/>
        <w:rPr>
          <w:rFonts w:ascii="Arial" w:hAnsi="Arial" w:cs="Arial"/>
        </w:rPr>
      </w:pPr>
      <w:proofErr w:type="spellStart"/>
      <w:r w:rsidRPr="525B5E18">
        <w:rPr>
          <w:rFonts w:ascii="Arial" w:hAnsi="Arial" w:cs="Arial"/>
        </w:rPr>
        <w:t>Adelagun</w:t>
      </w:r>
      <w:proofErr w:type="spellEnd"/>
      <w:r w:rsidRPr="525B5E18">
        <w:rPr>
          <w:rFonts w:ascii="Arial" w:hAnsi="Arial" w:cs="Arial"/>
        </w:rPr>
        <w:t xml:space="preserve">, R. O. A., Etim, E. E., &amp; Godwin, O. E. (2021). Application of Water Quality Index for the Assessment of Water from Different Sources in Nigeria. In </w:t>
      </w:r>
      <w:proofErr w:type="spellStart"/>
      <w:r w:rsidRPr="525B5E18">
        <w:rPr>
          <w:rFonts w:ascii="Arial" w:hAnsi="Arial" w:cs="Arial"/>
          <w:i/>
          <w:iCs/>
        </w:rPr>
        <w:t>IntechOpen</w:t>
      </w:r>
      <w:proofErr w:type="spellEnd"/>
      <w:r w:rsidRPr="525B5E18">
        <w:rPr>
          <w:rFonts w:ascii="Arial" w:hAnsi="Arial" w:cs="Arial"/>
          <w:i/>
          <w:iCs/>
        </w:rPr>
        <w:t xml:space="preserve"> eBooks</w:t>
      </w:r>
      <w:r w:rsidRPr="525B5E18">
        <w:rPr>
          <w:rFonts w:ascii="Arial" w:hAnsi="Arial" w:cs="Arial"/>
        </w:rPr>
        <w:t>. https://doi.org/10.5772/intechopen.98696</w:t>
      </w:r>
    </w:p>
    <w:p w14:paraId="5226E37C" w14:textId="77777777" w:rsidR="008506E6" w:rsidRDefault="532F3A44" w:rsidP="525B5E18">
      <w:pPr>
        <w:spacing w:afterLines="100" w:after="240"/>
        <w:jc w:val="both"/>
        <w:rPr>
          <w:rFonts w:ascii="Arial" w:hAnsi="Arial" w:cs="Arial"/>
        </w:rPr>
      </w:pPr>
      <w:r w:rsidRPr="525B5E18">
        <w:rPr>
          <w:rFonts w:ascii="Arial" w:hAnsi="Arial" w:cs="Arial"/>
        </w:rPr>
        <w:t xml:space="preserve">Damasco, L. A., Arocha, V. J. D., </w:t>
      </w:r>
      <w:proofErr w:type="spellStart"/>
      <w:r w:rsidRPr="525B5E18">
        <w:rPr>
          <w:rFonts w:ascii="Arial" w:hAnsi="Arial" w:cs="Arial"/>
        </w:rPr>
        <w:t>Quilang</w:t>
      </w:r>
      <w:proofErr w:type="spellEnd"/>
      <w:r w:rsidRPr="525B5E18">
        <w:rPr>
          <w:rFonts w:ascii="Arial" w:hAnsi="Arial" w:cs="Arial"/>
        </w:rPr>
        <w:t xml:space="preserve">, E. B., </w:t>
      </w:r>
      <w:proofErr w:type="spellStart"/>
      <w:r w:rsidRPr="525B5E18">
        <w:rPr>
          <w:rFonts w:ascii="Arial" w:hAnsi="Arial" w:cs="Arial"/>
        </w:rPr>
        <w:t>Damole</w:t>
      </w:r>
      <w:proofErr w:type="spellEnd"/>
      <w:r w:rsidRPr="525B5E18">
        <w:rPr>
          <w:rFonts w:ascii="Arial" w:hAnsi="Arial" w:cs="Arial"/>
        </w:rPr>
        <w:t xml:space="preserve">, D. M. C., </w:t>
      </w:r>
      <w:proofErr w:type="spellStart"/>
      <w:r w:rsidRPr="525B5E18">
        <w:rPr>
          <w:rFonts w:ascii="Arial" w:hAnsi="Arial" w:cs="Arial"/>
        </w:rPr>
        <w:t>Miones</w:t>
      </w:r>
      <w:proofErr w:type="spellEnd"/>
      <w:r w:rsidRPr="525B5E18">
        <w:rPr>
          <w:rFonts w:ascii="Arial" w:hAnsi="Arial" w:cs="Arial"/>
        </w:rPr>
        <w:t xml:space="preserve">, L. B. E., &amp; Saldo, I. J. P. (2024). Rapid physicochemical assessment of </w:t>
      </w:r>
      <w:proofErr w:type="spellStart"/>
      <w:r w:rsidRPr="525B5E18">
        <w:rPr>
          <w:rFonts w:ascii="Arial" w:hAnsi="Arial" w:cs="Arial"/>
        </w:rPr>
        <w:t>Kalawaig</w:t>
      </w:r>
      <w:proofErr w:type="spellEnd"/>
      <w:r w:rsidRPr="525B5E18">
        <w:rPr>
          <w:rFonts w:ascii="Arial" w:hAnsi="Arial" w:cs="Arial"/>
        </w:rPr>
        <w:t xml:space="preserve"> Creek in Bukidnon, Philippines. </w:t>
      </w:r>
      <w:r w:rsidRPr="525B5E18">
        <w:rPr>
          <w:rFonts w:ascii="Arial" w:hAnsi="Arial" w:cs="Arial"/>
          <w:i/>
          <w:iCs/>
        </w:rPr>
        <w:t>Asian Journal of Biological and Life Sciences</w:t>
      </w:r>
      <w:r w:rsidRPr="525B5E18">
        <w:rPr>
          <w:rFonts w:ascii="Arial" w:hAnsi="Arial" w:cs="Arial"/>
        </w:rPr>
        <w:t xml:space="preserve">, </w:t>
      </w:r>
      <w:r w:rsidRPr="525B5E18">
        <w:rPr>
          <w:rFonts w:ascii="Arial" w:hAnsi="Arial" w:cs="Arial"/>
          <w:i/>
          <w:iCs/>
        </w:rPr>
        <w:t>13</w:t>
      </w:r>
      <w:r w:rsidRPr="525B5E18">
        <w:rPr>
          <w:rFonts w:ascii="Arial" w:hAnsi="Arial" w:cs="Arial"/>
        </w:rPr>
        <w:t>(1), 176–186. https://doi.org/10.5530/ajbls.2024.13.23</w:t>
      </w:r>
    </w:p>
    <w:p w14:paraId="38F1F3D3" w14:textId="77777777" w:rsidR="008506E6" w:rsidRDefault="532F3A44" w:rsidP="525B5E18">
      <w:pPr>
        <w:spacing w:afterLines="100" w:after="240"/>
        <w:jc w:val="both"/>
        <w:rPr>
          <w:rFonts w:ascii="Arial" w:hAnsi="Arial" w:cs="Arial"/>
        </w:rPr>
      </w:pPr>
      <w:proofErr w:type="spellStart"/>
      <w:r w:rsidRPr="525B5E18">
        <w:rPr>
          <w:rFonts w:ascii="Arial" w:hAnsi="Arial" w:cs="Arial"/>
        </w:rPr>
        <w:t>Bete</w:t>
      </w:r>
      <w:proofErr w:type="spellEnd"/>
      <w:r w:rsidRPr="525B5E18">
        <w:rPr>
          <w:rFonts w:ascii="Arial" w:hAnsi="Arial" w:cs="Arial"/>
        </w:rPr>
        <w:t xml:space="preserve">, M. A., O, M. C. J., &amp; Salesa, V. D. (2024). Water quality assessment in </w:t>
      </w:r>
      <w:proofErr w:type="spellStart"/>
      <w:r w:rsidRPr="525B5E18">
        <w:rPr>
          <w:rFonts w:ascii="Arial" w:hAnsi="Arial" w:cs="Arial"/>
        </w:rPr>
        <w:t>Tagoloan</w:t>
      </w:r>
      <w:proofErr w:type="spellEnd"/>
      <w:r w:rsidRPr="525B5E18">
        <w:rPr>
          <w:rFonts w:ascii="Arial" w:hAnsi="Arial" w:cs="Arial"/>
        </w:rPr>
        <w:t xml:space="preserve"> River, Sabangan, Can-</w:t>
      </w:r>
      <w:proofErr w:type="spellStart"/>
      <w:r w:rsidRPr="525B5E18">
        <w:rPr>
          <w:rFonts w:ascii="Arial" w:hAnsi="Arial" w:cs="Arial"/>
        </w:rPr>
        <w:t>ayan</w:t>
      </w:r>
      <w:proofErr w:type="spellEnd"/>
      <w:r w:rsidRPr="525B5E18">
        <w:rPr>
          <w:rFonts w:ascii="Arial" w:hAnsi="Arial" w:cs="Arial"/>
        </w:rPr>
        <w:t xml:space="preserve">, Malaybalay City, Bukidnon. </w:t>
      </w:r>
      <w:r w:rsidRPr="525B5E18">
        <w:rPr>
          <w:rFonts w:ascii="Arial" w:hAnsi="Arial" w:cs="Arial"/>
          <w:i/>
          <w:iCs/>
        </w:rPr>
        <w:t>International Journal of Science and Research (IJSR)</w:t>
      </w:r>
      <w:r w:rsidRPr="525B5E18">
        <w:rPr>
          <w:rFonts w:ascii="Arial" w:hAnsi="Arial" w:cs="Arial"/>
        </w:rPr>
        <w:t xml:space="preserve">, </w:t>
      </w:r>
      <w:r w:rsidRPr="525B5E18">
        <w:rPr>
          <w:rFonts w:ascii="Arial" w:hAnsi="Arial" w:cs="Arial"/>
          <w:i/>
          <w:iCs/>
        </w:rPr>
        <w:t>13</w:t>
      </w:r>
      <w:r w:rsidRPr="525B5E18">
        <w:rPr>
          <w:rFonts w:ascii="Arial" w:hAnsi="Arial" w:cs="Arial"/>
        </w:rPr>
        <w:t>(7), 1085–1090. https://doi.org/10.21275/sr24718113931</w:t>
      </w:r>
    </w:p>
    <w:p w14:paraId="3523AF15" w14:textId="77777777" w:rsidR="008506E6" w:rsidRDefault="532F3A44" w:rsidP="525B5E18">
      <w:pPr>
        <w:spacing w:afterLines="100" w:after="240"/>
        <w:jc w:val="both"/>
        <w:rPr>
          <w:rFonts w:ascii="Arial" w:hAnsi="Arial" w:cs="Arial"/>
        </w:rPr>
      </w:pPr>
      <w:proofErr w:type="spellStart"/>
      <w:r w:rsidRPr="525B5E18">
        <w:rPr>
          <w:rFonts w:ascii="Arial" w:hAnsi="Arial" w:cs="Arial"/>
        </w:rPr>
        <w:t>Lubos</w:t>
      </w:r>
      <w:proofErr w:type="spellEnd"/>
      <w:r w:rsidRPr="525B5E18">
        <w:rPr>
          <w:rFonts w:ascii="Arial" w:hAnsi="Arial" w:cs="Arial"/>
        </w:rPr>
        <w:t xml:space="preserve">, L. C., Barroso, C. J. V., </w:t>
      </w:r>
      <w:proofErr w:type="spellStart"/>
      <w:r w:rsidRPr="525B5E18">
        <w:rPr>
          <w:rFonts w:ascii="Arial" w:hAnsi="Arial" w:cs="Arial"/>
        </w:rPr>
        <w:t>Tantoy</w:t>
      </w:r>
      <w:proofErr w:type="spellEnd"/>
      <w:r w:rsidRPr="525B5E18">
        <w:rPr>
          <w:rFonts w:ascii="Arial" w:hAnsi="Arial" w:cs="Arial"/>
        </w:rPr>
        <w:t xml:space="preserve">, O. A., Cuenco, M. a. T., &amp; </w:t>
      </w:r>
      <w:proofErr w:type="spellStart"/>
      <w:r w:rsidRPr="525B5E18">
        <w:rPr>
          <w:rFonts w:ascii="Arial" w:hAnsi="Arial" w:cs="Arial"/>
        </w:rPr>
        <w:t>Lubos</w:t>
      </w:r>
      <w:proofErr w:type="spellEnd"/>
      <w:r w:rsidRPr="525B5E18">
        <w:rPr>
          <w:rFonts w:ascii="Arial" w:hAnsi="Arial" w:cs="Arial"/>
        </w:rPr>
        <w:t xml:space="preserve">, L. C. (2020). Water Quality of </w:t>
      </w:r>
      <w:proofErr w:type="spellStart"/>
      <w:r w:rsidRPr="525B5E18">
        <w:rPr>
          <w:rFonts w:ascii="Arial" w:hAnsi="Arial" w:cs="Arial"/>
        </w:rPr>
        <w:t>Sawaga</w:t>
      </w:r>
      <w:proofErr w:type="spellEnd"/>
      <w:r w:rsidRPr="525B5E18">
        <w:rPr>
          <w:rFonts w:ascii="Arial" w:hAnsi="Arial" w:cs="Arial"/>
        </w:rPr>
        <w:t xml:space="preserve"> River and the Relationship of Socio-Economic and Health Status of its Surrounding Communities. </w:t>
      </w:r>
      <w:proofErr w:type="spellStart"/>
      <w:r w:rsidRPr="525B5E18">
        <w:rPr>
          <w:rFonts w:ascii="Arial" w:hAnsi="Arial" w:cs="Arial"/>
          <w:i/>
          <w:iCs/>
        </w:rPr>
        <w:t>Liceo</w:t>
      </w:r>
      <w:proofErr w:type="spellEnd"/>
      <w:r w:rsidRPr="525B5E18">
        <w:rPr>
          <w:rFonts w:ascii="Arial" w:hAnsi="Arial" w:cs="Arial"/>
          <w:i/>
          <w:iCs/>
        </w:rPr>
        <w:t xml:space="preserve"> Journal of Higher Education Research</w:t>
      </w:r>
      <w:r w:rsidRPr="525B5E18">
        <w:rPr>
          <w:rFonts w:ascii="Arial" w:hAnsi="Arial" w:cs="Arial"/>
        </w:rPr>
        <w:t xml:space="preserve">, </w:t>
      </w:r>
      <w:r w:rsidRPr="525B5E18">
        <w:rPr>
          <w:rFonts w:ascii="Arial" w:hAnsi="Arial" w:cs="Arial"/>
          <w:i/>
          <w:iCs/>
        </w:rPr>
        <w:t>16</w:t>
      </w:r>
      <w:r w:rsidRPr="525B5E18">
        <w:rPr>
          <w:rFonts w:ascii="Arial" w:hAnsi="Arial" w:cs="Arial"/>
        </w:rPr>
        <w:t>(2). https://doi.org/10.7828/ljher.v16i2.1374</w:t>
      </w:r>
    </w:p>
    <w:p w14:paraId="350092C5" w14:textId="77777777" w:rsidR="008506E6" w:rsidRDefault="532F3A44" w:rsidP="525B5E18">
      <w:pPr>
        <w:spacing w:afterLines="100" w:after="240"/>
        <w:jc w:val="both"/>
        <w:rPr>
          <w:rFonts w:ascii="Arial" w:hAnsi="Arial" w:cs="Arial"/>
        </w:rPr>
      </w:pPr>
      <w:proofErr w:type="spellStart"/>
      <w:r w:rsidRPr="525B5E18">
        <w:rPr>
          <w:rFonts w:ascii="Arial" w:hAnsi="Arial" w:cs="Arial"/>
        </w:rPr>
        <w:t>Opiso</w:t>
      </w:r>
      <w:proofErr w:type="spellEnd"/>
      <w:r w:rsidRPr="525B5E18">
        <w:rPr>
          <w:rFonts w:ascii="Arial" w:hAnsi="Arial" w:cs="Arial"/>
        </w:rPr>
        <w:t xml:space="preserve">, E. M., &amp; </w:t>
      </w:r>
      <w:proofErr w:type="spellStart"/>
      <w:r w:rsidRPr="525B5E18">
        <w:rPr>
          <w:rFonts w:ascii="Arial" w:hAnsi="Arial" w:cs="Arial"/>
        </w:rPr>
        <w:t>Alburoa</w:t>
      </w:r>
      <w:proofErr w:type="spellEnd"/>
      <w:r w:rsidRPr="525B5E18">
        <w:rPr>
          <w:rFonts w:ascii="Arial" w:hAnsi="Arial" w:cs="Arial"/>
        </w:rPr>
        <w:t xml:space="preserve">, J. L. R. (2014). Hydro-Geochemical characteristics of </w:t>
      </w:r>
      <w:proofErr w:type="spellStart"/>
      <w:r w:rsidRPr="525B5E18">
        <w:rPr>
          <w:rFonts w:ascii="Arial" w:hAnsi="Arial" w:cs="Arial"/>
        </w:rPr>
        <w:t>Sawaga</w:t>
      </w:r>
      <w:proofErr w:type="spellEnd"/>
      <w:r w:rsidRPr="525B5E18">
        <w:rPr>
          <w:rFonts w:ascii="Arial" w:hAnsi="Arial" w:cs="Arial"/>
        </w:rPr>
        <w:t xml:space="preserve"> River, Malaybalay City, Bukidnon. </w:t>
      </w:r>
      <w:proofErr w:type="spellStart"/>
      <w:r w:rsidRPr="525B5E18">
        <w:rPr>
          <w:rFonts w:ascii="Arial" w:hAnsi="Arial" w:cs="Arial"/>
          <w:i/>
          <w:iCs/>
        </w:rPr>
        <w:t>Liceo</w:t>
      </w:r>
      <w:proofErr w:type="spellEnd"/>
      <w:r w:rsidRPr="525B5E18">
        <w:rPr>
          <w:rFonts w:ascii="Arial" w:hAnsi="Arial" w:cs="Arial"/>
          <w:i/>
          <w:iCs/>
        </w:rPr>
        <w:t xml:space="preserve"> Journal of Higher Education Research</w:t>
      </w:r>
      <w:r w:rsidRPr="525B5E18">
        <w:rPr>
          <w:rFonts w:ascii="Arial" w:hAnsi="Arial" w:cs="Arial"/>
        </w:rPr>
        <w:t xml:space="preserve">, </w:t>
      </w:r>
      <w:r w:rsidRPr="525B5E18">
        <w:rPr>
          <w:rFonts w:ascii="Arial" w:hAnsi="Arial" w:cs="Arial"/>
          <w:i/>
          <w:iCs/>
        </w:rPr>
        <w:t>10</w:t>
      </w:r>
      <w:r w:rsidRPr="525B5E18">
        <w:rPr>
          <w:rFonts w:ascii="Arial" w:hAnsi="Arial" w:cs="Arial"/>
        </w:rPr>
        <w:t>(1). https://doi.org/10.7828/ljher.v10i1.669</w:t>
      </w:r>
    </w:p>
    <w:p w14:paraId="720B56BF" w14:textId="77777777" w:rsidR="008506E6" w:rsidRDefault="532F3A44" w:rsidP="525B5E18">
      <w:pPr>
        <w:spacing w:afterLines="100" w:after="240"/>
        <w:jc w:val="both"/>
        <w:rPr>
          <w:rFonts w:ascii="Arial" w:hAnsi="Arial" w:cs="Arial"/>
        </w:rPr>
      </w:pPr>
      <w:r w:rsidRPr="525B5E18">
        <w:rPr>
          <w:rFonts w:ascii="Arial" w:hAnsi="Arial" w:cs="Arial"/>
        </w:rPr>
        <w:t xml:space="preserve">Laranjo, R. D., Naguit, M. R. A., </w:t>
      </w:r>
      <w:proofErr w:type="spellStart"/>
      <w:r w:rsidRPr="525B5E18">
        <w:rPr>
          <w:rFonts w:ascii="Arial" w:hAnsi="Arial" w:cs="Arial"/>
        </w:rPr>
        <w:t>Jamolod</w:t>
      </w:r>
      <w:proofErr w:type="spellEnd"/>
      <w:r w:rsidRPr="525B5E18">
        <w:rPr>
          <w:rFonts w:ascii="Arial" w:hAnsi="Arial" w:cs="Arial"/>
        </w:rPr>
        <w:t xml:space="preserve">, F. C., </w:t>
      </w:r>
      <w:proofErr w:type="spellStart"/>
      <w:r w:rsidRPr="525B5E18">
        <w:rPr>
          <w:rFonts w:ascii="Arial" w:hAnsi="Arial" w:cs="Arial"/>
        </w:rPr>
        <w:t>Jambre</w:t>
      </w:r>
      <w:proofErr w:type="spellEnd"/>
      <w:r w:rsidRPr="525B5E18">
        <w:rPr>
          <w:rFonts w:ascii="Arial" w:hAnsi="Arial" w:cs="Arial"/>
        </w:rPr>
        <w:t xml:space="preserve">, K. G. E., Cabornay, N. I., </w:t>
      </w:r>
      <w:proofErr w:type="spellStart"/>
      <w:r w:rsidRPr="525B5E18">
        <w:rPr>
          <w:rFonts w:ascii="Arial" w:hAnsi="Arial" w:cs="Arial"/>
        </w:rPr>
        <w:t>Bernido</w:t>
      </w:r>
      <w:proofErr w:type="spellEnd"/>
      <w:r w:rsidRPr="525B5E18">
        <w:rPr>
          <w:rFonts w:ascii="Arial" w:hAnsi="Arial" w:cs="Arial"/>
        </w:rPr>
        <w:t xml:space="preserve">, V. B., &amp; </w:t>
      </w:r>
      <w:proofErr w:type="spellStart"/>
      <w:r w:rsidRPr="525B5E18">
        <w:rPr>
          <w:rFonts w:ascii="Arial" w:hAnsi="Arial" w:cs="Arial"/>
        </w:rPr>
        <w:t>Gahisan</w:t>
      </w:r>
      <w:proofErr w:type="spellEnd"/>
      <w:r w:rsidRPr="525B5E18">
        <w:rPr>
          <w:rFonts w:ascii="Arial" w:hAnsi="Arial" w:cs="Arial"/>
        </w:rPr>
        <w:t xml:space="preserve">, M. D. S. (2023). Evaluation of the physicochemical parameters on the water </w:t>
      </w:r>
      <w:r w:rsidRPr="525B5E18">
        <w:rPr>
          <w:rFonts w:ascii="Arial" w:hAnsi="Arial" w:cs="Arial"/>
        </w:rPr>
        <w:lastRenderedPageBreak/>
        <w:t xml:space="preserve">quality of the major rivers of Zamboanga del Norte, Philippines. </w:t>
      </w:r>
      <w:r w:rsidRPr="525B5E18">
        <w:rPr>
          <w:rFonts w:ascii="Arial" w:hAnsi="Arial" w:cs="Arial"/>
          <w:i/>
          <w:iCs/>
        </w:rPr>
        <w:t>AIMS Environmental Science</w:t>
      </w:r>
      <w:r w:rsidRPr="525B5E18">
        <w:rPr>
          <w:rFonts w:ascii="Arial" w:hAnsi="Arial" w:cs="Arial"/>
        </w:rPr>
        <w:t xml:space="preserve">, </w:t>
      </w:r>
      <w:r w:rsidRPr="525B5E18">
        <w:rPr>
          <w:rFonts w:ascii="Arial" w:hAnsi="Arial" w:cs="Arial"/>
          <w:i/>
          <w:iCs/>
        </w:rPr>
        <w:t>10</w:t>
      </w:r>
      <w:r w:rsidRPr="525B5E18">
        <w:rPr>
          <w:rFonts w:ascii="Arial" w:hAnsi="Arial" w:cs="Arial"/>
        </w:rPr>
        <w:t>(3), 382–397. https://doi.org/10.3934/environsci.2023022</w:t>
      </w:r>
    </w:p>
    <w:p w14:paraId="380BCCA8" w14:textId="77777777" w:rsidR="008506E6" w:rsidRDefault="532F3A44" w:rsidP="525B5E18">
      <w:pPr>
        <w:spacing w:afterLines="100" w:after="240"/>
        <w:jc w:val="both"/>
        <w:rPr>
          <w:rFonts w:ascii="Arial" w:hAnsi="Arial" w:cs="Arial"/>
        </w:rPr>
      </w:pPr>
      <w:proofErr w:type="spellStart"/>
      <w:r w:rsidRPr="525B5E18">
        <w:rPr>
          <w:rFonts w:ascii="Arial" w:hAnsi="Arial" w:cs="Arial"/>
        </w:rPr>
        <w:t>Villarmino</w:t>
      </w:r>
      <w:proofErr w:type="spellEnd"/>
      <w:r w:rsidRPr="525B5E18">
        <w:rPr>
          <w:rFonts w:ascii="Arial" w:hAnsi="Arial" w:cs="Arial"/>
        </w:rPr>
        <w:t xml:space="preserve">, J., &amp; Quevedo, E. S. (2021). Physicochemical Characterization of the Water in </w:t>
      </w:r>
      <w:proofErr w:type="spellStart"/>
      <w:r w:rsidRPr="525B5E18">
        <w:rPr>
          <w:rFonts w:ascii="Arial" w:hAnsi="Arial" w:cs="Arial"/>
        </w:rPr>
        <w:t>Pagbanganan</w:t>
      </w:r>
      <w:proofErr w:type="spellEnd"/>
      <w:r w:rsidRPr="525B5E18">
        <w:rPr>
          <w:rFonts w:ascii="Arial" w:hAnsi="Arial" w:cs="Arial"/>
        </w:rPr>
        <w:t xml:space="preserve"> River, Baybay City, Leyte, Philippines. </w:t>
      </w:r>
      <w:r w:rsidRPr="525B5E18">
        <w:rPr>
          <w:rFonts w:ascii="Arial" w:hAnsi="Arial" w:cs="Arial"/>
          <w:i/>
          <w:iCs/>
        </w:rPr>
        <w:t>ResearchGate</w:t>
      </w:r>
      <w:r w:rsidRPr="525B5E18">
        <w:rPr>
          <w:rFonts w:ascii="Arial" w:hAnsi="Arial" w:cs="Arial"/>
        </w:rPr>
        <w:t>. https://www.researchgate.net/publication/353314435_Physicochemical_Characterization_of_the_Water_in_Pagbanganan_River_Baybay_City_Leyte_Philippines</w:t>
      </w:r>
    </w:p>
    <w:p w14:paraId="37B718D5" w14:textId="77777777" w:rsidR="008506E6" w:rsidRDefault="532F3A44" w:rsidP="525B5E18">
      <w:pPr>
        <w:spacing w:afterLines="100" w:after="240"/>
        <w:jc w:val="both"/>
        <w:rPr>
          <w:rFonts w:ascii="Arial" w:hAnsi="Arial" w:cs="Arial"/>
        </w:rPr>
      </w:pPr>
      <w:r w:rsidRPr="525B5E18">
        <w:rPr>
          <w:rFonts w:ascii="Arial" w:hAnsi="Arial" w:cs="Arial"/>
        </w:rPr>
        <w:t xml:space="preserve">Rahman, A., Jahanara, I., &amp; Jolly, Y. N. (2021). Assessment of physicochemical properties of water and their seasonal variation in an urban river in Bangladesh. </w:t>
      </w:r>
      <w:r w:rsidRPr="525B5E18">
        <w:rPr>
          <w:rFonts w:ascii="Arial" w:hAnsi="Arial" w:cs="Arial"/>
          <w:i/>
          <w:iCs/>
        </w:rPr>
        <w:t>Water Science and Engineering</w:t>
      </w:r>
      <w:r w:rsidRPr="525B5E18">
        <w:rPr>
          <w:rFonts w:ascii="Arial" w:hAnsi="Arial" w:cs="Arial"/>
        </w:rPr>
        <w:t xml:space="preserve">, </w:t>
      </w:r>
      <w:r w:rsidRPr="525B5E18">
        <w:rPr>
          <w:rFonts w:ascii="Arial" w:hAnsi="Arial" w:cs="Arial"/>
          <w:i/>
          <w:iCs/>
        </w:rPr>
        <w:t>14</w:t>
      </w:r>
      <w:r w:rsidRPr="525B5E18">
        <w:rPr>
          <w:rFonts w:ascii="Arial" w:hAnsi="Arial" w:cs="Arial"/>
        </w:rPr>
        <w:t>(2), 139–148. https://doi.org/10.1016/j.wse.2021.06.006</w:t>
      </w:r>
    </w:p>
    <w:p w14:paraId="06406804" w14:textId="77777777" w:rsidR="008506E6" w:rsidRDefault="532F3A44" w:rsidP="525B5E18">
      <w:pPr>
        <w:spacing w:afterLines="100" w:after="240"/>
        <w:jc w:val="both"/>
        <w:rPr>
          <w:rFonts w:ascii="Arial" w:hAnsi="Arial" w:cs="Arial"/>
        </w:rPr>
      </w:pPr>
      <w:r w:rsidRPr="525B5E18">
        <w:rPr>
          <w:rFonts w:ascii="Arial" w:hAnsi="Arial" w:cs="Arial"/>
        </w:rPr>
        <w:t xml:space="preserve">Igloria, J., </w:t>
      </w:r>
      <w:proofErr w:type="spellStart"/>
      <w:r w:rsidRPr="525B5E18">
        <w:rPr>
          <w:rFonts w:ascii="Arial" w:hAnsi="Arial" w:cs="Arial"/>
        </w:rPr>
        <w:t>Seriño</w:t>
      </w:r>
      <w:proofErr w:type="spellEnd"/>
      <w:r w:rsidRPr="525B5E18">
        <w:rPr>
          <w:rFonts w:ascii="Arial" w:hAnsi="Arial" w:cs="Arial"/>
        </w:rPr>
        <w:t xml:space="preserve">, E. K., Magbanua, F., Mazo, A., &amp; </w:t>
      </w:r>
      <w:proofErr w:type="spellStart"/>
      <w:r w:rsidRPr="525B5E18">
        <w:rPr>
          <w:rFonts w:ascii="Arial" w:hAnsi="Arial" w:cs="Arial"/>
        </w:rPr>
        <w:t>Pogado</w:t>
      </w:r>
      <w:proofErr w:type="spellEnd"/>
      <w:r w:rsidRPr="525B5E18">
        <w:rPr>
          <w:rFonts w:ascii="Arial" w:hAnsi="Arial" w:cs="Arial"/>
        </w:rPr>
        <w:t xml:space="preserve">, F. (2024). Macroinvertebrate community as bioindicator of water quality of </w:t>
      </w:r>
      <w:proofErr w:type="spellStart"/>
      <w:r w:rsidRPr="525B5E18">
        <w:rPr>
          <w:rFonts w:ascii="Arial" w:hAnsi="Arial" w:cs="Arial"/>
        </w:rPr>
        <w:t>Tambis</w:t>
      </w:r>
      <w:proofErr w:type="spellEnd"/>
      <w:r w:rsidRPr="525B5E18">
        <w:rPr>
          <w:rFonts w:ascii="Arial" w:hAnsi="Arial" w:cs="Arial"/>
        </w:rPr>
        <w:t xml:space="preserve"> River, </w:t>
      </w:r>
      <w:proofErr w:type="spellStart"/>
      <w:r w:rsidRPr="525B5E18">
        <w:rPr>
          <w:rFonts w:ascii="Arial" w:hAnsi="Arial" w:cs="Arial"/>
        </w:rPr>
        <w:t>Palompon</w:t>
      </w:r>
      <w:proofErr w:type="spellEnd"/>
      <w:r w:rsidRPr="525B5E18">
        <w:rPr>
          <w:rFonts w:ascii="Arial" w:hAnsi="Arial" w:cs="Arial"/>
        </w:rPr>
        <w:t xml:space="preserve">, Leyte, Philippines. </w:t>
      </w:r>
      <w:r w:rsidRPr="525B5E18">
        <w:rPr>
          <w:rFonts w:ascii="Arial" w:hAnsi="Arial" w:cs="Arial"/>
          <w:i/>
          <w:iCs/>
        </w:rPr>
        <w:t>Journal of Environmental Science and Management</w:t>
      </w:r>
      <w:r w:rsidRPr="525B5E18">
        <w:rPr>
          <w:rFonts w:ascii="Arial" w:hAnsi="Arial" w:cs="Arial"/>
        </w:rPr>
        <w:t xml:space="preserve">, </w:t>
      </w:r>
      <w:r w:rsidRPr="525B5E18">
        <w:rPr>
          <w:rFonts w:ascii="Arial" w:hAnsi="Arial" w:cs="Arial"/>
          <w:i/>
          <w:iCs/>
        </w:rPr>
        <w:t>27</w:t>
      </w:r>
      <w:r w:rsidRPr="525B5E18">
        <w:rPr>
          <w:rFonts w:ascii="Arial" w:hAnsi="Arial" w:cs="Arial"/>
        </w:rPr>
        <w:t>(1), 26–37. https://doi.org/10.47125/jesam/2024_1/03</w:t>
      </w:r>
    </w:p>
    <w:p w14:paraId="6FE3239D" w14:textId="77777777" w:rsidR="008506E6" w:rsidRDefault="763B7E01" w:rsidP="525B5E18">
      <w:pPr>
        <w:spacing w:afterLines="100" w:after="240"/>
        <w:jc w:val="both"/>
        <w:rPr>
          <w:rFonts w:ascii="Arial" w:hAnsi="Arial" w:cs="Arial"/>
        </w:rPr>
      </w:pPr>
      <w:r w:rsidRPr="525B5E18">
        <w:rPr>
          <w:rFonts w:ascii="Arial" w:hAnsi="Arial" w:cs="Arial"/>
        </w:rPr>
        <w:t xml:space="preserve">Muchanga, M., &amp; </w:t>
      </w:r>
      <w:proofErr w:type="spellStart"/>
      <w:r w:rsidRPr="525B5E18">
        <w:rPr>
          <w:rFonts w:ascii="Arial" w:hAnsi="Arial" w:cs="Arial"/>
        </w:rPr>
        <w:t>Sichingabula</w:t>
      </w:r>
      <w:proofErr w:type="spellEnd"/>
      <w:r w:rsidRPr="525B5E18">
        <w:rPr>
          <w:rFonts w:ascii="Arial" w:hAnsi="Arial" w:cs="Arial"/>
        </w:rPr>
        <w:t xml:space="preserve">, H. M. (2021). Spatial and seasonal dynamics of total suspended sediment, total dissolved solids and turbidity of a lacustrine reservoir in the </w:t>
      </w:r>
      <w:proofErr w:type="spellStart"/>
      <w:r w:rsidRPr="525B5E18">
        <w:rPr>
          <w:rFonts w:ascii="Arial" w:hAnsi="Arial" w:cs="Arial"/>
        </w:rPr>
        <w:t>Magoye</w:t>
      </w:r>
      <w:proofErr w:type="spellEnd"/>
      <w:r w:rsidRPr="525B5E18">
        <w:rPr>
          <w:rFonts w:ascii="Arial" w:hAnsi="Arial" w:cs="Arial"/>
        </w:rPr>
        <w:t xml:space="preserve"> catchment, southern Zambia. </w:t>
      </w:r>
      <w:r w:rsidRPr="525B5E18">
        <w:rPr>
          <w:rFonts w:ascii="Arial" w:hAnsi="Arial" w:cs="Arial"/>
          <w:i/>
          <w:iCs/>
        </w:rPr>
        <w:t>European Journal of Environment and Earth Sciences</w:t>
      </w:r>
      <w:r w:rsidRPr="525B5E18">
        <w:rPr>
          <w:rFonts w:ascii="Arial" w:hAnsi="Arial" w:cs="Arial"/>
        </w:rPr>
        <w:t xml:space="preserve">, </w:t>
      </w:r>
      <w:r w:rsidRPr="525B5E18">
        <w:rPr>
          <w:rFonts w:ascii="Arial" w:hAnsi="Arial" w:cs="Arial"/>
          <w:i/>
          <w:iCs/>
        </w:rPr>
        <w:t>2</w:t>
      </w:r>
      <w:r w:rsidRPr="525B5E18">
        <w:rPr>
          <w:rFonts w:ascii="Arial" w:hAnsi="Arial" w:cs="Arial"/>
        </w:rPr>
        <w:t>(6), 43–48. https://doi.org/10.24018/ejgeo.2021.2.6.227</w:t>
      </w:r>
    </w:p>
    <w:p w14:paraId="77DA26C8" w14:textId="77777777" w:rsidR="008506E6" w:rsidRDefault="763B7E01" w:rsidP="525B5E18">
      <w:pPr>
        <w:spacing w:afterLines="100" w:after="240"/>
        <w:jc w:val="both"/>
        <w:rPr>
          <w:rFonts w:ascii="Arial" w:hAnsi="Arial" w:cs="Arial"/>
        </w:rPr>
      </w:pPr>
      <w:r w:rsidRPr="525B5E18">
        <w:rPr>
          <w:rFonts w:ascii="Arial" w:hAnsi="Arial" w:cs="Arial"/>
        </w:rPr>
        <w:t xml:space="preserve">Mathur, A., Singh, V. K., Shivam, Chaudhary, V., Ali, K., Akram, M., Tiwari, S. N., Roshan, V. K., Verma, S., &amp; Dixit, S. (2024). Assessment of water quality parameters using water quality index (WQI) of upper Ganga basin. </w:t>
      </w:r>
      <w:r w:rsidRPr="525B5E18">
        <w:rPr>
          <w:rFonts w:ascii="Arial" w:hAnsi="Arial" w:cs="Arial"/>
          <w:i/>
          <w:iCs/>
        </w:rPr>
        <w:t>International Journal of Research in Agronomy</w:t>
      </w:r>
      <w:r w:rsidRPr="525B5E18">
        <w:rPr>
          <w:rFonts w:ascii="Arial" w:hAnsi="Arial" w:cs="Arial"/>
        </w:rPr>
        <w:t xml:space="preserve">, </w:t>
      </w:r>
      <w:r w:rsidRPr="525B5E18">
        <w:rPr>
          <w:rFonts w:ascii="Arial" w:hAnsi="Arial" w:cs="Arial"/>
          <w:i/>
          <w:iCs/>
        </w:rPr>
        <w:t>7</w:t>
      </w:r>
      <w:r w:rsidRPr="525B5E18">
        <w:rPr>
          <w:rFonts w:ascii="Arial" w:hAnsi="Arial" w:cs="Arial"/>
        </w:rPr>
        <w:t>(8), 106–113. https://doi.org/10.33545/2618060x.2024.v7.i8b.1202</w:t>
      </w:r>
    </w:p>
    <w:p w14:paraId="070EC477" w14:textId="77777777" w:rsidR="008506E6" w:rsidRDefault="763B7E01" w:rsidP="525B5E18">
      <w:pPr>
        <w:spacing w:afterLines="100" w:after="240"/>
        <w:jc w:val="both"/>
        <w:rPr>
          <w:rFonts w:ascii="Arial" w:hAnsi="Arial" w:cs="Arial"/>
        </w:rPr>
      </w:pPr>
      <w:r w:rsidRPr="525B5E18">
        <w:rPr>
          <w:rFonts w:ascii="Arial" w:hAnsi="Arial" w:cs="Arial"/>
        </w:rPr>
        <w:t xml:space="preserve">Paudel, G., Pant, R. R., Joshi, T. R., Saqr, A. M., Đurin, B., </w:t>
      </w:r>
      <w:proofErr w:type="spellStart"/>
      <w:r w:rsidRPr="525B5E18">
        <w:rPr>
          <w:rFonts w:ascii="Arial" w:hAnsi="Arial" w:cs="Arial"/>
        </w:rPr>
        <w:t>Cetl</w:t>
      </w:r>
      <w:proofErr w:type="spellEnd"/>
      <w:r w:rsidRPr="525B5E18">
        <w:rPr>
          <w:rFonts w:ascii="Arial" w:hAnsi="Arial" w:cs="Arial"/>
        </w:rPr>
        <w:t xml:space="preserve">, V., Kamble, P. N., &amp; Bishwakarma, K. (2024). </w:t>
      </w:r>
      <w:proofErr w:type="spellStart"/>
      <w:r w:rsidRPr="525B5E18">
        <w:rPr>
          <w:rFonts w:ascii="Arial" w:hAnsi="Arial" w:cs="Arial"/>
        </w:rPr>
        <w:t>Hydrochemical</w:t>
      </w:r>
      <w:proofErr w:type="spellEnd"/>
      <w:r w:rsidRPr="525B5E18">
        <w:rPr>
          <w:rFonts w:ascii="Arial" w:hAnsi="Arial" w:cs="Arial"/>
        </w:rPr>
        <w:t xml:space="preserve"> Dynamics and Water Quality Assessment of the Ramsar-Listed </w:t>
      </w:r>
      <w:proofErr w:type="spellStart"/>
      <w:r w:rsidRPr="525B5E18">
        <w:rPr>
          <w:rFonts w:ascii="Arial" w:hAnsi="Arial" w:cs="Arial"/>
        </w:rPr>
        <w:t>Ghodaghodi</w:t>
      </w:r>
      <w:proofErr w:type="spellEnd"/>
      <w:r w:rsidRPr="525B5E18">
        <w:rPr>
          <w:rFonts w:ascii="Arial" w:hAnsi="Arial" w:cs="Arial"/>
        </w:rPr>
        <w:t xml:space="preserve"> Lake Complex: Unveiling the Water-Environment Nexus. </w:t>
      </w:r>
      <w:r w:rsidRPr="525B5E18">
        <w:rPr>
          <w:rFonts w:ascii="Arial" w:hAnsi="Arial" w:cs="Arial"/>
          <w:i/>
          <w:iCs/>
        </w:rPr>
        <w:t>Water</w:t>
      </w:r>
      <w:r w:rsidRPr="525B5E18">
        <w:rPr>
          <w:rFonts w:ascii="Arial" w:hAnsi="Arial" w:cs="Arial"/>
        </w:rPr>
        <w:t xml:space="preserve">, </w:t>
      </w:r>
      <w:r w:rsidRPr="525B5E18">
        <w:rPr>
          <w:rFonts w:ascii="Arial" w:hAnsi="Arial" w:cs="Arial"/>
          <w:i/>
          <w:iCs/>
        </w:rPr>
        <w:t>16</w:t>
      </w:r>
      <w:r w:rsidRPr="525B5E18">
        <w:rPr>
          <w:rFonts w:ascii="Arial" w:hAnsi="Arial" w:cs="Arial"/>
        </w:rPr>
        <w:t>(23), 3373. https://doi.org/10.3390/w16233373</w:t>
      </w:r>
    </w:p>
    <w:p w14:paraId="5C93BBCE" w14:textId="77777777" w:rsidR="008506E6" w:rsidRDefault="763B7E01" w:rsidP="525B5E18">
      <w:pPr>
        <w:spacing w:afterLines="100" w:after="240"/>
        <w:jc w:val="both"/>
        <w:rPr>
          <w:rFonts w:ascii="Arial" w:hAnsi="Arial" w:cs="Arial"/>
        </w:rPr>
      </w:pPr>
      <w:proofErr w:type="spellStart"/>
      <w:r w:rsidRPr="525B5E18">
        <w:rPr>
          <w:rFonts w:ascii="Arial" w:hAnsi="Arial" w:cs="Arial"/>
        </w:rPr>
        <w:t>Lemessa</w:t>
      </w:r>
      <w:proofErr w:type="spellEnd"/>
      <w:r w:rsidRPr="525B5E18">
        <w:rPr>
          <w:rFonts w:ascii="Arial" w:hAnsi="Arial" w:cs="Arial"/>
        </w:rPr>
        <w:t xml:space="preserve">, F., </w:t>
      </w:r>
      <w:proofErr w:type="spellStart"/>
      <w:r w:rsidRPr="525B5E18">
        <w:rPr>
          <w:rFonts w:ascii="Arial" w:hAnsi="Arial" w:cs="Arial"/>
        </w:rPr>
        <w:t>Simane</w:t>
      </w:r>
      <w:proofErr w:type="spellEnd"/>
      <w:r w:rsidRPr="525B5E18">
        <w:rPr>
          <w:rFonts w:ascii="Arial" w:hAnsi="Arial" w:cs="Arial"/>
        </w:rPr>
        <w:t xml:space="preserve">, B., Seyoum, A., &amp; </w:t>
      </w:r>
      <w:proofErr w:type="spellStart"/>
      <w:r w:rsidRPr="525B5E18">
        <w:rPr>
          <w:rFonts w:ascii="Arial" w:hAnsi="Arial" w:cs="Arial"/>
        </w:rPr>
        <w:t>Gebresenbet</w:t>
      </w:r>
      <w:proofErr w:type="spellEnd"/>
      <w:r w:rsidRPr="525B5E18">
        <w:rPr>
          <w:rFonts w:ascii="Arial" w:hAnsi="Arial" w:cs="Arial"/>
        </w:rPr>
        <w:t xml:space="preserve">, G. (2023). Assessment of the Impact of Industrial Wastewater on the Water Quality of Rivers around the Bole Lemi Industrial Park (BLIP), Ethiopia. </w:t>
      </w:r>
      <w:r w:rsidRPr="525B5E18">
        <w:rPr>
          <w:rFonts w:ascii="Arial" w:hAnsi="Arial" w:cs="Arial"/>
          <w:i/>
          <w:iCs/>
        </w:rPr>
        <w:t>Sustainability</w:t>
      </w:r>
      <w:r w:rsidRPr="525B5E18">
        <w:rPr>
          <w:rFonts w:ascii="Arial" w:hAnsi="Arial" w:cs="Arial"/>
        </w:rPr>
        <w:t xml:space="preserve">, </w:t>
      </w:r>
      <w:r w:rsidRPr="525B5E18">
        <w:rPr>
          <w:rFonts w:ascii="Arial" w:hAnsi="Arial" w:cs="Arial"/>
          <w:i/>
          <w:iCs/>
        </w:rPr>
        <w:t>15</w:t>
      </w:r>
      <w:r w:rsidRPr="525B5E18">
        <w:rPr>
          <w:rFonts w:ascii="Arial" w:hAnsi="Arial" w:cs="Arial"/>
        </w:rPr>
        <w:t>(5), 4290. https://doi.org/10.3390/su15054290</w:t>
      </w:r>
    </w:p>
    <w:p w14:paraId="2A98BEFB" w14:textId="77777777" w:rsidR="008506E6" w:rsidRDefault="4DD5DD0F" w:rsidP="525B5E18">
      <w:pPr>
        <w:spacing w:afterLines="100" w:after="240"/>
        <w:jc w:val="both"/>
        <w:rPr>
          <w:rFonts w:ascii="Arial" w:hAnsi="Arial" w:cs="Arial"/>
        </w:rPr>
      </w:pPr>
      <w:r w:rsidRPr="525B5E18">
        <w:rPr>
          <w:rFonts w:ascii="Arial" w:hAnsi="Arial" w:cs="Arial"/>
        </w:rPr>
        <w:t xml:space="preserve">Pushpalatha, N., Sreeja, V., Karthik, R., &amp; Saravanan, G. (2022). Total dissolved solids and their removal techniques. </w:t>
      </w:r>
      <w:r w:rsidRPr="525B5E18">
        <w:rPr>
          <w:rFonts w:ascii="Arial" w:hAnsi="Arial" w:cs="Arial"/>
          <w:i/>
          <w:iCs/>
        </w:rPr>
        <w:t>International Journal of Environmental Sustainability and Protection</w:t>
      </w:r>
      <w:r w:rsidRPr="525B5E18">
        <w:rPr>
          <w:rFonts w:ascii="Arial" w:hAnsi="Arial" w:cs="Arial"/>
        </w:rPr>
        <w:t xml:space="preserve">, </w:t>
      </w:r>
      <w:r w:rsidRPr="525B5E18">
        <w:rPr>
          <w:rFonts w:ascii="Arial" w:hAnsi="Arial" w:cs="Arial"/>
          <w:i/>
          <w:iCs/>
        </w:rPr>
        <w:t>2</w:t>
      </w:r>
      <w:r w:rsidRPr="525B5E18">
        <w:rPr>
          <w:rFonts w:ascii="Arial" w:hAnsi="Arial" w:cs="Arial"/>
        </w:rPr>
        <w:t>(2), 13–20. https://doi.org/10.35745/ijesp2022v02.02.0002</w:t>
      </w:r>
    </w:p>
    <w:p w14:paraId="40E3614D" w14:textId="77777777" w:rsidR="008506E6" w:rsidRDefault="4DD5DD0F" w:rsidP="525B5E18">
      <w:pPr>
        <w:spacing w:afterLines="100" w:after="240"/>
        <w:jc w:val="both"/>
        <w:rPr>
          <w:rFonts w:ascii="Arial" w:hAnsi="Arial" w:cs="Arial"/>
        </w:rPr>
      </w:pPr>
      <w:r w:rsidRPr="525B5E18">
        <w:rPr>
          <w:rFonts w:ascii="Arial" w:hAnsi="Arial" w:cs="Arial"/>
        </w:rPr>
        <w:t>Labajo-</w:t>
      </w:r>
      <w:proofErr w:type="spellStart"/>
      <w:r w:rsidRPr="525B5E18">
        <w:rPr>
          <w:rFonts w:ascii="Arial" w:hAnsi="Arial" w:cs="Arial"/>
        </w:rPr>
        <w:t>Villantes</w:t>
      </w:r>
      <w:proofErr w:type="spellEnd"/>
      <w:r w:rsidRPr="525B5E18">
        <w:rPr>
          <w:rFonts w:ascii="Arial" w:hAnsi="Arial" w:cs="Arial"/>
        </w:rPr>
        <w:t xml:space="preserve">, Y., &amp; </w:t>
      </w:r>
      <w:proofErr w:type="spellStart"/>
      <w:r w:rsidRPr="525B5E18">
        <w:rPr>
          <w:rFonts w:ascii="Arial" w:hAnsi="Arial" w:cs="Arial"/>
        </w:rPr>
        <w:t>Nuñeza</w:t>
      </w:r>
      <w:proofErr w:type="spellEnd"/>
      <w:r w:rsidRPr="525B5E18">
        <w:rPr>
          <w:rFonts w:ascii="Arial" w:hAnsi="Arial" w:cs="Arial"/>
        </w:rPr>
        <w:t xml:space="preserve">, O. M. (2014). Water quality assessment of Labo and Clarin Rivers in Misamis Occidental, Philippines. </w:t>
      </w:r>
      <w:r w:rsidRPr="525B5E18">
        <w:rPr>
          <w:rFonts w:ascii="Arial" w:hAnsi="Arial" w:cs="Arial"/>
          <w:i/>
          <w:iCs/>
        </w:rPr>
        <w:t>International Journal of Biodiversity and Conservation</w:t>
      </w:r>
      <w:r w:rsidRPr="525B5E18">
        <w:rPr>
          <w:rFonts w:ascii="Arial" w:hAnsi="Arial" w:cs="Arial"/>
        </w:rPr>
        <w:t xml:space="preserve">, </w:t>
      </w:r>
      <w:r w:rsidRPr="525B5E18">
        <w:rPr>
          <w:rFonts w:ascii="Arial" w:hAnsi="Arial" w:cs="Arial"/>
          <w:i/>
          <w:iCs/>
        </w:rPr>
        <w:t>6</w:t>
      </w:r>
      <w:r w:rsidRPr="525B5E18">
        <w:rPr>
          <w:rFonts w:ascii="Arial" w:hAnsi="Arial" w:cs="Arial"/>
        </w:rPr>
        <w:t>(10), 735–742. https://doi.org/10.5897/ijbc2012.018</w:t>
      </w:r>
    </w:p>
    <w:p w14:paraId="6E1890B3" w14:textId="77777777" w:rsidR="008506E6" w:rsidRDefault="7D136BCB" w:rsidP="525B5E18">
      <w:pPr>
        <w:spacing w:afterLines="100" w:after="240"/>
        <w:jc w:val="both"/>
        <w:rPr>
          <w:rFonts w:ascii="Arial" w:hAnsi="Arial" w:cs="Arial"/>
        </w:rPr>
      </w:pPr>
      <w:proofErr w:type="spellStart"/>
      <w:r w:rsidRPr="525B5E18">
        <w:rPr>
          <w:rFonts w:ascii="Arial" w:hAnsi="Arial" w:cs="Arial"/>
        </w:rPr>
        <w:t>Pleto</w:t>
      </w:r>
      <w:proofErr w:type="spellEnd"/>
      <w:r w:rsidRPr="525B5E18">
        <w:rPr>
          <w:rFonts w:ascii="Arial" w:hAnsi="Arial" w:cs="Arial"/>
        </w:rPr>
        <w:t xml:space="preserve">, J. V. R., Migo, V. P., &amp; Arboleda, M. D. M. (2020). Preliminary water and sediment quality assessment of the </w:t>
      </w:r>
      <w:proofErr w:type="spellStart"/>
      <w:r w:rsidRPr="525B5E18">
        <w:rPr>
          <w:rFonts w:ascii="Arial" w:hAnsi="Arial" w:cs="Arial"/>
        </w:rPr>
        <w:t>Meycauayan</w:t>
      </w:r>
      <w:proofErr w:type="spellEnd"/>
      <w:r w:rsidRPr="525B5E18">
        <w:rPr>
          <w:rFonts w:ascii="Arial" w:hAnsi="Arial" w:cs="Arial"/>
        </w:rPr>
        <w:t xml:space="preserve"> River segment of the </w:t>
      </w:r>
      <w:proofErr w:type="spellStart"/>
      <w:r w:rsidRPr="525B5E18">
        <w:rPr>
          <w:rFonts w:ascii="Arial" w:hAnsi="Arial" w:cs="Arial"/>
        </w:rPr>
        <w:t>Marilao</w:t>
      </w:r>
      <w:proofErr w:type="spellEnd"/>
      <w:r w:rsidRPr="525B5E18">
        <w:rPr>
          <w:rFonts w:ascii="Arial" w:hAnsi="Arial" w:cs="Arial"/>
        </w:rPr>
        <w:t>-</w:t>
      </w:r>
      <w:proofErr w:type="spellStart"/>
      <w:r w:rsidRPr="525B5E18">
        <w:rPr>
          <w:rFonts w:ascii="Arial" w:hAnsi="Arial" w:cs="Arial"/>
        </w:rPr>
        <w:t>Meycauayan</w:t>
      </w:r>
      <w:proofErr w:type="spellEnd"/>
      <w:r w:rsidRPr="525B5E18">
        <w:rPr>
          <w:rFonts w:ascii="Arial" w:hAnsi="Arial" w:cs="Arial"/>
        </w:rPr>
        <w:t xml:space="preserve">-Obando River System in Bulacan, the Philippines. </w:t>
      </w:r>
      <w:r w:rsidRPr="525B5E18">
        <w:rPr>
          <w:rFonts w:ascii="Arial" w:hAnsi="Arial" w:cs="Arial"/>
          <w:i/>
          <w:iCs/>
        </w:rPr>
        <w:t>Journal of Health and Pollution</w:t>
      </w:r>
      <w:r w:rsidRPr="525B5E18">
        <w:rPr>
          <w:rFonts w:ascii="Arial" w:hAnsi="Arial" w:cs="Arial"/>
        </w:rPr>
        <w:t xml:space="preserve">, </w:t>
      </w:r>
      <w:r w:rsidRPr="525B5E18">
        <w:rPr>
          <w:rFonts w:ascii="Arial" w:hAnsi="Arial" w:cs="Arial"/>
          <w:i/>
          <w:iCs/>
        </w:rPr>
        <w:t>10</w:t>
      </w:r>
      <w:r w:rsidRPr="525B5E18">
        <w:rPr>
          <w:rFonts w:ascii="Arial" w:hAnsi="Arial" w:cs="Arial"/>
        </w:rPr>
        <w:t>(26). https://doi.org/10.5696/2156-9614-10.26.200609</w:t>
      </w:r>
    </w:p>
    <w:p w14:paraId="3F74190A" w14:textId="77777777" w:rsidR="008506E6" w:rsidRDefault="3436085F" w:rsidP="525B5E18">
      <w:pPr>
        <w:spacing w:afterLines="100" w:after="240"/>
        <w:jc w:val="both"/>
        <w:rPr>
          <w:rFonts w:ascii="Arial" w:hAnsi="Arial" w:cs="Arial"/>
        </w:rPr>
      </w:pPr>
      <w:r w:rsidRPr="525B5E18">
        <w:rPr>
          <w:rFonts w:ascii="Arial" w:hAnsi="Arial" w:cs="Arial"/>
        </w:rPr>
        <w:t xml:space="preserve">Malaki, A., Allaoui, M. E., </w:t>
      </w:r>
      <w:proofErr w:type="spellStart"/>
      <w:r w:rsidRPr="525B5E18">
        <w:rPr>
          <w:rFonts w:ascii="Arial" w:hAnsi="Arial" w:cs="Arial"/>
        </w:rPr>
        <w:t>Bakraoui</w:t>
      </w:r>
      <w:proofErr w:type="spellEnd"/>
      <w:r w:rsidRPr="525B5E18">
        <w:rPr>
          <w:rFonts w:ascii="Arial" w:hAnsi="Arial" w:cs="Arial"/>
        </w:rPr>
        <w:t xml:space="preserve">, H. E., </w:t>
      </w:r>
      <w:proofErr w:type="spellStart"/>
      <w:r w:rsidRPr="525B5E18">
        <w:rPr>
          <w:rFonts w:ascii="Arial" w:hAnsi="Arial" w:cs="Arial"/>
        </w:rPr>
        <w:t>Allalat</w:t>
      </w:r>
      <w:proofErr w:type="spellEnd"/>
      <w:r w:rsidRPr="525B5E18">
        <w:rPr>
          <w:rFonts w:ascii="Arial" w:hAnsi="Arial" w:cs="Arial"/>
        </w:rPr>
        <w:t xml:space="preserve">, F., </w:t>
      </w:r>
      <w:proofErr w:type="spellStart"/>
      <w:r w:rsidRPr="525B5E18">
        <w:rPr>
          <w:rFonts w:ascii="Arial" w:hAnsi="Arial" w:cs="Arial"/>
        </w:rPr>
        <w:t>Mabrouki</w:t>
      </w:r>
      <w:proofErr w:type="spellEnd"/>
      <w:r w:rsidRPr="525B5E18">
        <w:rPr>
          <w:rFonts w:ascii="Arial" w:hAnsi="Arial" w:cs="Arial"/>
        </w:rPr>
        <w:t xml:space="preserve">, J., &amp; Slaoui, M. (2024). Spatial evolution of physicochemical and bacteriological water quality at the Mouth of Oued </w:t>
      </w:r>
      <w:proofErr w:type="spellStart"/>
      <w:r w:rsidRPr="525B5E18">
        <w:rPr>
          <w:rFonts w:ascii="Arial" w:hAnsi="Arial" w:cs="Arial"/>
        </w:rPr>
        <w:t>Sebou</w:t>
      </w:r>
      <w:proofErr w:type="spellEnd"/>
      <w:r w:rsidRPr="525B5E18">
        <w:rPr>
          <w:rFonts w:ascii="Arial" w:hAnsi="Arial" w:cs="Arial"/>
        </w:rPr>
        <w:t xml:space="preserve">, Kenitra Province, Morocco. </w:t>
      </w:r>
      <w:r w:rsidRPr="525B5E18">
        <w:rPr>
          <w:rFonts w:ascii="Arial" w:hAnsi="Arial" w:cs="Arial"/>
          <w:i/>
          <w:iCs/>
        </w:rPr>
        <w:t>International Journal of Chemical and Biochemical Sciences</w:t>
      </w:r>
      <w:r w:rsidRPr="525B5E18">
        <w:rPr>
          <w:rFonts w:ascii="Arial" w:hAnsi="Arial" w:cs="Arial"/>
        </w:rPr>
        <w:t xml:space="preserve">, </w:t>
      </w:r>
      <w:r w:rsidRPr="525B5E18">
        <w:rPr>
          <w:rFonts w:ascii="Arial" w:hAnsi="Arial" w:cs="Arial"/>
          <w:i/>
          <w:iCs/>
        </w:rPr>
        <w:t>25</w:t>
      </w:r>
      <w:r w:rsidRPr="525B5E18">
        <w:rPr>
          <w:rFonts w:ascii="Arial" w:hAnsi="Arial" w:cs="Arial"/>
        </w:rPr>
        <w:t>(19). https://doi.org/10.62877/47-ijcbs-24-25-19-47</w:t>
      </w:r>
    </w:p>
    <w:p w14:paraId="63F171C4" w14:textId="77777777" w:rsidR="008506E6" w:rsidRDefault="3436085F" w:rsidP="525B5E18">
      <w:pPr>
        <w:spacing w:afterLines="100" w:after="240"/>
        <w:jc w:val="both"/>
        <w:rPr>
          <w:rFonts w:ascii="Arial" w:hAnsi="Arial" w:cs="Arial"/>
        </w:rPr>
      </w:pPr>
      <w:r w:rsidRPr="525B5E18">
        <w:rPr>
          <w:rFonts w:ascii="Arial" w:hAnsi="Arial" w:cs="Arial"/>
        </w:rPr>
        <w:lastRenderedPageBreak/>
        <w:t xml:space="preserve">Jayasekara, J. M. a. U., </w:t>
      </w:r>
      <w:proofErr w:type="spellStart"/>
      <w:r w:rsidRPr="525B5E18">
        <w:rPr>
          <w:rFonts w:ascii="Arial" w:hAnsi="Arial" w:cs="Arial"/>
        </w:rPr>
        <w:t>Mowjood</w:t>
      </w:r>
      <w:proofErr w:type="spellEnd"/>
      <w:r w:rsidRPr="525B5E18">
        <w:rPr>
          <w:rFonts w:ascii="Arial" w:hAnsi="Arial" w:cs="Arial"/>
        </w:rPr>
        <w:t xml:space="preserve">, M. I. M., &amp; </w:t>
      </w:r>
      <w:proofErr w:type="spellStart"/>
      <w:r w:rsidRPr="525B5E18">
        <w:rPr>
          <w:rFonts w:ascii="Arial" w:hAnsi="Arial" w:cs="Arial"/>
        </w:rPr>
        <w:t>Dayawansa</w:t>
      </w:r>
      <w:proofErr w:type="spellEnd"/>
      <w:r w:rsidRPr="525B5E18">
        <w:rPr>
          <w:rFonts w:ascii="Arial" w:hAnsi="Arial" w:cs="Arial"/>
        </w:rPr>
        <w:t xml:space="preserve">, N. D. K. (2024). Analysis of spatial and temporal variation of water quality: A case study of </w:t>
      </w:r>
      <w:proofErr w:type="spellStart"/>
      <w:r w:rsidRPr="525B5E18">
        <w:rPr>
          <w:rFonts w:ascii="Arial" w:hAnsi="Arial" w:cs="Arial"/>
        </w:rPr>
        <w:t>Kotagala</w:t>
      </w:r>
      <w:proofErr w:type="spellEnd"/>
      <w:r w:rsidRPr="525B5E18">
        <w:rPr>
          <w:rFonts w:ascii="Arial" w:hAnsi="Arial" w:cs="Arial"/>
        </w:rPr>
        <w:t xml:space="preserve"> Wetland, Nuwara Eliya, Sri Lanka. </w:t>
      </w:r>
      <w:r w:rsidRPr="525B5E18">
        <w:rPr>
          <w:rFonts w:ascii="Arial" w:hAnsi="Arial" w:cs="Arial"/>
          <w:i/>
          <w:iCs/>
        </w:rPr>
        <w:t>Tropical Agricultural Research</w:t>
      </w:r>
      <w:r w:rsidRPr="525B5E18">
        <w:rPr>
          <w:rFonts w:ascii="Arial" w:hAnsi="Arial" w:cs="Arial"/>
        </w:rPr>
        <w:t xml:space="preserve">, </w:t>
      </w:r>
      <w:r w:rsidRPr="525B5E18">
        <w:rPr>
          <w:rFonts w:ascii="Arial" w:hAnsi="Arial" w:cs="Arial"/>
          <w:i/>
          <w:iCs/>
        </w:rPr>
        <w:t>35</w:t>
      </w:r>
      <w:r w:rsidRPr="525B5E18">
        <w:rPr>
          <w:rFonts w:ascii="Arial" w:hAnsi="Arial" w:cs="Arial"/>
        </w:rPr>
        <w:t>(4), 343–354. https://doi.org/10.4038/tar.v35i4.8847</w:t>
      </w:r>
    </w:p>
    <w:p w14:paraId="40A663F0" w14:textId="77777777" w:rsidR="008506E6" w:rsidRDefault="3436085F" w:rsidP="525B5E18">
      <w:pPr>
        <w:spacing w:afterLines="100" w:after="240"/>
        <w:jc w:val="both"/>
        <w:rPr>
          <w:rFonts w:ascii="Arial" w:hAnsi="Arial" w:cs="Arial"/>
        </w:rPr>
      </w:pPr>
      <w:proofErr w:type="spellStart"/>
      <w:r w:rsidRPr="525B5E18">
        <w:rPr>
          <w:rFonts w:ascii="Arial" w:hAnsi="Arial" w:cs="Arial"/>
        </w:rPr>
        <w:t>Awogbami</w:t>
      </w:r>
      <w:proofErr w:type="spellEnd"/>
      <w:r w:rsidRPr="525B5E18">
        <w:rPr>
          <w:rFonts w:ascii="Arial" w:hAnsi="Arial" w:cs="Arial"/>
        </w:rPr>
        <w:t xml:space="preserve">, S. O., Solomon, O. A., Sawyerr, H. O., &amp; Raimi, M. O. (2023). Comparative assessment of seasonal variations in the quality of surface water and its associated health hazards in gold mining areas of Osun State, South-West Nigeria. </w:t>
      </w:r>
      <w:r w:rsidRPr="525B5E18">
        <w:rPr>
          <w:rFonts w:ascii="Arial" w:hAnsi="Arial" w:cs="Arial"/>
          <w:i/>
          <w:iCs/>
        </w:rPr>
        <w:t>Advances in Environmental and Engineering Research</w:t>
      </w:r>
      <w:r w:rsidRPr="525B5E18">
        <w:rPr>
          <w:rFonts w:ascii="Arial" w:hAnsi="Arial" w:cs="Arial"/>
        </w:rPr>
        <w:t xml:space="preserve">, </w:t>
      </w:r>
      <w:r w:rsidRPr="525B5E18">
        <w:rPr>
          <w:rFonts w:ascii="Arial" w:hAnsi="Arial" w:cs="Arial"/>
          <w:i/>
          <w:iCs/>
        </w:rPr>
        <w:t>04</w:t>
      </w:r>
      <w:r w:rsidRPr="525B5E18">
        <w:rPr>
          <w:rFonts w:ascii="Arial" w:hAnsi="Arial" w:cs="Arial"/>
        </w:rPr>
        <w:t>(01), 1–61. https://doi.org/10.21926/aeer.2301011</w:t>
      </w:r>
    </w:p>
    <w:p w14:paraId="4A54D211" w14:textId="77777777" w:rsidR="008506E6" w:rsidRDefault="3436085F" w:rsidP="525B5E18">
      <w:pPr>
        <w:spacing w:afterLines="100" w:after="240"/>
        <w:jc w:val="both"/>
        <w:rPr>
          <w:rFonts w:ascii="Arial" w:hAnsi="Arial" w:cs="Arial"/>
        </w:rPr>
      </w:pPr>
      <w:r w:rsidRPr="525B5E18">
        <w:rPr>
          <w:rFonts w:ascii="Arial" w:hAnsi="Arial" w:cs="Arial"/>
        </w:rPr>
        <w:t xml:space="preserve">Sanchez, J. M. P., Picardal, M. T., Libres, M. T., Pineda, H. A., Paloma, M. L. B., </w:t>
      </w:r>
      <w:proofErr w:type="spellStart"/>
      <w:r w:rsidRPr="525B5E18">
        <w:rPr>
          <w:rFonts w:ascii="Arial" w:hAnsi="Arial" w:cs="Arial"/>
        </w:rPr>
        <w:t>Librinca</w:t>
      </w:r>
      <w:proofErr w:type="spellEnd"/>
      <w:r w:rsidRPr="525B5E18">
        <w:rPr>
          <w:rFonts w:ascii="Arial" w:hAnsi="Arial" w:cs="Arial"/>
        </w:rPr>
        <w:t xml:space="preserve">, J. M., </w:t>
      </w:r>
      <w:proofErr w:type="spellStart"/>
      <w:r w:rsidRPr="525B5E18">
        <w:rPr>
          <w:rFonts w:ascii="Arial" w:hAnsi="Arial" w:cs="Arial"/>
        </w:rPr>
        <w:t>Caturza</w:t>
      </w:r>
      <w:proofErr w:type="spellEnd"/>
      <w:r w:rsidRPr="525B5E18">
        <w:rPr>
          <w:rFonts w:ascii="Arial" w:hAnsi="Arial" w:cs="Arial"/>
        </w:rPr>
        <w:t xml:space="preserve">, R. R. A., </w:t>
      </w:r>
      <w:proofErr w:type="spellStart"/>
      <w:r w:rsidRPr="525B5E18">
        <w:rPr>
          <w:rFonts w:ascii="Arial" w:hAnsi="Arial" w:cs="Arial"/>
        </w:rPr>
        <w:t>Ramayla</w:t>
      </w:r>
      <w:proofErr w:type="spellEnd"/>
      <w:r w:rsidRPr="525B5E18">
        <w:rPr>
          <w:rFonts w:ascii="Arial" w:hAnsi="Arial" w:cs="Arial"/>
        </w:rPr>
        <w:t xml:space="preserve">, S. P., Armada, R. L., &amp; Picardal, J. P. (2020). Characterization of a river at risk: the case of Sapangdaku River in Toledo City, Cebu, Philippines. </w:t>
      </w:r>
      <w:r w:rsidRPr="525B5E18">
        <w:rPr>
          <w:rFonts w:ascii="Arial" w:hAnsi="Arial" w:cs="Arial"/>
          <w:i/>
          <w:iCs/>
        </w:rPr>
        <w:t>AIMS Environmental Science</w:t>
      </w:r>
      <w:r w:rsidRPr="525B5E18">
        <w:rPr>
          <w:rFonts w:ascii="Arial" w:hAnsi="Arial" w:cs="Arial"/>
        </w:rPr>
        <w:t xml:space="preserve">, </w:t>
      </w:r>
      <w:r w:rsidRPr="525B5E18">
        <w:rPr>
          <w:rFonts w:ascii="Arial" w:hAnsi="Arial" w:cs="Arial"/>
          <w:i/>
          <w:iCs/>
        </w:rPr>
        <w:t>7</w:t>
      </w:r>
      <w:r w:rsidRPr="525B5E18">
        <w:rPr>
          <w:rFonts w:ascii="Arial" w:hAnsi="Arial" w:cs="Arial"/>
        </w:rPr>
        <w:t>(6), 559–574. https://doi.org/10.3934/environsci.2020035</w:t>
      </w:r>
    </w:p>
    <w:p w14:paraId="330BB4E3" w14:textId="77777777" w:rsidR="008506E6" w:rsidRDefault="3436085F" w:rsidP="525B5E18">
      <w:pPr>
        <w:spacing w:afterLines="100" w:after="240"/>
        <w:jc w:val="both"/>
        <w:rPr>
          <w:rFonts w:ascii="Arial" w:hAnsi="Arial" w:cs="Arial"/>
        </w:rPr>
      </w:pPr>
      <w:proofErr w:type="spellStart"/>
      <w:r w:rsidRPr="525B5E18">
        <w:rPr>
          <w:rFonts w:ascii="Arial" w:hAnsi="Arial" w:cs="Arial"/>
        </w:rPr>
        <w:t>Alimen</w:t>
      </w:r>
      <w:proofErr w:type="spellEnd"/>
      <w:r w:rsidRPr="525B5E18">
        <w:rPr>
          <w:rFonts w:ascii="Arial" w:hAnsi="Arial" w:cs="Arial"/>
        </w:rPr>
        <w:t xml:space="preserve">, R. A., Tarantan, Z. I., &amp; </w:t>
      </w:r>
      <w:proofErr w:type="spellStart"/>
      <w:r w:rsidRPr="525B5E18">
        <w:rPr>
          <w:rFonts w:ascii="Arial" w:hAnsi="Arial" w:cs="Arial"/>
        </w:rPr>
        <w:t>Nonesco</w:t>
      </w:r>
      <w:proofErr w:type="spellEnd"/>
      <w:r w:rsidRPr="525B5E18">
        <w:rPr>
          <w:rFonts w:ascii="Arial" w:hAnsi="Arial" w:cs="Arial"/>
        </w:rPr>
        <w:t xml:space="preserve">, A. E. (2019). Determining the water quality of </w:t>
      </w:r>
      <w:proofErr w:type="spellStart"/>
      <w:r w:rsidRPr="525B5E18">
        <w:rPr>
          <w:rFonts w:ascii="Arial" w:hAnsi="Arial" w:cs="Arial"/>
        </w:rPr>
        <w:t>Egaña</w:t>
      </w:r>
      <w:proofErr w:type="spellEnd"/>
      <w:r w:rsidRPr="525B5E18">
        <w:rPr>
          <w:rFonts w:ascii="Arial" w:hAnsi="Arial" w:cs="Arial"/>
        </w:rPr>
        <w:t xml:space="preserve"> River at the province of Antique, Philippines. </w:t>
      </w:r>
      <w:r w:rsidRPr="525B5E18">
        <w:rPr>
          <w:rFonts w:ascii="Arial" w:hAnsi="Arial" w:cs="Arial"/>
          <w:i/>
          <w:iCs/>
        </w:rPr>
        <w:t>IAMURE International Journal of Ecology and Conservation</w:t>
      </w:r>
      <w:r w:rsidRPr="525B5E18">
        <w:rPr>
          <w:rFonts w:ascii="Arial" w:hAnsi="Arial" w:cs="Arial"/>
        </w:rPr>
        <w:t xml:space="preserve">, </w:t>
      </w:r>
      <w:r w:rsidRPr="525B5E18">
        <w:rPr>
          <w:rFonts w:ascii="Arial" w:hAnsi="Arial" w:cs="Arial"/>
          <w:i/>
          <w:iCs/>
        </w:rPr>
        <w:t>28</w:t>
      </w:r>
      <w:r w:rsidRPr="525B5E18">
        <w:rPr>
          <w:rFonts w:ascii="Arial" w:hAnsi="Arial" w:cs="Arial"/>
        </w:rPr>
        <w:t>(1), 1. https://ejournals.ph/article.php?id=14757</w:t>
      </w:r>
    </w:p>
    <w:p w14:paraId="632732B8" w14:textId="77777777" w:rsidR="008506E6" w:rsidRDefault="3436085F" w:rsidP="525B5E18">
      <w:pPr>
        <w:spacing w:afterLines="100" w:after="240"/>
        <w:jc w:val="both"/>
        <w:rPr>
          <w:rFonts w:ascii="Arial" w:hAnsi="Arial" w:cs="Arial"/>
        </w:rPr>
      </w:pPr>
      <w:r w:rsidRPr="525B5E18">
        <w:rPr>
          <w:rFonts w:ascii="Arial" w:hAnsi="Arial" w:cs="Arial"/>
        </w:rPr>
        <w:t xml:space="preserve">Effendi, H., </w:t>
      </w:r>
      <w:proofErr w:type="spellStart"/>
      <w:r w:rsidRPr="525B5E18">
        <w:rPr>
          <w:rFonts w:ascii="Arial" w:hAnsi="Arial" w:cs="Arial"/>
        </w:rPr>
        <w:t>Romanto</w:t>
      </w:r>
      <w:proofErr w:type="spellEnd"/>
      <w:r w:rsidRPr="525B5E18">
        <w:rPr>
          <w:rFonts w:ascii="Arial" w:hAnsi="Arial" w:cs="Arial"/>
        </w:rPr>
        <w:t xml:space="preserve">, N., &amp; </w:t>
      </w:r>
      <w:proofErr w:type="spellStart"/>
      <w:r w:rsidRPr="525B5E18">
        <w:rPr>
          <w:rFonts w:ascii="Arial" w:hAnsi="Arial" w:cs="Arial"/>
        </w:rPr>
        <w:t>Wardiatno</w:t>
      </w:r>
      <w:proofErr w:type="spellEnd"/>
      <w:r w:rsidRPr="525B5E18">
        <w:rPr>
          <w:rFonts w:ascii="Arial" w:hAnsi="Arial" w:cs="Arial"/>
        </w:rPr>
        <w:t xml:space="preserve">, Y. (2015). Water quality status of </w:t>
      </w:r>
      <w:proofErr w:type="spellStart"/>
      <w:r w:rsidRPr="525B5E18">
        <w:rPr>
          <w:rFonts w:ascii="Arial" w:hAnsi="Arial" w:cs="Arial"/>
        </w:rPr>
        <w:t>Ciambulawung</w:t>
      </w:r>
      <w:proofErr w:type="spellEnd"/>
      <w:r w:rsidRPr="525B5E18">
        <w:rPr>
          <w:rFonts w:ascii="Arial" w:hAnsi="Arial" w:cs="Arial"/>
        </w:rPr>
        <w:t xml:space="preserve"> River, Banten Province, based on Pollution Index and NSF-WQI. </w:t>
      </w:r>
      <w:r w:rsidRPr="525B5E18">
        <w:rPr>
          <w:rFonts w:ascii="Arial" w:hAnsi="Arial" w:cs="Arial"/>
          <w:i/>
          <w:iCs/>
        </w:rPr>
        <w:t>Procedia Environmental Sciences</w:t>
      </w:r>
      <w:r w:rsidRPr="525B5E18">
        <w:rPr>
          <w:rFonts w:ascii="Arial" w:hAnsi="Arial" w:cs="Arial"/>
        </w:rPr>
        <w:t xml:space="preserve">, </w:t>
      </w:r>
      <w:r w:rsidRPr="525B5E18">
        <w:rPr>
          <w:rFonts w:ascii="Arial" w:hAnsi="Arial" w:cs="Arial"/>
          <w:i/>
          <w:iCs/>
        </w:rPr>
        <w:t>24</w:t>
      </w:r>
      <w:r w:rsidRPr="525B5E18">
        <w:rPr>
          <w:rFonts w:ascii="Arial" w:hAnsi="Arial" w:cs="Arial"/>
        </w:rPr>
        <w:t>, 228–237. https://doi.org/10.1016/j.proenv.2015.03.030</w:t>
      </w:r>
    </w:p>
    <w:p w14:paraId="71D196E8" w14:textId="77777777" w:rsidR="008506E6" w:rsidRDefault="3436085F" w:rsidP="525B5E18">
      <w:pPr>
        <w:spacing w:afterLines="100" w:after="240"/>
        <w:jc w:val="both"/>
        <w:rPr>
          <w:rFonts w:ascii="Arial" w:hAnsi="Arial" w:cs="Arial"/>
        </w:rPr>
      </w:pPr>
      <w:r w:rsidRPr="525B5E18">
        <w:rPr>
          <w:rFonts w:ascii="Arial" w:hAnsi="Arial" w:cs="Arial"/>
        </w:rPr>
        <w:t xml:space="preserve">Auta, T., Alexander, A., &amp; </w:t>
      </w:r>
      <w:proofErr w:type="spellStart"/>
      <w:r w:rsidRPr="525B5E18">
        <w:rPr>
          <w:rFonts w:ascii="Arial" w:hAnsi="Arial" w:cs="Arial"/>
        </w:rPr>
        <w:t>Bichi</w:t>
      </w:r>
      <w:proofErr w:type="spellEnd"/>
      <w:r w:rsidRPr="525B5E18">
        <w:rPr>
          <w:rFonts w:ascii="Arial" w:hAnsi="Arial" w:cs="Arial"/>
        </w:rPr>
        <w:t xml:space="preserve">, A. H. (2023). Wet season water quality and zooplanktons community of </w:t>
      </w:r>
      <w:proofErr w:type="spellStart"/>
      <w:r w:rsidRPr="525B5E18">
        <w:rPr>
          <w:rFonts w:ascii="Arial" w:hAnsi="Arial" w:cs="Arial"/>
        </w:rPr>
        <w:t>Jibia</w:t>
      </w:r>
      <w:proofErr w:type="spellEnd"/>
      <w:r w:rsidRPr="525B5E18">
        <w:rPr>
          <w:rFonts w:ascii="Arial" w:hAnsi="Arial" w:cs="Arial"/>
        </w:rPr>
        <w:t xml:space="preserve"> Lake, Katsina State, Nigeria. </w:t>
      </w:r>
      <w:r w:rsidRPr="525B5E18">
        <w:rPr>
          <w:rFonts w:ascii="Arial" w:hAnsi="Arial" w:cs="Arial"/>
          <w:i/>
          <w:iCs/>
        </w:rPr>
        <w:t>Asian Journal of Biological Sciences</w:t>
      </w:r>
      <w:r w:rsidRPr="525B5E18">
        <w:rPr>
          <w:rFonts w:ascii="Arial" w:hAnsi="Arial" w:cs="Arial"/>
        </w:rPr>
        <w:t xml:space="preserve">, </w:t>
      </w:r>
      <w:r w:rsidRPr="525B5E18">
        <w:rPr>
          <w:rFonts w:ascii="Arial" w:hAnsi="Arial" w:cs="Arial"/>
          <w:i/>
          <w:iCs/>
        </w:rPr>
        <w:t>16</w:t>
      </w:r>
      <w:r w:rsidRPr="525B5E18">
        <w:rPr>
          <w:rFonts w:ascii="Arial" w:hAnsi="Arial" w:cs="Arial"/>
        </w:rPr>
        <w:t>(2), 175–186. https://doi.org/10.3923/ajbs.2023.175.186</w:t>
      </w:r>
    </w:p>
    <w:p w14:paraId="109728DC" w14:textId="77777777" w:rsidR="008506E6" w:rsidRDefault="3436085F" w:rsidP="525B5E18">
      <w:pPr>
        <w:spacing w:afterLines="100" w:after="240"/>
        <w:jc w:val="both"/>
        <w:rPr>
          <w:rFonts w:ascii="Arial" w:hAnsi="Arial" w:cs="Arial"/>
        </w:rPr>
      </w:pPr>
      <w:r w:rsidRPr="525B5E18">
        <w:rPr>
          <w:rFonts w:ascii="Arial" w:hAnsi="Arial" w:cs="Arial"/>
        </w:rPr>
        <w:t xml:space="preserve">U.S. Geological Survey. (2019, October 22). </w:t>
      </w:r>
      <w:r w:rsidRPr="525B5E18">
        <w:rPr>
          <w:rFonts w:ascii="Arial" w:hAnsi="Arial" w:cs="Arial"/>
          <w:i/>
          <w:iCs/>
        </w:rPr>
        <w:t>Dissolved oxygen and water.</w:t>
      </w:r>
      <w:hyperlink r:id="rId17">
        <w:r w:rsidRPr="525B5E18">
          <w:rPr>
            <w:rFonts w:ascii="Arial" w:hAnsi="Arial" w:cs="Arial"/>
          </w:rPr>
          <w:t xml:space="preserve"> https://www.usgs.gov/special-topics/water-science-school/science/dissolved-oxygen-and-water</w:t>
        </w:r>
      </w:hyperlink>
    </w:p>
    <w:p w14:paraId="12074D07" w14:textId="77777777" w:rsidR="008506E6" w:rsidRDefault="3436085F" w:rsidP="525B5E18">
      <w:pPr>
        <w:spacing w:afterLines="100" w:after="240"/>
        <w:jc w:val="both"/>
        <w:rPr>
          <w:rFonts w:ascii="Arial" w:hAnsi="Arial" w:cs="Arial"/>
        </w:rPr>
      </w:pPr>
      <w:r w:rsidRPr="525B5E18">
        <w:rPr>
          <w:rFonts w:ascii="Arial" w:hAnsi="Arial" w:cs="Arial"/>
        </w:rPr>
        <w:t xml:space="preserve">Guo, X., Song, G., Li, Y., Zhao, L., &amp; Wang, J. (2022). Switch of bacteria community under oxygen depletion in sediment of Bohai Sea. </w:t>
      </w:r>
      <w:r w:rsidRPr="525B5E18">
        <w:rPr>
          <w:rFonts w:ascii="Arial" w:hAnsi="Arial" w:cs="Arial"/>
          <w:i/>
          <w:iCs/>
        </w:rPr>
        <w:t>Frontiers in Marine Science</w:t>
      </w:r>
      <w:r w:rsidRPr="525B5E18">
        <w:rPr>
          <w:rFonts w:ascii="Arial" w:hAnsi="Arial" w:cs="Arial"/>
        </w:rPr>
        <w:t xml:space="preserve">, </w:t>
      </w:r>
      <w:r w:rsidRPr="525B5E18">
        <w:rPr>
          <w:rFonts w:ascii="Arial" w:hAnsi="Arial" w:cs="Arial"/>
          <w:i/>
          <w:iCs/>
        </w:rPr>
        <w:t>9</w:t>
      </w:r>
      <w:r w:rsidRPr="525B5E18">
        <w:rPr>
          <w:rFonts w:ascii="Arial" w:hAnsi="Arial" w:cs="Arial"/>
        </w:rPr>
        <w:t>. https://doi.org/10.3389/fmars.2022.833513</w:t>
      </w:r>
    </w:p>
    <w:p w14:paraId="3D22B57F" w14:textId="77777777" w:rsidR="008506E6" w:rsidRDefault="3436085F" w:rsidP="525B5E18">
      <w:pPr>
        <w:spacing w:afterLines="100" w:after="240"/>
        <w:jc w:val="both"/>
        <w:rPr>
          <w:rFonts w:ascii="Arial" w:hAnsi="Arial" w:cs="Arial"/>
        </w:rPr>
      </w:pPr>
      <w:r w:rsidRPr="525B5E18">
        <w:rPr>
          <w:rFonts w:ascii="Arial" w:hAnsi="Arial" w:cs="Arial"/>
        </w:rPr>
        <w:t xml:space="preserve">Rocha, P. a. C., Santos, V. O., Van </w:t>
      </w:r>
      <w:proofErr w:type="spellStart"/>
      <w:r w:rsidRPr="525B5E18">
        <w:rPr>
          <w:rFonts w:ascii="Arial" w:hAnsi="Arial" w:cs="Arial"/>
        </w:rPr>
        <w:t>Griensven</w:t>
      </w:r>
      <w:proofErr w:type="spellEnd"/>
      <w:r w:rsidRPr="525B5E18">
        <w:rPr>
          <w:rFonts w:ascii="Arial" w:hAnsi="Arial" w:cs="Arial"/>
        </w:rPr>
        <w:t xml:space="preserve"> </w:t>
      </w:r>
      <w:proofErr w:type="spellStart"/>
      <w:r w:rsidRPr="525B5E18">
        <w:rPr>
          <w:rFonts w:ascii="Arial" w:hAnsi="Arial" w:cs="Arial"/>
        </w:rPr>
        <w:t>Thé</w:t>
      </w:r>
      <w:proofErr w:type="spellEnd"/>
      <w:r w:rsidRPr="525B5E18">
        <w:rPr>
          <w:rFonts w:ascii="Arial" w:hAnsi="Arial" w:cs="Arial"/>
        </w:rPr>
        <w:t xml:space="preserve">, J., &amp; Gharabaghi, B. (2023). New Graph-Based and Transformer Deep Learning Models for river dissolved oxygen Forecasting. </w:t>
      </w:r>
      <w:r w:rsidRPr="525B5E18">
        <w:rPr>
          <w:rFonts w:ascii="Arial" w:hAnsi="Arial" w:cs="Arial"/>
          <w:i/>
          <w:iCs/>
        </w:rPr>
        <w:t>Environments</w:t>
      </w:r>
      <w:r w:rsidRPr="525B5E18">
        <w:rPr>
          <w:rFonts w:ascii="Arial" w:hAnsi="Arial" w:cs="Arial"/>
        </w:rPr>
        <w:t xml:space="preserve">, </w:t>
      </w:r>
      <w:r w:rsidRPr="525B5E18">
        <w:rPr>
          <w:rFonts w:ascii="Arial" w:hAnsi="Arial" w:cs="Arial"/>
          <w:i/>
          <w:iCs/>
        </w:rPr>
        <w:t>10</w:t>
      </w:r>
      <w:r w:rsidRPr="525B5E18">
        <w:rPr>
          <w:rFonts w:ascii="Arial" w:hAnsi="Arial" w:cs="Arial"/>
        </w:rPr>
        <w:t>(12), 217. https://doi.org/10.3390/environments10120217</w:t>
      </w:r>
    </w:p>
    <w:p w14:paraId="7799AC90" w14:textId="77777777" w:rsidR="008506E6" w:rsidRDefault="3436085F" w:rsidP="525B5E18">
      <w:pPr>
        <w:spacing w:afterLines="100" w:after="240"/>
        <w:jc w:val="both"/>
        <w:rPr>
          <w:rFonts w:ascii="Arial" w:hAnsi="Arial" w:cs="Arial"/>
        </w:rPr>
      </w:pPr>
      <w:proofErr w:type="spellStart"/>
      <w:r w:rsidRPr="525B5E18">
        <w:rPr>
          <w:rFonts w:ascii="Arial" w:hAnsi="Arial" w:cs="Arial"/>
        </w:rPr>
        <w:t>Alimen</w:t>
      </w:r>
      <w:proofErr w:type="spellEnd"/>
      <w:r w:rsidRPr="525B5E18">
        <w:rPr>
          <w:rFonts w:ascii="Arial" w:hAnsi="Arial" w:cs="Arial"/>
        </w:rPr>
        <w:t xml:space="preserve">, R. A., Tarantan, Z. I., &amp; </w:t>
      </w:r>
      <w:proofErr w:type="spellStart"/>
      <w:r w:rsidRPr="525B5E18">
        <w:rPr>
          <w:rFonts w:ascii="Arial" w:hAnsi="Arial" w:cs="Arial"/>
        </w:rPr>
        <w:t>Nonesco</w:t>
      </w:r>
      <w:proofErr w:type="spellEnd"/>
      <w:r w:rsidRPr="525B5E18">
        <w:rPr>
          <w:rFonts w:ascii="Arial" w:hAnsi="Arial" w:cs="Arial"/>
        </w:rPr>
        <w:t xml:space="preserve">, A. E. (2019). Determining the water quality of </w:t>
      </w:r>
      <w:proofErr w:type="spellStart"/>
      <w:r w:rsidRPr="525B5E18">
        <w:rPr>
          <w:rFonts w:ascii="Arial" w:hAnsi="Arial" w:cs="Arial"/>
        </w:rPr>
        <w:t>Egaña</w:t>
      </w:r>
      <w:proofErr w:type="spellEnd"/>
      <w:r w:rsidRPr="525B5E18">
        <w:rPr>
          <w:rFonts w:ascii="Arial" w:hAnsi="Arial" w:cs="Arial"/>
        </w:rPr>
        <w:t xml:space="preserve"> River at the province of Antique, Philippines. </w:t>
      </w:r>
      <w:r w:rsidRPr="525B5E18">
        <w:rPr>
          <w:rFonts w:ascii="Arial" w:hAnsi="Arial" w:cs="Arial"/>
          <w:i/>
          <w:iCs/>
        </w:rPr>
        <w:t>IAMURE International Journal of Ecology and Conservation</w:t>
      </w:r>
      <w:r w:rsidRPr="525B5E18">
        <w:rPr>
          <w:rFonts w:ascii="Arial" w:hAnsi="Arial" w:cs="Arial"/>
        </w:rPr>
        <w:t xml:space="preserve">, </w:t>
      </w:r>
      <w:r w:rsidRPr="525B5E18">
        <w:rPr>
          <w:rFonts w:ascii="Arial" w:hAnsi="Arial" w:cs="Arial"/>
          <w:i/>
          <w:iCs/>
        </w:rPr>
        <w:t>28</w:t>
      </w:r>
      <w:r w:rsidRPr="525B5E18">
        <w:rPr>
          <w:rFonts w:ascii="Arial" w:hAnsi="Arial" w:cs="Arial"/>
        </w:rPr>
        <w:t>(1), 1. https://ejournals.ph/article.php?id=14757</w:t>
      </w:r>
    </w:p>
    <w:p w14:paraId="5D7E11F0" w14:textId="77777777" w:rsidR="008506E6" w:rsidRDefault="3436085F" w:rsidP="525B5E18">
      <w:pPr>
        <w:spacing w:afterLines="100" w:after="240"/>
        <w:jc w:val="both"/>
        <w:rPr>
          <w:rFonts w:ascii="Arial" w:hAnsi="Arial" w:cs="Arial"/>
        </w:rPr>
      </w:pPr>
      <w:proofErr w:type="spellStart"/>
      <w:r w:rsidRPr="525B5E18">
        <w:rPr>
          <w:rFonts w:ascii="Arial" w:hAnsi="Arial" w:cs="Arial"/>
        </w:rPr>
        <w:t>Bertomen</w:t>
      </w:r>
      <w:proofErr w:type="spellEnd"/>
      <w:r w:rsidRPr="525B5E18">
        <w:rPr>
          <w:rFonts w:ascii="Arial" w:hAnsi="Arial" w:cs="Arial"/>
        </w:rPr>
        <w:t xml:space="preserve">, W. K. S., Roa, E. C., Tubio, E. G., Vedra, S. A., &amp; Dela Peña, G. D. (2017). Water quality of </w:t>
      </w:r>
      <w:proofErr w:type="spellStart"/>
      <w:r w:rsidRPr="525B5E18">
        <w:rPr>
          <w:rFonts w:ascii="Arial" w:hAnsi="Arial" w:cs="Arial"/>
        </w:rPr>
        <w:t>Sawaga</w:t>
      </w:r>
      <w:proofErr w:type="spellEnd"/>
      <w:r w:rsidRPr="525B5E18">
        <w:rPr>
          <w:rFonts w:ascii="Arial" w:hAnsi="Arial" w:cs="Arial"/>
        </w:rPr>
        <w:t xml:space="preserve"> River, Malaybalay City, Bukidnon, Philippines. </w:t>
      </w:r>
      <w:r w:rsidRPr="525B5E18">
        <w:rPr>
          <w:rFonts w:ascii="Arial" w:hAnsi="Arial" w:cs="Arial"/>
          <w:i/>
          <w:iCs/>
        </w:rPr>
        <w:t>International Journal of Science and Research (IJSR)</w:t>
      </w:r>
      <w:r w:rsidRPr="525B5E18">
        <w:rPr>
          <w:rFonts w:ascii="Arial" w:hAnsi="Arial" w:cs="Arial"/>
        </w:rPr>
        <w:t xml:space="preserve">, </w:t>
      </w:r>
      <w:r w:rsidRPr="525B5E18">
        <w:rPr>
          <w:rFonts w:ascii="Arial" w:hAnsi="Arial" w:cs="Arial"/>
          <w:i/>
          <w:iCs/>
        </w:rPr>
        <w:t>6</w:t>
      </w:r>
      <w:r w:rsidRPr="525B5E18">
        <w:rPr>
          <w:rFonts w:ascii="Arial" w:hAnsi="Arial" w:cs="Arial"/>
        </w:rPr>
        <w:t>(7), 1090–1095. https://doi.org/10.21275/art20175318</w:t>
      </w:r>
    </w:p>
    <w:p w14:paraId="48830751" w14:textId="77777777" w:rsidR="008506E6" w:rsidRDefault="3436085F" w:rsidP="525B5E18">
      <w:pPr>
        <w:spacing w:afterLines="100" w:after="240"/>
        <w:jc w:val="both"/>
        <w:rPr>
          <w:rFonts w:ascii="Arial" w:hAnsi="Arial" w:cs="Arial"/>
        </w:rPr>
      </w:pPr>
      <w:r w:rsidRPr="525B5E18">
        <w:rPr>
          <w:rFonts w:ascii="Arial" w:hAnsi="Arial" w:cs="Arial"/>
          <w:i/>
          <w:iCs/>
        </w:rPr>
        <w:t>pH of Water - Environmental Measurement Systems</w:t>
      </w:r>
      <w:r w:rsidRPr="525B5E18">
        <w:rPr>
          <w:rFonts w:ascii="Arial" w:hAnsi="Arial" w:cs="Arial"/>
        </w:rPr>
        <w:t>. (2019, January 23). Environmental Measurement Systems. https://www.fondriest.com/environmental-measurements/parameters/water-quality/ph/</w:t>
      </w:r>
    </w:p>
    <w:p w14:paraId="65BC942D" w14:textId="77777777" w:rsidR="008506E6" w:rsidRDefault="3436085F" w:rsidP="525B5E18">
      <w:pPr>
        <w:spacing w:afterLines="100" w:after="240"/>
        <w:jc w:val="both"/>
        <w:rPr>
          <w:rFonts w:ascii="Arial" w:hAnsi="Arial" w:cs="Arial"/>
        </w:rPr>
      </w:pPr>
      <w:r w:rsidRPr="525B5E18">
        <w:rPr>
          <w:rFonts w:ascii="Arial" w:hAnsi="Arial" w:cs="Arial"/>
        </w:rPr>
        <w:t xml:space="preserve">Obasi, P. N., &amp; </w:t>
      </w:r>
      <w:proofErr w:type="spellStart"/>
      <w:r w:rsidRPr="525B5E18">
        <w:rPr>
          <w:rFonts w:ascii="Arial" w:hAnsi="Arial" w:cs="Arial"/>
        </w:rPr>
        <w:t>Akudinobi</w:t>
      </w:r>
      <w:proofErr w:type="spellEnd"/>
      <w:r w:rsidRPr="525B5E18">
        <w:rPr>
          <w:rFonts w:ascii="Arial" w:hAnsi="Arial" w:cs="Arial"/>
        </w:rPr>
        <w:t xml:space="preserve">, B. B. (2020). Potential health risk and levels of heavy metals in water resources of lead–zinc mining communities of </w:t>
      </w:r>
      <w:proofErr w:type="spellStart"/>
      <w:r w:rsidRPr="525B5E18">
        <w:rPr>
          <w:rFonts w:ascii="Arial" w:hAnsi="Arial" w:cs="Arial"/>
        </w:rPr>
        <w:t>Abakaliki</w:t>
      </w:r>
      <w:proofErr w:type="spellEnd"/>
      <w:r w:rsidRPr="525B5E18">
        <w:rPr>
          <w:rFonts w:ascii="Arial" w:hAnsi="Arial" w:cs="Arial"/>
        </w:rPr>
        <w:t xml:space="preserve">, southeast Nigeria. </w:t>
      </w:r>
      <w:r w:rsidRPr="525B5E18">
        <w:rPr>
          <w:rFonts w:ascii="Arial" w:hAnsi="Arial" w:cs="Arial"/>
          <w:i/>
          <w:iCs/>
        </w:rPr>
        <w:t>Applied Water Science</w:t>
      </w:r>
      <w:r w:rsidRPr="525B5E18">
        <w:rPr>
          <w:rFonts w:ascii="Arial" w:hAnsi="Arial" w:cs="Arial"/>
        </w:rPr>
        <w:t xml:space="preserve">, </w:t>
      </w:r>
      <w:r w:rsidRPr="525B5E18">
        <w:rPr>
          <w:rFonts w:ascii="Arial" w:hAnsi="Arial" w:cs="Arial"/>
          <w:i/>
          <w:iCs/>
        </w:rPr>
        <w:t>10</w:t>
      </w:r>
      <w:r w:rsidRPr="525B5E18">
        <w:rPr>
          <w:rFonts w:ascii="Arial" w:hAnsi="Arial" w:cs="Arial"/>
        </w:rPr>
        <w:t>(7). https://doi.org/10.1007/s13201-020-01233-z</w:t>
      </w:r>
    </w:p>
    <w:p w14:paraId="0E8D75D1" w14:textId="77777777" w:rsidR="008506E6" w:rsidRDefault="3436085F" w:rsidP="525B5E18">
      <w:pPr>
        <w:spacing w:afterLines="100" w:after="240"/>
        <w:jc w:val="both"/>
        <w:rPr>
          <w:rFonts w:ascii="Arial" w:hAnsi="Arial" w:cs="Arial"/>
        </w:rPr>
      </w:pPr>
      <w:r w:rsidRPr="525B5E18">
        <w:rPr>
          <w:rFonts w:ascii="Arial" w:hAnsi="Arial" w:cs="Arial"/>
        </w:rPr>
        <w:lastRenderedPageBreak/>
        <w:t xml:space="preserve">Lawson, T. B. (1995). Water quality and environmental requirements. In </w:t>
      </w:r>
      <w:r w:rsidRPr="525B5E18">
        <w:rPr>
          <w:rFonts w:ascii="Arial" w:hAnsi="Arial" w:cs="Arial"/>
          <w:i/>
          <w:iCs/>
        </w:rPr>
        <w:t>Springer eBooks</w:t>
      </w:r>
      <w:r w:rsidRPr="525B5E18">
        <w:rPr>
          <w:rFonts w:ascii="Arial" w:hAnsi="Arial" w:cs="Arial"/>
        </w:rPr>
        <w:t xml:space="preserve"> (pp. 12–39). </w:t>
      </w:r>
      <w:hyperlink r:id="rId18">
        <w:r w:rsidRPr="525B5E18">
          <w:rPr>
            <w:rFonts w:ascii="Arial" w:hAnsi="Arial" w:cs="Arial"/>
          </w:rPr>
          <w:t>https://doi.org/10.1007/978-1-4613-0479-1_2</w:t>
        </w:r>
      </w:hyperlink>
    </w:p>
    <w:p w14:paraId="63ED82E1" w14:textId="77777777" w:rsidR="008506E6" w:rsidRDefault="3436085F" w:rsidP="525B5E18">
      <w:pPr>
        <w:spacing w:afterLines="100" w:after="240"/>
        <w:jc w:val="both"/>
        <w:rPr>
          <w:rFonts w:ascii="Arial" w:hAnsi="Arial" w:cs="Arial"/>
        </w:rPr>
      </w:pPr>
      <w:proofErr w:type="spellStart"/>
      <w:r w:rsidRPr="525B5E18">
        <w:rPr>
          <w:rFonts w:ascii="Arial" w:hAnsi="Arial" w:cs="Arial"/>
        </w:rPr>
        <w:t>Enguito</w:t>
      </w:r>
      <w:proofErr w:type="spellEnd"/>
      <w:r w:rsidRPr="525B5E18">
        <w:rPr>
          <w:rFonts w:ascii="Arial" w:hAnsi="Arial" w:cs="Arial"/>
        </w:rPr>
        <w:t xml:space="preserve">, M. R. C., </w:t>
      </w:r>
      <w:proofErr w:type="spellStart"/>
      <w:r w:rsidRPr="525B5E18">
        <w:rPr>
          <w:rFonts w:ascii="Arial" w:hAnsi="Arial" w:cs="Arial"/>
        </w:rPr>
        <w:t>Matunog</w:t>
      </w:r>
      <w:proofErr w:type="spellEnd"/>
      <w:r w:rsidRPr="525B5E18">
        <w:rPr>
          <w:rFonts w:ascii="Arial" w:hAnsi="Arial" w:cs="Arial"/>
        </w:rPr>
        <w:t xml:space="preserve">, V. E., Bala, J. J. O., &amp; </w:t>
      </w:r>
      <w:proofErr w:type="spellStart"/>
      <w:r w:rsidRPr="525B5E18">
        <w:rPr>
          <w:rFonts w:ascii="Arial" w:hAnsi="Arial" w:cs="Arial"/>
        </w:rPr>
        <w:t>Villantes</w:t>
      </w:r>
      <w:proofErr w:type="spellEnd"/>
      <w:r w:rsidRPr="525B5E18">
        <w:rPr>
          <w:rFonts w:ascii="Arial" w:hAnsi="Arial" w:cs="Arial"/>
        </w:rPr>
        <w:t xml:space="preserve">, Y. L. (2013). Water quality assessment of </w:t>
      </w:r>
      <w:proofErr w:type="spellStart"/>
      <w:r w:rsidRPr="525B5E18">
        <w:rPr>
          <w:rFonts w:ascii="Arial" w:hAnsi="Arial" w:cs="Arial"/>
        </w:rPr>
        <w:t>Carangan</w:t>
      </w:r>
      <w:proofErr w:type="spellEnd"/>
      <w:r w:rsidRPr="525B5E18">
        <w:rPr>
          <w:rFonts w:ascii="Arial" w:hAnsi="Arial" w:cs="Arial"/>
        </w:rPr>
        <w:t xml:space="preserve"> Estero in Ozamiz City, Philippines. </w:t>
      </w:r>
      <w:r w:rsidRPr="525B5E18">
        <w:rPr>
          <w:rFonts w:ascii="Arial" w:hAnsi="Arial" w:cs="Arial"/>
          <w:i/>
          <w:iCs/>
        </w:rPr>
        <w:t>Journal of Multidisciplinary Studies</w:t>
      </w:r>
      <w:r w:rsidRPr="525B5E18">
        <w:rPr>
          <w:rFonts w:ascii="Arial" w:hAnsi="Arial" w:cs="Arial"/>
        </w:rPr>
        <w:t xml:space="preserve">, </w:t>
      </w:r>
      <w:r w:rsidRPr="525B5E18">
        <w:rPr>
          <w:rFonts w:ascii="Arial" w:hAnsi="Arial" w:cs="Arial"/>
          <w:i/>
          <w:iCs/>
        </w:rPr>
        <w:t>1</w:t>
      </w:r>
      <w:r w:rsidRPr="525B5E18">
        <w:rPr>
          <w:rFonts w:ascii="Arial" w:hAnsi="Arial" w:cs="Arial"/>
        </w:rPr>
        <w:t>(1). https://doi.org/10.7828/jmds.v1i1.397</w:t>
      </w:r>
    </w:p>
    <w:p w14:paraId="29C2D52B" w14:textId="77777777" w:rsidR="008506E6" w:rsidRDefault="3436085F" w:rsidP="525B5E18">
      <w:pPr>
        <w:spacing w:afterLines="100" w:after="240"/>
        <w:jc w:val="both"/>
        <w:rPr>
          <w:rFonts w:ascii="Arial" w:hAnsi="Arial" w:cs="Arial"/>
        </w:rPr>
      </w:pPr>
      <w:proofErr w:type="spellStart"/>
      <w:r w:rsidRPr="525B5E18">
        <w:rPr>
          <w:rFonts w:ascii="Arial" w:hAnsi="Arial" w:cs="Arial"/>
        </w:rPr>
        <w:t>Borlongan</w:t>
      </w:r>
      <w:proofErr w:type="spellEnd"/>
      <w:r w:rsidRPr="525B5E18">
        <w:rPr>
          <w:rFonts w:ascii="Arial" w:hAnsi="Arial" w:cs="Arial"/>
        </w:rPr>
        <w:t xml:space="preserve">, I. G., Golez, N., V., &amp; </w:t>
      </w:r>
      <w:proofErr w:type="spellStart"/>
      <w:r w:rsidRPr="525B5E18">
        <w:rPr>
          <w:rFonts w:ascii="Arial" w:hAnsi="Arial" w:cs="Arial"/>
        </w:rPr>
        <w:t>Lorque</w:t>
      </w:r>
      <w:proofErr w:type="spellEnd"/>
      <w:r w:rsidRPr="525B5E18">
        <w:rPr>
          <w:rFonts w:ascii="Arial" w:hAnsi="Arial" w:cs="Arial"/>
        </w:rPr>
        <w:t xml:space="preserve">, F. (2010, January 1). </w:t>
      </w:r>
      <w:proofErr w:type="spellStart"/>
      <w:r w:rsidRPr="525B5E18">
        <w:rPr>
          <w:rFonts w:ascii="Arial" w:hAnsi="Arial" w:cs="Arial"/>
          <w:i/>
          <w:iCs/>
        </w:rPr>
        <w:t>Physico</w:t>
      </w:r>
      <w:proofErr w:type="spellEnd"/>
      <w:r w:rsidRPr="525B5E18">
        <w:rPr>
          <w:rFonts w:ascii="Arial" w:hAnsi="Arial" w:cs="Arial"/>
          <w:i/>
          <w:iCs/>
        </w:rPr>
        <w:t xml:space="preserve">-chemical assessment of the </w:t>
      </w:r>
      <w:proofErr w:type="spellStart"/>
      <w:r w:rsidRPr="525B5E18">
        <w:rPr>
          <w:rFonts w:ascii="Arial" w:hAnsi="Arial" w:cs="Arial"/>
          <w:i/>
          <w:iCs/>
        </w:rPr>
        <w:t>Jalaur</w:t>
      </w:r>
      <w:proofErr w:type="spellEnd"/>
      <w:r w:rsidRPr="525B5E18">
        <w:rPr>
          <w:rFonts w:ascii="Arial" w:hAnsi="Arial" w:cs="Arial"/>
          <w:i/>
          <w:iCs/>
        </w:rPr>
        <w:t xml:space="preserve"> River system, Iloilo, Philippines</w:t>
      </w:r>
      <w:r w:rsidRPr="525B5E18">
        <w:rPr>
          <w:rFonts w:ascii="Arial" w:hAnsi="Arial" w:cs="Arial"/>
        </w:rPr>
        <w:t>. BAHÁNDÌAN, Institutional Repository of Central Philippine University. https://repository.cpu.edu.ph/handle/20.500.12852/1672</w:t>
      </w:r>
    </w:p>
    <w:p w14:paraId="3278ADE3" w14:textId="77777777" w:rsidR="008506E6" w:rsidRDefault="3436085F" w:rsidP="525B5E18">
      <w:pPr>
        <w:spacing w:afterLines="100" w:after="240"/>
        <w:jc w:val="both"/>
        <w:rPr>
          <w:rFonts w:ascii="Arial" w:hAnsi="Arial" w:cs="Arial"/>
        </w:rPr>
      </w:pPr>
      <w:r w:rsidRPr="525B5E18">
        <w:rPr>
          <w:rFonts w:ascii="Arial" w:hAnsi="Arial" w:cs="Arial"/>
        </w:rPr>
        <w:t xml:space="preserve">Boyd, C. E. (2015). Water quality. In </w:t>
      </w:r>
      <w:r w:rsidRPr="525B5E18">
        <w:rPr>
          <w:rFonts w:ascii="Arial" w:hAnsi="Arial" w:cs="Arial"/>
          <w:i/>
          <w:iCs/>
        </w:rPr>
        <w:t>Springer eBooks</w:t>
      </w:r>
      <w:r w:rsidRPr="525B5E18">
        <w:rPr>
          <w:rFonts w:ascii="Arial" w:hAnsi="Arial" w:cs="Arial"/>
        </w:rPr>
        <w:t>. https://doi.org/10.1007/978-3-319-17446-4</w:t>
      </w:r>
    </w:p>
    <w:p w14:paraId="5AB39A15" w14:textId="77777777" w:rsidR="008506E6" w:rsidRDefault="3436085F" w:rsidP="525B5E18">
      <w:pPr>
        <w:spacing w:afterLines="100" w:after="240"/>
        <w:jc w:val="both"/>
        <w:rPr>
          <w:rFonts w:ascii="Arial" w:hAnsi="Arial" w:cs="Arial"/>
        </w:rPr>
      </w:pPr>
      <w:r w:rsidRPr="525B5E18">
        <w:rPr>
          <w:rFonts w:ascii="Arial" w:hAnsi="Arial" w:cs="Arial"/>
        </w:rPr>
        <w:t xml:space="preserve">Ezenwa, I. M., Omoigberale, M., </w:t>
      </w:r>
      <w:proofErr w:type="spellStart"/>
      <w:r w:rsidRPr="525B5E18">
        <w:rPr>
          <w:rFonts w:ascii="Arial" w:hAnsi="Arial" w:cs="Arial"/>
        </w:rPr>
        <w:t>Abulu</w:t>
      </w:r>
      <w:proofErr w:type="spellEnd"/>
      <w:r w:rsidRPr="525B5E18">
        <w:rPr>
          <w:rFonts w:ascii="Arial" w:hAnsi="Arial" w:cs="Arial"/>
        </w:rPr>
        <w:t xml:space="preserve">, R., Biose, E., Okpara, B., &amp; </w:t>
      </w:r>
      <w:proofErr w:type="spellStart"/>
      <w:r w:rsidRPr="525B5E18">
        <w:rPr>
          <w:rFonts w:ascii="Arial" w:hAnsi="Arial" w:cs="Arial"/>
        </w:rPr>
        <w:t>Uyi</w:t>
      </w:r>
      <w:proofErr w:type="spellEnd"/>
      <w:r w:rsidRPr="525B5E18">
        <w:rPr>
          <w:rFonts w:ascii="Arial" w:hAnsi="Arial" w:cs="Arial"/>
        </w:rPr>
        <w:t xml:space="preserve">, O. (2023). Burial leakage: A human accustomed groundwater contaminant sources and health hazards study near cemeteries in Benin City, Nigeria. </w:t>
      </w:r>
      <w:proofErr w:type="spellStart"/>
      <w:r w:rsidRPr="525B5E18">
        <w:rPr>
          <w:rFonts w:ascii="Arial" w:hAnsi="Arial" w:cs="Arial"/>
          <w:i/>
          <w:iCs/>
        </w:rPr>
        <w:t>PLoS</w:t>
      </w:r>
      <w:proofErr w:type="spellEnd"/>
      <w:r w:rsidRPr="525B5E18">
        <w:rPr>
          <w:rFonts w:ascii="Arial" w:hAnsi="Arial" w:cs="Arial"/>
          <w:i/>
          <w:iCs/>
        </w:rPr>
        <w:t xml:space="preserve"> ONE</w:t>
      </w:r>
      <w:r w:rsidRPr="525B5E18">
        <w:rPr>
          <w:rFonts w:ascii="Arial" w:hAnsi="Arial" w:cs="Arial"/>
        </w:rPr>
        <w:t xml:space="preserve">, </w:t>
      </w:r>
      <w:r w:rsidRPr="525B5E18">
        <w:rPr>
          <w:rFonts w:ascii="Arial" w:hAnsi="Arial" w:cs="Arial"/>
          <w:i/>
          <w:iCs/>
        </w:rPr>
        <w:t>18</w:t>
      </w:r>
      <w:r w:rsidRPr="525B5E18">
        <w:rPr>
          <w:rFonts w:ascii="Arial" w:hAnsi="Arial" w:cs="Arial"/>
        </w:rPr>
        <w:t>(12), e0292008. https://doi.org/10.1371/journal.pone.0292008</w:t>
      </w:r>
    </w:p>
    <w:p w14:paraId="372AEF72" w14:textId="77777777" w:rsidR="008506E6" w:rsidRPr="00602C20" w:rsidRDefault="3436085F" w:rsidP="00602C20">
      <w:pPr>
        <w:spacing w:afterLines="100" w:after="240"/>
        <w:jc w:val="both"/>
        <w:rPr>
          <w:rFonts w:ascii="Arial" w:hAnsi="Arial" w:cs="Arial"/>
        </w:rPr>
        <w:sectPr w:rsidR="008506E6" w:rsidRPr="00602C20" w:rsidSect="00206B64">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525B5E18">
        <w:rPr>
          <w:rFonts w:ascii="Arial" w:hAnsi="Arial" w:cs="Arial"/>
        </w:rPr>
        <w:t xml:space="preserve">Amadi, S. N., Clement, E., </w:t>
      </w:r>
      <w:proofErr w:type="spellStart"/>
      <w:r w:rsidRPr="525B5E18">
        <w:rPr>
          <w:rFonts w:ascii="Arial" w:hAnsi="Arial" w:cs="Arial"/>
        </w:rPr>
        <w:t>Pelebo</w:t>
      </w:r>
      <w:proofErr w:type="spellEnd"/>
      <w:r w:rsidRPr="525B5E18">
        <w:rPr>
          <w:rFonts w:ascii="Arial" w:hAnsi="Arial" w:cs="Arial"/>
        </w:rPr>
        <w:t xml:space="preserve">, E. T., &amp; </w:t>
      </w:r>
      <w:proofErr w:type="spellStart"/>
      <w:r w:rsidRPr="525B5E18">
        <w:rPr>
          <w:rFonts w:ascii="Arial" w:hAnsi="Arial" w:cs="Arial"/>
        </w:rPr>
        <w:t>Apugo</w:t>
      </w:r>
      <w:proofErr w:type="spellEnd"/>
      <w:r w:rsidRPr="525B5E18">
        <w:rPr>
          <w:rFonts w:ascii="Arial" w:hAnsi="Arial" w:cs="Arial"/>
        </w:rPr>
        <w:t xml:space="preserve">, U. I. (2023). PRACTICES OF OCCUPATIONAL HEALTH AND SAFETY AND EXPERIENCE OF OCCUPATIONAL HAZARDS AMONG SOLID WASTE MANAGERS IN PORT HARCOURT METROPOLIS OF RIVERS STATE. </w:t>
      </w:r>
      <w:proofErr w:type="spellStart"/>
      <w:r w:rsidRPr="525B5E18">
        <w:rPr>
          <w:rFonts w:ascii="Arial" w:hAnsi="Arial" w:cs="Arial"/>
          <w:i/>
          <w:iCs/>
        </w:rPr>
        <w:t>medRxiv</w:t>
      </w:r>
      <w:proofErr w:type="spellEnd"/>
      <w:r w:rsidRPr="525B5E18">
        <w:rPr>
          <w:rFonts w:ascii="Arial" w:hAnsi="Arial" w:cs="Arial"/>
          <w:i/>
          <w:iCs/>
        </w:rPr>
        <w:t xml:space="preserve"> (Cold Spring Harbor Laboratory)</w:t>
      </w:r>
      <w:r w:rsidRPr="525B5E18">
        <w:rPr>
          <w:rFonts w:ascii="Arial" w:hAnsi="Arial" w:cs="Arial"/>
        </w:rPr>
        <w:t>. https://doi.org/10.1101/2023.02.17.23285698</w:t>
      </w:r>
    </w:p>
    <w:p w14:paraId="0530BDC3" w14:textId="77777777" w:rsidR="008506E6" w:rsidRDefault="008506E6">
      <w:pPr>
        <w:pStyle w:val="Appendix"/>
        <w:spacing w:after="0"/>
        <w:jc w:val="both"/>
        <w:rPr>
          <w:rFonts w:ascii="Arial" w:hAnsi="Arial" w:cs="Arial"/>
          <w:b w:val="0"/>
        </w:rPr>
      </w:pPr>
    </w:p>
    <w:sectPr w:rsidR="008506E6" w:rsidSect="00206B6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7AAE" w14:textId="77777777" w:rsidR="005B7A8D" w:rsidRDefault="005B7A8D">
      <w:r>
        <w:separator/>
      </w:r>
    </w:p>
  </w:endnote>
  <w:endnote w:type="continuationSeparator" w:id="0">
    <w:p w14:paraId="280BF51B" w14:textId="77777777" w:rsidR="005B7A8D" w:rsidRDefault="005B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4DD7" w14:textId="77777777" w:rsidR="000C1F54" w:rsidRDefault="000C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FE0D" w14:textId="77777777" w:rsidR="000C1F54" w:rsidRDefault="000C1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F19C" w14:textId="6933547E" w:rsidR="008506E6" w:rsidRPr="00206B64" w:rsidRDefault="008506E6" w:rsidP="00206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21A5" w14:textId="77777777" w:rsidR="008506E6" w:rsidRDefault="0085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3687" w14:textId="77777777" w:rsidR="005B7A8D" w:rsidRDefault="005B7A8D">
      <w:r>
        <w:separator/>
      </w:r>
    </w:p>
  </w:footnote>
  <w:footnote w:type="continuationSeparator" w:id="0">
    <w:p w14:paraId="7DB3E399" w14:textId="77777777" w:rsidR="005B7A8D" w:rsidRDefault="005B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0C57" w14:textId="7FD61947" w:rsidR="000C1F54" w:rsidRDefault="000C1F54">
    <w:pPr>
      <w:pStyle w:val="Header"/>
    </w:pPr>
    <w:r>
      <w:rPr>
        <w:noProof/>
      </w:rPr>
      <w:pict w14:anchorId="3E453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EE3E" w14:textId="1A371E63" w:rsidR="000C1F54" w:rsidRDefault="000C1F54">
    <w:pPr>
      <w:pStyle w:val="Header"/>
    </w:pPr>
    <w:r>
      <w:rPr>
        <w:noProof/>
      </w:rPr>
      <w:pict w14:anchorId="11AFA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E0DB" w14:textId="301B6BFE" w:rsidR="008506E6" w:rsidRDefault="000C1F54">
    <w:pPr>
      <w:ind w:left="2160"/>
      <w:jc w:val="center"/>
      <w:rPr>
        <w:rFonts w:ascii="Times New Roman" w:eastAsia="Calibri" w:hAnsi="Times New Roman"/>
        <w:i/>
        <w:sz w:val="18"/>
        <w:szCs w:val="22"/>
      </w:rPr>
    </w:pPr>
    <w:r>
      <w:rPr>
        <w:noProof/>
      </w:rPr>
      <w:pict w14:anchorId="4AB8D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F60614" w14:textId="77777777" w:rsidR="008506E6" w:rsidRDefault="005B320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15402E8" w14:textId="77777777" w:rsidR="008506E6" w:rsidRDefault="005B3201">
    <w:pPr>
      <w:jc w:val="center"/>
      <w:rPr>
        <w:rFonts w:ascii="Times New Roman" w:eastAsia="Calibri" w:hAnsi="Times New Roman"/>
        <w:i/>
        <w:sz w:val="18"/>
        <w:szCs w:val="22"/>
      </w:rPr>
    </w:pPr>
    <w:r>
      <w:rPr>
        <w:rFonts w:ascii="Times New Roman" w:eastAsia="Calibri" w:hAnsi="Times New Roman"/>
        <w:i/>
        <w:sz w:val="18"/>
        <w:szCs w:val="22"/>
      </w:rPr>
      <w:t>.</w:t>
    </w:r>
  </w:p>
  <w:p w14:paraId="1F006FBA" w14:textId="77777777" w:rsidR="008506E6" w:rsidRDefault="005B320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ECAE632" w14:textId="77777777" w:rsidR="008506E6" w:rsidRDefault="005B320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8EDEBC5" w14:textId="77777777" w:rsidR="008506E6" w:rsidRDefault="005B320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7ADC13" w14:textId="77777777" w:rsidR="008506E6" w:rsidRDefault="005B320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BA90" w14:textId="790E72D5" w:rsidR="000C1F54" w:rsidRDefault="000C1F54">
    <w:pPr>
      <w:pStyle w:val="Header"/>
    </w:pPr>
    <w:r>
      <w:rPr>
        <w:noProof/>
      </w:rPr>
      <w:pict w14:anchorId="0BA5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203" w14:textId="21FEB141" w:rsidR="000C1F54" w:rsidRDefault="000C1F54">
    <w:pPr>
      <w:pStyle w:val="Header"/>
    </w:pPr>
    <w:r>
      <w:rPr>
        <w:noProof/>
      </w:rPr>
      <w:pict w14:anchorId="56FC2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CF62" w14:textId="532AF5E9" w:rsidR="000C1F54" w:rsidRDefault="000C1F54">
    <w:pPr>
      <w:pStyle w:val="Header"/>
    </w:pPr>
    <w:r>
      <w:rPr>
        <w:noProof/>
      </w:rPr>
      <w:pict w14:anchorId="281F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0645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114C"/>
    <w:rsid w:val="000C1F54"/>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3BC9"/>
    <w:rsid w:val="001D3A51"/>
    <w:rsid w:val="001E10D2"/>
    <w:rsid w:val="001E25B4"/>
    <w:rsid w:val="001E44FE"/>
    <w:rsid w:val="00200595"/>
    <w:rsid w:val="00204835"/>
    <w:rsid w:val="00206B6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4B05"/>
    <w:rsid w:val="004D305E"/>
    <w:rsid w:val="004D4277"/>
    <w:rsid w:val="00502516"/>
    <w:rsid w:val="00505F06"/>
    <w:rsid w:val="00506828"/>
    <w:rsid w:val="0053056E"/>
    <w:rsid w:val="00554FDA"/>
    <w:rsid w:val="005B3201"/>
    <w:rsid w:val="005B7A8D"/>
    <w:rsid w:val="005C784C"/>
    <w:rsid w:val="005D17F6"/>
    <w:rsid w:val="005E5539"/>
    <w:rsid w:val="00602BF5"/>
    <w:rsid w:val="00602C20"/>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06E6"/>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27F"/>
    <w:rsid w:val="00AC6BB8"/>
    <w:rsid w:val="00AE008F"/>
    <w:rsid w:val="00B01FCD"/>
    <w:rsid w:val="00B1776C"/>
    <w:rsid w:val="00B52583"/>
    <w:rsid w:val="00B52896"/>
    <w:rsid w:val="00B95236"/>
    <w:rsid w:val="00B96BD9"/>
    <w:rsid w:val="00BA1B01"/>
    <w:rsid w:val="00BA2641"/>
    <w:rsid w:val="00BB37AA"/>
    <w:rsid w:val="00BC53A0"/>
    <w:rsid w:val="00BE0B56"/>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76526"/>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2EFA73B"/>
    <w:rsid w:val="03C9D34B"/>
    <w:rsid w:val="04A3AA91"/>
    <w:rsid w:val="0B58891D"/>
    <w:rsid w:val="0EB6D3E6"/>
    <w:rsid w:val="187297DA"/>
    <w:rsid w:val="1D843F25"/>
    <w:rsid w:val="1E0280D3"/>
    <w:rsid w:val="248D0EF4"/>
    <w:rsid w:val="2A910F9E"/>
    <w:rsid w:val="2B1B34F0"/>
    <w:rsid w:val="2D8D0CEA"/>
    <w:rsid w:val="3198079C"/>
    <w:rsid w:val="3436085F"/>
    <w:rsid w:val="350F328B"/>
    <w:rsid w:val="35C419CF"/>
    <w:rsid w:val="379A7C82"/>
    <w:rsid w:val="3813028F"/>
    <w:rsid w:val="3A3FC585"/>
    <w:rsid w:val="4162988C"/>
    <w:rsid w:val="43E2BC1E"/>
    <w:rsid w:val="4926293D"/>
    <w:rsid w:val="4B5C174B"/>
    <w:rsid w:val="4DD5DD0F"/>
    <w:rsid w:val="525B5E18"/>
    <w:rsid w:val="532F3A44"/>
    <w:rsid w:val="56E167E4"/>
    <w:rsid w:val="5AC0450C"/>
    <w:rsid w:val="5C3D6918"/>
    <w:rsid w:val="5F21FD17"/>
    <w:rsid w:val="5FFE63FE"/>
    <w:rsid w:val="64010B35"/>
    <w:rsid w:val="64D70343"/>
    <w:rsid w:val="65DCC964"/>
    <w:rsid w:val="6A009246"/>
    <w:rsid w:val="6B289DAD"/>
    <w:rsid w:val="6B77F97B"/>
    <w:rsid w:val="6B987BFF"/>
    <w:rsid w:val="6C727742"/>
    <w:rsid w:val="6D03AB9B"/>
    <w:rsid w:val="7040773B"/>
    <w:rsid w:val="7163A5F3"/>
    <w:rsid w:val="71ACD574"/>
    <w:rsid w:val="73384363"/>
    <w:rsid w:val="736D9881"/>
    <w:rsid w:val="75C4FB44"/>
    <w:rsid w:val="763B7E01"/>
    <w:rsid w:val="7820C568"/>
    <w:rsid w:val="7836FF8F"/>
    <w:rsid w:val="7B04DEB9"/>
    <w:rsid w:val="7B8CE9B7"/>
    <w:rsid w:val="7D136BCB"/>
    <w:rsid w:val="7EFDE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B3B32E"/>
  <w15:docId w15:val="{9B15AE1E-894E-448D-A719-075D2C79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qFormat/>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1">
    <w:name w:val="_Style 11"/>
    <w:qFormat/>
    <w:tblPr>
      <w:tblCellMar>
        <w:top w:w="100" w:type="dxa"/>
        <w:left w:w="100" w:type="dxa"/>
        <w:bottom w:w="100" w:type="dxa"/>
        <w:right w:w="10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AC6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41864">
      <w:bodyDiv w:val="1"/>
      <w:marLeft w:val="0"/>
      <w:marRight w:val="0"/>
      <w:marTop w:val="0"/>
      <w:marBottom w:val="0"/>
      <w:divBdr>
        <w:top w:val="none" w:sz="0" w:space="0" w:color="auto"/>
        <w:left w:val="none" w:sz="0" w:space="0" w:color="auto"/>
        <w:bottom w:val="none" w:sz="0" w:space="0" w:color="auto"/>
        <w:right w:val="none" w:sz="0" w:space="0" w:color="auto"/>
      </w:divBdr>
    </w:div>
    <w:div w:id="213956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07/978-1-4613-0479-1_2"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usgs.gov/special-topics/water-science-school/science/dissolved-oxygen-and-water" TargetMode="External"/><Relationship Id="rId2" Type="http://schemas.openxmlformats.org/officeDocument/2006/relationships/customXml" Target="../customXml/item2.xml"/><Relationship Id="rId16" Type="http://schemas.openxmlformats.org/officeDocument/2006/relationships/hyperlink" Target="https://doi.org/10.3390/land1207130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09C8B619-801B-4ADD-81D5-1D8D2CFDAD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5057</Words>
  <Characters>28829</Characters>
  <Application>Microsoft Office Word</Application>
  <DocSecurity>0</DocSecurity>
  <Lines>240</Lines>
  <Paragraphs>67</Paragraphs>
  <ScaleCrop>false</ScaleCrop>
  <Company>aaaa</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1999-07-06T11:00:00Z</cp:lastPrinted>
  <dcterms:created xsi:type="dcterms:W3CDTF">2025-03-13T12:24:00Z</dcterms:created>
  <dcterms:modified xsi:type="dcterms:W3CDTF">2025-03-15T09:36:00Z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C39D2B48842D44B4869D249837C59E5D_12</vt:lpwstr>
  </property>
</Properties>
</file>