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2B435" w14:textId="77777777" w:rsidR="002055C2" w:rsidRPr="00932F75" w:rsidRDefault="002055C2"/>
    <w:p w14:paraId="1C381C10" w14:textId="77777777" w:rsidR="004936C8" w:rsidRPr="00932F75" w:rsidRDefault="004936C8" w:rsidP="004936C8">
      <w:pPr>
        <w:spacing w:before="240" w:line="360" w:lineRule="auto"/>
        <w:jc w:val="both"/>
        <w:rPr>
          <w:rFonts w:ascii="Times New Roman" w:hAnsi="Times New Roman" w:cs="Times New Roman"/>
          <w:b/>
          <w:sz w:val="24"/>
          <w:szCs w:val="24"/>
        </w:rPr>
      </w:pPr>
      <w:r w:rsidRPr="00932F75">
        <w:rPr>
          <w:rFonts w:ascii="Times New Roman" w:hAnsi="Times New Roman" w:cs="Times New Roman"/>
          <w:b/>
          <w:sz w:val="24"/>
          <w:szCs w:val="24"/>
        </w:rPr>
        <w:t xml:space="preserve">EFFECTS OF </w:t>
      </w:r>
      <w:r w:rsidRPr="00932F75">
        <w:rPr>
          <w:rFonts w:ascii="Times New Roman" w:hAnsi="Times New Roman" w:cs="Times New Roman"/>
          <w:b/>
          <w:i/>
          <w:sz w:val="24"/>
          <w:szCs w:val="24"/>
        </w:rPr>
        <w:t>HELICOBACTER PYLORI</w:t>
      </w:r>
      <w:r w:rsidRPr="00932F75">
        <w:rPr>
          <w:rFonts w:ascii="Times New Roman" w:hAnsi="Times New Roman" w:cs="Times New Roman"/>
          <w:b/>
          <w:sz w:val="24"/>
          <w:szCs w:val="24"/>
        </w:rPr>
        <w:t xml:space="preserve"> INFECTION ON THE IMMUNOGLOBULINS AND INTERLEUKINS OF INFECTED PATIENTS </w:t>
      </w:r>
      <w:r w:rsidRPr="00932F75">
        <w:rPr>
          <w:rFonts w:ascii="Times New Roman" w:eastAsia="Calibri" w:hAnsi="Times New Roman" w:cs="Times New Roman"/>
          <w:b/>
          <w:iCs/>
          <w:sz w:val="24"/>
          <w:szCs w:val="24"/>
        </w:rPr>
        <w:t>AT NNEWI NORTH</w:t>
      </w:r>
      <w:r w:rsidRPr="00932F75">
        <w:rPr>
          <w:rFonts w:ascii="Times New Roman" w:hAnsi="Times New Roman" w:cs="Times New Roman"/>
          <w:b/>
          <w:sz w:val="24"/>
          <w:szCs w:val="24"/>
        </w:rPr>
        <w:t>, NIGERIA</w:t>
      </w:r>
    </w:p>
    <w:p w14:paraId="29C12E7E" w14:textId="03A764DE" w:rsidR="004936C8" w:rsidRDefault="004936C8" w:rsidP="004936C8">
      <w:pPr>
        <w:rPr>
          <w:rFonts w:ascii="Times New Roman" w:hAnsi="Times New Roman" w:cs="Times New Roman"/>
          <w:sz w:val="24"/>
          <w:szCs w:val="24"/>
        </w:rPr>
      </w:pPr>
    </w:p>
    <w:p w14:paraId="47D539FE" w14:textId="77777777" w:rsidR="00CB7031" w:rsidRPr="00932F75" w:rsidRDefault="00CB7031" w:rsidP="004936C8">
      <w:pPr>
        <w:rPr>
          <w:rFonts w:ascii="Times New Roman" w:hAnsi="Times New Roman" w:cs="Times New Roman"/>
          <w:sz w:val="24"/>
          <w:szCs w:val="24"/>
        </w:rPr>
      </w:pPr>
      <w:bookmarkStart w:id="0" w:name="_GoBack"/>
      <w:bookmarkEnd w:id="0"/>
    </w:p>
    <w:p w14:paraId="73215390" w14:textId="77777777" w:rsidR="004936C8" w:rsidRPr="00932F75" w:rsidRDefault="004936C8" w:rsidP="004936C8">
      <w:pPr>
        <w:rPr>
          <w:rFonts w:ascii="Times New Roman" w:hAnsi="Times New Roman" w:cs="Times New Roman"/>
          <w:b/>
          <w:sz w:val="24"/>
          <w:szCs w:val="24"/>
        </w:rPr>
      </w:pPr>
      <w:r w:rsidRPr="00932F75">
        <w:rPr>
          <w:rFonts w:ascii="Times New Roman" w:hAnsi="Times New Roman" w:cs="Times New Roman"/>
          <w:b/>
          <w:sz w:val="24"/>
          <w:szCs w:val="24"/>
        </w:rPr>
        <w:t>ABSTRACT</w:t>
      </w:r>
    </w:p>
    <w:p w14:paraId="608FB991" w14:textId="77777777" w:rsidR="004936C8" w:rsidRPr="00932F75" w:rsidRDefault="004936C8" w:rsidP="004936C8">
      <w:pPr>
        <w:rPr>
          <w:rFonts w:ascii="Times New Roman" w:hAnsi="Times New Roman" w:cs="Times New Roman"/>
          <w:sz w:val="24"/>
          <w:szCs w:val="24"/>
        </w:rPr>
      </w:pPr>
    </w:p>
    <w:p w14:paraId="62157B63" w14:textId="743805C8" w:rsidR="004936C8" w:rsidRPr="00932F75" w:rsidRDefault="004936C8" w:rsidP="001C3457">
      <w:pPr>
        <w:spacing w:before="240" w:line="360" w:lineRule="auto"/>
        <w:jc w:val="both"/>
        <w:rPr>
          <w:rFonts w:ascii="Times New Roman" w:hAnsi="Times New Roman" w:cs="Times New Roman"/>
          <w:sz w:val="26"/>
          <w:szCs w:val="26"/>
        </w:rPr>
      </w:pPr>
      <w:r w:rsidRPr="00932F75">
        <w:rPr>
          <w:rFonts w:ascii="Times New Roman" w:hAnsi="Times New Roman" w:cs="Times New Roman"/>
          <w:sz w:val="24"/>
          <w:szCs w:val="24"/>
        </w:rPr>
        <w:t xml:space="preserve">The debilitating nature of infectious diseases has drastically reduced the health standard of individuals in the society. This study was conducted to evaluate the effects of </w:t>
      </w:r>
      <w:r w:rsidRPr="00932F75">
        <w:rPr>
          <w:rFonts w:ascii="Times New Roman" w:hAnsi="Times New Roman" w:cs="Times New Roman"/>
          <w:i/>
          <w:sz w:val="24"/>
          <w:szCs w:val="24"/>
        </w:rPr>
        <w:t>Helicobacter pylori</w:t>
      </w:r>
      <w:r w:rsidRPr="00932F75">
        <w:rPr>
          <w:rFonts w:ascii="Times New Roman" w:hAnsi="Times New Roman" w:cs="Times New Roman"/>
          <w:sz w:val="24"/>
          <w:szCs w:val="24"/>
        </w:rPr>
        <w:t xml:space="preserve"> infection on the immunoglobulins and interleukins of infected patients at Nnewi North, Nigeria. Two hundred (200) blood samples were aseptically collected from different age groups in the sampled communities (</w:t>
      </w:r>
      <w:proofErr w:type="spellStart"/>
      <w:r w:rsidRPr="00932F75">
        <w:rPr>
          <w:rFonts w:ascii="Times New Roman" w:hAnsi="Times New Roman" w:cs="Times New Roman"/>
          <w:sz w:val="24"/>
          <w:szCs w:val="24"/>
        </w:rPr>
        <w:t>Umudim</w:t>
      </w:r>
      <w:proofErr w:type="spellEnd"/>
      <w:r w:rsidRPr="00932F75">
        <w:rPr>
          <w:rFonts w:ascii="Times New Roman" w:hAnsi="Times New Roman" w:cs="Times New Roman"/>
          <w:sz w:val="24"/>
          <w:szCs w:val="24"/>
        </w:rPr>
        <w:t xml:space="preserve">, </w:t>
      </w:r>
      <w:proofErr w:type="spellStart"/>
      <w:r w:rsidRPr="00932F75">
        <w:rPr>
          <w:rFonts w:ascii="Times New Roman" w:hAnsi="Times New Roman" w:cs="Times New Roman"/>
          <w:sz w:val="24"/>
          <w:szCs w:val="24"/>
        </w:rPr>
        <w:t>Uruagu</w:t>
      </w:r>
      <w:proofErr w:type="spellEnd"/>
      <w:r w:rsidRPr="00932F75">
        <w:rPr>
          <w:rFonts w:ascii="Times New Roman" w:hAnsi="Times New Roman" w:cs="Times New Roman"/>
          <w:sz w:val="24"/>
          <w:szCs w:val="24"/>
        </w:rPr>
        <w:t xml:space="preserve">, </w:t>
      </w:r>
      <w:proofErr w:type="spellStart"/>
      <w:r w:rsidRPr="00932F75">
        <w:rPr>
          <w:rFonts w:ascii="Times New Roman" w:hAnsi="Times New Roman" w:cs="Times New Roman"/>
          <w:sz w:val="24"/>
          <w:szCs w:val="24"/>
        </w:rPr>
        <w:t>Otolo</w:t>
      </w:r>
      <w:proofErr w:type="spellEnd"/>
      <w:r w:rsidRPr="00932F75">
        <w:rPr>
          <w:rFonts w:ascii="Times New Roman" w:hAnsi="Times New Roman" w:cs="Times New Roman"/>
          <w:sz w:val="24"/>
          <w:szCs w:val="24"/>
        </w:rPr>
        <w:t xml:space="preserve">, and </w:t>
      </w:r>
      <w:proofErr w:type="spellStart"/>
      <w:r w:rsidRPr="00932F75">
        <w:rPr>
          <w:rFonts w:ascii="Times New Roman" w:hAnsi="Times New Roman" w:cs="Times New Roman"/>
          <w:sz w:val="24"/>
          <w:szCs w:val="24"/>
        </w:rPr>
        <w:t>Nnewichi</w:t>
      </w:r>
      <w:proofErr w:type="spellEnd"/>
      <w:r w:rsidRPr="00932F75">
        <w:rPr>
          <w:rFonts w:ascii="Times New Roman" w:hAnsi="Times New Roman" w:cs="Times New Roman"/>
          <w:sz w:val="24"/>
          <w:szCs w:val="24"/>
        </w:rPr>
        <w:t xml:space="preserve">) at Nnewi North using well-capped sterile EDTA bottles. </w:t>
      </w:r>
      <w:r w:rsidRPr="00932F75">
        <w:rPr>
          <w:rFonts w:ascii="Times New Roman" w:hAnsi="Times New Roman" w:cs="Times New Roman"/>
          <w:sz w:val="26"/>
          <w:szCs w:val="26"/>
        </w:rPr>
        <w:t xml:space="preserve">The levels of immunological biomarkers (IgG and IgM) were evaluated in both infected and non-infected individuals using serological technique while </w:t>
      </w:r>
      <w:r w:rsidRPr="00932F75">
        <w:rPr>
          <w:rFonts w:ascii="Times New Roman" w:hAnsi="Times New Roman" w:cs="Times New Roman"/>
          <w:bCs/>
          <w:sz w:val="26"/>
          <w:szCs w:val="26"/>
        </w:rPr>
        <w:t>Enzyme Immunoassays were used to determine the Concentrations of blood cytokines (interleukin 6 and interleukin 10)</w:t>
      </w:r>
      <w:r w:rsidRPr="00932F75">
        <w:rPr>
          <w:rFonts w:ascii="Times New Roman" w:hAnsi="Times New Roman" w:cs="Times New Roman"/>
          <w:b/>
          <w:sz w:val="26"/>
          <w:szCs w:val="26"/>
        </w:rPr>
        <w:t xml:space="preserve">. </w:t>
      </w:r>
      <w:r w:rsidRPr="00932F75">
        <w:rPr>
          <w:rFonts w:ascii="Times New Roman" w:hAnsi="Times New Roman" w:cs="Times New Roman"/>
          <w:sz w:val="26"/>
          <w:szCs w:val="26"/>
        </w:rPr>
        <w:t>The results revealed that 43.5% of the individuals screened were positive to IgG biomarker while 81.5% showed positive to IgM biomarker</w:t>
      </w:r>
      <w:r w:rsidRPr="00932F75">
        <w:rPr>
          <w:rFonts w:ascii="Times New Roman" w:hAnsi="Times New Roman" w:cs="Times New Roman"/>
          <w:sz w:val="24"/>
          <w:szCs w:val="24"/>
        </w:rPr>
        <w:t xml:space="preserve">. Meanwhile, 12.5% of the screened individuals showed normal interleukin 6 while 5.5% showed normal interleukin 10.  Therefore, it is obvious that the level of IgG and IgM increased in the serum of individuals that tested positive to the infection while the level of interleukin 6 and interleukin 10 decreased among individuals infected. This finding has shown that </w:t>
      </w:r>
      <w:r w:rsidRPr="00932F75">
        <w:rPr>
          <w:rFonts w:ascii="Times New Roman" w:hAnsi="Times New Roman" w:cs="Times New Roman"/>
          <w:i/>
          <w:sz w:val="24"/>
          <w:szCs w:val="24"/>
        </w:rPr>
        <w:t>H. pylori</w:t>
      </w:r>
      <w:r w:rsidRPr="00932F75">
        <w:rPr>
          <w:rFonts w:ascii="Times New Roman" w:hAnsi="Times New Roman" w:cs="Times New Roman"/>
          <w:sz w:val="24"/>
          <w:szCs w:val="24"/>
        </w:rPr>
        <w:t xml:space="preserve"> possesses immunomodulatory potential. </w:t>
      </w:r>
    </w:p>
    <w:p w14:paraId="2442D16E" w14:textId="77777777" w:rsidR="001C3457" w:rsidRPr="00932F75" w:rsidRDefault="001C3457" w:rsidP="001C3457">
      <w:pPr>
        <w:spacing w:before="240" w:line="360" w:lineRule="auto"/>
        <w:jc w:val="both"/>
        <w:rPr>
          <w:rFonts w:ascii="Times New Roman" w:hAnsi="Times New Roman" w:cs="Times New Roman"/>
          <w:sz w:val="26"/>
          <w:szCs w:val="26"/>
        </w:rPr>
      </w:pPr>
    </w:p>
    <w:p w14:paraId="6D2B689E" w14:textId="77777777" w:rsidR="004936C8" w:rsidRPr="00932F75" w:rsidRDefault="004936C8" w:rsidP="004936C8">
      <w:pPr>
        <w:pStyle w:val="ListParagraph"/>
        <w:numPr>
          <w:ilvl w:val="0"/>
          <w:numId w:val="1"/>
        </w:numPr>
        <w:rPr>
          <w:rFonts w:ascii="Times New Roman" w:hAnsi="Times New Roman" w:cs="Times New Roman"/>
          <w:b/>
        </w:rPr>
      </w:pPr>
      <w:r w:rsidRPr="00932F75">
        <w:rPr>
          <w:rFonts w:ascii="Times New Roman" w:hAnsi="Times New Roman" w:cs="Times New Roman"/>
          <w:b/>
        </w:rPr>
        <w:t>INTRODUCTION</w:t>
      </w:r>
    </w:p>
    <w:p w14:paraId="35596591" w14:textId="66415878" w:rsidR="004936C8" w:rsidRPr="00932F75" w:rsidRDefault="004936C8" w:rsidP="004936C8">
      <w:pPr>
        <w:jc w:val="both"/>
        <w:rPr>
          <w:rFonts w:ascii="Times New Roman" w:hAnsi="Times New Roman" w:cs="Times New Roman"/>
        </w:rPr>
      </w:pPr>
      <w:r w:rsidRPr="00932F75">
        <w:rPr>
          <w:rFonts w:ascii="Times New Roman" w:hAnsi="Times New Roman" w:cs="Times New Roman"/>
        </w:rPr>
        <w:t xml:space="preserve">Infectious disease is a major source of threat to man globally due to ubiquitous nature of the causative agents </w:t>
      </w:r>
      <w:r w:rsidRPr="00932F75">
        <w:rPr>
          <w:rFonts w:ascii="Times New Roman" w:hAnsi="Times New Roman" w:cs="Times New Roman"/>
          <w:sz w:val="26"/>
          <w:szCs w:val="26"/>
        </w:rPr>
        <w:t xml:space="preserve">(Bello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2018; </w:t>
      </w:r>
      <w:proofErr w:type="spellStart"/>
      <w:r w:rsidRPr="00932F75">
        <w:rPr>
          <w:rFonts w:ascii="Times New Roman" w:hAnsi="Times New Roman" w:cs="Times New Roman"/>
          <w:sz w:val="26"/>
          <w:szCs w:val="26"/>
        </w:rPr>
        <w:t>Marginea</w:t>
      </w:r>
      <w:proofErr w:type="spellEnd"/>
      <w:r w:rsidRPr="00932F75">
        <w:rPr>
          <w:rFonts w:ascii="Times New Roman" w:hAnsi="Times New Roman" w:cs="Times New Roman"/>
          <w:sz w:val="26"/>
          <w:szCs w:val="26"/>
        </w:rPr>
        <w:t xml:space="preserve">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2022</w:t>
      </w:r>
      <w:r w:rsidR="0003595B" w:rsidRPr="00932F75">
        <w:rPr>
          <w:rFonts w:ascii="Times New Roman" w:hAnsi="Times New Roman" w:cs="Times New Roman"/>
        </w:rPr>
        <w:t>)</w:t>
      </w:r>
      <w:r w:rsidRPr="00932F75">
        <w:rPr>
          <w:rFonts w:ascii="Times New Roman" w:hAnsi="Times New Roman" w:cs="Times New Roman"/>
        </w:rPr>
        <w:t xml:space="preserve">. </w:t>
      </w:r>
      <w:r w:rsidRPr="00932F75">
        <w:rPr>
          <w:rFonts w:ascii="Times New Roman" w:eastAsia="Calibri" w:hAnsi="Times New Roman" w:cs="Times New Roman"/>
          <w:sz w:val="26"/>
          <w:szCs w:val="26"/>
        </w:rPr>
        <w:t>One of the infectious diseases is stomach ulcer caused by</w:t>
      </w:r>
      <w:r w:rsidRPr="00932F75">
        <w:rPr>
          <w:rFonts w:ascii="Times New Roman" w:hAnsi="Times New Roman" w:cs="Times New Roman"/>
          <w:sz w:val="26"/>
          <w:szCs w:val="26"/>
        </w:rPr>
        <w:t xml:space="preserve"> a Gram-negative, microaerophilic, and spiral-shaped bacterium that affects </w:t>
      </w:r>
      <w:r w:rsidRPr="00932F75">
        <w:rPr>
          <w:rFonts w:ascii="Times New Roman" w:hAnsi="Times New Roman" w:cs="Times New Roman"/>
          <w:sz w:val="26"/>
          <w:szCs w:val="26"/>
        </w:rPr>
        <w:lastRenderedPageBreak/>
        <w:t>more than half of the human population worldwide, and is more predominant in developing countries (</w:t>
      </w:r>
      <w:proofErr w:type="spellStart"/>
      <w:r w:rsidRPr="00932F75">
        <w:rPr>
          <w:rFonts w:ascii="Times New Roman" w:hAnsi="Times New Roman" w:cs="Times New Roman"/>
          <w:sz w:val="26"/>
          <w:szCs w:val="26"/>
        </w:rPr>
        <w:t>Alfarouk</w:t>
      </w:r>
      <w:proofErr w:type="spellEnd"/>
      <w:r w:rsidRPr="00932F75">
        <w:rPr>
          <w:rFonts w:ascii="Times New Roman" w:hAnsi="Times New Roman" w:cs="Times New Roman"/>
          <w:sz w:val="26"/>
          <w:szCs w:val="26"/>
        </w:rPr>
        <w:t xml:space="preserve">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2019; Alexandra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2022).</w:t>
      </w:r>
    </w:p>
    <w:p w14:paraId="419A425E" w14:textId="77777777" w:rsidR="004936C8" w:rsidRPr="00932F75" w:rsidRDefault="004936C8" w:rsidP="004936C8">
      <w:pPr>
        <w:spacing w:before="240" w:after="240" w:line="360" w:lineRule="auto"/>
        <w:jc w:val="both"/>
        <w:rPr>
          <w:rFonts w:ascii="Times New Roman" w:hAnsi="Times New Roman" w:cs="Times New Roman"/>
          <w:sz w:val="26"/>
          <w:szCs w:val="26"/>
        </w:rPr>
      </w:pPr>
      <w:r w:rsidRPr="00932F75">
        <w:rPr>
          <w:rFonts w:ascii="Times New Roman" w:hAnsi="Times New Roman" w:cs="Times New Roman"/>
          <w:sz w:val="26"/>
          <w:szCs w:val="26"/>
        </w:rPr>
        <w:t xml:space="preserve">Research had revealed that </w:t>
      </w:r>
      <w:r w:rsidRPr="00932F75">
        <w:rPr>
          <w:rFonts w:ascii="Times New Roman" w:hAnsi="Times New Roman" w:cs="Times New Roman"/>
          <w:i/>
          <w:sz w:val="26"/>
          <w:szCs w:val="26"/>
        </w:rPr>
        <w:t>H. pylori</w:t>
      </w:r>
      <w:r w:rsidRPr="00932F75">
        <w:rPr>
          <w:rFonts w:ascii="Times New Roman" w:hAnsi="Times New Roman" w:cs="Times New Roman"/>
          <w:sz w:val="26"/>
          <w:szCs w:val="26"/>
        </w:rPr>
        <w:t xml:space="preserve"> is the major bacterium responsible for stomach ulcer, which produces unbearable clinical manifestations to the infected individuals (Borka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2022; Cheok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2022; Che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2023).The infection is generally acquired during childhood but can remain asymptomatic with long-term clinical signs and symptoms such as gastric reflux, abdominal pain, intestinal bleeding, occasional fevers, and loss of weight which if not treated well can result to ulceration and perforation (Narayanan., 2018; Chukwuma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2020). The mode of transmission of </w:t>
      </w:r>
      <w:r w:rsidRPr="00932F75">
        <w:rPr>
          <w:rFonts w:ascii="Times New Roman" w:hAnsi="Times New Roman" w:cs="Times New Roman"/>
          <w:i/>
          <w:sz w:val="26"/>
          <w:szCs w:val="26"/>
        </w:rPr>
        <w:t>H. pylori</w:t>
      </w:r>
      <w:r w:rsidRPr="00932F75">
        <w:rPr>
          <w:rFonts w:ascii="Times New Roman" w:hAnsi="Times New Roman" w:cs="Times New Roman"/>
          <w:sz w:val="26"/>
          <w:szCs w:val="26"/>
        </w:rPr>
        <w:t xml:space="preserve"> has not been fully elucidated, but studies had revealed that person-to-person transmission, fecal-oral and oral-to-oral routes can lead to the transmission of this infection (Che</w:t>
      </w:r>
      <w:r w:rsidRPr="00932F75">
        <w:rPr>
          <w:rFonts w:ascii="Times New Roman" w:hAnsi="Times New Roman" w:cs="Times New Roman"/>
          <w:i/>
          <w:sz w:val="26"/>
          <w:szCs w:val="26"/>
        </w:rPr>
        <w:t xml:space="preserve"> et al.,</w:t>
      </w:r>
      <w:r w:rsidRPr="00932F75">
        <w:rPr>
          <w:rFonts w:ascii="Times New Roman" w:hAnsi="Times New Roman" w:cs="Times New Roman"/>
          <w:sz w:val="26"/>
          <w:szCs w:val="26"/>
        </w:rPr>
        <w:t xml:space="preserve"> 2023; (Charitos </w:t>
      </w:r>
      <w:r w:rsidRPr="00932F75">
        <w:rPr>
          <w:rFonts w:ascii="Times New Roman" w:hAnsi="Times New Roman" w:cs="Times New Roman"/>
          <w:i/>
          <w:sz w:val="26"/>
          <w:szCs w:val="26"/>
        </w:rPr>
        <w:t xml:space="preserve">et al., </w:t>
      </w:r>
      <w:r w:rsidRPr="00932F75">
        <w:rPr>
          <w:rFonts w:ascii="Times New Roman" w:hAnsi="Times New Roman" w:cs="Times New Roman"/>
          <w:sz w:val="26"/>
          <w:szCs w:val="26"/>
        </w:rPr>
        <w:t xml:space="preserve">2021).    </w:t>
      </w:r>
    </w:p>
    <w:p w14:paraId="55F0F00E" w14:textId="77777777" w:rsidR="004936C8" w:rsidRPr="00932F75" w:rsidRDefault="004936C8" w:rsidP="004936C8">
      <w:pPr>
        <w:spacing w:before="240" w:after="240" w:line="360" w:lineRule="auto"/>
        <w:jc w:val="both"/>
        <w:rPr>
          <w:rFonts w:ascii="Times New Roman" w:hAnsi="Times New Roman" w:cs="Times New Roman"/>
          <w:sz w:val="26"/>
          <w:szCs w:val="26"/>
        </w:rPr>
      </w:pPr>
      <w:r w:rsidRPr="00932F75">
        <w:rPr>
          <w:rFonts w:ascii="Times New Roman" w:hAnsi="Times New Roman" w:cs="Times New Roman"/>
        </w:rPr>
        <w:t xml:space="preserve"> </w:t>
      </w:r>
      <w:r w:rsidRPr="00932F75">
        <w:rPr>
          <w:rFonts w:ascii="Times New Roman" w:hAnsi="Times New Roman" w:cs="Times New Roman"/>
          <w:sz w:val="26"/>
          <w:szCs w:val="26"/>
        </w:rPr>
        <w:t xml:space="preserve">It is worthy to note that the functions and the number of immune cells have been influenced among individuals infected by </w:t>
      </w:r>
      <w:r w:rsidRPr="00932F75">
        <w:rPr>
          <w:rFonts w:ascii="Times New Roman" w:hAnsi="Times New Roman" w:cs="Times New Roman"/>
          <w:i/>
          <w:sz w:val="26"/>
          <w:szCs w:val="26"/>
        </w:rPr>
        <w:t>H. pylori</w:t>
      </w:r>
      <w:r w:rsidRPr="00932F75">
        <w:rPr>
          <w:rFonts w:ascii="Times New Roman" w:hAnsi="Times New Roman" w:cs="Times New Roman"/>
          <w:sz w:val="26"/>
          <w:szCs w:val="26"/>
        </w:rPr>
        <w:t xml:space="preserve"> as documented by several researchers (</w:t>
      </w:r>
      <w:proofErr w:type="spellStart"/>
      <w:r w:rsidRPr="00932F75">
        <w:rPr>
          <w:rFonts w:ascii="Times New Roman" w:hAnsi="Times New Roman" w:cs="Times New Roman"/>
          <w:sz w:val="26"/>
          <w:szCs w:val="26"/>
        </w:rPr>
        <w:t>Moyat</w:t>
      </w:r>
      <w:proofErr w:type="spellEnd"/>
      <w:r w:rsidRPr="00932F75">
        <w:rPr>
          <w:rFonts w:ascii="Times New Roman" w:hAnsi="Times New Roman" w:cs="Times New Roman"/>
          <w:sz w:val="26"/>
          <w:szCs w:val="26"/>
        </w:rPr>
        <w:t xml:space="preserve"> and </w:t>
      </w:r>
      <w:proofErr w:type="spellStart"/>
      <w:r w:rsidRPr="00932F75">
        <w:rPr>
          <w:rFonts w:ascii="Times New Roman" w:hAnsi="Times New Roman" w:cs="Times New Roman"/>
          <w:sz w:val="26"/>
          <w:szCs w:val="26"/>
        </w:rPr>
        <w:t>Velin</w:t>
      </w:r>
      <w:proofErr w:type="spellEnd"/>
      <w:r w:rsidRPr="00932F75">
        <w:rPr>
          <w:rFonts w:ascii="Times New Roman" w:hAnsi="Times New Roman" w:cs="Times New Roman"/>
          <w:sz w:val="26"/>
          <w:szCs w:val="26"/>
        </w:rPr>
        <w:t xml:space="preserve">, 2014; Lina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2014; Milic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2019). The role of immune cells in tackling infectious agent cannot be overemphasized because no individual can thrive comfortably without vibrant immunity (Lina </w:t>
      </w:r>
      <w:r w:rsidRPr="00932F75">
        <w:rPr>
          <w:rFonts w:ascii="Times New Roman" w:hAnsi="Times New Roman" w:cs="Times New Roman"/>
          <w:i/>
          <w:sz w:val="26"/>
          <w:szCs w:val="26"/>
        </w:rPr>
        <w:t>et al</w:t>
      </w:r>
      <w:r w:rsidRPr="00932F75">
        <w:rPr>
          <w:rFonts w:ascii="Times New Roman" w:hAnsi="Times New Roman" w:cs="Times New Roman"/>
          <w:sz w:val="26"/>
          <w:szCs w:val="26"/>
        </w:rPr>
        <w:t>., 2014). Some of the virulent factors possessed by the pathogen are capable of circumventing immune response, and also produce toxins that are capable of retarding the functionality and counts of the immune cells such as interleukin -6 and IL-10 (</w:t>
      </w:r>
      <w:proofErr w:type="spellStart"/>
      <w:r w:rsidRPr="00932F75">
        <w:rPr>
          <w:rFonts w:ascii="Times New Roman" w:hAnsi="Times New Roman" w:cs="Times New Roman"/>
          <w:sz w:val="26"/>
          <w:szCs w:val="26"/>
        </w:rPr>
        <w:t>Akdogan</w:t>
      </w:r>
      <w:proofErr w:type="spellEnd"/>
      <w:r w:rsidRPr="00932F75">
        <w:rPr>
          <w:rFonts w:ascii="Times New Roman" w:hAnsi="Times New Roman" w:cs="Times New Roman"/>
          <w:sz w:val="26"/>
          <w:szCs w:val="26"/>
        </w:rPr>
        <w:t xml:space="preserve"> </w:t>
      </w:r>
      <w:r w:rsidRPr="00932F75">
        <w:rPr>
          <w:rFonts w:ascii="Times New Roman" w:hAnsi="Times New Roman" w:cs="Times New Roman"/>
          <w:i/>
          <w:sz w:val="26"/>
          <w:szCs w:val="26"/>
        </w:rPr>
        <w:t xml:space="preserve">et al., </w:t>
      </w:r>
      <w:r w:rsidRPr="00932F75">
        <w:rPr>
          <w:rFonts w:ascii="Times New Roman" w:hAnsi="Times New Roman" w:cs="Times New Roman"/>
          <w:sz w:val="26"/>
          <w:szCs w:val="26"/>
        </w:rPr>
        <w:t xml:space="preserve">2014; Nwachukwu </w:t>
      </w:r>
      <w:r w:rsidRPr="00932F75">
        <w:rPr>
          <w:rFonts w:ascii="Times New Roman" w:hAnsi="Times New Roman" w:cs="Times New Roman"/>
          <w:i/>
          <w:sz w:val="26"/>
          <w:szCs w:val="26"/>
        </w:rPr>
        <w:t>et al</w:t>
      </w:r>
      <w:r w:rsidRPr="00932F75">
        <w:rPr>
          <w:rFonts w:ascii="Times New Roman" w:hAnsi="Times New Roman" w:cs="Times New Roman"/>
          <w:sz w:val="26"/>
          <w:szCs w:val="26"/>
        </w:rPr>
        <w:t>., 2020) while the number of immunoglobulins increases when a pathogen invades the host in order to arrest the infectious condition provided that the infected individuals are immunocompetent (</w:t>
      </w:r>
      <w:proofErr w:type="spellStart"/>
      <w:r w:rsidRPr="00932F75">
        <w:rPr>
          <w:rFonts w:ascii="Times New Roman" w:hAnsi="Times New Roman" w:cs="Times New Roman"/>
          <w:sz w:val="26"/>
          <w:szCs w:val="26"/>
        </w:rPr>
        <w:t>Moyat</w:t>
      </w:r>
      <w:proofErr w:type="spellEnd"/>
      <w:r w:rsidRPr="00932F75">
        <w:rPr>
          <w:rFonts w:ascii="Times New Roman" w:hAnsi="Times New Roman" w:cs="Times New Roman"/>
          <w:sz w:val="26"/>
          <w:szCs w:val="26"/>
        </w:rPr>
        <w:t xml:space="preserve"> and </w:t>
      </w:r>
      <w:proofErr w:type="spellStart"/>
      <w:r w:rsidRPr="00932F75">
        <w:rPr>
          <w:rFonts w:ascii="Times New Roman" w:hAnsi="Times New Roman" w:cs="Times New Roman"/>
          <w:sz w:val="26"/>
          <w:szCs w:val="26"/>
        </w:rPr>
        <w:t>Velin</w:t>
      </w:r>
      <w:proofErr w:type="spellEnd"/>
      <w:r w:rsidRPr="00932F75">
        <w:rPr>
          <w:rFonts w:ascii="Times New Roman" w:hAnsi="Times New Roman" w:cs="Times New Roman"/>
          <w:sz w:val="26"/>
          <w:szCs w:val="26"/>
        </w:rPr>
        <w:t>, 2014).</w:t>
      </w:r>
    </w:p>
    <w:p w14:paraId="1736361C" w14:textId="77777777" w:rsidR="004936C8" w:rsidRPr="00932F75" w:rsidRDefault="004936C8" w:rsidP="004936C8">
      <w:pPr>
        <w:spacing w:before="240" w:line="360" w:lineRule="auto"/>
        <w:jc w:val="both"/>
        <w:rPr>
          <w:rFonts w:ascii="Times New Roman" w:hAnsi="Times New Roman" w:cs="Times New Roman"/>
          <w:sz w:val="24"/>
          <w:szCs w:val="24"/>
        </w:rPr>
      </w:pPr>
      <w:r w:rsidRPr="00932F75">
        <w:rPr>
          <w:rFonts w:ascii="Times New Roman" w:hAnsi="Times New Roman" w:cs="Times New Roman"/>
          <w:sz w:val="26"/>
          <w:szCs w:val="26"/>
        </w:rPr>
        <w:t xml:space="preserve">Several researchers have worked on immunology of </w:t>
      </w:r>
      <w:r w:rsidRPr="00932F75">
        <w:rPr>
          <w:rFonts w:ascii="Times New Roman" w:hAnsi="Times New Roman" w:cs="Times New Roman"/>
          <w:i/>
          <w:sz w:val="26"/>
          <w:szCs w:val="26"/>
        </w:rPr>
        <w:t>H. pylori</w:t>
      </w:r>
      <w:r w:rsidRPr="00932F75">
        <w:rPr>
          <w:rFonts w:ascii="Times New Roman" w:hAnsi="Times New Roman" w:cs="Times New Roman"/>
          <w:sz w:val="26"/>
          <w:szCs w:val="26"/>
        </w:rPr>
        <w:t xml:space="preserve"> infection such as </w:t>
      </w:r>
      <w:proofErr w:type="spellStart"/>
      <w:r w:rsidRPr="00932F75">
        <w:rPr>
          <w:rFonts w:ascii="Times New Roman" w:hAnsi="Times New Roman" w:cs="Times New Roman"/>
          <w:sz w:val="26"/>
          <w:szCs w:val="26"/>
        </w:rPr>
        <w:t>Akdogan</w:t>
      </w:r>
      <w:proofErr w:type="spellEnd"/>
      <w:r w:rsidRPr="00932F75">
        <w:rPr>
          <w:rFonts w:ascii="Times New Roman" w:hAnsi="Times New Roman" w:cs="Times New Roman"/>
          <w:sz w:val="26"/>
          <w:szCs w:val="26"/>
        </w:rPr>
        <w:t xml:space="preserve"> </w:t>
      </w:r>
      <w:r w:rsidRPr="00932F75">
        <w:rPr>
          <w:rFonts w:ascii="Times New Roman" w:hAnsi="Times New Roman" w:cs="Times New Roman"/>
          <w:i/>
          <w:sz w:val="26"/>
          <w:szCs w:val="26"/>
        </w:rPr>
        <w:t>et al. (</w:t>
      </w:r>
      <w:r w:rsidRPr="00932F75">
        <w:rPr>
          <w:rFonts w:ascii="Times New Roman" w:hAnsi="Times New Roman" w:cs="Times New Roman"/>
          <w:sz w:val="26"/>
          <w:szCs w:val="26"/>
        </w:rPr>
        <w:t xml:space="preserve">2014), Lina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(2014), Milic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(2019) and Nwachukwu </w:t>
      </w:r>
      <w:r w:rsidRPr="00932F75">
        <w:rPr>
          <w:rFonts w:ascii="Times New Roman" w:hAnsi="Times New Roman" w:cs="Times New Roman"/>
          <w:i/>
          <w:sz w:val="26"/>
          <w:szCs w:val="26"/>
        </w:rPr>
        <w:t>et al</w:t>
      </w:r>
      <w:r w:rsidRPr="00932F75">
        <w:rPr>
          <w:rFonts w:ascii="Times New Roman" w:hAnsi="Times New Roman" w:cs="Times New Roman"/>
          <w:sz w:val="26"/>
          <w:szCs w:val="26"/>
        </w:rPr>
        <w:t xml:space="preserve">. (2020) but few studies are available on the </w:t>
      </w:r>
      <w:r w:rsidRPr="00932F75">
        <w:rPr>
          <w:rFonts w:ascii="Times New Roman" w:hAnsi="Times New Roman" w:cs="Times New Roman"/>
          <w:sz w:val="24"/>
          <w:szCs w:val="24"/>
        </w:rPr>
        <w:t xml:space="preserve">effects of </w:t>
      </w:r>
      <w:r w:rsidRPr="00932F75">
        <w:rPr>
          <w:rFonts w:ascii="Times New Roman" w:hAnsi="Times New Roman" w:cs="Times New Roman"/>
          <w:i/>
          <w:sz w:val="24"/>
          <w:szCs w:val="24"/>
        </w:rPr>
        <w:t>Helicobacter pylori</w:t>
      </w:r>
      <w:r w:rsidRPr="00932F75">
        <w:rPr>
          <w:rFonts w:ascii="Times New Roman" w:hAnsi="Times New Roman" w:cs="Times New Roman"/>
          <w:sz w:val="24"/>
          <w:szCs w:val="24"/>
        </w:rPr>
        <w:t xml:space="preserve"> infection on the immunoglobulins and interleukins of infected patients at Nnewi North, Nigeria. Hence, the aim of this study is to evaluate </w:t>
      </w:r>
      <w:r w:rsidRPr="00932F75">
        <w:rPr>
          <w:rFonts w:ascii="Times New Roman" w:hAnsi="Times New Roman" w:cs="Times New Roman"/>
          <w:sz w:val="24"/>
          <w:szCs w:val="24"/>
        </w:rPr>
        <w:lastRenderedPageBreak/>
        <w:t xml:space="preserve">the effects of </w:t>
      </w:r>
      <w:r w:rsidRPr="00932F75">
        <w:rPr>
          <w:rFonts w:ascii="Times New Roman" w:hAnsi="Times New Roman" w:cs="Times New Roman"/>
          <w:i/>
          <w:sz w:val="24"/>
          <w:szCs w:val="24"/>
        </w:rPr>
        <w:t>Helicobacter pylori</w:t>
      </w:r>
      <w:r w:rsidRPr="00932F75">
        <w:rPr>
          <w:rFonts w:ascii="Times New Roman" w:hAnsi="Times New Roman" w:cs="Times New Roman"/>
          <w:sz w:val="24"/>
          <w:szCs w:val="24"/>
        </w:rPr>
        <w:t xml:space="preserve"> infection on the immunoglobulins and interleukins of infected patients at Nnewi North, Nigeria. </w:t>
      </w:r>
      <w:r w:rsidRPr="00932F75">
        <w:rPr>
          <w:rFonts w:ascii="Times New Roman" w:hAnsi="Times New Roman" w:cs="Times New Roman"/>
        </w:rPr>
        <w:t xml:space="preserve"> </w:t>
      </w:r>
    </w:p>
    <w:p w14:paraId="15C68EAA" w14:textId="77777777" w:rsidR="004936C8" w:rsidRPr="00932F75" w:rsidRDefault="004936C8" w:rsidP="004936C8">
      <w:pPr>
        <w:rPr>
          <w:rFonts w:ascii="Times New Roman" w:eastAsia="Calibri" w:hAnsi="Times New Roman" w:cs="Times New Roman"/>
          <w:b/>
          <w:iCs/>
          <w:sz w:val="24"/>
          <w:szCs w:val="24"/>
        </w:rPr>
      </w:pPr>
      <w:r w:rsidRPr="00932F75">
        <w:rPr>
          <w:rFonts w:ascii="Times New Roman" w:eastAsia="Calibri" w:hAnsi="Times New Roman" w:cs="Times New Roman"/>
          <w:b/>
          <w:iCs/>
          <w:sz w:val="24"/>
          <w:szCs w:val="24"/>
        </w:rPr>
        <w:t>2.0: MATERIALS AND METHODS</w:t>
      </w:r>
    </w:p>
    <w:p w14:paraId="7D5BD5F6" w14:textId="77777777" w:rsidR="004936C8" w:rsidRPr="00932F75" w:rsidRDefault="004936C8" w:rsidP="004936C8">
      <w:pPr>
        <w:rPr>
          <w:rFonts w:ascii="Times New Roman" w:hAnsi="Times New Roman" w:cs="Times New Roman"/>
          <w:b/>
          <w:sz w:val="24"/>
          <w:szCs w:val="24"/>
        </w:rPr>
      </w:pPr>
      <w:r w:rsidRPr="00932F75">
        <w:rPr>
          <w:rFonts w:ascii="Times New Roman" w:hAnsi="Times New Roman" w:cs="Times New Roman"/>
          <w:b/>
          <w:sz w:val="24"/>
          <w:szCs w:val="24"/>
        </w:rPr>
        <w:t>2.1 Study Area</w:t>
      </w:r>
    </w:p>
    <w:p w14:paraId="472C4623" w14:textId="6D0C1265" w:rsidR="004936C8" w:rsidRPr="00932F75" w:rsidRDefault="004936C8" w:rsidP="004936C8">
      <w:pPr>
        <w:spacing w:line="360" w:lineRule="auto"/>
        <w:jc w:val="both"/>
        <w:rPr>
          <w:rFonts w:ascii="Times New Roman" w:hAnsi="Times New Roman" w:cs="Times New Roman"/>
          <w:sz w:val="24"/>
          <w:szCs w:val="24"/>
        </w:rPr>
      </w:pPr>
      <w:r w:rsidRPr="00932F75">
        <w:rPr>
          <w:rFonts w:ascii="Times New Roman" w:hAnsi="Times New Roman" w:cs="Times New Roman"/>
          <w:sz w:val="24"/>
          <w:szCs w:val="24"/>
        </w:rPr>
        <w:t>The study was carried out at Nnewi North Local Government metropolitan commercial city in Anambra State, Nigeria. Nnewi is   located in the South-East zone in Anambra state, Nigeria. It is the second largest commercial city in Anambra State in south-eastern Nigeria with two local government areas, Nnewi North and Nnewi South. Nnewi North is commonly referred to as Nnewi central and is the center of commercial activities.</w:t>
      </w:r>
    </w:p>
    <w:p w14:paraId="3BC388A6" w14:textId="77777777" w:rsidR="0003595B" w:rsidRPr="00932F75" w:rsidRDefault="0003595B" w:rsidP="0003595B">
      <w:pPr>
        <w:pStyle w:val="ListParagraph"/>
        <w:spacing w:line="360" w:lineRule="auto"/>
        <w:ind w:left="270" w:hanging="270"/>
        <w:jc w:val="both"/>
        <w:rPr>
          <w:rFonts w:ascii="Times New Roman" w:hAnsi="Times New Roman" w:cs="Times New Roman"/>
          <w:b/>
          <w:sz w:val="26"/>
          <w:szCs w:val="26"/>
        </w:rPr>
      </w:pPr>
      <w:r w:rsidRPr="00932F75">
        <w:rPr>
          <w:rFonts w:ascii="Times New Roman" w:hAnsi="Times New Roman" w:cs="Times New Roman"/>
          <w:b/>
          <w:sz w:val="26"/>
          <w:szCs w:val="26"/>
        </w:rPr>
        <w:t>Research Design</w:t>
      </w:r>
    </w:p>
    <w:p w14:paraId="032A9153" w14:textId="7FA6828C" w:rsidR="0003595B" w:rsidRPr="00932F75" w:rsidRDefault="0023247C" w:rsidP="0023247C">
      <w:pPr>
        <w:spacing w:before="240" w:line="360" w:lineRule="auto"/>
        <w:jc w:val="both"/>
        <w:rPr>
          <w:rFonts w:ascii="Times New Roman" w:hAnsi="Times New Roman" w:cs="Times New Roman"/>
          <w:b/>
          <w:sz w:val="24"/>
          <w:szCs w:val="24"/>
        </w:rPr>
      </w:pPr>
      <w:r w:rsidRPr="00932F75">
        <w:rPr>
          <w:rFonts w:ascii="Times New Roman" w:hAnsi="Times New Roman" w:cs="Times New Roman"/>
          <w:bCs/>
          <w:sz w:val="24"/>
          <w:szCs w:val="24"/>
        </w:rPr>
        <w:t xml:space="preserve">This cross-sectional research </w:t>
      </w:r>
      <w:r w:rsidR="0003595B" w:rsidRPr="00932F75">
        <w:rPr>
          <w:rFonts w:ascii="Times New Roman" w:hAnsi="Times New Roman" w:cs="Times New Roman"/>
          <w:bCs/>
          <w:sz w:val="24"/>
          <w:szCs w:val="24"/>
        </w:rPr>
        <w:t>evaluate</w:t>
      </w:r>
      <w:r w:rsidRPr="00932F75">
        <w:rPr>
          <w:rFonts w:ascii="Times New Roman" w:hAnsi="Times New Roman" w:cs="Times New Roman"/>
          <w:bCs/>
          <w:sz w:val="24"/>
          <w:szCs w:val="24"/>
        </w:rPr>
        <w:t>d</w:t>
      </w:r>
      <w:r w:rsidR="0003595B" w:rsidRPr="00932F75">
        <w:rPr>
          <w:rFonts w:ascii="Times New Roman" w:hAnsi="Times New Roman" w:cs="Times New Roman"/>
          <w:bCs/>
          <w:sz w:val="24"/>
          <w:szCs w:val="24"/>
        </w:rPr>
        <w:t xml:space="preserve"> </w:t>
      </w:r>
      <w:r w:rsidR="002E55F5" w:rsidRPr="00932F75">
        <w:rPr>
          <w:rFonts w:ascii="Times New Roman" w:hAnsi="Times New Roman" w:cs="Times New Roman"/>
          <w:bCs/>
          <w:sz w:val="24"/>
          <w:szCs w:val="24"/>
        </w:rPr>
        <w:t xml:space="preserve">the </w:t>
      </w:r>
      <w:r w:rsidR="002E55F5" w:rsidRPr="00932F75">
        <w:rPr>
          <w:rFonts w:ascii="Times New Roman" w:hAnsi="Times New Roman" w:cs="Times New Roman"/>
          <w:sz w:val="24"/>
          <w:szCs w:val="24"/>
        </w:rPr>
        <w:t xml:space="preserve">effect of </w:t>
      </w:r>
      <w:r w:rsidR="002E55F5" w:rsidRPr="00932F75">
        <w:rPr>
          <w:rFonts w:ascii="Times New Roman" w:hAnsi="Times New Roman" w:cs="Times New Roman"/>
          <w:i/>
          <w:sz w:val="24"/>
          <w:szCs w:val="24"/>
        </w:rPr>
        <w:t>Helicobacter pylori</w:t>
      </w:r>
      <w:r w:rsidR="002E55F5" w:rsidRPr="00932F75">
        <w:rPr>
          <w:rFonts w:ascii="Times New Roman" w:hAnsi="Times New Roman" w:cs="Times New Roman"/>
          <w:sz w:val="24"/>
          <w:szCs w:val="24"/>
        </w:rPr>
        <w:t xml:space="preserve"> infection on the immunoglobulins and interleukins of infected patients </w:t>
      </w:r>
      <w:r w:rsidR="002E55F5" w:rsidRPr="00932F75">
        <w:rPr>
          <w:rFonts w:ascii="Times New Roman" w:eastAsia="Calibri" w:hAnsi="Times New Roman" w:cs="Times New Roman"/>
          <w:iCs/>
          <w:sz w:val="24"/>
          <w:szCs w:val="24"/>
        </w:rPr>
        <w:t>at Nnewi North</w:t>
      </w:r>
      <w:r w:rsidR="002E55F5" w:rsidRPr="00932F75">
        <w:rPr>
          <w:rFonts w:ascii="Times New Roman" w:hAnsi="Times New Roman" w:cs="Times New Roman"/>
          <w:sz w:val="24"/>
          <w:szCs w:val="24"/>
        </w:rPr>
        <w:t>, Nigeria</w:t>
      </w:r>
      <w:r w:rsidRPr="00932F75">
        <w:rPr>
          <w:rFonts w:ascii="Times New Roman" w:hAnsi="Times New Roman" w:cs="Times New Roman"/>
          <w:sz w:val="24"/>
          <w:szCs w:val="24"/>
        </w:rPr>
        <w:t xml:space="preserve">. </w:t>
      </w:r>
      <w:r w:rsidRPr="00932F75">
        <w:rPr>
          <w:rFonts w:ascii="Times New Roman" w:hAnsi="Times New Roman" w:cs="Times New Roman"/>
          <w:bCs/>
          <w:sz w:val="24"/>
          <w:szCs w:val="24"/>
        </w:rPr>
        <w:t>It was</w:t>
      </w:r>
      <w:r w:rsidR="0003595B" w:rsidRPr="00932F75">
        <w:rPr>
          <w:rFonts w:ascii="Times New Roman" w:hAnsi="Times New Roman" w:cs="Times New Roman"/>
          <w:bCs/>
          <w:sz w:val="24"/>
          <w:szCs w:val="24"/>
        </w:rPr>
        <w:t xml:space="preserve"> a hospital/school/Laboratory-based study.</w:t>
      </w:r>
    </w:p>
    <w:p w14:paraId="088B8BA7" w14:textId="77777777" w:rsidR="004936C8" w:rsidRPr="00932F75" w:rsidRDefault="004936C8" w:rsidP="004936C8">
      <w:pPr>
        <w:spacing w:line="360" w:lineRule="auto"/>
        <w:jc w:val="both"/>
        <w:rPr>
          <w:rFonts w:ascii="Times New Roman" w:hAnsi="Times New Roman" w:cs="Times New Roman"/>
          <w:b/>
          <w:bCs/>
          <w:sz w:val="24"/>
          <w:szCs w:val="24"/>
        </w:rPr>
      </w:pPr>
      <w:r w:rsidRPr="00932F75">
        <w:rPr>
          <w:rFonts w:ascii="Times New Roman" w:hAnsi="Times New Roman" w:cs="Times New Roman"/>
          <w:b/>
          <w:sz w:val="24"/>
          <w:szCs w:val="24"/>
        </w:rPr>
        <w:t xml:space="preserve">2.2 </w:t>
      </w:r>
      <w:r w:rsidRPr="00932F75">
        <w:rPr>
          <w:rFonts w:ascii="Times New Roman" w:hAnsi="Times New Roman" w:cs="Times New Roman"/>
          <w:b/>
          <w:bCs/>
          <w:sz w:val="24"/>
          <w:szCs w:val="24"/>
        </w:rPr>
        <w:t>Ethical Approval</w:t>
      </w:r>
    </w:p>
    <w:p w14:paraId="6C793E76" w14:textId="09688E1F" w:rsidR="004936C8" w:rsidRPr="00932F75" w:rsidRDefault="004936C8" w:rsidP="004936C8">
      <w:pPr>
        <w:spacing w:before="240" w:after="240" w:line="360" w:lineRule="auto"/>
        <w:jc w:val="both"/>
        <w:rPr>
          <w:rFonts w:ascii="Times New Roman" w:hAnsi="Times New Roman" w:cs="Times New Roman"/>
          <w:sz w:val="24"/>
          <w:szCs w:val="24"/>
        </w:rPr>
      </w:pPr>
      <w:r w:rsidRPr="00932F75">
        <w:rPr>
          <w:rFonts w:ascii="Times New Roman" w:hAnsi="Times New Roman" w:cs="Times New Roman"/>
          <w:sz w:val="24"/>
          <w:szCs w:val="24"/>
        </w:rPr>
        <w:t xml:space="preserve">This was obtained from the ethical committee of Chukwuemeka </w:t>
      </w:r>
      <w:proofErr w:type="spellStart"/>
      <w:r w:rsidRPr="00932F75">
        <w:rPr>
          <w:rFonts w:ascii="Times New Roman" w:hAnsi="Times New Roman" w:cs="Times New Roman"/>
          <w:sz w:val="24"/>
          <w:szCs w:val="24"/>
        </w:rPr>
        <w:t>Odumegwu</w:t>
      </w:r>
      <w:proofErr w:type="spellEnd"/>
      <w:r w:rsidRPr="00932F75">
        <w:rPr>
          <w:rFonts w:ascii="Times New Roman" w:hAnsi="Times New Roman" w:cs="Times New Roman"/>
          <w:sz w:val="24"/>
          <w:szCs w:val="24"/>
        </w:rPr>
        <w:t xml:space="preserve"> Ojukwu University Teaching Hospital </w:t>
      </w:r>
      <w:proofErr w:type="spellStart"/>
      <w:r w:rsidRPr="00932F75">
        <w:rPr>
          <w:rFonts w:ascii="Times New Roman" w:hAnsi="Times New Roman" w:cs="Times New Roman"/>
          <w:sz w:val="24"/>
          <w:szCs w:val="24"/>
        </w:rPr>
        <w:t>Awka</w:t>
      </w:r>
      <w:proofErr w:type="spellEnd"/>
      <w:r w:rsidRPr="00932F75">
        <w:rPr>
          <w:rFonts w:ascii="Times New Roman" w:hAnsi="Times New Roman" w:cs="Times New Roman"/>
          <w:sz w:val="24"/>
          <w:szCs w:val="24"/>
        </w:rPr>
        <w:t>, Anambra State, Nigeria</w:t>
      </w:r>
      <w:r w:rsidR="00AF00BC" w:rsidRPr="00932F75">
        <w:rPr>
          <w:rFonts w:ascii="Times New Roman" w:hAnsi="Times New Roman" w:cs="Times New Roman"/>
          <w:sz w:val="24"/>
          <w:szCs w:val="24"/>
        </w:rPr>
        <w:t xml:space="preserve"> (COOUTH/CMAC/ETH.C/Vol.1/FN:04/220)</w:t>
      </w:r>
      <w:r w:rsidRPr="00932F75">
        <w:rPr>
          <w:rFonts w:ascii="Times New Roman" w:hAnsi="Times New Roman" w:cs="Times New Roman"/>
          <w:sz w:val="24"/>
          <w:szCs w:val="24"/>
        </w:rPr>
        <w:t>.</w:t>
      </w:r>
    </w:p>
    <w:p w14:paraId="025E28EF" w14:textId="77777777" w:rsidR="004936C8" w:rsidRPr="00932F75" w:rsidRDefault="004936C8" w:rsidP="004936C8">
      <w:pPr>
        <w:spacing w:before="240" w:after="240" w:line="360" w:lineRule="auto"/>
        <w:jc w:val="both"/>
        <w:rPr>
          <w:rFonts w:ascii="Times New Roman" w:hAnsi="Times New Roman" w:cs="Times New Roman"/>
          <w:sz w:val="24"/>
          <w:szCs w:val="24"/>
        </w:rPr>
      </w:pPr>
      <w:r w:rsidRPr="00932F75">
        <w:rPr>
          <w:rFonts w:ascii="Times New Roman" w:hAnsi="Times New Roman" w:cs="Times New Roman"/>
          <w:b/>
          <w:sz w:val="24"/>
          <w:szCs w:val="24"/>
        </w:rPr>
        <w:t xml:space="preserve">2.3 Sampling Technique </w:t>
      </w:r>
    </w:p>
    <w:p w14:paraId="71551A3C" w14:textId="77777777" w:rsidR="004936C8" w:rsidRPr="00932F75" w:rsidRDefault="004936C8" w:rsidP="004936C8">
      <w:pPr>
        <w:spacing w:before="240" w:after="240" w:line="360" w:lineRule="auto"/>
        <w:jc w:val="both"/>
        <w:rPr>
          <w:rFonts w:ascii="Times New Roman" w:hAnsi="Times New Roman" w:cs="Times New Roman"/>
          <w:sz w:val="24"/>
          <w:szCs w:val="24"/>
        </w:rPr>
      </w:pPr>
      <w:r w:rsidRPr="00932F75">
        <w:rPr>
          <w:rFonts w:ascii="Times New Roman" w:hAnsi="Times New Roman" w:cs="Times New Roman"/>
          <w:sz w:val="24"/>
          <w:szCs w:val="24"/>
        </w:rPr>
        <w:t xml:space="preserve">Random sampling technique was used to recruit participants in the study, comprising those who presented with or without the symptoms and signs that were suggestive of ulcers or gastritis. They were educated about the study and those willing to participate gave their consent in writing, and that of their parents/guardian until the required sample size was attained. </w:t>
      </w:r>
    </w:p>
    <w:p w14:paraId="68DC5F97" w14:textId="77777777" w:rsidR="004936C8" w:rsidRPr="00932F75" w:rsidRDefault="004936C8" w:rsidP="004936C8">
      <w:pPr>
        <w:spacing w:before="240" w:after="240"/>
        <w:jc w:val="both"/>
        <w:rPr>
          <w:rFonts w:ascii="Times New Roman" w:hAnsi="Times New Roman" w:cs="Times New Roman"/>
          <w:b/>
          <w:sz w:val="24"/>
          <w:szCs w:val="24"/>
          <w:lang w:val="en-GB"/>
        </w:rPr>
      </w:pPr>
      <w:r w:rsidRPr="00932F75">
        <w:rPr>
          <w:rFonts w:ascii="Times New Roman" w:hAnsi="Times New Roman" w:cs="Times New Roman"/>
          <w:b/>
          <w:sz w:val="24"/>
          <w:szCs w:val="24"/>
          <w:lang w:val="en-GB"/>
        </w:rPr>
        <w:t>2.4 Collection of Specimen</w:t>
      </w:r>
    </w:p>
    <w:p w14:paraId="694C1512" w14:textId="77777777" w:rsidR="004936C8" w:rsidRPr="00932F75" w:rsidRDefault="004936C8" w:rsidP="004936C8">
      <w:pPr>
        <w:spacing w:before="240" w:after="240" w:line="360" w:lineRule="auto"/>
        <w:jc w:val="both"/>
        <w:rPr>
          <w:rFonts w:ascii="Times New Roman" w:hAnsi="Times New Roman" w:cs="Times New Roman"/>
          <w:sz w:val="24"/>
          <w:szCs w:val="24"/>
        </w:rPr>
      </w:pPr>
      <w:r w:rsidRPr="00932F75">
        <w:rPr>
          <w:rFonts w:ascii="Times New Roman" w:hAnsi="Times New Roman" w:cs="Times New Roman"/>
          <w:sz w:val="24"/>
          <w:szCs w:val="24"/>
          <w:lang w:val="en-GB"/>
        </w:rPr>
        <w:t xml:space="preserve">Two </w:t>
      </w:r>
      <w:r w:rsidRPr="00932F75">
        <w:rPr>
          <w:rFonts w:ascii="Times New Roman" w:hAnsi="Times New Roman" w:cs="Times New Roman"/>
          <w:sz w:val="24"/>
          <w:szCs w:val="24"/>
        </w:rPr>
        <w:t>hundred (200) blood samples were aseptically collected from different age groups in the sampled communities (</w:t>
      </w:r>
      <w:proofErr w:type="spellStart"/>
      <w:r w:rsidRPr="00932F75">
        <w:rPr>
          <w:rFonts w:ascii="Times New Roman" w:hAnsi="Times New Roman" w:cs="Times New Roman"/>
          <w:sz w:val="24"/>
          <w:szCs w:val="24"/>
        </w:rPr>
        <w:t>Umudim</w:t>
      </w:r>
      <w:proofErr w:type="spellEnd"/>
      <w:r w:rsidRPr="00932F75">
        <w:rPr>
          <w:rFonts w:ascii="Times New Roman" w:hAnsi="Times New Roman" w:cs="Times New Roman"/>
          <w:sz w:val="24"/>
          <w:szCs w:val="24"/>
        </w:rPr>
        <w:t xml:space="preserve">, </w:t>
      </w:r>
      <w:proofErr w:type="spellStart"/>
      <w:r w:rsidRPr="00932F75">
        <w:rPr>
          <w:rFonts w:ascii="Times New Roman" w:hAnsi="Times New Roman" w:cs="Times New Roman"/>
          <w:sz w:val="24"/>
          <w:szCs w:val="24"/>
        </w:rPr>
        <w:t>Uruagu</w:t>
      </w:r>
      <w:proofErr w:type="spellEnd"/>
      <w:r w:rsidRPr="00932F75">
        <w:rPr>
          <w:rFonts w:ascii="Times New Roman" w:hAnsi="Times New Roman" w:cs="Times New Roman"/>
          <w:sz w:val="24"/>
          <w:szCs w:val="24"/>
        </w:rPr>
        <w:t xml:space="preserve">, </w:t>
      </w:r>
      <w:proofErr w:type="spellStart"/>
      <w:r w:rsidRPr="00932F75">
        <w:rPr>
          <w:rFonts w:ascii="Times New Roman" w:hAnsi="Times New Roman" w:cs="Times New Roman"/>
          <w:sz w:val="24"/>
          <w:szCs w:val="24"/>
        </w:rPr>
        <w:t>Otolo</w:t>
      </w:r>
      <w:proofErr w:type="spellEnd"/>
      <w:r w:rsidRPr="00932F75">
        <w:rPr>
          <w:rFonts w:ascii="Times New Roman" w:hAnsi="Times New Roman" w:cs="Times New Roman"/>
          <w:sz w:val="24"/>
          <w:szCs w:val="24"/>
        </w:rPr>
        <w:t xml:space="preserve">, and </w:t>
      </w:r>
      <w:proofErr w:type="spellStart"/>
      <w:r w:rsidRPr="00932F75">
        <w:rPr>
          <w:rFonts w:ascii="Times New Roman" w:hAnsi="Times New Roman" w:cs="Times New Roman"/>
          <w:sz w:val="24"/>
          <w:szCs w:val="24"/>
        </w:rPr>
        <w:t>Nnewichi</w:t>
      </w:r>
      <w:proofErr w:type="spellEnd"/>
      <w:r w:rsidRPr="00932F75">
        <w:rPr>
          <w:rFonts w:ascii="Times New Roman" w:hAnsi="Times New Roman" w:cs="Times New Roman"/>
          <w:sz w:val="24"/>
          <w:szCs w:val="24"/>
        </w:rPr>
        <w:t>) using well-capped sterile EDTA bottles</w:t>
      </w:r>
      <w:r w:rsidRPr="00932F75">
        <w:rPr>
          <w:rFonts w:ascii="Times New Roman" w:hAnsi="Times New Roman" w:cs="Times New Roman"/>
          <w:sz w:val="24"/>
          <w:szCs w:val="24"/>
          <w:lang w:val="en-GB"/>
        </w:rPr>
        <w:t>.</w:t>
      </w:r>
      <w:r w:rsidRPr="00932F75">
        <w:rPr>
          <w:rFonts w:ascii="Times New Roman" w:hAnsi="Times New Roman" w:cs="Times New Roman"/>
          <w:sz w:val="24"/>
          <w:szCs w:val="24"/>
        </w:rPr>
        <w:t xml:space="preserve"> Before the collection, oral and written consent were obtained from the participants.</w:t>
      </w:r>
      <w:r w:rsidRPr="00932F75">
        <w:rPr>
          <w:rFonts w:ascii="Times New Roman" w:hAnsi="Times New Roman" w:cs="Times New Roman"/>
          <w:sz w:val="24"/>
          <w:szCs w:val="24"/>
          <w:lang w:val="en-GB"/>
        </w:rPr>
        <w:t xml:space="preserve"> The children that participated in the study were from private and public schools within Nnewi North </w:t>
      </w:r>
      <w:r w:rsidRPr="00932F75">
        <w:rPr>
          <w:rFonts w:ascii="Times New Roman" w:hAnsi="Times New Roman" w:cs="Times New Roman"/>
          <w:sz w:val="24"/>
          <w:szCs w:val="24"/>
          <w:lang w:val="en-GB"/>
        </w:rPr>
        <w:lastRenderedPageBreak/>
        <w:t>metropolis while the adults that participated were drawn randomly from the area and private diagnostic centres (</w:t>
      </w:r>
      <w:r w:rsidRPr="00932F75">
        <w:rPr>
          <w:rFonts w:ascii="Times New Roman" w:hAnsi="Times New Roman" w:cs="Times New Roman"/>
          <w:sz w:val="24"/>
          <w:szCs w:val="24"/>
        </w:rPr>
        <w:t>Cheesbrough, 2010).</w:t>
      </w:r>
    </w:p>
    <w:p w14:paraId="26D13EFD" w14:textId="77777777" w:rsidR="004936C8" w:rsidRPr="00932F75" w:rsidRDefault="004936C8" w:rsidP="004936C8">
      <w:pPr>
        <w:spacing w:before="240" w:after="240" w:line="360" w:lineRule="auto"/>
        <w:jc w:val="both"/>
        <w:rPr>
          <w:rFonts w:ascii="Times New Roman" w:hAnsi="Times New Roman" w:cs="Times New Roman"/>
          <w:bCs/>
          <w:sz w:val="26"/>
          <w:szCs w:val="26"/>
        </w:rPr>
      </w:pPr>
      <w:proofErr w:type="gramStart"/>
      <w:r w:rsidRPr="00932F75">
        <w:rPr>
          <w:rFonts w:ascii="Times New Roman" w:hAnsi="Times New Roman" w:cs="Times New Roman"/>
          <w:b/>
          <w:iCs/>
          <w:sz w:val="26"/>
          <w:szCs w:val="26"/>
        </w:rPr>
        <w:t xml:space="preserve">2.5 </w:t>
      </w:r>
      <w:r w:rsidRPr="00932F75">
        <w:rPr>
          <w:rFonts w:ascii="Times New Roman" w:hAnsi="Times New Roman" w:cs="Times New Roman"/>
        </w:rPr>
        <w:t xml:space="preserve"> </w:t>
      </w:r>
      <w:r w:rsidRPr="00932F75">
        <w:rPr>
          <w:rFonts w:ascii="Times New Roman" w:hAnsi="Times New Roman" w:cs="Times New Roman"/>
          <w:b/>
          <w:sz w:val="26"/>
          <w:szCs w:val="26"/>
        </w:rPr>
        <w:t>Immunological</w:t>
      </w:r>
      <w:proofErr w:type="gramEnd"/>
      <w:r w:rsidRPr="00932F75">
        <w:rPr>
          <w:rFonts w:ascii="Times New Roman" w:hAnsi="Times New Roman" w:cs="Times New Roman"/>
          <w:b/>
          <w:sz w:val="26"/>
          <w:szCs w:val="26"/>
        </w:rPr>
        <w:t xml:space="preserve"> / Serological Assessment</w:t>
      </w:r>
    </w:p>
    <w:p w14:paraId="446A3585" w14:textId="55C89199" w:rsidR="004936C8" w:rsidRPr="00932F75" w:rsidRDefault="004936C8" w:rsidP="004936C8">
      <w:pPr>
        <w:spacing w:before="240" w:after="240" w:line="360" w:lineRule="auto"/>
        <w:jc w:val="both"/>
        <w:rPr>
          <w:rFonts w:ascii="Times New Roman" w:hAnsi="Times New Roman" w:cs="Times New Roman"/>
        </w:rPr>
      </w:pPr>
      <w:r w:rsidRPr="00932F75">
        <w:rPr>
          <w:rFonts w:ascii="Times New Roman" w:hAnsi="Times New Roman" w:cs="Times New Roman"/>
        </w:rPr>
        <w:t>Before proceeding with the assay, all reagents, serum references and serum samples were brought to room temperature (27</w:t>
      </w:r>
      <w:r w:rsidRPr="00932F75">
        <w:rPr>
          <w:rFonts w:ascii="Times New Roman" w:hAnsi="Times New Roman" w:cs="Times New Roman"/>
          <w:vertAlign w:val="superscript"/>
        </w:rPr>
        <w:t>o</w:t>
      </w:r>
      <w:r w:rsidRPr="00932F75">
        <w:rPr>
          <w:rFonts w:ascii="Times New Roman" w:hAnsi="Times New Roman" w:cs="Times New Roman"/>
        </w:rPr>
        <w:t>C). The microplates well for each serum reference control and serum specimen to be assayed were formatted in duplicate. The serum was diluted 1:10 for both kits (IgG and IgM). Any unused microwell strips were replaced back into the aluminum bag, seal and store at 2-8</w:t>
      </w:r>
      <w:r w:rsidRPr="00932F75">
        <w:rPr>
          <w:rFonts w:ascii="Times New Roman" w:hAnsi="Times New Roman" w:cs="Times New Roman"/>
          <w:vertAlign w:val="superscript"/>
        </w:rPr>
        <w:t>o</w:t>
      </w:r>
      <w:r w:rsidRPr="00932F75">
        <w:rPr>
          <w:rFonts w:ascii="Times New Roman" w:hAnsi="Times New Roman" w:cs="Times New Roman"/>
        </w:rPr>
        <w:t xml:space="preserve">C. The diluted serum specimen 0.025 ml (25 ul), serum reference, control was pipetted into the assigned microtiter wells for IgG and for IgM, 0.050 ml (50ul) of diluted serum specimen, serum reference, control was also pipetted accordingly. Approximately 0.10 ml of </w:t>
      </w:r>
      <w:r w:rsidRPr="00932F75">
        <w:rPr>
          <w:rFonts w:ascii="Times New Roman" w:hAnsi="Times New Roman" w:cs="Times New Roman"/>
          <w:i/>
        </w:rPr>
        <w:t>H. pylori</w:t>
      </w:r>
      <w:r w:rsidRPr="00932F75">
        <w:rPr>
          <w:rFonts w:ascii="Times New Roman" w:hAnsi="Times New Roman" w:cs="Times New Roman"/>
        </w:rPr>
        <w:t xml:space="preserve"> Biotin reagent solution was added. The microplate was gently swirled for 20-30 sec to mix and then covered (the </w:t>
      </w:r>
      <w:r w:rsidRPr="00932F75">
        <w:rPr>
          <w:rFonts w:ascii="Times New Roman" w:hAnsi="Times New Roman" w:cs="Times New Roman"/>
          <w:i/>
        </w:rPr>
        <w:t>H. pylori</w:t>
      </w:r>
      <w:r w:rsidRPr="00932F75">
        <w:rPr>
          <w:rFonts w:ascii="Times New Roman" w:hAnsi="Times New Roman" w:cs="Times New Roman"/>
        </w:rPr>
        <w:t xml:space="preserve"> IgM or IgG-specific antibody, if present, binds to the antigen). The plates were incubated for 60 min at room temperature. The contents of the micro plate were decanted and while decanting it was tapped and blotted dry with absorbent paper. Then, 300 ul of wash buffer was added and was used to wash the microplate for four times. About 0.10 ml of </w:t>
      </w:r>
      <w:r w:rsidRPr="00932F75">
        <w:rPr>
          <w:rFonts w:ascii="Times New Roman" w:hAnsi="Times New Roman" w:cs="Times New Roman"/>
          <w:i/>
        </w:rPr>
        <w:t>H. pylori</w:t>
      </w:r>
      <w:r w:rsidRPr="00932F75">
        <w:rPr>
          <w:rFonts w:ascii="Times New Roman" w:hAnsi="Times New Roman" w:cs="Times New Roman"/>
        </w:rPr>
        <w:t xml:space="preserve"> enzyme reagent was added to all wells, following same order of addition to minimize reaction time differences between wells. It was not shaken after enzyme addition. The plate was covered and incubated for 30 min at room temperature. Exactly 0.10 ml of single substrate solution was added to all wells and reagents always added in same order in order to minimize time differences between wells. It was incubated at room temperature for 15 min.  Approximately 0.050 ml (50 ul) of stop solution was added to each well and the microplate was swirled gently for 15-20 sec to mix. Th</w:t>
      </w:r>
      <w:r w:rsidR="008567CD" w:rsidRPr="00932F75">
        <w:rPr>
          <w:rFonts w:ascii="Times New Roman" w:hAnsi="Times New Roman" w:cs="Times New Roman"/>
        </w:rPr>
        <w:t xml:space="preserve">e absorbance was read at 450 nm </w:t>
      </w:r>
      <w:r w:rsidRPr="00932F75">
        <w:rPr>
          <w:rFonts w:ascii="Times New Roman" w:hAnsi="Times New Roman" w:cs="Times New Roman"/>
        </w:rPr>
        <w:t xml:space="preserve">in a microplate reader compared in a parallel manner with calibrator and controls. The result was read within 30 min of adding the stop solution (Wang </w:t>
      </w:r>
      <w:r w:rsidRPr="00932F75">
        <w:rPr>
          <w:rFonts w:ascii="Times New Roman" w:hAnsi="Times New Roman" w:cs="Times New Roman"/>
          <w:i/>
        </w:rPr>
        <w:t>et al</w:t>
      </w:r>
      <w:r w:rsidRPr="00932F75">
        <w:rPr>
          <w:rFonts w:ascii="Times New Roman" w:hAnsi="Times New Roman" w:cs="Times New Roman"/>
        </w:rPr>
        <w:t>., 2022).</w:t>
      </w:r>
    </w:p>
    <w:p w14:paraId="3993FF57" w14:textId="77777777" w:rsidR="004936C8" w:rsidRPr="00932F75" w:rsidRDefault="004936C8" w:rsidP="004936C8">
      <w:pPr>
        <w:spacing w:before="240" w:after="240" w:line="360" w:lineRule="auto"/>
        <w:jc w:val="both"/>
        <w:rPr>
          <w:rFonts w:ascii="Times New Roman" w:hAnsi="Times New Roman" w:cs="Times New Roman"/>
          <w:b/>
          <w:bCs/>
          <w:sz w:val="26"/>
          <w:szCs w:val="26"/>
        </w:rPr>
      </w:pPr>
      <w:r w:rsidRPr="00932F75">
        <w:rPr>
          <w:rFonts w:ascii="Times New Roman" w:hAnsi="Times New Roman" w:cs="Times New Roman"/>
          <w:b/>
          <w:bCs/>
          <w:sz w:val="26"/>
          <w:szCs w:val="26"/>
        </w:rPr>
        <w:t>2.6 Enzyme Immunoassays for the Determination of Blood Cytokines Concentrations</w:t>
      </w:r>
    </w:p>
    <w:p w14:paraId="67BF530A" w14:textId="46C14603" w:rsidR="00D134F7" w:rsidRPr="00932F75" w:rsidRDefault="004936C8" w:rsidP="004936C8">
      <w:pPr>
        <w:spacing w:before="240" w:after="240" w:line="360" w:lineRule="auto"/>
        <w:jc w:val="both"/>
        <w:rPr>
          <w:rFonts w:ascii="Times New Roman" w:eastAsia="Calibri" w:hAnsi="Times New Roman" w:cs="Times New Roman"/>
        </w:rPr>
      </w:pPr>
      <w:r w:rsidRPr="00932F75">
        <w:rPr>
          <w:rFonts w:ascii="Times New Roman" w:eastAsia="Calibri" w:hAnsi="Times New Roman" w:cs="Times New Roman"/>
        </w:rPr>
        <w:t xml:space="preserve">The human ELISA test kit from U-Cy Tech Biosciences (Cat No CT209A; Lot No 23-32-12-29) was used for the </w:t>
      </w:r>
      <w:r w:rsidRPr="00932F75">
        <w:rPr>
          <w:rFonts w:ascii="Times New Roman" w:eastAsia="Calibri" w:hAnsi="Times New Roman" w:cs="Times New Roman"/>
          <w:i/>
        </w:rPr>
        <w:t>in vitro</w:t>
      </w:r>
      <w:r w:rsidRPr="00932F75">
        <w:rPr>
          <w:rFonts w:ascii="Times New Roman" w:eastAsia="Calibri" w:hAnsi="Times New Roman" w:cs="Times New Roman"/>
        </w:rPr>
        <w:t xml:space="preserve"> quantitative determination of IL-6 and IL-10 in human fluids such as cell culture supernatant, plasma or serum. All the prepared reagents were thoroughly mixed before use. One hundred micro </w:t>
      </w:r>
      <w:proofErr w:type="spellStart"/>
      <w:r w:rsidRPr="00932F75">
        <w:rPr>
          <w:rFonts w:ascii="Times New Roman" w:eastAsia="Calibri" w:hAnsi="Times New Roman" w:cs="Times New Roman"/>
        </w:rPr>
        <w:t>litre</w:t>
      </w:r>
      <w:proofErr w:type="spellEnd"/>
      <w:r w:rsidRPr="00932F75">
        <w:rPr>
          <w:rFonts w:ascii="Times New Roman" w:eastAsia="Calibri" w:hAnsi="Times New Roman" w:cs="Times New Roman"/>
        </w:rPr>
        <w:t xml:space="preserve"> (100 µl) of blank, diluted standard and samples were added to each well. The plates were sealed and incubated for 2 hours at 37</w:t>
      </w:r>
      <w:r w:rsidRPr="00932F75">
        <w:rPr>
          <w:rFonts w:ascii="Times New Roman" w:eastAsia="Calibri" w:hAnsi="Times New Roman" w:cs="Times New Roman"/>
          <w:vertAlign w:val="superscript"/>
        </w:rPr>
        <w:t>o</w:t>
      </w:r>
      <w:r w:rsidRPr="00932F75">
        <w:rPr>
          <w:rFonts w:ascii="Times New Roman" w:eastAsia="Calibri" w:hAnsi="Times New Roman" w:cs="Times New Roman"/>
        </w:rPr>
        <w:t>C. After incubation</w:t>
      </w:r>
      <w:r w:rsidR="003E3392" w:rsidRPr="00932F75">
        <w:rPr>
          <w:rFonts w:ascii="Times New Roman" w:eastAsia="Calibri" w:hAnsi="Times New Roman" w:cs="Times New Roman"/>
        </w:rPr>
        <w:t>,</w:t>
      </w:r>
      <w:r w:rsidRPr="00932F75">
        <w:rPr>
          <w:rFonts w:ascii="Times New Roman" w:eastAsia="Calibri" w:hAnsi="Times New Roman" w:cs="Times New Roman"/>
        </w:rPr>
        <w:t xml:space="preserve"> the plates were washed </w:t>
      </w:r>
      <w:r w:rsidR="008567CD" w:rsidRPr="00932F75">
        <w:rPr>
          <w:rFonts w:ascii="Times New Roman" w:eastAsia="Calibri" w:hAnsi="Times New Roman" w:cs="Times New Roman"/>
        </w:rPr>
        <w:t>five</w:t>
      </w:r>
      <w:r w:rsidRPr="00932F75">
        <w:rPr>
          <w:rFonts w:ascii="Times New Roman" w:eastAsia="Calibri" w:hAnsi="Times New Roman" w:cs="Times New Roman"/>
        </w:rPr>
        <w:t xml:space="preserve"> times with the Wash buffer using the automated microplate Washer. Then, 100 µl of diluted detection antibody solution was added to each well and the plate was sealed and incubated for 1 hour at 37</w:t>
      </w:r>
      <w:r w:rsidRPr="00932F75">
        <w:rPr>
          <w:rFonts w:ascii="Times New Roman" w:eastAsia="Calibri" w:hAnsi="Times New Roman" w:cs="Times New Roman"/>
          <w:vertAlign w:val="superscript"/>
        </w:rPr>
        <w:t>o</w:t>
      </w:r>
      <w:r w:rsidRPr="00932F75">
        <w:rPr>
          <w:rFonts w:ascii="Times New Roman" w:eastAsia="Calibri" w:hAnsi="Times New Roman" w:cs="Times New Roman"/>
        </w:rPr>
        <w:t xml:space="preserve">C. After incubation, the plates were washed </w:t>
      </w:r>
      <w:r w:rsidR="008567CD" w:rsidRPr="00932F75">
        <w:rPr>
          <w:rFonts w:ascii="Times New Roman" w:eastAsia="Calibri" w:hAnsi="Times New Roman" w:cs="Times New Roman"/>
        </w:rPr>
        <w:t>five</w:t>
      </w:r>
      <w:r w:rsidRPr="00932F75">
        <w:rPr>
          <w:rFonts w:ascii="Times New Roman" w:eastAsia="Calibri" w:hAnsi="Times New Roman" w:cs="Times New Roman"/>
        </w:rPr>
        <w:t xml:space="preserve"> times with Wash buffer as done previously. Hundred </w:t>
      </w:r>
      <w:proofErr w:type="spellStart"/>
      <w:r w:rsidRPr="00932F75">
        <w:rPr>
          <w:rFonts w:ascii="Times New Roman" w:eastAsia="Calibri" w:hAnsi="Times New Roman" w:cs="Times New Roman"/>
        </w:rPr>
        <w:t>microlitre</w:t>
      </w:r>
      <w:proofErr w:type="spellEnd"/>
      <w:r w:rsidRPr="00932F75">
        <w:rPr>
          <w:rFonts w:ascii="Times New Roman" w:eastAsia="Calibri" w:hAnsi="Times New Roman" w:cs="Times New Roman"/>
        </w:rPr>
        <w:t xml:space="preserve"> (100 µl) of diluted SPP </w:t>
      </w:r>
      <w:r w:rsidRPr="00932F75">
        <w:rPr>
          <w:rFonts w:ascii="Times New Roman" w:eastAsia="Calibri" w:hAnsi="Times New Roman" w:cs="Times New Roman"/>
        </w:rPr>
        <w:lastRenderedPageBreak/>
        <w:t>conjugate was added to each well and the plates sealed and incubated for 1 h at 37</w:t>
      </w:r>
      <w:r w:rsidRPr="00932F75">
        <w:rPr>
          <w:rFonts w:ascii="Times New Roman" w:eastAsia="Calibri" w:hAnsi="Times New Roman" w:cs="Times New Roman"/>
          <w:vertAlign w:val="superscript"/>
        </w:rPr>
        <w:t>o</w:t>
      </w:r>
      <w:r w:rsidRPr="00932F75">
        <w:rPr>
          <w:rFonts w:ascii="Times New Roman" w:eastAsia="Calibri" w:hAnsi="Times New Roman" w:cs="Times New Roman"/>
        </w:rPr>
        <w:t xml:space="preserve">C. After incubation, the plates were washed six times with Wash buffer. Afterwards, 100 µl of TMB substrate solution was added into each well and left in the dark for 20 minutes at room temperature.  After substrate incubation, the reaction was stopped by adding 100 µl of Stop solution (resulting in a yellow solution) and it was read at 450nm within 30 minutes using the Microplate reader </w:t>
      </w:r>
      <w:r w:rsidRPr="00932F75">
        <w:rPr>
          <w:rFonts w:ascii="Times New Roman" w:hAnsi="Times New Roman" w:cs="Times New Roman"/>
        </w:rPr>
        <w:t xml:space="preserve">(Wang </w:t>
      </w:r>
      <w:r w:rsidRPr="00932F75">
        <w:rPr>
          <w:rFonts w:ascii="Times New Roman" w:hAnsi="Times New Roman" w:cs="Times New Roman"/>
          <w:i/>
        </w:rPr>
        <w:t>et al</w:t>
      </w:r>
      <w:r w:rsidRPr="00932F75">
        <w:rPr>
          <w:rFonts w:ascii="Times New Roman" w:hAnsi="Times New Roman" w:cs="Times New Roman"/>
        </w:rPr>
        <w:t>., 2022)</w:t>
      </w:r>
      <w:r w:rsidRPr="00932F75">
        <w:rPr>
          <w:rFonts w:ascii="Times New Roman" w:eastAsia="Calibri" w:hAnsi="Times New Roman" w:cs="Times New Roman"/>
        </w:rPr>
        <w:t>.</w:t>
      </w:r>
    </w:p>
    <w:p w14:paraId="392284C0" w14:textId="504E7093" w:rsidR="004C5E33" w:rsidRPr="00932F75" w:rsidRDefault="0073107D" w:rsidP="004C5E33">
      <w:pPr>
        <w:spacing w:before="240" w:after="240" w:line="360" w:lineRule="auto"/>
        <w:jc w:val="both"/>
        <w:rPr>
          <w:b/>
          <w:sz w:val="26"/>
          <w:szCs w:val="26"/>
        </w:rPr>
      </w:pPr>
      <w:r w:rsidRPr="00932F75">
        <w:rPr>
          <w:b/>
          <w:sz w:val="26"/>
          <w:szCs w:val="26"/>
        </w:rPr>
        <w:t>2</w:t>
      </w:r>
      <w:r w:rsidR="004C5E33" w:rsidRPr="00932F75">
        <w:rPr>
          <w:b/>
          <w:sz w:val="26"/>
          <w:szCs w:val="26"/>
        </w:rPr>
        <w:t>.</w:t>
      </w:r>
      <w:r w:rsidRPr="00932F75">
        <w:rPr>
          <w:b/>
          <w:sz w:val="26"/>
          <w:szCs w:val="26"/>
        </w:rPr>
        <w:t>7</w:t>
      </w:r>
      <w:r w:rsidR="004C5E33" w:rsidRPr="00932F75">
        <w:rPr>
          <w:b/>
          <w:sz w:val="26"/>
          <w:szCs w:val="26"/>
        </w:rPr>
        <w:t xml:space="preserve"> Statistical Analysis </w:t>
      </w:r>
    </w:p>
    <w:p w14:paraId="1C38EC37" w14:textId="50535457" w:rsidR="009E4EE9" w:rsidRPr="00932F75" w:rsidRDefault="009E4EE9" w:rsidP="009E4EE9">
      <w:pPr>
        <w:spacing w:before="240" w:after="240" w:line="360" w:lineRule="auto"/>
        <w:jc w:val="both"/>
      </w:pPr>
      <w:r w:rsidRPr="00932F75">
        <w:t>The data obtained was analyzed using Statistical Package for Social Sciences (SPSS) version 25. The significance of differences in mean values between groups was analyzed using T-test, while significance of the differences in mean values among different groups was evaluated using one-way ANOVA. P value &lt; 0.05 was considered statistically significant.</w:t>
      </w:r>
    </w:p>
    <w:p w14:paraId="04A2159B" w14:textId="4ECAACC8" w:rsidR="004936C8" w:rsidRPr="00932F75" w:rsidRDefault="009E4EE9" w:rsidP="009E4EE9">
      <w:pPr>
        <w:spacing w:before="240" w:after="160" w:line="360" w:lineRule="auto"/>
        <w:jc w:val="both"/>
        <w:rPr>
          <w:rFonts w:ascii="Times New Roman" w:eastAsia="Calibri" w:hAnsi="Times New Roman" w:cs="Times New Roman"/>
          <w:b/>
        </w:rPr>
      </w:pPr>
      <w:r w:rsidRPr="00932F75">
        <w:rPr>
          <w:b/>
          <w:sz w:val="26"/>
          <w:szCs w:val="26"/>
        </w:rPr>
        <w:br w:type="page"/>
      </w:r>
      <w:r w:rsidR="004936C8" w:rsidRPr="00932F75">
        <w:rPr>
          <w:rFonts w:ascii="Times New Roman" w:eastAsia="Calibri" w:hAnsi="Times New Roman" w:cs="Times New Roman"/>
          <w:b/>
        </w:rPr>
        <w:lastRenderedPageBreak/>
        <w:t>3.0 RESULTS</w:t>
      </w:r>
    </w:p>
    <w:p w14:paraId="46966AC2" w14:textId="156FAF74" w:rsidR="004936C8" w:rsidRPr="00932F75" w:rsidRDefault="004936C8" w:rsidP="004936C8">
      <w:pPr>
        <w:pStyle w:val="NoSpacing"/>
        <w:spacing w:before="240" w:after="240" w:line="360" w:lineRule="auto"/>
        <w:jc w:val="both"/>
      </w:pPr>
      <w:r w:rsidRPr="00932F75">
        <w:t xml:space="preserve">The result of comparison of mean ± SD of Immunological values of subjects with or without </w:t>
      </w:r>
      <w:r w:rsidRPr="00932F75">
        <w:rPr>
          <w:i/>
        </w:rPr>
        <w:t>H. pylori</w:t>
      </w:r>
      <w:r w:rsidRPr="00932F75">
        <w:t xml:space="preserve"> in the villages sampled is presented in Table</w:t>
      </w:r>
      <w:r w:rsidR="00735C09" w:rsidRPr="00932F75">
        <w:t xml:space="preserve"> 1</w:t>
      </w:r>
      <w:r w:rsidRPr="00932F75">
        <w:t xml:space="preserve">. In relation to villages, comparative mean ± SD of all Immunological values of subjects across the 4 villages sampled at </w:t>
      </w:r>
      <w:proofErr w:type="spellStart"/>
      <w:r w:rsidRPr="00932F75">
        <w:t>Nnewichi</w:t>
      </w:r>
      <w:proofErr w:type="spellEnd"/>
      <w:r w:rsidRPr="00932F75">
        <w:t xml:space="preserve"> showed a significant difference in IgM mean ± SD value in total values across the villages (P = 0.035) whereby values of those positive for IgM at </w:t>
      </w:r>
      <w:proofErr w:type="spellStart"/>
      <w:r w:rsidRPr="00932F75">
        <w:t>Uruagu</w:t>
      </w:r>
      <w:proofErr w:type="spellEnd"/>
      <w:r w:rsidRPr="00932F75">
        <w:t xml:space="preserve"> village was higher than other villages though a non-significant difference was observed across the infection status (P &gt; 0.05). Positive IgG mean ± S.D value status was highest at </w:t>
      </w:r>
      <w:proofErr w:type="spellStart"/>
      <w:r w:rsidRPr="00932F75">
        <w:t>Umudim</w:t>
      </w:r>
      <w:proofErr w:type="spellEnd"/>
      <w:r w:rsidRPr="00932F75">
        <w:t xml:space="preserve"> village (73.05 ± 12.02); Abnormal IL -6 was higher at </w:t>
      </w:r>
      <w:proofErr w:type="spellStart"/>
      <w:r w:rsidRPr="00932F75">
        <w:t>Nnewichi</w:t>
      </w:r>
      <w:proofErr w:type="spellEnd"/>
      <w:r w:rsidRPr="00932F75">
        <w:t xml:space="preserve"> village (16.55 ± 24.19) and IL-10 at </w:t>
      </w:r>
      <w:proofErr w:type="spellStart"/>
      <w:r w:rsidRPr="00932F75">
        <w:t>Uruagu</w:t>
      </w:r>
      <w:proofErr w:type="spellEnd"/>
      <w:r w:rsidRPr="00932F75">
        <w:t xml:space="preserve"> (3.52 ± 4.10) (P &gt; 0.05) at villages sampled.</w:t>
      </w:r>
    </w:p>
    <w:p w14:paraId="138A6614" w14:textId="1B4D6D26" w:rsidR="004936C8" w:rsidRPr="00932F75" w:rsidRDefault="004936C8" w:rsidP="004936C8">
      <w:pPr>
        <w:pStyle w:val="NoSpacing"/>
        <w:spacing w:after="240" w:line="360" w:lineRule="auto"/>
        <w:jc w:val="both"/>
      </w:pPr>
      <w:r w:rsidRPr="00932F75">
        <w:t>The result of comparison of mean ± SD of immunological values between male and femal</w:t>
      </w:r>
      <w:r w:rsidR="00735C09" w:rsidRPr="00932F75">
        <w:t>e gender is presented in Table 2</w:t>
      </w:r>
      <w:r w:rsidRPr="00932F75">
        <w:t>. It revealed that the comparative analysis between mean ± SD of IL-6, IL-10, and IgM was higher and more affected in females (13.88 ± 21.43; 3.28 ± 2.92; and 66.60 ± 22.65) than in males, while IgG was higher in males than females (43.57 ± 31.72) and differed significantly (t = 2.153; P = 0.033).</w:t>
      </w:r>
    </w:p>
    <w:p w14:paraId="49F6CABD" w14:textId="3389EABF" w:rsidR="00735C09" w:rsidRPr="00932F75" w:rsidRDefault="00735C09" w:rsidP="00735C09">
      <w:pPr>
        <w:spacing w:before="240" w:after="240" w:line="360" w:lineRule="auto"/>
        <w:jc w:val="both"/>
        <w:rPr>
          <w:rFonts w:ascii="Times New Roman" w:hAnsi="Times New Roman" w:cs="Times New Roman"/>
          <w:sz w:val="26"/>
          <w:szCs w:val="26"/>
        </w:rPr>
      </w:pPr>
      <w:r w:rsidRPr="00932F75">
        <w:rPr>
          <w:rFonts w:ascii="Times New Roman" w:hAnsi="Times New Roman" w:cs="Times New Roman"/>
        </w:rPr>
        <w:t>The result of the comparison of immunological values among the age group is presented in Table 3. The result revealed that the age group ranging from 57 – 67 years recorded the highest immunoglobulin M (79.11±14.47), followed by the age group ranging from 35 – 45 years (75.30±14.81) while the least IgM was recorded among the age group ranging from 13 – 23 years (56.85±23.99). The age group ranging from 57 – 67 years recorded the highest IgG value of 58.71±28.97, followed by age group ranging from 46 – 56 years (44.74±28.73) while the least IgG was recorded by the age group ranging from 2- 12 years (33.97±29.56). The highest value of IL-10 was detected among the age group ranging from 13 – 23 years (3.41±3.73), followed by the age group ranging from 2 – 12 years (2.98±0.95) while the least IL-10 was recorded the age group ranging from 57 – 67 years (2.66±0.27). The highest 1L-6 was detected among the age group ranging from 57 – 67 years (18.02±13.94), followed by the age group ranging from 2- 12 years (12.99±20.58) while the least IL-6 was recorded by the age group ranging from 35 – 45 years (10.14±17.49).</w:t>
      </w:r>
    </w:p>
    <w:p w14:paraId="3F7AB953" w14:textId="77777777" w:rsidR="004936C8" w:rsidRPr="00932F75" w:rsidRDefault="004936C8" w:rsidP="004936C8">
      <w:pPr>
        <w:pStyle w:val="NoSpacing"/>
        <w:tabs>
          <w:tab w:val="left" w:pos="2646"/>
        </w:tabs>
        <w:spacing w:line="360" w:lineRule="auto"/>
        <w:jc w:val="both"/>
        <w:rPr>
          <w:sz w:val="26"/>
          <w:szCs w:val="26"/>
        </w:rPr>
      </w:pPr>
      <w:r w:rsidRPr="00932F75">
        <w:rPr>
          <w:sz w:val="26"/>
          <w:szCs w:val="26"/>
        </w:rPr>
        <w:tab/>
        <w:t xml:space="preserve"> </w:t>
      </w:r>
    </w:p>
    <w:p w14:paraId="2C0934E1" w14:textId="5E2E1538" w:rsidR="004936C8" w:rsidRPr="00932F75" w:rsidRDefault="004936C8" w:rsidP="004936C8">
      <w:pPr>
        <w:spacing w:after="160" w:line="360" w:lineRule="auto"/>
        <w:jc w:val="both"/>
        <w:rPr>
          <w:rFonts w:ascii="Times New Roman" w:hAnsi="Times New Roman" w:cs="Times New Roman"/>
          <w:b/>
          <w:bCs/>
          <w:sz w:val="26"/>
          <w:szCs w:val="26"/>
        </w:rPr>
      </w:pPr>
      <w:r w:rsidRPr="00932F75">
        <w:rPr>
          <w:rFonts w:ascii="Times New Roman" w:hAnsi="Times New Roman" w:cs="Times New Roman"/>
          <w:b/>
          <w:sz w:val="26"/>
          <w:szCs w:val="26"/>
        </w:rPr>
        <w:br w:type="page"/>
      </w:r>
      <w:r w:rsidRPr="00932F75">
        <w:rPr>
          <w:rFonts w:ascii="Times New Roman" w:hAnsi="Times New Roman" w:cs="Times New Roman"/>
          <w:bCs/>
          <w:sz w:val="26"/>
          <w:szCs w:val="26"/>
        </w:rPr>
        <w:lastRenderedPageBreak/>
        <w:t>Table 1: Comparison of mean ± SD of immunological values of subjects across the villages sampled</w:t>
      </w:r>
    </w:p>
    <w:tbl>
      <w:tblPr>
        <w:tblW w:w="10013" w:type="dxa"/>
        <w:tblInd w:w="-275" w:type="dxa"/>
        <w:tblBorders>
          <w:top w:val="single" w:sz="4" w:space="0" w:color="auto"/>
          <w:bottom w:val="single" w:sz="4" w:space="0" w:color="auto"/>
        </w:tblBorders>
        <w:tblLayout w:type="fixed"/>
        <w:tblLook w:val="04A0" w:firstRow="1" w:lastRow="0" w:firstColumn="1" w:lastColumn="0" w:noHBand="0" w:noVBand="1"/>
      </w:tblPr>
      <w:tblGrid>
        <w:gridCol w:w="1013"/>
        <w:gridCol w:w="1260"/>
        <w:gridCol w:w="720"/>
        <w:gridCol w:w="1038"/>
        <w:gridCol w:w="1141"/>
        <w:gridCol w:w="1141"/>
        <w:gridCol w:w="1270"/>
        <w:gridCol w:w="990"/>
        <w:gridCol w:w="540"/>
        <w:gridCol w:w="900"/>
      </w:tblGrid>
      <w:tr w:rsidR="00932F75" w:rsidRPr="00932F75" w14:paraId="04E5472A" w14:textId="77777777" w:rsidTr="009F23CC">
        <w:trPr>
          <w:trHeight w:val="530"/>
        </w:trPr>
        <w:tc>
          <w:tcPr>
            <w:tcW w:w="1013" w:type="dxa"/>
            <w:tcBorders>
              <w:top w:val="single" w:sz="4" w:space="0" w:color="auto"/>
              <w:left w:val="nil"/>
              <w:bottom w:val="single" w:sz="4" w:space="0" w:color="auto"/>
              <w:right w:val="nil"/>
            </w:tcBorders>
            <w:shd w:val="clear" w:color="auto" w:fill="auto"/>
          </w:tcPr>
          <w:p w14:paraId="783E6B3C" w14:textId="77777777" w:rsidR="004936C8" w:rsidRPr="00932F75" w:rsidRDefault="004936C8" w:rsidP="009F23CC">
            <w:pPr>
              <w:spacing w:line="360" w:lineRule="auto"/>
              <w:jc w:val="both"/>
              <w:rPr>
                <w:rFonts w:ascii="Times New Roman" w:hAnsi="Times New Roman" w:cs="Times New Roman"/>
                <w:sz w:val="26"/>
                <w:szCs w:val="26"/>
              </w:rPr>
            </w:pPr>
          </w:p>
        </w:tc>
        <w:tc>
          <w:tcPr>
            <w:tcW w:w="1260" w:type="dxa"/>
            <w:tcBorders>
              <w:top w:val="single" w:sz="4" w:space="0" w:color="auto"/>
              <w:left w:val="nil"/>
              <w:bottom w:val="single" w:sz="4" w:space="0" w:color="auto"/>
              <w:right w:val="nil"/>
            </w:tcBorders>
            <w:shd w:val="clear" w:color="auto" w:fill="auto"/>
          </w:tcPr>
          <w:p w14:paraId="0DA4D24A" w14:textId="77777777" w:rsidR="004936C8" w:rsidRPr="00932F75" w:rsidRDefault="004936C8" w:rsidP="009F23CC">
            <w:pPr>
              <w:spacing w:line="360" w:lineRule="auto"/>
              <w:jc w:val="both"/>
              <w:rPr>
                <w:rFonts w:ascii="Times New Roman" w:hAnsi="Times New Roman" w:cs="Times New Roman"/>
                <w:sz w:val="26"/>
                <w:szCs w:val="26"/>
              </w:rPr>
            </w:pPr>
          </w:p>
        </w:tc>
        <w:tc>
          <w:tcPr>
            <w:tcW w:w="720" w:type="dxa"/>
            <w:tcBorders>
              <w:top w:val="single" w:sz="4" w:space="0" w:color="auto"/>
              <w:left w:val="nil"/>
              <w:bottom w:val="single" w:sz="4" w:space="0" w:color="auto"/>
              <w:right w:val="nil"/>
            </w:tcBorders>
            <w:shd w:val="clear" w:color="auto" w:fill="auto"/>
          </w:tcPr>
          <w:p w14:paraId="07240D2B" w14:textId="77777777" w:rsidR="004936C8" w:rsidRPr="00932F75" w:rsidRDefault="004936C8" w:rsidP="009F23CC">
            <w:pPr>
              <w:spacing w:line="360" w:lineRule="auto"/>
              <w:jc w:val="both"/>
              <w:rPr>
                <w:rFonts w:ascii="Times New Roman" w:hAnsi="Times New Roman" w:cs="Times New Roman"/>
                <w:sz w:val="26"/>
                <w:szCs w:val="26"/>
              </w:rPr>
            </w:pPr>
          </w:p>
        </w:tc>
        <w:tc>
          <w:tcPr>
            <w:tcW w:w="4590" w:type="dxa"/>
            <w:gridSpan w:val="4"/>
            <w:tcBorders>
              <w:top w:val="single" w:sz="4" w:space="0" w:color="auto"/>
              <w:left w:val="nil"/>
              <w:bottom w:val="single" w:sz="4" w:space="0" w:color="auto"/>
              <w:right w:val="nil"/>
            </w:tcBorders>
            <w:shd w:val="clear" w:color="auto" w:fill="auto"/>
            <w:hideMark/>
          </w:tcPr>
          <w:p w14:paraId="0D19EB83" w14:textId="77777777" w:rsidR="004936C8" w:rsidRPr="00932F75" w:rsidRDefault="004936C8" w:rsidP="009F23CC">
            <w:pPr>
              <w:spacing w:line="360" w:lineRule="auto"/>
              <w:jc w:val="both"/>
              <w:rPr>
                <w:rFonts w:ascii="Times New Roman" w:hAnsi="Times New Roman" w:cs="Times New Roman"/>
                <w:sz w:val="26"/>
                <w:szCs w:val="26"/>
              </w:rPr>
            </w:pPr>
            <w:r w:rsidRPr="00932F75">
              <w:rPr>
                <w:rFonts w:ascii="Times New Roman" w:hAnsi="Times New Roman" w:cs="Times New Roman"/>
                <w:sz w:val="26"/>
                <w:szCs w:val="26"/>
              </w:rPr>
              <w:t>Villages</w:t>
            </w:r>
          </w:p>
        </w:tc>
        <w:tc>
          <w:tcPr>
            <w:tcW w:w="990" w:type="dxa"/>
            <w:tcBorders>
              <w:top w:val="single" w:sz="4" w:space="0" w:color="auto"/>
              <w:left w:val="nil"/>
              <w:bottom w:val="single" w:sz="4" w:space="0" w:color="auto"/>
              <w:right w:val="nil"/>
            </w:tcBorders>
            <w:shd w:val="clear" w:color="auto" w:fill="auto"/>
          </w:tcPr>
          <w:p w14:paraId="366CBF9B" w14:textId="77777777" w:rsidR="004936C8" w:rsidRPr="00932F75" w:rsidRDefault="004936C8" w:rsidP="009F23CC">
            <w:pPr>
              <w:spacing w:line="360" w:lineRule="auto"/>
              <w:jc w:val="both"/>
              <w:rPr>
                <w:rFonts w:ascii="Times New Roman" w:hAnsi="Times New Roman" w:cs="Times New Roman"/>
                <w:sz w:val="26"/>
                <w:szCs w:val="26"/>
              </w:rPr>
            </w:pPr>
          </w:p>
        </w:tc>
        <w:tc>
          <w:tcPr>
            <w:tcW w:w="540" w:type="dxa"/>
            <w:tcBorders>
              <w:top w:val="single" w:sz="4" w:space="0" w:color="auto"/>
              <w:left w:val="nil"/>
              <w:bottom w:val="single" w:sz="4" w:space="0" w:color="auto"/>
              <w:right w:val="nil"/>
            </w:tcBorders>
            <w:shd w:val="clear" w:color="auto" w:fill="auto"/>
          </w:tcPr>
          <w:p w14:paraId="04FF6DEF" w14:textId="77777777" w:rsidR="004936C8" w:rsidRPr="00932F75" w:rsidRDefault="004936C8" w:rsidP="009F23CC">
            <w:pPr>
              <w:spacing w:line="360" w:lineRule="auto"/>
              <w:jc w:val="both"/>
              <w:rPr>
                <w:rFonts w:ascii="Times New Roman" w:hAnsi="Times New Roman" w:cs="Times New Roman"/>
                <w:sz w:val="26"/>
                <w:szCs w:val="26"/>
              </w:rPr>
            </w:pPr>
          </w:p>
        </w:tc>
        <w:tc>
          <w:tcPr>
            <w:tcW w:w="900" w:type="dxa"/>
            <w:tcBorders>
              <w:top w:val="single" w:sz="4" w:space="0" w:color="auto"/>
              <w:left w:val="nil"/>
              <w:bottom w:val="single" w:sz="4" w:space="0" w:color="auto"/>
              <w:right w:val="nil"/>
            </w:tcBorders>
            <w:shd w:val="clear" w:color="auto" w:fill="auto"/>
          </w:tcPr>
          <w:p w14:paraId="56292E62" w14:textId="77777777" w:rsidR="004936C8" w:rsidRPr="00932F75" w:rsidRDefault="004936C8" w:rsidP="009F23CC">
            <w:pPr>
              <w:spacing w:line="360" w:lineRule="auto"/>
              <w:jc w:val="both"/>
              <w:rPr>
                <w:rFonts w:ascii="Times New Roman" w:hAnsi="Times New Roman" w:cs="Times New Roman"/>
                <w:sz w:val="26"/>
                <w:szCs w:val="26"/>
              </w:rPr>
            </w:pPr>
          </w:p>
        </w:tc>
      </w:tr>
      <w:tr w:rsidR="00932F75" w:rsidRPr="00932F75" w14:paraId="5D88A560" w14:textId="77777777" w:rsidTr="009F23CC">
        <w:trPr>
          <w:trHeight w:val="1012"/>
        </w:trPr>
        <w:tc>
          <w:tcPr>
            <w:tcW w:w="1013" w:type="dxa"/>
            <w:tcBorders>
              <w:top w:val="single" w:sz="4" w:space="0" w:color="auto"/>
              <w:left w:val="nil"/>
              <w:bottom w:val="single" w:sz="4" w:space="0" w:color="auto"/>
              <w:right w:val="nil"/>
            </w:tcBorders>
            <w:shd w:val="clear" w:color="auto" w:fill="auto"/>
            <w:hideMark/>
          </w:tcPr>
          <w:p w14:paraId="6AE7B666" w14:textId="77777777" w:rsidR="004936C8" w:rsidRPr="00932F75" w:rsidRDefault="004936C8" w:rsidP="009F23CC">
            <w:pPr>
              <w:pStyle w:val="NoSpacing"/>
              <w:spacing w:line="360" w:lineRule="auto"/>
              <w:jc w:val="both"/>
            </w:pPr>
            <w:r w:rsidRPr="00932F75">
              <w:t xml:space="preserve">Immunological marker </w:t>
            </w:r>
          </w:p>
        </w:tc>
        <w:tc>
          <w:tcPr>
            <w:tcW w:w="1260" w:type="dxa"/>
            <w:tcBorders>
              <w:top w:val="single" w:sz="4" w:space="0" w:color="auto"/>
              <w:left w:val="nil"/>
              <w:bottom w:val="single" w:sz="4" w:space="0" w:color="auto"/>
              <w:right w:val="nil"/>
            </w:tcBorders>
            <w:shd w:val="clear" w:color="auto" w:fill="auto"/>
            <w:hideMark/>
          </w:tcPr>
          <w:p w14:paraId="564D6455" w14:textId="77777777" w:rsidR="004936C8" w:rsidRPr="00932F75" w:rsidRDefault="004936C8" w:rsidP="009F23CC">
            <w:pPr>
              <w:pStyle w:val="NoSpacing"/>
              <w:spacing w:line="360" w:lineRule="auto"/>
              <w:jc w:val="both"/>
            </w:pPr>
            <w:r w:rsidRPr="00932F75">
              <w:t>Infection state</w:t>
            </w:r>
          </w:p>
        </w:tc>
        <w:tc>
          <w:tcPr>
            <w:tcW w:w="720" w:type="dxa"/>
            <w:tcBorders>
              <w:top w:val="single" w:sz="4" w:space="0" w:color="auto"/>
              <w:left w:val="nil"/>
              <w:bottom w:val="single" w:sz="4" w:space="0" w:color="auto"/>
              <w:right w:val="nil"/>
            </w:tcBorders>
            <w:shd w:val="clear" w:color="auto" w:fill="auto"/>
            <w:hideMark/>
          </w:tcPr>
          <w:p w14:paraId="720F05B0" w14:textId="77777777" w:rsidR="004936C8" w:rsidRPr="00932F75" w:rsidRDefault="004936C8" w:rsidP="009F23CC">
            <w:pPr>
              <w:pStyle w:val="NoSpacing"/>
              <w:spacing w:line="360" w:lineRule="auto"/>
              <w:jc w:val="both"/>
            </w:pPr>
            <w:r w:rsidRPr="00932F75">
              <w:t xml:space="preserve">Size </w:t>
            </w:r>
          </w:p>
        </w:tc>
        <w:tc>
          <w:tcPr>
            <w:tcW w:w="1038" w:type="dxa"/>
            <w:tcBorders>
              <w:top w:val="single" w:sz="4" w:space="0" w:color="auto"/>
              <w:left w:val="nil"/>
              <w:bottom w:val="single" w:sz="4" w:space="0" w:color="auto"/>
              <w:right w:val="nil"/>
            </w:tcBorders>
            <w:shd w:val="clear" w:color="auto" w:fill="auto"/>
            <w:hideMark/>
          </w:tcPr>
          <w:p w14:paraId="455A37F5" w14:textId="77777777" w:rsidR="004936C8" w:rsidRPr="00932F75" w:rsidRDefault="004936C8" w:rsidP="009F23CC">
            <w:pPr>
              <w:pStyle w:val="NoSpacing"/>
              <w:spacing w:line="360" w:lineRule="auto"/>
              <w:jc w:val="both"/>
            </w:pPr>
            <w:proofErr w:type="spellStart"/>
            <w:r w:rsidRPr="00932F75">
              <w:t>Uruagu</w:t>
            </w:r>
            <w:proofErr w:type="spellEnd"/>
          </w:p>
        </w:tc>
        <w:tc>
          <w:tcPr>
            <w:tcW w:w="1141" w:type="dxa"/>
            <w:tcBorders>
              <w:top w:val="single" w:sz="4" w:space="0" w:color="auto"/>
              <w:left w:val="nil"/>
              <w:bottom w:val="single" w:sz="4" w:space="0" w:color="auto"/>
              <w:right w:val="nil"/>
            </w:tcBorders>
            <w:shd w:val="clear" w:color="auto" w:fill="auto"/>
            <w:hideMark/>
          </w:tcPr>
          <w:p w14:paraId="31219822" w14:textId="77777777" w:rsidR="004936C8" w:rsidRPr="00932F75" w:rsidRDefault="004936C8" w:rsidP="009F23CC">
            <w:pPr>
              <w:pStyle w:val="NoSpacing"/>
              <w:spacing w:line="360" w:lineRule="auto"/>
              <w:jc w:val="both"/>
            </w:pPr>
            <w:proofErr w:type="spellStart"/>
            <w:r w:rsidRPr="00932F75">
              <w:t>Otolo</w:t>
            </w:r>
            <w:proofErr w:type="spellEnd"/>
          </w:p>
        </w:tc>
        <w:tc>
          <w:tcPr>
            <w:tcW w:w="1141" w:type="dxa"/>
            <w:tcBorders>
              <w:top w:val="single" w:sz="4" w:space="0" w:color="auto"/>
              <w:left w:val="nil"/>
              <w:bottom w:val="single" w:sz="4" w:space="0" w:color="auto"/>
              <w:right w:val="nil"/>
            </w:tcBorders>
            <w:shd w:val="clear" w:color="auto" w:fill="auto"/>
            <w:hideMark/>
          </w:tcPr>
          <w:p w14:paraId="70D619EE" w14:textId="77777777" w:rsidR="004936C8" w:rsidRPr="00932F75" w:rsidRDefault="004936C8" w:rsidP="009F23CC">
            <w:pPr>
              <w:pStyle w:val="NoSpacing"/>
              <w:spacing w:line="360" w:lineRule="auto"/>
              <w:jc w:val="both"/>
            </w:pPr>
            <w:proofErr w:type="spellStart"/>
            <w:r w:rsidRPr="00932F75">
              <w:t>Umudim</w:t>
            </w:r>
            <w:proofErr w:type="spellEnd"/>
          </w:p>
        </w:tc>
        <w:tc>
          <w:tcPr>
            <w:tcW w:w="1270" w:type="dxa"/>
            <w:tcBorders>
              <w:top w:val="single" w:sz="4" w:space="0" w:color="auto"/>
              <w:left w:val="nil"/>
              <w:bottom w:val="single" w:sz="4" w:space="0" w:color="auto"/>
              <w:right w:val="nil"/>
            </w:tcBorders>
            <w:shd w:val="clear" w:color="auto" w:fill="auto"/>
            <w:hideMark/>
          </w:tcPr>
          <w:p w14:paraId="60ADA789" w14:textId="77777777" w:rsidR="004936C8" w:rsidRPr="00932F75" w:rsidRDefault="004936C8" w:rsidP="009F23CC">
            <w:pPr>
              <w:pStyle w:val="NoSpacing"/>
              <w:spacing w:line="360" w:lineRule="auto"/>
              <w:jc w:val="both"/>
            </w:pPr>
            <w:proofErr w:type="spellStart"/>
            <w:r w:rsidRPr="00932F75">
              <w:t>Nnewichi</w:t>
            </w:r>
            <w:proofErr w:type="spellEnd"/>
          </w:p>
        </w:tc>
        <w:tc>
          <w:tcPr>
            <w:tcW w:w="990" w:type="dxa"/>
            <w:tcBorders>
              <w:top w:val="single" w:sz="4" w:space="0" w:color="auto"/>
              <w:left w:val="nil"/>
              <w:bottom w:val="single" w:sz="4" w:space="0" w:color="auto"/>
              <w:right w:val="nil"/>
            </w:tcBorders>
            <w:shd w:val="clear" w:color="auto" w:fill="auto"/>
            <w:hideMark/>
          </w:tcPr>
          <w:p w14:paraId="01011827" w14:textId="77777777" w:rsidR="004936C8" w:rsidRPr="00932F75" w:rsidRDefault="004936C8" w:rsidP="009F23CC">
            <w:pPr>
              <w:pStyle w:val="NoSpacing"/>
              <w:spacing w:line="360" w:lineRule="auto"/>
              <w:jc w:val="both"/>
            </w:pPr>
            <w:r w:rsidRPr="00932F75">
              <w:t xml:space="preserve">Grand Total </w:t>
            </w:r>
          </w:p>
        </w:tc>
        <w:tc>
          <w:tcPr>
            <w:tcW w:w="540" w:type="dxa"/>
            <w:tcBorders>
              <w:top w:val="single" w:sz="4" w:space="0" w:color="auto"/>
              <w:left w:val="nil"/>
              <w:bottom w:val="single" w:sz="4" w:space="0" w:color="auto"/>
              <w:right w:val="nil"/>
            </w:tcBorders>
            <w:shd w:val="clear" w:color="auto" w:fill="auto"/>
            <w:hideMark/>
          </w:tcPr>
          <w:p w14:paraId="22083A6E" w14:textId="77777777" w:rsidR="004936C8" w:rsidRPr="00932F75" w:rsidRDefault="004936C8" w:rsidP="009F23CC">
            <w:pPr>
              <w:pStyle w:val="NoSpacing"/>
              <w:spacing w:line="360" w:lineRule="auto"/>
              <w:jc w:val="both"/>
            </w:pPr>
            <w:r w:rsidRPr="00932F75">
              <w:t xml:space="preserve">F  </w:t>
            </w:r>
          </w:p>
        </w:tc>
        <w:tc>
          <w:tcPr>
            <w:tcW w:w="900" w:type="dxa"/>
            <w:tcBorders>
              <w:top w:val="single" w:sz="4" w:space="0" w:color="auto"/>
              <w:left w:val="nil"/>
              <w:bottom w:val="single" w:sz="4" w:space="0" w:color="auto"/>
              <w:right w:val="nil"/>
            </w:tcBorders>
            <w:shd w:val="clear" w:color="auto" w:fill="auto"/>
            <w:hideMark/>
          </w:tcPr>
          <w:p w14:paraId="30B65286" w14:textId="77777777" w:rsidR="004936C8" w:rsidRPr="00932F75" w:rsidRDefault="004936C8" w:rsidP="009F23CC">
            <w:pPr>
              <w:pStyle w:val="NoSpacing"/>
              <w:spacing w:line="360" w:lineRule="auto"/>
              <w:jc w:val="both"/>
            </w:pPr>
            <w:r w:rsidRPr="00932F75">
              <w:t>p-val.</w:t>
            </w:r>
          </w:p>
        </w:tc>
      </w:tr>
      <w:tr w:rsidR="00932F75" w:rsidRPr="00932F75" w14:paraId="16BC182D" w14:textId="77777777" w:rsidTr="009F23CC">
        <w:trPr>
          <w:trHeight w:val="1012"/>
        </w:trPr>
        <w:tc>
          <w:tcPr>
            <w:tcW w:w="1013" w:type="dxa"/>
            <w:vMerge w:val="restart"/>
            <w:tcBorders>
              <w:top w:val="single" w:sz="4" w:space="0" w:color="auto"/>
              <w:left w:val="nil"/>
              <w:bottom w:val="nil"/>
              <w:right w:val="nil"/>
            </w:tcBorders>
            <w:shd w:val="clear" w:color="auto" w:fill="auto"/>
            <w:hideMark/>
          </w:tcPr>
          <w:p w14:paraId="5E3D290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IgG</w:t>
            </w:r>
          </w:p>
        </w:tc>
        <w:tc>
          <w:tcPr>
            <w:tcW w:w="1260" w:type="dxa"/>
            <w:tcBorders>
              <w:top w:val="single" w:sz="4" w:space="0" w:color="auto"/>
              <w:left w:val="nil"/>
              <w:bottom w:val="nil"/>
              <w:right w:val="nil"/>
            </w:tcBorders>
            <w:shd w:val="clear" w:color="auto" w:fill="auto"/>
            <w:hideMark/>
          </w:tcPr>
          <w:p w14:paraId="6B5BEF4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Positive</w:t>
            </w:r>
          </w:p>
        </w:tc>
        <w:tc>
          <w:tcPr>
            <w:tcW w:w="720" w:type="dxa"/>
            <w:tcBorders>
              <w:top w:val="single" w:sz="4" w:space="0" w:color="auto"/>
              <w:left w:val="nil"/>
              <w:bottom w:val="nil"/>
              <w:right w:val="nil"/>
            </w:tcBorders>
            <w:shd w:val="clear" w:color="auto" w:fill="auto"/>
            <w:hideMark/>
          </w:tcPr>
          <w:p w14:paraId="40F7225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87</w:t>
            </w:r>
          </w:p>
        </w:tc>
        <w:tc>
          <w:tcPr>
            <w:tcW w:w="1038" w:type="dxa"/>
            <w:tcBorders>
              <w:top w:val="single" w:sz="4" w:space="0" w:color="auto"/>
              <w:left w:val="nil"/>
              <w:bottom w:val="nil"/>
              <w:right w:val="nil"/>
            </w:tcBorders>
            <w:shd w:val="clear" w:color="auto" w:fill="auto"/>
            <w:hideMark/>
          </w:tcPr>
          <w:p w14:paraId="63ECB88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70.69±15.16</w:t>
            </w:r>
          </w:p>
        </w:tc>
        <w:tc>
          <w:tcPr>
            <w:tcW w:w="1141" w:type="dxa"/>
            <w:tcBorders>
              <w:top w:val="single" w:sz="4" w:space="0" w:color="auto"/>
              <w:left w:val="nil"/>
              <w:bottom w:val="nil"/>
              <w:right w:val="nil"/>
            </w:tcBorders>
            <w:shd w:val="clear" w:color="auto" w:fill="auto"/>
            <w:hideMark/>
          </w:tcPr>
          <w:p w14:paraId="0B6FB58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71.96±15.79</w:t>
            </w:r>
          </w:p>
        </w:tc>
        <w:tc>
          <w:tcPr>
            <w:tcW w:w="1141" w:type="dxa"/>
            <w:tcBorders>
              <w:top w:val="single" w:sz="4" w:space="0" w:color="auto"/>
              <w:left w:val="nil"/>
              <w:bottom w:val="nil"/>
              <w:right w:val="nil"/>
            </w:tcBorders>
            <w:shd w:val="clear" w:color="auto" w:fill="auto"/>
            <w:hideMark/>
          </w:tcPr>
          <w:p w14:paraId="57932B5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73.05±12.02</w:t>
            </w:r>
          </w:p>
        </w:tc>
        <w:tc>
          <w:tcPr>
            <w:tcW w:w="1270" w:type="dxa"/>
            <w:tcBorders>
              <w:top w:val="single" w:sz="4" w:space="0" w:color="auto"/>
              <w:left w:val="nil"/>
              <w:bottom w:val="nil"/>
              <w:right w:val="nil"/>
            </w:tcBorders>
            <w:shd w:val="clear" w:color="auto" w:fill="auto"/>
            <w:hideMark/>
          </w:tcPr>
          <w:p w14:paraId="43F2B71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66.38±15.18</w:t>
            </w:r>
          </w:p>
        </w:tc>
        <w:tc>
          <w:tcPr>
            <w:tcW w:w="990" w:type="dxa"/>
            <w:tcBorders>
              <w:top w:val="single" w:sz="4" w:space="0" w:color="auto"/>
              <w:left w:val="nil"/>
              <w:bottom w:val="nil"/>
              <w:right w:val="nil"/>
            </w:tcBorders>
            <w:shd w:val="clear" w:color="auto" w:fill="auto"/>
            <w:hideMark/>
          </w:tcPr>
          <w:p w14:paraId="5167E62B"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70.93±14.37</w:t>
            </w:r>
          </w:p>
        </w:tc>
        <w:tc>
          <w:tcPr>
            <w:tcW w:w="540" w:type="dxa"/>
            <w:tcBorders>
              <w:top w:val="single" w:sz="4" w:space="0" w:color="auto"/>
              <w:left w:val="nil"/>
              <w:bottom w:val="nil"/>
              <w:right w:val="nil"/>
            </w:tcBorders>
            <w:shd w:val="clear" w:color="auto" w:fill="auto"/>
            <w:hideMark/>
          </w:tcPr>
          <w:p w14:paraId="19F5EB8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0.717</w:t>
            </w:r>
          </w:p>
        </w:tc>
        <w:tc>
          <w:tcPr>
            <w:tcW w:w="900" w:type="dxa"/>
            <w:tcBorders>
              <w:top w:val="single" w:sz="4" w:space="0" w:color="auto"/>
              <w:left w:val="nil"/>
              <w:bottom w:val="nil"/>
              <w:right w:val="nil"/>
            </w:tcBorders>
            <w:shd w:val="clear" w:color="auto" w:fill="auto"/>
            <w:hideMark/>
          </w:tcPr>
          <w:p w14:paraId="0A59166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0.544</w:t>
            </w:r>
          </w:p>
        </w:tc>
      </w:tr>
      <w:tr w:rsidR="00932F75" w:rsidRPr="00932F75" w14:paraId="4AAE7276" w14:textId="77777777" w:rsidTr="009F23CC">
        <w:trPr>
          <w:trHeight w:val="1012"/>
        </w:trPr>
        <w:tc>
          <w:tcPr>
            <w:tcW w:w="1013" w:type="dxa"/>
            <w:vMerge/>
            <w:tcBorders>
              <w:top w:val="single" w:sz="4" w:space="0" w:color="auto"/>
              <w:left w:val="nil"/>
              <w:bottom w:val="nil"/>
              <w:right w:val="nil"/>
            </w:tcBorders>
            <w:shd w:val="clear" w:color="auto" w:fill="auto"/>
            <w:vAlign w:val="center"/>
            <w:hideMark/>
          </w:tcPr>
          <w:p w14:paraId="48F82BC5" w14:textId="77777777" w:rsidR="004936C8" w:rsidRPr="00932F75" w:rsidRDefault="004936C8" w:rsidP="009F23CC">
            <w:pPr>
              <w:spacing w:line="360" w:lineRule="auto"/>
              <w:jc w:val="both"/>
              <w:rPr>
                <w:rFonts w:ascii="Times New Roman" w:hAnsi="Times New Roman" w:cs="Times New Roman"/>
              </w:rPr>
            </w:pPr>
          </w:p>
        </w:tc>
        <w:tc>
          <w:tcPr>
            <w:tcW w:w="1260" w:type="dxa"/>
            <w:tcBorders>
              <w:top w:val="nil"/>
              <w:left w:val="nil"/>
              <w:bottom w:val="nil"/>
              <w:right w:val="nil"/>
            </w:tcBorders>
            <w:shd w:val="clear" w:color="auto" w:fill="auto"/>
            <w:hideMark/>
          </w:tcPr>
          <w:p w14:paraId="73B411F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Negative</w:t>
            </w:r>
          </w:p>
        </w:tc>
        <w:tc>
          <w:tcPr>
            <w:tcW w:w="720" w:type="dxa"/>
            <w:tcBorders>
              <w:top w:val="nil"/>
              <w:left w:val="nil"/>
              <w:bottom w:val="nil"/>
              <w:right w:val="nil"/>
            </w:tcBorders>
            <w:shd w:val="clear" w:color="auto" w:fill="auto"/>
            <w:hideMark/>
          </w:tcPr>
          <w:p w14:paraId="5E21EBB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99</w:t>
            </w:r>
          </w:p>
        </w:tc>
        <w:tc>
          <w:tcPr>
            <w:tcW w:w="1038" w:type="dxa"/>
            <w:tcBorders>
              <w:top w:val="nil"/>
              <w:left w:val="nil"/>
              <w:bottom w:val="nil"/>
              <w:right w:val="nil"/>
            </w:tcBorders>
            <w:shd w:val="clear" w:color="auto" w:fill="auto"/>
            <w:hideMark/>
          </w:tcPr>
          <w:p w14:paraId="565C0A11"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12.26±8.46</w:t>
            </w:r>
          </w:p>
        </w:tc>
        <w:tc>
          <w:tcPr>
            <w:tcW w:w="1141" w:type="dxa"/>
            <w:tcBorders>
              <w:top w:val="nil"/>
              <w:left w:val="nil"/>
              <w:bottom w:val="nil"/>
              <w:right w:val="nil"/>
            </w:tcBorders>
            <w:shd w:val="clear" w:color="auto" w:fill="auto"/>
            <w:hideMark/>
          </w:tcPr>
          <w:p w14:paraId="23FB186D"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10.69±7.06</w:t>
            </w:r>
          </w:p>
        </w:tc>
        <w:tc>
          <w:tcPr>
            <w:tcW w:w="1141" w:type="dxa"/>
            <w:tcBorders>
              <w:top w:val="nil"/>
              <w:left w:val="nil"/>
              <w:bottom w:val="nil"/>
              <w:right w:val="nil"/>
            </w:tcBorders>
            <w:shd w:val="clear" w:color="auto" w:fill="auto"/>
            <w:hideMark/>
          </w:tcPr>
          <w:p w14:paraId="72E4D6CD"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11.28±8.75</w:t>
            </w:r>
          </w:p>
        </w:tc>
        <w:tc>
          <w:tcPr>
            <w:tcW w:w="1270" w:type="dxa"/>
            <w:tcBorders>
              <w:top w:val="nil"/>
              <w:left w:val="nil"/>
              <w:bottom w:val="nil"/>
              <w:right w:val="nil"/>
            </w:tcBorders>
            <w:shd w:val="clear" w:color="auto" w:fill="auto"/>
            <w:hideMark/>
          </w:tcPr>
          <w:p w14:paraId="50116212"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10.25±7.07</w:t>
            </w:r>
          </w:p>
        </w:tc>
        <w:tc>
          <w:tcPr>
            <w:tcW w:w="990" w:type="dxa"/>
            <w:tcBorders>
              <w:top w:val="nil"/>
              <w:left w:val="nil"/>
              <w:bottom w:val="nil"/>
              <w:right w:val="nil"/>
            </w:tcBorders>
            <w:shd w:val="clear" w:color="auto" w:fill="auto"/>
            <w:hideMark/>
          </w:tcPr>
          <w:p w14:paraId="45EC201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11.03±7.38</w:t>
            </w:r>
          </w:p>
        </w:tc>
        <w:tc>
          <w:tcPr>
            <w:tcW w:w="540" w:type="dxa"/>
            <w:tcBorders>
              <w:top w:val="nil"/>
              <w:left w:val="nil"/>
              <w:bottom w:val="nil"/>
              <w:right w:val="nil"/>
            </w:tcBorders>
            <w:shd w:val="clear" w:color="auto" w:fill="auto"/>
            <w:hideMark/>
          </w:tcPr>
          <w:p w14:paraId="0E97B3C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0.315</w:t>
            </w:r>
          </w:p>
        </w:tc>
        <w:tc>
          <w:tcPr>
            <w:tcW w:w="900" w:type="dxa"/>
            <w:tcBorders>
              <w:top w:val="nil"/>
              <w:left w:val="nil"/>
              <w:bottom w:val="nil"/>
              <w:right w:val="nil"/>
            </w:tcBorders>
            <w:shd w:val="clear" w:color="auto" w:fill="auto"/>
            <w:hideMark/>
          </w:tcPr>
          <w:p w14:paraId="6CD88D3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0.814</w:t>
            </w:r>
          </w:p>
        </w:tc>
      </w:tr>
      <w:tr w:rsidR="00932F75" w:rsidRPr="00932F75" w14:paraId="4D94EDF8" w14:textId="77777777" w:rsidTr="009F23CC">
        <w:trPr>
          <w:trHeight w:val="1012"/>
        </w:trPr>
        <w:tc>
          <w:tcPr>
            <w:tcW w:w="1013" w:type="dxa"/>
            <w:vMerge/>
            <w:tcBorders>
              <w:top w:val="single" w:sz="4" w:space="0" w:color="auto"/>
              <w:left w:val="nil"/>
              <w:bottom w:val="nil"/>
              <w:right w:val="nil"/>
            </w:tcBorders>
            <w:shd w:val="clear" w:color="auto" w:fill="auto"/>
            <w:vAlign w:val="center"/>
            <w:hideMark/>
          </w:tcPr>
          <w:p w14:paraId="2169FFE5" w14:textId="77777777" w:rsidR="004936C8" w:rsidRPr="00932F75" w:rsidRDefault="004936C8" w:rsidP="009F23CC">
            <w:pPr>
              <w:spacing w:line="360" w:lineRule="auto"/>
              <w:jc w:val="both"/>
              <w:rPr>
                <w:rFonts w:ascii="Times New Roman" w:hAnsi="Times New Roman" w:cs="Times New Roman"/>
              </w:rPr>
            </w:pPr>
          </w:p>
        </w:tc>
        <w:tc>
          <w:tcPr>
            <w:tcW w:w="1260" w:type="dxa"/>
            <w:tcBorders>
              <w:top w:val="nil"/>
              <w:left w:val="nil"/>
              <w:bottom w:val="nil"/>
              <w:right w:val="nil"/>
            </w:tcBorders>
            <w:shd w:val="clear" w:color="auto" w:fill="auto"/>
            <w:hideMark/>
          </w:tcPr>
          <w:p w14:paraId="7A8AC4A9"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Equivocal</w:t>
            </w:r>
          </w:p>
        </w:tc>
        <w:tc>
          <w:tcPr>
            <w:tcW w:w="720" w:type="dxa"/>
            <w:tcBorders>
              <w:top w:val="nil"/>
              <w:left w:val="nil"/>
              <w:bottom w:val="nil"/>
              <w:right w:val="nil"/>
            </w:tcBorders>
            <w:shd w:val="clear" w:color="auto" w:fill="auto"/>
            <w:hideMark/>
          </w:tcPr>
          <w:p w14:paraId="38A78AB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14</w:t>
            </w:r>
          </w:p>
        </w:tc>
        <w:tc>
          <w:tcPr>
            <w:tcW w:w="1038" w:type="dxa"/>
            <w:tcBorders>
              <w:top w:val="nil"/>
              <w:left w:val="nil"/>
              <w:bottom w:val="nil"/>
              <w:right w:val="nil"/>
            </w:tcBorders>
            <w:shd w:val="clear" w:color="auto" w:fill="auto"/>
            <w:hideMark/>
          </w:tcPr>
          <w:p w14:paraId="0E8284E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34.48±3.34</w:t>
            </w:r>
          </w:p>
        </w:tc>
        <w:tc>
          <w:tcPr>
            <w:tcW w:w="1141" w:type="dxa"/>
            <w:tcBorders>
              <w:top w:val="nil"/>
              <w:left w:val="nil"/>
              <w:bottom w:val="nil"/>
              <w:right w:val="nil"/>
            </w:tcBorders>
            <w:shd w:val="clear" w:color="auto" w:fill="auto"/>
            <w:hideMark/>
          </w:tcPr>
          <w:p w14:paraId="4031384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34.57±4.15</w:t>
            </w:r>
          </w:p>
        </w:tc>
        <w:tc>
          <w:tcPr>
            <w:tcW w:w="1141" w:type="dxa"/>
            <w:tcBorders>
              <w:top w:val="nil"/>
              <w:left w:val="nil"/>
              <w:bottom w:val="nil"/>
              <w:right w:val="nil"/>
            </w:tcBorders>
            <w:shd w:val="clear" w:color="auto" w:fill="auto"/>
            <w:hideMark/>
          </w:tcPr>
          <w:p w14:paraId="3B48FBF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34.85±3.18</w:t>
            </w:r>
          </w:p>
        </w:tc>
        <w:tc>
          <w:tcPr>
            <w:tcW w:w="1270" w:type="dxa"/>
            <w:tcBorders>
              <w:top w:val="nil"/>
              <w:left w:val="nil"/>
              <w:bottom w:val="nil"/>
              <w:right w:val="nil"/>
            </w:tcBorders>
            <w:shd w:val="clear" w:color="auto" w:fill="auto"/>
            <w:hideMark/>
          </w:tcPr>
          <w:p w14:paraId="79F8374E"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32.87±4.53</w:t>
            </w:r>
          </w:p>
        </w:tc>
        <w:tc>
          <w:tcPr>
            <w:tcW w:w="990" w:type="dxa"/>
            <w:tcBorders>
              <w:top w:val="nil"/>
              <w:left w:val="nil"/>
              <w:bottom w:val="nil"/>
              <w:right w:val="nil"/>
            </w:tcBorders>
            <w:shd w:val="clear" w:color="auto" w:fill="auto"/>
            <w:hideMark/>
          </w:tcPr>
          <w:p w14:paraId="426EAB1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34.26±3.36</w:t>
            </w:r>
          </w:p>
        </w:tc>
        <w:tc>
          <w:tcPr>
            <w:tcW w:w="540" w:type="dxa"/>
            <w:tcBorders>
              <w:top w:val="nil"/>
              <w:left w:val="nil"/>
              <w:bottom w:val="nil"/>
              <w:right w:val="nil"/>
            </w:tcBorders>
            <w:shd w:val="clear" w:color="auto" w:fill="auto"/>
            <w:hideMark/>
          </w:tcPr>
          <w:p w14:paraId="2AA65FA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0.184</w:t>
            </w:r>
          </w:p>
        </w:tc>
        <w:tc>
          <w:tcPr>
            <w:tcW w:w="900" w:type="dxa"/>
            <w:tcBorders>
              <w:top w:val="nil"/>
              <w:left w:val="nil"/>
              <w:bottom w:val="nil"/>
              <w:right w:val="nil"/>
            </w:tcBorders>
            <w:shd w:val="clear" w:color="auto" w:fill="auto"/>
            <w:hideMark/>
          </w:tcPr>
          <w:p w14:paraId="4BB082C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0.905</w:t>
            </w:r>
          </w:p>
        </w:tc>
      </w:tr>
      <w:tr w:rsidR="00932F75" w:rsidRPr="00932F75" w14:paraId="5A55014D" w14:textId="77777777" w:rsidTr="009F23CC">
        <w:trPr>
          <w:trHeight w:val="1012"/>
        </w:trPr>
        <w:tc>
          <w:tcPr>
            <w:tcW w:w="1013" w:type="dxa"/>
            <w:vMerge/>
            <w:tcBorders>
              <w:top w:val="single" w:sz="4" w:space="0" w:color="auto"/>
              <w:left w:val="nil"/>
              <w:bottom w:val="nil"/>
              <w:right w:val="nil"/>
            </w:tcBorders>
            <w:shd w:val="clear" w:color="auto" w:fill="auto"/>
            <w:vAlign w:val="center"/>
            <w:hideMark/>
          </w:tcPr>
          <w:p w14:paraId="657A2459" w14:textId="77777777" w:rsidR="004936C8" w:rsidRPr="00932F75" w:rsidRDefault="004936C8" w:rsidP="009F23CC">
            <w:pPr>
              <w:spacing w:line="360" w:lineRule="auto"/>
              <w:jc w:val="both"/>
              <w:rPr>
                <w:rFonts w:ascii="Times New Roman" w:hAnsi="Times New Roman" w:cs="Times New Roman"/>
              </w:rPr>
            </w:pPr>
          </w:p>
        </w:tc>
        <w:tc>
          <w:tcPr>
            <w:tcW w:w="1260" w:type="dxa"/>
            <w:tcBorders>
              <w:top w:val="nil"/>
              <w:left w:val="nil"/>
              <w:bottom w:val="nil"/>
              <w:right w:val="nil"/>
            </w:tcBorders>
            <w:shd w:val="clear" w:color="auto" w:fill="auto"/>
            <w:hideMark/>
          </w:tcPr>
          <w:p w14:paraId="19D161B2"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Total</w:t>
            </w:r>
          </w:p>
        </w:tc>
        <w:tc>
          <w:tcPr>
            <w:tcW w:w="720" w:type="dxa"/>
            <w:tcBorders>
              <w:top w:val="nil"/>
              <w:left w:val="nil"/>
              <w:bottom w:val="nil"/>
              <w:right w:val="nil"/>
            </w:tcBorders>
            <w:shd w:val="clear" w:color="auto" w:fill="auto"/>
            <w:hideMark/>
          </w:tcPr>
          <w:p w14:paraId="109DAAB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200</w:t>
            </w:r>
          </w:p>
        </w:tc>
        <w:tc>
          <w:tcPr>
            <w:tcW w:w="1038" w:type="dxa"/>
            <w:tcBorders>
              <w:top w:val="nil"/>
              <w:left w:val="nil"/>
              <w:bottom w:val="nil"/>
              <w:right w:val="nil"/>
            </w:tcBorders>
            <w:shd w:val="clear" w:color="auto" w:fill="auto"/>
            <w:hideMark/>
          </w:tcPr>
          <w:p w14:paraId="0BAA885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44.31±30.73</w:t>
            </w:r>
          </w:p>
        </w:tc>
        <w:tc>
          <w:tcPr>
            <w:tcW w:w="1141" w:type="dxa"/>
            <w:tcBorders>
              <w:top w:val="nil"/>
              <w:left w:val="nil"/>
              <w:bottom w:val="nil"/>
              <w:right w:val="nil"/>
            </w:tcBorders>
            <w:shd w:val="clear" w:color="auto" w:fill="auto"/>
            <w:hideMark/>
          </w:tcPr>
          <w:p w14:paraId="283D605A"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34.46±31.19</w:t>
            </w:r>
          </w:p>
        </w:tc>
        <w:tc>
          <w:tcPr>
            <w:tcW w:w="1141" w:type="dxa"/>
            <w:tcBorders>
              <w:top w:val="nil"/>
              <w:left w:val="nil"/>
              <w:bottom w:val="nil"/>
              <w:right w:val="nil"/>
            </w:tcBorders>
            <w:shd w:val="clear" w:color="auto" w:fill="auto"/>
            <w:hideMark/>
          </w:tcPr>
          <w:p w14:paraId="55A62201"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43.97±31.65</w:t>
            </w:r>
          </w:p>
        </w:tc>
        <w:tc>
          <w:tcPr>
            <w:tcW w:w="1270" w:type="dxa"/>
            <w:tcBorders>
              <w:top w:val="nil"/>
              <w:left w:val="nil"/>
              <w:bottom w:val="nil"/>
              <w:right w:val="nil"/>
            </w:tcBorders>
            <w:shd w:val="clear" w:color="auto" w:fill="auto"/>
            <w:hideMark/>
          </w:tcPr>
          <w:p w14:paraId="61735AE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30.93±28.14</w:t>
            </w:r>
          </w:p>
        </w:tc>
        <w:tc>
          <w:tcPr>
            <w:tcW w:w="990" w:type="dxa"/>
            <w:tcBorders>
              <w:top w:val="nil"/>
              <w:left w:val="nil"/>
              <w:bottom w:val="nil"/>
              <w:right w:val="nil"/>
            </w:tcBorders>
            <w:shd w:val="clear" w:color="auto" w:fill="auto"/>
            <w:hideMark/>
          </w:tcPr>
          <w:p w14:paraId="21722D6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38.72±30.87</w:t>
            </w:r>
          </w:p>
        </w:tc>
        <w:tc>
          <w:tcPr>
            <w:tcW w:w="540" w:type="dxa"/>
            <w:tcBorders>
              <w:top w:val="nil"/>
              <w:left w:val="nil"/>
              <w:bottom w:val="nil"/>
              <w:right w:val="nil"/>
            </w:tcBorders>
            <w:shd w:val="clear" w:color="auto" w:fill="auto"/>
            <w:hideMark/>
          </w:tcPr>
          <w:p w14:paraId="34447CB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2.385</w:t>
            </w:r>
          </w:p>
        </w:tc>
        <w:tc>
          <w:tcPr>
            <w:tcW w:w="900" w:type="dxa"/>
            <w:tcBorders>
              <w:top w:val="nil"/>
              <w:left w:val="nil"/>
              <w:bottom w:val="nil"/>
              <w:right w:val="nil"/>
            </w:tcBorders>
            <w:shd w:val="clear" w:color="auto" w:fill="auto"/>
            <w:hideMark/>
          </w:tcPr>
          <w:p w14:paraId="42717071"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0.070</w:t>
            </w:r>
          </w:p>
          <w:p w14:paraId="14F3717A" w14:textId="77777777" w:rsidR="004936C8" w:rsidRPr="00932F75" w:rsidRDefault="004936C8" w:rsidP="009F23CC">
            <w:pPr>
              <w:spacing w:line="360" w:lineRule="auto"/>
              <w:jc w:val="both"/>
              <w:rPr>
                <w:rFonts w:ascii="Times New Roman" w:hAnsi="Times New Roman" w:cs="Times New Roman"/>
              </w:rPr>
            </w:pPr>
          </w:p>
        </w:tc>
      </w:tr>
      <w:tr w:rsidR="00932F75" w:rsidRPr="00932F75" w14:paraId="2299FC4F" w14:textId="77777777" w:rsidTr="009F23CC">
        <w:trPr>
          <w:trHeight w:val="1012"/>
        </w:trPr>
        <w:tc>
          <w:tcPr>
            <w:tcW w:w="1013" w:type="dxa"/>
            <w:vMerge w:val="restart"/>
            <w:tcBorders>
              <w:top w:val="nil"/>
              <w:left w:val="nil"/>
              <w:bottom w:val="nil"/>
              <w:right w:val="nil"/>
            </w:tcBorders>
            <w:shd w:val="clear" w:color="auto" w:fill="auto"/>
            <w:hideMark/>
          </w:tcPr>
          <w:p w14:paraId="0A1FD8B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IgM</w:t>
            </w:r>
          </w:p>
        </w:tc>
        <w:tc>
          <w:tcPr>
            <w:tcW w:w="1260" w:type="dxa"/>
            <w:tcBorders>
              <w:top w:val="nil"/>
              <w:left w:val="nil"/>
              <w:bottom w:val="nil"/>
              <w:right w:val="nil"/>
            </w:tcBorders>
            <w:shd w:val="clear" w:color="auto" w:fill="auto"/>
            <w:hideMark/>
          </w:tcPr>
          <w:p w14:paraId="02C9B3F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Positive</w:t>
            </w:r>
          </w:p>
        </w:tc>
        <w:tc>
          <w:tcPr>
            <w:tcW w:w="720" w:type="dxa"/>
            <w:tcBorders>
              <w:top w:val="nil"/>
              <w:left w:val="nil"/>
              <w:bottom w:val="nil"/>
              <w:right w:val="nil"/>
            </w:tcBorders>
            <w:shd w:val="clear" w:color="auto" w:fill="auto"/>
            <w:hideMark/>
          </w:tcPr>
          <w:p w14:paraId="0F0A735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163</w:t>
            </w:r>
          </w:p>
        </w:tc>
        <w:tc>
          <w:tcPr>
            <w:tcW w:w="1038" w:type="dxa"/>
            <w:tcBorders>
              <w:top w:val="nil"/>
              <w:left w:val="nil"/>
              <w:bottom w:val="nil"/>
              <w:right w:val="nil"/>
            </w:tcBorders>
            <w:shd w:val="clear" w:color="auto" w:fill="auto"/>
            <w:hideMark/>
          </w:tcPr>
          <w:p w14:paraId="1EF6705A"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 xml:space="preserve">69.38±17.17 </w:t>
            </w:r>
          </w:p>
        </w:tc>
        <w:tc>
          <w:tcPr>
            <w:tcW w:w="1141" w:type="dxa"/>
            <w:tcBorders>
              <w:top w:val="nil"/>
              <w:left w:val="nil"/>
              <w:bottom w:val="nil"/>
              <w:right w:val="nil"/>
            </w:tcBorders>
            <w:shd w:val="clear" w:color="auto" w:fill="auto"/>
            <w:hideMark/>
          </w:tcPr>
          <w:p w14:paraId="6F40DE3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72.31±15.92</w:t>
            </w:r>
          </w:p>
        </w:tc>
        <w:tc>
          <w:tcPr>
            <w:tcW w:w="1141" w:type="dxa"/>
            <w:tcBorders>
              <w:top w:val="nil"/>
              <w:left w:val="nil"/>
              <w:bottom w:val="nil"/>
              <w:right w:val="nil"/>
            </w:tcBorders>
            <w:shd w:val="clear" w:color="auto" w:fill="auto"/>
            <w:hideMark/>
          </w:tcPr>
          <w:p w14:paraId="269A0D0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76.47±17.95</w:t>
            </w:r>
          </w:p>
        </w:tc>
        <w:tc>
          <w:tcPr>
            <w:tcW w:w="1270" w:type="dxa"/>
            <w:tcBorders>
              <w:top w:val="nil"/>
              <w:left w:val="nil"/>
              <w:bottom w:val="nil"/>
              <w:right w:val="nil"/>
            </w:tcBorders>
            <w:shd w:val="clear" w:color="auto" w:fill="auto"/>
            <w:hideMark/>
          </w:tcPr>
          <w:p w14:paraId="7EF24A4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69.61±15.29</w:t>
            </w:r>
          </w:p>
        </w:tc>
        <w:tc>
          <w:tcPr>
            <w:tcW w:w="990" w:type="dxa"/>
            <w:tcBorders>
              <w:top w:val="nil"/>
              <w:left w:val="nil"/>
              <w:bottom w:val="nil"/>
              <w:right w:val="nil"/>
            </w:tcBorders>
            <w:shd w:val="clear" w:color="auto" w:fill="auto"/>
            <w:hideMark/>
          </w:tcPr>
          <w:p w14:paraId="3017D73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72.07±16.77</w:t>
            </w:r>
          </w:p>
        </w:tc>
        <w:tc>
          <w:tcPr>
            <w:tcW w:w="540" w:type="dxa"/>
            <w:tcBorders>
              <w:top w:val="nil"/>
              <w:left w:val="nil"/>
              <w:bottom w:val="nil"/>
              <w:right w:val="nil"/>
            </w:tcBorders>
            <w:shd w:val="clear" w:color="auto" w:fill="auto"/>
            <w:hideMark/>
          </w:tcPr>
          <w:p w14:paraId="1DA7272E"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1.552</w:t>
            </w:r>
          </w:p>
        </w:tc>
        <w:tc>
          <w:tcPr>
            <w:tcW w:w="900" w:type="dxa"/>
            <w:tcBorders>
              <w:top w:val="nil"/>
              <w:left w:val="nil"/>
              <w:bottom w:val="nil"/>
              <w:right w:val="nil"/>
            </w:tcBorders>
            <w:shd w:val="clear" w:color="auto" w:fill="auto"/>
            <w:hideMark/>
          </w:tcPr>
          <w:p w14:paraId="3096C1EA"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0.203</w:t>
            </w:r>
          </w:p>
        </w:tc>
      </w:tr>
      <w:tr w:rsidR="00932F75" w:rsidRPr="00932F75" w14:paraId="5E2EF986" w14:textId="77777777" w:rsidTr="009F23CC">
        <w:trPr>
          <w:trHeight w:val="1012"/>
        </w:trPr>
        <w:tc>
          <w:tcPr>
            <w:tcW w:w="1013" w:type="dxa"/>
            <w:vMerge/>
            <w:tcBorders>
              <w:top w:val="nil"/>
              <w:left w:val="nil"/>
              <w:bottom w:val="nil"/>
              <w:right w:val="nil"/>
            </w:tcBorders>
            <w:shd w:val="clear" w:color="auto" w:fill="auto"/>
            <w:vAlign w:val="center"/>
            <w:hideMark/>
          </w:tcPr>
          <w:p w14:paraId="0871356C" w14:textId="77777777" w:rsidR="004936C8" w:rsidRPr="00932F75" w:rsidRDefault="004936C8" w:rsidP="009F23CC">
            <w:pPr>
              <w:spacing w:line="360" w:lineRule="auto"/>
              <w:jc w:val="both"/>
              <w:rPr>
                <w:rFonts w:ascii="Times New Roman" w:hAnsi="Times New Roman" w:cs="Times New Roman"/>
                <w:kern w:val="2"/>
              </w:rPr>
            </w:pPr>
          </w:p>
        </w:tc>
        <w:tc>
          <w:tcPr>
            <w:tcW w:w="1260" w:type="dxa"/>
            <w:tcBorders>
              <w:top w:val="nil"/>
              <w:left w:val="nil"/>
              <w:bottom w:val="nil"/>
              <w:right w:val="nil"/>
            </w:tcBorders>
            <w:shd w:val="clear" w:color="auto" w:fill="auto"/>
            <w:hideMark/>
          </w:tcPr>
          <w:p w14:paraId="7A1B381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Negative</w:t>
            </w:r>
          </w:p>
        </w:tc>
        <w:tc>
          <w:tcPr>
            <w:tcW w:w="720" w:type="dxa"/>
            <w:tcBorders>
              <w:top w:val="nil"/>
              <w:left w:val="nil"/>
              <w:bottom w:val="nil"/>
              <w:right w:val="nil"/>
            </w:tcBorders>
            <w:shd w:val="clear" w:color="auto" w:fill="auto"/>
            <w:hideMark/>
          </w:tcPr>
          <w:p w14:paraId="0143AB9E"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17</w:t>
            </w:r>
          </w:p>
        </w:tc>
        <w:tc>
          <w:tcPr>
            <w:tcW w:w="1038" w:type="dxa"/>
            <w:tcBorders>
              <w:top w:val="nil"/>
              <w:left w:val="nil"/>
              <w:bottom w:val="nil"/>
              <w:right w:val="nil"/>
            </w:tcBorders>
            <w:shd w:val="clear" w:color="auto" w:fill="auto"/>
            <w:hideMark/>
          </w:tcPr>
          <w:p w14:paraId="1C1B772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23.45±3.46</w:t>
            </w:r>
          </w:p>
        </w:tc>
        <w:tc>
          <w:tcPr>
            <w:tcW w:w="1141" w:type="dxa"/>
            <w:tcBorders>
              <w:top w:val="nil"/>
              <w:left w:val="nil"/>
              <w:bottom w:val="nil"/>
              <w:right w:val="nil"/>
            </w:tcBorders>
            <w:shd w:val="clear" w:color="auto" w:fill="auto"/>
            <w:hideMark/>
          </w:tcPr>
          <w:p w14:paraId="64B8150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24.30±1.84</w:t>
            </w:r>
          </w:p>
        </w:tc>
        <w:tc>
          <w:tcPr>
            <w:tcW w:w="1141" w:type="dxa"/>
            <w:tcBorders>
              <w:top w:val="nil"/>
              <w:left w:val="nil"/>
              <w:bottom w:val="nil"/>
              <w:right w:val="nil"/>
            </w:tcBorders>
            <w:shd w:val="clear" w:color="auto" w:fill="auto"/>
            <w:hideMark/>
          </w:tcPr>
          <w:p w14:paraId="050C63F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13.65±14.09</w:t>
            </w:r>
          </w:p>
        </w:tc>
        <w:tc>
          <w:tcPr>
            <w:tcW w:w="1270" w:type="dxa"/>
            <w:tcBorders>
              <w:top w:val="nil"/>
              <w:left w:val="nil"/>
              <w:bottom w:val="nil"/>
              <w:right w:val="nil"/>
            </w:tcBorders>
            <w:shd w:val="clear" w:color="auto" w:fill="auto"/>
            <w:hideMark/>
          </w:tcPr>
          <w:p w14:paraId="47629FA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19.38±10.42</w:t>
            </w:r>
          </w:p>
        </w:tc>
        <w:tc>
          <w:tcPr>
            <w:tcW w:w="990" w:type="dxa"/>
            <w:tcBorders>
              <w:top w:val="nil"/>
              <w:left w:val="nil"/>
              <w:bottom w:val="nil"/>
              <w:right w:val="nil"/>
            </w:tcBorders>
            <w:shd w:val="clear" w:color="auto" w:fill="auto"/>
            <w:hideMark/>
          </w:tcPr>
          <w:p w14:paraId="2D932BE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19.09±10.33</w:t>
            </w:r>
          </w:p>
        </w:tc>
        <w:tc>
          <w:tcPr>
            <w:tcW w:w="540" w:type="dxa"/>
            <w:tcBorders>
              <w:top w:val="nil"/>
              <w:left w:val="nil"/>
              <w:bottom w:val="nil"/>
              <w:right w:val="nil"/>
            </w:tcBorders>
            <w:shd w:val="clear" w:color="auto" w:fill="auto"/>
            <w:hideMark/>
          </w:tcPr>
          <w:p w14:paraId="0208D24E"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0.612</w:t>
            </w:r>
          </w:p>
        </w:tc>
        <w:tc>
          <w:tcPr>
            <w:tcW w:w="900" w:type="dxa"/>
            <w:tcBorders>
              <w:top w:val="nil"/>
              <w:left w:val="nil"/>
              <w:bottom w:val="nil"/>
              <w:right w:val="nil"/>
            </w:tcBorders>
            <w:shd w:val="clear" w:color="auto" w:fill="auto"/>
            <w:hideMark/>
          </w:tcPr>
          <w:p w14:paraId="2778BE7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0.619</w:t>
            </w:r>
          </w:p>
        </w:tc>
      </w:tr>
      <w:tr w:rsidR="00932F75" w:rsidRPr="00932F75" w14:paraId="34858A9B" w14:textId="77777777" w:rsidTr="009F23CC">
        <w:trPr>
          <w:trHeight w:val="1012"/>
        </w:trPr>
        <w:tc>
          <w:tcPr>
            <w:tcW w:w="1013" w:type="dxa"/>
            <w:vMerge/>
            <w:tcBorders>
              <w:top w:val="nil"/>
              <w:left w:val="nil"/>
              <w:bottom w:val="nil"/>
              <w:right w:val="nil"/>
            </w:tcBorders>
            <w:shd w:val="clear" w:color="auto" w:fill="auto"/>
            <w:vAlign w:val="center"/>
            <w:hideMark/>
          </w:tcPr>
          <w:p w14:paraId="4B277FEB" w14:textId="77777777" w:rsidR="004936C8" w:rsidRPr="00932F75" w:rsidRDefault="004936C8" w:rsidP="009F23CC">
            <w:pPr>
              <w:spacing w:line="360" w:lineRule="auto"/>
              <w:jc w:val="both"/>
              <w:rPr>
                <w:rFonts w:ascii="Times New Roman" w:hAnsi="Times New Roman" w:cs="Times New Roman"/>
                <w:kern w:val="2"/>
              </w:rPr>
            </w:pPr>
          </w:p>
        </w:tc>
        <w:tc>
          <w:tcPr>
            <w:tcW w:w="1260" w:type="dxa"/>
            <w:tcBorders>
              <w:top w:val="nil"/>
              <w:left w:val="nil"/>
              <w:bottom w:val="nil"/>
              <w:right w:val="nil"/>
            </w:tcBorders>
            <w:shd w:val="clear" w:color="auto" w:fill="auto"/>
            <w:hideMark/>
          </w:tcPr>
          <w:p w14:paraId="456325F9"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Equivocal</w:t>
            </w:r>
          </w:p>
        </w:tc>
        <w:tc>
          <w:tcPr>
            <w:tcW w:w="720" w:type="dxa"/>
            <w:tcBorders>
              <w:top w:val="nil"/>
              <w:left w:val="nil"/>
              <w:bottom w:val="nil"/>
              <w:right w:val="nil"/>
            </w:tcBorders>
            <w:shd w:val="clear" w:color="auto" w:fill="auto"/>
            <w:hideMark/>
          </w:tcPr>
          <w:p w14:paraId="07B4A5DD"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20</w:t>
            </w:r>
          </w:p>
        </w:tc>
        <w:tc>
          <w:tcPr>
            <w:tcW w:w="1038" w:type="dxa"/>
            <w:tcBorders>
              <w:top w:val="nil"/>
              <w:left w:val="nil"/>
              <w:bottom w:val="nil"/>
              <w:right w:val="nil"/>
            </w:tcBorders>
            <w:shd w:val="clear" w:color="auto" w:fill="auto"/>
            <w:hideMark/>
          </w:tcPr>
          <w:p w14:paraId="384BD20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34.47±2.92</w:t>
            </w:r>
          </w:p>
        </w:tc>
        <w:tc>
          <w:tcPr>
            <w:tcW w:w="1141" w:type="dxa"/>
            <w:tcBorders>
              <w:top w:val="nil"/>
              <w:left w:val="nil"/>
              <w:bottom w:val="nil"/>
              <w:right w:val="nil"/>
            </w:tcBorders>
            <w:shd w:val="clear" w:color="auto" w:fill="auto"/>
            <w:hideMark/>
          </w:tcPr>
          <w:p w14:paraId="4FC5EA21"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37.80±0.42</w:t>
            </w:r>
          </w:p>
        </w:tc>
        <w:tc>
          <w:tcPr>
            <w:tcW w:w="1141" w:type="dxa"/>
            <w:tcBorders>
              <w:top w:val="nil"/>
              <w:left w:val="nil"/>
              <w:bottom w:val="nil"/>
              <w:right w:val="nil"/>
            </w:tcBorders>
            <w:shd w:val="clear" w:color="auto" w:fill="auto"/>
            <w:hideMark/>
          </w:tcPr>
          <w:p w14:paraId="76B3D0A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33.70±2.98</w:t>
            </w:r>
          </w:p>
        </w:tc>
        <w:tc>
          <w:tcPr>
            <w:tcW w:w="1270" w:type="dxa"/>
            <w:tcBorders>
              <w:top w:val="nil"/>
              <w:left w:val="nil"/>
              <w:bottom w:val="nil"/>
              <w:right w:val="nil"/>
            </w:tcBorders>
            <w:shd w:val="clear" w:color="auto" w:fill="auto"/>
            <w:hideMark/>
          </w:tcPr>
          <w:p w14:paraId="6B594AC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36.74±1.12</w:t>
            </w:r>
          </w:p>
        </w:tc>
        <w:tc>
          <w:tcPr>
            <w:tcW w:w="990" w:type="dxa"/>
            <w:tcBorders>
              <w:top w:val="nil"/>
              <w:left w:val="nil"/>
              <w:bottom w:val="nil"/>
              <w:right w:val="nil"/>
            </w:tcBorders>
            <w:shd w:val="clear" w:color="auto" w:fill="auto"/>
            <w:hideMark/>
          </w:tcPr>
          <w:p w14:paraId="5B96642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35.10±2.76</w:t>
            </w:r>
          </w:p>
        </w:tc>
        <w:tc>
          <w:tcPr>
            <w:tcW w:w="540" w:type="dxa"/>
            <w:tcBorders>
              <w:top w:val="nil"/>
              <w:left w:val="nil"/>
              <w:bottom w:val="nil"/>
              <w:right w:val="nil"/>
            </w:tcBorders>
            <w:shd w:val="clear" w:color="auto" w:fill="auto"/>
            <w:hideMark/>
          </w:tcPr>
          <w:p w14:paraId="338DC88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2.323</w:t>
            </w:r>
          </w:p>
        </w:tc>
        <w:tc>
          <w:tcPr>
            <w:tcW w:w="900" w:type="dxa"/>
            <w:tcBorders>
              <w:top w:val="nil"/>
              <w:left w:val="nil"/>
              <w:bottom w:val="nil"/>
              <w:right w:val="nil"/>
            </w:tcBorders>
            <w:shd w:val="clear" w:color="auto" w:fill="auto"/>
            <w:hideMark/>
          </w:tcPr>
          <w:p w14:paraId="61527CAB"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0.114</w:t>
            </w:r>
          </w:p>
        </w:tc>
      </w:tr>
      <w:tr w:rsidR="00932F75" w:rsidRPr="00932F75" w14:paraId="5526F32C" w14:textId="77777777" w:rsidTr="009F23CC">
        <w:trPr>
          <w:trHeight w:val="1012"/>
        </w:trPr>
        <w:tc>
          <w:tcPr>
            <w:tcW w:w="1013" w:type="dxa"/>
            <w:vMerge/>
            <w:tcBorders>
              <w:top w:val="nil"/>
              <w:left w:val="nil"/>
              <w:bottom w:val="nil"/>
              <w:right w:val="nil"/>
            </w:tcBorders>
            <w:shd w:val="clear" w:color="auto" w:fill="auto"/>
            <w:vAlign w:val="center"/>
            <w:hideMark/>
          </w:tcPr>
          <w:p w14:paraId="02233806" w14:textId="77777777" w:rsidR="004936C8" w:rsidRPr="00932F75" w:rsidRDefault="004936C8" w:rsidP="009F23CC">
            <w:pPr>
              <w:spacing w:line="360" w:lineRule="auto"/>
              <w:jc w:val="both"/>
              <w:rPr>
                <w:rFonts w:ascii="Times New Roman" w:hAnsi="Times New Roman" w:cs="Times New Roman"/>
                <w:kern w:val="2"/>
              </w:rPr>
            </w:pPr>
          </w:p>
        </w:tc>
        <w:tc>
          <w:tcPr>
            <w:tcW w:w="1260" w:type="dxa"/>
            <w:tcBorders>
              <w:top w:val="nil"/>
              <w:left w:val="nil"/>
              <w:bottom w:val="nil"/>
              <w:right w:val="nil"/>
            </w:tcBorders>
            <w:shd w:val="clear" w:color="auto" w:fill="auto"/>
            <w:hideMark/>
          </w:tcPr>
          <w:p w14:paraId="1C28FE3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Total</w:t>
            </w:r>
          </w:p>
        </w:tc>
        <w:tc>
          <w:tcPr>
            <w:tcW w:w="720" w:type="dxa"/>
            <w:tcBorders>
              <w:top w:val="nil"/>
              <w:left w:val="nil"/>
              <w:bottom w:val="nil"/>
              <w:right w:val="nil"/>
            </w:tcBorders>
            <w:shd w:val="clear" w:color="auto" w:fill="auto"/>
            <w:hideMark/>
          </w:tcPr>
          <w:p w14:paraId="6BAE75FA"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200</w:t>
            </w:r>
          </w:p>
        </w:tc>
        <w:tc>
          <w:tcPr>
            <w:tcW w:w="1038" w:type="dxa"/>
            <w:tcBorders>
              <w:top w:val="nil"/>
              <w:left w:val="nil"/>
              <w:bottom w:val="nil"/>
              <w:right w:val="nil"/>
            </w:tcBorders>
            <w:shd w:val="clear" w:color="auto" w:fill="auto"/>
            <w:hideMark/>
          </w:tcPr>
          <w:p w14:paraId="1EF0E66B"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63.58±21.01</w:t>
            </w:r>
          </w:p>
        </w:tc>
        <w:tc>
          <w:tcPr>
            <w:tcW w:w="1141" w:type="dxa"/>
            <w:tcBorders>
              <w:top w:val="nil"/>
              <w:left w:val="nil"/>
              <w:bottom w:val="nil"/>
              <w:right w:val="nil"/>
            </w:tcBorders>
            <w:shd w:val="clear" w:color="auto" w:fill="auto"/>
            <w:hideMark/>
          </w:tcPr>
          <w:p w14:paraId="1AC44E3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69.13±18.99</w:t>
            </w:r>
          </w:p>
        </w:tc>
        <w:tc>
          <w:tcPr>
            <w:tcW w:w="1141" w:type="dxa"/>
            <w:tcBorders>
              <w:top w:val="nil"/>
              <w:left w:val="nil"/>
              <w:bottom w:val="nil"/>
              <w:right w:val="nil"/>
            </w:tcBorders>
            <w:shd w:val="clear" w:color="auto" w:fill="auto"/>
            <w:hideMark/>
          </w:tcPr>
          <w:p w14:paraId="77FA834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65.88±26.68</w:t>
            </w:r>
          </w:p>
        </w:tc>
        <w:tc>
          <w:tcPr>
            <w:tcW w:w="1270" w:type="dxa"/>
            <w:tcBorders>
              <w:top w:val="nil"/>
              <w:left w:val="nil"/>
              <w:bottom w:val="nil"/>
              <w:right w:val="nil"/>
            </w:tcBorders>
            <w:shd w:val="clear" w:color="auto" w:fill="auto"/>
            <w:hideMark/>
          </w:tcPr>
          <w:p w14:paraId="608B2411"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55.60±25.12</w:t>
            </w:r>
          </w:p>
        </w:tc>
        <w:tc>
          <w:tcPr>
            <w:tcW w:w="990" w:type="dxa"/>
            <w:tcBorders>
              <w:top w:val="nil"/>
              <w:left w:val="nil"/>
              <w:bottom w:val="nil"/>
              <w:right w:val="nil"/>
            </w:tcBorders>
            <w:shd w:val="clear" w:color="auto" w:fill="auto"/>
            <w:hideMark/>
          </w:tcPr>
          <w:p w14:paraId="54F381F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63.87±23.41</w:t>
            </w:r>
          </w:p>
        </w:tc>
        <w:tc>
          <w:tcPr>
            <w:tcW w:w="540" w:type="dxa"/>
            <w:tcBorders>
              <w:top w:val="nil"/>
              <w:left w:val="nil"/>
              <w:bottom w:val="nil"/>
              <w:right w:val="nil"/>
            </w:tcBorders>
            <w:shd w:val="clear" w:color="auto" w:fill="auto"/>
            <w:hideMark/>
          </w:tcPr>
          <w:p w14:paraId="1CCD6F6B"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2.919</w:t>
            </w:r>
          </w:p>
        </w:tc>
        <w:tc>
          <w:tcPr>
            <w:tcW w:w="900" w:type="dxa"/>
            <w:tcBorders>
              <w:top w:val="nil"/>
              <w:left w:val="nil"/>
              <w:bottom w:val="nil"/>
              <w:right w:val="nil"/>
            </w:tcBorders>
            <w:shd w:val="clear" w:color="auto" w:fill="auto"/>
            <w:hideMark/>
          </w:tcPr>
          <w:p w14:paraId="1038266E" w14:textId="7847B219"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0.035</w:t>
            </w:r>
            <w:r w:rsidR="004C5E33" w:rsidRPr="00932F75">
              <w:rPr>
                <w:rFonts w:ascii="Times New Roman" w:hAnsi="Times New Roman" w:cs="Times New Roman"/>
              </w:rPr>
              <w:t>*</w:t>
            </w:r>
          </w:p>
        </w:tc>
      </w:tr>
      <w:tr w:rsidR="00932F75" w:rsidRPr="00932F75" w14:paraId="68630012" w14:textId="77777777" w:rsidTr="009F23CC">
        <w:trPr>
          <w:trHeight w:val="1012"/>
        </w:trPr>
        <w:tc>
          <w:tcPr>
            <w:tcW w:w="1013" w:type="dxa"/>
            <w:vMerge w:val="restart"/>
            <w:tcBorders>
              <w:top w:val="nil"/>
              <w:left w:val="nil"/>
              <w:bottom w:val="nil"/>
              <w:right w:val="nil"/>
            </w:tcBorders>
            <w:shd w:val="clear" w:color="auto" w:fill="auto"/>
            <w:hideMark/>
          </w:tcPr>
          <w:p w14:paraId="524BB51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IL-6</w:t>
            </w:r>
          </w:p>
        </w:tc>
        <w:tc>
          <w:tcPr>
            <w:tcW w:w="1260" w:type="dxa"/>
            <w:tcBorders>
              <w:top w:val="nil"/>
              <w:left w:val="nil"/>
              <w:bottom w:val="nil"/>
              <w:right w:val="nil"/>
            </w:tcBorders>
            <w:shd w:val="clear" w:color="auto" w:fill="auto"/>
            <w:hideMark/>
          </w:tcPr>
          <w:p w14:paraId="3D6E8ECA"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Normal</w:t>
            </w:r>
          </w:p>
        </w:tc>
        <w:tc>
          <w:tcPr>
            <w:tcW w:w="720" w:type="dxa"/>
            <w:tcBorders>
              <w:top w:val="nil"/>
              <w:left w:val="nil"/>
              <w:bottom w:val="nil"/>
              <w:right w:val="nil"/>
            </w:tcBorders>
            <w:shd w:val="clear" w:color="auto" w:fill="auto"/>
            <w:hideMark/>
          </w:tcPr>
          <w:p w14:paraId="5568C302"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25</w:t>
            </w:r>
          </w:p>
        </w:tc>
        <w:tc>
          <w:tcPr>
            <w:tcW w:w="1038" w:type="dxa"/>
            <w:tcBorders>
              <w:top w:val="nil"/>
              <w:left w:val="nil"/>
              <w:bottom w:val="nil"/>
              <w:right w:val="nil"/>
            </w:tcBorders>
            <w:shd w:val="clear" w:color="auto" w:fill="auto"/>
            <w:hideMark/>
          </w:tcPr>
          <w:p w14:paraId="2F0E059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5.84±0.53</w:t>
            </w:r>
          </w:p>
        </w:tc>
        <w:tc>
          <w:tcPr>
            <w:tcW w:w="1141" w:type="dxa"/>
            <w:tcBorders>
              <w:top w:val="nil"/>
              <w:left w:val="nil"/>
              <w:bottom w:val="nil"/>
              <w:right w:val="nil"/>
            </w:tcBorders>
            <w:shd w:val="clear" w:color="auto" w:fill="auto"/>
            <w:hideMark/>
          </w:tcPr>
          <w:p w14:paraId="47F90782"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6.10±0.75</w:t>
            </w:r>
          </w:p>
        </w:tc>
        <w:tc>
          <w:tcPr>
            <w:tcW w:w="1141" w:type="dxa"/>
            <w:tcBorders>
              <w:top w:val="nil"/>
              <w:left w:val="nil"/>
              <w:bottom w:val="nil"/>
              <w:right w:val="nil"/>
            </w:tcBorders>
            <w:shd w:val="clear" w:color="auto" w:fill="auto"/>
            <w:hideMark/>
          </w:tcPr>
          <w:p w14:paraId="37A1F30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5.83±0.77</w:t>
            </w:r>
          </w:p>
        </w:tc>
        <w:tc>
          <w:tcPr>
            <w:tcW w:w="1270" w:type="dxa"/>
            <w:tcBorders>
              <w:top w:val="nil"/>
              <w:left w:val="nil"/>
              <w:bottom w:val="nil"/>
              <w:right w:val="nil"/>
            </w:tcBorders>
            <w:shd w:val="clear" w:color="auto" w:fill="auto"/>
            <w:hideMark/>
          </w:tcPr>
          <w:p w14:paraId="5AF4FD2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6.30±0.43</w:t>
            </w:r>
          </w:p>
        </w:tc>
        <w:tc>
          <w:tcPr>
            <w:tcW w:w="990" w:type="dxa"/>
            <w:tcBorders>
              <w:top w:val="nil"/>
              <w:left w:val="nil"/>
              <w:bottom w:val="nil"/>
              <w:right w:val="nil"/>
            </w:tcBorders>
            <w:shd w:val="clear" w:color="auto" w:fill="auto"/>
            <w:hideMark/>
          </w:tcPr>
          <w:p w14:paraId="039FAD9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6.01±0.62</w:t>
            </w:r>
          </w:p>
        </w:tc>
        <w:tc>
          <w:tcPr>
            <w:tcW w:w="540" w:type="dxa"/>
            <w:tcBorders>
              <w:top w:val="nil"/>
              <w:left w:val="nil"/>
              <w:bottom w:val="nil"/>
              <w:right w:val="nil"/>
            </w:tcBorders>
            <w:shd w:val="clear" w:color="auto" w:fill="auto"/>
            <w:hideMark/>
          </w:tcPr>
          <w:p w14:paraId="1FD2273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0.775</w:t>
            </w:r>
          </w:p>
        </w:tc>
        <w:tc>
          <w:tcPr>
            <w:tcW w:w="900" w:type="dxa"/>
            <w:tcBorders>
              <w:top w:val="nil"/>
              <w:left w:val="nil"/>
              <w:bottom w:val="nil"/>
              <w:right w:val="nil"/>
            </w:tcBorders>
            <w:shd w:val="clear" w:color="auto" w:fill="auto"/>
            <w:hideMark/>
          </w:tcPr>
          <w:p w14:paraId="5C37EBEE"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0.521</w:t>
            </w:r>
          </w:p>
        </w:tc>
      </w:tr>
      <w:tr w:rsidR="00932F75" w:rsidRPr="00932F75" w14:paraId="460B5A86" w14:textId="77777777" w:rsidTr="009F23CC">
        <w:trPr>
          <w:trHeight w:val="1012"/>
        </w:trPr>
        <w:tc>
          <w:tcPr>
            <w:tcW w:w="1013" w:type="dxa"/>
            <w:vMerge/>
            <w:tcBorders>
              <w:top w:val="nil"/>
              <w:left w:val="nil"/>
              <w:bottom w:val="nil"/>
              <w:right w:val="nil"/>
            </w:tcBorders>
            <w:shd w:val="clear" w:color="auto" w:fill="auto"/>
            <w:vAlign w:val="center"/>
            <w:hideMark/>
          </w:tcPr>
          <w:p w14:paraId="3906A0FC" w14:textId="77777777" w:rsidR="004936C8" w:rsidRPr="00932F75" w:rsidRDefault="004936C8" w:rsidP="009F23CC">
            <w:pPr>
              <w:spacing w:line="360" w:lineRule="auto"/>
              <w:jc w:val="both"/>
              <w:rPr>
                <w:rFonts w:ascii="Times New Roman" w:hAnsi="Times New Roman" w:cs="Times New Roman"/>
                <w:kern w:val="2"/>
              </w:rPr>
            </w:pPr>
          </w:p>
        </w:tc>
        <w:tc>
          <w:tcPr>
            <w:tcW w:w="1260" w:type="dxa"/>
            <w:tcBorders>
              <w:top w:val="nil"/>
              <w:left w:val="nil"/>
              <w:bottom w:val="nil"/>
              <w:right w:val="nil"/>
            </w:tcBorders>
            <w:shd w:val="clear" w:color="auto" w:fill="auto"/>
            <w:hideMark/>
          </w:tcPr>
          <w:p w14:paraId="4E5AB35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 xml:space="preserve">Abnormal </w:t>
            </w:r>
          </w:p>
        </w:tc>
        <w:tc>
          <w:tcPr>
            <w:tcW w:w="720" w:type="dxa"/>
            <w:tcBorders>
              <w:top w:val="nil"/>
              <w:left w:val="nil"/>
              <w:bottom w:val="nil"/>
              <w:right w:val="nil"/>
            </w:tcBorders>
            <w:shd w:val="clear" w:color="auto" w:fill="auto"/>
            <w:hideMark/>
          </w:tcPr>
          <w:p w14:paraId="089F21F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175</w:t>
            </w:r>
          </w:p>
        </w:tc>
        <w:tc>
          <w:tcPr>
            <w:tcW w:w="1038" w:type="dxa"/>
            <w:tcBorders>
              <w:top w:val="nil"/>
              <w:left w:val="nil"/>
              <w:bottom w:val="nil"/>
              <w:right w:val="nil"/>
            </w:tcBorders>
            <w:shd w:val="clear" w:color="auto" w:fill="auto"/>
            <w:hideMark/>
          </w:tcPr>
          <w:p w14:paraId="5BE6E941"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16.06±24.69</w:t>
            </w:r>
          </w:p>
        </w:tc>
        <w:tc>
          <w:tcPr>
            <w:tcW w:w="1141" w:type="dxa"/>
            <w:tcBorders>
              <w:top w:val="nil"/>
              <w:left w:val="nil"/>
              <w:bottom w:val="nil"/>
              <w:right w:val="nil"/>
            </w:tcBorders>
            <w:shd w:val="clear" w:color="auto" w:fill="auto"/>
            <w:hideMark/>
          </w:tcPr>
          <w:p w14:paraId="448F4B5D"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11.31±16.30</w:t>
            </w:r>
          </w:p>
        </w:tc>
        <w:tc>
          <w:tcPr>
            <w:tcW w:w="1141" w:type="dxa"/>
            <w:tcBorders>
              <w:top w:val="nil"/>
              <w:left w:val="nil"/>
              <w:bottom w:val="nil"/>
              <w:right w:val="nil"/>
            </w:tcBorders>
            <w:shd w:val="clear" w:color="auto" w:fill="auto"/>
            <w:hideMark/>
          </w:tcPr>
          <w:p w14:paraId="484B061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8.05±7.82</w:t>
            </w:r>
          </w:p>
        </w:tc>
        <w:tc>
          <w:tcPr>
            <w:tcW w:w="1270" w:type="dxa"/>
            <w:tcBorders>
              <w:top w:val="nil"/>
              <w:left w:val="nil"/>
              <w:bottom w:val="nil"/>
              <w:right w:val="nil"/>
            </w:tcBorders>
            <w:shd w:val="clear" w:color="auto" w:fill="auto"/>
            <w:hideMark/>
          </w:tcPr>
          <w:p w14:paraId="0134F83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16.55±24.19</w:t>
            </w:r>
          </w:p>
        </w:tc>
        <w:tc>
          <w:tcPr>
            <w:tcW w:w="990" w:type="dxa"/>
            <w:tcBorders>
              <w:top w:val="nil"/>
              <w:left w:val="nil"/>
              <w:bottom w:val="nil"/>
              <w:right w:val="nil"/>
            </w:tcBorders>
            <w:shd w:val="clear" w:color="auto" w:fill="auto"/>
            <w:hideMark/>
          </w:tcPr>
          <w:p w14:paraId="6822623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12.81±19.38</w:t>
            </w:r>
          </w:p>
        </w:tc>
        <w:tc>
          <w:tcPr>
            <w:tcW w:w="540" w:type="dxa"/>
            <w:tcBorders>
              <w:top w:val="nil"/>
              <w:left w:val="nil"/>
              <w:bottom w:val="nil"/>
              <w:right w:val="nil"/>
            </w:tcBorders>
            <w:shd w:val="clear" w:color="auto" w:fill="auto"/>
            <w:hideMark/>
          </w:tcPr>
          <w:p w14:paraId="0A1EBFD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1.940</w:t>
            </w:r>
          </w:p>
        </w:tc>
        <w:tc>
          <w:tcPr>
            <w:tcW w:w="900" w:type="dxa"/>
            <w:tcBorders>
              <w:top w:val="nil"/>
              <w:left w:val="nil"/>
              <w:bottom w:val="nil"/>
              <w:right w:val="nil"/>
            </w:tcBorders>
            <w:shd w:val="clear" w:color="auto" w:fill="auto"/>
            <w:hideMark/>
          </w:tcPr>
          <w:p w14:paraId="58B22A3D"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0.125</w:t>
            </w:r>
          </w:p>
        </w:tc>
      </w:tr>
      <w:tr w:rsidR="00932F75" w:rsidRPr="00932F75" w14:paraId="5BD81D7D" w14:textId="77777777" w:rsidTr="009F23CC">
        <w:trPr>
          <w:trHeight w:val="1012"/>
        </w:trPr>
        <w:tc>
          <w:tcPr>
            <w:tcW w:w="1013" w:type="dxa"/>
            <w:vMerge/>
            <w:tcBorders>
              <w:top w:val="nil"/>
              <w:left w:val="nil"/>
              <w:bottom w:val="nil"/>
              <w:right w:val="nil"/>
            </w:tcBorders>
            <w:shd w:val="clear" w:color="auto" w:fill="auto"/>
            <w:vAlign w:val="center"/>
            <w:hideMark/>
          </w:tcPr>
          <w:p w14:paraId="3C9CA3E4" w14:textId="77777777" w:rsidR="004936C8" w:rsidRPr="00932F75" w:rsidRDefault="004936C8" w:rsidP="009F23CC">
            <w:pPr>
              <w:spacing w:line="360" w:lineRule="auto"/>
              <w:jc w:val="both"/>
              <w:rPr>
                <w:rFonts w:ascii="Times New Roman" w:hAnsi="Times New Roman" w:cs="Times New Roman"/>
                <w:kern w:val="2"/>
              </w:rPr>
            </w:pPr>
          </w:p>
        </w:tc>
        <w:tc>
          <w:tcPr>
            <w:tcW w:w="1260" w:type="dxa"/>
            <w:tcBorders>
              <w:top w:val="nil"/>
              <w:left w:val="nil"/>
              <w:bottom w:val="nil"/>
              <w:right w:val="nil"/>
            </w:tcBorders>
            <w:shd w:val="clear" w:color="auto" w:fill="auto"/>
            <w:hideMark/>
          </w:tcPr>
          <w:p w14:paraId="60483A2B"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 xml:space="preserve">Total </w:t>
            </w:r>
          </w:p>
        </w:tc>
        <w:tc>
          <w:tcPr>
            <w:tcW w:w="720" w:type="dxa"/>
            <w:tcBorders>
              <w:top w:val="nil"/>
              <w:left w:val="nil"/>
              <w:bottom w:val="nil"/>
              <w:right w:val="nil"/>
            </w:tcBorders>
            <w:shd w:val="clear" w:color="auto" w:fill="auto"/>
            <w:hideMark/>
          </w:tcPr>
          <w:p w14:paraId="4DEC6361"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200</w:t>
            </w:r>
          </w:p>
        </w:tc>
        <w:tc>
          <w:tcPr>
            <w:tcW w:w="1038" w:type="dxa"/>
            <w:tcBorders>
              <w:top w:val="nil"/>
              <w:left w:val="nil"/>
              <w:bottom w:val="nil"/>
              <w:right w:val="nil"/>
            </w:tcBorders>
            <w:shd w:val="clear" w:color="auto" w:fill="auto"/>
            <w:hideMark/>
          </w:tcPr>
          <w:p w14:paraId="00AD5F5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14.68±23.20</w:t>
            </w:r>
          </w:p>
        </w:tc>
        <w:tc>
          <w:tcPr>
            <w:tcW w:w="1141" w:type="dxa"/>
            <w:tcBorders>
              <w:top w:val="nil"/>
              <w:left w:val="nil"/>
              <w:bottom w:val="nil"/>
              <w:right w:val="nil"/>
            </w:tcBorders>
            <w:shd w:val="clear" w:color="auto" w:fill="auto"/>
            <w:hideMark/>
          </w:tcPr>
          <w:p w14:paraId="162EB9E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10.71±15.41</w:t>
            </w:r>
          </w:p>
        </w:tc>
        <w:tc>
          <w:tcPr>
            <w:tcW w:w="1141" w:type="dxa"/>
            <w:tcBorders>
              <w:top w:val="nil"/>
              <w:left w:val="nil"/>
              <w:bottom w:val="nil"/>
              <w:right w:val="nil"/>
            </w:tcBorders>
            <w:shd w:val="clear" w:color="auto" w:fill="auto"/>
            <w:hideMark/>
          </w:tcPr>
          <w:p w14:paraId="199DFEED"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7.79±7.38</w:t>
            </w:r>
          </w:p>
        </w:tc>
        <w:tc>
          <w:tcPr>
            <w:tcW w:w="1270" w:type="dxa"/>
            <w:tcBorders>
              <w:top w:val="nil"/>
              <w:left w:val="nil"/>
              <w:bottom w:val="nil"/>
              <w:right w:val="nil"/>
            </w:tcBorders>
            <w:shd w:val="clear" w:color="auto" w:fill="auto"/>
            <w:hideMark/>
          </w:tcPr>
          <w:p w14:paraId="5D4997A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15.15±22.72</w:t>
            </w:r>
          </w:p>
        </w:tc>
        <w:tc>
          <w:tcPr>
            <w:tcW w:w="990" w:type="dxa"/>
            <w:tcBorders>
              <w:top w:val="nil"/>
              <w:left w:val="nil"/>
              <w:bottom w:val="nil"/>
              <w:right w:val="nil"/>
            </w:tcBorders>
            <w:shd w:val="clear" w:color="auto" w:fill="auto"/>
            <w:hideMark/>
          </w:tcPr>
          <w:p w14:paraId="6B4D050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11.96±18.26</w:t>
            </w:r>
          </w:p>
        </w:tc>
        <w:tc>
          <w:tcPr>
            <w:tcW w:w="540" w:type="dxa"/>
            <w:tcBorders>
              <w:top w:val="nil"/>
              <w:left w:val="nil"/>
              <w:bottom w:val="nil"/>
              <w:right w:val="nil"/>
            </w:tcBorders>
            <w:shd w:val="clear" w:color="auto" w:fill="auto"/>
            <w:hideMark/>
          </w:tcPr>
          <w:p w14:paraId="04C5D33B"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1.839</w:t>
            </w:r>
          </w:p>
        </w:tc>
        <w:tc>
          <w:tcPr>
            <w:tcW w:w="900" w:type="dxa"/>
            <w:tcBorders>
              <w:top w:val="nil"/>
              <w:left w:val="nil"/>
              <w:bottom w:val="nil"/>
              <w:right w:val="nil"/>
            </w:tcBorders>
            <w:shd w:val="clear" w:color="auto" w:fill="auto"/>
            <w:hideMark/>
          </w:tcPr>
          <w:p w14:paraId="34452639"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0.141</w:t>
            </w:r>
          </w:p>
        </w:tc>
      </w:tr>
      <w:tr w:rsidR="00932F75" w:rsidRPr="00932F75" w14:paraId="05CE3A1F" w14:textId="77777777" w:rsidTr="009F23CC">
        <w:trPr>
          <w:trHeight w:val="1012"/>
        </w:trPr>
        <w:tc>
          <w:tcPr>
            <w:tcW w:w="1013" w:type="dxa"/>
            <w:vMerge w:val="restart"/>
            <w:tcBorders>
              <w:top w:val="nil"/>
              <w:left w:val="nil"/>
              <w:bottom w:val="single" w:sz="4" w:space="0" w:color="auto"/>
              <w:right w:val="nil"/>
            </w:tcBorders>
            <w:shd w:val="clear" w:color="auto" w:fill="auto"/>
            <w:hideMark/>
          </w:tcPr>
          <w:p w14:paraId="0CF03AE0"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IL-10</w:t>
            </w:r>
          </w:p>
        </w:tc>
        <w:tc>
          <w:tcPr>
            <w:tcW w:w="1260" w:type="dxa"/>
            <w:tcBorders>
              <w:top w:val="nil"/>
              <w:left w:val="nil"/>
              <w:bottom w:val="nil"/>
              <w:right w:val="nil"/>
            </w:tcBorders>
            <w:shd w:val="clear" w:color="auto" w:fill="auto"/>
            <w:hideMark/>
          </w:tcPr>
          <w:p w14:paraId="770F5D8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Normal</w:t>
            </w:r>
          </w:p>
        </w:tc>
        <w:tc>
          <w:tcPr>
            <w:tcW w:w="720" w:type="dxa"/>
            <w:tcBorders>
              <w:top w:val="nil"/>
              <w:left w:val="nil"/>
              <w:bottom w:val="nil"/>
              <w:right w:val="nil"/>
            </w:tcBorders>
            <w:shd w:val="clear" w:color="auto" w:fill="auto"/>
            <w:hideMark/>
          </w:tcPr>
          <w:p w14:paraId="23838F5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11</w:t>
            </w:r>
          </w:p>
        </w:tc>
        <w:tc>
          <w:tcPr>
            <w:tcW w:w="1038" w:type="dxa"/>
            <w:tcBorders>
              <w:top w:val="nil"/>
              <w:left w:val="nil"/>
              <w:bottom w:val="nil"/>
              <w:right w:val="nil"/>
            </w:tcBorders>
            <w:shd w:val="clear" w:color="auto" w:fill="auto"/>
            <w:hideMark/>
          </w:tcPr>
          <w:p w14:paraId="091F806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5.40±0.00</w:t>
            </w:r>
          </w:p>
        </w:tc>
        <w:tc>
          <w:tcPr>
            <w:tcW w:w="1141" w:type="dxa"/>
            <w:tcBorders>
              <w:top w:val="nil"/>
              <w:left w:val="nil"/>
              <w:bottom w:val="nil"/>
              <w:right w:val="nil"/>
            </w:tcBorders>
            <w:shd w:val="clear" w:color="auto" w:fill="auto"/>
            <w:hideMark/>
          </w:tcPr>
          <w:p w14:paraId="188CFFC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5.43±0.65</w:t>
            </w:r>
          </w:p>
        </w:tc>
        <w:tc>
          <w:tcPr>
            <w:tcW w:w="1141" w:type="dxa"/>
            <w:tcBorders>
              <w:top w:val="nil"/>
              <w:left w:val="nil"/>
              <w:bottom w:val="nil"/>
              <w:right w:val="nil"/>
            </w:tcBorders>
            <w:shd w:val="clear" w:color="auto" w:fill="auto"/>
            <w:hideMark/>
          </w:tcPr>
          <w:p w14:paraId="743D366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5.40±-</w:t>
            </w:r>
          </w:p>
        </w:tc>
        <w:tc>
          <w:tcPr>
            <w:tcW w:w="1270" w:type="dxa"/>
            <w:tcBorders>
              <w:top w:val="nil"/>
              <w:left w:val="nil"/>
              <w:bottom w:val="nil"/>
              <w:right w:val="nil"/>
            </w:tcBorders>
            <w:shd w:val="clear" w:color="auto" w:fill="auto"/>
            <w:hideMark/>
          </w:tcPr>
          <w:p w14:paraId="6B5D07B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6.08±0.45</w:t>
            </w:r>
          </w:p>
        </w:tc>
        <w:tc>
          <w:tcPr>
            <w:tcW w:w="990" w:type="dxa"/>
            <w:tcBorders>
              <w:top w:val="nil"/>
              <w:left w:val="nil"/>
              <w:bottom w:val="nil"/>
              <w:right w:val="nil"/>
            </w:tcBorders>
            <w:shd w:val="clear" w:color="auto" w:fill="auto"/>
            <w:hideMark/>
          </w:tcPr>
          <w:p w14:paraId="6AFD48A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5.65±0.55</w:t>
            </w:r>
          </w:p>
        </w:tc>
        <w:tc>
          <w:tcPr>
            <w:tcW w:w="540" w:type="dxa"/>
            <w:tcBorders>
              <w:top w:val="nil"/>
              <w:left w:val="nil"/>
              <w:bottom w:val="nil"/>
              <w:right w:val="nil"/>
            </w:tcBorders>
            <w:shd w:val="clear" w:color="auto" w:fill="auto"/>
            <w:hideMark/>
          </w:tcPr>
          <w:p w14:paraId="11D8F46E"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1.384</w:t>
            </w:r>
          </w:p>
        </w:tc>
        <w:tc>
          <w:tcPr>
            <w:tcW w:w="900" w:type="dxa"/>
            <w:tcBorders>
              <w:top w:val="nil"/>
              <w:left w:val="nil"/>
              <w:bottom w:val="nil"/>
              <w:right w:val="nil"/>
            </w:tcBorders>
            <w:shd w:val="clear" w:color="auto" w:fill="auto"/>
            <w:hideMark/>
          </w:tcPr>
          <w:p w14:paraId="4B25D7A2"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0.325</w:t>
            </w:r>
          </w:p>
        </w:tc>
      </w:tr>
      <w:tr w:rsidR="00932F75" w:rsidRPr="00932F75" w14:paraId="2B99677C" w14:textId="77777777" w:rsidTr="009F23CC">
        <w:trPr>
          <w:trHeight w:val="1012"/>
        </w:trPr>
        <w:tc>
          <w:tcPr>
            <w:tcW w:w="1013" w:type="dxa"/>
            <w:vMerge/>
            <w:tcBorders>
              <w:top w:val="nil"/>
              <w:left w:val="nil"/>
              <w:bottom w:val="single" w:sz="4" w:space="0" w:color="auto"/>
              <w:right w:val="nil"/>
            </w:tcBorders>
            <w:shd w:val="clear" w:color="auto" w:fill="auto"/>
            <w:vAlign w:val="center"/>
            <w:hideMark/>
          </w:tcPr>
          <w:p w14:paraId="539869B0" w14:textId="77777777" w:rsidR="004936C8" w:rsidRPr="00932F75" w:rsidRDefault="004936C8" w:rsidP="009F23CC">
            <w:pPr>
              <w:spacing w:line="360" w:lineRule="auto"/>
              <w:jc w:val="both"/>
              <w:rPr>
                <w:rFonts w:ascii="Times New Roman" w:hAnsi="Times New Roman" w:cs="Times New Roman"/>
                <w:kern w:val="2"/>
              </w:rPr>
            </w:pPr>
          </w:p>
        </w:tc>
        <w:tc>
          <w:tcPr>
            <w:tcW w:w="1260" w:type="dxa"/>
            <w:tcBorders>
              <w:top w:val="nil"/>
              <w:left w:val="nil"/>
              <w:bottom w:val="nil"/>
              <w:right w:val="nil"/>
            </w:tcBorders>
            <w:shd w:val="clear" w:color="auto" w:fill="auto"/>
            <w:hideMark/>
          </w:tcPr>
          <w:p w14:paraId="191B682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 xml:space="preserve">Abnormal </w:t>
            </w:r>
          </w:p>
        </w:tc>
        <w:tc>
          <w:tcPr>
            <w:tcW w:w="720" w:type="dxa"/>
            <w:tcBorders>
              <w:top w:val="nil"/>
              <w:left w:val="nil"/>
              <w:bottom w:val="nil"/>
              <w:right w:val="nil"/>
            </w:tcBorders>
            <w:shd w:val="clear" w:color="auto" w:fill="auto"/>
            <w:hideMark/>
          </w:tcPr>
          <w:p w14:paraId="4B7719C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189</w:t>
            </w:r>
          </w:p>
        </w:tc>
        <w:tc>
          <w:tcPr>
            <w:tcW w:w="1038" w:type="dxa"/>
            <w:tcBorders>
              <w:top w:val="nil"/>
              <w:left w:val="nil"/>
              <w:bottom w:val="nil"/>
              <w:right w:val="nil"/>
            </w:tcBorders>
            <w:shd w:val="clear" w:color="auto" w:fill="auto"/>
            <w:hideMark/>
          </w:tcPr>
          <w:p w14:paraId="3325967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3.52±4.10</w:t>
            </w:r>
          </w:p>
        </w:tc>
        <w:tc>
          <w:tcPr>
            <w:tcW w:w="1141" w:type="dxa"/>
            <w:tcBorders>
              <w:top w:val="nil"/>
              <w:left w:val="nil"/>
              <w:bottom w:val="nil"/>
              <w:right w:val="nil"/>
            </w:tcBorders>
            <w:shd w:val="clear" w:color="auto" w:fill="auto"/>
            <w:hideMark/>
          </w:tcPr>
          <w:p w14:paraId="4409B6D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2.69c0.43</w:t>
            </w:r>
          </w:p>
        </w:tc>
        <w:tc>
          <w:tcPr>
            <w:tcW w:w="1141" w:type="dxa"/>
            <w:tcBorders>
              <w:top w:val="nil"/>
              <w:left w:val="nil"/>
              <w:bottom w:val="nil"/>
              <w:right w:val="nil"/>
            </w:tcBorders>
            <w:shd w:val="clear" w:color="auto" w:fill="auto"/>
            <w:hideMark/>
          </w:tcPr>
          <w:p w14:paraId="43B7E94A"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2.55±0.33</w:t>
            </w:r>
          </w:p>
        </w:tc>
        <w:tc>
          <w:tcPr>
            <w:tcW w:w="1270" w:type="dxa"/>
            <w:tcBorders>
              <w:top w:val="nil"/>
              <w:left w:val="nil"/>
              <w:bottom w:val="nil"/>
              <w:right w:val="nil"/>
            </w:tcBorders>
            <w:shd w:val="clear" w:color="auto" w:fill="auto"/>
            <w:hideMark/>
          </w:tcPr>
          <w:p w14:paraId="017D828B"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2.69±0.42</w:t>
            </w:r>
          </w:p>
        </w:tc>
        <w:tc>
          <w:tcPr>
            <w:tcW w:w="990" w:type="dxa"/>
            <w:tcBorders>
              <w:top w:val="nil"/>
              <w:left w:val="nil"/>
              <w:bottom w:val="nil"/>
              <w:right w:val="nil"/>
            </w:tcBorders>
            <w:shd w:val="clear" w:color="auto" w:fill="auto"/>
            <w:hideMark/>
          </w:tcPr>
          <w:p w14:paraId="4705CCFC"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2.88±2.16</w:t>
            </w:r>
          </w:p>
        </w:tc>
        <w:tc>
          <w:tcPr>
            <w:tcW w:w="540" w:type="dxa"/>
            <w:tcBorders>
              <w:top w:val="nil"/>
              <w:left w:val="nil"/>
              <w:bottom w:val="nil"/>
              <w:right w:val="nil"/>
            </w:tcBorders>
            <w:shd w:val="clear" w:color="auto" w:fill="auto"/>
            <w:hideMark/>
          </w:tcPr>
          <w:p w14:paraId="4495CC1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2.134</w:t>
            </w:r>
          </w:p>
        </w:tc>
        <w:tc>
          <w:tcPr>
            <w:tcW w:w="900" w:type="dxa"/>
            <w:tcBorders>
              <w:top w:val="nil"/>
              <w:left w:val="nil"/>
              <w:bottom w:val="nil"/>
              <w:right w:val="nil"/>
            </w:tcBorders>
            <w:shd w:val="clear" w:color="auto" w:fill="auto"/>
            <w:hideMark/>
          </w:tcPr>
          <w:p w14:paraId="41C487C5"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0.097</w:t>
            </w:r>
          </w:p>
        </w:tc>
      </w:tr>
      <w:tr w:rsidR="00932F75" w:rsidRPr="00932F75" w14:paraId="2A84F5EF" w14:textId="77777777" w:rsidTr="009F23CC">
        <w:trPr>
          <w:trHeight w:val="1012"/>
        </w:trPr>
        <w:tc>
          <w:tcPr>
            <w:tcW w:w="1013" w:type="dxa"/>
            <w:vMerge/>
            <w:tcBorders>
              <w:top w:val="nil"/>
              <w:left w:val="nil"/>
              <w:bottom w:val="single" w:sz="4" w:space="0" w:color="auto"/>
              <w:right w:val="nil"/>
            </w:tcBorders>
            <w:shd w:val="clear" w:color="auto" w:fill="auto"/>
            <w:vAlign w:val="center"/>
            <w:hideMark/>
          </w:tcPr>
          <w:p w14:paraId="3723CE7F" w14:textId="77777777" w:rsidR="004936C8" w:rsidRPr="00932F75" w:rsidRDefault="004936C8" w:rsidP="009F23CC">
            <w:pPr>
              <w:spacing w:line="360" w:lineRule="auto"/>
              <w:jc w:val="both"/>
              <w:rPr>
                <w:rFonts w:ascii="Times New Roman" w:hAnsi="Times New Roman" w:cs="Times New Roman"/>
                <w:kern w:val="2"/>
              </w:rPr>
            </w:pPr>
          </w:p>
        </w:tc>
        <w:tc>
          <w:tcPr>
            <w:tcW w:w="1260" w:type="dxa"/>
            <w:tcBorders>
              <w:top w:val="nil"/>
              <w:left w:val="nil"/>
              <w:bottom w:val="single" w:sz="4" w:space="0" w:color="auto"/>
              <w:right w:val="nil"/>
            </w:tcBorders>
            <w:shd w:val="clear" w:color="auto" w:fill="auto"/>
            <w:hideMark/>
          </w:tcPr>
          <w:p w14:paraId="73B5BECB"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 xml:space="preserve">Total </w:t>
            </w:r>
          </w:p>
        </w:tc>
        <w:tc>
          <w:tcPr>
            <w:tcW w:w="720" w:type="dxa"/>
            <w:tcBorders>
              <w:top w:val="nil"/>
              <w:left w:val="nil"/>
              <w:bottom w:val="single" w:sz="4" w:space="0" w:color="auto"/>
              <w:right w:val="nil"/>
            </w:tcBorders>
            <w:shd w:val="clear" w:color="auto" w:fill="auto"/>
            <w:hideMark/>
          </w:tcPr>
          <w:p w14:paraId="1E6557BA"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200</w:t>
            </w:r>
          </w:p>
        </w:tc>
        <w:tc>
          <w:tcPr>
            <w:tcW w:w="1038" w:type="dxa"/>
            <w:tcBorders>
              <w:top w:val="nil"/>
              <w:left w:val="nil"/>
              <w:bottom w:val="single" w:sz="4" w:space="0" w:color="auto"/>
              <w:right w:val="nil"/>
            </w:tcBorders>
            <w:shd w:val="clear" w:color="auto" w:fill="auto"/>
            <w:hideMark/>
          </w:tcPr>
          <w:p w14:paraId="30E3364A"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3.59±4.04</w:t>
            </w:r>
          </w:p>
        </w:tc>
        <w:tc>
          <w:tcPr>
            <w:tcW w:w="1141" w:type="dxa"/>
            <w:tcBorders>
              <w:top w:val="nil"/>
              <w:left w:val="nil"/>
              <w:bottom w:val="single" w:sz="4" w:space="0" w:color="auto"/>
              <w:right w:val="nil"/>
            </w:tcBorders>
            <w:shd w:val="clear" w:color="auto" w:fill="auto"/>
            <w:hideMark/>
          </w:tcPr>
          <w:p w14:paraId="17A685CF"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2.91±0.86</w:t>
            </w:r>
          </w:p>
        </w:tc>
        <w:tc>
          <w:tcPr>
            <w:tcW w:w="1141" w:type="dxa"/>
            <w:tcBorders>
              <w:top w:val="nil"/>
              <w:left w:val="nil"/>
              <w:bottom w:val="single" w:sz="4" w:space="0" w:color="auto"/>
              <w:right w:val="nil"/>
            </w:tcBorders>
            <w:shd w:val="clear" w:color="auto" w:fill="auto"/>
            <w:hideMark/>
          </w:tcPr>
          <w:p w14:paraId="6A68104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2.60±0.51</w:t>
            </w:r>
          </w:p>
        </w:tc>
        <w:tc>
          <w:tcPr>
            <w:tcW w:w="1270" w:type="dxa"/>
            <w:tcBorders>
              <w:top w:val="nil"/>
              <w:left w:val="nil"/>
              <w:bottom w:val="single" w:sz="4" w:space="0" w:color="auto"/>
              <w:right w:val="nil"/>
            </w:tcBorders>
            <w:shd w:val="clear" w:color="auto" w:fill="auto"/>
            <w:hideMark/>
          </w:tcPr>
          <w:p w14:paraId="3544F824"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2.99±1.07</w:t>
            </w:r>
          </w:p>
        </w:tc>
        <w:tc>
          <w:tcPr>
            <w:tcW w:w="990" w:type="dxa"/>
            <w:tcBorders>
              <w:top w:val="nil"/>
              <w:left w:val="nil"/>
              <w:bottom w:val="single" w:sz="4" w:space="0" w:color="auto"/>
              <w:right w:val="nil"/>
            </w:tcBorders>
            <w:shd w:val="clear" w:color="auto" w:fill="auto"/>
            <w:hideMark/>
          </w:tcPr>
          <w:p w14:paraId="31F0451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3.02±2.19</w:t>
            </w:r>
          </w:p>
        </w:tc>
        <w:tc>
          <w:tcPr>
            <w:tcW w:w="540" w:type="dxa"/>
            <w:tcBorders>
              <w:top w:val="nil"/>
              <w:left w:val="nil"/>
              <w:bottom w:val="single" w:sz="4" w:space="0" w:color="auto"/>
              <w:right w:val="nil"/>
            </w:tcBorders>
            <w:shd w:val="clear" w:color="auto" w:fill="auto"/>
            <w:hideMark/>
          </w:tcPr>
          <w:p w14:paraId="699725D2"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1.875</w:t>
            </w:r>
          </w:p>
        </w:tc>
        <w:tc>
          <w:tcPr>
            <w:tcW w:w="900" w:type="dxa"/>
            <w:tcBorders>
              <w:top w:val="nil"/>
              <w:left w:val="nil"/>
              <w:bottom w:val="single" w:sz="4" w:space="0" w:color="auto"/>
              <w:right w:val="nil"/>
            </w:tcBorders>
            <w:shd w:val="clear" w:color="auto" w:fill="auto"/>
            <w:hideMark/>
          </w:tcPr>
          <w:p w14:paraId="6692D868"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0.135</w:t>
            </w:r>
          </w:p>
        </w:tc>
      </w:tr>
    </w:tbl>
    <w:p w14:paraId="15A81E76" w14:textId="77777777" w:rsidR="004C5E33" w:rsidRPr="00932F75" w:rsidRDefault="004C5E33" w:rsidP="004936C8">
      <w:pPr>
        <w:pStyle w:val="NoSpacing"/>
        <w:spacing w:before="240" w:line="360" w:lineRule="auto"/>
        <w:jc w:val="both"/>
        <w:rPr>
          <w:bCs/>
          <w:i/>
        </w:rPr>
      </w:pPr>
      <w:r w:rsidRPr="00932F75">
        <w:rPr>
          <w:bCs/>
          <w:i/>
        </w:rPr>
        <w:t xml:space="preserve">*Statistically significant at p&lt;0.05. </w:t>
      </w:r>
    </w:p>
    <w:p w14:paraId="49DB97BB" w14:textId="3B3C5C27" w:rsidR="004936C8" w:rsidRPr="00932F75" w:rsidRDefault="004936C8" w:rsidP="004936C8">
      <w:pPr>
        <w:pStyle w:val="NoSpacing"/>
        <w:spacing w:before="240" w:line="360" w:lineRule="auto"/>
        <w:jc w:val="both"/>
      </w:pPr>
      <w:r w:rsidRPr="00932F75">
        <w:rPr>
          <w:b/>
          <w:bCs/>
        </w:rPr>
        <w:t>KEYS:</w:t>
      </w:r>
      <w:r w:rsidRPr="00932F75">
        <w:t xml:space="preserve"> IL-6: Interleukin 6 (</w:t>
      </w:r>
      <w:proofErr w:type="spellStart"/>
      <w:r w:rsidRPr="00932F75">
        <w:t>pg</w:t>
      </w:r>
      <w:proofErr w:type="spellEnd"/>
      <w:r w:rsidRPr="00932F75">
        <w:t>/ml); IL-10: Interleukin 10 (</w:t>
      </w:r>
      <w:proofErr w:type="spellStart"/>
      <w:r w:rsidRPr="00932F75">
        <w:t>pg</w:t>
      </w:r>
      <w:proofErr w:type="spellEnd"/>
      <w:r w:rsidRPr="00932F75">
        <w:t>/ml); IgG: Immunoglobulin G; IgM: Immunoglobulin M.</w:t>
      </w:r>
    </w:p>
    <w:p w14:paraId="0858CCD6" w14:textId="4CFF6F03" w:rsidR="004936C8" w:rsidRPr="00932F75" w:rsidRDefault="004936C8" w:rsidP="004936C8">
      <w:pPr>
        <w:pStyle w:val="NoSpacing"/>
        <w:spacing w:before="240" w:line="360" w:lineRule="auto"/>
        <w:jc w:val="both"/>
        <w:rPr>
          <w:sz w:val="22"/>
        </w:rPr>
      </w:pPr>
    </w:p>
    <w:p w14:paraId="7E52A6D2" w14:textId="43D6B33C" w:rsidR="00735C09" w:rsidRPr="00932F75" w:rsidRDefault="00735C09" w:rsidP="004936C8">
      <w:pPr>
        <w:pStyle w:val="NoSpacing"/>
        <w:spacing w:before="240" w:line="360" w:lineRule="auto"/>
        <w:jc w:val="both"/>
        <w:rPr>
          <w:sz w:val="22"/>
        </w:rPr>
      </w:pPr>
    </w:p>
    <w:p w14:paraId="1EA6E2D6" w14:textId="0358DDA6" w:rsidR="00735C09" w:rsidRPr="00932F75" w:rsidRDefault="00735C09" w:rsidP="004936C8">
      <w:pPr>
        <w:pStyle w:val="NoSpacing"/>
        <w:spacing w:before="240" w:line="360" w:lineRule="auto"/>
        <w:jc w:val="both"/>
        <w:rPr>
          <w:sz w:val="22"/>
        </w:rPr>
      </w:pPr>
    </w:p>
    <w:p w14:paraId="033BDBBC" w14:textId="2A697824" w:rsidR="00735C09" w:rsidRPr="00932F75" w:rsidRDefault="00735C09" w:rsidP="004936C8">
      <w:pPr>
        <w:pStyle w:val="NoSpacing"/>
        <w:spacing w:before="240" w:line="360" w:lineRule="auto"/>
        <w:jc w:val="both"/>
        <w:rPr>
          <w:sz w:val="22"/>
        </w:rPr>
      </w:pPr>
    </w:p>
    <w:p w14:paraId="2B32C371" w14:textId="55807FAB" w:rsidR="00735C09" w:rsidRPr="00932F75" w:rsidRDefault="00735C09" w:rsidP="004936C8">
      <w:pPr>
        <w:pStyle w:val="NoSpacing"/>
        <w:spacing w:before="240" w:line="360" w:lineRule="auto"/>
        <w:jc w:val="both"/>
        <w:rPr>
          <w:sz w:val="22"/>
        </w:rPr>
      </w:pPr>
    </w:p>
    <w:p w14:paraId="3DAEB71C" w14:textId="72B38DE7" w:rsidR="00735C09" w:rsidRPr="00932F75" w:rsidRDefault="00735C09" w:rsidP="004936C8">
      <w:pPr>
        <w:pStyle w:val="NoSpacing"/>
        <w:spacing w:before="240" w:line="360" w:lineRule="auto"/>
        <w:jc w:val="both"/>
        <w:rPr>
          <w:sz w:val="22"/>
        </w:rPr>
      </w:pPr>
    </w:p>
    <w:p w14:paraId="6D57C3DC" w14:textId="5B01D352" w:rsidR="00735C09" w:rsidRPr="00932F75" w:rsidRDefault="00735C09" w:rsidP="004936C8">
      <w:pPr>
        <w:pStyle w:val="NoSpacing"/>
        <w:spacing w:before="240" w:line="360" w:lineRule="auto"/>
        <w:jc w:val="both"/>
        <w:rPr>
          <w:sz w:val="22"/>
        </w:rPr>
      </w:pPr>
    </w:p>
    <w:p w14:paraId="7014C920" w14:textId="6874D6BF" w:rsidR="00735C09" w:rsidRPr="00932F75" w:rsidRDefault="00735C09" w:rsidP="004936C8">
      <w:pPr>
        <w:pStyle w:val="NoSpacing"/>
        <w:spacing w:before="240" w:line="360" w:lineRule="auto"/>
        <w:jc w:val="both"/>
        <w:rPr>
          <w:sz w:val="22"/>
        </w:rPr>
      </w:pPr>
    </w:p>
    <w:p w14:paraId="655F3C9E" w14:textId="11A5746F" w:rsidR="00735C09" w:rsidRPr="00932F75" w:rsidRDefault="00735C09" w:rsidP="004936C8">
      <w:pPr>
        <w:pStyle w:val="NoSpacing"/>
        <w:spacing w:before="240" w:line="360" w:lineRule="auto"/>
        <w:jc w:val="both"/>
        <w:rPr>
          <w:sz w:val="22"/>
        </w:rPr>
      </w:pPr>
    </w:p>
    <w:p w14:paraId="75F69807" w14:textId="18D01159" w:rsidR="00735C09" w:rsidRPr="00932F75" w:rsidRDefault="00735C09" w:rsidP="004936C8">
      <w:pPr>
        <w:pStyle w:val="NoSpacing"/>
        <w:spacing w:before="240" w:line="360" w:lineRule="auto"/>
        <w:jc w:val="both"/>
        <w:rPr>
          <w:sz w:val="22"/>
        </w:rPr>
      </w:pPr>
    </w:p>
    <w:p w14:paraId="63A08B8C" w14:textId="531051D3" w:rsidR="00735C09" w:rsidRPr="00932F75" w:rsidRDefault="00735C09" w:rsidP="00735C09">
      <w:pPr>
        <w:pStyle w:val="NoSpacing"/>
        <w:spacing w:after="240" w:line="360" w:lineRule="auto"/>
        <w:rPr>
          <w:b/>
        </w:rPr>
      </w:pPr>
      <w:r w:rsidRPr="00932F75">
        <w:rPr>
          <w:b/>
        </w:rPr>
        <w:lastRenderedPageBreak/>
        <w:t>Table 2: Comparison of Mean ± SD of Immunological Values between Male and Female Gender</w:t>
      </w:r>
    </w:p>
    <w:tbl>
      <w:tblPr>
        <w:tblW w:w="9355" w:type="dxa"/>
        <w:tblBorders>
          <w:top w:val="single" w:sz="4" w:space="0" w:color="auto"/>
          <w:bottom w:val="single" w:sz="4" w:space="0" w:color="auto"/>
        </w:tblBorders>
        <w:tblLook w:val="04A0" w:firstRow="1" w:lastRow="0" w:firstColumn="1" w:lastColumn="0" w:noHBand="0" w:noVBand="1"/>
      </w:tblPr>
      <w:tblGrid>
        <w:gridCol w:w="1885"/>
        <w:gridCol w:w="2250"/>
        <w:gridCol w:w="1890"/>
        <w:gridCol w:w="1620"/>
        <w:gridCol w:w="1710"/>
      </w:tblGrid>
      <w:tr w:rsidR="00932F75" w:rsidRPr="00932F75" w14:paraId="57FCC00D" w14:textId="77777777" w:rsidTr="00A71158">
        <w:tc>
          <w:tcPr>
            <w:tcW w:w="1885" w:type="dxa"/>
            <w:tcBorders>
              <w:top w:val="single" w:sz="4" w:space="0" w:color="auto"/>
              <w:left w:val="nil"/>
              <w:bottom w:val="single" w:sz="4" w:space="0" w:color="auto"/>
              <w:right w:val="nil"/>
            </w:tcBorders>
            <w:shd w:val="clear" w:color="auto" w:fill="auto"/>
            <w:hideMark/>
          </w:tcPr>
          <w:p w14:paraId="21165A38" w14:textId="77777777" w:rsidR="00735C09" w:rsidRPr="00932F75" w:rsidRDefault="00735C09" w:rsidP="00A71158">
            <w:pPr>
              <w:pStyle w:val="NoSpacing"/>
              <w:spacing w:after="240" w:line="360" w:lineRule="auto"/>
              <w:rPr>
                <w:rFonts w:cs="SimSun"/>
              </w:rPr>
            </w:pPr>
            <w:r w:rsidRPr="00932F75">
              <w:rPr>
                <w:rFonts w:cs="SimSun"/>
              </w:rPr>
              <w:t>Immunological parameters</w:t>
            </w:r>
          </w:p>
        </w:tc>
        <w:tc>
          <w:tcPr>
            <w:tcW w:w="2250" w:type="dxa"/>
            <w:tcBorders>
              <w:top w:val="single" w:sz="4" w:space="0" w:color="auto"/>
              <w:left w:val="nil"/>
              <w:bottom w:val="single" w:sz="4" w:space="0" w:color="auto"/>
              <w:right w:val="nil"/>
            </w:tcBorders>
            <w:shd w:val="clear" w:color="auto" w:fill="auto"/>
            <w:hideMark/>
          </w:tcPr>
          <w:p w14:paraId="718FE072" w14:textId="77777777" w:rsidR="00735C09" w:rsidRPr="00932F75" w:rsidRDefault="00735C09" w:rsidP="00A71158">
            <w:pPr>
              <w:pStyle w:val="NoSpacing"/>
              <w:spacing w:line="360" w:lineRule="auto"/>
              <w:rPr>
                <w:rFonts w:cs="SimSun"/>
              </w:rPr>
            </w:pPr>
            <w:r w:rsidRPr="00932F75">
              <w:rPr>
                <w:rFonts w:cs="SimSun"/>
              </w:rPr>
              <w:t xml:space="preserve">Male </w:t>
            </w:r>
          </w:p>
          <w:p w14:paraId="37A267E8" w14:textId="77777777" w:rsidR="00735C09" w:rsidRPr="00932F75" w:rsidRDefault="00735C09" w:rsidP="00A71158">
            <w:pPr>
              <w:pStyle w:val="NoSpacing"/>
              <w:spacing w:line="360" w:lineRule="auto"/>
              <w:rPr>
                <w:rFonts w:cs="SimSun"/>
              </w:rPr>
            </w:pPr>
            <w:r w:rsidRPr="00932F75">
              <w:rPr>
                <w:rFonts w:cs="SimSun"/>
              </w:rPr>
              <w:t>(N=93)</w:t>
            </w:r>
          </w:p>
        </w:tc>
        <w:tc>
          <w:tcPr>
            <w:tcW w:w="1890" w:type="dxa"/>
            <w:tcBorders>
              <w:top w:val="single" w:sz="4" w:space="0" w:color="auto"/>
              <w:left w:val="nil"/>
              <w:bottom w:val="single" w:sz="4" w:space="0" w:color="auto"/>
              <w:right w:val="nil"/>
            </w:tcBorders>
            <w:shd w:val="clear" w:color="auto" w:fill="auto"/>
            <w:hideMark/>
          </w:tcPr>
          <w:p w14:paraId="6C78F7BC" w14:textId="77777777" w:rsidR="00735C09" w:rsidRPr="00932F75" w:rsidRDefault="00735C09" w:rsidP="00A71158">
            <w:pPr>
              <w:pStyle w:val="NoSpacing"/>
              <w:spacing w:line="360" w:lineRule="auto"/>
              <w:rPr>
                <w:rFonts w:cs="SimSun"/>
              </w:rPr>
            </w:pPr>
            <w:r w:rsidRPr="00932F75">
              <w:rPr>
                <w:rFonts w:cs="SimSun"/>
              </w:rPr>
              <w:t xml:space="preserve">Female </w:t>
            </w:r>
          </w:p>
          <w:p w14:paraId="77C4D9EF" w14:textId="77777777" w:rsidR="00735C09" w:rsidRPr="00932F75" w:rsidRDefault="00735C09" w:rsidP="00A71158">
            <w:pPr>
              <w:pStyle w:val="NoSpacing"/>
              <w:spacing w:line="360" w:lineRule="auto"/>
              <w:rPr>
                <w:rFonts w:cs="SimSun"/>
              </w:rPr>
            </w:pPr>
            <w:r w:rsidRPr="00932F75">
              <w:rPr>
                <w:rFonts w:cs="SimSun"/>
              </w:rPr>
              <w:t>(N=106)</w:t>
            </w:r>
          </w:p>
        </w:tc>
        <w:tc>
          <w:tcPr>
            <w:tcW w:w="1620" w:type="dxa"/>
            <w:tcBorders>
              <w:top w:val="single" w:sz="4" w:space="0" w:color="auto"/>
              <w:left w:val="nil"/>
              <w:bottom w:val="single" w:sz="4" w:space="0" w:color="auto"/>
              <w:right w:val="nil"/>
            </w:tcBorders>
            <w:shd w:val="clear" w:color="auto" w:fill="auto"/>
            <w:hideMark/>
          </w:tcPr>
          <w:p w14:paraId="55E9A2BB" w14:textId="77777777" w:rsidR="00735C09" w:rsidRPr="00932F75" w:rsidRDefault="00735C09" w:rsidP="00A71158">
            <w:pPr>
              <w:pStyle w:val="NoSpacing"/>
              <w:spacing w:line="360" w:lineRule="auto"/>
              <w:rPr>
                <w:rFonts w:cs="SimSun"/>
              </w:rPr>
            </w:pPr>
            <w:r w:rsidRPr="00932F75">
              <w:rPr>
                <w:rFonts w:cs="SimSun"/>
              </w:rPr>
              <w:t>t-value</w:t>
            </w:r>
          </w:p>
        </w:tc>
        <w:tc>
          <w:tcPr>
            <w:tcW w:w="1710" w:type="dxa"/>
            <w:tcBorders>
              <w:top w:val="single" w:sz="4" w:space="0" w:color="auto"/>
              <w:left w:val="nil"/>
              <w:bottom w:val="single" w:sz="4" w:space="0" w:color="auto"/>
              <w:right w:val="nil"/>
            </w:tcBorders>
            <w:shd w:val="clear" w:color="auto" w:fill="auto"/>
            <w:hideMark/>
          </w:tcPr>
          <w:p w14:paraId="7F14B1FA" w14:textId="77777777" w:rsidR="00735C09" w:rsidRPr="00932F75" w:rsidRDefault="00735C09" w:rsidP="00A71158">
            <w:pPr>
              <w:pStyle w:val="NoSpacing"/>
              <w:spacing w:line="360" w:lineRule="auto"/>
              <w:rPr>
                <w:rFonts w:cs="SimSun"/>
              </w:rPr>
            </w:pPr>
            <w:r w:rsidRPr="00932F75">
              <w:rPr>
                <w:rFonts w:cs="SimSun"/>
              </w:rPr>
              <w:t>p-value</w:t>
            </w:r>
          </w:p>
        </w:tc>
      </w:tr>
      <w:tr w:rsidR="00932F75" w:rsidRPr="00932F75" w14:paraId="7714CF48" w14:textId="77777777" w:rsidTr="00A71158">
        <w:tc>
          <w:tcPr>
            <w:tcW w:w="1885" w:type="dxa"/>
            <w:tcBorders>
              <w:top w:val="single" w:sz="4" w:space="0" w:color="auto"/>
              <w:left w:val="nil"/>
              <w:bottom w:val="nil"/>
              <w:right w:val="nil"/>
            </w:tcBorders>
            <w:shd w:val="clear" w:color="auto" w:fill="auto"/>
            <w:hideMark/>
          </w:tcPr>
          <w:p w14:paraId="166092DC" w14:textId="77777777" w:rsidR="00735C09" w:rsidRPr="00932F75" w:rsidRDefault="00735C09" w:rsidP="00A71158">
            <w:pPr>
              <w:spacing w:line="360" w:lineRule="auto"/>
              <w:rPr>
                <w:rFonts w:cs="SimSun"/>
              </w:rPr>
            </w:pPr>
            <w:r w:rsidRPr="00932F75">
              <w:rPr>
                <w:rFonts w:cs="SimSun"/>
              </w:rPr>
              <w:t>IL-6</w:t>
            </w:r>
          </w:p>
        </w:tc>
        <w:tc>
          <w:tcPr>
            <w:tcW w:w="2250" w:type="dxa"/>
            <w:tcBorders>
              <w:top w:val="single" w:sz="4" w:space="0" w:color="auto"/>
              <w:left w:val="nil"/>
              <w:bottom w:val="nil"/>
              <w:right w:val="nil"/>
            </w:tcBorders>
            <w:shd w:val="clear" w:color="auto" w:fill="auto"/>
            <w:hideMark/>
          </w:tcPr>
          <w:p w14:paraId="11EEB720" w14:textId="77777777" w:rsidR="00735C09" w:rsidRPr="00932F75" w:rsidRDefault="00735C09" w:rsidP="00A71158">
            <w:pPr>
              <w:spacing w:line="360" w:lineRule="auto"/>
              <w:rPr>
                <w:rFonts w:cs="SimSun"/>
              </w:rPr>
            </w:pPr>
            <w:r w:rsidRPr="00932F75">
              <w:rPr>
                <w:rFonts w:cs="SimSun"/>
              </w:rPr>
              <w:t xml:space="preserve">9.91±13.69 </w:t>
            </w:r>
          </w:p>
        </w:tc>
        <w:tc>
          <w:tcPr>
            <w:tcW w:w="1890" w:type="dxa"/>
            <w:tcBorders>
              <w:top w:val="single" w:sz="4" w:space="0" w:color="auto"/>
              <w:left w:val="nil"/>
              <w:bottom w:val="nil"/>
              <w:right w:val="nil"/>
            </w:tcBorders>
            <w:shd w:val="clear" w:color="auto" w:fill="auto"/>
            <w:hideMark/>
          </w:tcPr>
          <w:p w14:paraId="0DF3F8C1" w14:textId="77777777" w:rsidR="00735C09" w:rsidRPr="00932F75" w:rsidRDefault="00735C09" w:rsidP="00A71158">
            <w:pPr>
              <w:spacing w:line="360" w:lineRule="auto"/>
              <w:rPr>
                <w:rFonts w:cs="SimSun"/>
              </w:rPr>
            </w:pPr>
            <w:r w:rsidRPr="00932F75">
              <w:rPr>
                <w:rFonts w:cs="SimSun"/>
              </w:rPr>
              <w:t>13.88 ± 21.43</w:t>
            </w:r>
          </w:p>
        </w:tc>
        <w:tc>
          <w:tcPr>
            <w:tcW w:w="1620" w:type="dxa"/>
            <w:tcBorders>
              <w:top w:val="single" w:sz="4" w:space="0" w:color="auto"/>
              <w:left w:val="nil"/>
              <w:bottom w:val="nil"/>
              <w:right w:val="nil"/>
            </w:tcBorders>
            <w:shd w:val="clear" w:color="auto" w:fill="auto"/>
            <w:hideMark/>
          </w:tcPr>
          <w:p w14:paraId="639ACB71" w14:textId="77777777" w:rsidR="00735C09" w:rsidRPr="00932F75" w:rsidRDefault="00735C09" w:rsidP="00A71158">
            <w:pPr>
              <w:spacing w:line="360" w:lineRule="auto"/>
              <w:rPr>
                <w:rFonts w:cs="SimSun"/>
              </w:rPr>
            </w:pPr>
            <w:r w:rsidRPr="00932F75">
              <w:rPr>
                <w:rFonts w:cs="SimSun"/>
              </w:rPr>
              <w:t>-1.532</w:t>
            </w:r>
          </w:p>
        </w:tc>
        <w:tc>
          <w:tcPr>
            <w:tcW w:w="1710" w:type="dxa"/>
            <w:tcBorders>
              <w:top w:val="single" w:sz="4" w:space="0" w:color="auto"/>
              <w:left w:val="nil"/>
              <w:bottom w:val="nil"/>
              <w:right w:val="nil"/>
            </w:tcBorders>
            <w:shd w:val="clear" w:color="auto" w:fill="auto"/>
          </w:tcPr>
          <w:p w14:paraId="447BAB42" w14:textId="77777777" w:rsidR="00735C09" w:rsidRPr="00932F75" w:rsidRDefault="00735C09" w:rsidP="00A71158">
            <w:pPr>
              <w:spacing w:line="360" w:lineRule="auto"/>
              <w:rPr>
                <w:rFonts w:cs="SimSun"/>
              </w:rPr>
            </w:pPr>
            <w:r w:rsidRPr="00932F75">
              <w:rPr>
                <w:rFonts w:cs="SimSun"/>
              </w:rPr>
              <w:t>0.127</w:t>
            </w:r>
          </w:p>
          <w:p w14:paraId="5765CA75" w14:textId="77777777" w:rsidR="00735C09" w:rsidRPr="00932F75" w:rsidRDefault="00735C09" w:rsidP="00A71158">
            <w:pPr>
              <w:spacing w:line="360" w:lineRule="auto"/>
              <w:rPr>
                <w:rFonts w:cs="SimSun"/>
              </w:rPr>
            </w:pPr>
          </w:p>
        </w:tc>
      </w:tr>
      <w:tr w:rsidR="00932F75" w:rsidRPr="00932F75" w14:paraId="20CFC6A4" w14:textId="77777777" w:rsidTr="00A71158">
        <w:tc>
          <w:tcPr>
            <w:tcW w:w="1885" w:type="dxa"/>
            <w:tcBorders>
              <w:top w:val="nil"/>
              <w:left w:val="nil"/>
              <w:bottom w:val="nil"/>
              <w:right w:val="nil"/>
            </w:tcBorders>
            <w:shd w:val="clear" w:color="auto" w:fill="auto"/>
            <w:hideMark/>
          </w:tcPr>
          <w:p w14:paraId="7460E2C2" w14:textId="77777777" w:rsidR="00735C09" w:rsidRPr="00932F75" w:rsidRDefault="00735C09" w:rsidP="00A71158">
            <w:pPr>
              <w:spacing w:line="360" w:lineRule="auto"/>
              <w:rPr>
                <w:rFonts w:cs="SimSun"/>
              </w:rPr>
            </w:pPr>
            <w:r w:rsidRPr="00932F75">
              <w:rPr>
                <w:rFonts w:cs="SimSun"/>
              </w:rPr>
              <w:t>IL-10</w:t>
            </w:r>
          </w:p>
        </w:tc>
        <w:tc>
          <w:tcPr>
            <w:tcW w:w="2250" w:type="dxa"/>
            <w:tcBorders>
              <w:top w:val="nil"/>
              <w:left w:val="nil"/>
              <w:bottom w:val="nil"/>
              <w:right w:val="nil"/>
            </w:tcBorders>
            <w:shd w:val="clear" w:color="auto" w:fill="auto"/>
            <w:hideMark/>
          </w:tcPr>
          <w:p w14:paraId="43E81201" w14:textId="77777777" w:rsidR="00735C09" w:rsidRPr="00932F75" w:rsidRDefault="00735C09" w:rsidP="00A71158">
            <w:pPr>
              <w:spacing w:line="360" w:lineRule="auto"/>
              <w:rPr>
                <w:rFonts w:cs="SimSun"/>
              </w:rPr>
            </w:pPr>
            <w:r w:rsidRPr="00932F75">
              <w:rPr>
                <w:rFonts w:cs="SimSun"/>
              </w:rPr>
              <w:t>2.75 ± 0.72</w:t>
            </w:r>
          </w:p>
        </w:tc>
        <w:tc>
          <w:tcPr>
            <w:tcW w:w="1890" w:type="dxa"/>
            <w:tcBorders>
              <w:top w:val="nil"/>
              <w:left w:val="nil"/>
              <w:bottom w:val="nil"/>
              <w:right w:val="nil"/>
            </w:tcBorders>
            <w:shd w:val="clear" w:color="auto" w:fill="auto"/>
            <w:hideMark/>
          </w:tcPr>
          <w:p w14:paraId="39078F00" w14:textId="77777777" w:rsidR="00735C09" w:rsidRPr="00932F75" w:rsidRDefault="00735C09" w:rsidP="00A71158">
            <w:pPr>
              <w:spacing w:line="360" w:lineRule="auto"/>
              <w:rPr>
                <w:rFonts w:cs="SimSun"/>
              </w:rPr>
            </w:pPr>
            <w:r w:rsidRPr="00932F75">
              <w:rPr>
                <w:rFonts w:cs="SimSun"/>
              </w:rPr>
              <w:t>3.28 ± 2.92</w:t>
            </w:r>
          </w:p>
        </w:tc>
        <w:tc>
          <w:tcPr>
            <w:tcW w:w="1620" w:type="dxa"/>
            <w:tcBorders>
              <w:top w:val="nil"/>
              <w:left w:val="nil"/>
              <w:bottom w:val="nil"/>
              <w:right w:val="nil"/>
            </w:tcBorders>
            <w:shd w:val="clear" w:color="auto" w:fill="auto"/>
            <w:hideMark/>
          </w:tcPr>
          <w:p w14:paraId="7205B648" w14:textId="77777777" w:rsidR="00735C09" w:rsidRPr="00932F75" w:rsidRDefault="00735C09" w:rsidP="00A71158">
            <w:pPr>
              <w:spacing w:line="360" w:lineRule="auto"/>
              <w:rPr>
                <w:rFonts w:cs="SimSun"/>
              </w:rPr>
            </w:pPr>
            <w:r w:rsidRPr="00932F75">
              <w:rPr>
                <w:rFonts w:cs="SimSun"/>
              </w:rPr>
              <w:t>-1.718</w:t>
            </w:r>
          </w:p>
        </w:tc>
        <w:tc>
          <w:tcPr>
            <w:tcW w:w="1710" w:type="dxa"/>
            <w:tcBorders>
              <w:top w:val="nil"/>
              <w:left w:val="nil"/>
              <w:bottom w:val="nil"/>
              <w:right w:val="nil"/>
            </w:tcBorders>
            <w:shd w:val="clear" w:color="auto" w:fill="auto"/>
          </w:tcPr>
          <w:p w14:paraId="602EECB4" w14:textId="77777777" w:rsidR="00735C09" w:rsidRPr="00932F75" w:rsidRDefault="00735C09" w:rsidP="00A71158">
            <w:pPr>
              <w:spacing w:line="360" w:lineRule="auto"/>
              <w:rPr>
                <w:rFonts w:cs="SimSun"/>
              </w:rPr>
            </w:pPr>
            <w:r w:rsidRPr="00932F75">
              <w:rPr>
                <w:rFonts w:cs="SimSun"/>
              </w:rPr>
              <w:t>0.087</w:t>
            </w:r>
          </w:p>
          <w:p w14:paraId="033B9BAC" w14:textId="77777777" w:rsidR="00735C09" w:rsidRPr="00932F75" w:rsidRDefault="00735C09" w:rsidP="00A71158">
            <w:pPr>
              <w:spacing w:line="360" w:lineRule="auto"/>
              <w:rPr>
                <w:rFonts w:cs="SimSun"/>
              </w:rPr>
            </w:pPr>
          </w:p>
        </w:tc>
      </w:tr>
      <w:tr w:rsidR="00932F75" w:rsidRPr="00932F75" w14:paraId="46BBDF3F" w14:textId="77777777" w:rsidTr="00A71158">
        <w:tc>
          <w:tcPr>
            <w:tcW w:w="1885" w:type="dxa"/>
            <w:tcBorders>
              <w:top w:val="nil"/>
              <w:left w:val="nil"/>
              <w:bottom w:val="nil"/>
              <w:right w:val="nil"/>
            </w:tcBorders>
            <w:shd w:val="clear" w:color="auto" w:fill="auto"/>
            <w:hideMark/>
          </w:tcPr>
          <w:p w14:paraId="5E043B0D" w14:textId="77777777" w:rsidR="00735C09" w:rsidRPr="00932F75" w:rsidRDefault="00735C09" w:rsidP="00A71158">
            <w:pPr>
              <w:spacing w:line="360" w:lineRule="auto"/>
              <w:rPr>
                <w:rFonts w:cs="SimSun"/>
              </w:rPr>
            </w:pPr>
            <w:r w:rsidRPr="00932F75">
              <w:rPr>
                <w:rFonts w:cs="SimSun"/>
              </w:rPr>
              <w:t>IgG</w:t>
            </w:r>
          </w:p>
        </w:tc>
        <w:tc>
          <w:tcPr>
            <w:tcW w:w="2250" w:type="dxa"/>
            <w:tcBorders>
              <w:top w:val="nil"/>
              <w:left w:val="nil"/>
              <w:bottom w:val="nil"/>
              <w:right w:val="nil"/>
            </w:tcBorders>
            <w:shd w:val="clear" w:color="auto" w:fill="auto"/>
            <w:hideMark/>
          </w:tcPr>
          <w:p w14:paraId="635A386A" w14:textId="77777777" w:rsidR="00735C09" w:rsidRPr="00932F75" w:rsidRDefault="00735C09" w:rsidP="00A71158">
            <w:pPr>
              <w:spacing w:line="360" w:lineRule="auto"/>
              <w:rPr>
                <w:rFonts w:cs="SimSun"/>
              </w:rPr>
            </w:pPr>
            <w:r w:rsidRPr="00932F75">
              <w:rPr>
                <w:rFonts w:cs="SimSun"/>
              </w:rPr>
              <w:t>43.57 ± 31.74</w:t>
            </w:r>
          </w:p>
        </w:tc>
        <w:tc>
          <w:tcPr>
            <w:tcW w:w="1890" w:type="dxa"/>
            <w:tcBorders>
              <w:top w:val="nil"/>
              <w:left w:val="nil"/>
              <w:bottom w:val="nil"/>
              <w:right w:val="nil"/>
            </w:tcBorders>
            <w:shd w:val="clear" w:color="auto" w:fill="auto"/>
            <w:hideMark/>
          </w:tcPr>
          <w:p w14:paraId="17331A6B" w14:textId="77777777" w:rsidR="00735C09" w:rsidRPr="00932F75" w:rsidRDefault="00735C09" w:rsidP="00A71158">
            <w:pPr>
              <w:spacing w:line="360" w:lineRule="auto"/>
              <w:rPr>
                <w:rFonts w:cs="SimSun"/>
              </w:rPr>
            </w:pPr>
            <w:r w:rsidRPr="00932F75">
              <w:rPr>
                <w:rFonts w:cs="SimSun"/>
              </w:rPr>
              <w:t>34.20 ± 29.57</w:t>
            </w:r>
          </w:p>
        </w:tc>
        <w:tc>
          <w:tcPr>
            <w:tcW w:w="1620" w:type="dxa"/>
            <w:tcBorders>
              <w:top w:val="nil"/>
              <w:left w:val="nil"/>
              <w:bottom w:val="nil"/>
              <w:right w:val="nil"/>
            </w:tcBorders>
            <w:shd w:val="clear" w:color="auto" w:fill="auto"/>
          </w:tcPr>
          <w:p w14:paraId="1E894188" w14:textId="77777777" w:rsidR="00735C09" w:rsidRPr="00932F75" w:rsidRDefault="00735C09" w:rsidP="00A71158">
            <w:pPr>
              <w:spacing w:line="360" w:lineRule="auto"/>
              <w:rPr>
                <w:rFonts w:cs="SimSun"/>
              </w:rPr>
            </w:pPr>
            <w:r w:rsidRPr="00932F75">
              <w:rPr>
                <w:rFonts w:cs="SimSun"/>
              </w:rPr>
              <w:t>2.153</w:t>
            </w:r>
          </w:p>
          <w:p w14:paraId="12A3BCE6" w14:textId="77777777" w:rsidR="00735C09" w:rsidRPr="00932F75" w:rsidRDefault="00735C09" w:rsidP="00A71158">
            <w:pPr>
              <w:spacing w:line="360" w:lineRule="auto"/>
              <w:rPr>
                <w:rFonts w:cs="SimSun"/>
              </w:rPr>
            </w:pPr>
          </w:p>
        </w:tc>
        <w:tc>
          <w:tcPr>
            <w:tcW w:w="1710" w:type="dxa"/>
            <w:tcBorders>
              <w:top w:val="nil"/>
              <w:left w:val="nil"/>
              <w:bottom w:val="nil"/>
              <w:right w:val="nil"/>
            </w:tcBorders>
            <w:shd w:val="clear" w:color="auto" w:fill="auto"/>
            <w:hideMark/>
          </w:tcPr>
          <w:p w14:paraId="2E9289C4" w14:textId="66E74C6A" w:rsidR="00735C09" w:rsidRPr="00932F75" w:rsidRDefault="00735C09" w:rsidP="00A71158">
            <w:pPr>
              <w:spacing w:line="360" w:lineRule="auto"/>
              <w:rPr>
                <w:rFonts w:cs="SimSun"/>
              </w:rPr>
            </w:pPr>
            <w:r w:rsidRPr="00932F75">
              <w:rPr>
                <w:rFonts w:cs="SimSun"/>
              </w:rPr>
              <w:t>0.033*</w:t>
            </w:r>
          </w:p>
        </w:tc>
      </w:tr>
      <w:tr w:rsidR="00932F75" w:rsidRPr="00932F75" w14:paraId="77FE47D6" w14:textId="77777777" w:rsidTr="00A71158">
        <w:tc>
          <w:tcPr>
            <w:tcW w:w="1885" w:type="dxa"/>
            <w:tcBorders>
              <w:top w:val="nil"/>
              <w:left w:val="nil"/>
              <w:bottom w:val="single" w:sz="4" w:space="0" w:color="auto"/>
              <w:right w:val="nil"/>
            </w:tcBorders>
            <w:shd w:val="clear" w:color="auto" w:fill="auto"/>
            <w:hideMark/>
          </w:tcPr>
          <w:p w14:paraId="307052D2" w14:textId="77777777" w:rsidR="00735C09" w:rsidRPr="00932F75" w:rsidRDefault="00735C09" w:rsidP="00A71158">
            <w:pPr>
              <w:spacing w:line="360" w:lineRule="auto"/>
              <w:rPr>
                <w:rFonts w:cs="SimSun"/>
              </w:rPr>
            </w:pPr>
            <w:r w:rsidRPr="00932F75">
              <w:rPr>
                <w:rFonts w:cs="SimSun"/>
              </w:rPr>
              <w:t>IgM</w:t>
            </w:r>
          </w:p>
        </w:tc>
        <w:tc>
          <w:tcPr>
            <w:tcW w:w="2250" w:type="dxa"/>
            <w:tcBorders>
              <w:top w:val="nil"/>
              <w:left w:val="nil"/>
              <w:bottom w:val="single" w:sz="4" w:space="0" w:color="auto"/>
              <w:right w:val="nil"/>
            </w:tcBorders>
            <w:shd w:val="clear" w:color="auto" w:fill="auto"/>
            <w:hideMark/>
          </w:tcPr>
          <w:p w14:paraId="60262172" w14:textId="77777777" w:rsidR="00735C09" w:rsidRPr="00932F75" w:rsidRDefault="00735C09" w:rsidP="00A71158">
            <w:pPr>
              <w:spacing w:line="360" w:lineRule="auto"/>
              <w:rPr>
                <w:rFonts w:cs="SimSun"/>
              </w:rPr>
            </w:pPr>
            <w:r w:rsidRPr="00932F75">
              <w:rPr>
                <w:rFonts w:cs="SimSun"/>
              </w:rPr>
              <w:t>60.36 ± 23.76</w:t>
            </w:r>
          </w:p>
        </w:tc>
        <w:tc>
          <w:tcPr>
            <w:tcW w:w="1890" w:type="dxa"/>
            <w:tcBorders>
              <w:top w:val="nil"/>
              <w:left w:val="nil"/>
              <w:bottom w:val="single" w:sz="4" w:space="0" w:color="auto"/>
              <w:right w:val="nil"/>
            </w:tcBorders>
            <w:shd w:val="clear" w:color="auto" w:fill="auto"/>
            <w:hideMark/>
          </w:tcPr>
          <w:p w14:paraId="31DE067B" w14:textId="77777777" w:rsidR="00735C09" w:rsidRPr="00932F75" w:rsidRDefault="00735C09" w:rsidP="00A71158">
            <w:pPr>
              <w:spacing w:line="360" w:lineRule="auto"/>
              <w:rPr>
                <w:rFonts w:cs="SimSun"/>
              </w:rPr>
            </w:pPr>
            <w:r w:rsidRPr="00932F75">
              <w:rPr>
                <w:rFonts w:cs="SimSun"/>
              </w:rPr>
              <w:t>66.60 ± 22.65</w:t>
            </w:r>
          </w:p>
        </w:tc>
        <w:tc>
          <w:tcPr>
            <w:tcW w:w="1620" w:type="dxa"/>
            <w:tcBorders>
              <w:top w:val="nil"/>
              <w:left w:val="nil"/>
              <w:bottom w:val="single" w:sz="4" w:space="0" w:color="auto"/>
              <w:right w:val="nil"/>
            </w:tcBorders>
            <w:shd w:val="clear" w:color="auto" w:fill="auto"/>
            <w:hideMark/>
          </w:tcPr>
          <w:p w14:paraId="2DAB5E06" w14:textId="77777777" w:rsidR="00735C09" w:rsidRPr="00932F75" w:rsidRDefault="00735C09" w:rsidP="00A71158">
            <w:pPr>
              <w:spacing w:line="360" w:lineRule="auto"/>
              <w:rPr>
                <w:rFonts w:cs="SimSun"/>
              </w:rPr>
            </w:pPr>
            <w:r w:rsidRPr="00932F75">
              <w:rPr>
                <w:rFonts w:cs="SimSun"/>
              </w:rPr>
              <w:t>-1.896</w:t>
            </w:r>
          </w:p>
        </w:tc>
        <w:tc>
          <w:tcPr>
            <w:tcW w:w="1710" w:type="dxa"/>
            <w:tcBorders>
              <w:top w:val="nil"/>
              <w:left w:val="nil"/>
              <w:bottom w:val="single" w:sz="4" w:space="0" w:color="auto"/>
              <w:right w:val="nil"/>
            </w:tcBorders>
            <w:shd w:val="clear" w:color="auto" w:fill="auto"/>
            <w:hideMark/>
          </w:tcPr>
          <w:p w14:paraId="2242CEA5" w14:textId="77777777" w:rsidR="00735C09" w:rsidRPr="00932F75" w:rsidRDefault="00735C09" w:rsidP="00A71158">
            <w:pPr>
              <w:spacing w:line="360" w:lineRule="auto"/>
              <w:rPr>
                <w:rFonts w:cs="SimSun"/>
              </w:rPr>
            </w:pPr>
            <w:r w:rsidRPr="00932F75">
              <w:rPr>
                <w:rFonts w:cs="SimSun"/>
              </w:rPr>
              <w:t>0.059</w:t>
            </w:r>
          </w:p>
        </w:tc>
      </w:tr>
    </w:tbl>
    <w:p w14:paraId="7EF3B803" w14:textId="77777777" w:rsidR="00735C09" w:rsidRPr="00932F75" w:rsidRDefault="00735C09" w:rsidP="00735C09">
      <w:pPr>
        <w:pStyle w:val="NoSpacing"/>
        <w:spacing w:before="240" w:line="360" w:lineRule="auto"/>
        <w:jc w:val="both"/>
        <w:rPr>
          <w:bCs/>
          <w:i/>
        </w:rPr>
      </w:pPr>
      <w:r w:rsidRPr="00932F75">
        <w:rPr>
          <w:bCs/>
          <w:i/>
        </w:rPr>
        <w:t xml:space="preserve">*Statistically significant at p&lt;0.05. </w:t>
      </w:r>
    </w:p>
    <w:p w14:paraId="7116C9E9" w14:textId="4E9D2DD2" w:rsidR="00735C09" w:rsidRPr="00932F75" w:rsidRDefault="00735C09" w:rsidP="00735C09">
      <w:pPr>
        <w:pStyle w:val="NoSpacing"/>
        <w:spacing w:before="240" w:line="360" w:lineRule="auto"/>
        <w:jc w:val="both"/>
        <w:rPr>
          <w:sz w:val="22"/>
        </w:rPr>
      </w:pPr>
      <w:r w:rsidRPr="00932F75">
        <w:rPr>
          <w:b/>
          <w:bCs/>
          <w:sz w:val="22"/>
        </w:rPr>
        <w:t>KEYS</w:t>
      </w:r>
      <w:r w:rsidRPr="00932F75">
        <w:rPr>
          <w:sz w:val="22"/>
        </w:rPr>
        <w:t>: IL-6: Interleukin 6 (</w:t>
      </w:r>
      <w:proofErr w:type="spellStart"/>
      <w:r w:rsidRPr="00932F75">
        <w:rPr>
          <w:sz w:val="22"/>
        </w:rPr>
        <w:t>pg</w:t>
      </w:r>
      <w:proofErr w:type="spellEnd"/>
      <w:r w:rsidRPr="00932F75">
        <w:rPr>
          <w:sz w:val="22"/>
        </w:rPr>
        <w:t>/ml); IL-10: Interleukin 10 (</w:t>
      </w:r>
      <w:proofErr w:type="spellStart"/>
      <w:r w:rsidRPr="00932F75">
        <w:rPr>
          <w:sz w:val="22"/>
        </w:rPr>
        <w:t>pg</w:t>
      </w:r>
      <w:proofErr w:type="spellEnd"/>
      <w:r w:rsidRPr="00932F75">
        <w:rPr>
          <w:sz w:val="22"/>
        </w:rPr>
        <w:t>/ml); IgG: Immunoglobulin G; IgM: Immunoglobulin M.</w:t>
      </w:r>
    </w:p>
    <w:p w14:paraId="124CE283" w14:textId="77777777" w:rsidR="00735C09" w:rsidRPr="00932F75" w:rsidRDefault="00735C09" w:rsidP="00735C09">
      <w:pPr>
        <w:spacing w:line="360" w:lineRule="auto"/>
      </w:pPr>
    </w:p>
    <w:p w14:paraId="04445297" w14:textId="77777777" w:rsidR="00735C09" w:rsidRPr="00932F75" w:rsidRDefault="00735C09" w:rsidP="004936C8">
      <w:pPr>
        <w:pStyle w:val="NoSpacing"/>
        <w:spacing w:line="360" w:lineRule="auto"/>
        <w:jc w:val="both"/>
      </w:pPr>
    </w:p>
    <w:p w14:paraId="2CBAFE62" w14:textId="77777777" w:rsidR="00735C09" w:rsidRPr="00932F75" w:rsidRDefault="00735C09" w:rsidP="004936C8">
      <w:pPr>
        <w:pStyle w:val="NoSpacing"/>
        <w:spacing w:line="360" w:lineRule="auto"/>
        <w:jc w:val="both"/>
      </w:pPr>
    </w:p>
    <w:p w14:paraId="33EC6BDA" w14:textId="77777777" w:rsidR="00735C09" w:rsidRPr="00932F75" w:rsidRDefault="00735C09" w:rsidP="004936C8">
      <w:pPr>
        <w:pStyle w:val="NoSpacing"/>
        <w:spacing w:line="360" w:lineRule="auto"/>
        <w:jc w:val="both"/>
      </w:pPr>
    </w:p>
    <w:p w14:paraId="5EB598CE" w14:textId="77777777" w:rsidR="00735C09" w:rsidRPr="00932F75" w:rsidRDefault="00735C09" w:rsidP="004936C8">
      <w:pPr>
        <w:pStyle w:val="NoSpacing"/>
        <w:spacing w:line="360" w:lineRule="auto"/>
        <w:jc w:val="both"/>
      </w:pPr>
    </w:p>
    <w:p w14:paraId="4FDC8F39" w14:textId="77777777" w:rsidR="00735C09" w:rsidRPr="00932F75" w:rsidRDefault="00735C09" w:rsidP="004936C8">
      <w:pPr>
        <w:pStyle w:val="NoSpacing"/>
        <w:spacing w:line="360" w:lineRule="auto"/>
        <w:jc w:val="both"/>
      </w:pPr>
    </w:p>
    <w:p w14:paraId="5972E80C" w14:textId="77777777" w:rsidR="00735C09" w:rsidRPr="00932F75" w:rsidRDefault="00735C09" w:rsidP="004936C8">
      <w:pPr>
        <w:pStyle w:val="NoSpacing"/>
        <w:spacing w:line="360" w:lineRule="auto"/>
        <w:jc w:val="both"/>
      </w:pPr>
    </w:p>
    <w:p w14:paraId="46F21086" w14:textId="77777777" w:rsidR="00735C09" w:rsidRPr="00932F75" w:rsidRDefault="00735C09" w:rsidP="004936C8">
      <w:pPr>
        <w:pStyle w:val="NoSpacing"/>
        <w:spacing w:line="360" w:lineRule="auto"/>
        <w:jc w:val="both"/>
      </w:pPr>
    </w:p>
    <w:p w14:paraId="3349C5FD" w14:textId="77777777" w:rsidR="00735C09" w:rsidRPr="00932F75" w:rsidRDefault="00735C09" w:rsidP="004936C8">
      <w:pPr>
        <w:pStyle w:val="NoSpacing"/>
        <w:spacing w:line="360" w:lineRule="auto"/>
        <w:jc w:val="both"/>
      </w:pPr>
    </w:p>
    <w:p w14:paraId="3BD7DC33" w14:textId="77777777" w:rsidR="00735C09" w:rsidRPr="00932F75" w:rsidRDefault="00735C09" w:rsidP="004936C8">
      <w:pPr>
        <w:pStyle w:val="NoSpacing"/>
        <w:spacing w:line="360" w:lineRule="auto"/>
        <w:jc w:val="both"/>
      </w:pPr>
    </w:p>
    <w:p w14:paraId="780C0221" w14:textId="77777777" w:rsidR="00735C09" w:rsidRPr="00932F75" w:rsidRDefault="00735C09" w:rsidP="004936C8">
      <w:pPr>
        <w:pStyle w:val="NoSpacing"/>
        <w:spacing w:line="360" w:lineRule="auto"/>
        <w:jc w:val="both"/>
      </w:pPr>
    </w:p>
    <w:p w14:paraId="387AD964" w14:textId="77777777" w:rsidR="00735C09" w:rsidRPr="00932F75" w:rsidRDefault="00735C09" w:rsidP="004936C8">
      <w:pPr>
        <w:pStyle w:val="NoSpacing"/>
        <w:spacing w:line="360" w:lineRule="auto"/>
        <w:jc w:val="both"/>
      </w:pPr>
    </w:p>
    <w:p w14:paraId="080A9D62" w14:textId="77777777" w:rsidR="00735C09" w:rsidRPr="00932F75" w:rsidRDefault="00735C09" w:rsidP="004936C8">
      <w:pPr>
        <w:pStyle w:val="NoSpacing"/>
        <w:spacing w:line="360" w:lineRule="auto"/>
        <w:jc w:val="both"/>
      </w:pPr>
    </w:p>
    <w:p w14:paraId="25DD1256" w14:textId="330671EB" w:rsidR="004936C8" w:rsidRPr="00932F75" w:rsidRDefault="004936C8" w:rsidP="004936C8">
      <w:pPr>
        <w:pStyle w:val="NoSpacing"/>
        <w:spacing w:line="360" w:lineRule="auto"/>
        <w:jc w:val="both"/>
        <w:rPr>
          <w:bCs/>
          <w:sz w:val="26"/>
          <w:szCs w:val="26"/>
        </w:rPr>
      </w:pPr>
      <w:r w:rsidRPr="00932F75">
        <w:t xml:space="preserve"> </w:t>
      </w:r>
      <w:r w:rsidR="005A3358" w:rsidRPr="00932F75">
        <w:rPr>
          <w:bCs/>
          <w:sz w:val="26"/>
          <w:szCs w:val="26"/>
        </w:rPr>
        <w:t>Table 3</w:t>
      </w:r>
      <w:r w:rsidRPr="00932F75">
        <w:rPr>
          <w:bCs/>
          <w:sz w:val="26"/>
          <w:szCs w:val="26"/>
        </w:rPr>
        <w:t xml:space="preserve">: Comparison of immunological parameters of subjects in relation to </w:t>
      </w:r>
      <w:r w:rsidRPr="00932F75">
        <w:rPr>
          <w:bCs/>
          <w:i/>
          <w:sz w:val="26"/>
          <w:szCs w:val="26"/>
        </w:rPr>
        <w:t>H. pylori</w:t>
      </w:r>
      <w:r w:rsidRPr="00932F75">
        <w:rPr>
          <w:bCs/>
          <w:sz w:val="26"/>
          <w:szCs w:val="26"/>
        </w:rPr>
        <w:t xml:space="preserve"> infection status across age groups</w:t>
      </w:r>
    </w:p>
    <w:p w14:paraId="2D15345A" w14:textId="77777777" w:rsidR="004936C8" w:rsidRPr="00932F75" w:rsidRDefault="004936C8" w:rsidP="004936C8">
      <w:pPr>
        <w:pStyle w:val="NoSpacing"/>
        <w:spacing w:line="360" w:lineRule="auto"/>
        <w:jc w:val="both"/>
        <w:rPr>
          <w:b/>
          <w:sz w:val="4"/>
          <w:szCs w:val="4"/>
        </w:rPr>
      </w:pPr>
    </w:p>
    <w:tbl>
      <w:tblPr>
        <w:tblW w:w="9355" w:type="dxa"/>
        <w:tblBorders>
          <w:top w:val="single" w:sz="4" w:space="0" w:color="auto"/>
          <w:bottom w:val="single" w:sz="4" w:space="0" w:color="auto"/>
        </w:tblBorders>
        <w:tblLook w:val="04A0" w:firstRow="1" w:lastRow="0" w:firstColumn="1" w:lastColumn="0" w:noHBand="0" w:noVBand="1"/>
      </w:tblPr>
      <w:tblGrid>
        <w:gridCol w:w="1885"/>
        <w:gridCol w:w="2250"/>
        <w:gridCol w:w="1890"/>
        <w:gridCol w:w="1620"/>
        <w:gridCol w:w="1710"/>
      </w:tblGrid>
      <w:tr w:rsidR="00932F75" w:rsidRPr="00932F75" w14:paraId="544D62AE" w14:textId="77777777" w:rsidTr="009F23CC">
        <w:tc>
          <w:tcPr>
            <w:tcW w:w="1885" w:type="dxa"/>
            <w:tcBorders>
              <w:top w:val="single" w:sz="4" w:space="0" w:color="auto"/>
              <w:bottom w:val="single" w:sz="4" w:space="0" w:color="auto"/>
            </w:tcBorders>
            <w:hideMark/>
          </w:tcPr>
          <w:p w14:paraId="218622A2"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Age-group</w:t>
            </w:r>
          </w:p>
        </w:tc>
        <w:tc>
          <w:tcPr>
            <w:tcW w:w="2250" w:type="dxa"/>
            <w:tcBorders>
              <w:top w:val="single" w:sz="4" w:space="0" w:color="auto"/>
              <w:bottom w:val="single" w:sz="4" w:space="0" w:color="auto"/>
            </w:tcBorders>
            <w:hideMark/>
          </w:tcPr>
          <w:p w14:paraId="31EB74B3"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IL-6</w:t>
            </w:r>
          </w:p>
        </w:tc>
        <w:tc>
          <w:tcPr>
            <w:tcW w:w="1890" w:type="dxa"/>
            <w:tcBorders>
              <w:top w:val="single" w:sz="4" w:space="0" w:color="auto"/>
              <w:bottom w:val="single" w:sz="4" w:space="0" w:color="auto"/>
            </w:tcBorders>
            <w:hideMark/>
          </w:tcPr>
          <w:p w14:paraId="30E8B452"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IL-10</w:t>
            </w:r>
          </w:p>
        </w:tc>
        <w:tc>
          <w:tcPr>
            <w:tcW w:w="1620" w:type="dxa"/>
            <w:tcBorders>
              <w:top w:val="single" w:sz="4" w:space="0" w:color="auto"/>
              <w:bottom w:val="single" w:sz="4" w:space="0" w:color="auto"/>
            </w:tcBorders>
            <w:hideMark/>
          </w:tcPr>
          <w:p w14:paraId="6A5A7797"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IgG</w:t>
            </w:r>
          </w:p>
        </w:tc>
        <w:tc>
          <w:tcPr>
            <w:tcW w:w="1710" w:type="dxa"/>
            <w:tcBorders>
              <w:top w:val="single" w:sz="4" w:space="0" w:color="auto"/>
              <w:bottom w:val="single" w:sz="4" w:space="0" w:color="auto"/>
            </w:tcBorders>
            <w:hideMark/>
          </w:tcPr>
          <w:p w14:paraId="2BAAD8D6" w14:textId="77777777" w:rsidR="004936C8" w:rsidRPr="00932F75" w:rsidRDefault="004936C8" w:rsidP="009F23CC">
            <w:pPr>
              <w:spacing w:line="360" w:lineRule="auto"/>
              <w:jc w:val="both"/>
              <w:rPr>
                <w:rFonts w:ascii="Times New Roman" w:hAnsi="Times New Roman" w:cs="Times New Roman"/>
              </w:rPr>
            </w:pPr>
            <w:r w:rsidRPr="00932F75">
              <w:rPr>
                <w:rFonts w:ascii="Times New Roman" w:hAnsi="Times New Roman" w:cs="Times New Roman"/>
              </w:rPr>
              <w:t>IgM</w:t>
            </w:r>
          </w:p>
        </w:tc>
      </w:tr>
      <w:tr w:rsidR="00932F75" w:rsidRPr="00932F75" w14:paraId="7BBAD017" w14:textId="77777777" w:rsidTr="009F23CC">
        <w:tc>
          <w:tcPr>
            <w:tcW w:w="1885" w:type="dxa"/>
            <w:tcBorders>
              <w:top w:val="single" w:sz="4" w:space="0" w:color="auto"/>
            </w:tcBorders>
          </w:tcPr>
          <w:p w14:paraId="37CF9E5A"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2-12years</w:t>
            </w:r>
          </w:p>
        </w:tc>
        <w:tc>
          <w:tcPr>
            <w:tcW w:w="2250" w:type="dxa"/>
            <w:tcBorders>
              <w:top w:val="single" w:sz="4" w:space="0" w:color="auto"/>
            </w:tcBorders>
            <w:hideMark/>
          </w:tcPr>
          <w:p w14:paraId="32FAC72D"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 xml:space="preserve">12.99±20.58 </w:t>
            </w:r>
          </w:p>
        </w:tc>
        <w:tc>
          <w:tcPr>
            <w:tcW w:w="1890" w:type="dxa"/>
            <w:tcBorders>
              <w:top w:val="single" w:sz="4" w:space="0" w:color="auto"/>
            </w:tcBorders>
            <w:hideMark/>
          </w:tcPr>
          <w:p w14:paraId="59B7D313"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2.98±0.95</w:t>
            </w:r>
          </w:p>
        </w:tc>
        <w:tc>
          <w:tcPr>
            <w:tcW w:w="1620" w:type="dxa"/>
            <w:tcBorders>
              <w:top w:val="single" w:sz="4" w:space="0" w:color="auto"/>
            </w:tcBorders>
            <w:hideMark/>
          </w:tcPr>
          <w:p w14:paraId="7C2975E9"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33.97±29.56</w:t>
            </w:r>
          </w:p>
        </w:tc>
        <w:tc>
          <w:tcPr>
            <w:tcW w:w="1710" w:type="dxa"/>
            <w:tcBorders>
              <w:top w:val="single" w:sz="4" w:space="0" w:color="auto"/>
            </w:tcBorders>
          </w:tcPr>
          <w:p w14:paraId="5D9D6F11"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64.81±21.74</w:t>
            </w:r>
          </w:p>
        </w:tc>
      </w:tr>
      <w:tr w:rsidR="00932F75" w:rsidRPr="00932F75" w14:paraId="68AF37F2" w14:textId="77777777" w:rsidTr="009F23CC">
        <w:tc>
          <w:tcPr>
            <w:tcW w:w="1885" w:type="dxa"/>
            <w:hideMark/>
          </w:tcPr>
          <w:p w14:paraId="48CDF84B"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13-23years</w:t>
            </w:r>
          </w:p>
        </w:tc>
        <w:tc>
          <w:tcPr>
            <w:tcW w:w="2250" w:type="dxa"/>
            <w:hideMark/>
          </w:tcPr>
          <w:p w14:paraId="20BB2B7E"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10.84±15.12</w:t>
            </w:r>
          </w:p>
        </w:tc>
        <w:tc>
          <w:tcPr>
            <w:tcW w:w="1890" w:type="dxa"/>
            <w:hideMark/>
          </w:tcPr>
          <w:p w14:paraId="478036DF"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3.41±3.73</w:t>
            </w:r>
          </w:p>
        </w:tc>
        <w:tc>
          <w:tcPr>
            <w:tcW w:w="1620" w:type="dxa"/>
            <w:hideMark/>
          </w:tcPr>
          <w:p w14:paraId="1CC5E866"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41.17±30.26</w:t>
            </w:r>
          </w:p>
        </w:tc>
        <w:tc>
          <w:tcPr>
            <w:tcW w:w="1710" w:type="dxa"/>
          </w:tcPr>
          <w:p w14:paraId="6F714D4B"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56.85±23.99</w:t>
            </w:r>
          </w:p>
        </w:tc>
      </w:tr>
      <w:tr w:rsidR="00932F75" w:rsidRPr="00932F75" w14:paraId="7EEE4453" w14:textId="77777777" w:rsidTr="009F23CC">
        <w:tc>
          <w:tcPr>
            <w:tcW w:w="1885" w:type="dxa"/>
            <w:hideMark/>
          </w:tcPr>
          <w:p w14:paraId="250228F1"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24-34years</w:t>
            </w:r>
          </w:p>
        </w:tc>
        <w:tc>
          <w:tcPr>
            <w:tcW w:w="2250" w:type="dxa"/>
            <w:hideMark/>
          </w:tcPr>
          <w:p w14:paraId="5EE959D9"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11.85±20.91</w:t>
            </w:r>
          </w:p>
        </w:tc>
        <w:tc>
          <w:tcPr>
            <w:tcW w:w="1890" w:type="dxa"/>
            <w:hideMark/>
          </w:tcPr>
          <w:p w14:paraId="3928D1CB"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2.75±0.78</w:t>
            </w:r>
          </w:p>
        </w:tc>
        <w:tc>
          <w:tcPr>
            <w:tcW w:w="1620" w:type="dxa"/>
          </w:tcPr>
          <w:p w14:paraId="6E052B2A"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36.37±33.34</w:t>
            </w:r>
          </w:p>
        </w:tc>
        <w:tc>
          <w:tcPr>
            <w:tcW w:w="1710" w:type="dxa"/>
            <w:hideMark/>
          </w:tcPr>
          <w:p w14:paraId="5755E2F7"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64.95±28.85</w:t>
            </w:r>
          </w:p>
          <w:p w14:paraId="14F10F8D" w14:textId="77777777" w:rsidR="004936C8" w:rsidRPr="00932F75" w:rsidRDefault="004936C8" w:rsidP="009F23CC">
            <w:pPr>
              <w:spacing w:before="240" w:line="360" w:lineRule="auto"/>
              <w:jc w:val="both"/>
              <w:rPr>
                <w:rFonts w:ascii="Times New Roman" w:hAnsi="Times New Roman" w:cs="Times New Roman"/>
              </w:rPr>
            </w:pPr>
          </w:p>
        </w:tc>
      </w:tr>
      <w:tr w:rsidR="00932F75" w:rsidRPr="00932F75" w14:paraId="66C6E932" w14:textId="77777777" w:rsidTr="009F23CC">
        <w:tc>
          <w:tcPr>
            <w:tcW w:w="1885" w:type="dxa"/>
            <w:hideMark/>
          </w:tcPr>
          <w:p w14:paraId="15C01586"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35-45years</w:t>
            </w:r>
          </w:p>
        </w:tc>
        <w:tc>
          <w:tcPr>
            <w:tcW w:w="2250" w:type="dxa"/>
            <w:hideMark/>
          </w:tcPr>
          <w:p w14:paraId="0506626A"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10.14±17.49</w:t>
            </w:r>
          </w:p>
        </w:tc>
        <w:tc>
          <w:tcPr>
            <w:tcW w:w="1890" w:type="dxa"/>
            <w:hideMark/>
          </w:tcPr>
          <w:p w14:paraId="60FA40D7"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2.55±0.29</w:t>
            </w:r>
          </w:p>
        </w:tc>
        <w:tc>
          <w:tcPr>
            <w:tcW w:w="1620" w:type="dxa"/>
            <w:hideMark/>
          </w:tcPr>
          <w:p w14:paraId="7B966B1E"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44.12±34.46</w:t>
            </w:r>
          </w:p>
        </w:tc>
        <w:tc>
          <w:tcPr>
            <w:tcW w:w="1710" w:type="dxa"/>
            <w:hideMark/>
          </w:tcPr>
          <w:p w14:paraId="54985722"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75.30±14.81</w:t>
            </w:r>
          </w:p>
          <w:p w14:paraId="7353894B" w14:textId="77777777" w:rsidR="004936C8" w:rsidRPr="00932F75" w:rsidRDefault="004936C8" w:rsidP="009F23CC">
            <w:pPr>
              <w:spacing w:before="240" w:line="360" w:lineRule="auto"/>
              <w:jc w:val="both"/>
              <w:rPr>
                <w:rFonts w:ascii="Times New Roman" w:hAnsi="Times New Roman" w:cs="Times New Roman"/>
              </w:rPr>
            </w:pPr>
          </w:p>
        </w:tc>
      </w:tr>
      <w:tr w:rsidR="00932F75" w:rsidRPr="00932F75" w14:paraId="0A4D69CE" w14:textId="77777777" w:rsidTr="009F23CC">
        <w:tc>
          <w:tcPr>
            <w:tcW w:w="1885" w:type="dxa"/>
            <w:hideMark/>
          </w:tcPr>
          <w:p w14:paraId="77ED132E"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46-56years</w:t>
            </w:r>
          </w:p>
        </w:tc>
        <w:tc>
          <w:tcPr>
            <w:tcW w:w="2250" w:type="dxa"/>
            <w:hideMark/>
          </w:tcPr>
          <w:p w14:paraId="5D05BAC1"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4.98±4.74</w:t>
            </w:r>
          </w:p>
        </w:tc>
        <w:tc>
          <w:tcPr>
            <w:tcW w:w="1890" w:type="dxa"/>
            <w:hideMark/>
          </w:tcPr>
          <w:p w14:paraId="3FDA5F72"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2.88±0.39</w:t>
            </w:r>
          </w:p>
        </w:tc>
        <w:tc>
          <w:tcPr>
            <w:tcW w:w="1620" w:type="dxa"/>
            <w:hideMark/>
          </w:tcPr>
          <w:p w14:paraId="378C7061"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44.74±28.73</w:t>
            </w:r>
          </w:p>
        </w:tc>
        <w:tc>
          <w:tcPr>
            <w:tcW w:w="1710" w:type="dxa"/>
            <w:hideMark/>
          </w:tcPr>
          <w:p w14:paraId="21C01C85"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67.72±11.57</w:t>
            </w:r>
          </w:p>
          <w:p w14:paraId="6212E7A4" w14:textId="77777777" w:rsidR="004936C8" w:rsidRPr="00932F75" w:rsidRDefault="004936C8" w:rsidP="009F23CC">
            <w:pPr>
              <w:spacing w:before="240" w:line="360" w:lineRule="auto"/>
              <w:jc w:val="both"/>
              <w:rPr>
                <w:rFonts w:ascii="Times New Roman" w:hAnsi="Times New Roman" w:cs="Times New Roman"/>
              </w:rPr>
            </w:pPr>
          </w:p>
        </w:tc>
      </w:tr>
      <w:tr w:rsidR="00932F75" w:rsidRPr="00932F75" w14:paraId="439CBEAE" w14:textId="77777777" w:rsidTr="009F23CC">
        <w:tc>
          <w:tcPr>
            <w:tcW w:w="1885" w:type="dxa"/>
          </w:tcPr>
          <w:p w14:paraId="56E0B48A"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57-67years</w:t>
            </w:r>
          </w:p>
        </w:tc>
        <w:tc>
          <w:tcPr>
            <w:tcW w:w="2250" w:type="dxa"/>
          </w:tcPr>
          <w:p w14:paraId="057AEE86"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18.02±13.94</w:t>
            </w:r>
          </w:p>
        </w:tc>
        <w:tc>
          <w:tcPr>
            <w:tcW w:w="1890" w:type="dxa"/>
          </w:tcPr>
          <w:p w14:paraId="581D3CBB"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2.66±0.27</w:t>
            </w:r>
          </w:p>
        </w:tc>
        <w:tc>
          <w:tcPr>
            <w:tcW w:w="1620" w:type="dxa"/>
          </w:tcPr>
          <w:p w14:paraId="74AFB8A8"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58.71±28.97</w:t>
            </w:r>
          </w:p>
        </w:tc>
        <w:tc>
          <w:tcPr>
            <w:tcW w:w="1710" w:type="dxa"/>
          </w:tcPr>
          <w:p w14:paraId="144C065C"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79.11±14.47</w:t>
            </w:r>
          </w:p>
        </w:tc>
      </w:tr>
      <w:tr w:rsidR="00932F75" w:rsidRPr="00932F75" w14:paraId="132B11B0" w14:textId="77777777" w:rsidTr="009F23CC">
        <w:tc>
          <w:tcPr>
            <w:tcW w:w="1885" w:type="dxa"/>
            <w:hideMark/>
          </w:tcPr>
          <w:p w14:paraId="6F4BE915"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F</w:t>
            </w:r>
          </w:p>
        </w:tc>
        <w:tc>
          <w:tcPr>
            <w:tcW w:w="2250" w:type="dxa"/>
            <w:hideMark/>
          </w:tcPr>
          <w:p w14:paraId="4E39BC98"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0.465</w:t>
            </w:r>
          </w:p>
        </w:tc>
        <w:tc>
          <w:tcPr>
            <w:tcW w:w="1890" w:type="dxa"/>
            <w:hideMark/>
          </w:tcPr>
          <w:p w14:paraId="1804F7B3"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0.677</w:t>
            </w:r>
          </w:p>
        </w:tc>
        <w:tc>
          <w:tcPr>
            <w:tcW w:w="1620" w:type="dxa"/>
            <w:hideMark/>
          </w:tcPr>
          <w:p w14:paraId="119F57C3"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1.381</w:t>
            </w:r>
          </w:p>
        </w:tc>
        <w:tc>
          <w:tcPr>
            <w:tcW w:w="1710" w:type="dxa"/>
            <w:hideMark/>
          </w:tcPr>
          <w:p w14:paraId="28F67D21"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2.777</w:t>
            </w:r>
          </w:p>
        </w:tc>
      </w:tr>
      <w:tr w:rsidR="00932F75" w:rsidRPr="00932F75" w14:paraId="0B176883" w14:textId="77777777" w:rsidTr="009F23CC">
        <w:tc>
          <w:tcPr>
            <w:tcW w:w="1885" w:type="dxa"/>
            <w:hideMark/>
          </w:tcPr>
          <w:p w14:paraId="76525757"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P-value</w:t>
            </w:r>
          </w:p>
        </w:tc>
        <w:tc>
          <w:tcPr>
            <w:tcW w:w="2250" w:type="dxa"/>
            <w:hideMark/>
          </w:tcPr>
          <w:p w14:paraId="4FED8C9B"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0.802</w:t>
            </w:r>
          </w:p>
        </w:tc>
        <w:tc>
          <w:tcPr>
            <w:tcW w:w="1890" w:type="dxa"/>
            <w:hideMark/>
          </w:tcPr>
          <w:p w14:paraId="6737F4A4"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0.641</w:t>
            </w:r>
          </w:p>
        </w:tc>
        <w:tc>
          <w:tcPr>
            <w:tcW w:w="1620" w:type="dxa"/>
            <w:hideMark/>
          </w:tcPr>
          <w:p w14:paraId="68B12BB7"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0.233</w:t>
            </w:r>
          </w:p>
        </w:tc>
        <w:tc>
          <w:tcPr>
            <w:tcW w:w="1710" w:type="dxa"/>
            <w:hideMark/>
          </w:tcPr>
          <w:p w14:paraId="6FE6FA26" w14:textId="77777777" w:rsidR="004936C8" w:rsidRPr="00932F75" w:rsidRDefault="004936C8" w:rsidP="009F23CC">
            <w:pPr>
              <w:spacing w:before="240" w:line="360" w:lineRule="auto"/>
              <w:jc w:val="both"/>
              <w:rPr>
                <w:rFonts w:ascii="Times New Roman" w:hAnsi="Times New Roman" w:cs="Times New Roman"/>
              </w:rPr>
            </w:pPr>
            <w:r w:rsidRPr="00932F75">
              <w:rPr>
                <w:rFonts w:ascii="Times New Roman" w:hAnsi="Times New Roman" w:cs="Times New Roman"/>
              </w:rPr>
              <w:t>0.019*</w:t>
            </w:r>
          </w:p>
        </w:tc>
      </w:tr>
    </w:tbl>
    <w:p w14:paraId="782011C9" w14:textId="77777777" w:rsidR="004C5E33" w:rsidRPr="00932F75" w:rsidRDefault="004C5E33" w:rsidP="004C5E33">
      <w:pPr>
        <w:pStyle w:val="NoSpacing"/>
        <w:spacing w:before="240" w:line="360" w:lineRule="auto"/>
        <w:jc w:val="both"/>
        <w:rPr>
          <w:bCs/>
          <w:i/>
        </w:rPr>
      </w:pPr>
      <w:r w:rsidRPr="00932F75">
        <w:rPr>
          <w:bCs/>
          <w:i/>
        </w:rPr>
        <w:t xml:space="preserve">*Statistically significant at p&lt;0.05. </w:t>
      </w:r>
    </w:p>
    <w:p w14:paraId="297EF425" w14:textId="77777777" w:rsidR="00323D87" w:rsidRPr="00932F75" w:rsidRDefault="004936C8" w:rsidP="00323D87">
      <w:pPr>
        <w:pStyle w:val="NoSpacing"/>
        <w:spacing w:before="240" w:line="360" w:lineRule="auto"/>
        <w:jc w:val="both"/>
      </w:pPr>
      <w:r w:rsidRPr="00932F75">
        <w:rPr>
          <w:b/>
          <w:bCs/>
        </w:rPr>
        <w:t>KEYS:</w:t>
      </w:r>
      <w:r w:rsidRPr="00932F75">
        <w:t xml:space="preserve"> IL-6: Interleukin 6 (</w:t>
      </w:r>
      <w:proofErr w:type="spellStart"/>
      <w:r w:rsidRPr="00932F75">
        <w:t>pg</w:t>
      </w:r>
      <w:proofErr w:type="spellEnd"/>
      <w:r w:rsidRPr="00932F75">
        <w:t>/ml); IL-10: Interleukin 10 (</w:t>
      </w:r>
      <w:proofErr w:type="spellStart"/>
      <w:r w:rsidRPr="00932F75">
        <w:t>pg</w:t>
      </w:r>
      <w:proofErr w:type="spellEnd"/>
      <w:r w:rsidRPr="00932F75">
        <w:t>/ml); IgG: Immunoglobulin G; IgM: Immunoglobulin M.</w:t>
      </w:r>
    </w:p>
    <w:p w14:paraId="16AB13C2" w14:textId="2059A0EA" w:rsidR="004936C8" w:rsidRPr="00932F75" w:rsidRDefault="004936C8" w:rsidP="00323D87">
      <w:pPr>
        <w:pStyle w:val="NoSpacing"/>
        <w:spacing w:before="240" w:line="360" w:lineRule="auto"/>
        <w:jc w:val="both"/>
      </w:pPr>
      <w:r w:rsidRPr="00932F75">
        <w:rPr>
          <w:b/>
          <w:sz w:val="26"/>
          <w:szCs w:val="26"/>
        </w:rPr>
        <w:t>DISCUSSION</w:t>
      </w:r>
    </w:p>
    <w:p w14:paraId="3C21B8CB" w14:textId="1BAA0C67" w:rsidR="004936C8" w:rsidRPr="00932F75" w:rsidRDefault="004936C8" w:rsidP="004936C8">
      <w:pPr>
        <w:spacing w:before="240" w:line="360" w:lineRule="auto"/>
        <w:jc w:val="both"/>
        <w:rPr>
          <w:rFonts w:ascii="Times New Roman" w:hAnsi="Times New Roman" w:cs="Times New Roman"/>
          <w:sz w:val="24"/>
          <w:szCs w:val="24"/>
        </w:rPr>
      </w:pPr>
      <w:r w:rsidRPr="00932F75">
        <w:rPr>
          <w:rFonts w:ascii="Times New Roman" w:hAnsi="Times New Roman" w:cs="Times New Roman"/>
          <w:sz w:val="24"/>
          <w:szCs w:val="24"/>
        </w:rPr>
        <w:t>Research has shown that infectious diseases are capable of interfering with the physiology and proliferation of immune cells and cytokines especially when the causative agent can circumvent immune defense mechanisms (</w:t>
      </w:r>
      <w:proofErr w:type="spellStart"/>
      <w:r w:rsidRPr="00932F75">
        <w:rPr>
          <w:rFonts w:ascii="Times New Roman" w:hAnsi="Times New Roman" w:cs="Times New Roman"/>
          <w:sz w:val="26"/>
          <w:szCs w:val="26"/>
        </w:rPr>
        <w:t>Akdogan</w:t>
      </w:r>
      <w:proofErr w:type="spellEnd"/>
      <w:r w:rsidRPr="00932F75">
        <w:rPr>
          <w:rFonts w:ascii="Times New Roman" w:hAnsi="Times New Roman" w:cs="Times New Roman"/>
          <w:sz w:val="26"/>
          <w:szCs w:val="26"/>
        </w:rPr>
        <w:t xml:space="preserve"> </w:t>
      </w:r>
      <w:r w:rsidRPr="00932F75">
        <w:rPr>
          <w:rFonts w:ascii="Times New Roman" w:hAnsi="Times New Roman" w:cs="Times New Roman"/>
          <w:i/>
          <w:sz w:val="26"/>
          <w:szCs w:val="26"/>
        </w:rPr>
        <w:t xml:space="preserve">et al., </w:t>
      </w:r>
      <w:r w:rsidRPr="00932F75">
        <w:rPr>
          <w:rFonts w:ascii="Times New Roman" w:hAnsi="Times New Roman" w:cs="Times New Roman"/>
          <w:sz w:val="26"/>
          <w:szCs w:val="26"/>
        </w:rPr>
        <w:t xml:space="preserve">2014). </w:t>
      </w:r>
      <w:r w:rsidRPr="00932F75">
        <w:rPr>
          <w:rFonts w:ascii="Times New Roman" w:hAnsi="Times New Roman" w:cs="Times New Roman"/>
          <w:sz w:val="24"/>
          <w:szCs w:val="24"/>
        </w:rPr>
        <w:t xml:space="preserve">Any alteration in the number and </w:t>
      </w:r>
      <w:r w:rsidRPr="00932F75">
        <w:rPr>
          <w:rFonts w:ascii="Times New Roman" w:hAnsi="Times New Roman" w:cs="Times New Roman"/>
          <w:sz w:val="24"/>
          <w:szCs w:val="24"/>
        </w:rPr>
        <w:lastRenderedPageBreak/>
        <w:t>physiology of the immune cells and cytokines can predispose the host cells to infectivity. The results obtained in this study showed that level of IgG and IgM increased in the serum of individuals that tested positive to the infection. The increase in the number of the immune cells could be attributed to the presence of the bacterial pathogens, which have been identified as unself. This finding corroborates</w:t>
      </w:r>
      <w:r w:rsidR="004F20B2" w:rsidRPr="00932F75">
        <w:rPr>
          <w:rFonts w:ascii="Times New Roman" w:hAnsi="Times New Roman" w:cs="Times New Roman"/>
          <w:sz w:val="24"/>
          <w:szCs w:val="24"/>
        </w:rPr>
        <w:t xml:space="preserve"> to the observation of </w:t>
      </w:r>
      <w:proofErr w:type="spellStart"/>
      <w:r w:rsidR="004F20B2" w:rsidRPr="00932F75">
        <w:rPr>
          <w:rFonts w:ascii="Times New Roman" w:hAnsi="Times New Roman" w:cs="Times New Roman"/>
          <w:sz w:val="24"/>
          <w:szCs w:val="24"/>
        </w:rPr>
        <w:t>Moyat</w:t>
      </w:r>
      <w:proofErr w:type="spellEnd"/>
      <w:r w:rsidR="004F20B2" w:rsidRPr="00932F75">
        <w:rPr>
          <w:rFonts w:ascii="Times New Roman" w:hAnsi="Times New Roman" w:cs="Times New Roman"/>
          <w:sz w:val="24"/>
          <w:szCs w:val="24"/>
        </w:rPr>
        <w:t xml:space="preserve"> and </w:t>
      </w:r>
      <w:proofErr w:type="spellStart"/>
      <w:r w:rsidR="004F20B2" w:rsidRPr="00932F75">
        <w:rPr>
          <w:rFonts w:ascii="Times New Roman" w:hAnsi="Times New Roman" w:cs="Times New Roman"/>
          <w:sz w:val="24"/>
          <w:szCs w:val="24"/>
        </w:rPr>
        <w:t>Velin</w:t>
      </w:r>
      <w:proofErr w:type="spellEnd"/>
      <w:r w:rsidR="004F20B2" w:rsidRPr="00932F75">
        <w:rPr>
          <w:rFonts w:ascii="Times New Roman" w:hAnsi="Times New Roman" w:cs="Times New Roman"/>
          <w:sz w:val="24"/>
          <w:szCs w:val="24"/>
        </w:rPr>
        <w:t xml:space="preserve"> (2014)</w:t>
      </w:r>
      <w:r w:rsidRPr="00932F75">
        <w:rPr>
          <w:rFonts w:ascii="Times New Roman" w:hAnsi="Times New Roman" w:cs="Times New Roman"/>
          <w:sz w:val="24"/>
          <w:szCs w:val="24"/>
        </w:rPr>
        <w:t xml:space="preserve"> who reported that the levels of immunological markers increased during </w:t>
      </w:r>
      <w:r w:rsidRPr="00932F75">
        <w:rPr>
          <w:rFonts w:ascii="Times New Roman" w:hAnsi="Times New Roman" w:cs="Times New Roman"/>
          <w:i/>
          <w:sz w:val="24"/>
          <w:szCs w:val="24"/>
        </w:rPr>
        <w:t>H. pylori</w:t>
      </w:r>
      <w:r w:rsidRPr="00932F75">
        <w:rPr>
          <w:rFonts w:ascii="Times New Roman" w:hAnsi="Times New Roman" w:cs="Times New Roman"/>
          <w:sz w:val="24"/>
          <w:szCs w:val="24"/>
        </w:rPr>
        <w:t xml:space="preserve"> infection. Also, the number of IgG in male was greater than the number in female while reverse was the case in the number of IgM.  The difference in the number of immunological biomarkers in male and female could be attributed to difference in the immunocompetent of the patients. It was also observed in this study that older patients recorded higher levels of the immunological biomarkers compared to the younger patie</w:t>
      </w:r>
      <w:r w:rsidR="00323D87" w:rsidRPr="00932F75">
        <w:rPr>
          <w:rFonts w:ascii="Times New Roman" w:hAnsi="Times New Roman" w:cs="Times New Roman"/>
          <w:sz w:val="24"/>
          <w:szCs w:val="24"/>
        </w:rPr>
        <w:t xml:space="preserve">nts. The </w:t>
      </w:r>
      <w:r w:rsidR="003A5D75" w:rsidRPr="00932F75">
        <w:rPr>
          <w:rFonts w:ascii="Times New Roman" w:hAnsi="Times New Roman" w:cs="Times New Roman"/>
          <w:sz w:val="24"/>
          <w:szCs w:val="24"/>
        </w:rPr>
        <w:t xml:space="preserve">difference recorded </w:t>
      </w:r>
      <w:r w:rsidRPr="00932F75">
        <w:rPr>
          <w:rFonts w:ascii="Times New Roman" w:hAnsi="Times New Roman" w:cs="Times New Roman"/>
          <w:sz w:val="24"/>
          <w:szCs w:val="24"/>
        </w:rPr>
        <w:t>could be attributed to the severity of the infecti</w:t>
      </w:r>
      <w:r w:rsidR="00081627" w:rsidRPr="00932F75">
        <w:rPr>
          <w:rFonts w:ascii="Times New Roman" w:hAnsi="Times New Roman" w:cs="Times New Roman"/>
          <w:sz w:val="24"/>
          <w:szCs w:val="24"/>
        </w:rPr>
        <w:t xml:space="preserve">on and immunocompetency of the </w:t>
      </w:r>
      <w:r w:rsidRPr="00932F75">
        <w:rPr>
          <w:rFonts w:ascii="Times New Roman" w:hAnsi="Times New Roman" w:cs="Times New Roman"/>
          <w:sz w:val="24"/>
          <w:szCs w:val="24"/>
        </w:rPr>
        <w:t xml:space="preserve">patients.  This observation corresponds to the finding of </w:t>
      </w:r>
      <w:r w:rsidRPr="00932F75">
        <w:rPr>
          <w:rFonts w:ascii="Times New Roman" w:hAnsi="Times New Roman" w:cs="Times New Roman"/>
          <w:sz w:val="26"/>
          <w:szCs w:val="26"/>
        </w:rPr>
        <w:t xml:space="preserve">Nwachukwu </w:t>
      </w:r>
      <w:r w:rsidRPr="00932F75">
        <w:rPr>
          <w:rFonts w:ascii="Times New Roman" w:hAnsi="Times New Roman" w:cs="Times New Roman"/>
          <w:i/>
          <w:sz w:val="26"/>
          <w:szCs w:val="26"/>
        </w:rPr>
        <w:t>et al</w:t>
      </w:r>
      <w:r w:rsidRPr="00932F75">
        <w:rPr>
          <w:rFonts w:ascii="Times New Roman" w:hAnsi="Times New Roman" w:cs="Times New Roman"/>
          <w:sz w:val="26"/>
          <w:szCs w:val="26"/>
        </w:rPr>
        <w:t>. (2020</w:t>
      </w:r>
      <w:r w:rsidRPr="00932F75">
        <w:rPr>
          <w:rFonts w:ascii="Times New Roman" w:hAnsi="Times New Roman" w:cs="Times New Roman"/>
          <w:sz w:val="24"/>
          <w:szCs w:val="24"/>
        </w:rPr>
        <w:t xml:space="preserve">).  </w:t>
      </w:r>
    </w:p>
    <w:p w14:paraId="74BB09E0" w14:textId="77777777" w:rsidR="004936C8" w:rsidRPr="00932F75" w:rsidRDefault="004936C8" w:rsidP="004936C8">
      <w:pPr>
        <w:spacing w:before="240" w:line="360" w:lineRule="auto"/>
        <w:jc w:val="both"/>
        <w:rPr>
          <w:rFonts w:ascii="Times New Roman" w:hAnsi="Times New Roman" w:cs="Times New Roman"/>
          <w:sz w:val="24"/>
          <w:szCs w:val="24"/>
        </w:rPr>
      </w:pPr>
      <w:r w:rsidRPr="00932F75">
        <w:rPr>
          <w:rFonts w:ascii="Times New Roman" w:hAnsi="Times New Roman" w:cs="Times New Roman"/>
          <w:sz w:val="24"/>
          <w:szCs w:val="24"/>
        </w:rPr>
        <w:t xml:space="preserve">In this study, there was a significant difference in the number of IL-6 recorded in this study compared to the observations made by other researchers (Yang </w:t>
      </w:r>
      <w:r w:rsidRPr="00932F75">
        <w:rPr>
          <w:rFonts w:ascii="Times New Roman" w:hAnsi="Times New Roman" w:cs="Times New Roman"/>
          <w:i/>
          <w:iCs/>
          <w:sz w:val="24"/>
          <w:szCs w:val="24"/>
        </w:rPr>
        <w:t xml:space="preserve">et al., </w:t>
      </w:r>
      <w:r w:rsidRPr="00932F75">
        <w:rPr>
          <w:rFonts w:ascii="Times New Roman" w:hAnsi="Times New Roman" w:cs="Times New Roman"/>
          <w:sz w:val="24"/>
          <w:szCs w:val="24"/>
        </w:rPr>
        <w:t xml:space="preserve">2017; </w:t>
      </w:r>
      <w:proofErr w:type="spellStart"/>
      <w:r w:rsidRPr="00932F75">
        <w:rPr>
          <w:rFonts w:ascii="Times New Roman" w:hAnsi="Times New Roman" w:cs="Times New Roman"/>
          <w:sz w:val="24"/>
          <w:szCs w:val="24"/>
        </w:rPr>
        <w:t>Jaroenlapnopparat</w:t>
      </w:r>
      <w:proofErr w:type="spellEnd"/>
      <w:r w:rsidRPr="00932F75">
        <w:rPr>
          <w:rFonts w:ascii="Times New Roman" w:hAnsi="Times New Roman" w:cs="Times New Roman"/>
          <w:sz w:val="24"/>
          <w:szCs w:val="24"/>
        </w:rPr>
        <w:t xml:space="preserve"> </w:t>
      </w:r>
      <w:r w:rsidRPr="00932F75">
        <w:rPr>
          <w:rFonts w:ascii="Times New Roman" w:hAnsi="Times New Roman" w:cs="Times New Roman"/>
          <w:i/>
          <w:iCs/>
          <w:sz w:val="24"/>
          <w:szCs w:val="24"/>
        </w:rPr>
        <w:t>et al.,</w:t>
      </w:r>
      <w:r w:rsidRPr="00932F75">
        <w:rPr>
          <w:rFonts w:ascii="Times New Roman" w:hAnsi="Times New Roman" w:cs="Times New Roman"/>
          <w:sz w:val="24"/>
          <w:szCs w:val="24"/>
        </w:rPr>
        <w:t xml:space="preserve"> 2022). These findings were contrary to the findings of Milic </w:t>
      </w:r>
      <w:r w:rsidRPr="00932F75">
        <w:rPr>
          <w:rFonts w:ascii="Times New Roman" w:hAnsi="Times New Roman" w:cs="Times New Roman"/>
          <w:i/>
          <w:iCs/>
          <w:sz w:val="24"/>
          <w:szCs w:val="24"/>
        </w:rPr>
        <w:t xml:space="preserve">et al., </w:t>
      </w:r>
      <w:r w:rsidRPr="00932F75">
        <w:rPr>
          <w:rFonts w:ascii="Times New Roman" w:hAnsi="Times New Roman" w:cs="Times New Roman"/>
          <w:sz w:val="24"/>
          <w:szCs w:val="24"/>
        </w:rPr>
        <w:t xml:space="preserve">(2019) where IL-6 values were significantly higher in infected </w:t>
      </w:r>
      <w:r w:rsidRPr="00932F75">
        <w:rPr>
          <w:rFonts w:ascii="Times New Roman" w:hAnsi="Times New Roman" w:cs="Times New Roman"/>
          <w:i/>
          <w:iCs/>
          <w:sz w:val="24"/>
          <w:szCs w:val="24"/>
        </w:rPr>
        <w:t xml:space="preserve">H. pylori </w:t>
      </w:r>
      <w:r w:rsidRPr="00932F75">
        <w:rPr>
          <w:rFonts w:ascii="Times New Roman" w:hAnsi="Times New Roman" w:cs="Times New Roman"/>
          <w:sz w:val="24"/>
          <w:szCs w:val="24"/>
        </w:rPr>
        <w:t xml:space="preserve">compared to non-infected and also </w:t>
      </w:r>
      <w:proofErr w:type="spellStart"/>
      <w:r w:rsidRPr="00932F75">
        <w:rPr>
          <w:rFonts w:ascii="Times New Roman" w:hAnsi="Times New Roman" w:cs="Times New Roman"/>
          <w:sz w:val="24"/>
          <w:szCs w:val="24"/>
        </w:rPr>
        <w:t>Cichoz-Lach</w:t>
      </w:r>
      <w:proofErr w:type="spellEnd"/>
      <w:r w:rsidRPr="00932F75">
        <w:rPr>
          <w:rFonts w:ascii="Times New Roman" w:hAnsi="Times New Roman" w:cs="Times New Roman"/>
          <w:sz w:val="24"/>
          <w:szCs w:val="24"/>
        </w:rPr>
        <w:t xml:space="preserve"> </w:t>
      </w:r>
      <w:r w:rsidRPr="00932F75">
        <w:rPr>
          <w:rFonts w:ascii="Times New Roman" w:hAnsi="Times New Roman" w:cs="Times New Roman"/>
          <w:i/>
          <w:iCs/>
          <w:sz w:val="24"/>
          <w:szCs w:val="24"/>
        </w:rPr>
        <w:t xml:space="preserve">et al </w:t>
      </w:r>
      <w:r w:rsidRPr="00932F75">
        <w:rPr>
          <w:rFonts w:ascii="Times New Roman" w:hAnsi="Times New Roman" w:cs="Times New Roman"/>
          <w:iCs/>
          <w:sz w:val="24"/>
          <w:szCs w:val="24"/>
        </w:rPr>
        <w:t xml:space="preserve">(--) </w:t>
      </w:r>
      <w:r w:rsidRPr="00932F75">
        <w:rPr>
          <w:rFonts w:ascii="Times New Roman" w:hAnsi="Times New Roman" w:cs="Times New Roman"/>
          <w:sz w:val="24"/>
          <w:szCs w:val="24"/>
        </w:rPr>
        <w:t xml:space="preserve">who demonstrated that </w:t>
      </w:r>
      <w:r w:rsidRPr="00932F75">
        <w:rPr>
          <w:rFonts w:ascii="Times New Roman" w:hAnsi="Times New Roman" w:cs="Times New Roman"/>
          <w:i/>
          <w:iCs/>
          <w:sz w:val="24"/>
          <w:szCs w:val="24"/>
        </w:rPr>
        <w:t xml:space="preserve">H. pylori </w:t>
      </w:r>
      <w:r w:rsidRPr="00932F75">
        <w:rPr>
          <w:rFonts w:ascii="Times New Roman" w:hAnsi="Times New Roman" w:cs="Times New Roman"/>
          <w:sz w:val="24"/>
          <w:szCs w:val="24"/>
        </w:rPr>
        <w:t xml:space="preserve">infected with erosive gastritis have higher values of IL-6 compared to matched healthy controls. The difference in the present study could be that the subjects investigated were non-gastritis patients but randomly selected healthy individuals who were in good immune status. The low secretion of IL-6 in this study could also be due to some factors such as immunomodulation by </w:t>
      </w:r>
      <w:r w:rsidRPr="00932F75">
        <w:rPr>
          <w:rFonts w:ascii="Times New Roman" w:hAnsi="Times New Roman" w:cs="Times New Roman"/>
          <w:i/>
          <w:iCs/>
          <w:sz w:val="24"/>
          <w:szCs w:val="24"/>
        </w:rPr>
        <w:t xml:space="preserve">H. pylori, </w:t>
      </w:r>
      <w:r w:rsidRPr="00932F75">
        <w:rPr>
          <w:rFonts w:ascii="Times New Roman" w:hAnsi="Times New Roman" w:cs="Times New Roman"/>
          <w:sz w:val="24"/>
          <w:szCs w:val="24"/>
        </w:rPr>
        <w:t xml:space="preserve">suppressing the production of IL-6 as a strategy for survival, eremitic factors, chronic infection such as prolonged </w:t>
      </w:r>
      <w:r w:rsidRPr="00932F75">
        <w:rPr>
          <w:rFonts w:ascii="Times New Roman" w:hAnsi="Times New Roman" w:cs="Times New Roman"/>
          <w:i/>
          <w:iCs/>
          <w:sz w:val="24"/>
          <w:szCs w:val="24"/>
        </w:rPr>
        <w:t xml:space="preserve">H. pylori </w:t>
      </w:r>
      <w:r w:rsidRPr="00932F75">
        <w:rPr>
          <w:rFonts w:ascii="Times New Roman" w:hAnsi="Times New Roman" w:cs="Times New Roman"/>
          <w:sz w:val="24"/>
          <w:szCs w:val="24"/>
        </w:rPr>
        <w:t xml:space="preserve">exposure may lead to immune system exhaustion, resulting to reduced IL-6 secretion over time. The etiology of gastritis is a complex interplay of genetic predisposition and environmental pro-inflammatory cytokines and variations in gastric acid secretion due to genetic factors significantly influence gastritis onset and progression. </w:t>
      </w:r>
    </w:p>
    <w:p w14:paraId="4676D72D" w14:textId="77777777" w:rsidR="004936C8" w:rsidRPr="00932F75" w:rsidRDefault="004936C8" w:rsidP="004936C8">
      <w:pPr>
        <w:spacing w:before="240" w:line="360" w:lineRule="auto"/>
        <w:jc w:val="both"/>
        <w:rPr>
          <w:rFonts w:ascii="Times New Roman" w:hAnsi="Times New Roman" w:cs="Times New Roman"/>
          <w:sz w:val="24"/>
          <w:szCs w:val="24"/>
          <w:shd w:val="clear" w:color="auto" w:fill="FFFFFF"/>
        </w:rPr>
      </w:pPr>
      <w:r w:rsidRPr="00932F75">
        <w:rPr>
          <w:rFonts w:ascii="Times New Roman" w:hAnsi="Times New Roman" w:cs="Times New Roman"/>
          <w:sz w:val="24"/>
          <w:szCs w:val="24"/>
        </w:rPr>
        <w:t xml:space="preserve">The pronounced roles of IL-6 in exacerbating gastric inflammation had been reported by researchers (Yang </w:t>
      </w:r>
      <w:r w:rsidRPr="00932F75">
        <w:rPr>
          <w:rFonts w:ascii="Times New Roman" w:hAnsi="Times New Roman" w:cs="Times New Roman"/>
          <w:i/>
          <w:iCs/>
          <w:sz w:val="24"/>
          <w:szCs w:val="24"/>
        </w:rPr>
        <w:t xml:space="preserve">et al., </w:t>
      </w:r>
      <w:r w:rsidRPr="00932F75">
        <w:rPr>
          <w:rFonts w:ascii="Times New Roman" w:hAnsi="Times New Roman" w:cs="Times New Roman"/>
          <w:sz w:val="24"/>
          <w:szCs w:val="24"/>
        </w:rPr>
        <w:t xml:space="preserve">2017; </w:t>
      </w:r>
      <w:proofErr w:type="spellStart"/>
      <w:r w:rsidRPr="00932F75">
        <w:rPr>
          <w:rFonts w:ascii="Times New Roman" w:hAnsi="Times New Roman" w:cs="Times New Roman"/>
          <w:sz w:val="24"/>
          <w:szCs w:val="24"/>
        </w:rPr>
        <w:t>Jaroenlapnopparat</w:t>
      </w:r>
      <w:proofErr w:type="spellEnd"/>
      <w:r w:rsidRPr="00932F75">
        <w:rPr>
          <w:rFonts w:ascii="Times New Roman" w:hAnsi="Times New Roman" w:cs="Times New Roman"/>
          <w:sz w:val="24"/>
          <w:szCs w:val="24"/>
        </w:rPr>
        <w:t xml:space="preserve"> </w:t>
      </w:r>
      <w:r w:rsidRPr="00932F75">
        <w:rPr>
          <w:rFonts w:ascii="Times New Roman" w:hAnsi="Times New Roman" w:cs="Times New Roman"/>
          <w:i/>
          <w:iCs/>
          <w:sz w:val="24"/>
          <w:szCs w:val="24"/>
        </w:rPr>
        <w:t>et al.,</w:t>
      </w:r>
      <w:r w:rsidRPr="00932F75">
        <w:rPr>
          <w:rFonts w:ascii="Times New Roman" w:hAnsi="Times New Roman" w:cs="Times New Roman"/>
          <w:sz w:val="24"/>
          <w:szCs w:val="24"/>
        </w:rPr>
        <w:t xml:space="preserve"> 2022). </w:t>
      </w:r>
      <w:r w:rsidRPr="00932F75">
        <w:rPr>
          <w:rFonts w:ascii="Times New Roman" w:hAnsi="Times New Roman" w:cs="Times New Roman"/>
          <w:sz w:val="24"/>
          <w:szCs w:val="24"/>
          <w:shd w:val="clear" w:color="auto" w:fill="FFFFFF"/>
        </w:rPr>
        <w:t xml:space="preserve">Over the years, a growing body of evidence has demonstrated that higher levels of inflammatory markers such as serum IL-6 and C-Reactive Protein (CRP) were associated with a high risk of developing Coronary Heart Disease </w:t>
      </w:r>
      <w:r w:rsidRPr="00932F75">
        <w:rPr>
          <w:rFonts w:ascii="Times New Roman" w:hAnsi="Times New Roman" w:cs="Times New Roman"/>
          <w:sz w:val="24"/>
          <w:szCs w:val="24"/>
          <w:shd w:val="clear" w:color="auto" w:fill="FFFFFF"/>
        </w:rPr>
        <w:lastRenderedPageBreak/>
        <w:t xml:space="preserve">(CHD). One systematic review showed that circulating IL-6 was associated with a high risk of cardiovascular diseases (Nakagawa </w:t>
      </w:r>
      <w:r w:rsidRPr="00932F75">
        <w:rPr>
          <w:rFonts w:ascii="Times New Roman" w:hAnsi="Times New Roman" w:cs="Times New Roman"/>
          <w:i/>
          <w:sz w:val="24"/>
          <w:szCs w:val="24"/>
          <w:shd w:val="clear" w:color="auto" w:fill="FFFFFF"/>
        </w:rPr>
        <w:t>et al</w:t>
      </w:r>
      <w:r w:rsidRPr="00932F75">
        <w:rPr>
          <w:rFonts w:ascii="Times New Roman" w:hAnsi="Times New Roman" w:cs="Times New Roman"/>
          <w:sz w:val="24"/>
          <w:szCs w:val="24"/>
          <w:shd w:val="clear" w:color="auto" w:fill="FFFFFF"/>
        </w:rPr>
        <w:t>., 2013). Although the subjects investigated in this study had serum IL-6 levels ≤ 4 </w:t>
      </w:r>
      <w:proofErr w:type="spellStart"/>
      <w:r w:rsidRPr="00932F75">
        <w:rPr>
          <w:rFonts w:ascii="Times New Roman" w:hAnsi="Times New Roman" w:cs="Times New Roman"/>
          <w:sz w:val="24"/>
          <w:szCs w:val="24"/>
          <w:shd w:val="clear" w:color="auto" w:fill="FFFFFF"/>
        </w:rPr>
        <w:t>pg</w:t>
      </w:r>
      <w:proofErr w:type="spellEnd"/>
      <w:r w:rsidRPr="00932F75">
        <w:rPr>
          <w:rFonts w:ascii="Times New Roman" w:hAnsi="Times New Roman" w:cs="Times New Roman"/>
          <w:sz w:val="24"/>
          <w:szCs w:val="24"/>
          <w:shd w:val="clear" w:color="auto" w:fill="FFFFFF"/>
        </w:rPr>
        <w:t>/mL, which is within standard values, many cohort studies had shown a significant association between IL-6 levels and the risk of CHD when IL-6 levels were within standard values.</w:t>
      </w:r>
      <w:r w:rsidRPr="00932F75">
        <w:rPr>
          <w:rStyle w:val="Emphasis"/>
          <w:rFonts w:ascii="Times New Roman" w:hAnsi="Times New Roman" w:cs="Times New Roman"/>
          <w:sz w:val="24"/>
          <w:szCs w:val="24"/>
          <w:shd w:val="clear" w:color="auto" w:fill="FFFFFF"/>
        </w:rPr>
        <w:t xml:space="preserve"> </w:t>
      </w:r>
      <w:r w:rsidRPr="00932F75">
        <w:rPr>
          <w:rFonts w:ascii="Times New Roman" w:hAnsi="Times New Roman" w:cs="Times New Roman"/>
          <w:sz w:val="24"/>
          <w:szCs w:val="24"/>
        </w:rPr>
        <w:t>IL-10, an anti-inflammatory cytokine is known to inhibit T-cell synthesis and inflammatory cytokine secretion suggesting its role in suppressing anti-</w:t>
      </w:r>
      <w:proofErr w:type="spellStart"/>
      <w:r w:rsidRPr="00932F75">
        <w:rPr>
          <w:rFonts w:ascii="Times New Roman" w:hAnsi="Times New Roman" w:cs="Times New Roman"/>
          <w:sz w:val="24"/>
          <w:szCs w:val="24"/>
        </w:rPr>
        <w:t>tumour</w:t>
      </w:r>
      <w:proofErr w:type="spellEnd"/>
      <w:r w:rsidRPr="00932F75">
        <w:rPr>
          <w:rFonts w:ascii="Times New Roman" w:hAnsi="Times New Roman" w:cs="Times New Roman"/>
          <w:sz w:val="24"/>
          <w:szCs w:val="24"/>
        </w:rPr>
        <w:t xml:space="preserve"> activity (</w:t>
      </w:r>
      <w:proofErr w:type="spellStart"/>
      <w:r w:rsidRPr="00932F75">
        <w:rPr>
          <w:rFonts w:ascii="Times New Roman" w:hAnsi="Times New Roman" w:cs="Times New Roman"/>
          <w:sz w:val="24"/>
          <w:szCs w:val="24"/>
        </w:rPr>
        <w:t>Jaroenlapnopparat</w:t>
      </w:r>
      <w:proofErr w:type="spellEnd"/>
      <w:r w:rsidRPr="00932F75">
        <w:rPr>
          <w:rFonts w:ascii="Times New Roman" w:hAnsi="Times New Roman" w:cs="Times New Roman"/>
          <w:sz w:val="24"/>
          <w:szCs w:val="24"/>
        </w:rPr>
        <w:t xml:space="preserve"> </w:t>
      </w:r>
      <w:r w:rsidRPr="00932F75">
        <w:rPr>
          <w:rFonts w:ascii="Times New Roman" w:hAnsi="Times New Roman" w:cs="Times New Roman"/>
          <w:i/>
          <w:iCs/>
          <w:sz w:val="24"/>
          <w:szCs w:val="24"/>
        </w:rPr>
        <w:t>et al.,</w:t>
      </w:r>
      <w:r w:rsidRPr="00932F75">
        <w:rPr>
          <w:rFonts w:ascii="Times New Roman" w:hAnsi="Times New Roman" w:cs="Times New Roman"/>
          <w:sz w:val="24"/>
          <w:szCs w:val="24"/>
        </w:rPr>
        <w:t xml:space="preserve"> 2022) where the values were higher in non-infected than infected subjects. The decrease could be that inflammatory response triggered by </w:t>
      </w:r>
      <w:r w:rsidRPr="00932F75">
        <w:rPr>
          <w:rFonts w:ascii="Times New Roman" w:hAnsi="Times New Roman" w:cs="Times New Roman"/>
          <w:i/>
          <w:iCs/>
          <w:sz w:val="24"/>
          <w:szCs w:val="24"/>
        </w:rPr>
        <w:t xml:space="preserve">H. pylori </w:t>
      </w:r>
      <w:r w:rsidRPr="00932F75">
        <w:rPr>
          <w:rFonts w:ascii="Times New Roman" w:hAnsi="Times New Roman" w:cs="Times New Roman"/>
          <w:sz w:val="24"/>
          <w:szCs w:val="24"/>
        </w:rPr>
        <w:t xml:space="preserve">in the stomach mucosa may suppress the production of IL-10, leading to lower levels. Immunomodulation by </w:t>
      </w:r>
      <w:r w:rsidRPr="00932F75">
        <w:rPr>
          <w:rFonts w:ascii="Times New Roman" w:hAnsi="Times New Roman" w:cs="Times New Roman"/>
          <w:i/>
          <w:iCs/>
          <w:sz w:val="24"/>
          <w:szCs w:val="24"/>
        </w:rPr>
        <w:t xml:space="preserve">H. pylori </w:t>
      </w:r>
      <w:r w:rsidRPr="00932F75">
        <w:rPr>
          <w:rFonts w:ascii="Times New Roman" w:hAnsi="Times New Roman" w:cs="Times New Roman"/>
          <w:sz w:val="24"/>
          <w:szCs w:val="24"/>
        </w:rPr>
        <w:t xml:space="preserve">can manipulate the host immune response to </w:t>
      </w:r>
      <w:proofErr w:type="spellStart"/>
      <w:r w:rsidRPr="00932F75">
        <w:rPr>
          <w:rFonts w:ascii="Times New Roman" w:hAnsi="Times New Roman" w:cs="Times New Roman"/>
          <w:sz w:val="24"/>
          <w:szCs w:val="24"/>
        </w:rPr>
        <w:t>favour</w:t>
      </w:r>
      <w:proofErr w:type="spellEnd"/>
      <w:r w:rsidRPr="00932F75">
        <w:rPr>
          <w:rFonts w:ascii="Times New Roman" w:hAnsi="Times New Roman" w:cs="Times New Roman"/>
          <w:sz w:val="24"/>
          <w:szCs w:val="24"/>
        </w:rPr>
        <w:t xml:space="preserve"> its survival by down-regulating the production of anti-inflammatory cytokines such as IL-10. Other factors that could be responsible for the decrease are genetic factors, microenvironment in the stomach which can be influenced by factors such as diet, microbiota composition, and the presence of other infections that can affect production of IL-10 and other cytokines. Moreover, duration and severity of </w:t>
      </w:r>
      <w:r w:rsidRPr="00932F75">
        <w:rPr>
          <w:rFonts w:ascii="Times New Roman" w:hAnsi="Times New Roman" w:cs="Times New Roman"/>
          <w:i/>
          <w:iCs/>
          <w:sz w:val="24"/>
          <w:szCs w:val="24"/>
        </w:rPr>
        <w:t xml:space="preserve">H. pylori </w:t>
      </w:r>
      <w:r w:rsidRPr="00932F75">
        <w:rPr>
          <w:rFonts w:ascii="Times New Roman" w:hAnsi="Times New Roman" w:cs="Times New Roman"/>
          <w:iCs/>
          <w:sz w:val="24"/>
          <w:szCs w:val="24"/>
        </w:rPr>
        <w:t xml:space="preserve">infection </w:t>
      </w:r>
      <w:r w:rsidRPr="00932F75">
        <w:rPr>
          <w:rFonts w:ascii="Times New Roman" w:hAnsi="Times New Roman" w:cs="Times New Roman"/>
          <w:sz w:val="24"/>
          <w:szCs w:val="24"/>
        </w:rPr>
        <w:t>may lead to dysregulation of the immune response, resulting to lower IL-10 levels over time.</w:t>
      </w:r>
    </w:p>
    <w:p w14:paraId="5829BC7A" w14:textId="77777777" w:rsidR="004936C8" w:rsidRPr="00932F75" w:rsidRDefault="004936C8" w:rsidP="004936C8">
      <w:pPr>
        <w:spacing w:before="240" w:line="360" w:lineRule="auto"/>
        <w:jc w:val="both"/>
        <w:rPr>
          <w:rFonts w:ascii="Times New Roman" w:hAnsi="Times New Roman" w:cs="Times New Roman"/>
          <w:b/>
          <w:sz w:val="24"/>
          <w:szCs w:val="24"/>
        </w:rPr>
      </w:pPr>
      <w:r w:rsidRPr="00932F75">
        <w:rPr>
          <w:rFonts w:ascii="Times New Roman" w:hAnsi="Times New Roman" w:cs="Times New Roman"/>
          <w:b/>
          <w:sz w:val="24"/>
          <w:szCs w:val="24"/>
        </w:rPr>
        <w:t xml:space="preserve"> Conclusion</w:t>
      </w:r>
    </w:p>
    <w:p w14:paraId="54307A12" w14:textId="77777777" w:rsidR="004936C8" w:rsidRPr="00932F75" w:rsidRDefault="004936C8" w:rsidP="004936C8">
      <w:pPr>
        <w:spacing w:before="240" w:line="360" w:lineRule="auto"/>
        <w:jc w:val="both"/>
        <w:rPr>
          <w:rFonts w:ascii="Times New Roman" w:hAnsi="Times New Roman" w:cs="Times New Roman"/>
          <w:sz w:val="24"/>
          <w:szCs w:val="24"/>
        </w:rPr>
      </w:pPr>
      <w:r w:rsidRPr="00932F75">
        <w:rPr>
          <w:rFonts w:ascii="Times New Roman" w:hAnsi="Times New Roman" w:cs="Times New Roman"/>
          <w:sz w:val="24"/>
          <w:szCs w:val="24"/>
        </w:rPr>
        <w:t xml:space="preserve">This study has shown that </w:t>
      </w:r>
      <w:r w:rsidRPr="00932F75">
        <w:rPr>
          <w:rFonts w:ascii="Times New Roman" w:hAnsi="Times New Roman" w:cs="Times New Roman"/>
          <w:i/>
          <w:sz w:val="24"/>
          <w:szCs w:val="24"/>
        </w:rPr>
        <w:t>H. pylori</w:t>
      </w:r>
      <w:r w:rsidRPr="00932F75">
        <w:rPr>
          <w:rFonts w:ascii="Times New Roman" w:hAnsi="Times New Roman" w:cs="Times New Roman"/>
          <w:sz w:val="24"/>
          <w:szCs w:val="24"/>
        </w:rPr>
        <w:t xml:space="preserve"> infection causes an increase in the levels of immunological biomarkers such as IgG and IgM, while the levels of interleukin 6 and interleukin10 drastically reduced in the serum of individuals infected, especially in older male.</w:t>
      </w:r>
    </w:p>
    <w:p w14:paraId="62C7F800" w14:textId="77777777" w:rsidR="004936C8" w:rsidRPr="00932F75" w:rsidRDefault="004936C8" w:rsidP="004936C8">
      <w:pPr>
        <w:spacing w:before="240" w:line="360" w:lineRule="auto"/>
        <w:jc w:val="both"/>
        <w:rPr>
          <w:rFonts w:ascii="Times New Roman" w:hAnsi="Times New Roman" w:cs="Times New Roman"/>
          <w:sz w:val="24"/>
          <w:szCs w:val="24"/>
        </w:rPr>
      </w:pPr>
    </w:p>
    <w:p w14:paraId="2C8214AF" w14:textId="77777777" w:rsidR="004936C8" w:rsidRPr="00932F75" w:rsidRDefault="004936C8" w:rsidP="004936C8">
      <w:pPr>
        <w:spacing w:before="240" w:line="360" w:lineRule="auto"/>
        <w:jc w:val="both"/>
        <w:rPr>
          <w:rFonts w:ascii="Times New Roman" w:hAnsi="Times New Roman" w:cs="Times New Roman"/>
          <w:sz w:val="26"/>
          <w:szCs w:val="26"/>
        </w:rPr>
      </w:pPr>
      <w:r w:rsidRPr="00932F75">
        <w:rPr>
          <w:rFonts w:ascii="Times New Roman" w:hAnsi="Times New Roman" w:cs="Times New Roman"/>
          <w:b/>
          <w:sz w:val="26"/>
          <w:szCs w:val="26"/>
        </w:rPr>
        <w:t xml:space="preserve"> REFERENCES</w:t>
      </w:r>
    </w:p>
    <w:p w14:paraId="15603AA5" w14:textId="77777777" w:rsidR="004936C8" w:rsidRPr="00932F75" w:rsidRDefault="004936C8" w:rsidP="004936C8">
      <w:pPr>
        <w:spacing w:before="240" w:after="240" w:line="240" w:lineRule="auto"/>
        <w:ind w:left="850" w:hangingChars="327" w:hanging="850"/>
        <w:jc w:val="both"/>
        <w:rPr>
          <w:sz w:val="26"/>
          <w:szCs w:val="26"/>
        </w:rPr>
      </w:pPr>
      <w:proofErr w:type="spellStart"/>
      <w:r w:rsidRPr="00932F75">
        <w:rPr>
          <w:sz w:val="26"/>
          <w:szCs w:val="26"/>
        </w:rPr>
        <w:t>Akdogan</w:t>
      </w:r>
      <w:proofErr w:type="spellEnd"/>
      <w:r w:rsidRPr="00932F75">
        <w:rPr>
          <w:sz w:val="26"/>
          <w:szCs w:val="26"/>
        </w:rPr>
        <w:t xml:space="preserve">, R. A., Ozgur, O., </w:t>
      </w:r>
      <w:proofErr w:type="spellStart"/>
      <w:r w:rsidRPr="00932F75">
        <w:rPr>
          <w:sz w:val="26"/>
          <w:szCs w:val="26"/>
        </w:rPr>
        <w:t>Gucuyeter</w:t>
      </w:r>
      <w:proofErr w:type="spellEnd"/>
      <w:r w:rsidRPr="00932F75">
        <w:rPr>
          <w:sz w:val="26"/>
          <w:szCs w:val="26"/>
        </w:rPr>
        <w:t xml:space="preserve">, S., </w:t>
      </w:r>
      <w:proofErr w:type="spellStart"/>
      <w:r w:rsidRPr="00932F75">
        <w:rPr>
          <w:sz w:val="26"/>
          <w:szCs w:val="26"/>
        </w:rPr>
        <w:t>Kaklikkaya</w:t>
      </w:r>
      <w:proofErr w:type="spellEnd"/>
      <w:r w:rsidRPr="00932F75">
        <w:rPr>
          <w:sz w:val="26"/>
          <w:szCs w:val="26"/>
        </w:rPr>
        <w:t xml:space="preserve">, N., Cobanoglu, U., Aydin, F. A (2014). Pilot Study of </w:t>
      </w:r>
      <w:r w:rsidRPr="00932F75">
        <w:rPr>
          <w:i/>
          <w:sz w:val="26"/>
          <w:szCs w:val="26"/>
        </w:rPr>
        <w:t>Helicobacter Pylori</w:t>
      </w:r>
      <w:r w:rsidRPr="00932F75">
        <w:rPr>
          <w:sz w:val="26"/>
          <w:szCs w:val="26"/>
        </w:rPr>
        <w:t xml:space="preserve"> Genotypes and Cytokine Gene Polymorphisms in Reflux </w:t>
      </w:r>
      <w:proofErr w:type="spellStart"/>
      <w:r w:rsidRPr="00932F75">
        <w:rPr>
          <w:sz w:val="26"/>
          <w:szCs w:val="26"/>
        </w:rPr>
        <w:t>Oesophagitis</w:t>
      </w:r>
      <w:proofErr w:type="spellEnd"/>
      <w:r w:rsidRPr="00932F75">
        <w:rPr>
          <w:sz w:val="26"/>
          <w:szCs w:val="26"/>
        </w:rPr>
        <w:t xml:space="preserve"> and Peptic Ulcer Disease. </w:t>
      </w:r>
      <w:proofErr w:type="spellStart"/>
      <w:r w:rsidRPr="00932F75">
        <w:rPr>
          <w:i/>
          <w:sz w:val="26"/>
          <w:szCs w:val="26"/>
        </w:rPr>
        <w:t>Bratislavske</w:t>
      </w:r>
      <w:proofErr w:type="spellEnd"/>
      <w:r w:rsidRPr="00932F75">
        <w:rPr>
          <w:i/>
          <w:sz w:val="26"/>
          <w:szCs w:val="26"/>
        </w:rPr>
        <w:t xml:space="preserve"> </w:t>
      </w:r>
      <w:proofErr w:type="spellStart"/>
      <w:r w:rsidRPr="00932F75">
        <w:rPr>
          <w:i/>
          <w:sz w:val="26"/>
          <w:szCs w:val="26"/>
        </w:rPr>
        <w:t>Lekarske</w:t>
      </w:r>
      <w:proofErr w:type="spellEnd"/>
      <w:r w:rsidRPr="00932F75">
        <w:rPr>
          <w:i/>
          <w:sz w:val="26"/>
          <w:szCs w:val="26"/>
        </w:rPr>
        <w:t xml:space="preserve"> </w:t>
      </w:r>
      <w:proofErr w:type="spellStart"/>
      <w:r w:rsidRPr="00932F75">
        <w:rPr>
          <w:i/>
          <w:sz w:val="26"/>
          <w:szCs w:val="26"/>
        </w:rPr>
        <w:t>Listy</w:t>
      </w:r>
      <w:proofErr w:type="spellEnd"/>
      <w:r w:rsidRPr="00932F75">
        <w:rPr>
          <w:i/>
          <w:sz w:val="26"/>
          <w:szCs w:val="26"/>
        </w:rPr>
        <w:t xml:space="preserve"> </w:t>
      </w:r>
      <w:r w:rsidRPr="00932F75">
        <w:rPr>
          <w:b/>
          <w:sz w:val="26"/>
          <w:szCs w:val="26"/>
        </w:rPr>
        <w:t>115:</w:t>
      </w:r>
      <w:r w:rsidRPr="00932F75">
        <w:rPr>
          <w:sz w:val="26"/>
          <w:szCs w:val="26"/>
        </w:rPr>
        <w:t xml:space="preserve"> 221–228.</w:t>
      </w:r>
    </w:p>
    <w:p w14:paraId="27B680D8" w14:textId="77777777" w:rsidR="004936C8" w:rsidRPr="00932F75" w:rsidRDefault="004936C8" w:rsidP="004936C8">
      <w:pPr>
        <w:spacing w:before="240" w:after="240" w:line="240" w:lineRule="auto"/>
        <w:ind w:left="850" w:hangingChars="327" w:hanging="850"/>
        <w:jc w:val="both"/>
        <w:rPr>
          <w:sz w:val="26"/>
          <w:szCs w:val="26"/>
        </w:rPr>
      </w:pPr>
      <w:r w:rsidRPr="00932F75">
        <w:rPr>
          <w:sz w:val="26"/>
          <w:szCs w:val="26"/>
        </w:rPr>
        <w:t xml:space="preserve">Alexandra, L. C., Adriana, M., Dana, C. Z., Ovidiu, P., Luminita, E., Florina, M. and Simona, C. (2022). Evolution of Diagnostic Methods for </w:t>
      </w:r>
      <w:r w:rsidRPr="00932F75">
        <w:rPr>
          <w:i/>
          <w:sz w:val="26"/>
          <w:szCs w:val="26"/>
        </w:rPr>
        <w:t>Helicobacter pylori</w:t>
      </w:r>
      <w:r w:rsidRPr="00932F75">
        <w:rPr>
          <w:sz w:val="26"/>
          <w:szCs w:val="26"/>
        </w:rPr>
        <w:t xml:space="preserve"> Infections: From Traditional Tests to High Technology, Advanced Sensitivity and Discrimination Tools. </w:t>
      </w:r>
      <w:r w:rsidRPr="00932F75">
        <w:rPr>
          <w:i/>
          <w:sz w:val="26"/>
          <w:szCs w:val="26"/>
        </w:rPr>
        <w:t>Diagnostics</w:t>
      </w:r>
      <w:r w:rsidRPr="00932F75">
        <w:rPr>
          <w:sz w:val="26"/>
          <w:szCs w:val="26"/>
        </w:rPr>
        <w:t xml:space="preserve"> </w:t>
      </w:r>
      <w:r w:rsidRPr="00932F75">
        <w:rPr>
          <w:b/>
          <w:sz w:val="26"/>
          <w:szCs w:val="26"/>
        </w:rPr>
        <w:t>12</w:t>
      </w:r>
      <w:r w:rsidRPr="00932F75">
        <w:rPr>
          <w:sz w:val="26"/>
          <w:szCs w:val="26"/>
        </w:rPr>
        <w:t>(2): 508.</w:t>
      </w:r>
    </w:p>
    <w:p w14:paraId="1F799B17" w14:textId="77777777" w:rsidR="004936C8" w:rsidRPr="00932F75" w:rsidRDefault="004936C8" w:rsidP="004936C8">
      <w:pPr>
        <w:spacing w:before="240" w:after="240" w:line="240" w:lineRule="auto"/>
        <w:ind w:left="850" w:hangingChars="327" w:hanging="850"/>
        <w:jc w:val="both"/>
        <w:rPr>
          <w:sz w:val="26"/>
          <w:szCs w:val="26"/>
        </w:rPr>
      </w:pPr>
      <w:r w:rsidRPr="00932F75">
        <w:rPr>
          <w:sz w:val="26"/>
          <w:szCs w:val="26"/>
        </w:rPr>
        <w:lastRenderedPageBreak/>
        <w:t xml:space="preserve"> </w:t>
      </w:r>
      <w:proofErr w:type="spellStart"/>
      <w:r w:rsidRPr="00932F75">
        <w:rPr>
          <w:sz w:val="26"/>
          <w:szCs w:val="26"/>
        </w:rPr>
        <w:t>Alfarouk</w:t>
      </w:r>
      <w:proofErr w:type="spellEnd"/>
      <w:r w:rsidRPr="00932F75">
        <w:rPr>
          <w:sz w:val="26"/>
          <w:szCs w:val="26"/>
        </w:rPr>
        <w:t xml:space="preserve">, K. O., Bashir, A. H. H., </w:t>
      </w:r>
      <w:proofErr w:type="spellStart"/>
      <w:r w:rsidRPr="00932F75">
        <w:rPr>
          <w:sz w:val="26"/>
          <w:szCs w:val="26"/>
        </w:rPr>
        <w:t>Aljarbou</w:t>
      </w:r>
      <w:proofErr w:type="spellEnd"/>
      <w:r w:rsidRPr="00932F75">
        <w:rPr>
          <w:sz w:val="26"/>
          <w:szCs w:val="26"/>
        </w:rPr>
        <w:t xml:space="preserve">, A. N., Ramadan, A. M., </w:t>
      </w:r>
      <w:proofErr w:type="spellStart"/>
      <w:r w:rsidRPr="00932F75">
        <w:rPr>
          <w:sz w:val="26"/>
          <w:szCs w:val="26"/>
        </w:rPr>
        <w:t>Muddathir</w:t>
      </w:r>
      <w:proofErr w:type="spellEnd"/>
      <w:r w:rsidRPr="00932F75">
        <w:rPr>
          <w:sz w:val="26"/>
          <w:szCs w:val="26"/>
        </w:rPr>
        <w:t xml:space="preserve">, A. K., </w:t>
      </w:r>
      <w:proofErr w:type="spellStart"/>
      <w:r w:rsidRPr="00932F75">
        <w:rPr>
          <w:sz w:val="26"/>
          <w:szCs w:val="26"/>
        </w:rPr>
        <w:t>AlHoufie</w:t>
      </w:r>
      <w:proofErr w:type="spellEnd"/>
      <w:r w:rsidRPr="00932F75">
        <w:rPr>
          <w:sz w:val="26"/>
          <w:szCs w:val="26"/>
        </w:rPr>
        <w:t xml:space="preserve">, S. T. S., </w:t>
      </w:r>
      <w:proofErr w:type="spellStart"/>
      <w:r w:rsidRPr="00932F75">
        <w:rPr>
          <w:sz w:val="26"/>
          <w:szCs w:val="26"/>
        </w:rPr>
        <w:t>Hifny</w:t>
      </w:r>
      <w:proofErr w:type="spellEnd"/>
      <w:r w:rsidRPr="00932F75">
        <w:rPr>
          <w:sz w:val="26"/>
          <w:szCs w:val="26"/>
        </w:rPr>
        <w:t xml:space="preserve">, A., Elhassan, G. O., Ibrahim, M. E., Alqahtani, S. S., </w:t>
      </w:r>
      <w:proofErr w:type="spellStart"/>
      <w:r w:rsidRPr="00932F75">
        <w:rPr>
          <w:sz w:val="26"/>
          <w:szCs w:val="26"/>
        </w:rPr>
        <w:t>AlSharari</w:t>
      </w:r>
      <w:proofErr w:type="spellEnd"/>
      <w:r w:rsidRPr="00932F75">
        <w:rPr>
          <w:sz w:val="26"/>
          <w:szCs w:val="26"/>
        </w:rPr>
        <w:t xml:space="preserve">, S. D., </w:t>
      </w:r>
      <w:proofErr w:type="spellStart"/>
      <w:r w:rsidRPr="00932F75">
        <w:rPr>
          <w:sz w:val="26"/>
          <w:szCs w:val="26"/>
        </w:rPr>
        <w:t>Supuran</w:t>
      </w:r>
      <w:proofErr w:type="spellEnd"/>
      <w:r w:rsidRPr="00932F75">
        <w:rPr>
          <w:sz w:val="26"/>
          <w:szCs w:val="26"/>
        </w:rPr>
        <w:t xml:space="preserve">, C. T., Rauch, C., Cardone, R. A., </w:t>
      </w:r>
      <w:proofErr w:type="spellStart"/>
      <w:r w:rsidRPr="00932F75">
        <w:rPr>
          <w:sz w:val="26"/>
          <w:szCs w:val="26"/>
        </w:rPr>
        <w:t>Reshkin</w:t>
      </w:r>
      <w:proofErr w:type="spellEnd"/>
      <w:r w:rsidRPr="00932F75">
        <w:rPr>
          <w:sz w:val="26"/>
          <w:szCs w:val="26"/>
        </w:rPr>
        <w:t xml:space="preserve">, S. J., Fais, S. and </w:t>
      </w:r>
      <w:proofErr w:type="spellStart"/>
      <w:r w:rsidRPr="00932F75">
        <w:rPr>
          <w:sz w:val="26"/>
          <w:szCs w:val="26"/>
        </w:rPr>
        <w:t>Harguindey</w:t>
      </w:r>
      <w:proofErr w:type="spellEnd"/>
      <w:r w:rsidRPr="00932F75">
        <w:rPr>
          <w:sz w:val="26"/>
          <w:szCs w:val="26"/>
        </w:rPr>
        <w:t xml:space="preserve">, S. (2019). The Possible Roles of </w:t>
      </w:r>
      <w:r w:rsidRPr="00932F75">
        <w:rPr>
          <w:i/>
          <w:sz w:val="26"/>
          <w:szCs w:val="26"/>
        </w:rPr>
        <w:t>Helicobacter pylori</w:t>
      </w:r>
      <w:r w:rsidRPr="00932F75">
        <w:rPr>
          <w:sz w:val="26"/>
          <w:szCs w:val="26"/>
        </w:rPr>
        <w:t xml:space="preserve"> in Gastric Cancer and its Management. </w:t>
      </w:r>
      <w:r w:rsidRPr="00932F75">
        <w:rPr>
          <w:i/>
          <w:sz w:val="26"/>
          <w:szCs w:val="26"/>
        </w:rPr>
        <w:t>Frontiers in Oncology</w:t>
      </w:r>
      <w:r w:rsidRPr="00932F75">
        <w:rPr>
          <w:b/>
          <w:sz w:val="26"/>
          <w:szCs w:val="26"/>
        </w:rPr>
        <w:t xml:space="preserve"> 9</w:t>
      </w:r>
      <w:r w:rsidRPr="00932F75">
        <w:rPr>
          <w:sz w:val="26"/>
          <w:szCs w:val="26"/>
        </w:rPr>
        <w:t>: 75.</w:t>
      </w:r>
    </w:p>
    <w:p w14:paraId="173F72D0" w14:textId="77777777" w:rsidR="004936C8" w:rsidRPr="00932F75" w:rsidRDefault="004936C8" w:rsidP="004936C8">
      <w:pPr>
        <w:spacing w:before="240" w:after="240" w:line="240" w:lineRule="auto"/>
        <w:ind w:left="780" w:hangingChars="300" w:hanging="780"/>
        <w:jc w:val="both"/>
        <w:rPr>
          <w:sz w:val="26"/>
          <w:szCs w:val="26"/>
          <w:u w:val="single"/>
        </w:rPr>
      </w:pPr>
      <w:r w:rsidRPr="00932F75">
        <w:rPr>
          <w:rFonts w:ascii="Times New Roman" w:hAnsi="Times New Roman" w:cs="Times New Roman"/>
          <w:sz w:val="26"/>
          <w:szCs w:val="26"/>
        </w:rPr>
        <w:t xml:space="preserve"> </w:t>
      </w:r>
      <w:r w:rsidRPr="00932F75">
        <w:rPr>
          <w:sz w:val="26"/>
          <w:szCs w:val="26"/>
        </w:rPr>
        <w:t xml:space="preserve">Borka, B. R., </w:t>
      </w:r>
      <w:proofErr w:type="spellStart"/>
      <w:r w:rsidRPr="00932F75">
        <w:rPr>
          <w:sz w:val="26"/>
          <w:szCs w:val="26"/>
        </w:rPr>
        <w:t>Meliț</w:t>
      </w:r>
      <w:proofErr w:type="spellEnd"/>
      <w:r w:rsidRPr="00932F75">
        <w:rPr>
          <w:sz w:val="26"/>
          <w:szCs w:val="26"/>
        </w:rPr>
        <w:t xml:space="preserve">, L. E., and </w:t>
      </w:r>
      <w:proofErr w:type="spellStart"/>
      <w:r w:rsidRPr="00932F75">
        <w:rPr>
          <w:sz w:val="26"/>
          <w:szCs w:val="26"/>
        </w:rPr>
        <w:t>Mărginean</w:t>
      </w:r>
      <w:proofErr w:type="spellEnd"/>
      <w:r w:rsidRPr="00932F75">
        <w:rPr>
          <w:sz w:val="26"/>
          <w:szCs w:val="26"/>
        </w:rPr>
        <w:t xml:space="preserve">, C. O. (2022). Worldwide Prevalence and Risk Factors of </w:t>
      </w:r>
      <w:r w:rsidRPr="00932F75">
        <w:rPr>
          <w:i/>
          <w:iCs/>
          <w:sz w:val="26"/>
          <w:szCs w:val="26"/>
        </w:rPr>
        <w:t>Helicobacter pylori</w:t>
      </w:r>
      <w:r w:rsidRPr="00932F75">
        <w:rPr>
          <w:sz w:val="26"/>
          <w:szCs w:val="26"/>
        </w:rPr>
        <w:t xml:space="preserve"> Infection in Children. </w:t>
      </w:r>
      <w:r w:rsidRPr="00932F75">
        <w:rPr>
          <w:i/>
          <w:iCs/>
          <w:sz w:val="26"/>
          <w:szCs w:val="26"/>
        </w:rPr>
        <w:t>Children (Basel, Switzerland)</w:t>
      </w:r>
      <w:r w:rsidRPr="00932F75">
        <w:rPr>
          <w:sz w:val="26"/>
          <w:szCs w:val="26"/>
        </w:rPr>
        <w:t xml:space="preserve"> </w:t>
      </w:r>
      <w:r w:rsidRPr="00932F75">
        <w:rPr>
          <w:b/>
          <w:iCs/>
          <w:sz w:val="26"/>
          <w:szCs w:val="26"/>
        </w:rPr>
        <w:t>9</w:t>
      </w:r>
      <w:r w:rsidRPr="00932F75">
        <w:rPr>
          <w:sz w:val="26"/>
          <w:szCs w:val="26"/>
        </w:rPr>
        <w:t>(9):1359.</w:t>
      </w:r>
    </w:p>
    <w:p w14:paraId="7824448A" w14:textId="77777777" w:rsidR="004936C8" w:rsidRPr="00932F75" w:rsidRDefault="004936C8" w:rsidP="004936C8">
      <w:pPr>
        <w:spacing w:before="240" w:after="240" w:line="240" w:lineRule="auto"/>
        <w:ind w:left="780" w:hangingChars="300" w:hanging="780"/>
        <w:jc w:val="both"/>
        <w:rPr>
          <w:sz w:val="26"/>
          <w:szCs w:val="26"/>
          <w:u w:val="single"/>
        </w:rPr>
      </w:pPr>
      <w:r w:rsidRPr="00932F75">
        <w:rPr>
          <w:sz w:val="26"/>
          <w:szCs w:val="26"/>
        </w:rPr>
        <w:t xml:space="preserve">Charitos, I.A., D’Agostino, D., Topi, S., and Bottalico, L. (2021). 40 Years of </w:t>
      </w:r>
      <w:r w:rsidRPr="00932F75">
        <w:rPr>
          <w:i/>
          <w:iCs/>
          <w:sz w:val="26"/>
          <w:szCs w:val="26"/>
        </w:rPr>
        <w:t>Helicobacter pylori</w:t>
      </w:r>
      <w:r w:rsidRPr="00932F75">
        <w:rPr>
          <w:sz w:val="26"/>
          <w:szCs w:val="26"/>
        </w:rPr>
        <w:t xml:space="preserve">: A Revolution in Biomedical Thought. </w:t>
      </w:r>
      <w:r w:rsidRPr="00932F75">
        <w:rPr>
          <w:rStyle w:val="Emphasis"/>
          <w:sz w:val="26"/>
          <w:szCs w:val="26"/>
        </w:rPr>
        <w:t xml:space="preserve">Gastroenterology Insights </w:t>
      </w:r>
      <w:r w:rsidRPr="00932F75">
        <w:rPr>
          <w:b/>
          <w:sz w:val="26"/>
          <w:szCs w:val="26"/>
        </w:rPr>
        <w:t>12</w:t>
      </w:r>
      <w:r w:rsidRPr="00932F75">
        <w:rPr>
          <w:sz w:val="26"/>
          <w:szCs w:val="26"/>
        </w:rPr>
        <w:t xml:space="preserve">(2): 111 – 135. </w:t>
      </w:r>
    </w:p>
    <w:p w14:paraId="22665E11" w14:textId="77777777" w:rsidR="004936C8" w:rsidRPr="00932F75" w:rsidRDefault="004936C8" w:rsidP="004936C8">
      <w:pPr>
        <w:spacing w:before="240" w:after="240" w:line="240" w:lineRule="auto"/>
        <w:ind w:left="850" w:hangingChars="327" w:hanging="850"/>
        <w:jc w:val="both"/>
        <w:rPr>
          <w:sz w:val="26"/>
          <w:szCs w:val="26"/>
          <w:u w:val="single"/>
        </w:rPr>
      </w:pPr>
      <w:r w:rsidRPr="00932F75">
        <w:rPr>
          <w:sz w:val="26"/>
          <w:szCs w:val="26"/>
        </w:rPr>
        <w:t xml:space="preserve">Che, T.H., Nguyen, T.C., Vu, V.N.T., Nguyen, H.T., Hoang, D.T.P., Ngo, X.M., Truong, D.Q., </w:t>
      </w:r>
      <w:proofErr w:type="spellStart"/>
      <w:r w:rsidRPr="00932F75">
        <w:rPr>
          <w:sz w:val="26"/>
          <w:szCs w:val="26"/>
        </w:rPr>
        <w:t>Bontems</w:t>
      </w:r>
      <w:proofErr w:type="spellEnd"/>
      <w:r w:rsidRPr="00932F75">
        <w:rPr>
          <w:sz w:val="26"/>
          <w:szCs w:val="26"/>
        </w:rPr>
        <w:t xml:space="preserve">, P., Robert, A. and Nguyen, P.N.V. (2023). Factors Associated with </w:t>
      </w:r>
      <w:r w:rsidRPr="00932F75">
        <w:rPr>
          <w:rStyle w:val="Emphasis"/>
          <w:sz w:val="26"/>
          <w:szCs w:val="26"/>
        </w:rPr>
        <w:t>Helicobacter pylori</w:t>
      </w:r>
      <w:r w:rsidRPr="00932F75">
        <w:rPr>
          <w:sz w:val="26"/>
          <w:szCs w:val="26"/>
        </w:rPr>
        <w:t xml:space="preserve"> Infection Among School-Aged Children from a High Prevalence Area in Vietnam. </w:t>
      </w:r>
      <w:r w:rsidRPr="00932F75">
        <w:rPr>
          <w:rStyle w:val="Emphasis"/>
          <w:sz w:val="26"/>
          <w:szCs w:val="26"/>
        </w:rPr>
        <w:t>International Journal of Public Health</w:t>
      </w:r>
      <w:r w:rsidRPr="00932F75">
        <w:rPr>
          <w:sz w:val="26"/>
          <w:szCs w:val="26"/>
        </w:rPr>
        <w:t xml:space="preserve"> </w:t>
      </w:r>
      <w:r w:rsidRPr="00932F75">
        <w:rPr>
          <w:b/>
          <w:sz w:val="26"/>
          <w:szCs w:val="26"/>
        </w:rPr>
        <w:t>68</w:t>
      </w:r>
      <w:r w:rsidRPr="00932F75">
        <w:rPr>
          <w:sz w:val="26"/>
          <w:szCs w:val="26"/>
        </w:rPr>
        <w:t xml:space="preserve">: 1605 – 1908. </w:t>
      </w:r>
    </w:p>
    <w:p w14:paraId="4C33766F" w14:textId="77777777" w:rsidR="004936C8" w:rsidRPr="00932F75" w:rsidRDefault="004936C8" w:rsidP="004936C8">
      <w:pPr>
        <w:spacing w:before="240" w:after="240" w:line="240" w:lineRule="auto"/>
        <w:ind w:left="850" w:hangingChars="327" w:hanging="850"/>
        <w:jc w:val="both"/>
        <w:rPr>
          <w:sz w:val="26"/>
          <w:szCs w:val="26"/>
        </w:rPr>
      </w:pPr>
      <w:r w:rsidRPr="00932F75">
        <w:rPr>
          <w:sz w:val="26"/>
          <w:szCs w:val="26"/>
        </w:rPr>
        <w:t xml:space="preserve">Chukwuma, O.M., Chukwuma, G.O., </w:t>
      </w:r>
      <w:proofErr w:type="spellStart"/>
      <w:r w:rsidRPr="00932F75">
        <w:rPr>
          <w:sz w:val="26"/>
          <w:szCs w:val="26"/>
        </w:rPr>
        <w:t>Manafa</w:t>
      </w:r>
      <w:proofErr w:type="spellEnd"/>
      <w:r w:rsidRPr="00932F75">
        <w:rPr>
          <w:sz w:val="26"/>
          <w:szCs w:val="26"/>
        </w:rPr>
        <w:t xml:space="preserve">, P.O., </w:t>
      </w:r>
      <w:proofErr w:type="spellStart"/>
      <w:r w:rsidRPr="00932F75">
        <w:rPr>
          <w:sz w:val="26"/>
          <w:szCs w:val="26"/>
        </w:rPr>
        <w:t>Akulue</w:t>
      </w:r>
      <w:proofErr w:type="spellEnd"/>
      <w:r w:rsidRPr="00932F75">
        <w:rPr>
          <w:sz w:val="26"/>
          <w:szCs w:val="26"/>
        </w:rPr>
        <w:t xml:space="preserve">, J.C. and Jeremiah, Z.A., (2020). Prevalence and Possible Risk Factors </w:t>
      </w:r>
      <w:proofErr w:type="gramStart"/>
      <w:r w:rsidRPr="00932F75">
        <w:rPr>
          <w:sz w:val="26"/>
          <w:szCs w:val="26"/>
        </w:rPr>
        <w:t>For</w:t>
      </w:r>
      <w:proofErr w:type="gramEnd"/>
      <w:r w:rsidRPr="00932F75">
        <w:rPr>
          <w:sz w:val="26"/>
          <w:szCs w:val="26"/>
        </w:rPr>
        <w:t xml:space="preserve"> </w:t>
      </w:r>
      <w:r w:rsidRPr="00932F75">
        <w:rPr>
          <w:i/>
          <w:sz w:val="26"/>
          <w:szCs w:val="26"/>
        </w:rPr>
        <w:t>Helicobacter Pylori</w:t>
      </w:r>
      <w:r w:rsidRPr="00932F75">
        <w:rPr>
          <w:sz w:val="26"/>
          <w:szCs w:val="26"/>
        </w:rPr>
        <w:t xml:space="preserve"> Seropositivity Among Peptic Ulcerative Individuals in Nnewi Nigeria. </w:t>
      </w:r>
      <w:r w:rsidRPr="00932F75">
        <w:rPr>
          <w:i/>
          <w:iCs/>
          <w:sz w:val="26"/>
          <w:szCs w:val="26"/>
        </w:rPr>
        <w:t>Biomedical Research Journal</w:t>
      </w:r>
      <w:r w:rsidRPr="00932F75">
        <w:rPr>
          <w:sz w:val="26"/>
          <w:szCs w:val="26"/>
        </w:rPr>
        <w:t xml:space="preserve"> </w:t>
      </w:r>
      <w:r w:rsidRPr="00932F75">
        <w:rPr>
          <w:b/>
          <w:iCs/>
          <w:sz w:val="26"/>
          <w:szCs w:val="26"/>
        </w:rPr>
        <w:t>4</w:t>
      </w:r>
      <w:r w:rsidRPr="00932F75">
        <w:rPr>
          <w:sz w:val="26"/>
          <w:szCs w:val="26"/>
        </w:rPr>
        <w:t>(1): 166 – 172.</w:t>
      </w:r>
    </w:p>
    <w:p w14:paraId="6D536C5E" w14:textId="77777777" w:rsidR="004936C8" w:rsidRPr="00932F75" w:rsidRDefault="004936C8" w:rsidP="004936C8">
      <w:pPr>
        <w:spacing w:after="0"/>
        <w:jc w:val="both"/>
        <w:rPr>
          <w:rFonts w:ascii="Times New Roman" w:eastAsia="Calibri" w:hAnsi="Times New Roman" w:cs="Times New Roman"/>
          <w:sz w:val="24"/>
          <w:szCs w:val="24"/>
        </w:rPr>
      </w:pPr>
      <w:r w:rsidRPr="00932F75">
        <w:rPr>
          <w:rFonts w:ascii="Times New Roman" w:eastAsia="Calibri" w:hAnsi="Times New Roman" w:cs="Times New Roman"/>
          <w:sz w:val="24"/>
          <w:szCs w:val="24"/>
          <w:lang w:val="en-GB"/>
        </w:rPr>
        <w:t>Cheesbrough, M. (2010). District Laboratory Practice in Tropical Countries (2</w:t>
      </w:r>
      <w:r w:rsidRPr="00932F75">
        <w:rPr>
          <w:rFonts w:ascii="Times New Roman" w:eastAsia="Calibri" w:hAnsi="Times New Roman" w:cs="Times New Roman"/>
          <w:sz w:val="24"/>
          <w:szCs w:val="24"/>
          <w:vertAlign w:val="superscript"/>
          <w:lang w:val="en-GB"/>
        </w:rPr>
        <w:t>nd</w:t>
      </w:r>
      <w:r w:rsidRPr="00932F75">
        <w:rPr>
          <w:rFonts w:ascii="Times New Roman" w:eastAsia="Calibri" w:hAnsi="Times New Roman" w:cs="Times New Roman"/>
          <w:sz w:val="24"/>
          <w:szCs w:val="24"/>
          <w:lang w:val="en-GB"/>
        </w:rPr>
        <w:t xml:space="preserve"> ed.). </w:t>
      </w:r>
      <w:r w:rsidRPr="00932F75">
        <w:rPr>
          <w:rFonts w:ascii="Times New Roman" w:eastAsia="Calibri" w:hAnsi="Times New Roman" w:cs="Times New Roman"/>
          <w:sz w:val="24"/>
          <w:szCs w:val="24"/>
          <w:lang w:val="en-GB"/>
        </w:rPr>
        <w:tab/>
        <w:t>Cambridge University Press: Cambridge, England. pp. 45–70.</w:t>
      </w:r>
    </w:p>
    <w:p w14:paraId="34714F81" w14:textId="77777777" w:rsidR="004936C8" w:rsidRPr="00932F75" w:rsidRDefault="004936C8" w:rsidP="004936C8">
      <w:pPr>
        <w:spacing w:before="240" w:after="240" w:line="240" w:lineRule="auto"/>
        <w:ind w:left="850" w:hangingChars="327" w:hanging="850"/>
        <w:jc w:val="both"/>
        <w:rPr>
          <w:sz w:val="26"/>
          <w:szCs w:val="26"/>
          <w:shd w:val="clear" w:color="auto" w:fill="FFFFFF"/>
        </w:rPr>
      </w:pPr>
      <w:proofErr w:type="spellStart"/>
      <w:r w:rsidRPr="00932F75">
        <w:rPr>
          <w:sz w:val="26"/>
          <w:szCs w:val="26"/>
        </w:rPr>
        <w:t>Cichoz-Lach</w:t>
      </w:r>
      <w:proofErr w:type="spellEnd"/>
      <w:r w:rsidRPr="00932F75">
        <w:rPr>
          <w:sz w:val="26"/>
          <w:szCs w:val="26"/>
        </w:rPr>
        <w:t xml:space="preserve">, H., Slomka, M., Celinski, K., and Baczek, A. (2001). Level of Serum Cytokines in Biliary Gastritis and Erosive Gastritis with </w:t>
      </w:r>
      <w:r w:rsidRPr="00932F75">
        <w:rPr>
          <w:i/>
          <w:iCs/>
          <w:sz w:val="26"/>
          <w:szCs w:val="26"/>
        </w:rPr>
        <w:t>Helicobacter pylori</w:t>
      </w:r>
      <w:r w:rsidRPr="00932F75">
        <w:rPr>
          <w:sz w:val="26"/>
          <w:szCs w:val="26"/>
        </w:rPr>
        <w:t xml:space="preserve"> Coinfection.  </w:t>
      </w:r>
      <w:r w:rsidRPr="00932F75">
        <w:rPr>
          <w:i/>
          <w:iCs/>
          <w:sz w:val="26"/>
          <w:szCs w:val="26"/>
        </w:rPr>
        <w:t>Annales Universitatis Mariae Curie-Sklodowska Medicals</w:t>
      </w:r>
      <w:r w:rsidRPr="00932F75">
        <w:rPr>
          <w:sz w:val="26"/>
          <w:szCs w:val="26"/>
        </w:rPr>
        <w:t xml:space="preserve"> </w:t>
      </w:r>
      <w:r w:rsidRPr="00932F75">
        <w:rPr>
          <w:b/>
          <w:bCs/>
          <w:sz w:val="26"/>
          <w:szCs w:val="26"/>
        </w:rPr>
        <w:t>56</w:t>
      </w:r>
      <w:r w:rsidRPr="00932F75">
        <w:rPr>
          <w:sz w:val="26"/>
          <w:szCs w:val="26"/>
        </w:rPr>
        <w:t>: 271 – 274.</w:t>
      </w:r>
    </w:p>
    <w:p w14:paraId="7A03DD5A" w14:textId="77777777" w:rsidR="004936C8" w:rsidRPr="00932F75" w:rsidRDefault="004936C8" w:rsidP="004936C8">
      <w:pPr>
        <w:spacing w:before="240" w:after="240" w:line="240" w:lineRule="auto"/>
        <w:ind w:left="850" w:hangingChars="327" w:hanging="850"/>
        <w:jc w:val="both"/>
        <w:rPr>
          <w:sz w:val="26"/>
          <w:szCs w:val="26"/>
        </w:rPr>
      </w:pPr>
      <w:proofErr w:type="spellStart"/>
      <w:r w:rsidRPr="00932F75">
        <w:rPr>
          <w:sz w:val="26"/>
          <w:szCs w:val="26"/>
        </w:rPr>
        <w:t>Jaroenlapnopparat</w:t>
      </w:r>
      <w:proofErr w:type="spellEnd"/>
      <w:r w:rsidRPr="00932F75">
        <w:rPr>
          <w:sz w:val="26"/>
          <w:szCs w:val="26"/>
        </w:rPr>
        <w:t xml:space="preserve">, A., Bhatia, K. and Coban, S. (2022). Inflammation and Gastric Cancer. </w:t>
      </w:r>
      <w:r w:rsidRPr="00932F75">
        <w:rPr>
          <w:i/>
          <w:iCs/>
          <w:sz w:val="26"/>
          <w:szCs w:val="26"/>
        </w:rPr>
        <w:t>Diseases</w:t>
      </w:r>
      <w:r w:rsidRPr="00932F75">
        <w:rPr>
          <w:sz w:val="26"/>
          <w:szCs w:val="26"/>
        </w:rPr>
        <w:t xml:space="preserve"> </w:t>
      </w:r>
      <w:r w:rsidRPr="00932F75">
        <w:rPr>
          <w:b/>
          <w:bCs/>
          <w:sz w:val="26"/>
          <w:szCs w:val="26"/>
        </w:rPr>
        <w:t>10</w:t>
      </w:r>
      <w:r w:rsidRPr="00932F75">
        <w:rPr>
          <w:sz w:val="26"/>
          <w:szCs w:val="26"/>
        </w:rPr>
        <w:t xml:space="preserve">: 35. </w:t>
      </w:r>
    </w:p>
    <w:p w14:paraId="014FCF91" w14:textId="77777777" w:rsidR="004936C8" w:rsidRPr="00932F75" w:rsidRDefault="004936C8" w:rsidP="004936C8">
      <w:pPr>
        <w:spacing w:before="240" w:after="240" w:line="240" w:lineRule="auto"/>
        <w:ind w:left="850" w:hangingChars="327" w:hanging="850"/>
        <w:jc w:val="both"/>
        <w:rPr>
          <w:sz w:val="26"/>
          <w:szCs w:val="26"/>
        </w:rPr>
      </w:pPr>
      <w:r w:rsidRPr="00932F75">
        <w:rPr>
          <w:sz w:val="26"/>
          <w:szCs w:val="26"/>
        </w:rPr>
        <w:t xml:space="preserve">Lina, T. T., Alzahrani, S., Gonzalez, J., Pinchuk, I. V. and Beswick, E. J. (2014). Immune Evasion Strategies used by </w:t>
      </w:r>
      <w:r w:rsidRPr="00932F75">
        <w:rPr>
          <w:i/>
          <w:sz w:val="26"/>
          <w:szCs w:val="26"/>
        </w:rPr>
        <w:t>Helicobacter Pylori</w:t>
      </w:r>
      <w:r w:rsidRPr="00932F75">
        <w:rPr>
          <w:sz w:val="26"/>
          <w:szCs w:val="26"/>
        </w:rPr>
        <w:t xml:space="preserve">. </w:t>
      </w:r>
      <w:r w:rsidRPr="00932F75">
        <w:rPr>
          <w:i/>
          <w:sz w:val="26"/>
          <w:szCs w:val="26"/>
        </w:rPr>
        <w:t xml:space="preserve">World Journal of Gastroenterology </w:t>
      </w:r>
      <w:r w:rsidRPr="00932F75">
        <w:rPr>
          <w:b/>
          <w:sz w:val="26"/>
          <w:szCs w:val="26"/>
        </w:rPr>
        <w:t>20</w:t>
      </w:r>
      <w:r w:rsidRPr="00932F75">
        <w:rPr>
          <w:sz w:val="26"/>
          <w:szCs w:val="26"/>
        </w:rPr>
        <w:t>: 12753 – 12766.</w:t>
      </w:r>
    </w:p>
    <w:p w14:paraId="6DDAA98B" w14:textId="77777777" w:rsidR="004936C8" w:rsidRPr="00932F75" w:rsidRDefault="004936C8" w:rsidP="004936C8">
      <w:pPr>
        <w:spacing w:before="240" w:after="240" w:line="240" w:lineRule="auto"/>
        <w:ind w:left="850" w:hangingChars="327" w:hanging="850"/>
        <w:jc w:val="both"/>
        <w:rPr>
          <w:sz w:val="26"/>
          <w:szCs w:val="26"/>
          <w:shd w:val="clear" w:color="auto" w:fill="FFFFFF"/>
        </w:rPr>
      </w:pPr>
      <w:r w:rsidRPr="00932F75">
        <w:rPr>
          <w:sz w:val="26"/>
          <w:szCs w:val="26"/>
        </w:rPr>
        <w:t xml:space="preserve">Milic, L., </w:t>
      </w:r>
      <w:proofErr w:type="spellStart"/>
      <w:r w:rsidRPr="00932F75">
        <w:rPr>
          <w:sz w:val="26"/>
          <w:szCs w:val="26"/>
        </w:rPr>
        <w:t>Karamarkovic</w:t>
      </w:r>
      <w:proofErr w:type="spellEnd"/>
      <w:r w:rsidRPr="00932F75">
        <w:rPr>
          <w:sz w:val="26"/>
          <w:szCs w:val="26"/>
        </w:rPr>
        <w:t xml:space="preserve">, A. and </w:t>
      </w:r>
      <w:proofErr w:type="spellStart"/>
      <w:r w:rsidRPr="00932F75">
        <w:rPr>
          <w:sz w:val="26"/>
          <w:szCs w:val="26"/>
        </w:rPr>
        <w:t>Popadic</w:t>
      </w:r>
      <w:proofErr w:type="spellEnd"/>
      <w:r w:rsidRPr="00932F75">
        <w:rPr>
          <w:sz w:val="26"/>
          <w:szCs w:val="26"/>
        </w:rPr>
        <w:t xml:space="preserve">, D. (2019) Altered Cytokine Expression in </w:t>
      </w:r>
      <w:r w:rsidRPr="00932F75">
        <w:rPr>
          <w:i/>
          <w:iCs/>
          <w:sz w:val="26"/>
          <w:szCs w:val="26"/>
        </w:rPr>
        <w:t>Helicobacter pylori</w:t>
      </w:r>
      <w:r w:rsidRPr="00932F75">
        <w:rPr>
          <w:sz w:val="26"/>
          <w:szCs w:val="26"/>
        </w:rPr>
        <w:t xml:space="preserve"> Infected Patients with Bleeding Duodenal Ulcer. </w:t>
      </w:r>
      <w:r w:rsidRPr="00932F75">
        <w:rPr>
          <w:i/>
          <w:iCs/>
          <w:sz w:val="26"/>
          <w:szCs w:val="26"/>
        </w:rPr>
        <w:t>BMC Research Notes</w:t>
      </w:r>
      <w:r w:rsidRPr="00932F75">
        <w:rPr>
          <w:sz w:val="26"/>
          <w:szCs w:val="26"/>
        </w:rPr>
        <w:t xml:space="preserve"> </w:t>
      </w:r>
      <w:r w:rsidRPr="00932F75">
        <w:rPr>
          <w:b/>
          <w:bCs/>
          <w:sz w:val="26"/>
          <w:szCs w:val="26"/>
        </w:rPr>
        <w:t>12</w:t>
      </w:r>
      <w:r w:rsidRPr="00932F75">
        <w:rPr>
          <w:sz w:val="26"/>
          <w:szCs w:val="26"/>
        </w:rPr>
        <w:t xml:space="preserve">: 278. </w:t>
      </w:r>
    </w:p>
    <w:p w14:paraId="78A7185A" w14:textId="77777777" w:rsidR="004936C8" w:rsidRPr="00932F75" w:rsidRDefault="004936C8" w:rsidP="004936C8">
      <w:pPr>
        <w:spacing w:before="240" w:line="240" w:lineRule="auto"/>
        <w:jc w:val="both"/>
        <w:rPr>
          <w:rFonts w:ascii="Times New Roman" w:hAnsi="Times New Roman" w:cs="Times New Roman"/>
          <w:sz w:val="26"/>
          <w:szCs w:val="26"/>
        </w:rPr>
      </w:pPr>
      <w:proofErr w:type="spellStart"/>
      <w:r w:rsidRPr="00932F75">
        <w:rPr>
          <w:sz w:val="26"/>
          <w:szCs w:val="26"/>
          <w:shd w:val="clear" w:color="auto" w:fill="FFFDEA"/>
        </w:rPr>
        <w:lastRenderedPageBreak/>
        <w:t>Moyat</w:t>
      </w:r>
      <w:proofErr w:type="spellEnd"/>
      <w:r w:rsidRPr="00932F75">
        <w:rPr>
          <w:sz w:val="26"/>
          <w:szCs w:val="26"/>
          <w:shd w:val="clear" w:color="auto" w:fill="FFFDEA"/>
        </w:rPr>
        <w:t>, M. and Velin, D. (2014). Immune Responses to </w:t>
      </w:r>
      <w:r w:rsidRPr="00932F75">
        <w:rPr>
          <w:i/>
          <w:sz w:val="26"/>
          <w:szCs w:val="26"/>
        </w:rPr>
        <w:t>Helicobacter Pylori</w:t>
      </w:r>
      <w:r w:rsidRPr="00932F75">
        <w:rPr>
          <w:sz w:val="26"/>
          <w:szCs w:val="26"/>
          <w:shd w:val="clear" w:color="auto" w:fill="FFFDEA"/>
        </w:rPr>
        <w:t xml:space="preserve"> Infection. </w:t>
      </w:r>
      <w:r w:rsidRPr="00932F75">
        <w:rPr>
          <w:i/>
          <w:sz w:val="26"/>
          <w:szCs w:val="26"/>
          <w:shd w:val="clear" w:color="auto" w:fill="FFFDEA"/>
        </w:rPr>
        <w:t>World Journal of Gastroenterology</w:t>
      </w:r>
      <w:r w:rsidRPr="00932F75">
        <w:rPr>
          <w:sz w:val="26"/>
          <w:szCs w:val="26"/>
          <w:shd w:val="clear" w:color="auto" w:fill="FFFDEA"/>
        </w:rPr>
        <w:t xml:space="preserve"> </w:t>
      </w:r>
      <w:r w:rsidRPr="00932F75">
        <w:rPr>
          <w:b/>
          <w:sz w:val="26"/>
          <w:szCs w:val="26"/>
          <w:shd w:val="clear" w:color="auto" w:fill="FFFDEA"/>
        </w:rPr>
        <w:t>5</w:t>
      </w:r>
      <w:r w:rsidRPr="00932F75">
        <w:rPr>
          <w:sz w:val="26"/>
          <w:szCs w:val="26"/>
          <w:shd w:val="clear" w:color="auto" w:fill="FFFDEA"/>
        </w:rPr>
        <w:t xml:space="preserve">: 5583 – 5593 </w:t>
      </w:r>
    </w:p>
    <w:p w14:paraId="3D5E3ECA" w14:textId="77777777" w:rsidR="004936C8" w:rsidRPr="00932F75" w:rsidRDefault="004936C8" w:rsidP="004936C8">
      <w:pPr>
        <w:spacing w:before="240" w:after="240" w:line="240" w:lineRule="auto"/>
        <w:ind w:left="850" w:hangingChars="327" w:hanging="850"/>
        <w:jc w:val="both"/>
        <w:rPr>
          <w:sz w:val="26"/>
          <w:szCs w:val="26"/>
        </w:rPr>
      </w:pPr>
      <w:r w:rsidRPr="00932F75">
        <w:rPr>
          <w:sz w:val="26"/>
          <w:szCs w:val="26"/>
        </w:rPr>
        <w:t xml:space="preserve">Narayanan, M., Reddy, K. M. and Marsicano, E. (2018). Peptic Ulcer Disease and </w:t>
      </w:r>
      <w:r w:rsidRPr="00932F75">
        <w:rPr>
          <w:i/>
          <w:iCs/>
          <w:sz w:val="26"/>
          <w:szCs w:val="26"/>
        </w:rPr>
        <w:t>Helicobacter Pylori</w:t>
      </w:r>
      <w:r w:rsidRPr="00932F75">
        <w:rPr>
          <w:sz w:val="26"/>
          <w:szCs w:val="26"/>
        </w:rPr>
        <w:t xml:space="preserve"> Infection. </w:t>
      </w:r>
      <w:r w:rsidRPr="00932F75">
        <w:rPr>
          <w:i/>
          <w:iCs/>
          <w:sz w:val="26"/>
          <w:szCs w:val="26"/>
        </w:rPr>
        <w:t>Missouri Medicine</w:t>
      </w:r>
      <w:r w:rsidRPr="00932F75">
        <w:rPr>
          <w:sz w:val="26"/>
          <w:szCs w:val="26"/>
        </w:rPr>
        <w:t xml:space="preserve"> </w:t>
      </w:r>
      <w:r w:rsidRPr="00932F75">
        <w:rPr>
          <w:b/>
          <w:iCs/>
          <w:sz w:val="26"/>
          <w:szCs w:val="26"/>
        </w:rPr>
        <w:t>115</w:t>
      </w:r>
      <w:r w:rsidRPr="00932F75">
        <w:rPr>
          <w:sz w:val="26"/>
          <w:szCs w:val="26"/>
        </w:rPr>
        <w:t xml:space="preserve">(3): 219 – 224. </w:t>
      </w:r>
    </w:p>
    <w:p w14:paraId="639B9C3B" w14:textId="77777777" w:rsidR="004936C8" w:rsidRPr="00932F75" w:rsidRDefault="004936C8" w:rsidP="004936C8">
      <w:pPr>
        <w:spacing w:before="240" w:after="240" w:line="240" w:lineRule="auto"/>
        <w:ind w:left="850" w:hangingChars="327" w:hanging="850"/>
        <w:jc w:val="both"/>
        <w:rPr>
          <w:sz w:val="26"/>
          <w:szCs w:val="26"/>
        </w:rPr>
      </w:pPr>
      <w:r w:rsidRPr="00932F75">
        <w:rPr>
          <w:sz w:val="26"/>
          <w:szCs w:val="26"/>
        </w:rPr>
        <w:t xml:space="preserve">Wang, L., Cao, Z. M., Zhang, L. L., Dai, X. C., Liu, Z. J., Zeng, Y. X., Li, X. Y., Wu, Q. J. and </w:t>
      </w:r>
      <w:proofErr w:type="spellStart"/>
      <w:r w:rsidRPr="00932F75">
        <w:rPr>
          <w:sz w:val="26"/>
          <w:szCs w:val="26"/>
        </w:rPr>
        <w:t>Lv</w:t>
      </w:r>
      <w:proofErr w:type="spellEnd"/>
      <w:r w:rsidRPr="00932F75">
        <w:rPr>
          <w:sz w:val="26"/>
          <w:szCs w:val="26"/>
        </w:rPr>
        <w:t xml:space="preserve">, W. L. (2022). </w:t>
      </w:r>
      <w:r w:rsidRPr="00932F75">
        <w:rPr>
          <w:i/>
          <w:iCs/>
          <w:sz w:val="26"/>
          <w:szCs w:val="26"/>
        </w:rPr>
        <w:t>Helicobacter Pylori</w:t>
      </w:r>
      <w:r w:rsidRPr="00932F75">
        <w:rPr>
          <w:sz w:val="26"/>
          <w:szCs w:val="26"/>
        </w:rPr>
        <w:t xml:space="preserve"> and Autoimmune Diseases: Involving Multiple Systems. </w:t>
      </w:r>
      <w:r w:rsidRPr="00932F75">
        <w:rPr>
          <w:i/>
          <w:iCs/>
          <w:sz w:val="26"/>
          <w:szCs w:val="26"/>
        </w:rPr>
        <w:t xml:space="preserve">Frontier of Immunology </w:t>
      </w:r>
      <w:r w:rsidRPr="00932F75">
        <w:rPr>
          <w:b/>
          <w:sz w:val="26"/>
          <w:szCs w:val="26"/>
        </w:rPr>
        <w:t>13</w:t>
      </w:r>
      <w:r w:rsidRPr="00932F75">
        <w:rPr>
          <w:sz w:val="26"/>
          <w:szCs w:val="26"/>
        </w:rPr>
        <w:t>: 83 – 134.</w:t>
      </w:r>
    </w:p>
    <w:p w14:paraId="63C55CE5" w14:textId="77777777" w:rsidR="004936C8" w:rsidRPr="00932F75" w:rsidRDefault="004936C8" w:rsidP="004936C8">
      <w:pPr>
        <w:spacing w:before="240" w:after="240" w:line="240" w:lineRule="auto"/>
        <w:ind w:left="850" w:hangingChars="327" w:hanging="850"/>
        <w:jc w:val="both"/>
        <w:rPr>
          <w:sz w:val="26"/>
          <w:szCs w:val="26"/>
          <w:shd w:val="clear" w:color="auto" w:fill="FFFFFF"/>
        </w:rPr>
      </w:pPr>
      <w:r w:rsidRPr="00932F75">
        <w:rPr>
          <w:sz w:val="26"/>
          <w:szCs w:val="26"/>
        </w:rPr>
        <w:t xml:space="preserve">Yang, X. (2017). Increased CD177 Expression is Associated with </w:t>
      </w:r>
      <w:r w:rsidRPr="00932F75">
        <w:rPr>
          <w:i/>
          <w:iCs/>
          <w:sz w:val="26"/>
          <w:szCs w:val="26"/>
        </w:rPr>
        <w:t>Helicobacter Pylori</w:t>
      </w:r>
      <w:r w:rsidRPr="00932F75">
        <w:rPr>
          <w:sz w:val="26"/>
          <w:szCs w:val="26"/>
        </w:rPr>
        <w:t xml:space="preserve">-Related Gastritis. </w:t>
      </w:r>
      <w:r w:rsidRPr="00932F75">
        <w:rPr>
          <w:i/>
          <w:iCs/>
          <w:sz w:val="26"/>
          <w:szCs w:val="26"/>
        </w:rPr>
        <w:t xml:space="preserve">International Journal of Clinical and Experimental Pathology </w:t>
      </w:r>
      <w:r w:rsidRPr="00932F75">
        <w:rPr>
          <w:b/>
          <w:bCs/>
          <w:sz w:val="26"/>
          <w:szCs w:val="26"/>
        </w:rPr>
        <w:t>10</w:t>
      </w:r>
      <w:r w:rsidRPr="00932F75">
        <w:rPr>
          <w:sz w:val="26"/>
          <w:szCs w:val="26"/>
        </w:rPr>
        <w:t>: 5924 – 5928</w:t>
      </w:r>
    </w:p>
    <w:p w14:paraId="2589B8C0" w14:textId="77777777" w:rsidR="004936C8" w:rsidRPr="00932F75" w:rsidRDefault="004936C8" w:rsidP="004936C8">
      <w:pPr>
        <w:spacing w:before="240" w:line="240" w:lineRule="auto"/>
        <w:jc w:val="both"/>
        <w:rPr>
          <w:rFonts w:ascii="Times New Roman" w:hAnsi="Times New Roman" w:cs="Times New Roman"/>
          <w:sz w:val="26"/>
          <w:szCs w:val="26"/>
        </w:rPr>
      </w:pPr>
    </w:p>
    <w:p w14:paraId="2F816562" w14:textId="77777777" w:rsidR="004936C8" w:rsidRPr="00932F75" w:rsidRDefault="004936C8" w:rsidP="004936C8">
      <w:pPr>
        <w:spacing w:before="240" w:line="240" w:lineRule="auto"/>
        <w:jc w:val="both"/>
        <w:rPr>
          <w:rFonts w:ascii="Times New Roman" w:hAnsi="Times New Roman" w:cs="Times New Roman"/>
          <w:sz w:val="26"/>
          <w:szCs w:val="26"/>
        </w:rPr>
      </w:pPr>
    </w:p>
    <w:p w14:paraId="121B2CF5" w14:textId="77777777" w:rsidR="004936C8" w:rsidRPr="00932F75" w:rsidRDefault="004936C8" w:rsidP="004936C8">
      <w:pPr>
        <w:spacing w:before="240" w:line="240" w:lineRule="auto"/>
        <w:jc w:val="both"/>
        <w:rPr>
          <w:rFonts w:ascii="Times New Roman" w:hAnsi="Times New Roman" w:cs="Times New Roman"/>
          <w:sz w:val="26"/>
          <w:szCs w:val="26"/>
        </w:rPr>
      </w:pPr>
    </w:p>
    <w:p w14:paraId="37986A01" w14:textId="77777777" w:rsidR="004936C8" w:rsidRPr="00932F75" w:rsidRDefault="004936C8" w:rsidP="004936C8">
      <w:pPr>
        <w:spacing w:before="240" w:line="240" w:lineRule="auto"/>
        <w:jc w:val="both"/>
        <w:rPr>
          <w:rFonts w:ascii="Times New Roman" w:hAnsi="Times New Roman" w:cs="Times New Roman"/>
          <w:sz w:val="26"/>
          <w:szCs w:val="26"/>
        </w:rPr>
      </w:pPr>
    </w:p>
    <w:p w14:paraId="6D276846" w14:textId="77777777" w:rsidR="004936C8" w:rsidRPr="00932F75" w:rsidRDefault="004936C8" w:rsidP="004936C8">
      <w:pPr>
        <w:spacing w:before="240" w:line="360" w:lineRule="auto"/>
        <w:jc w:val="both"/>
        <w:rPr>
          <w:rFonts w:ascii="Times New Roman" w:hAnsi="Times New Roman" w:cs="Times New Roman"/>
          <w:sz w:val="26"/>
          <w:szCs w:val="26"/>
        </w:rPr>
      </w:pPr>
    </w:p>
    <w:p w14:paraId="1BD84350" w14:textId="77777777" w:rsidR="004936C8" w:rsidRPr="00932F75" w:rsidRDefault="004936C8" w:rsidP="004936C8">
      <w:pPr>
        <w:spacing w:before="240" w:line="360" w:lineRule="auto"/>
        <w:jc w:val="both"/>
        <w:rPr>
          <w:rFonts w:ascii="Times New Roman" w:hAnsi="Times New Roman" w:cs="Times New Roman"/>
          <w:sz w:val="26"/>
          <w:szCs w:val="26"/>
        </w:rPr>
      </w:pPr>
    </w:p>
    <w:p w14:paraId="529B0D88" w14:textId="77777777" w:rsidR="004936C8" w:rsidRPr="00932F75" w:rsidRDefault="004936C8" w:rsidP="004936C8">
      <w:pPr>
        <w:spacing w:before="240" w:line="360" w:lineRule="auto"/>
        <w:jc w:val="both"/>
        <w:rPr>
          <w:rFonts w:ascii="Times New Roman" w:hAnsi="Times New Roman" w:cs="Times New Roman"/>
          <w:sz w:val="26"/>
          <w:szCs w:val="26"/>
        </w:rPr>
      </w:pPr>
    </w:p>
    <w:p w14:paraId="21630076" w14:textId="77777777" w:rsidR="004936C8" w:rsidRPr="00932F75" w:rsidRDefault="004936C8" w:rsidP="004936C8">
      <w:r w:rsidRPr="00932F75">
        <w:t xml:space="preserve"> </w:t>
      </w:r>
    </w:p>
    <w:sectPr w:rsidR="004936C8" w:rsidRPr="00932F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2B8DC" w14:textId="77777777" w:rsidR="00791773" w:rsidRDefault="00791773" w:rsidP="00CB7031">
      <w:pPr>
        <w:spacing w:after="0" w:line="240" w:lineRule="auto"/>
      </w:pPr>
      <w:r>
        <w:separator/>
      </w:r>
    </w:p>
  </w:endnote>
  <w:endnote w:type="continuationSeparator" w:id="0">
    <w:p w14:paraId="5874F957" w14:textId="77777777" w:rsidR="00791773" w:rsidRDefault="00791773" w:rsidP="00CB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C6B90" w14:textId="77777777" w:rsidR="00CB7031" w:rsidRDefault="00CB7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8C71C" w14:textId="77777777" w:rsidR="00CB7031" w:rsidRDefault="00CB7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A665A" w14:textId="77777777" w:rsidR="00CB7031" w:rsidRDefault="00CB7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90CCF" w14:textId="77777777" w:rsidR="00791773" w:rsidRDefault="00791773" w:rsidP="00CB7031">
      <w:pPr>
        <w:spacing w:after="0" w:line="240" w:lineRule="auto"/>
      </w:pPr>
      <w:r>
        <w:separator/>
      </w:r>
    </w:p>
  </w:footnote>
  <w:footnote w:type="continuationSeparator" w:id="0">
    <w:p w14:paraId="541CB815" w14:textId="77777777" w:rsidR="00791773" w:rsidRDefault="00791773" w:rsidP="00CB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6F67" w14:textId="0420EC80" w:rsidR="00CB7031" w:rsidRDefault="00CB7031">
    <w:pPr>
      <w:pStyle w:val="Header"/>
    </w:pPr>
    <w:r>
      <w:rPr>
        <w:noProof/>
      </w:rPr>
      <w:pict w14:anchorId="0596C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85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3EB89" w14:textId="5DB85EE4" w:rsidR="00CB7031" w:rsidRDefault="00CB7031">
    <w:pPr>
      <w:pStyle w:val="Header"/>
    </w:pPr>
    <w:r>
      <w:rPr>
        <w:noProof/>
      </w:rPr>
      <w:pict w14:anchorId="62A48C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85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6DEAB" w14:textId="39F8908E" w:rsidR="00CB7031" w:rsidRDefault="00CB7031">
    <w:pPr>
      <w:pStyle w:val="Header"/>
    </w:pPr>
    <w:r>
      <w:rPr>
        <w:noProof/>
      </w:rPr>
      <w:pict w14:anchorId="45391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85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75677"/>
    <w:multiLevelType w:val="multilevel"/>
    <w:tmpl w:val="B420E2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6C8"/>
    <w:rsid w:val="0003595B"/>
    <w:rsid w:val="00081627"/>
    <w:rsid w:val="0013385D"/>
    <w:rsid w:val="001C3457"/>
    <w:rsid w:val="002055C2"/>
    <w:rsid w:val="0023247C"/>
    <w:rsid w:val="002E55F5"/>
    <w:rsid w:val="00321F17"/>
    <w:rsid w:val="00323D87"/>
    <w:rsid w:val="00384BA6"/>
    <w:rsid w:val="003A5D75"/>
    <w:rsid w:val="003E3392"/>
    <w:rsid w:val="003F0EC0"/>
    <w:rsid w:val="0041242B"/>
    <w:rsid w:val="004936C8"/>
    <w:rsid w:val="004C01B9"/>
    <w:rsid w:val="004C5E33"/>
    <w:rsid w:val="004D109B"/>
    <w:rsid w:val="004E38D6"/>
    <w:rsid w:val="004F20B2"/>
    <w:rsid w:val="00525536"/>
    <w:rsid w:val="005978F0"/>
    <w:rsid w:val="005A3358"/>
    <w:rsid w:val="0071555C"/>
    <w:rsid w:val="0073107D"/>
    <w:rsid w:val="00735C09"/>
    <w:rsid w:val="00791773"/>
    <w:rsid w:val="008567CD"/>
    <w:rsid w:val="00932F75"/>
    <w:rsid w:val="00992FA4"/>
    <w:rsid w:val="009A2498"/>
    <w:rsid w:val="009E4EE9"/>
    <w:rsid w:val="00A26D96"/>
    <w:rsid w:val="00AF00BC"/>
    <w:rsid w:val="00B23FDF"/>
    <w:rsid w:val="00B426BE"/>
    <w:rsid w:val="00B82301"/>
    <w:rsid w:val="00CB7031"/>
    <w:rsid w:val="00D134F7"/>
    <w:rsid w:val="00E41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AF42FB"/>
  <w15:docId w15:val="{F1112B91-9EB5-4391-95A5-E70634FA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6C8"/>
    <w:pPr>
      <w:spacing w:after="160" w:line="259" w:lineRule="auto"/>
      <w:ind w:left="720"/>
      <w:contextualSpacing/>
    </w:pPr>
    <w:rPr>
      <w:rFonts w:ascii="Calibri" w:eastAsia="Calibri" w:hAnsi="Calibri" w:cs="SimSun"/>
    </w:rPr>
  </w:style>
  <w:style w:type="paragraph" w:styleId="NoSpacing">
    <w:name w:val="No Spacing"/>
    <w:uiPriority w:val="1"/>
    <w:qFormat/>
    <w:rsid w:val="004936C8"/>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4936C8"/>
    <w:rPr>
      <w:i/>
      <w:iCs/>
    </w:rPr>
  </w:style>
  <w:style w:type="character" w:styleId="CommentReference">
    <w:name w:val="annotation reference"/>
    <w:basedOn w:val="DefaultParagraphFont"/>
    <w:uiPriority w:val="99"/>
    <w:semiHidden/>
    <w:unhideWhenUsed/>
    <w:rsid w:val="003E3392"/>
    <w:rPr>
      <w:sz w:val="16"/>
      <w:szCs w:val="16"/>
    </w:rPr>
  </w:style>
  <w:style w:type="paragraph" w:styleId="CommentText">
    <w:name w:val="annotation text"/>
    <w:basedOn w:val="Normal"/>
    <w:link w:val="CommentTextChar"/>
    <w:uiPriority w:val="99"/>
    <w:semiHidden/>
    <w:unhideWhenUsed/>
    <w:rsid w:val="003E3392"/>
    <w:pPr>
      <w:spacing w:line="240" w:lineRule="auto"/>
    </w:pPr>
    <w:rPr>
      <w:sz w:val="20"/>
      <w:szCs w:val="20"/>
    </w:rPr>
  </w:style>
  <w:style w:type="character" w:customStyle="1" w:styleId="CommentTextChar">
    <w:name w:val="Comment Text Char"/>
    <w:basedOn w:val="DefaultParagraphFont"/>
    <w:link w:val="CommentText"/>
    <w:uiPriority w:val="99"/>
    <w:semiHidden/>
    <w:rsid w:val="003E3392"/>
    <w:rPr>
      <w:sz w:val="20"/>
      <w:szCs w:val="20"/>
    </w:rPr>
  </w:style>
  <w:style w:type="paragraph" w:styleId="CommentSubject">
    <w:name w:val="annotation subject"/>
    <w:basedOn w:val="CommentText"/>
    <w:next w:val="CommentText"/>
    <w:link w:val="CommentSubjectChar"/>
    <w:uiPriority w:val="99"/>
    <w:semiHidden/>
    <w:unhideWhenUsed/>
    <w:rsid w:val="003E3392"/>
    <w:rPr>
      <w:b/>
      <w:bCs/>
    </w:rPr>
  </w:style>
  <w:style w:type="character" w:customStyle="1" w:styleId="CommentSubjectChar">
    <w:name w:val="Comment Subject Char"/>
    <w:basedOn w:val="CommentTextChar"/>
    <w:link w:val="CommentSubject"/>
    <w:uiPriority w:val="99"/>
    <w:semiHidden/>
    <w:rsid w:val="003E3392"/>
    <w:rPr>
      <w:b/>
      <w:bCs/>
      <w:sz w:val="20"/>
      <w:szCs w:val="20"/>
    </w:rPr>
  </w:style>
  <w:style w:type="paragraph" w:styleId="BalloonText">
    <w:name w:val="Balloon Text"/>
    <w:basedOn w:val="Normal"/>
    <w:link w:val="BalloonTextChar"/>
    <w:uiPriority w:val="99"/>
    <w:semiHidden/>
    <w:unhideWhenUsed/>
    <w:rsid w:val="003E3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392"/>
    <w:rPr>
      <w:rFonts w:ascii="Segoe UI" w:hAnsi="Segoe UI" w:cs="Segoe UI"/>
      <w:sz w:val="18"/>
      <w:szCs w:val="18"/>
    </w:rPr>
  </w:style>
  <w:style w:type="paragraph" w:customStyle="1" w:styleId="Default">
    <w:name w:val="Default"/>
    <w:rsid w:val="0052553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25536"/>
    <w:rPr>
      <w:color w:val="0000FF" w:themeColor="hyperlink"/>
      <w:u w:val="single"/>
    </w:rPr>
  </w:style>
  <w:style w:type="character" w:styleId="UnresolvedMention">
    <w:name w:val="Unresolved Mention"/>
    <w:basedOn w:val="DefaultParagraphFont"/>
    <w:uiPriority w:val="99"/>
    <w:semiHidden/>
    <w:unhideWhenUsed/>
    <w:rsid w:val="00B23FDF"/>
    <w:rPr>
      <w:color w:val="605E5C"/>
      <w:shd w:val="clear" w:color="auto" w:fill="E1DFDD"/>
    </w:rPr>
  </w:style>
  <w:style w:type="paragraph" w:styleId="Header">
    <w:name w:val="header"/>
    <w:basedOn w:val="Normal"/>
    <w:link w:val="HeaderChar"/>
    <w:uiPriority w:val="99"/>
    <w:unhideWhenUsed/>
    <w:rsid w:val="00CB7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031"/>
  </w:style>
  <w:style w:type="paragraph" w:styleId="Footer">
    <w:name w:val="footer"/>
    <w:basedOn w:val="Normal"/>
    <w:link w:val="FooterChar"/>
    <w:uiPriority w:val="99"/>
    <w:unhideWhenUsed/>
    <w:rsid w:val="00CB7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14</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CHISOM</dc:creator>
  <cp:lastModifiedBy>SDI 1084</cp:lastModifiedBy>
  <cp:revision>22</cp:revision>
  <dcterms:created xsi:type="dcterms:W3CDTF">2025-03-25T13:52:00Z</dcterms:created>
  <dcterms:modified xsi:type="dcterms:W3CDTF">2025-03-31T06:30:00Z</dcterms:modified>
</cp:coreProperties>
</file>