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EAEE4" w14:textId="5EA6E042" w:rsidR="00EC1586" w:rsidRPr="00E06E1B" w:rsidRDefault="00EC1586" w:rsidP="00EC1586">
      <w:pPr>
        <w:spacing w:line="360" w:lineRule="auto"/>
        <w:jc w:val="center"/>
        <w:rPr>
          <w:rFonts w:ascii="Times New Roman" w:hAnsi="Times New Roman" w:cs="Times New Roman"/>
          <w:b/>
          <w:bCs/>
          <w:w w:val="105"/>
          <w:sz w:val="28"/>
          <w:szCs w:val="28"/>
        </w:rPr>
      </w:pPr>
      <w:r w:rsidRPr="00E06E1B">
        <w:rPr>
          <w:rFonts w:ascii="Times New Roman" w:hAnsi="Times New Roman" w:cs="Times New Roman"/>
          <w:b/>
          <w:bCs/>
          <w:w w:val="105"/>
          <w:sz w:val="28"/>
          <w:szCs w:val="28"/>
        </w:rPr>
        <w:t xml:space="preserve">Effect of different application methods of </w:t>
      </w:r>
      <w:r w:rsidRPr="00E06E1B">
        <w:rPr>
          <w:rFonts w:ascii="Times New Roman" w:hAnsi="Times New Roman" w:cs="Times New Roman"/>
          <w:b/>
          <w:bCs/>
          <w:i/>
          <w:iCs/>
          <w:w w:val="105"/>
          <w:sz w:val="28"/>
          <w:szCs w:val="28"/>
        </w:rPr>
        <w:t>Trichoderma</w:t>
      </w:r>
      <w:r w:rsidRPr="00E06E1B">
        <w:rPr>
          <w:rFonts w:ascii="Times New Roman" w:hAnsi="Times New Roman" w:cs="Times New Roman"/>
          <w:b/>
          <w:bCs/>
          <w:w w:val="105"/>
          <w:sz w:val="28"/>
          <w:szCs w:val="28"/>
        </w:rPr>
        <w:t xml:space="preserve"> isolates on growth and disease response against stem and root rot disease of ground nut seedlings (</w:t>
      </w:r>
      <w:proofErr w:type="spellStart"/>
      <w:r w:rsidRPr="00E06E1B">
        <w:rPr>
          <w:rFonts w:ascii="Times New Roman" w:hAnsi="Times New Roman" w:cs="Times New Roman"/>
          <w:b/>
          <w:bCs/>
          <w:i/>
          <w:iCs/>
          <w:w w:val="105"/>
          <w:sz w:val="28"/>
          <w:szCs w:val="28"/>
        </w:rPr>
        <w:t>Arachis</w:t>
      </w:r>
      <w:proofErr w:type="spellEnd"/>
      <w:r w:rsidRPr="00E06E1B">
        <w:rPr>
          <w:rFonts w:ascii="Times New Roman" w:hAnsi="Times New Roman" w:cs="Times New Roman"/>
          <w:b/>
          <w:bCs/>
          <w:i/>
          <w:iCs/>
          <w:w w:val="105"/>
          <w:sz w:val="28"/>
          <w:szCs w:val="28"/>
        </w:rPr>
        <w:t xml:space="preserve"> hypogea L.</w:t>
      </w:r>
      <w:r w:rsidRPr="00E06E1B">
        <w:rPr>
          <w:rFonts w:ascii="Times New Roman" w:hAnsi="Times New Roman" w:cs="Times New Roman"/>
          <w:b/>
          <w:bCs/>
          <w:w w:val="105"/>
          <w:sz w:val="28"/>
          <w:szCs w:val="28"/>
        </w:rPr>
        <w:t>)</w:t>
      </w:r>
      <w:r w:rsidRPr="00E06E1B">
        <w:rPr>
          <w:rFonts w:ascii="Times New Roman" w:hAnsi="Times New Roman" w:cs="Times New Roman"/>
          <w:b/>
          <w:bCs/>
          <w:w w:val="105"/>
          <w:sz w:val="28"/>
          <w:szCs w:val="28"/>
          <w:lang w:val="en-US"/>
        </w:rPr>
        <w:t xml:space="preserve"> incited by </w:t>
      </w:r>
      <w:r w:rsidRPr="00E06E1B">
        <w:rPr>
          <w:rFonts w:ascii="Times New Roman" w:hAnsi="Times New Roman" w:cs="Times New Roman"/>
          <w:b/>
          <w:bCs/>
          <w:i/>
          <w:iCs/>
          <w:w w:val="105"/>
          <w:sz w:val="28"/>
          <w:szCs w:val="28"/>
        </w:rPr>
        <w:t xml:space="preserve">Sclerotium </w:t>
      </w:r>
      <w:proofErr w:type="spellStart"/>
      <w:r w:rsidRPr="00E06E1B">
        <w:rPr>
          <w:rFonts w:ascii="Times New Roman" w:hAnsi="Times New Roman" w:cs="Times New Roman"/>
          <w:b/>
          <w:bCs/>
          <w:i/>
          <w:iCs/>
          <w:w w:val="105"/>
          <w:sz w:val="28"/>
          <w:szCs w:val="28"/>
        </w:rPr>
        <w:t>rolfsii</w:t>
      </w:r>
      <w:proofErr w:type="spellEnd"/>
      <w:r w:rsidRPr="00E06E1B">
        <w:rPr>
          <w:rFonts w:ascii="Times New Roman" w:hAnsi="Times New Roman" w:cs="Times New Roman"/>
          <w:b/>
          <w:bCs/>
          <w:w w:val="105"/>
          <w:sz w:val="28"/>
          <w:szCs w:val="28"/>
        </w:rPr>
        <w:t xml:space="preserve"> </w:t>
      </w:r>
    </w:p>
    <w:p w14:paraId="5DF91C30" w14:textId="42A24CE6" w:rsidR="005B60E8" w:rsidRDefault="005B60E8" w:rsidP="008A009C">
      <w:pPr>
        <w:spacing w:line="360" w:lineRule="auto"/>
        <w:jc w:val="center"/>
        <w:rPr>
          <w:rFonts w:ascii="Times New Roman" w:hAnsi="Times New Roman" w:cs="Times New Roman"/>
          <w:b/>
          <w:bCs/>
          <w:w w:val="105"/>
          <w:sz w:val="24"/>
          <w:szCs w:val="24"/>
        </w:rPr>
      </w:pPr>
    </w:p>
    <w:p w14:paraId="676CD963" w14:textId="77777777" w:rsidR="00EF50A4" w:rsidRPr="0014783B" w:rsidRDefault="00EF50A4" w:rsidP="008A009C">
      <w:pPr>
        <w:spacing w:line="360" w:lineRule="auto"/>
        <w:jc w:val="center"/>
        <w:rPr>
          <w:rFonts w:ascii="Times New Roman" w:hAnsi="Times New Roman" w:cs="Times New Roman"/>
          <w:b/>
          <w:bCs/>
          <w:w w:val="105"/>
          <w:sz w:val="24"/>
          <w:szCs w:val="24"/>
        </w:rPr>
      </w:pPr>
      <w:bookmarkStart w:id="0" w:name="_GoBack"/>
      <w:bookmarkEnd w:id="0"/>
    </w:p>
    <w:p w14:paraId="2FB47D5C" w14:textId="77777777" w:rsidR="00EC1586" w:rsidRPr="0014783B" w:rsidRDefault="00EC1586" w:rsidP="00EC1586">
      <w:pPr>
        <w:spacing w:line="360" w:lineRule="auto"/>
        <w:jc w:val="both"/>
        <w:rPr>
          <w:rFonts w:ascii="Times New Roman" w:hAnsi="Times New Roman" w:cs="Times New Roman"/>
          <w:b/>
          <w:bCs/>
          <w:w w:val="105"/>
          <w:sz w:val="24"/>
          <w:szCs w:val="24"/>
        </w:rPr>
      </w:pPr>
      <w:r w:rsidRPr="0014783B">
        <w:rPr>
          <w:rFonts w:ascii="Times New Roman" w:hAnsi="Times New Roman" w:cs="Times New Roman"/>
          <w:b/>
          <w:bCs/>
          <w:w w:val="105"/>
          <w:sz w:val="24"/>
          <w:szCs w:val="24"/>
        </w:rPr>
        <w:t xml:space="preserve">ABSTRACT: </w:t>
      </w:r>
    </w:p>
    <w:p w14:paraId="3A3A0BAA" w14:textId="77BA4F49" w:rsidR="00EC1586" w:rsidRPr="0014783B" w:rsidRDefault="00EC1586" w:rsidP="00EC1586">
      <w:pPr>
        <w:spacing w:line="360" w:lineRule="auto"/>
        <w:ind w:firstLine="720"/>
        <w:jc w:val="both"/>
        <w:rPr>
          <w:rFonts w:ascii="Times New Roman" w:hAnsi="Times New Roman" w:cs="Times New Roman"/>
          <w:sz w:val="24"/>
          <w:szCs w:val="24"/>
          <w:lang w:val="en-US"/>
        </w:rPr>
      </w:pPr>
      <w:r w:rsidRPr="0014783B">
        <w:rPr>
          <w:rFonts w:ascii="Times New Roman" w:hAnsi="Times New Roman" w:cs="Times New Roman"/>
          <w:w w:val="105"/>
          <w:sz w:val="24"/>
          <w:szCs w:val="24"/>
        </w:rPr>
        <w:t xml:space="preserve">The pot culture experiment of groundnut seedlings was performed to study the efficacy of UBT 21 &amp; UBT 23 strains of </w:t>
      </w:r>
      <w:r w:rsidRPr="0014783B">
        <w:rPr>
          <w:rFonts w:ascii="Times New Roman" w:hAnsi="Times New Roman" w:cs="Times New Roman"/>
          <w:i/>
          <w:iCs/>
          <w:w w:val="105"/>
          <w:sz w:val="24"/>
          <w:szCs w:val="24"/>
        </w:rPr>
        <w:t>Trichoderma spp.</w:t>
      </w:r>
      <w:r w:rsidRPr="0014783B">
        <w:rPr>
          <w:rFonts w:ascii="Times New Roman" w:hAnsi="Times New Roman" w:cs="Times New Roman"/>
          <w:w w:val="105"/>
          <w:sz w:val="24"/>
          <w:szCs w:val="24"/>
        </w:rPr>
        <w:t xml:space="preserve"> and their application methods on seedling growth parameters, rhizosphere colonizing ability, </w:t>
      </w:r>
      <w:proofErr w:type="spellStart"/>
      <w:r w:rsidRPr="0014783B">
        <w:rPr>
          <w:rFonts w:ascii="Times New Roman" w:hAnsi="Times New Roman" w:cs="Times New Roman"/>
          <w:w w:val="105"/>
          <w:sz w:val="24"/>
          <w:szCs w:val="24"/>
        </w:rPr>
        <w:t>sclerotial</w:t>
      </w:r>
      <w:proofErr w:type="spellEnd"/>
      <w:r w:rsidRPr="0014783B">
        <w:rPr>
          <w:rFonts w:ascii="Times New Roman" w:hAnsi="Times New Roman" w:cs="Times New Roman"/>
          <w:w w:val="105"/>
          <w:sz w:val="24"/>
          <w:szCs w:val="24"/>
        </w:rPr>
        <w:t xml:space="preserve"> wilt disease reduction and induction of </w:t>
      </w:r>
      <w:proofErr w:type="spellStart"/>
      <w:r w:rsidRPr="0014783B">
        <w:rPr>
          <w:rFonts w:ascii="Times New Roman" w:hAnsi="Times New Roman" w:cs="Times New Roman"/>
          <w:w w:val="105"/>
          <w:sz w:val="24"/>
          <w:szCs w:val="24"/>
        </w:rPr>
        <w:t>defense</w:t>
      </w:r>
      <w:proofErr w:type="spellEnd"/>
      <w:r w:rsidRPr="0014783B">
        <w:rPr>
          <w:rFonts w:ascii="Times New Roman" w:hAnsi="Times New Roman" w:cs="Times New Roman"/>
          <w:w w:val="105"/>
          <w:sz w:val="24"/>
          <w:szCs w:val="24"/>
        </w:rPr>
        <w:t xml:space="preserve"> enzymes (total phenols and polyphenol oxidase)</w:t>
      </w:r>
      <w:r w:rsidRPr="0014783B">
        <w:rPr>
          <w:rFonts w:ascii="Times New Roman" w:hAnsi="Times New Roman" w:cs="Times New Roman"/>
          <w:w w:val="105"/>
          <w:sz w:val="24"/>
          <w:szCs w:val="24"/>
          <w:lang w:val="en-US"/>
        </w:rPr>
        <w:t>.</w:t>
      </w:r>
      <w:r w:rsidRPr="0014783B">
        <w:rPr>
          <w:rFonts w:ascii="Times New Roman" w:hAnsi="Times New Roman" w:cs="Times New Roman"/>
          <w:w w:val="105"/>
          <w:sz w:val="24"/>
          <w:szCs w:val="24"/>
        </w:rPr>
        <w:t xml:space="preserve">  It was found that </w:t>
      </w:r>
      <w:proofErr w:type="spellStart"/>
      <w:r w:rsidRPr="0014783B">
        <w:rPr>
          <w:rFonts w:ascii="Times New Roman" w:hAnsi="Times New Roman" w:cs="Times New Roman"/>
          <w:w w:val="105"/>
          <w:sz w:val="24"/>
          <w:szCs w:val="24"/>
        </w:rPr>
        <w:t>sh</w:t>
      </w:r>
      <w:r w:rsidRPr="0014783B">
        <w:rPr>
          <w:rFonts w:ascii="Times New Roman" w:hAnsi="Times New Roman" w:cs="Times New Roman"/>
          <w:sz w:val="24"/>
          <w:szCs w:val="24"/>
          <w:lang w:val="en-US"/>
        </w:rPr>
        <w:t>oot</w:t>
      </w:r>
      <w:proofErr w:type="spellEnd"/>
      <w:r w:rsidRPr="0014783B">
        <w:rPr>
          <w:rFonts w:ascii="Times New Roman" w:hAnsi="Times New Roman" w:cs="Times New Roman"/>
          <w:sz w:val="24"/>
          <w:szCs w:val="24"/>
          <w:lang w:val="en-US"/>
        </w:rPr>
        <w:t xml:space="preserve"> and root length varied significantly with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seedlings irrespective to method of application but soil application provided better effect on biomass development. The rhizosphere colonization by </w:t>
      </w:r>
      <w:r w:rsidRPr="0014783B">
        <w:rPr>
          <w:rFonts w:ascii="Times New Roman" w:hAnsi="Times New Roman" w:cs="Times New Roman"/>
          <w:i/>
          <w:iCs/>
          <w:sz w:val="24"/>
          <w:szCs w:val="24"/>
          <w:lang w:val="en-US"/>
        </w:rPr>
        <w:t>Trichoderma spp</w:t>
      </w:r>
      <w:r w:rsidRPr="0014783B">
        <w:rPr>
          <w:rFonts w:ascii="Times New Roman" w:hAnsi="Times New Roman" w:cs="Times New Roman"/>
          <w:sz w:val="24"/>
          <w:szCs w:val="24"/>
          <w:lang w:val="en-US"/>
        </w:rPr>
        <w:t xml:space="preserve">. was maximum in combined application with soil and seed treatment. The incidence of stem and root rot disease was reduced by 65-80% in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pots over control. Also, there was an increased total phenols and polyphenol oxidase activity in treated plots. Comparing the methods of application, the combined application by soil and seed showed better results for growth as well as disease reduction. The UBT 23 strain was found most effective than UBT 21 strain.</w:t>
      </w:r>
    </w:p>
    <w:p w14:paraId="5FDE390B" w14:textId="77777777" w:rsidR="00EC1586" w:rsidRPr="0014783B" w:rsidRDefault="00EC1586" w:rsidP="00EC1586">
      <w:pPr>
        <w:spacing w:line="360" w:lineRule="auto"/>
        <w:ind w:firstLine="720"/>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 xml:space="preserve">Key words: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Groundnut, </w:t>
      </w:r>
      <w:r w:rsidRPr="0014783B">
        <w:rPr>
          <w:rFonts w:ascii="Times New Roman" w:hAnsi="Times New Roman" w:cs="Times New Roman"/>
          <w:i/>
          <w:iCs/>
          <w:sz w:val="24"/>
          <w:szCs w:val="24"/>
          <w:lang w:val="en-US"/>
        </w:rPr>
        <w:t xml:space="preserve">Sclerotium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lang w:val="en-US"/>
        </w:rPr>
        <w:t>, Phenols and Polyphenol oxidase.</w:t>
      </w:r>
    </w:p>
    <w:p w14:paraId="5B139EF6" w14:textId="77777777" w:rsidR="005B60E8" w:rsidRDefault="005B60E8" w:rsidP="00EC1586">
      <w:pPr>
        <w:spacing w:line="360" w:lineRule="auto"/>
        <w:jc w:val="both"/>
        <w:rPr>
          <w:rFonts w:ascii="Times New Roman" w:hAnsi="Times New Roman" w:cs="Times New Roman"/>
          <w:b/>
          <w:bCs/>
          <w:sz w:val="24"/>
          <w:szCs w:val="24"/>
          <w:lang w:val="en-US"/>
        </w:rPr>
      </w:pPr>
    </w:p>
    <w:p w14:paraId="3EC85B80" w14:textId="77777777" w:rsidR="005B60E8" w:rsidRDefault="005B60E8" w:rsidP="00EC1586">
      <w:pPr>
        <w:spacing w:line="360" w:lineRule="auto"/>
        <w:jc w:val="both"/>
        <w:rPr>
          <w:rFonts w:ascii="Times New Roman" w:hAnsi="Times New Roman" w:cs="Times New Roman"/>
          <w:b/>
          <w:bCs/>
          <w:sz w:val="24"/>
          <w:szCs w:val="24"/>
          <w:lang w:val="en-US"/>
        </w:rPr>
      </w:pPr>
    </w:p>
    <w:p w14:paraId="5467FF63" w14:textId="77777777" w:rsidR="005B60E8" w:rsidRDefault="005B60E8" w:rsidP="00EC1586">
      <w:pPr>
        <w:spacing w:line="360" w:lineRule="auto"/>
        <w:jc w:val="both"/>
        <w:rPr>
          <w:rFonts w:ascii="Times New Roman" w:hAnsi="Times New Roman" w:cs="Times New Roman"/>
          <w:b/>
          <w:bCs/>
          <w:sz w:val="24"/>
          <w:szCs w:val="24"/>
          <w:lang w:val="en-US"/>
        </w:rPr>
      </w:pPr>
    </w:p>
    <w:p w14:paraId="67C2A823" w14:textId="276B249A" w:rsidR="00EC1586" w:rsidRPr="0014783B" w:rsidRDefault="00EC1586" w:rsidP="00EC1586">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INTRODUCTION: </w:t>
      </w:r>
    </w:p>
    <w:p w14:paraId="31B93084" w14:textId="2BC28990"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Groundnut (</w:t>
      </w:r>
      <w:proofErr w:type="spellStart"/>
      <w:r w:rsidRPr="0014783B">
        <w:rPr>
          <w:rFonts w:ascii="Times New Roman" w:hAnsi="Times New Roman" w:cs="Times New Roman"/>
          <w:i/>
          <w:iCs/>
          <w:sz w:val="24"/>
          <w:szCs w:val="24"/>
        </w:rPr>
        <w:t>Arachis</w:t>
      </w:r>
      <w:proofErr w:type="spellEnd"/>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hypogaea</w:t>
      </w:r>
      <w:proofErr w:type="spellEnd"/>
      <w:r w:rsidRPr="0014783B">
        <w:rPr>
          <w:rFonts w:ascii="Times New Roman" w:hAnsi="Times New Roman" w:cs="Times New Roman"/>
          <w:i/>
          <w:iCs/>
          <w:sz w:val="24"/>
          <w:szCs w:val="24"/>
          <w:lang w:val="en-US"/>
        </w:rPr>
        <w:t xml:space="preserve"> L.</w:t>
      </w:r>
      <w:r w:rsidRPr="0014783B">
        <w:rPr>
          <w:rFonts w:ascii="Times New Roman" w:hAnsi="Times New Roman" w:cs="Times New Roman"/>
          <w:sz w:val="24"/>
          <w:szCs w:val="24"/>
        </w:rPr>
        <w:t xml:space="preserve">) is one of the prominent oilseed crops in India, cultivated during </w:t>
      </w:r>
      <w:r w:rsidRPr="0014783B">
        <w:rPr>
          <w:rFonts w:ascii="Times New Roman" w:hAnsi="Times New Roman" w:cs="Times New Roman"/>
          <w:i/>
          <w:iCs/>
          <w:sz w:val="24"/>
          <w:szCs w:val="24"/>
        </w:rPr>
        <w:t>kharif</w:t>
      </w:r>
      <w:r w:rsidRPr="0014783B">
        <w:rPr>
          <w:rFonts w:ascii="Times New Roman" w:hAnsi="Times New Roman" w:cs="Times New Roman"/>
          <w:sz w:val="24"/>
          <w:szCs w:val="24"/>
        </w:rPr>
        <w:t xml:space="preserve"> and </w:t>
      </w:r>
      <w:proofErr w:type="spellStart"/>
      <w:r w:rsidRPr="0014783B">
        <w:rPr>
          <w:rFonts w:ascii="Times New Roman" w:hAnsi="Times New Roman" w:cs="Times New Roman"/>
          <w:i/>
          <w:iCs/>
          <w:sz w:val="24"/>
          <w:szCs w:val="24"/>
        </w:rPr>
        <w:t>rabi</w:t>
      </w:r>
      <w:proofErr w:type="spellEnd"/>
      <w:r w:rsidRPr="0014783B">
        <w:rPr>
          <w:rFonts w:ascii="Times New Roman" w:hAnsi="Times New Roman" w:cs="Times New Roman"/>
          <w:i/>
          <w:iCs/>
          <w:sz w:val="24"/>
          <w:szCs w:val="24"/>
        </w:rPr>
        <w:t>-summer</w:t>
      </w:r>
      <w:r w:rsidRPr="0014783B">
        <w:rPr>
          <w:rFonts w:ascii="Times New Roman" w:hAnsi="Times New Roman" w:cs="Times New Roman"/>
          <w:sz w:val="24"/>
          <w:szCs w:val="24"/>
        </w:rPr>
        <w:t xml:space="preserve"> seasons. Various diseases have been reported in groundnut crop, in that few were found to cause significant economic losses. The stem and root rot disease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is major threat for groundnut growers that it infects all the stages of crop growth. More than 27% yield losses have been reported in India due to this </w:t>
      </w:r>
      <w:r w:rsidRPr="0014783B">
        <w:rPr>
          <w:rFonts w:ascii="Times New Roman" w:hAnsi="Times New Roman" w:cs="Times New Roman"/>
          <w:sz w:val="24"/>
          <w:szCs w:val="24"/>
        </w:rPr>
        <w:lastRenderedPageBreak/>
        <w:t>disease (</w:t>
      </w:r>
      <w:proofErr w:type="spellStart"/>
      <w:r w:rsidRPr="0014783B">
        <w:rPr>
          <w:rFonts w:ascii="Times New Roman" w:hAnsi="Times New Roman" w:cs="Times New Roman"/>
          <w:sz w:val="24"/>
          <w:szCs w:val="24"/>
        </w:rPr>
        <w:t>Chohan</w:t>
      </w:r>
      <w:proofErr w:type="spellEnd"/>
      <w:r w:rsidRPr="0014783B">
        <w:rPr>
          <w:rFonts w:ascii="Times New Roman" w:hAnsi="Times New Roman" w:cs="Times New Roman"/>
          <w:sz w:val="24"/>
          <w:szCs w:val="24"/>
        </w:rPr>
        <w:t xml:space="preserve">, 1974). The pathogen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infects both the living plant cells and plant debris, as well as the sclerotia can survive for several years in soil. The previous crop residue present can significantly influence the </w:t>
      </w:r>
      <w:proofErr w:type="spellStart"/>
      <w:r w:rsidRPr="0014783B">
        <w:rPr>
          <w:rFonts w:ascii="Times New Roman" w:hAnsi="Times New Roman" w:cs="Times New Roman"/>
          <w:sz w:val="24"/>
          <w:szCs w:val="24"/>
        </w:rPr>
        <w:t>sclerotial</w:t>
      </w:r>
      <w:proofErr w:type="spellEnd"/>
      <w:r w:rsidRPr="0014783B">
        <w:rPr>
          <w:rFonts w:ascii="Times New Roman" w:hAnsi="Times New Roman" w:cs="Times New Roman"/>
          <w:sz w:val="24"/>
          <w:szCs w:val="24"/>
        </w:rPr>
        <w:t xml:space="preserve"> germination, the growth of mycelium, and there by infection process of </w:t>
      </w:r>
      <w:r w:rsidRPr="0014783B">
        <w:rPr>
          <w:rFonts w:ascii="Times New Roman" w:hAnsi="Times New Roman" w:cs="Times New Roman"/>
          <w:i/>
          <w:iCs/>
          <w:sz w:val="24"/>
          <w:szCs w:val="24"/>
        </w:rPr>
        <w:t>S</w:t>
      </w:r>
      <w:r w:rsidRPr="0014783B">
        <w:rPr>
          <w:rFonts w:ascii="Times New Roman" w:hAnsi="Times New Roman" w:cs="Times New Roman"/>
          <w:i/>
          <w:iCs/>
          <w:sz w:val="24"/>
          <w:szCs w:val="24"/>
          <w:lang w:val="en-US"/>
        </w:rPr>
        <w:t>.</w:t>
      </w:r>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in groundnut (Kumar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2010). Due to its wide host range and soilborne nature of this pathogen, it becomes a challenge to manage the disease by using conventional and chemical methods. Biological control offers environment friendly and natural alternative to chemical method for management of various soil</w:t>
      </w:r>
      <w:r w:rsidRPr="0014783B">
        <w:rPr>
          <w:rFonts w:ascii="Times New Roman" w:hAnsi="Times New Roman" w:cs="Times New Roman"/>
          <w:sz w:val="24"/>
          <w:szCs w:val="24"/>
          <w:lang w:val="en-US"/>
        </w:rPr>
        <w:t>-</w:t>
      </w:r>
      <w:r w:rsidRPr="0014783B">
        <w:rPr>
          <w:rFonts w:ascii="Times New Roman" w:hAnsi="Times New Roman" w:cs="Times New Roman"/>
          <w:sz w:val="24"/>
          <w:szCs w:val="24"/>
        </w:rPr>
        <w:t>borne plant pathogens</w:t>
      </w:r>
      <w:r w:rsidRPr="0014783B">
        <w:rPr>
          <w:rFonts w:ascii="Times New Roman" w:hAnsi="Times New Roman" w:cs="Times New Roman"/>
          <w:sz w:val="24"/>
          <w:szCs w:val="24"/>
          <w:lang w:val="en-US"/>
        </w:rPr>
        <w:t xml:space="preserve"> including </w:t>
      </w:r>
      <w:r w:rsidRPr="0014783B">
        <w:rPr>
          <w:rFonts w:ascii="Times New Roman" w:hAnsi="Times New Roman" w:cs="Times New Roman"/>
          <w:i/>
          <w:iCs/>
          <w:sz w:val="24"/>
          <w:szCs w:val="24"/>
          <w:lang w:val="en-US"/>
        </w:rPr>
        <w:t xml:space="preserve">S.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rPr>
        <w:t xml:space="preserve"> (</w:t>
      </w:r>
      <w:proofErr w:type="spellStart"/>
      <w:r w:rsidRPr="0014783B">
        <w:rPr>
          <w:rFonts w:ascii="Times New Roman" w:hAnsi="Times New Roman" w:cs="Times New Roman"/>
          <w:sz w:val="24"/>
          <w:szCs w:val="24"/>
        </w:rPr>
        <w:t>Papavizas</w:t>
      </w:r>
      <w:proofErr w:type="spellEnd"/>
      <w:r w:rsidRPr="0014783B">
        <w:rPr>
          <w:rFonts w:ascii="Times New Roman" w:hAnsi="Times New Roman" w:cs="Times New Roman"/>
          <w:sz w:val="24"/>
          <w:szCs w:val="24"/>
        </w:rPr>
        <w:t>, 1985).</w:t>
      </w:r>
    </w:p>
    <w:p w14:paraId="2886FDB7" w14:textId="77777777"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Among fungi,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species have been widely used for management of various plant pathogens. Several species, including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hamatum</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viridae</w:t>
      </w:r>
      <w:proofErr w:type="spellEnd"/>
      <w:r w:rsidRPr="0014783B">
        <w:rPr>
          <w:rFonts w:ascii="Times New Roman" w:hAnsi="Times New Roman" w:cs="Times New Roman"/>
          <w:i/>
          <w:iCs/>
          <w:sz w:val="24"/>
          <w:szCs w:val="24"/>
        </w:rPr>
        <w:t xml:space="preserve">, T.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virens</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asperellum</w:t>
      </w:r>
      <w:proofErr w:type="spellEnd"/>
      <w:r w:rsidRPr="0014783B">
        <w:rPr>
          <w:rFonts w:ascii="Times New Roman" w:hAnsi="Times New Roman" w:cs="Times New Roman"/>
          <w:sz w:val="24"/>
          <w:szCs w:val="24"/>
        </w:rPr>
        <w:t xml:space="preserve">, and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atroviride</w:t>
      </w:r>
      <w:proofErr w:type="spellEnd"/>
      <w:r w:rsidRPr="0014783B">
        <w:rPr>
          <w:rFonts w:ascii="Times New Roman" w:hAnsi="Times New Roman" w:cs="Times New Roman"/>
          <w:sz w:val="24"/>
          <w:szCs w:val="24"/>
        </w:rPr>
        <w:t xml:space="preserve"> are identified as potential biological control agents against a wide range of phytopathogenic fungi (Bell, 1994).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 xml:space="preserve">. promotes the disease reduction by various mechanisms that include antibiotic production (antibiosis), </w:t>
      </w:r>
      <w:proofErr w:type="spellStart"/>
      <w:r w:rsidRPr="0014783B">
        <w:rPr>
          <w:rFonts w:ascii="Times New Roman" w:hAnsi="Times New Roman" w:cs="Times New Roman"/>
          <w:sz w:val="24"/>
          <w:szCs w:val="24"/>
        </w:rPr>
        <w:t>mycoparsitsim</w:t>
      </w:r>
      <w:proofErr w:type="spellEnd"/>
      <w:r w:rsidRPr="0014783B">
        <w:rPr>
          <w:rFonts w:ascii="Times New Roman" w:hAnsi="Times New Roman" w:cs="Times New Roman"/>
          <w:sz w:val="24"/>
          <w:szCs w:val="24"/>
        </w:rPr>
        <w:t xml:space="preserve"> and competition for nutrients and space (Harman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2004). Besides that, the root-colonizing beneficial microbes like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can enhance plant health and stimulate systemic resistance to </w:t>
      </w:r>
      <w:proofErr w:type="spellStart"/>
      <w:r w:rsidRPr="0014783B">
        <w:rPr>
          <w:rFonts w:ascii="Times New Roman" w:hAnsi="Times New Roman" w:cs="Times New Roman"/>
          <w:sz w:val="24"/>
          <w:szCs w:val="24"/>
        </w:rPr>
        <w:t>phyto</w:t>
      </w:r>
      <w:proofErr w:type="spellEnd"/>
      <w:r w:rsidRPr="0014783B">
        <w:rPr>
          <w:rFonts w:ascii="Times New Roman" w:hAnsi="Times New Roman" w:cs="Times New Roman"/>
          <w:sz w:val="24"/>
          <w:szCs w:val="24"/>
        </w:rPr>
        <w:t xml:space="preserve">-pathogens by triggering </w:t>
      </w:r>
      <w:proofErr w:type="spellStart"/>
      <w:r w:rsidRPr="0014783B">
        <w:rPr>
          <w:rFonts w:ascii="Times New Roman" w:hAnsi="Times New Roman" w:cs="Times New Roman"/>
          <w:sz w:val="24"/>
          <w:szCs w:val="24"/>
        </w:rPr>
        <w:t>defense</w:t>
      </w:r>
      <w:proofErr w:type="spellEnd"/>
      <w:r w:rsidRPr="0014783B">
        <w:rPr>
          <w:rFonts w:ascii="Times New Roman" w:hAnsi="Times New Roman" w:cs="Times New Roman"/>
          <w:sz w:val="24"/>
          <w:szCs w:val="24"/>
        </w:rPr>
        <w:t xml:space="preserve"> response mechanisms in plants (Hossain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2016). Biswas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(2000) reported that two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isolates significantly reduced the stem rot incidence in ground nut with a reduction of 33-50% when seed treated and 72-83% when applied to the soil in pot trials.</w:t>
      </w:r>
    </w:p>
    <w:p w14:paraId="5DC00D13" w14:textId="77777777"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By considering the above stated research facts, a research study was carried out to know the efficacy of </w:t>
      </w:r>
      <w:r w:rsidRPr="0014783B">
        <w:rPr>
          <w:rFonts w:ascii="Times New Roman" w:hAnsi="Times New Roman" w:cs="Times New Roman"/>
          <w:i/>
          <w:iCs/>
          <w:sz w:val="24"/>
          <w:szCs w:val="24"/>
        </w:rPr>
        <w:t xml:space="preserve">Trichoderma </w:t>
      </w:r>
      <w:r w:rsidRPr="0014783B">
        <w:rPr>
          <w:rFonts w:ascii="Times New Roman" w:hAnsi="Times New Roman" w:cs="Times New Roman"/>
          <w:sz w:val="24"/>
          <w:szCs w:val="24"/>
        </w:rPr>
        <w:t xml:space="preserve">isolates and their methods of application on seedling growth, disease reduction and </w:t>
      </w:r>
      <w:proofErr w:type="spellStart"/>
      <w:r w:rsidRPr="0014783B">
        <w:rPr>
          <w:rFonts w:ascii="Times New Roman" w:hAnsi="Times New Roman" w:cs="Times New Roman"/>
          <w:sz w:val="24"/>
          <w:szCs w:val="24"/>
        </w:rPr>
        <w:t>defense</w:t>
      </w:r>
      <w:proofErr w:type="spellEnd"/>
      <w:r w:rsidRPr="0014783B">
        <w:rPr>
          <w:rFonts w:ascii="Times New Roman" w:hAnsi="Times New Roman" w:cs="Times New Roman"/>
          <w:sz w:val="24"/>
          <w:szCs w:val="24"/>
        </w:rPr>
        <w:t xml:space="preserve"> enzymes induction on infection with </w:t>
      </w:r>
      <w:r w:rsidRPr="0014783B">
        <w:rPr>
          <w:rFonts w:ascii="Times New Roman" w:hAnsi="Times New Roman" w:cs="Times New Roman"/>
          <w:i/>
          <w:iCs/>
          <w:sz w:val="24"/>
          <w:szCs w:val="24"/>
        </w:rPr>
        <w:t>S</w:t>
      </w:r>
      <w:r w:rsidRPr="0014783B">
        <w:rPr>
          <w:rFonts w:ascii="Times New Roman" w:hAnsi="Times New Roman" w:cs="Times New Roman"/>
          <w:i/>
          <w:iCs/>
          <w:sz w:val="24"/>
          <w:szCs w:val="24"/>
          <w:lang w:val="en-US"/>
        </w:rPr>
        <w:t>.</w:t>
      </w:r>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
    <w:p w14:paraId="4E1997E1" w14:textId="77777777" w:rsidR="005B60E8" w:rsidRDefault="005B60E8" w:rsidP="00362F98">
      <w:pPr>
        <w:spacing w:line="360" w:lineRule="auto"/>
        <w:jc w:val="both"/>
        <w:rPr>
          <w:rFonts w:ascii="Times New Roman" w:hAnsi="Times New Roman" w:cs="Times New Roman"/>
          <w:b/>
          <w:bCs/>
          <w:sz w:val="24"/>
          <w:szCs w:val="24"/>
          <w:lang w:val="en-US"/>
        </w:rPr>
      </w:pPr>
    </w:p>
    <w:p w14:paraId="43E9DE27" w14:textId="77777777" w:rsidR="005B60E8" w:rsidRDefault="005B60E8" w:rsidP="00362F98">
      <w:pPr>
        <w:spacing w:line="360" w:lineRule="auto"/>
        <w:jc w:val="both"/>
        <w:rPr>
          <w:rFonts w:ascii="Times New Roman" w:hAnsi="Times New Roman" w:cs="Times New Roman"/>
          <w:b/>
          <w:bCs/>
          <w:sz w:val="24"/>
          <w:szCs w:val="24"/>
          <w:lang w:val="en-US"/>
        </w:rPr>
      </w:pPr>
    </w:p>
    <w:p w14:paraId="2F1397A1" w14:textId="46E46B01" w:rsidR="00362F98" w:rsidRPr="0014783B" w:rsidRDefault="00362F98" w:rsidP="00362F98">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MATERIALS AND METHOD: </w:t>
      </w:r>
    </w:p>
    <w:p w14:paraId="1DACC884" w14:textId="5630663B" w:rsidR="00362F98" w:rsidRPr="0014783B" w:rsidRDefault="00362F98" w:rsidP="00362F98">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lang w:val="en-US"/>
        </w:rPr>
        <w:tab/>
      </w:r>
      <w:r w:rsidRPr="0014783B">
        <w:rPr>
          <w:rFonts w:ascii="Times New Roman" w:hAnsi="Times New Roman" w:cs="Times New Roman"/>
          <w:sz w:val="24"/>
          <w:szCs w:val="24"/>
          <w:lang w:val="en-US"/>
        </w:rPr>
        <w:t xml:space="preserve">Under </w:t>
      </w:r>
      <w:r w:rsidR="005B60E8" w:rsidRPr="0014783B">
        <w:rPr>
          <w:rFonts w:ascii="Times New Roman" w:hAnsi="Times New Roman" w:cs="Times New Roman"/>
          <w:sz w:val="24"/>
          <w:szCs w:val="24"/>
          <w:lang w:val="en-US"/>
        </w:rPr>
        <w:t>greenhouse</w:t>
      </w:r>
      <w:r w:rsidRPr="0014783B">
        <w:rPr>
          <w:rFonts w:ascii="Times New Roman" w:hAnsi="Times New Roman" w:cs="Times New Roman"/>
          <w:sz w:val="24"/>
          <w:szCs w:val="24"/>
          <w:lang w:val="en-US"/>
        </w:rPr>
        <w:t xml:space="preserve"> conditions, the pot culture experiment of ground nut seedlings was conducted at Department of Plant Pathology, Uttar </w:t>
      </w:r>
      <w:proofErr w:type="spellStart"/>
      <w:r w:rsidRPr="0014783B">
        <w:rPr>
          <w:rFonts w:ascii="Times New Roman" w:hAnsi="Times New Roman" w:cs="Times New Roman"/>
          <w:sz w:val="24"/>
          <w:szCs w:val="24"/>
          <w:lang w:val="en-US"/>
        </w:rPr>
        <w:t>Banga</w:t>
      </w:r>
      <w:proofErr w:type="spellEnd"/>
      <w:r w:rsidRPr="0014783B">
        <w:rPr>
          <w:rFonts w:ascii="Times New Roman" w:hAnsi="Times New Roman" w:cs="Times New Roman"/>
          <w:sz w:val="24"/>
          <w:szCs w:val="24"/>
          <w:lang w:val="en-US"/>
        </w:rPr>
        <w:t xml:space="preserve"> Krishi </w:t>
      </w:r>
      <w:proofErr w:type="spellStart"/>
      <w:r w:rsidRPr="0014783B">
        <w:rPr>
          <w:rFonts w:ascii="Times New Roman" w:hAnsi="Times New Roman" w:cs="Times New Roman"/>
          <w:sz w:val="24"/>
          <w:szCs w:val="24"/>
          <w:lang w:val="en-US"/>
        </w:rPr>
        <w:t>Viswavidyalaya</w:t>
      </w:r>
      <w:proofErr w:type="spellEnd"/>
      <w:r w:rsidRPr="0014783B">
        <w:rPr>
          <w:rFonts w:ascii="Times New Roman" w:hAnsi="Times New Roman" w:cs="Times New Roman"/>
          <w:sz w:val="24"/>
          <w:szCs w:val="24"/>
          <w:lang w:val="en-US"/>
        </w:rPr>
        <w:t xml:space="preserve">, Cooch Behar, West Bengal during the </w:t>
      </w:r>
      <w:proofErr w:type="spellStart"/>
      <w:r w:rsidR="00D03B20" w:rsidRPr="0014783B">
        <w:rPr>
          <w:rFonts w:ascii="Times New Roman" w:hAnsi="Times New Roman" w:cs="Times New Roman"/>
          <w:i/>
          <w:iCs/>
          <w:sz w:val="24"/>
          <w:szCs w:val="24"/>
          <w:lang w:val="en-US"/>
        </w:rPr>
        <w:t>rabi</w:t>
      </w:r>
      <w:proofErr w:type="spellEnd"/>
      <w:r w:rsidR="00D03B20" w:rsidRPr="0014783B">
        <w:rPr>
          <w:rFonts w:ascii="Times New Roman" w:hAnsi="Times New Roman" w:cs="Times New Roman"/>
          <w:sz w:val="24"/>
          <w:szCs w:val="24"/>
          <w:lang w:val="en-US"/>
        </w:rPr>
        <w:t xml:space="preserve"> </w:t>
      </w:r>
      <w:r w:rsidRPr="0014783B">
        <w:rPr>
          <w:rFonts w:ascii="Times New Roman" w:hAnsi="Times New Roman" w:cs="Times New Roman"/>
          <w:sz w:val="24"/>
          <w:szCs w:val="24"/>
          <w:lang w:val="en-US"/>
        </w:rPr>
        <w:t>season</w:t>
      </w:r>
      <w:r w:rsidR="002E7B25" w:rsidRPr="0014783B">
        <w:rPr>
          <w:rFonts w:ascii="Times New Roman" w:hAnsi="Times New Roman" w:cs="Times New Roman"/>
          <w:sz w:val="24"/>
          <w:szCs w:val="24"/>
          <w:lang w:val="en-US"/>
        </w:rPr>
        <w:t xml:space="preserve"> (2018-19)</w:t>
      </w:r>
      <w:r w:rsidRPr="0014783B">
        <w:rPr>
          <w:rFonts w:ascii="Times New Roman" w:hAnsi="Times New Roman" w:cs="Times New Roman"/>
          <w:sz w:val="24"/>
          <w:szCs w:val="24"/>
          <w:lang w:val="en-US"/>
        </w:rPr>
        <w:t xml:space="preserve">. Soil and Farm yard manure were collected and fumigated with 4% formalin and mixed thoroughly in 9:1 ratio in pots. The pure culture of </w:t>
      </w:r>
      <w:r w:rsidRPr="0014783B">
        <w:rPr>
          <w:rFonts w:ascii="Times New Roman" w:hAnsi="Times New Roman" w:cs="Times New Roman"/>
          <w:i/>
          <w:iCs/>
          <w:sz w:val="24"/>
          <w:szCs w:val="24"/>
          <w:lang w:val="en-US"/>
        </w:rPr>
        <w:t xml:space="preserve">S.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lang w:val="en-US"/>
        </w:rPr>
        <w:t xml:space="preserve"> with mycelia and sclerotium are finely grounded and mixed with the soil to create sick soils. Then it is left for a week by sprinkling water for inoculum development and </w:t>
      </w:r>
      <w:r w:rsidRPr="0014783B">
        <w:rPr>
          <w:rFonts w:ascii="Times New Roman" w:hAnsi="Times New Roman" w:cs="Times New Roman"/>
          <w:sz w:val="24"/>
          <w:szCs w:val="24"/>
          <w:lang w:val="en-US"/>
        </w:rPr>
        <w:lastRenderedPageBreak/>
        <w:t xml:space="preserve">make the soil sick. Later groundnut seeds of TG-37A variety were sown in the pots. For this, two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isolates (UBT21 &amp; UBT 23) from culture repository of Department of Plant Pathology were used. The culture filtrate was obtained from the leftover culture media after harvesting of mycelial mat i.e., strained through Whatman no.1 filter papers by taking care that no spore or mycelia present in it. Sodium </w:t>
      </w:r>
      <w:proofErr w:type="spellStart"/>
      <w:r w:rsidRPr="0014783B">
        <w:rPr>
          <w:rFonts w:ascii="Times New Roman" w:hAnsi="Times New Roman" w:cs="Times New Roman"/>
          <w:sz w:val="24"/>
          <w:szCs w:val="24"/>
          <w:lang w:val="en-US"/>
        </w:rPr>
        <w:t>azide</w:t>
      </w:r>
      <w:proofErr w:type="spellEnd"/>
      <w:r w:rsidRPr="0014783B">
        <w:rPr>
          <w:rFonts w:ascii="Times New Roman" w:hAnsi="Times New Roman" w:cs="Times New Roman"/>
          <w:sz w:val="24"/>
          <w:szCs w:val="24"/>
          <w:lang w:val="en-US"/>
        </w:rPr>
        <w:t xml:space="preserve"> was added to prevent further spore development. The Trichoderma talc formulations was prepared using the harvested mycelial mat and keeping the viable population of </w:t>
      </w:r>
      <w:r w:rsidRPr="0014783B">
        <w:rPr>
          <w:rFonts w:ascii="Times New Roman" w:hAnsi="Times New Roman" w:cs="Times New Roman"/>
          <w:sz w:val="24"/>
          <w:szCs w:val="24"/>
        </w:rPr>
        <w:t>10</w:t>
      </w:r>
      <w:r w:rsidRPr="0014783B">
        <w:rPr>
          <w:rFonts w:ascii="Times New Roman" w:hAnsi="Times New Roman" w:cs="Times New Roman"/>
          <w:sz w:val="24"/>
          <w:szCs w:val="24"/>
          <w:vertAlign w:val="superscript"/>
        </w:rPr>
        <w:t>11</w:t>
      </w:r>
      <w:r w:rsidRPr="0014783B">
        <w:rPr>
          <w:rFonts w:ascii="Times New Roman" w:hAnsi="Times New Roman" w:cs="Times New Roman"/>
          <w:spacing w:val="39"/>
          <w:sz w:val="24"/>
          <w:szCs w:val="24"/>
        </w:rPr>
        <w:t xml:space="preserve"> </w:t>
      </w:r>
      <w:r w:rsidRPr="0014783B">
        <w:rPr>
          <w:rFonts w:ascii="Times New Roman" w:hAnsi="Times New Roman" w:cs="Times New Roman"/>
          <w:sz w:val="24"/>
          <w:szCs w:val="24"/>
        </w:rPr>
        <w:t>to</w:t>
      </w:r>
      <w:r w:rsidRPr="0014783B">
        <w:rPr>
          <w:rFonts w:ascii="Times New Roman" w:hAnsi="Times New Roman" w:cs="Times New Roman"/>
          <w:spacing w:val="38"/>
          <w:sz w:val="24"/>
          <w:szCs w:val="24"/>
        </w:rPr>
        <w:t xml:space="preserve"> </w:t>
      </w:r>
      <w:r w:rsidRPr="0014783B">
        <w:rPr>
          <w:rFonts w:ascii="Times New Roman" w:hAnsi="Times New Roman" w:cs="Times New Roman"/>
          <w:sz w:val="24"/>
          <w:szCs w:val="24"/>
        </w:rPr>
        <w:t>10</w:t>
      </w:r>
      <w:r w:rsidRPr="0014783B">
        <w:rPr>
          <w:rFonts w:ascii="Times New Roman" w:hAnsi="Times New Roman" w:cs="Times New Roman"/>
          <w:sz w:val="24"/>
          <w:szCs w:val="24"/>
          <w:vertAlign w:val="superscript"/>
        </w:rPr>
        <w:t>12</w:t>
      </w:r>
      <w:r w:rsidRPr="0014783B">
        <w:rPr>
          <w:rFonts w:ascii="Times New Roman" w:hAnsi="Times New Roman" w:cs="Times New Roman"/>
          <w:sz w:val="24"/>
          <w:szCs w:val="24"/>
        </w:rPr>
        <w:t xml:space="preserve">cfu/g talc formulation which </w:t>
      </w:r>
      <w:r w:rsidRPr="0014783B">
        <w:rPr>
          <w:rFonts w:ascii="Times New Roman" w:hAnsi="Times New Roman" w:cs="Times New Roman"/>
          <w:sz w:val="24"/>
          <w:szCs w:val="24"/>
          <w:lang w:val="en-US"/>
        </w:rPr>
        <w:t xml:space="preserve">were </w:t>
      </w:r>
      <w:r w:rsidRPr="0014783B">
        <w:rPr>
          <w:rFonts w:ascii="Times New Roman" w:hAnsi="Times New Roman" w:cs="Times New Roman"/>
          <w:sz w:val="24"/>
          <w:szCs w:val="24"/>
        </w:rPr>
        <w:t xml:space="preserve">used for soil and seed treatment in the experiment. </w:t>
      </w:r>
      <w:r w:rsidRPr="0014783B">
        <w:rPr>
          <w:rFonts w:ascii="Times New Roman" w:hAnsi="Times New Roman" w:cs="Times New Roman"/>
          <w:sz w:val="24"/>
          <w:szCs w:val="24"/>
          <w:lang w:val="en-US"/>
        </w:rPr>
        <w:t xml:space="preserve">The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isolates along with their method of application were designed into 10 treatments with 10 pots each.</w:t>
      </w:r>
    </w:p>
    <w:p w14:paraId="60AA5486" w14:textId="77777777" w:rsidR="00362F98" w:rsidRPr="0014783B" w:rsidRDefault="00362F98" w:rsidP="00362F98">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Treatment details: </w:t>
      </w:r>
    </w:p>
    <w:p w14:paraId="01797392"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T1: Soil application of UBT 21, T2: Seed treatment of UBT 21, T3: Seed treatment with culture filtrate of UBT 21,  T4: Seed treatment + Soil application of UBT 21, T5: Soil application + seed treatment with culture filtrate of UBT 21, T6: Soil application of UBT 23, T7: Seed treatment of UBT 23, T8: Seed treatment with culture filtrate of UBT 23, T9: Seed treatment + Soil application of UBT 23, T10: Soil application+ seed treatment with culture filtrate of UBT 23</w:t>
      </w:r>
    </w:p>
    <w:p w14:paraId="2B53682E" w14:textId="77777777" w:rsidR="00362F98" w:rsidRPr="0014783B" w:rsidRDefault="00362F98" w:rsidP="00362F98">
      <w:pPr>
        <w:spacing w:line="24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Seedling growth parameters: </w:t>
      </w:r>
    </w:p>
    <w:p w14:paraId="39D072C5"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The germination (%) was estimated by the following formula (ISTA, 1999). </w:t>
      </w:r>
    </w:p>
    <w:p w14:paraId="0CCFCE8B"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Germination (%) = No. of seed germinated/ Total seed kept for germination × 100</w:t>
      </w:r>
    </w:p>
    <w:p w14:paraId="1B33538F"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Measurement of shoot length, root length and canopy width:  </w:t>
      </w:r>
    </w:p>
    <w:p w14:paraId="1B195D1C"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Seedlings were randomly selected from 15 and 21days old seedlings. Nearly 10 seedlings were selected, measured for its canopy width. Later cut the shoot and root portions and length measured by using a scale. </w:t>
      </w:r>
    </w:p>
    <w:p w14:paraId="3715AB94"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Determination of shoot and root dry weight:</w:t>
      </w:r>
    </w:p>
    <w:p w14:paraId="55640D47"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 After recording shoot and root length, they are taken in brown paper bags and placed in hot air oven (70</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C± 2</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 xml:space="preserve">C) for 48 hours. The dry weights were measured on a weighing balance. </w:t>
      </w:r>
    </w:p>
    <w:p w14:paraId="7A5E45B0"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Determination of vigour index </w:t>
      </w:r>
    </w:p>
    <w:p w14:paraId="0DA47C88"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Seed vigour index was calculated according to Abdul-</w:t>
      </w:r>
      <w:proofErr w:type="spellStart"/>
      <w:r w:rsidRPr="0014783B">
        <w:rPr>
          <w:rFonts w:ascii="Times New Roman" w:hAnsi="Times New Roman" w:cs="Times New Roman"/>
          <w:sz w:val="24"/>
          <w:szCs w:val="24"/>
        </w:rPr>
        <w:t>Baki</w:t>
      </w:r>
      <w:proofErr w:type="spellEnd"/>
      <w:r w:rsidRPr="0014783B">
        <w:rPr>
          <w:rFonts w:ascii="Times New Roman" w:hAnsi="Times New Roman" w:cs="Times New Roman"/>
          <w:sz w:val="24"/>
          <w:szCs w:val="24"/>
        </w:rPr>
        <w:t xml:space="preserve"> and Anderson (1973) formula. </w:t>
      </w:r>
    </w:p>
    <w:p w14:paraId="7A4A302A"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lastRenderedPageBreak/>
        <w:t>Vigour index = Germination percentage × Seedling dry weight</w:t>
      </w:r>
    </w:p>
    <w:p w14:paraId="0B26B565"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Estimation of rhizosphere </w:t>
      </w:r>
      <w:r w:rsidRPr="0014783B">
        <w:rPr>
          <w:rFonts w:ascii="Times New Roman" w:hAnsi="Times New Roman" w:cs="Times New Roman"/>
          <w:b/>
          <w:bCs/>
          <w:i/>
          <w:iCs/>
          <w:sz w:val="24"/>
          <w:szCs w:val="24"/>
        </w:rPr>
        <w:t>Trichoderma</w:t>
      </w:r>
      <w:r w:rsidRPr="0014783B">
        <w:rPr>
          <w:rFonts w:ascii="Times New Roman" w:hAnsi="Times New Roman" w:cs="Times New Roman"/>
          <w:b/>
          <w:bCs/>
          <w:sz w:val="24"/>
          <w:szCs w:val="24"/>
        </w:rPr>
        <w:t xml:space="preserve"> population: </w:t>
      </w:r>
    </w:p>
    <w:p w14:paraId="67099A2A" w14:textId="4F989B32"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r>
      <w:r w:rsidRPr="0014783B">
        <w:rPr>
          <w:rFonts w:ascii="Times New Roman" w:hAnsi="Times New Roman" w:cs="Times New Roman"/>
          <w:sz w:val="24"/>
          <w:szCs w:val="24"/>
        </w:rPr>
        <w:t xml:space="preserve">Soil samples (10g) were collected from the rhizosphere region of 10 treatments. The estimation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was done by serial dilution followed by Agar plate method (Clark, 1965). They are grown in Trichoderma specific medium</w:t>
      </w:r>
      <w:r w:rsidRPr="0014783B">
        <w:rPr>
          <w:rFonts w:ascii="Times New Roman" w:hAnsi="Times New Roman" w:cs="Times New Roman"/>
          <w:sz w:val="24"/>
          <w:szCs w:val="24"/>
          <w:lang w:val="en-US"/>
        </w:rPr>
        <w:t xml:space="preserve"> (</w:t>
      </w:r>
      <w:proofErr w:type="spellStart"/>
      <w:r w:rsidRPr="0014783B">
        <w:rPr>
          <w:rFonts w:ascii="Times New Roman" w:hAnsi="Times New Roman" w:cs="Times New Roman"/>
          <w:sz w:val="24"/>
          <w:szCs w:val="24"/>
          <w:lang w:val="en-US"/>
        </w:rPr>
        <w:t>Elad</w:t>
      </w:r>
      <w:proofErr w:type="spellEnd"/>
      <w:r w:rsidRPr="0014783B">
        <w:rPr>
          <w:rFonts w:ascii="Times New Roman" w:hAnsi="Times New Roman" w:cs="Times New Roman"/>
          <w:sz w:val="24"/>
          <w:szCs w:val="24"/>
          <w:lang w:val="en-US"/>
        </w:rPr>
        <w:t xml:space="preserve"> </w:t>
      </w:r>
      <w:r w:rsidRPr="0014783B">
        <w:rPr>
          <w:rFonts w:ascii="Times New Roman" w:hAnsi="Times New Roman" w:cs="Times New Roman"/>
          <w:i/>
          <w:iCs/>
          <w:sz w:val="24"/>
          <w:szCs w:val="24"/>
          <w:lang w:val="en-US"/>
        </w:rPr>
        <w:t>et al</w:t>
      </w:r>
      <w:r w:rsidRPr="0014783B">
        <w:rPr>
          <w:rFonts w:ascii="Times New Roman" w:hAnsi="Times New Roman" w:cs="Times New Roman"/>
          <w:sz w:val="24"/>
          <w:szCs w:val="24"/>
          <w:lang w:val="en-US"/>
        </w:rPr>
        <w:t>., 1982</w:t>
      </w:r>
      <w:r w:rsidR="007D0694" w:rsidRPr="0014783B">
        <w:rPr>
          <w:rFonts w:ascii="Times New Roman" w:hAnsi="Times New Roman" w:cs="Times New Roman"/>
          <w:sz w:val="24"/>
          <w:szCs w:val="24"/>
          <w:lang w:val="en-US"/>
        </w:rPr>
        <w:t>)</w:t>
      </w:r>
      <w:r w:rsidRPr="0014783B">
        <w:rPr>
          <w:rFonts w:ascii="Times New Roman" w:hAnsi="Times New Roman" w:cs="Times New Roman"/>
          <w:sz w:val="24"/>
          <w:szCs w:val="24"/>
        </w:rPr>
        <w:t xml:space="preserve"> and later the number of colonies formed are multiplied to their dilution factor to get the number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per gram soil collected. Later they are transformed to log scale.</w:t>
      </w:r>
    </w:p>
    <w:p w14:paraId="766C191E"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Disease incidence:</w:t>
      </w:r>
    </w:p>
    <w:p w14:paraId="2C0C8843"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The disease incidence percentage was calculated using </w:t>
      </w:r>
      <w:proofErr w:type="spellStart"/>
      <w:r w:rsidRPr="0014783B">
        <w:rPr>
          <w:rFonts w:ascii="Times New Roman" w:hAnsi="Times New Roman" w:cs="Times New Roman"/>
          <w:sz w:val="24"/>
          <w:szCs w:val="24"/>
        </w:rPr>
        <w:t>Kokalis-Burelle</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(1992) formula.</w:t>
      </w:r>
    </w:p>
    <w:p w14:paraId="77D44F9F" w14:textId="77777777" w:rsidR="00362F98" w:rsidRPr="0014783B" w:rsidRDefault="00362F98" w:rsidP="00362F98">
      <w:pPr>
        <w:spacing w:line="360" w:lineRule="auto"/>
        <w:jc w:val="center"/>
        <w:rPr>
          <w:rFonts w:ascii="Times New Roman" w:hAnsi="Times New Roman" w:cs="Times New Roman"/>
          <w:sz w:val="24"/>
          <w:szCs w:val="24"/>
        </w:rPr>
      </w:pPr>
      <w:r w:rsidRPr="0014783B">
        <w:rPr>
          <w:rFonts w:ascii="Times New Roman" w:hAnsi="Times New Roman" w:cs="Times New Roman"/>
          <w:sz w:val="24"/>
          <w:szCs w:val="24"/>
        </w:rPr>
        <w:t>Disease incidence (%) = No. of infected plants / Total no. of plants ×100</w:t>
      </w:r>
    </w:p>
    <w:p w14:paraId="26FF8C70"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Total phenol estimation: </w:t>
      </w:r>
    </w:p>
    <w:p w14:paraId="34BB59F6" w14:textId="77777777" w:rsidR="00362F98" w:rsidRPr="0014783B" w:rsidRDefault="00362F98" w:rsidP="00362F98">
      <w:pPr>
        <w:spacing w:line="360" w:lineRule="auto"/>
        <w:ind w:firstLine="720"/>
        <w:jc w:val="both"/>
        <w:rPr>
          <w:rFonts w:ascii="Times New Roman" w:hAnsi="Times New Roman" w:cs="Times New Roman"/>
          <w:b/>
          <w:bCs/>
          <w:lang w:val="en-US"/>
        </w:rPr>
      </w:pPr>
      <w:r w:rsidRPr="0014783B">
        <w:rPr>
          <w:rFonts w:ascii="Times New Roman" w:hAnsi="Times New Roman" w:cs="Times New Roman"/>
          <w:sz w:val="24"/>
          <w:szCs w:val="24"/>
        </w:rPr>
        <w:t xml:space="preserve">The leaf samples were collected from 15 and 21days old seedlings. The total phenol estimation was done using Vinson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(2001) procedure. 100 mg of leaf tissue was crushed with 15 mL of 1.2 N methanolic HCl. Then heated in a water bath at 72–80°C for approximately one hour and allowed to cool. The extract was centrifuged at 10,000 rpm for 30 minutes and supernatant was collected. The final volume was adjusted to 25 mL solution using 1.2 N methanolic HCl. For the reaction mixture, 0.2 mL of the aliquot was combined with 2.8 mL of water and 0.5 mL of 50% </w:t>
      </w:r>
      <w:proofErr w:type="spellStart"/>
      <w:r w:rsidRPr="0014783B">
        <w:rPr>
          <w:rFonts w:ascii="Times New Roman" w:hAnsi="Times New Roman" w:cs="Times New Roman"/>
          <w:sz w:val="24"/>
          <w:szCs w:val="24"/>
        </w:rPr>
        <w:t>Folin-Ciocalteu’s</w:t>
      </w:r>
      <w:proofErr w:type="spellEnd"/>
      <w:r w:rsidRPr="0014783B">
        <w:rPr>
          <w:rFonts w:ascii="Times New Roman" w:hAnsi="Times New Roman" w:cs="Times New Roman"/>
          <w:sz w:val="24"/>
          <w:szCs w:val="24"/>
        </w:rPr>
        <w:t xml:space="preserve"> reagent. After 3 minutes, 2 mL of 10% sodium carbonate solution was added to extract and mixed thoroughly. Later the samples were incubated in a water bath at 50–60°C followed by cooling to room temperature. The absorbance of the final extract was measured at 650 nm using a SHIMADZU UV-1800 spectrophotometer. The total phenol content was estimated in </w:t>
      </w:r>
      <w:r w:rsidRPr="0014783B">
        <w:rPr>
          <w:rFonts w:ascii="Times New Roman" w:hAnsi="Times New Roman" w:cs="Times New Roman"/>
          <w:sz w:val="24"/>
          <w:szCs w:val="24"/>
          <w:lang w:val="en-US"/>
        </w:rPr>
        <w:t>mg/g of fresh wt.</w:t>
      </w:r>
    </w:p>
    <w:p w14:paraId="127711D4"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Polyphenol oxidase activity:</w:t>
      </w:r>
    </w:p>
    <w:p w14:paraId="7CF3B539"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t xml:space="preserve"> </w:t>
      </w:r>
      <w:r w:rsidRPr="0014783B">
        <w:rPr>
          <w:rFonts w:ascii="Times New Roman" w:hAnsi="Times New Roman" w:cs="Times New Roman"/>
          <w:sz w:val="24"/>
          <w:szCs w:val="24"/>
        </w:rPr>
        <w:t xml:space="preserve">The polyphenol oxidase activity was estimated by following the method of Mayer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(1965) with slight modifications. The collected leaf samples were immediately placed in liquid nitrogen to prevent enzyme degradation. 200 mg of the leaf tissue was grounded with 2 mL of sodium phosphate buffer (pH 6.6). The obtained extract was then centrifuged at 4°C with 20,000 rpm for 30 minutes. Then, 100 µL of the aliquot was made by adding 2.4 mL of sodium phosphate buffer (pH 6.0) and 0.5 mL of pyrogallol. Absorbance was measured at 495 </w:t>
      </w:r>
      <w:r w:rsidRPr="0014783B">
        <w:rPr>
          <w:rFonts w:ascii="Times New Roman" w:hAnsi="Times New Roman" w:cs="Times New Roman"/>
          <w:sz w:val="24"/>
          <w:szCs w:val="24"/>
        </w:rPr>
        <w:lastRenderedPageBreak/>
        <w:t xml:space="preserve">nm by using a SHIMADZU UV-1800 UV-VIS Spectrophotometer. A blank solution was made with 3 mL of sodium phosphate buffer (pH 6.0), and readings were taken for every 30 seconds interval for 5 times. The enzyme activity was predicted in “ΔA495 min-1 g-1 fresh weight”. </w:t>
      </w:r>
    </w:p>
    <w:p w14:paraId="3910515F"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RESULTS: </w:t>
      </w:r>
    </w:p>
    <w:p w14:paraId="420E6D3F"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Germination and growth parameters:  </w:t>
      </w:r>
    </w:p>
    <w:p w14:paraId="3E81EB85" w14:textId="77777777" w:rsidR="007D0694" w:rsidRPr="0014783B" w:rsidRDefault="007D0694" w:rsidP="007D0694">
      <w:pPr>
        <w:spacing w:line="360" w:lineRule="auto"/>
        <w:ind w:firstLine="720"/>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 xml:space="preserve">From the Table 1 &amp; 2, the germination percentage was higher in T9 and T4 treatments i.e., combined application of both soil and seed of UBT 23 </w:t>
      </w:r>
      <w:r w:rsidRPr="0014783B">
        <w:rPr>
          <w:rFonts w:ascii="Times New Roman" w:hAnsi="Times New Roman" w:cs="Times New Roman"/>
          <w:sz w:val="24"/>
          <w:szCs w:val="24"/>
        </w:rPr>
        <w:t xml:space="preserve">(31.43%) and </w:t>
      </w:r>
      <w:r w:rsidRPr="0014783B">
        <w:rPr>
          <w:rFonts w:ascii="Times New Roman" w:hAnsi="Times New Roman" w:cs="Times New Roman"/>
          <w:sz w:val="24"/>
          <w:szCs w:val="24"/>
          <w:lang w:val="en-US"/>
        </w:rPr>
        <w:t>UBT 21 (</w:t>
      </w:r>
      <w:r w:rsidRPr="0014783B">
        <w:rPr>
          <w:rFonts w:ascii="Times New Roman" w:hAnsi="Times New Roman" w:cs="Times New Roman"/>
          <w:sz w:val="24"/>
          <w:szCs w:val="24"/>
        </w:rPr>
        <w:t>28.57%)</w:t>
      </w:r>
      <w:r w:rsidRPr="0014783B">
        <w:rPr>
          <w:rFonts w:ascii="Times New Roman" w:hAnsi="Times New Roman" w:cs="Times New Roman"/>
          <w:sz w:val="24"/>
          <w:szCs w:val="24"/>
          <w:lang w:val="en-US"/>
        </w:rPr>
        <w:t xml:space="preserve"> isolates. Root and shoot length varied significantly with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seedlings with irrespective to method of application but soil application provided better effect on development of biomass. There was a significant increase in canopy width and highest canopy width observed in T1 &amp; T6 treatments at 25 DAS of groundnut seedlings. The 25 days old seedlings showed maximum increase in shoot and root dry weight. In 25days old seedling, the vigor index recorded highest at T1 (</w:t>
      </w:r>
      <w:r w:rsidRPr="0014783B">
        <w:rPr>
          <w:rFonts w:ascii="Times New Roman" w:hAnsi="Times New Roman" w:cs="Times New Roman"/>
          <w:sz w:val="24"/>
        </w:rPr>
        <w:t>114.28)</w:t>
      </w:r>
      <w:r w:rsidRPr="0014783B">
        <w:rPr>
          <w:rFonts w:ascii="Times New Roman" w:hAnsi="Times New Roman" w:cs="Times New Roman"/>
          <w:sz w:val="24"/>
          <w:szCs w:val="24"/>
          <w:lang w:val="en-US"/>
        </w:rPr>
        <w:t xml:space="preserve"> followed by T2 (</w:t>
      </w:r>
      <w:r w:rsidRPr="0014783B">
        <w:rPr>
          <w:rFonts w:ascii="Times New Roman" w:hAnsi="Times New Roman" w:cs="Times New Roman"/>
          <w:sz w:val="24"/>
        </w:rPr>
        <w:t>110.62</w:t>
      </w:r>
      <w:r w:rsidRPr="0014783B">
        <w:rPr>
          <w:rFonts w:ascii="Times New Roman" w:hAnsi="Times New Roman" w:cs="Times New Roman"/>
          <w:sz w:val="24"/>
          <w:szCs w:val="24"/>
          <w:lang w:val="en-US"/>
        </w:rPr>
        <w:t>) treatment indicating the better performance of UBT 21 strain when applied independently.</w:t>
      </w:r>
    </w:p>
    <w:p w14:paraId="19351ACC"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Table 1: </w:t>
      </w:r>
      <w:r w:rsidRPr="0014783B">
        <w:rPr>
          <w:rFonts w:ascii="Times New Roman" w:hAnsi="Times New Roman" w:cs="Times New Roman"/>
          <w:sz w:val="24"/>
          <w:szCs w:val="24"/>
        </w:rPr>
        <w:t xml:space="preserve">Germination and growth parameters of Groundnut seedlings (15 DAS) under different application methods of UBT 21 &amp; UBT 23 strains of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w:t>
      </w:r>
    </w:p>
    <w:tbl>
      <w:tblPr>
        <w:tblStyle w:val="TableGrid"/>
        <w:tblW w:w="9528" w:type="dxa"/>
        <w:tblLook w:val="04A0" w:firstRow="1" w:lastRow="0" w:firstColumn="1" w:lastColumn="0" w:noHBand="0" w:noVBand="1"/>
      </w:tblPr>
      <w:tblGrid>
        <w:gridCol w:w="1396"/>
        <w:gridCol w:w="1426"/>
        <w:gridCol w:w="889"/>
        <w:gridCol w:w="1020"/>
        <w:gridCol w:w="978"/>
        <w:gridCol w:w="962"/>
        <w:gridCol w:w="923"/>
        <w:gridCol w:w="955"/>
        <w:gridCol w:w="979"/>
      </w:tblGrid>
      <w:tr w:rsidR="007D0694" w:rsidRPr="0014783B" w14:paraId="60968DEC" w14:textId="77777777" w:rsidTr="00063B27">
        <w:trPr>
          <w:trHeight w:val="247"/>
        </w:trPr>
        <w:tc>
          <w:tcPr>
            <w:tcW w:w="1396" w:type="dxa"/>
            <w:vMerge w:val="restart"/>
            <w:vAlign w:val="center"/>
          </w:tcPr>
          <w:p w14:paraId="2551B08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2" w:type="dxa"/>
            <w:gridSpan w:val="8"/>
            <w:vAlign w:val="center"/>
          </w:tcPr>
          <w:p w14:paraId="49EE9352"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Per cent increase over control</w:t>
            </w:r>
          </w:p>
        </w:tc>
      </w:tr>
      <w:tr w:rsidR="007D0694" w:rsidRPr="0014783B" w14:paraId="10A5F4E2" w14:textId="77777777" w:rsidTr="00063B27">
        <w:trPr>
          <w:trHeight w:val="483"/>
        </w:trPr>
        <w:tc>
          <w:tcPr>
            <w:tcW w:w="1396" w:type="dxa"/>
            <w:vMerge/>
            <w:vAlign w:val="center"/>
          </w:tcPr>
          <w:p w14:paraId="0ACF8E79"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5799757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353C81A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0" w:type="dxa"/>
            <w:vAlign w:val="center"/>
          </w:tcPr>
          <w:p w14:paraId="6D47475F"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8" w:type="dxa"/>
            <w:vAlign w:val="center"/>
          </w:tcPr>
          <w:p w14:paraId="628A07F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645F68E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B48B3F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5" w:type="dxa"/>
            <w:vAlign w:val="center"/>
          </w:tcPr>
          <w:p w14:paraId="6F2D1E9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9" w:type="dxa"/>
            <w:vAlign w:val="center"/>
          </w:tcPr>
          <w:p w14:paraId="30FA629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161A506D" w14:textId="77777777" w:rsidTr="00063B27">
        <w:trPr>
          <w:trHeight w:val="330"/>
        </w:trPr>
        <w:tc>
          <w:tcPr>
            <w:tcW w:w="1396" w:type="dxa"/>
            <w:vAlign w:val="bottom"/>
          </w:tcPr>
          <w:p w14:paraId="49B03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vAlign w:val="center"/>
          </w:tcPr>
          <w:p w14:paraId="097CCF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14.29</w:t>
            </w:r>
          </w:p>
        </w:tc>
        <w:tc>
          <w:tcPr>
            <w:tcW w:w="889" w:type="dxa"/>
            <w:vAlign w:val="center"/>
          </w:tcPr>
          <w:p w14:paraId="143111C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68.91</w:t>
            </w:r>
          </w:p>
        </w:tc>
        <w:tc>
          <w:tcPr>
            <w:tcW w:w="1020" w:type="dxa"/>
            <w:vAlign w:val="center"/>
          </w:tcPr>
          <w:p w14:paraId="3982F20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56.31</w:t>
            </w:r>
          </w:p>
        </w:tc>
        <w:tc>
          <w:tcPr>
            <w:tcW w:w="978" w:type="dxa"/>
            <w:vAlign w:val="center"/>
          </w:tcPr>
          <w:p w14:paraId="6F8CCDD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0.51</w:t>
            </w:r>
          </w:p>
        </w:tc>
        <w:tc>
          <w:tcPr>
            <w:tcW w:w="962" w:type="dxa"/>
            <w:vAlign w:val="center"/>
          </w:tcPr>
          <w:p w14:paraId="07C27B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4B12D8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-3.43</w:t>
            </w:r>
          </w:p>
        </w:tc>
        <w:tc>
          <w:tcPr>
            <w:tcW w:w="955" w:type="dxa"/>
            <w:vAlign w:val="center"/>
          </w:tcPr>
          <w:p w14:paraId="2CF59B5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79" w:type="dxa"/>
            <w:vAlign w:val="center"/>
          </w:tcPr>
          <w:p w14:paraId="655557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17.51</w:t>
            </w:r>
          </w:p>
        </w:tc>
      </w:tr>
      <w:tr w:rsidR="007D0694" w:rsidRPr="0014783B" w14:paraId="046C0635" w14:textId="77777777" w:rsidTr="00063B27">
        <w:trPr>
          <w:trHeight w:val="330"/>
        </w:trPr>
        <w:tc>
          <w:tcPr>
            <w:tcW w:w="1396" w:type="dxa"/>
            <w:vAlign w:val="bottom"/>
          </w:tcPr>
          <w:p w14:paraId="0A8C23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vAlign w:val="center"/>
          </w:tcPr>
          <w:p w14:paraId="3D42ED3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25.71</w:t>
            </w:r>
          </w:p>
        </w:tc>
        <w:tc>
          <w:tcPr>
            <w:tcW w:w="889" w:type="dxa"/>
            <w:vAlign w:val="center"/>
          </w:tcPr>
          <w:p w14:paraId="4B9300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71.9</w:t>
            </w:r>
          </w:p>
        </w:tc>
        <w:tc>
          <w:tcPr>
            <w:tcW w:w="1020" w:type="dxa"/>
            <w:vAlign w:val="center"/>
          </w:tcPr>
          <w:p w14:paraId="617E0DC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61.96</w:t>
            </w:r>
          </w:p>
        </w:tc>
        <w:tc>
          <w:tcPr>
            <w:tcW w:w="978" w:type="dxa"/>
            <w:vAlign w:val="center"/>
          </w:tcPr>
          <w:p w14:paraId="3BE2E29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-8.25</w:t>
            </w:r>
          </w:p>
        </w:tc>
        <w:tc>
          <w:tcPr>
            <w:tcW w:w="962" w:type="dxa"/>
            <w:vAlign w:val="center"/>
          </w:tcPr>
          <w:p w14:paraId="0A1C3C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7842810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0.88</w:t>
            </w:r>
          </w:p>
        </w:tc>
        <w:tc>
          <w:tcPr>
            <w:tcW w:w="955" w:type="dxa"/>
            <w:vAlign w:val="center"/>
          </w:tcPr>
          <w:p w14:paraId="2A5D04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4.28</w:t>
            </w:r>
          </w:p>
        </w:tc>
        <w:tc>
          <w:tcPr>
            <w:tcW w:w="979" w:type="dxa"/>
            <w:vAlign w:val="center"/>
          </w:tcPr>
          <w:p w14:paraId="4D7108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44.03</w:t>
            </w:r>
          </w:p>
        </w:tc>
      </w:tr>
      <w:tr w:rsidR="007D0694" w:rsidRPr="0014783B" w14:paraId="5AED3B92" w14:textId="77777777" w:rsidTr="00063B27">
        <w:trPr>
          <w:trHeight w:val="318"/>
        </w:trPr>
        <w:tc>
          <w:tcPr>
            <w:tcW w:w="1396" w:type="dxa"/>
            <w:vAlign w:val="bottom"/>
          </w:tcPr>
          <w:p w14:paraId="3F36CF4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T3</w:t>
            </w:r>
          </w:p>
        </w:tc>
        <w:tc>
          <w:tcPr>
            <w:tcW w:w="1426" w:type="dxa"/>
            <w:vAlign w:val="center"/>
          </w:tcPr>
          <w:p w14:paraId="34BAE7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17.14</w:t>
            </w:r>
          </w:p>
        </w:tc>
        <w:tc>
          <w:tcPr>
            <w:tcW w:w="889" w:type="dxa"/>
            <w:vAlign w:val="center"/>
          </w:tcPr>
          <w:p w14:paraId="015209B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27.06</w:t>
            </w:r>
          </w:p>
        </w:tc>
        <w:tc>
          <w:tcPr>
            <w:tcW w:w="1020" w:type="dxa"/>
            <w:vAlign w:val="center"/>
          </w:tcPr>
          <w:p w14:paraId="434C07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18.64</w:t>
            </w:r>
          </w:p>
        </w:tc>
        <w:tc>
          <w:tcPr>
            <w:tcW w:w="978" w:type="dxa"/>
            <w:vAlign w:val="center"/>
          </w:tcPr>
          <w:p w14:paraId="56D8E3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-0.41</w:t>
            </w:r>
          </w:p>
        </w:tc>
        <w:tc>
          <w:tcPr>
            <w:tcW w:w="962" w:type="dxa"/>
            <w:vAlign w:val="center"/>
          </w:tcPr>
          <w:p w14:paraId="599865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4689D19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20.91</w:t>
            </w:r>
          </w:p>
        </w:tc>
        <w:tc>
          <w:tcPr>
            <w:tcW w:w="955" w:type="dxa"/>
            <w:vAlign w:val="center"/>
          </w:tcPr>
          <w:p w14:paraId="303B62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0.03</w:t>
            </w:r>
          </w:p>
        </w:tc>
        <w:tc>
          <w:tcPr>
            <w:tcW w:w="979" w:type="dxa"/>
            <w:vAlign w:val="center"/>
          </w:tcPr>
          <w:p w14:paraId="7140B85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33.73</w:t>
            </w:r>
          </w:p>
        </w:tc>
      </w:tr>
      <w:tr w:rsidR="007D0694" w:rsidRPr="0014783B" w14:paraId="2431B793" w14:textId="77777777" w:rsidTr="00063B27">
        <w:trPr>
          <w:trHeight w:val="330"/>
        </w:trPr>
        <w:tc>
          <w:tcPr>
            <w:tcW w:w="1396" w:type="dxa"/>
            <w:vAlign w:val="bottom"/>
          </w:tcPr>
          <w:p w14:paraId="5A13390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vAlign w:val="center"/>
          </w:tcPr>
          <w:p w14:paraId="2E7F14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28.57</w:t>
            </w:r>
          </w:p>
        </w:tc>
        <w:tc>
          <w:tcPr>
            <w:tcW w:w="889" w:type="dxa"/>
            <w:vAlign w:val="center"/>
          </w:tcPr>
          <w:p w14:paraId="5C3A197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58.45</w:t>
            </w:r>
          </w:p>
        </w:tc>
        <w:tc>
          <w:tcPr>
            <w:tcW w:w="1020" w:type="dxa"/>
            <w:vAlign w:val="center"/>
          </w:tcPr>
          <w:p w14:paraId="3BEF1D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46.89</w:t>
            </w:r>
          </w:p>
        </w:tc>
        <w:tc>
          <w:tcPr>
            <w:tcW w:w="978" w:type="dxa"/>
            <w:vAlign w:val="center"/>
          </w:tcPr>
          <w:p w14:paraId="5F5CF6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-18.4</w:t>
            </w:r>
          </w:p>
        </w:tc>
        <w:tc>
          <w:tcPr>
            <w:tcW w:w="962" w:type="dxa"/>
            <w:vAlign w:val="center"/>
          </w:tcPr>
          <w:p w14:paraId="0C79C16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35FD8E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48.54</w:t>
            </w:r>
          </w:p>
        </w:tc>
        <w:tc>
          <w:tcPr>
            <w:tcW w:w="955" w:type="dxa"/>
            <w:vAlign w:val="center"/>
          </w:tcPr>
          <w:p w14:paraId="5B4D7E5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5.46</w:t>
            </w:r>
          </w:p>
        </w:tc>
        <w:tc>
          <w:tcPr>
            <w:tcW w:w="979" w:type="dxa"/>
            <w:vAlign w:val="center"/>
          </w:tcPr>
          <w:p w14:paraId="46F4461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93.52</w:t>
            </w:r>
          </w:p>
        </w:tc>
      </w:tr>
      <w:tr w:rsidR="007D0694" w:rsidRPr="0014783B" w14:paraId="58710B22" w14:textId="77777777" w:rsidTr="00063B27">
        <w:trPr>
          <w:trHeight w:val="330"/>
        </w:trPr>
        <w:tc>
          <w:tcPr>
            <w:tcW w:w="1396" w:type="dxa"/>
            <w:vAlign w:val="bottom"/>
          </w:tcPr>
          <w:p w14:paraId="225C46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vAlign w:val="center"/>
          </w:tcPr>
          <w:p w14:paraId="49042D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24.29</w:t>
            </w:r>
          </w:p>
        </w:tc>
        <w:tc>
          <w:tcPr>
            <w:tcW w:w="889" w:type="dxa"/>
            <w:vAlign w:val="center"/>
          </w:tcPr>
          <w:p w14:paraId="4063F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56.95</w:t>
            </w:r>
          </w:p>
        </w:tc>
        <w:tc>
          <w:tcPr>
            <w:tcW w:w="1020" w:type="dxa"/>
            <w:vAlign w:val="center"/>
          </w:tcPr>
          <w:p w14:paraId="5619FD9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45.01</w:t>
            </w:r>
          </w:p>
        </w:tc>
        <w:tc>
          <w:tcPr>
            <w:tcW w:w="978" w:type="dxa"/>
            <w:vAlign w:val="center"/>
          </w:tcPr>
          <w:p w14:paraId="3E22E7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-29.46</w:t>
            </w:r>
          </w:p>
        </w:tc>
        <w:tc>
          <w:tcPr>
            <w:tcW w:w="962" w:type="dxa"/>
            <w:vAlign w:val="center"/>
          </w:tcPr>
          <w:p w14:paraId="5C1A91B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02553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55" w:type="dxa"/>
            <w:vAlign w:val="center"/>
          </w:tcPr>
          <w:p w14:paraId="1B19A2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4.02</w:t>
            </w:r>
          </w:p>
        </w:tc>
        <w:tc>
          <w:tcPr>
            <w:tcW w:w="979" w:type="dxa"/>
            <w:vAlign w:val="center"/>
          </w:tcPr>
          <w:p w14:paraId="418CFA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41.92</w:t>
            </w:r>
          </w:p>
        </w:tc>
      </w:tr>
      <w:tr w:rsidR="007D0694" w:rsidRPr="0014783B" w14:paraId="5BB0118D" w14:textId="77777777" w:rsidTr="00063B27">
        <w:trPr>
          <w:trHeight w:val="330"/>
        </w:trPr>
        <w:tc>
          <w:tcPr>
            <w:tcW w:w="1396" w:type="dxa"/>
            <w:vAlign w:val="bottom"/>
          </w:tcPr>
          <w:p w14:paraId="03C4EC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vAlign w:val="center"/>
          </w:tcPr>
          <w:p w14:paraId="34BC1E1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15.71</w:t>
            </w:r>
          </w:p>
        </w:tc>
        <w:tc>
          <w:tcPr>
            <w:tcW w:w="889" w:type="dxa"/>
            <w:vAlign w:val="center"/>
          </w:tcPr>
          <w:p w14:paraId="2FDBB1C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17.34</w:t>
            </w:r>
          </w:p>
        </w:tc>
        <w:tc>
          <w:tcPr>
            <w:tcW w:w="1020" w:type="dxa"/>
            <w:vAlign w:val="center"/>
          </w:tcPr>
          <w:p w14:paraId="1A40BD9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11.11</w:t>
            </w:r>
          </w:p>
        </w:tc>
        <w:tc>
          <w:tcPr>
            <w:tcW w:w="978" w:type="dxa"/>
            <w:vAlign w:val="center"/>
          </w:tcPr>
          <w:p w14:paraId="40B64B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-14.71</w:t>
            </w:r>
          </w:p>
        </w:tc>
        <w:tc>
          <w:tcPr>
            <w:tcW w:w="962" w:type="dxa"/>
            <w:vAlign w:val="center"/>
          </w:tcPr>
          <w:p w14:paraId="2C8BCF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0AB31CE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14.52</w:t>
            </w:r>
          </w:p>
        </w:tc>
        <w:tc>
          <w:tcPr>
            <w:tcW w:w="955" w:type="dxa"/>
            <w:vAlign w:val="center"/>
          </w:tcPr>
          <w:p w14:paraId="14693A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w:t>
            </w:r>
          </w:p>
        </w:tc>
        <w:tc>
          <w:tcPr>
            <w:tcW w:w="979" w:type="dxa"/>
            <w:vAlign w:val="center"/>
          </w:tcPr>
          <w:p w14:paraId="2407D62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79.95</w:t>
            </w:r>
          </w:p>
        </w:tc>
      </w:tr>
      <w:tr w:rsidR="007D0694" w:rsidRPr="0014783B" w14:paraId="15D80B2E" w14:textId="77777777" w:rsidTr="00063B27">
        <w:trPr>
          <w:trHeight w:val="318"/>
        </w:trPr>
        <w:tc>
          <w:tcPr>
            <w:tcW w:w="1396" w:type="dxa"/>
            <w:vAlign w:val="bottom"/>
          </w:tcPr>
          <w:p w14:paraId="0C9E379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vAlign w:val="center"/>
          </w:tcPr>
          <w:p w14:paraId="2CC6C4B7"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7.14</w:t>
            </w:r>
          </w:p>
        </w:tc>
        <w:tc>
          <w:tcPr>
            <w:tcW w:w="889" w:type="dxa"/>
            <w:vAlign w:val="center"/>
          </w:tcPr>
          <w:p w14:paraId="607570C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50.97</w:t>
            </w:r>
          </w:p>
        </w:tc>
        <w:tc>
          <w:tcPr>
            <w:tcW w:w="1020" w:type="dxa"/>
            <w:vAlign w:val="center"/>
          </w:tcPr>
          <w:p w14:paraId="14755DE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43.13</w:t>
            </w:r>
          </w:p>
        </w:tc>
        <w:tc>
          <w:tcPr>
            <w:tcW w:w="978" w:type="dxa"/>
            <w:vAlign w:val="center"/>
          </w:tcPr>
          <w:p w14:paraId="759F99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-20.7</w:t>
            </w:r>
          </w:p>
        </w:tc>
        <w:tc>
          <w:tcPr>
            <w:tcW w:w="962" w:type="dxa"/>
            <w:vAlign w:val="center"/>
          </w:tcPr>
          <w:p w14:paraId="06C2E5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7DE951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0.33</w:t>
            </w:r>
          </w:p>
        </w:tc>
        <w:tc>
          <w:tcPr>
            <w:tcW w:w="955" w:type="dxa"/>
            <w:vAlign w:val="center"/>
          </w:tcPr>
          <w:p w14:paraId="7AF619A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4.47</w:t>
            </w:r>
          </w:p>
        </w:tc>
        <w:tc>
          <w:tcPr>
            <w:tcW w:w="979" w:type="dxa"/>
            <w:vAlign w:val="center"/>
          </w:tcPr>
          <w:p w14:paraId="4E43B08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23.01</w:t>
            </w:r>
          </w:p>
        </w:tc>
      </w:tr>
      <w:tr w:rsidR="007D0694" w:rsidRPr="0014783B" w14:paraId="2FE90633" w14:textId="77777777" w:rsidTr="00063B27">
        <w:trPr>
          <w:trHeight w:val="330"/>
        </w:trPr>
        <w:tc>
          <w:tcPr>
            <w:tcW w:w="1396" w:type="dxa"/>
            <w:vAlign w:val="bottom"/>
          </w:tcPr>
          <w:p w14:paraId="1C3198E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vAlign w:val="center"/>
          </w:tcPr>
          <w:p w14:paraId="35C3FB23"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18.57</w:t>
            </w:r>
          </w:p>
        </w:tc>
        <w:tc>
          <w:tcPr>
            <w:tcW w:w="889" w:type="dxa"/>
            <w:vAlign w:val="center"/>
          </w:tcPr>
          <w:p w14:paraId="3A8635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24.07</w:t>
            </w:r>
          </w:p>
        </w:tc>
        <w:tc>
          <w:tcPr>
            <w:tcW w:w="1020" w:type="dxa"/>
            <w:vAlign w:val="center"/>
          </w:tcPr>
          <w:p w14:paraId="49ADE4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16.76</w:t>
            </w:r>
          </w:p>
        </w:tc>
        <w:tc>
          <w:tcPr>
            <w:tcW w:w="978" w:type="dxa"/>
            <w:vAlign w:val="center"/>
          </w:tcPr>
          <w:p w14:paraId="2F18666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-18.86</w:t>
            </w:r>
          </w:p>
        </w:tc>
        <w:tc>
          <w:tcPr>
            <w:tcW w:w="962" w:type="dxa"/>
            <w:vAlign w:val="center"/>
          </w:tcPr>
          <w:p w14:paraId="561C2F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36.81</w:t>
            </w:r>
          </w:p>
        </w:tc>
        <w:tc>
          <w:tcPr>
            <w:tcW w:w="923" w:type="dxa"/>
            <w:vAlign w:val="center"/>
          </w:tcPr>
          <w:p w14:paraId="124F0F7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23.65</w:t>
            </w:r>
          </w:p>
        </w:tc>
        <w:tc>
          <w:tcPr>
            <w:tcW w:w="955" w:type="dxa"/>
            <w:vAlign w:val="center"/>
          </w:tcPr>
          <w:p w14:paraId="7E11ED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3.09</w:t>
            </w:r>
          </w:p>
        </w:tc>
        <w:tc>
          <w:tcPr>
            <w:tcW w:w="979" w:type="dxa"/>
            <w:vAlign w:val="center"/>
          </w:tcPr>
          <w:p w14:paraId="10D3FE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49.43</w:t>
            </w:r>
          </w:p>
        </w:tc>
      </w:tr>
      <w:tr w:rsidR="007D0694" w:rsidRPr="0014783B" w14:paraId="46190D2F" w14:textId="77777777" w:rsidTr="00063B27">
        <w:trPr>
          <w:trHeight w:val="330"/>
        </w:trPr>
        <w:tc>
          <w:tcPr>
            <w:tcW w:w="1396" w:type="dxa"/>
            <w:vAlign w:val="bottom"/>
          </w:tcPr>
          <w:p w14:paraId="199F9C69"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vAlign w:val="center"/>
          </w:tcPr>
          <w:p w14:paraId="1B401F5F"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31.43</w:t>
            </w:r>
          </w:p>
        </w:tc>
        <w:tc>
          <w:tcPr>
            <w:tcW w:w="889" w:type="dxa"/>
            <w:vAlign w:val="center"/>
          </w:tcPr>
          <w:p w14:paraId="06002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46.49</w:t>
            </w:r>
          </w:p>
        </w:tc>
        <w:tc>
          <w:tcPr>
            <w:tcW w:w="1020" w:type="dxa"/>
            <w:vAlign w:val="center"/>
          </w:tcPr>
          <w:p w14:paraId="4FF04E3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37.48</w:t>
            </w:r>
          </w:p>
        </w:tc>
        <w:tc>
          <w:tcPr>
            <w:tcW w:w="978" w:type="dxa"/>
            <w:vAlign w:val="center"/>
          </w:tcPr>
          <w:p w14:paraId="50F6A7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-31.77</w:t>
            </w:r>
          </w:p>
        </w:tc>
        <w:tc>
          <w:tcPr>
            <w:tcW w:w="962" w:type="dxa"/>
            <w:vAlign w:val="center"/>
          </w:tcPr>
          <w:p w14:paraId="2191E4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75095C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w:t>
            </w:r>
          </w:p>
        </w:tc>
        <w:tc>
          <w:tcPr>
            <w:tcW w:w="955" w:type="dxa"/>
            <w:vAlign w:val="center"/>
          </w:tcPr>
          <w:p w14:paraId="032F72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5.06</w:t>
            </w:r>
          </w:p>
        </w:tc>
        <w:tc>
          <w:tcPr>
            <w:tcW w:w="979" w:type="dxa"/>
            <w:vAlign w:val="center"/>
          </w:tcPr>
          <w:p w14:paraId="4E4848A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45.24</w:t>
            </w:r>
          </w:p>
        </w:tc>
      </w:tr>
      <w:tr w:rsidR="007D0694" w:rsidRPr="0014783B" w14:paraId="2326F87A" w14:textId="77777777" w:rsidTr="00063B27">
        <w:trPr>
          <w:trHeight w:val="330"/>
        </w:trPr>
        <w:tc>
          <w:tcPr>
            <w:tcW w:w="1396" w:type="dxa"/>
            <w:vAlign w:val="bottom"/>
          </w:tcPr>
          <w:p w14:paraId="4A1BA9F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vAlign w:val="center"/>
          </w:tcPr>
          <w:p w14:paraId="2254B6DC"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30</w:t>
            </w:r>
          </w:p>
        </w:tc>
        <w:tc>
          <w:tcPr>
            <w:tcW w:w="889" w:type="dxa"/>
            <w:vAlign w:val="center"/>
          </w:tcPr>
          <w:p w14:paraId="26F7E4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94.32</w:t>
            </w:r>
          </w:p>
        </w:tc>
        <w:tc>
          <w:tcPr>
            <w:tcW w:w="1020" w:type="dxa"/>
            <w:vAlign w:val="center"/>
          </w:tcPr>
          <w:p w14:paraId="0EF291D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88.89</w:t>
            </w:r>
          </w:p>
        </w:tc>
        <w:tc>
          <w:tcPr>
            <w:tcW w:w="978" w:type="dxa"/>
            <w:vAlign w:val="center"/>
          </w:tcPr>
          <w:p w14:paraId="0AD0D3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-28.54</w:t>
            </w:r>
          </w:p>
        </w:tc>
        <w:tc>
          <w:tcPr>
            <w:tcW w:w="962" w:type="dxa"/>
            <w:vAlign w:val="center"/>
          </w:tcPr>
          <w:p w14:paraId="084112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68.38</w:t>
            </w:r>
          </w:p>
        </w:tc>
        <w:tc>
          <w:tcPr>
            <w:tcW w:w="923" w:type="dxa"/>
            <w:vAlign w:val="center"/>
          </w:tcPr>
          <w:p w14:paraId="43726C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19.4</w:t>
            </w:r>
          </w:p>
        </w:tc>
        <w:tc>
          <w:tcPr>
            <w:tcW w:w="955" w:type="dxa"/>
            <w:vAlign w:val="center"/>
          </w:tcPr>
          <w:p w14:paraId="17CB183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8.12</w:t>
            </w:r>
          </w:p>
        </w:tc>
        <w:tc>
          <w:tcPr>
            <w:tcW w:w="979" w:type="dxa"/>
            <w:vAlign w:val="center"/>
          </w:tcPr>
          <w:p w14:paraId="656D0A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81.47</w:t>
            </w:r>
          </w:p>
        </w:tc>
      </w:tr>
      <w:tr w:rsidR="007D0694" w:rsidRPr="0014783B" w14:paraId="046810F6" w14:textId="77777777" w:rsidTr="00063B27">
        <w:trPr>
          <w:trHeight w:val="330"/>
        </w:trPr>
        <w:tc>
          <w:tcPr>
            <w:tcW w:w="1396" w:type="dxa"/>
            <w:vAlign w:val="bottom"/>
          </w:tcPr>
          <w:p w14:paraId="291727CE"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785EC840"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673524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10.29</w:t>
            </w:r>
          </w:p>
        </w:tc>
        <w:tc>
          <w:tcPr>
            <w:tcW w:w="1020" w:type="dxa"/>
            <w:vAlign w:val="center"/>
          </w:tcPr>
          <w:p w14:paraId="7CD3A4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12.1</w:t>
            </w:r>
          </w:p>
        </w:tc>
        <w:tc>
          <w:tcPr>
            <w:tcW w:w="978" w:type="dxa"/>
            <w:vAlign w:val="center"/>
          </w:tcPr>
          <w:p w14:paraId="5E632BC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5.31</w:t>
            </w:r>
          </w:p>
        </w:tc>
        <w:tc>
          <w:tcPr>
            <w:tcW w:w="962" w:type="dxa"/>
            <w:vAlign w:val="center"/>
          </w:tcPr>
          <w:p w14:paraId="1D92E1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11.16</w:t>
            </w:r>
          </w:p>
        </w:tc>
        <w:tc>
          <w:tcPr>
            <w:tcW w:w="923" w:type="dxa"/>
            <w:vAlign w:val="center"/>
          </w:tcPr>
          <w:p w14:paraId="26CFE02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29.01</w:t>
            </w:r>
          </w:p>
        </w:tc>
        <w:tc>
          <w:tcPr>
            <w:tcW w:w="955" w:type="dxa"/>
            <w:vAlign w:val="center"/>
          </w:tcPr>
          <w:p w14:paraId="0FD6E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w:t>
            </w:r>
          </w:p>
        </w:tc>
        <w:tc>
          <w:tcPr>
            <w:tcW w:w="979" w:type="dxa"/>
            <w:vAlign w:val="center"/>
          </w:tcPr>
          <w:p w14:paraId="43AAA4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23.58</w:t>
            </w:r>
          </w:p>
        </w:tc>
      </w:tr>
      <w:tr w:rsidR="007D0694" w:rsidRPr="0014783B" w14:paraId="3B09BF4F" w14:textId="77777777" w:rsidTr="00063B27">
        <w:trPr>
          <w:trHeight w:val="318"/>
        </w:trPr>
        <w:tc>
          <w:tcPr>
            <w:tcW w:w="1396" w:type="dxa"/>
            <w:vAlign w:val="bottom"/>
          </w:tcPr>
          <w:p w14:paraId="275F67F7"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122423DC"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0F805A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30.07</w:t>
            </w:r>
          </w:p>
        </w:tc>
        <w:tc>
          <w:tcPr>
            <w:tcW w:w="1020" w:type="dxa"/>
            <w:vAlign w:val="center"/>
          </w:tcPr>
          <w:p w14:paraId="4A0CA3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36.22</w:t>
            </w:r>
          </w:p>
        </w:tc>
        <w:tc>
          <w:tcPr>
            <w:tcW w:w="978" w:type="dxa"/>
            <w:vAlign w:val="center"/>
          </w:tcPr>
          <w:p w14:paraId="61D9331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15.89</w:t>
            </w:r>
          </w:p>
        </w:tc>
        <w:tc>
          <w:tcPr>
            <w:tcW w:w="962" w:type="dxa"/>
            <w:vAlign w:val="center"/>
          </w:tcPr>
          <w:p w14:paraId="648A11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34.17</w:t>
            </w:r>
          </w:p>
        </w:tc>
        <w:tc>
          <w:tcPr>
            <w:tcW w:w="923" w:type="dxa"/>
            <w:vAlign w:val="center"/>
          </w:tcPr>
          <w:p w14:paraId="1FBE4C0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c>
          <w:tcPr>
            <w:tcW w:w="955" w:type="dxa"/>
            <w:vAlign w:val="center"/>
          </w:tcPr>
          <w:p w14:paraId="6276F2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4.34</w:t>
            </w:r>
          </w:p>
        </w:tc>
        <w:tc>
          <w:tcPr>
            <w:tcW w:w="979" w:type="dxa"/>
            <w:vAlign w:val="center"/>
          </w:tcPr>
          <w:p w14:paraId="084E33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r>
    </w:tbl>
    <w:p w14:paraId="7FFD1303" w14:textId="77777777" w:rsidR="007D0694" w:rsidRPr="0014783B" w:rsidRDefault="007D0694" w:rsidP="007D0694">
      <w:pPr>
        <w:rPr>
          <w:rFonts w:ascii="Times New Roman" w:hAnsi="Times New Roman" w:cs="Times New Roman"/>
          <w:lang w:val="en-US"/>
        </w:rPr>
      </w:pPr>
    </w:p>
    <w:p w14:paraId="2ACF47B6"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Table 2: </w:t>
      </w:r>
      <w:r w:rsidRPr="0014783B">
        <w:rPr>
          <w:rFonts w:ascii="Times New Roman" w:hAnsi="Times New Roman" w:cs="Times New Roman"/>
          <w:sz w:val="24"/>
          <w:szCs w:val="24"/>
        </w:rPr>
        <w:t xml:space="preserve">Germination and growth parameters of Groundnut seedlings (25 DAS) under different application methods of UBT 21 &amp; UBT 23 strains of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w:t>
      </w:r>
    </w:p>
    <w:tbl>
      <w:tblPr>
        <w:tblStyle w:val="TableGrid"/>
        <w:tblW w:w="9517" w:type="dxa"/>
        <w:tblLook w:val="04A0" w:firstRow="1" w:lastRow="0" w:firstColumn="1" w:lastColumn="0" w:noHBand="0" w:noVBand="1"/>
      </w:tblPr>
      <w:tblGrid>
        <w:gridCol w:w="1382"/>
        <w:gridCol w:w="1426"/>
        <w:gridCol w:w="889"/>
        <w:gridCol w:w="1022"/>
        <w:gridCol w:w="979"/>
        <w:gridCol w:w="962"/>
        <w:gridCol w:w="923"/>
        <w:gridCol w:w="958"/>
        <w:gridCol w:w="976"/>
      </w:tblGrid>
      <w:tr w:rsidR="007D0694" w:rsidRPr="0014783B" w14:paraId="56EE4ED1" w14:textId="77777777" w:rsidTr="00063B27">
        <w:trPr>
          <w:trHeight w:val="247"/>
        </w:trPr>
        <w:tc>
          <w:tcPr>
            <w:tcW w:w="1382" w:type="dxa"/>
            <w:vMerge w:val="restart"/>
            <w:vAlign w:val="center"/>
          </w:tcPr>
          <w:p w14:paraId="6CFEE11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5" w:type="dxa"/>
            <w:gridSpan w:val="8"/>
            <w:vAlign w:val="center"/>
          </w:tcPr>
          <w:p w14:paraId="090D1BC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Per cent increase over control</w:t>
            </w:r>
          </w:p>
        </w:tc>
      </w:tr>
      <w:tr w:rsidR="007D0694" w:rsidRPr="0014783B" w14:paraId="0504912C" w14:textId="77777777" w:rsidTr="00063B27">
        <w:trPr>
          <w:trHeight w:val="141"/>
        </w:trPr>
        <w:tc>
          <w:tcPr>
            <w:tcW w:w="1382" w:type="dxa"/>
            <w:vMerge/>
            <w:vAlign w:val="center"/>
          </w:tcPr>
          <w:p w14:paraId="0F529F5D"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6FB87AC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134B8694"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2" w:type="dxa"/>
            <w:vAlign w:val="center"/>
          </w:tcPr>
          <w:p w14:paraId="5376A485"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9" w:type="dxa"/>
            <w:vAlign w:val="center"/>
          </w:tcPr>
          <w:p w14:paraId="09926A78"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510B438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829716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8" w:type="dxa"/>
            <w:vAlign w:val="center"/>
          </w:tcPr>
          <w:p w14:paraId="28F01F1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6" w:type="dxa"/>
            <w:vAlign w:val="center"/>
          </w:tcPr>
          <w:p w14:paraId="1EE652D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0F8606DD" w14:textId="77777777" w:rsidTr="00063B27">
        <w:trPr>
          <w:trHeight w:val="330"/>
        </w:trPr>
        <w:tc>
          <w:tcPr>
            <w:tcW w:w="1382" w:type="dxa"/>
            <w:vAlign w:val="bottom"/>
          </w:tcPr>
          <w:p w14:paraId="1B41E5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tcPr>
          <w:p w14:paraId="4A1419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14.29</w:t>
            </w:r>
          </w:p>
        </w:tc>
        <w:tc>
          <w:tcPr>
            <w:tcW w:w="889" w:type="dxa"/>
          </w:tcPr>
          <w:p w14:paraId="000FEC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62.96</w:t>
            </w:r>
          </w:p>
        </w:tc>
        <w:tc>
          <w:tcPr>
            <w:tcW w:w="1022" w:type="dxa"/>
          </w:tcPr>
          <w:p w14:paraId="7E02A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17.92</w:t>
            </w:r>
          </w:p>
        </w:tc>
        <w:tc>
          <w:tcPr>
            <w:tcW w:w="979" w:type="dxa"/>
          </w:tcPr>
          <w:p w14:paraId="463477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52.30</w:t>
            </w:r>
          </w:p>
        </w:tc>
        <w:tc>
          <w:tcPr>
            <w:tcW w:w="962" w:type="dxa"/>
          </w:tcPr>
          <w:p w14:paraId="65D616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9.99</w:t>
            </w:r>
          </w:p>
        </w:tc>
        <w:tc>
          <w:tcPr>
            <w:tcW w:w="923" w:type="dxa"/>
          </w:tcPr>
          <w:p w14:paraId="612AA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31.68</w:t>
            </w:r>
          </w:p>
        </w:tc>
        <w:tc>
          <w:tcPr>
            <w:tcW w:w="958" w:type="dxa"/>
          </w:tcPr>
          <w:p w14:paraId="3D43894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95.43</w:t>
            </w:r>
          </w:p>
        </w:tc>
        <w:tc>
          <w:tcPr>
            <w:tcW w:w="976" w:type="dxa"/>
          </w:tcPr>
          <w:p w14:paraId="62F5ECB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114.28</w:t>
            </w:r>
          </w:p>
        </w:tc>
      </w:tr>
      <w:tr w:rsidR="007D0694" w:rsidRPr="0014783B" w14:paraId="7BC44401" w14:textId="77777777" w:rsidTr="00063B27">
        <w:trPr>
          <w:trHeight w:val="330"/>
        </w:trPr>
        <w:tc>
          <w:tcPr>
            <w:tcW w:w="1382" w:type="dxa"/>
            <w:vAlign w:val="bottom"/>
          </w:tcPr>
          <w:p w14:paraId="23C20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tcPr>
          <w:p w14:paraId="65A5C03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25.71</w:t>
            </w:r>
          </w:p>
        </w:tc>
        <w:tc>
          <w:tcPr>
            <w:tcW w:w="889" w:type="dxa"/>
          </w:tcPr>
          <w:p w14:paraId="22CAEE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55.56</w:t>
            </w:r>
          </w:p>
        </w:tc>
        <w:tc>
          <w:tcPr>
            <w:tcW w:w="1022" w:type="dxa"/>
          </w:tcPr>
          <w:p w14:paraId="5E34D74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12.68</w:t>
            </w:r>
          </w:p>
        </w:tc>
        <w:tc>
          <w:tcPr>
            <w:tcW w:w="979" w:type="dxa"/>
          </w:tcPr>
          <w:p w14:paraId="2C3438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31.70</w:t>
            </w:r>
          </w:p>
        </w:tc>
        <w:tc>
          <w:tcPr>
            <w:tcW w:w="962" w:type="dxa"/>
          </w:tcPr>
          <w:p w14:paraId="6A77DB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40.70</w:t>
            </w:r>
          </w:p>
        </w:tc>
        <w:tc>
          <w:tcPr>
            <w:tcW w:w="923" w:type="dxa"/>
          </w:tcPr>
          <w:p w14:paraId="133BC2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27.57</w:t>
            </w:r>
          </w:p>
        </w:tc>
        <w:tc>
          <w:tcPr>
            <w:tcW w:w="958" w:type="dxa"/>
          </w:tcPr>
          <w:p w14:paraId="7695E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71.78</w:t>
            </w:r>
          </w:p>
        </w:tc>
        <w:tc>
          <w:tcPr>
            <w:tcW w:w="976" w:type="dxa"/>
          </w:tcPr>
          <w:p w14:paraId="70049B3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110.62</w:t>
            </w:r>
          </w:p>
        </w:tc>
      </w:tr>
      <w:tr w:rsidR="007D0694" w:rsidRPr="0014783B" w14:paraId="51CB1C47" w14:textId="77777777" w:rsidTr="00063B27">
        <w:trPr>
          <w:trHeight w:val="318"/>
        </w:trPr>
        <w:tc>
          <w:tcPr>
            <w:tcW w:w="1382" w:type="dxa"/>
            <w:vAlign w:val="bottom"/>
          </w:tcPr>
          <w:p w14:paraId="3371DA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T3</w:t>
            </w:r>
          </w:p>
        </w:tc>
        <w:tc>
          <w:tcPr>
            <w:tcW w:w="1426" w:type="dxa"/>
          </w:tcPr>
          <w:p w14:paraId="31CF3EF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17.14</w:t>
            </w:r>
          </w:p>
        </w:tc>
        <w:tc>
          <w:tcPr>
            <w:tcW w:w="889" w:type="dxa"/>
          </w:tcPr>
          <w:p w14:paraId="76AE6E0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39.89</w:t>
            </w:r>
          </w:p>
        </w:tc>
        <w:tc>
          <w:tcPr>
            <w:tcW w:w="1022" w:type="dxa"/>
          </w:tcPr>
          <w:p w14:paraId="1CBFF1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7.98</w:t>
            </w:r>
          </w:p>
        </w:tc>
        <w:tc>
          <w:tcPr>
            <w:tcW w:w="979" w:type="dxa"/>
          </w:tcPr>
          <w:p w14:paraId="0AA108E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41.43</w:t>
            </w:r>
          </w:p>
        </w:tc>
        <w:tc>
          <w:tcPr>
            <w:tcW w:w="962" w:type="dxa"/>
          </w:tcPr>
          <w:p w14:paraId="5EDE74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41.42</w:t>
            </w:r>
          </w:p>
        </w:tc>
        <w:tc>
          <w:tcPr>
            <w:tcW w:w="923" w:type="dxa"/>
          </w:tcPr>
          <w:p w14:paraId="1735DC9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35.10</w:t>
            </w:r>
          </w:p>
        </w:tc>
        <w:tc>
          <w:tcPr>
            <w:tcW w:w="958" w:type="dxa"/>
          </w:tcPr>
          <w:p w14:paraId="085C36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32.24</w:t>
            </w:r>
          </w:p>
        </w:tc>
        <w:tc>
          <w:tcPr>
            <w:tcW w:w="976" w:type="dxa"/>
          </w:tcPr>
          <w:p w14:paraId="54B57EB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61.09</w:t>
            </w:r>
          </w:p>
        </w:tc>
      </w:tr>
      <w:tr w:rsidR="007D0694" w:rsidRPr="0014783B" w14:paraId="17504A0A" w14:textId="77777777" w:rsidTr="00063B27">
        <w:trPr>
          <w:trHeight w:val="330"/>
        </w:trPr>
        <w:tc>
          <w:tcPr>
            <w:tcW w:w="1382" w:type="dxa"/>
            <w:vAlign w:val="bottom"/>
          </w:tcPr>
          <w:p w14:paraId="7808BB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tcPr>
          <w:p w14:paraId="021DD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28.57</w:t>
            </w:r>
          </w:p>
        </w:tc>
        <w:tc>
          <w:tcPr>
            <w:tcW w:w="889" w:type="dxa"/>
          </w:tcPr>
          <w:p w14:paraId="4ED9448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63.82</w:t>
            </w:r>
          </w:p>
        </w:tc>
        <w:tc>
          <w:tcPr>
            <w:tcW w:w="1022" w:type="dxa"/>
          </w:tcPr>
          <w:p w14:paraId="00274CF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16.82</w:t>
            </w:r>
          </w:p>
        </w:tc>
        <w:tc>
          <w:tcPr>
            <w:tcW w:w="979" w:type="dxa"/>
          </w:tcPr>
          <w:p w14:paraId="7EC12A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43.92</w:t>
            </w:r>
          </w:p>
        </w:tc>
        <w:tc>
          <w:tcPr>
            <w:tcW w:w="962" w:type="dxa"/>
          </w:tcPr>
          <w:p w14:paraId="5392D5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7.85</w:t>
            </w:r>
          </w:p>
        </w:tc>
        <w:tc>
          <w:tcPr>
            <w:tcW w:w="923" w:type="dxa"/>
          </w:tcPr>
          <w:p w14:paraId="432318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58.66</w:t>
            </w:r>
          </w:p>
        </w:tc>
        <w:tc>
          <w:tcPr>
            <w:tcW w:w="958" w:type="dxa"/>
          </w:tcPr>
          <w:p w14:paraId="346B62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28.07</w:t>
            </w:r>
          </w:p>
        </w:tc>
        <w:tc>
          <w:tcPr>
            <w:tcW w:w="976" w:type="dxa"/>
          </w:tcPr>
          <w:p w14:paraId="169CC57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80.22</w:t>
            </w:r>
          </w:p>
        </w:tc>
      </w:tr>
      <w:tr w:rsidR="007D0694" w:rsidRPr="0014783B" w14:paraId="75E0FFB2" w14:textId="77777777" w:rsidTr="00063B27">
        <w:trPr>
          <w:trHeight w:val="330"/>
        </w:trPr>
        <w:tc>
          <w:tcPr>
            <w:tcW w:w="1382" w:type="dxa"/>
            <w:vAlign w:val="bottom"/>
          </w:tcPr>
          <w:p w14:paraId="7E351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tcPr>
          <w:p w14:paraId="5527287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24.29</w:t>
            </w:r>
          </w:p>
        </w:tc>
        <w:tc>
          <w:tcPr>
            <w:tcW w:w="889" w:type="dxa"/>
          </w:tcPr>
          <w:p w14:paraId="5A4837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71.79</w:t>
            </w:r>
          </w:p>
        </w:tc>
        <w:tc>
          <w:tcPr>
            <w:tcW w:w="1022" w:type="dxa"/>
          </w:tcPr>
          <w:p w14:paraId="1F757F3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21.79</w:t>
            </w:r>
          </w:p>
        </w:tc>
        <w:tc>
          <w:tcPr>
            <w:tcW w:w="979" w:type="dxa"/>
          </w:tcPr>
          <w:p w14:paraId="799E14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42.79</w:t>
            </w:r>
          </w:p>
        </w:tc>
        <w:tc>
          <w:tcPr>
            <w:tcW w:w="962" w:type="dxa"/>
          </w:tcPr>
          <w:p w14:paraId="40725E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48.56</w:t>
            </w:r>
          </w:p>
        </w:tc>
        <w:tc>
          <w:tcPr>
            <w:tcW w:w="923" w:type="dxa"/>
          </w:tcPr>
          <w:p w14:paraId="7EB182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49.87</w:t>
            </w:r>
          </w:p>
        </w:tc>
        <w:tc>
          <w:tcPr>
            <w:tcW w:w="958" w:type="dxa"/>
          </w:tcPr>
          <w:p w14:paraId="7AE428A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30.06</w:t>
            </w:r>
          </w:p>
        </w:tc>
        <w:tc>
          <w:tcPr>
            <w:tcW w:w="976" w:type="dxa"/>
          </w:tcPr>
          <w:p w14:paraId="1DF9092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73.58</w:t>
            </w:r>
          </w:p>
        </w:tc>
      </w:tr>
      <w:tr w:rsidR="007D0694" w:rsidRPr="0014783B" w14:paraId="4ED9F13E" w14:textId="77777777" w:rsidTr="00063B27">
        <w:trPr>
          <w:trHeight w:val="330"/>
        </w:trPr>
        <w:tc>
          <w:tcPr>
            <w:tcW w:w="1382" w:type="dxa"/>
            <w:vAlign w:val="bottom"/>
          </w:tcPr>
          <w:p w14:paraId="53BE4A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tcPr>
          <w:p w14:paraId="4638F2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15.71</w:t>
            </w:r>
          </w:p>
        </w:tc>
        <w:tc>
          <w:tcPr>
            <w:tcW w:w="889" w:type="dxa"/>
          </w:tcPr>
          <w:p w14:paraId="11CBB5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43.02</w:t>
            </w:r>
          </w:p>
        </w:tc>
        <w:tc>
          <w:tcPr>
            <w:tcW w:w="1022" w:type="dxa"/>
          </w:tcPr>
          <w:p w14:paraId="4F0E2F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3.56</w:t>
            </w:r>
          </w:p>
        </w:tc>
        <w:tc>
          <w:tcPr>
            <w:tcW w:w="979" w:type="dxa"/>
          </w:tcPr>
          <w:p w14:paraId="6E510B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57.05</w:t>
            </w:r>
          </w:p>
        </w:tc>
        <w:tc>
          <w:tcPr>
            <w:tcW w:w="962" w:type="dxa"/>
          </w:tcPr>
          <w:p w14:paraId="362F881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39.99</w:t>
            </w:r>
          </w:p>
        </w:tc>
        <w:tc>
          <w:tcPr>
            <w:tcW w:w="923" w:type="dxa"/>
          </w:tcPr>
          <w:p w14:paraId="5884EF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123.19</w:t>
            </w:r>
          </w:p>
        </w:tc>
        <w:tc>
          <w:tcPr>
            <w:tcW w:w="958" w:type="dxa"/>
          </w:tcPr>
          <w:p w14:paraId="7EE64D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40.24</w:t>
            </w:r>
          </w:p>
        </w:tc>
        <w:tc>
          <w:tcPr>
            <w:tcW w:w="976" w:type="dxa"/>
          </w:tcPr>
          <w:p w14:paraId="64348B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91.25</w:t>
            </w:r>
          </w:p>
        </w:tc>
      </w:tr>
      <w:tr w:rsidR="007D0694" w:rsidRPr="0014783B" w14:paraId="66ADBE34" w14:textId="77777777" w:rsidTr="00063B27">
        <w:trPr>
          <w:trHeight w:val="318"/>
        </w:trPr>
        <w:tc>
          <w:tcPr>
            <w:tcW w:w="1382" w:type="dxa"/>
            <w:vAlign w:val="bottom"/>
          </w:tcPr>
          <w:p w14:paraId="1A08B5A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tcPr>
          <w:p w14:paraId="5B2CE716"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7.14</w:t>
            </w:r>
          </w:p>
        </w:tc>
        <w:tc>
          <w:tcPr>
            <w:tcW w:w="889" w:type="dxa"/>
          </w:tcPr>
          <w:p w14:paraId="64AA0BA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51.28</w:t>
            </w:r>
          </w:p>
        </w:tc>
        <w:tc>
          <w:tcPr>
            <w:tcW w:w="1022" w:type="dxa"/>
          </w:tcPr>
          <w:p w14:paraId="6A8E35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9.64</w:t>
            </w:r>
          </w:p>
        </w:tc>
        <w:tc>
          <w:tcPr>
            <w:tcW w:w="979" w:type="dxa"/>
          </w:tcPr>
          <w:p w14:paraId="6CB97AA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37.59</w:t>
            </w:r>
          </w:p>
        </w:tc>
        <w:tc>
          <w:tcPr>
            <w:tcW w:w="962" w:type="dxa"/>
          </w:tcPr>
          <w:p w14:paraId="22A359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85.70</w:t>
            </w:r>
          </w:p>
        </w:tc>
        <w:tc>
          <w:tcPr>
            <w:tcW w:w="923" w:type="dxa"/>
          </w:tcPr>
          <w:p w14:paraId="6FB7B3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99.26</w:t>
            </w:r>
          </w:p>
        </w:tc>
        <w:tc>
          <w:tcPr>
            <w:tcW w:w="958" w:type="dxa"/>
          </w:tcPr>
          <w:p w14:paraId="7562CD8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76.51</w:t>
            </w:r>
          </w:p>
        </w:tc>
        <w:tc>
          <w:tcPr>
            <w:tcW w:w="976" w:type="dxa"/>
          </w:tcPr>
          <w:p w14:paraId="6A735C6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99.95</w:t>
            </w:r>
          </w:p>
        </w:tc>
      </w:tr>
      <w:tr w:rsidR="007D0694" w:rsidRPr="0014783B" w14:paraId="39365D5D" w14:textId="77777777" w:rsidTr="00063B27">
        <w:trPr>
          <w:trHeight w:val="330"/>
        </w:trPr>
        <w:tc>
          <w:tcPr>
            <w:tcW w:w="1382" w:type="dxa"/>
            <w:vAlign w:val="bottom"/>
          </w:tcPr>
          <w:p w14:paraId="3266AD5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tcPr>
          <w:p w14:paraId="28153515"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18.57</w:t>
            </w:r>
          </w:p>
        </w:tc>
        <w:tc>
          <w:tcPr>
            <w:tcW w:w="889" w:type="dxa"/>
          </w:tcPr>
          <w:p w14:paraId="50A222D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37.04</w:t>
            </w:r>
          </w:p>
        </w:tc>
        <w:tc>
          <w:tcPr>
            <w:tcW w:w="1022" w:type="dxa"/>
          </w:tcPr>
          <w:p w14:paraId="7720A05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5.63</w:t>
            </w:r>
          </w:p>
        </w:tc>
        <w:tc>
          <w:tcPr>
            <w:tcW w:w="979" w:type="dxa"/>
          </w:tcPr>
          <w:p w14:paraId="39B4604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25.37</w:t>
            </w:r>
          </w:p>
        </w:tc>
        <w:tc>
          <w:tcPr>
            <w:tcW w:w="962" w:type="dxa"/>
          </w:tcPr>
          <w:p w14:paraId="57DE7E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5.71</w:t>
            </w:r>
          </w:p>
        </w:tc>
        <w:tc>
          <w:tcPr>
            <w:tcW w:w="923" w:type="dxa"/>
          </w:tcPr>
          <w:p w14:paraId="0D94A9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61.71</w:t>
            </w:r>
          </w:p>
        </w:tc>
        <w:tc>
          <w:tcPr>
            <w:tcW w:w="958" w:type="dxa"/>
          </w:tcPr>
          <w:p w14:paraId="1B3D5B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11.93</w:t>
            </w:r>
          </w:p>
        </w:tc>
        <w:tc>
          <w:tcPr>
            <w:tcW w:w="976" w:type="dxa"/>
          </w:tcPr>
          <w:p w14:paraId="1BF8F7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52.87</w:t>
            </w:r>
          </w:p>
        </w:tc>
      </w:tr>
      <w:tr w:rsidR="007D0694" w:rsidRPr="0014783B" w14:paraId="40D90E2B" w14:textId="77777777" w:rsidTr="00063B27">
        <w:trPr>
          <w:trHeight w:val="330"/>
        </w:trPr>
        <w:tc>
          <w:tcPr>
            <w:tcW w:w="1382" w:type="dxa"/>
            <w:vAlign w:val="bottom"/>
          </w:tcPr>
          <w:p w14:paraId="75A88390"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tcPr>
          <w:p w14:paraId="5CCC0FCA"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31.43</w:t>
            </w:r>
          </w:p>
        </w:tc>
        <w:tc>
          <w:tcPr>
            <w:tcW w:w="889" w:type="dxa"/>
          </w:tcPr>
          <w:p w14:paraId="1B86A8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49.86</w:t>
            </w:r>
          </w:p>
        </w:tc>
        <w:tc>
          <w:tcPr>
            <w:tcW w:w="1022" w:type="dxa"/>
          </w:tcPr>
          <w:p w14:paraId="17FCFF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8.26</w:t>
            </w:r>
          </w:p>
        </w:tc>
        <w:tc>
          <w:tcPr>
            <w:tcW w:w="979" w:type="dxa"/>
          </w:tcPr>
          <w:p w14:paraId="5FEFB40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36.68</w:t>
            </w:r>
          </w:p>
        </w:tc>
        <w:tc>
          <w:tcPr>
            <w:tcW w:w="962" w:type="dxa"/>
          </w:tcPr>
          <w:p w14:paraId="09DAFB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34.28</w:t>
            </w:r>
          </w:p>
        </w:tc>
        <w:tc>
          <w:tcPr>
            <w:tcW w:w="923" w:type="dxa"/>
          </w:tcPr>
          <w:p w14:paraId="30E1523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40.48</w:t>
            </w:r>
          </w:p>
        </w:tc>
        <w:tc>
          <w:tcPr>
            <w:tcW w:w="958" w:type="dxa"/>
          </w:tcPr>
          <w:p w14:paraId="4F1B11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57.83</w:t>
            </w:r>
          </w:p>
        </w:tc>
        <w:tc>
          <w:tcPr>
            <w:tcW w:w="976" w:type="dxa"/>
          </w:tcPr>
          <w:p w14:paraId="5C8A4D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108.00</w:t>
            </w:r>
          </w:p>
        </w:tc>
      </w:tr>
      <w:tr w:rsidR="007D0694" w:rsidRPr="0014783B" w14:paraId="0E62311A" w14:textId="77777777" w:rsidTr="00063B27">
        <w:trPr>
          <w:trHeight w:val="330"/>
        </w:trPr>
        <w:tc>
          <w:tcPr>
            <w:tcW w:w="1382" w:type="dxa"/>
            <w:vAlign w:val="bottom"/>
          </w:tcPr>
          <w:p w14:paraId="62015206"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tcPr>
          <w:p w14:paraId="67B4982E"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30.00</w:t>
            </w:r>
          </w:p>
        </w:tc>
        <w:tc>
          <w:tcPr>
            <w:tcW w:w="889" w:type="dxa"/>
          </w:tcPr>
          <w:p w14:paraId="163EFB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47.01</w:t>
            </w:r>
          </w:p>
        </w:tc>
        <w:tc>
          <w:tcPr>
            <w:tcW w:w="1022" w:type="dxa"/>
          </w:tcPr>
          <w:p w14:paraId="0931C92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5.77</w:t>
            </w:r>
          </w:p>
        </w:tc>
        <w:tc>
          <w:tcPr>
            <w:tcW w:w="979" w:type="dxa"/>
          </w:tcPr>
          <w:p w14:paraId="55FE0C0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28.99</w:t>
            </w:r>
          </w:p>
        </w:tc>
        <w:tc>
          <w:tcPr>
            <w:tcW w:w="962" w:type="dxa"/>
          </w:tcPr>
          <w:p w14:paraId="0E2000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37.13</w:t>
            </w:r>
          </w:p>
        </w:tc>
        <w:tc>
          <w:tcPr>
            <w:tcW w:w="923" w:type="dxa"/>
          </w:tcPr>
          <w:p w14:paraId="7CC0CC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60.30</w:t>
            </w:r>
          </w:p>
        </w:tc>
        <w:tc>
          <w:tcPr>
            <w:tcW w:w="958" w:type="dxa"/>
          </w:tcPr>
          <w:p w14:paraId="0B836F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52.85</w:t>
            </w:r>
          </w:p>
        </w:tc>
        <w:tc>
          <w:tcPr>
            <w:tcW w:w="976" w:type="dxa"/>
          </w:tcPr>
          <w:p w14:paraId="4C69B56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105.72</w:t>
            </w:r>
          </w:p>
        </w:tc>
      </w:tr>
      <w:tr w:rsidR="007D0694" w:rsidRPr="0014783B" w14:paraId="32A804D1" w14:textId="77777777" w:rsidTr="00063B27">
        <w:trPr>
          <w:trHeight w:val="330"/>
        </w:trPr>
        <w:tc>
          <w:tcPr>
            <w:tcW w:w="1382" w:type="dxa"/>
            <w:vAlign w:val="bottom"/>
          </w:tcPr>
          <w:p w14:paraId="68027AC0"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422BFC74"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2C80CCC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5.85</w:t>
            </w:r>
          </w:p>
        </w:tc>
        <w:tc>
          <w:tcPr>
            <w:tcW w:w="1022" w:type="dxa"/>
          </w:tcPr>
          <w:p w14:paraId="643CB1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2.66</w:t>
            </w:r>
          </w:p>
        </w:tc>
        <w:tc>
          <w:tcPr>
            <w:tcW w:w="979" w:type="dxa"/>
          </w:tcPr>
          <w:p w14:paraId="077558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4.77</w:t>
            </w:r>
          </w:p>
        </w:tc>
        <w:tc>
          <w:tcPr>
            <w:tcW w:w="962" w:type="dxa"/>
          </w:tcPr>
          <w:p w14:paraId="3BE24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3.69</w:t>
            </w:r>
          </w:p>
        </w:tc>
        <w:tc>
          <w:tcPr>
            <w:tcW w:w="923" w:type="dxa"/>
          </w:tcPr>
          <w:p w14:paraId="7303673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7.22</w:t>
            </w:r>
          </w:p>
        </w:tc>
        <w:tc>
          <w:tcPr>
            <w:tcW w:w="958" w:type="dxa"/>
          </w:tcPr>
          <w:p w14:paraId="649C26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6.75</w:t>
            </w:r>
          </w:p>
        </w:tc>
        <w:tc>
          <w:tcPr>
            <w:tcW w:w="976" w:type="dxa"/>
          </w:tcPr>
          <w:p w14:paraId="557989C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5.71</w:t>
            </w:r>
          </w:p>
        </w:tc>
      </w:tr>
      <w:tr w:rsidR="007D0694" w:rsidRPr="0014783B" w14:paraId="5E3A3EE3" w14:textId="77777777" w:rsidTr="00063B27">
        <w:trPr>
          <w:trHeight w:val="318"/>
        </w:trPr>
        <w:tc>
          <w:tcPr>
            <w:tcW w:w="1382" w:type="dxa"/>
            <w:vAlign w:val="bottom"/>
          </w:tcPr>
          <w:p w14:paraId="72CD981F"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5451C111"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5F6880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17.51</w:t>
            </w:r>
          </w:p>
        </w:tc>
        <w:tc>
          <w:tcPr>
            <w:tcW w:w="1022" w:type="dxa"/>
          </w:tcPr>
          <w:p w14:paraId="472685B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7.97</w:t>
            </w:r>
          </w:p>
        </w:tc>
        <w:tc>
          <w:tcPr>
            <w:tcW w:w="979" w:type="dxa"/>
          </w:tcPr>
          <w:p w14:paraId="2BE5CA1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14.28</w:t>
            </w:r>
          </w:p>
        </w:tc>
        <w:tc>
          <w:tcPr>
            <w:tcW w:w="962" w:type="dxa"/>
          </w:tcPr>
          <w:p w14:paraId="298625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11.06</w:t>
            </w:r>
          </w:p>
        </w:tc>
        <w:tc>
          <w:tcPr>
            <w:tcW w:w="923" w:type="dxa"/>
          </w:tcPr>
          <w:p w14:paraId="1A4652A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21.60</w:t>
            </w:r>
          </w:p>
        </w:tc>
        <w:tc>
          <w:tcPr>
            <w:tcW w:w="958" w:type="dxa"/>
          </w:tcPr>
          <w:p w14:paraId="16DCDE5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20.13</w:t>
            </w:r>
          </w:p>
        </w:tc>
        <w:tc>
          <w:tcPr>
            <w:tcW w:w="976" w:type="dxa"/>
          </w:tcPr>
          <w:p w14:paraId="324A0F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17.48</w:t>
            </w:r>
          </w:p>
        </w:tc>
      </w:tr>
    </w:tbl>
    <w:p w14:paraId="7B8B6799" w14:textId="77777777" w:rsidR="007D0694" w:rsidRPr="0014783B" w:rsidRDefault="007D0694" w:rsidP="007D0694">
      <w:pPr>
        <w:rPr>
          <w:rFonts w:ascii="Times New Roman" w:hAnsi="Times New Roman" w:cs="Times New Roman"/>
          <w:b/>
          <w:bCs/>
          <w:lang w:val="en-US"/>
        </w:rPr>
      </w:pPr>
    </w:p>
    <w:p w14:paraId="2E125052" w14:textId="77777777" w:rsidR="007D0694" w:rsidRPr="0014783B" w:rsidRDefault="007D0694" w:rsidP="007D0694">
      <w:pPr>
        <w:spacing w:line="360" w:lineRule="auto"/>
        <w:rPr>
          <w:rFonts w:ascii="Times New Roman" w:hAnsi="Times New Roman" w:cs="Times New Roman"/>
          <w:sz w:val="24"/>
          <w:szCs w:val="24"/>
          <w:lang w:val="en-US"/>
        </w:rPr>
      </w:pPr>
      <w:r w:rsidRPr="0014783B">
        <w:rPr>
          <w:rFonts w:ascii="Times New Roman" w:hAnsi="Times New Roman" w:cs="Times New Roman"/>
          <w:b/>
          <w:bCs/>
          <w:sz w:val="24"/>
          <w:szCs w:val="24"/>
          <w:lang w:val="en-US"/>
        </w:rPr>
        <w:t xml:space="preserve">Rhizosphere population of </w:t>
      </w:r>
      <w:r w:rsidRPr="0014783B">
        <w:rPr>
          <w:rFonts w:ascii="Times New Roman" w:hAnsi="Times New Roman" w:cs="Times New Roman"/>
          <w:b/>
          <w:bCs/>
          <w:i/>
          <w:iCs/>
          <w:sz w:val="24"/>
          <w:szCs w:val="24"/>
          <w:lang w:val="en-US"/>
        </w:rPr>
        <w:t xml:space="preserve">Trichoderma spp. </w:t>
      </w:r>
    </w:p>
    <w:p w14:paraId="0FA01775"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ab/>
        <w:t>The figure1 shows the colonizing ability of Trichoderma spp.</w:t>
      </w:r>
      <w:r w:rsidRPr="0014783B">
        <w:rPr>
          <w:rFonts w:ascii="Times New Roman" w:hAnsi="Times New Roman" w:cs="Times New Roman"/>
          <w:bCs/>
          <w:sz w:val="24"/>
          <w:szCs w:val="24"/>
        </w:rPr>
        <w:t xml:space="preserve">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 xml:space="preserve">Trichoderma spp. </w:t>
      </w:r>
      <w:r w:rsidRPr="0014783B">
        <w:rPr>
          <w:rFonts w:ascii="Times New Roman" w:hAnsi="Times New Roman" w:cs="Times New Roman"/>
          <w:sz w:val="24"/>
          <w:szCs w:val="24"/>
        </w:rPr>
        <w:t xml:space="preserve">The highest Trichoderma population was recorded at T9 (7.58 log) and T4 (7.56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 xml:space="preserve">/ g soil) treatments i.e., combined application by both soil and seed followed by sole seed treatment application with T7 (7.41 log) and T2 (7.98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/g soil).</w:t>
      </w:r>
    </w:p>
    <w:p w14:paraId="0BB0A9CA" w14:textId="77777777" w:rsidR="007D0694" w:rsidRPr="0014783B" w:rsidRDefault="007D0694" w:rsidP="007D0694">
      <w:pPr>
        <w:jc w:val="center"/>
        <w:rPr>
          <w:rFonts w:ascii="Times New Roman" w:hAnsi="Times New Roman" w:cs="Times New Roman"/>
          <w:lang w:val="en-US"/>
        </w:rPr>
      </w:pPr>
      <w:r w:rsidRPr="0014783B">
        <w:rPr>
          <w:rFonts w:ascii="Times New Roman" w:hAnsi="Times New Roman" w:cs="Times New Roman"/>
          <w:b/>
          <w:bCs/>
          <w:noProof/>
        </w:rPr>
        <w:drawing>
          <wp:inline distT="0" distB="0" distL="0" distR="0" wp14:anchorId="1E05E23B" wp14:editId="62C4BDB5">
            <wp:extent cx="4904105" cy="2943860"/>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6E6C66" w14:textId="77777777" w:rsidR="007D0694" w:rsidRPr="0014783B" w:rsidRDefault="007D0694" w:rsidP="007D0694">
      <w:pPr>
        <w:spacing w:line="360" w:lineRule="auto"/>
        <w:rPr>
          <w:rFonts w:ascii="Times New Roman" w:hAnsi="Times New Roman" w:cs="Times New Roman"/>
          <w:i/>
          <w:iCs/>
          <w:sz w:val="24"/>
          <w:szCs w:val="24"/>
          <w:lang w:val="en-US"/>
        </w:rPr>
      </w:pPr>
      <w:r w:rsidRPr="0014783B">
        <w:rPr>
          <w:rFonts w:ascii="Times New Roman" w:hAnsi="Times New Roman" w:cs="Times New Roman"/>
          <w:b/>
          <w:sz w:val="24"/>
          <w:szCs w:val="24"/>
        </w:rPr>
        <w:t xml:space="preserve">Figure 1: </w:t>
      </w:r>
      <w:r w:rsidRPr="0014783B">
        <w:rPr>
          <w:rFonts w:ascii="Times New Roman" w:hAnsi="Times New Roman" w:cs="Times New Roman"/>
          <w:bCs/>
          <w:sz w:val="24"/>
          <w:szCs w:val="24"/>
        </w:rPr>
        <w:t xml:space="preserve">Soil </w:t>
      </w:r>
      <w:r w:rsidRPr="0014783B">
        <w:rPr>
          <w:rFonts w:ascii="Times New Roman" w:hAnsi="Times New Roman" w:cs="Times New Roman"/>
          <w:bCs/>
          <w:i/>
          <w:iCs/>
          <w:sz w:val="24"/>
          <w:szCs w:val="24"/>
        </w:rPr>
        <w:t xml:space="preserve">Trichoderma </w:t>
      </w:r>
      <w:r w:rsidRPr="0014783B">
        <w:rPr>
          <w:rFonts w:ascii="Times New Roman" w:hAnsi="Times New Roman" w:cs="Times New Roman"/>
          <w:bCs/>
          <w:sz w:val="24"/>
          <w:szCs w:val="24"/>
        </w:rPr>
        <w:t>population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Trichoderma spp.</w:t>
      </w:r>
    </w:p>
    <w:p w14:paraId="0E413982"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Disease incidence of </w:t>
      </w:r>
      <w:r w:rsidRPr="0014783B">
        <w:rPr>
          <w:rFonts w:ascii="Times New Roman" w:hAnsi="Times New Roman" w:cs="Times New Roman"/>
          <w:b/>
          <w:bCs/>
          <w:i/>
          <w:iCs/>
          <w:sz w:val="24"/>
          <w:szCs w:val="24"/>
          <w:lang w:val="en-US"/>
        </w:rPr>
        <w:t xml:space="preserve">Sclerotium </w:t>
      </w:r>
      <w:proofErr w:type="spellStart"/>
      <w:r w:rsidRPr="0014783B">
        <w:rPr>
          <w:rFonts w:ascii="Times New Roman" w:hAnsi="Times New Roman" w:cs="Times New Roman"/>
          <w:b/>
          <w:bCs/>
          <w:i/>
          <w:iCs/>
          <w:sz w:val="24"/>
          <w:szCs w:val="24"/>
          <w:lang w:val="en-US"/>
        </w:rPr>
        <w:t>rolfsii</w:t>
      </w:r>
      <w:proofErr w:type="spellEnd"/>
      <w:r w:rsidRPr="0014783B">
        <w:rPr>
          <w:rFonts w:ascii="Times New Roman" w:hAnsi="Times New Roman" w:cs="Times New Roman"/>
          <w:b/>
          <w:bCs/>
          <w:sz w:val="24"/>
          <w:szCs w:val="24"/>
          <w:lang w:val="en-US"/>
        </w:rPr>
        <w:t xml:space="preserve">: </w:t>
      </w:r>
    </w:p>
    <w:p w14:paraId="7747E965"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lang w:val="en-US"/>
        </w:rPr>
        <w:lastRenderedPageBreak/>
        <w:tab/>
      </w:r>
      <w:r w:rsidRPr="0014783B">
        <w:rPr>
          <w:rFonts w:ascii="Times New Roman" w:hAnsi="Times New Roman" w:cs="Times New Roman"/>
          <w:sz w:val="24"/>
          <w:szCs w:val="24"/>
          <w:lang w:val="en-US"/>
        </w:rPr>
        <w:t>From the figure 2, the lower disease incidence was found at T9 (14.29) and T4 (190.5) treatments when compared to control (</w:t>
      </w:r>
      <w:r w:rsidRPr="0014783B">
        <w:rPr>
          <w:rFonts w:ascii="Times New Roman" w:hAnsi="Times New Roman" w:cs="Times New Roman"/>
          <w:sz w:val="24"/>
          <w:szCs w:val="24"/>
        </w:rPr>
        <w:t xml:space="preserve">85.71%). Seed treatment showed the disease reduction by 66.66% to 72.77% and same trend followed by soil application. The combined application by soil and seed provided better results against the disease. The disease reduction was also higher in T9 treatment followed by T4. The results showed that all the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treated pots has reduced disease incidence with significant differences compared to untreated. </w:t>
      </w:r>
    </w:p>
    <w:p w14:paraId="1CD1B83C"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rPr>
        <w:drawing>
          <wp:inline distT="0" distB="0" distL="0" distR="0" wp14:anchorId="30AEC583" wp14:editId="3BDBF6A0">
            <wp:extent cx="5880735" cy="2327275"/>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95A90B" w14:textId="77777777" w:rsidR="007D0694" w:rsidRPr="0014783B" w:rsidRDefault="007D0694" w:rsidP="007D0694">
      <w:pPr>
        <w:spacing w:line="360" w:lineRule="auto"/>
        <w:jc w:val="both"/>
        <w:rPr>
          <w:rFonts w:ascii="Times New Roman" w:hAnsi="Times New Roman" w:cs="Times New Roman"/>
          <w:i/>
          <w:iCs/>
          <w:sz w:val="24"/>
          <w:szCs w:val="24"/>
        </w:rPr>
      </w:pPr>
      <w:r w:rsidRPr="0014783B">
        <w:rPr>
          <w:rFonts w:ascii="Times New Roman" w:hAnsi="Times New Roman" w:cs="Times New Roman"/>
          <w:b/>
          <w:sz w:val="24"/>
          <w:szCs w:val="24"/>
        </w:rPr>
        <w:t xml:space="preserve">Figure 2: </w:t>
      </w:r>
      <w:r w:rsidRPr="0014783B">
        <w:rPr>
          <w:rFonts w:ascii="Times New Roman" w:hAnsi="Times New Roman" w:cs="Times New Roman"/>
          <w:bCs/>
          <w:sz w:val="24"/>
          <w:szCs w:val="24"/>
        </w:rPr>
        <w:t xml:space="preserve">Percent incidence and reduction of stem and root rot disease by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r w:rsidRPr="0014783B">
        <w:rPr>
          <w:rFonts w:ascii="Times New Roman" w:hAnsi="Times New Roman" w:cs="Times New Roman"/>
          <w:bCs/>
          <w:sz w:val="24"/>
          <w:szCs w:val="24"/>
        </w:rPr>
        <w:t xml:space="preserve"> of groundnut seedlings</w:t>
      </w:r>
      <w:r w:rsidRPr="0014783B">
        <w:rPr>
          <w:rFonts w:ascii="Times New Roman" w:hAnsi="Times New Roman" w:cs="Times New Roman"/>
          <w:b/>
          <w:sz w:val="24"/>
          <w:szCs w:val="24"/>
        </w:rPr>
        <w:t xml:space="preserve"> </w:t>
      </w:r>
      <w:r w:rsidRPr="0014783B">
        <w:rPr>
          <w:rFonts w:ascii="Times New Roman" w:hAnsi="Times New Roman" w:cs="Times New Roman"/>
          <w:sz w:val="24"/>
          <w:szCs w:val="24"/>
        </w:rPr>
        <w:t xml:space="preserve">under different application methods of UBT 21 &amp; UBT 23 strains of </w:t>
      </w:r>
      <w:r w:rsidRPr="0014783B">
        <w:rPr>
          <w:rFonts w:ascii="Times New Roman" w:hAnsi="Times New Roman" w:cs="Times New Roman"/>
          <w:i/>
          <w:iCs/>
          <w:sz w:val="24"/>
          <w:szCs w:val="24"/>
        </w:rPr>
        <w:t>Trichoderma spp.</w:t>
      </w:r>
    </w:p>
    <w:p w14:paraId="6C82DD44"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Activity of defense enzymes (Phenol and Polyphenol oxidase): </w:t>
      </w:r>
    </w:p>
    <w:p w14:paraId="736F6479" w14:textId="77777777" w:rsidR="007D0694" w:rsidRPr="0014783B" w:rsidRDefault="007D0694" w:rsidP="007D0694">
      <w:pPr>
        <w:spacing w:line="360" w:lineRule="auto"/>
        <w:ind w:firstLine="720"/>
        <w:jc w:val="both"/>
        <w:rPr>
          <w:rFonts w:ascii="Times New Roman" w:hAnsi="Times New Roman" w:cs="Times New Roman"/>
          <w:b/>
          <w:bCs/>
          <w:sz w:val="24"/>
          <w:szCs w:val="24"/>
          <w:lang w:val="en-US"/>
        </w:rPr>
      </w:pPr>
      <w:r w:rsidRPr="0014783B">
        <w:rPr>
          <w:rFonts w:ascii="Times New Roman" w:hAnsi="Times New Roman" w:cs="Times New Roman"/>
          <w:sz w:val="24"/>
          <w:szCs w:val="24"/>
          <w:lang w:val="en-US"/>
        </w:rPr>
        <w:t xml:space="preserve">The figure 3 depicts the increase in total phenol content in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pots. The highest phenol content was observed at T4 treatment at both 15 (0.65) and 21(0.49 </w:t>
      </w:r>
      <w:r w:rsidRPr="0014783B">
        <w:rPr>
          <w:rFonts w:ascii="Times New Roman" w:hAnsi="Times New Roman" w:cs="Times New Roman"/>
          <w:sz w:val="24"/>
          <w:szCs w:val="24"/>
        </w:rPr>
        <w:t>mg/ g fresh wt.)</w:t>
      </w:r>
      <w:r w:rsidRPr="0014783B">
        <w:rPr>
          <w:rFonts w:ascii="Times New Roman" w:hAnsi="Times New Roman" w:cs="Times New Roman"/>
          <w:sz w:val="24"/>
          <w:szCs w:val="24"/>
          <w:lang w:val="en-US"/>
        </w:rPr>
        <w:t xml:space="preserve">  days old seedling. The phenol content of untreated control was 0.164 at 15 DAS and 0.50 at 21 DAS. The combined application by both soil and seed showed better result with 1.5 to 2 times increase in activity of total phenols. The Polyphenol oxidase enzyme activity was shown in figure 4. The highest polyphenol oxidase activity was recorded at T9 (3.42) followed by T8 (3.33 ∆495nm/min/g fresh wt.) treatments for 21 days old ground nut seedlings. The UBT 21 strain showed the highest phenol concentration whereas the polyphenol oxidase activity recorded highest with application of UBT 23 isolate when applied as both soil and seed treatment.</w:t>
      </w:r>
    </w:p>
    <w:p w14:paraId="136E7005" w14:textId="77777777" w:rsidR="007D0694" w:rsidRPr="0014783B" w:rsidRDefault="007D0694" w:rsidP="007D0694">
      <w:pPr>
        <w:rPr>
          <w:rFonts w:ascii="Times New Roman" w:hAnsi="Times New Roman" w:cs="Times New Roman"/>
          <w:lang w:val="en-US"/>
        </w:rPr>
      </w:pPr>
    </w:p>
    <w:p w14:paraId="0ECC1F40"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rPr>
        <w:lastRenderedPageBreak/>
        <w:drawing>
          <wp:inline distT="0" distB="0" distL="0" distR="0" wp14:anchorId="00912F45" wp14:editId="5CCF270E">
            <wp:extent cx="6181725" cy="2911475"/>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78CE7" w14:textId="77777777" w:rsidR="007D0694" w:rsidRPr="0014783B" w:rsidRDefault="007D0694" w:rsidP="007D0694">
      <w:pPr>
        <w:jc w:val="both"/>
        <w:rPr>
          <w:rFonts w:ascii="Times New Roman" w:hAnsi="Times New Roman" w:cs="Times New Roman"/>
          <w:bCs/>
          <w:i/>
          <w:iCs/>
          <w:sz w:val="24"/>
          <w:szCs w:val="24"/>
          <w:lang w:val="en-US"/>
        </w:rPr>
      </w:pPr>
      <w:r w:rsidRPr="0014783B">
        <w:rPr>
          <w:rFonts w:ascii="Times New Roman" w:hAnsi="Times New Roman" w:cs="Times New Roman"/>
          <w:b/>
          <w:sz w:val="24"/>
          <w:szCs w:val="24"/>
        </w:rPr>
        <w:t xml:space="preserve">Figure 3: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total phenol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33454BAA" w14:textId="77777777" w:rsidR="007D0694" w:rsidRPr="0014783B" w:rsidRDefault="007D0694" w:rsidP="007D0694">
      <w:pPr>
        <w:rPr>
          <w:rFonts w:ascii="Times New Roman" w:hAnsi="Times New Roman" w:cs="Times New Roman"/>
          <w:bCs/>
          <w:iCs/>
          <w:sz w:val="24"/>
          <w:szCs w:val="24"/>
        </w:rPr>
      </w:pPr>
      <w:r w:rsidRPr="0014783B">
        <w:rPr>
          <w:rFonts w:ascii="Times New Roman" w:hAnsi="Times New Roman" w:cs="Times New Roman"/>
          <w:noProof/>
        </w:rPr>
        <w:drawing>
          <wp:inline distT="0" distB="0" distL="0" distR="0" wp14:anchorId="121A3EBF" wp14:editId="13E5F198">
            <wp:extent cx="5731510" cy="2649220"/>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4991F" w14:textId="77777777" w:rsidR="007D0694" w:rsidRPr="0014783B" w:rsidRDefault="007D0694" w:rsidP="007D0694">
      <w:pPr>
        <w:spacing w:line="360" w:lineRule="auto"/>
        <w:jc w:val="both"/>
        <w:rPr>
          <w:rFonts w:ascii="Times New Roman" w:hAnsi="Times New Roman" w:cs="Times New Roman"/>
          <w:bCs/>
          <w:i/>
          <w:sz w:val="24"/>
          <w:szCs w:val="24"/>
        </w:rPr>
      </w:pPr>
      <w:r w:rsidRPr="0014783B">
        <w:rPr>
          <w:rFonts w:ascii="Times New Roman" w:hAnsi="Times New Roman" w:cs="Times New Roman"/>
          <w:b/>
          <w:sz w:val="24"/>
          <w:szCs w:val="24"/>
        </w:rPr>
        <w:t xml:space="preserve">Figure 4: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polyphenol oxidase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0822DE02" w14:textId="77777777" w:rsidR="007D0694" w:rsidRPr="0014783B" w:rsidRDefault="007D0694" w:rsidP="007D0694">
      <w:pPr>
        <w:spacing w:line="360" w:lineRule="auto"/>
        <w:jc w:val="both"/>
        <w:rPr>
          <w:rFonts w:ascii="Times New Roman" w:hAnsi="Times New Roman" w:cs="Times New Roman"/>
          <w:b/>
          <w:iCs/>
          <w:sz w:val="24"/>
          <w:szCs w:val="24"/>
        </w:rPr>
      </w:pPr>
      <w:r w:rsidRPr="0014783B">
        <w:rPr>
          <w:rFonts w:ascii="Times New Roman" w:hAnsi="Times New Roman" w:cs="Times New Roman"/>
          <w:b/>
          <w:iCs/>
          <w:sz w:val="24"/>
          <w:szCs w:val="24"/>
        </w:rPr>
        <w:t>DISCUSSION:</w:t>
      </w:r>
    </w:p>
    <w:p w14:paraId="3CAB987E" w14:textId="77777777" w:rsidR="007D0694" w:rsidRPr="0014783B" w:rsidRDefault="007D0694" w:rsidP="007D0694">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Application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isolates by either seed or soil treatment, it multiplies and develops along with developing root system of plant (Harman, 2000; Howell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2000).  The germination and seedling parameters (height, dry weight, root &amp; shoot length, leaf number) has significantly increased in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treated seeds (Harman </w:t>
      </w:r>
      <w:r w:rsidRPr="0014783B">
        <w:rPr>
          <w:rFonts w:ascii="Times New Roman" w:hAnsi="Times New Roman" w:cs="Times New Roman"/>
          <w:i/>
          <w:sz w:val="24"/>
          <w:szCs w:val="24"/>
        </w:rPr>
        <w:t>et al</w:t>
      </w:r>
      <w:r w:rsidRPr="0014783B">
        <w:rPr>
          <w:rFonts w:ascii="Times New Roman" w:hAnsi="Times New Roman" w:cs="Times New Roman"/>
          <w:sz w:val="24"/>
          <w:szCs w:val="24"/>
        </w:rPr>
        <w:t xml:space="preserve">, 2004). The </w:t>
      </w:r>
      <w:r w:rsidRPr="0014783B">
        <w:rPr>
          <w:rFonts w:ascii="Times New Roman" w:hAnsi="Times New Roman" w:cs="Times New Roman"/>
          <w:i/>
          <w:iCs/>
          <w:sz w:val="24"/>
          <w:szCs w:val="24"/>
        </w:rPr>
        <w:t xml:space="preserve">Trichoderma </w:t>
      </w:r>
      <w:r w:rsidRPr="0014783B">
        <w:rPr>
          <w:rFonts w:ascii="Times New Roman" w:hAnsi="Times New Roman" w:cs="Times New Roman"/>
          <w:sz w:val="24"/>
          <w:szCs w:val="24"/>
        </w:rPr>
        <w:t>application also aids in enhanced root nodulation and in turn increased photosynthetic activity thereby promotes plant growth (</w:t>
      </w:r>
      <w:proofErr w:type="spellStart"/>
      <w:r w:rsidRPr="0014783B">
        <w:rPr>
          <w:rFonts w:ascii="Times New Roman" w:hAnsi="Times New Roman" w:cs="Times New Roman"/>
          <w:sz w:val="24"/>
          <w:szCs w:val="24"/>
        </w:rPr>
        <w:t>Lugtenberg</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sz w:val="24"/>
          <w:szCs w:val="24"/>
        </w:rPr>
        <w:t>et al</w:t>
      </w:r>
      <w:r w:rsidRPr="0014783B">
        <w:rPr>
          <w:rFonts w:ascii="Times New Roman" w:hAnsi="Times New Roman" w:cs="Times New Roman"/>
          <w:sz w:val="24"/>
          <w:szCs w:val="24"/>
        </w:rPr>
        <w:t xml:space="preserve">., 2013). </w:t>
      </w:r>
      <w:proofErr w:type="spellStart"/>
      <w:r w:rsidRPr="0014783B">
        <w:rPr>
          <w:rFonts w:ascii="Times New Roman" w:hAnsi="Times New Roman" w:cs="Times New Roman"/>
          <w:sz w:val="24"/>
          <w:szCs w:val="24"/>
        </w:rPr>
        <w:t>Partiban</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(2002) found the </w:t>
      </w:r>
      <w:r w:rsidRPr="0014783B">
        <w:rPr>
          <w:rFonts w:ascii="Times New Roman" w:hAnsi="Times New Roman" w:cs="Times New Roman"/>
          <w:sz w:val="24"/>
          <w:szCs w:val="24"/>
        </w:rPr>
        <w:lastRenderedPageBreak/>
        <w:t xml:space="preserve">reduction of sclerotium wilt disease of ground nut by 92.58% with soil application of </w:t>
      </w:r>
      <w:r w:rsidRPr="0014783B">
        <w:rPr>
          <w:rFonts w:ascii="Times New Roman" w:hAnsi="Times New Roman" w:cs="Times New Roman"/>
          <w:i/>
          <w:sz w:val="24"/>
          <w:szCs w:val="24"/>
        </w:rPr>
        <w:t xml:space="preserve">T. </w:t>
      </w:r>
      <w:proofErr w:type="spellStart"/>
      <w:r w:rsidRPr="0014783B">
        <w:rPr>
          <w:rFonts w:ascii="Times New Roman" w:hAnsi="Times New Roman" w:cs="Times New Roman"/>
          <w:i/>
          <w:sz w:val="24"/>
          <w:szCs w:val="24"/>
        </w:rPr>
        <w:t>harzianum</w:t>
      </w:r>
      <w:proofErr w:type="spellEnd"/>
      <w:r w:rsidRPr="0014783B">
        <w:rPr>
          <w:rFonts w:ascii="Times New Roman" w:hAnsi="Times New Roman" w:cs="Times New Roman"/>
          <w:iCs/>
          <w:sz w:val="24"/>
          <w:szCs w:val="24"/>
        </w:rPr>
        <w:t xml:space="preserve">. Similar report by </w:t>
      </w:r>
      <w:proofErr w:type="spellStart"/>
      <w:r w:rsidRPr="0014783B">
        <w:rPr>
          <w:rFonts w:ascii="Times New Roman" w:hAnsi="Times New Roman" w:cs="Times New Roman"/>
          <w:sz w:val="24"/>
          <w:szCs w:val="24"/>
        </w:rPr>
        <w:t>Kartikeeyan</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sz w:val="24"/>
          <w:szCs w:val="24"/>
        </w:rPr>
        <w:t>et al</w:t>
      </w:r>
      <w:r w:rsidRPr="0014783B">
        <w:rPr>
          <w:rFonts w:ascii="Times New Roman" w:hAnsi="Times New Roman" w:cs="Times New Roman"/>
          <w:sz w:val="24"/>
          <w:szCs w:val="24"/>
        </w:rPr>
        <w:t xml:space="preserve">. (2006) stated that the culture filtrate of </w:t>
      </w:r>
      <w:r w:rsidRPr="0014783B">
        <w:rPr>
          <w:rFonts w:ascii="Times New Roman" w:hAnsi="Times New Roman" w:cs="Times New Roman"/>
          <w:i/>
          <w:sz w:val="24"/>
          <w:szCs w:val="24"/>
        </w:rPr>
        <w:t>T.</w:t>
      </w:r>
      <w:r w:rsidRPr="0014783B">
        <w:rPr>
          <w:rFonts w:ascii="Times New Roman" w:hAnsi="Times New Roman" w:cs="Times New Roman"/>
          <w:i/>
          <w:sz w:val="24"/>
          <w:szCs w:val="24"/>
          <w:lang w:val="en-US"/>
        </w:rPr>
        <w:t xml:space="preserve"> </w:t>
      </w:r>
      <w:proofErr w:type="spellStart"/>
      <w:r w:rsidRPr="0014783B">
        <w:rPr>
          <w:rFonts w:ascii="Times New Roman" w:hAnsi="Times New Roman" w:cs="Times New Roman"/>
          <w:i/>
          <w:sz w:val="24"/>
          <w:szCs w:val="24"/>
        </w:rPr>
        <w:t>viride</w:t>
      </w:r>
      <w:proofErr w:type="spellEnd"/>
      <w:r w:rsidRPr="0014783B">
        <w:rPr>
          <w:rFonts w:ascii="Times New Roman" w:hAnsi="Times New Roman" w:cs="Times New Roman"/>
          <w:i/>
          <w:sz w:val="24"/>
          <w:szCs w:val="24"/>
        </w:rPr>
        <w:t xml:space="preserve"> </w:t>
      </w:r>
      <w:r w:rsidRPr="0014783B">
        <w:rPr>
          <w:rFonts w:ascii="Times New Roman" w:hAnsi="Times New Roman" w:cs="Times New Roman"/>
          <w:iCs/>
          <w:sz w:val="24"/>
          <w:szCs w:val="24"/>
        </w:rPr>
        <w:t xml:space="preserve">suppressed the </w:t>
      </w:r>
      <w:r w:rsidRPr="0014783B">
        <w:rPr>
          <w:rFonts w:ascii="Times New Roman" w:hAnsi="Times New Roman" w:cs="Times New Roman"/>
          <w:i/>
          <w:sz w:val="24"/>
          <w:szCs w:val="24"/>
        </w:rPr>
        <w:t xml:space="preserve">S. </w:t>
      </w:r>
      <w:proofErr w:type="spellStart"/>
      <w:r w:rsidRPr="0014783B">
        <w:rPr>
          <w:rFonts w:ascii="Times New Roman" w:hAnsi="Times New Roman" w:cs="Times New Roman"/>
          <w:i/>
          <w:sz w:val="24"/>
          <w:szCs w:val="24"/>
        </w:rPr>
        <w:t>rolfsii</w:t>
      </w:r>
      <w:proofErr w:type="spellEnd"/>
      <w:r w:rsidRPr="0014783B">
        <w:rPr>
          <w:rFonts w:ascii="Times New Roman" w:hAnsi="Times New Roman" w:cs="Times New Roman"/>
          <w:i/>
          <w:sz w:val="24"/>
          <w:szCs w:val="24"/>
        </w:rPr>
        <w:t xml:space="preserve"> </w:t>
      </w:r>
      <w:r w:rsidRPr="0014783B">
        <w:rPr>
          <w:rFonts w:ascii="Times New Roman" w:hAnsi="Times New Roman" w:cs="Times New Roman"/>
          <w:iCs/>
          <w:sz w:val="24"/>
          <w:szCs w:val="24"/>
        </w:rPr>
        <w:t xml:space="preserve">growth by 87.05% as well as </w:t>
      </w:r>
      <w:proofErr w:type="spellStart"/>
      <w:r w:rsidRPr="0014783B">
        <w:rPr>
          <w:rFonts w:ascii="Times New Roman" w:hAnsi="Times New Roman" w:cs="Times New Roman"/>
          <w:iCs/>
          <w:sz w:val="24"/>
          <w:szCs w:val="24"/>
        </w:rPr>
        <w:t>sclerotial</w:t>
      </w:r>
      <w:proofErr w:type="spellEnd"/>
      <w:r w:rsidRPr="0014783B">
        <w:rPr>
          <w:rFonts w:ascii="Times New Roman" w:hAnsi="Times New Roman" w:cs="Times New Roman"/>
          <w:iCs/>
          <w:sz w:val="24"/>
          <w:szCs w:val="24"/>
        </w:rPr>
        <w:t xml:space="preserve"> germination by 62.50%. </w:t>
      </w:r>
      <w:proofErr w:type="spellStart"/>
      <w:r w:rsidRPr="0014783B">
        <w:rPr>
          <w:rFonts w:ascii="Times New Roman" w:hAnsi="Times New Roman" w:cs="Times New Roman"/>
          <w:sz w:val="24"/>
          <w:szCs w:val="24"/>
        </w:rPr>
        <w:t>Mohammadi</w:t>
      </w:r>
      <w:proofErr w:type="spellEnd"/>
      <w:r w:rsidRPr="0014783B">
        <w:rPr>
          <w:rFonts w:ascii="Times New Roman" w:hAnsi="Times New Roman" w:cs="Times New Roman"/>
          <w:sz w:val="24"/>
          <w:szCs w:val="24"/>
        </w:rPr>
        <w:t xml:space="preserve"> and Karr (2002) and She-</w:t>
      </w:r>
      <w:proofErr w:type="spellStart"/>
      <w:r w:rsidRPr="0014783B">
        <w:rPr>
          <w:rFonts w:ascii="Times New Roman" w:hAnsi="Times New Roman" w:cs="Times New Roman"/>
          <w:sz w:val="24"/>
          <w:szCs w:val="24"/>
        </w:rPr>
        <w:t>ze</w:t>
      </w:r>
      <w:r w:rsidRPr="0014783B">
        <w:rPr>
          <w:rFonts w:ascii="Times New Roman" w:hAnsi="Times New Roman" w:cs="Times New Roman"/>
          <w:i/>
          <w:sz w:val="24"/>
          <w:szCs w:val="24"/>
        </w:rPr>
        <w:t>et</w:t>
      </w:r>
      <w:proofErr w:type="spellEnd"/>
      <w:r w:rsidRPr="0014783B">
        <w:rPr>
          <w:rFonts w:ascii="Times New Roman" w:hAnsi="Times New Roman" w:cs="Times New Roman"/>
          <w:i/>
          <w:sz w:val="24"/>
          <w:szCs w:val="24"/>
        </w:rPr>
        <w:t xml:space="preserve"> al.</w:t>
      </w:r>
      <w:r w:rsidRPr="0014783B">
        <w:rPr>
          <w:rFonts w:ascii="Times New Roman" w:hAnsi="Times New Roman" w:cs="Times New Roman"/>
          <w:sz w:val="24"/>
          <w:szCs w:val="24"/>
        </w:rPr>
        <w:t xml:space="preserve"> (2008) reported that following biological method increased activity of peroxidases, phenols and polyphenol oxidase against pathogen attack and aided in resistance to plants.</w:t>
      </w:r>
    </w:p>
    <w:p w14:paraId="05C939EE"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REFERENCES: </w:t>
      </w:r>
    </w:p>
    <w:p w14:paraId="7D1BEE77" w14:textId="2B617DA9" w:rsidR="000D3FCB" w:rsidRPr="0014783B" w:rsidRDefault="000D3FCB" w:rsidP="007D0694">
      <w:pPr>
        <w:spacing w:line="360" w:lineRule="auto"/>
        <w:ind w:left="720" w:hanging="720"/>
        <w:jc w:val="both"/>
        <w:rPr>
          <w:rFonts w:ascii="Times New Roman" w:hAnsi="Times New Roman" w:cs="Times New Roman"/>
          <w:bCs/>
          <w:sz w:val="24"/>
          <w:szCs w:val="24"/>
        </w:rPr>
      </w:pPr>
      <w:r w:rsidRPr="0014783B">
        <w:rPr>
          <w:rFonts w:ascii="Times New Roman" w:hAnsi="Times New Roman" w:cs="Times New Roman"/>
          <w:bCs/>
          <w:iCs/>
          <w:sz w:val="24"/>
          <w:szCs w:val="24"/>
        </w:rPr>
        <w:t>Abdul-</w:t>
      </w:r>
      <w:proofErr w:type="spellStart"/>
      <w:r w:rsidRPr="0014783B">
        <w:rPr>
          <w:rFonts w:ascii="Times New Roman" w:hAnsi="Times New Roman" w:cs="Times New Roman"/>
          <w:bCs/>
          <w:iCs/>
          <w:sz w:val="24"/>
          <w:szCs w:val="24"/>
        </w:rPr>
        <w:t>Baki</w:t>
      </w:r>
      <w:proofErr w:type="spellEnd"/>
      <w:r w:rsidRPr="0014783B">
        <w:rPr>
          <w:rFonts w:ascii="Times New Roman" w:hAnsi="Times New Roman" w:cs="Times New Roman"/>
          <w:bCs/>
          <w:iCs/>
          <w:sz w:val="24"/>
          <w:szCs w:val="24"/>
        </w:rPr>
        <w:t>, A. A., &amp; Anderson, J. D. (1972). Physiological and biochemical deterioration of seeds. </w:t>
      </w:r>
      <w:r w:rsidRPr="0014783B">
        <w:rPr>
          <w:rFonts w:ascii="Times New Roman" w:hAnsi="Times New Roman" w:cs="Times New Roman"/>
          <w:bCs/>
          <w:i/>
          <w:iCs/>
          <w:sz w:val="24"/>
          <w:szCs w:val="24"/>
        </w:rPr>
        <w:t>Seed biology</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2, 283-315.</w:t>
      </w:r>
      <w:r w:rsidR="00834B73" w:rsidRPr="0014783B">
        <w:rPr>
          <w:rFonts w:ascii="Times New Roman" w:hAnsi="Times New Roman" w:cs="Times New Roman"/>
          <w:bCs/>
          <w:sz w:val="24"/>
          <w:szCs w:val="24"/>
        </w:rPr>
        <w:t xml:space="preserve"> https://doi.org/10.1016/B978-0-12-424303-3.50010-5</w:t>
      </w:r>
    </w:p>
    <w:p w14:paraId="2AE9A559" w14:textId="77777777" w:rsidR="0014783B" w:rsidRPr="0014783B" w:rsidRDefault="000D3FCB" w:rsidP="0014783B">
      <w:pPr>
        <w:spacing w:line="360" w:lineRule="auto"/>
        <w:ind w:left="720" w:hanging="720"/>
        <w:jc w:val="both"/>
        <w:rPr>
          <w:rFonts w:ascii="Times New Roman" w:hAnsi="Times New Roman" w:cs="Times New Roman"/>
          <w:sz w:val="24"/>
        </w:rPr>
      </w:pPr>
      <w:r w:rsidRPr="0014783B">
        <w:rPr>
          <w:rFonts w:ascii="Times New Roman" w:hAnsi="Times New Roman" w:cs="Times New Roman"/>
          <w:sz w:val="24"/>
        </w:rPr>
        <w:t xml:space="preserve">Bell, D.K., Wells, H.D., &amp; Markham, C.R. (1982). In Vitro Antagonism of Trichoderma Species against Six Fungal Plant Pathogens. </w:t>
      </w:r>
      <w:r w:rsidRPr="0014783B">
        <w:rPr>
          <w:rFonts w:ascii="Times New Roman" w:hAnsi="Times New Roman" w:cs="Times New Roman"/>
          <w:i/>
          <w:iCs/>
          <w:sz w:val="24"/>
        </w:rPr>
        <w:t>Phytopathology</w:t>
      </w:r>
      <w:r w:rsidRPr="0014783B">
        <w:rPr>
          <w:rFonts w:ascii="Times New Roman" w:hAnsi="Times New Roman" w:cs="Times New Roman"/>
          <w:sz w:val="24"/>
        </w:rPr>
        <w:t>, 72, 379-382. DOI: 10.1094/Phyto-72-379.</w:t>
      </w:r>
    </w:p>
    <w:p w14:paraId="20471598" w14:textId="77777777" w:rsidR="0014783B" w:rsidRPr="0014783B" w:rsidRDefault="004D3D0C" w:rsidP="0014783B">
      <w:pPr>
        <w:spacing w:line="360" w:lineRule="auto"/>
        <w:ind w:left="720" w:hanging="720"/>
        <w:jc w:val="both"/>
        <w:rPr>
          <w:rFonts w:ascii="Times New Roman" w:hAnsi="Times New Roman" w:cs="Times New Roman"/>
          <w:sz w:val="24"/>
        </w:rPr>
      </w:pPr>
      <w:r w:rsidRPr="0014783B">
        <w:rPr>
          <w:rFonts w:ascii="Times New Roman" w:hAnsi="Times New Roman" w:cs="Times New Roman"/>
          <w:sz w:val="24"/>
          <w:szCs w:val="24"/>
        </w:rPr>
        <w:t xml:space="preserve">Biswas, K. K., &amp; Sen, C. (2000). Management of stem rot of groundnut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i/>
          <w:iCs/>
          <w:sz w:val="24"/>
          <w:szCs w:val="24"/>
        </w:rPr>
        <w:t xml:space="preserve"> </w:t>
      </w:r>
      <w:r w:rsidRPr="0014783B">
        <w:rPr>
          <w:rFonts w:ascii="Times New Roman" w:hAnsi="Times New Roman" w:cs="Times New Roman"/>
          <w:sz w:val="24"/>
          <w:szCs w:val="24"/>
        </w:rPr>
        <w:t xml:space="preserve">through </w:t>
      </w:r>
      <w:r w:rsidRPr="0014783B">
        <w:rPr>
          <w:rFonts w:ascii="Times New Roman" w:hAnsi="Times New Roman" w:cs="Times New Roman"/>
          <w:i/>
          <w:iCs/>
          <w:sz w:val="24"/>
          <w:szCs w:val="24"/>
        </w:rPr>
        <w:t xml:space="preserve">Trichoderma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Indian Phytopathology</w:t>
      </w:r>
      <w:r w:rsidRPr="0014783B">
        <w:rPr>
          <w:rFonts w:ascii="Times New Roman" w:hAnsi="Times New Roman" w:cs="Times New Roman"/>
          <w:sz w:val="24"/>
          <w:szCs w:val="24"/>
        </w:rPr>
        <w:t>, 53(3), 290-295.</w:t>
      </w:r>
      <w:r w:rsidR="000A380D" w:rsidRPr="0014783B">
        <w:rPr>
          <w:rFonts w:ascii="Times New Roman" w:hAnsi="Times New Roman" w:cs="Times New Roman"/>
          <w:sz w:val="24"/>
          <w:szCs w:val="24"/>
        </w:rPr>
        <w:t xml:space="preserve"> Corpus ID: 86555949</w:t>
      </w:r>
    </w:p>
    <w:p w14:paraId="7C3DF68D" w14:textId="21A70A69" w:rsidR="008C0BC9" w:rsidRPr="0014783B" w:rsidRDefault="008C0BC9" w:rsidP="0014783B">
      <w:pPr>
        <w:spacing w:line="360" w:lineRule="auto"/>
        <w:ind w:left="720" w:hanging="720"/>
        <w:jc w:val="both"/>
        <w:rPr>
          <w:rFonts w:ascii="Times New Roman" w:hAnsi="Times New Roman" w:cs="Times New Roman"/>
          <w:sz w:val="24"/>
        </w:rPr>
      </w:pPr>
      <w:proofErr w:type="spellStart"/>
      <w:r w:rsidRPr="0014783B">
        <w:rPr>
          <w:rFonts w:ascii="Times New Roman" w:hAnsi="Times New Roman" w:cs="Times New Roman"/>
          <w:sz w:val="24"/>
        </w:rPr>
        <w:t>Chohan</w:t>
      </w:r>
      <w:proofErr w:type="spellEnd"/>
      <w:r w:rsidRPr="0014783B">
        <w:rPr>
          <w:rFonts w:ascii="Times New Roman" w:hAnsi="Times New Roman" w:cs="Times New Roman"/>
          <w:sz w:val="24"/>
        </w:rPr>
        <w:t>, J. S. (1974). Recent advances in diseases of groundnut in India. </w:t>
      </w:r>
      <w:r w:rsidRPr="0014783B">
        <w:rPr>
          <w:rFonts w:ascii="Times New Roman" w:hAnsi="Times New Roman" w:cs="Times New Roman"/>
          <w:i/>
          <w:iCs/>
          <w:sz w:val="24"/>
        </w:rPr>
        <w:t>Current trends in plant pathology</w:t>
      </w:r>
      <w:r w:rsidRPr="0014783B">
        <w:rPr>
          <w:rFonts w:ascii="Times New Roman" w:hAnsi="Times New Roman" w:cs="Times New Roman"/>
          <w:sz w:val="24"/>
        </w:rPr>
        <w:t>, 171.</w:t>
      </w:r>
    </w:p>
    <w:p w14:paraId="3A2A4C77" w14:textId="452AC56A" w:rsidR="007D0694" w:rsidRPr="0014783B" w:rsidRDefault="0044741B" w:rsidP="007D0694">
      <w:pPr>
        <w:spacing w:line="360" w:lineRule="auto"/>
        <w:ind w:left="720" w:hanging="720"/>
        <w:jc w:val="both"/>
        <w:rPr>
          <w:rFonts w:ascii="Times New Roman" w:hAnsi="Times New Roman" w:cs="Times New Roman"/>
          <w:bCs/>
          <w:sz w:val="24"/>
          <w:szCs w:val="24"/>
        </w:rPr>
      </w:pPr>
      <w:proofErr w:type="spellStart"/>
      <w:r w:rsidRPr="0014783B">
        <w:rPr>
          <w:rFonts w:ascii="Times New Roman" w:hAnsi="Times New Roman" w:cs="Times New Roman"/>
          <w:sz w:val="24"/>
        </w:rPr>
        <w:t>Elad</w:t>
      </w:r>
      <w:proofErr w:type="spellEnd"/>
      <w:r w:rsidRPr="0014783B">
        <w:rPr>
          <w:rFonts w:ascii="Times New Roman" w:hAnsi="Times New Roman" w:cs="Times New Roman"/>
          <w:sz w:val="24"/>
        </w:rPr>
        <w:t xml:space="preserve">, Y., Chet, I., &amp; </w:t>
      </w:r>
      <w:proofErr w:type="spellStart"/>
      <w:r w:rsidRPr="0014783B">
        <w:rPr>
          <w:rFonts w:ascii="Times New Roman" w:hAnsi="Times New Roman" w:cs="Times New Roman"/>
          <w:sz w:val="24"/>
        </w:rPr>
        <w:t>Henis</w:t>
      </w:r>
      <w:proofErr w:type="spellEnd"/>
      <w:r w:rsidRPr="0014783B">
        <w:rPr>
          <w:rFonts w:ascii="Times New Roman" w:hAnsi="Times New Roman" w:cs="Times New Roman"/>
          <w:sz w:val="24"/>
        </w:rPr>
        <w:t xml:space="preserve">, Y. (1982). Degradation of plant pathogenic fungi by </w:t>
      </w:r>
      <w:r w:rsidRPr="0014783B">
        <w:rPr>
          <w:rFonts w:ascii="Times New Roman" w:hAnsi="Times New Roman" w:cs="Times New Roman"/>
          <w:i/>
          <w:iCs/>
          <w:sz w:val="24"/>
        </w:rPr>
        <w:t xml:space="preserve">Trichoderma </w:t>
      </w:r>
      <w:proofErr w:type="spellStart"/>
      <w:r w:rsidRPr="0014783B">
        <w:rPr>
          <w:rFonts w:ascii="Times New Roman" w:hAnsi="Times New Roman" w:cs="Times New Roman"/>
          <w:i/>
          <w:iCs/>
          <w:sz w:val="24"/>
        </w:rPr>
        <w:t>harzianum</w:t>
      </w:r>
      <w:proofErr w:type="spellEnd"/>
      <w:r w:rsidRPr="0014783B">
        <w:rPr>
          <w:rFonts w:ascii="Times New Roman" w:hAnsi="Times New Roman" w:cs="Times New Roman"/>
          <w:sz w:val="24"/>
        </w:rPr>
        <w:t>. </w:t>
      </w:r>
      <w:r w:rsidRPr="0014783B">
        <w:rPr>
          <w:rFonts w:ascii="Times New Roman" w:hAnsi="Times New Roman" w:cs="Times New Roman"/>
          <w:i/>
          <w:iCs/>
          <w:sz w:val="24"/>
        </w:rPr>
        <w:t>Canadian</w:t>
      </w:r>
      <w:r w:rsidR="005C01BD" w:rsidRPr="0014783B">
        <w:rPr>
          <w:rFonts w:ascii="Times New Roman" w:hAnsi="Times New Roman" w:cs="Times New Roman"/>
          <w:i/>
          <w:iCs/>
          <w:sz w:val="24"/>
        </w:rPr>
        <w:t xml:space="preserve"> </w:t>
      </w:r>
      <w:r w:rsidRPr="0014783B">
        <w:rPr>
          <w:rFonts w:ascii="Times New Roman" w:hAnsi="Times New Roman" w:cs="Times New Roman"/>
          <w:i/>
          <w:iCs/>
          <w:sz w:val="24"/>
        </w:rPr>
        <w:t>Journal of Microbiology</w:t>
      </w:r>
      <w:r w:rsidRPr="0014783B">
        <w:rPr>
          <w:rFonts w:ascii="Times New Roman" w:hAnsi="Times New Roman" w:cs="Times New Roman"/>
          <w:sz w:val="24"/>
        </w:rPr>
        <w:t>, 28(7),</w:t>
      </w:r>
      <w:r w:rsidR="005C01BD" w:rsidRPr="0014783B">
        <w:rPr>
          <w:rFonts w:ascii="Times New Roman" w:hAnsi="Times New Roman" w:cs="Times New Roman"/>
          <w:sz w:val="24"/>
        </w:rPr>
        <w:t xml:space="preserve"> </w:t>
      </w:r>
      <w:r w:rsidRPr="0014783B">
        <w:rPr>
          <w:rFonts w:ascii="Times New Roman" w:hAnsi="Times New Roman" w:cs="Times New Roman"/>
          <w:sz w:val="24"/>
        </w:rPr>
        <w:t>719-725.</w:t>
      </w:r>
      <w:r w:rsidR="005C01BD" w:rsidRPr="0014783B">
        <w:rPr>
          <w:rFonts w:ascii="Times New Roman" w:hAnsi="Times New Roman" w:cs="Times New Roman"/>
          <w:sz w:val="24"/>
        </w:rPr>
        <w:t xml:space="preserve"> https://doi.org/10.1139/m82-110</w:t>
      </w:r>
    </w:p>
    <w:p w14:paraId="7E19294B" w14:textId="41887A2C" w:rsidR="008C0BC9" w:rsidRPr="0014783B" w:rsidRDefault="008C0BC9" w:rsidP="007D0694">
      <w:pPr>
        <w:spacing w:line="360" w:lineRule="auto"/>
        <w:ind w:left="720" w:right="687" w:hanging="720"/>
        <w:jc w:val="both"/>
        <w:rPr>
          <w:rFonts w:ascii="Times New Roman" w:hAnsi="Times New Roman" w:cs="Times New Roman"/>
          <w:bCs/>
          <w:sz w:val="24"/>
          <w:szCs w:val="24"/>
        </w:rPr>
      </w:pPr>
      <w:r w:rsidRPr="0014783B">
        <w:rPr>
          <w:rFonts w:ascii="Times New Roman" w:hAnsi="Times New Roman" w:cs="Times New Roman"/>
          <w:bCs/>
          <w:iCs/>
          <w:sz w:val="24"/>
          <w:szCs w:val="24"/>
        </w:rPr>
        <w:t>Clark, F. E. (1965). Agar‐plate method for total microbial count. </w:t>
      </w:r>
      <w:r w:rsidRPr="0014783B">
        <w:rPr>
          <w:rFonts w:ascii="Times New Roman" w:hAnsi="Times New Roman" w:cs="Times New Roman"/>
          <w:bCs/>
          <w:i/>
          <w:iCs/>
          <w:sz w:val="24"/>
          <w:szCs w:val="24"/>
        </w:rPr>
        <w:t>Methods of Soil Analysis: Part 2 Chemical and Microbiological Properties</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9, 1460-1466.</w:t>
      </w:r>
      <w:r w:rsidR="005C01BD" w:rsidRPr="0014783B">
        <w:rPr>
          <w:rFonts w:ascii="Times New Roman" w:hAnsi="Times New Roman" w:cs="Times New Roman"/>
          <w:bCs/>
          <w:sz w:val="24"/>
          <w:szCs w:val="24"/>
        </w:rPr>
        <w:t xml:space="preserve"> https://doi.org/10.2134/agronmonogr9.2.c48</w:t>
      </w:r>
    </w:p>
    <w:p w14:paraId="788F8A8A" w14:textId="280DA587" w:rsidR="008C0BC9" w:rsidRPr="0014783B" w:rsidRDefault="008C0BC9"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Harman, G. E. (2000). Myths and dogmas of biocontrol changes in perceptions derived from research on Trichoderma </w:t>
      </w:r>
      <w:proofErr w:type="spellStart"/>
      <w:r w:rsidRPr="0014783B">
        <w:rPr>
          <w:rFonts w:ascii="Times New Roman" w:hAnsi="Times New Roman" w:cs="Times New Roman"/>
          <w:sz w:val="24"/>
          <w:szCs w:val="24"/>
        </w:rPr>
        <w:t>harzinum</w:t>
      </w:r>
      <w:proofErr w:type="spellEnd"/>
      <w:r w:rsidRPr="0014783B">
        <w:rPr>
          <w:rFonts w:ascii="Times New Roman" w:hAnsi="Times New Roman" w:cs="Times New Roman"/>
          <w:sz w:val="24"/>
          <w:szCs w:val="24"/>
        </w:rPr>
        <w:t xml:space="preserve"> T-22. </w:t>
      </w:r>
      <w:r w:rsidRPr="0014783B">
        <w:rPr>
          <w:rFonts w:ascii="Times New Roman" w:hAnsi="Times New Roman" w:cs="Times New Roman"/>
          <w:i/>
          <w:iCs/>
          <w:sz w:val="24"/>
          <w:szCs w:val="24"/>
        </w:rPr>
        <w:t>Plant disease</w:t>
      </w:r>
      <w:r w:rsidRPr="0014783B">
        <w:rPr>
          <w:rFonts w:ascii="Times New Roman" w:hAnsi="Times New Roman" w:cs="Times New Roman"/>
          <w:sz w:val="24"/>
          <w:szCs w:val="24"/>
        </w:rPr>
        <w:t>, 84(4), 377-393.</w:t>
      </w:r>
      <w:r w:rsidR="005C01BD" w:rsidRPr="0014783B">
        <w:rPr>
          <w:rFonts w:ascii="Times New Roman" w:hAnsi="Times New Roman" w:cs="Times New Roman"/>
          <w:sz w:val="24"/>
          <w:szCs w:val="24"/>
        </w:rPr>
        <w:t xml:space="preserve"> https://doi.org/10.1094/PDIS.2000.84.4.377</w:t>
      </w:r>
    </w:p>
    <w:p w14:paraId="681D68F1" w14:textId="221CBCEF" w:rsidR="008C0BC9" w:rsidRPr="0014783B" w:rsidRDefault="008C0BC9" w:rsidP="007D0694">
      <w:pPr>
        <w:spacing w:line="360" w:lineRule="auto"/>
        <w:ind w:left="720" w:right="687" w:hanging="720"/>
        <w:jc w:val="both"/>
        <w:rPr>
          <w:rFonts w:ascii="Times New Roman" w:eastAsia="Times New Roman" w:hAnsi="Times New Roman" w:cs="Times New Roman"/>
          <w:kern w:val="0"/>
          <w:sz w:val="24"/>
          <w:szCs w:val="24"/>
          <w14:ligatures w14:val="none"/>
        </w:rPr>
      </w:pPr>
      <w:r w:rsidRPr="0014783B">
        <w:rPr>
          <w:rFonts w:ascii="Times New Roman" w:eastAsia="Times New Roman" w:hAnsi="Times New Roman" w:cs="Times New Roman"/>
          <w:kern w:val="0"/>
          <w:sz w:val="24"/>
          <w:szCs w:val="24"/>
          <w14:ligatures w14:val="none"/>
        </w:rPr>
        <w:t xml:space="preserve">Harman, G. E., Howell, C. R., </w:t>
      </w:r>
      <w:proofErr w:type="spellStart"/>
      <w:r w:rsidRPr="0014783B">
        <w:rPr>
          <w:rFonts w:ascii="Times New Roman" w:eastAsia="Times New Roman" w:hAnsi="Times New Roman" w:cs="Times New Roman"/>
          <w:kern w:val="0"/>
          <w:sz w:val="24"/>
          <w:szCs w:val="24"/>
          <w14:ligatures w14:val="none"/>
        </w:rPr>
        <w:t>Viterbo</w:t>
      </w:r>
      <w:proofErr w:type="spellEnd"/>
      <w:r w:rsidRPr="0014783B">
        <w:rPr>
          <w:rFonts w:ascii="Times New Roman" w:eastAsia="Times New Roman" w:hAnsi="Times New Roman" w:cs="Times New Roman"/>
          <w:kern w:val="0"/>
          <w:sz w:val="24"/>
          <w:szCs w:val="24"/>
          <w14:ligatures w14:val="none"/>
        </w:rPr>
        <w:t xml:space="preserve">, A., Chet, I., &amp; </w:t>
      </w:r>
      <w:proofErr w:type="spellStart"/>
      <w:r w:rsidRPr="0014783B">
        <w:rPr>
          <w:rFonts w:ascii="Times New Roman" w:eastAsia="Times New Roman" w:hAnsi="Times New Roman" w:cs="Times New Roman"/>
          <w:kern w:val="0"/>
          <w:sz w:val="24"/>
          <w:szCs w:val="24"/>
          <w14:ligatures w14:val="none"/>
        </w:rPr>
        <w:t>Lorito</w:t>
      </w:r>
      <w:proofErr w:type="spellEnd"/>
      <w:r w:rsidRPr="0014783B">
        <w:rPr>
          <w:rFonts w:ascii="Times New Roman" w:eastAsia="Times New Roman" w:hAnsi="Times New Roman" w:cs="Times New Roman"/>
          <w:kern w:val="0"/>
          <w:sz w:val="24"/>
          <w:szCs w:val="24"/>
          <w14:ligatures w14:val="none"/>
        </w:rPr>
        <w:t>, M. (2004). Trichoderma species—opportunistic, avirulent plant symbionts. </w:t>
      </w:r>
      <w:r w:rsidRPr="0014783B">
        <w:rPr>
          <w:rFonts w:ascii="Times New Roman" w:eastAsia="Times New Roman" w:hAnsi="Times New Roman" w:cs="Times New Roman"/>
          <w:i/>
          <w:iCs/>
          <w:kern w:val="0"/>
          <w:sz w:val="24"/>
          <w:szCs w:val="24"/>
          <w14:ligatures w14:val="none"/>
        </w:rPr>
        <w:t>Nature reviews microbiology</w:t>
      </w:r>
      <w:r w:rsidRPr="0014783B">
        <w:rPr>
          <w:rFonts w:ascii="Times New Roman" w:eastAsia="Times New Roman" w:hAnsi="Times New Roman" w:cs="Times New Roman"/>
          <w:kern w:val="0"/>
          <w:sz w:val="24"/>
          <w:szCs w:val="24"/>
          <w14:ligatures w14:val="none"/>
        </w:rPr>
        <w:t>, 2(1), 43-56.</w:t>
      </w:r>
      <w:r w:rsidR="005C01BD" w:rsidRPr="0014783B">
        <w:rPr>
          <w:rFonts w:ascii="Times New Roman" w:eastAsia="Times New Roman" w:hAnsi="Times New Roman" w:cs="Times New Roman"/>
          <w:kern w:val="0"/>
          <w:sz w:val="24"/>
          <w:szCs w:val="24"/>
          <w14:ligatures w14:val="none"/>
        </w:rPr>
        <w:t xml:space="preserve"> http://dx.doi.org/10.1038/nrmicro797</w:t>
      </w:r>
    </w:p>
    <w:p w14:paraId="1CF57BAA" w14:textId="1095FD48" w:rsidR="00FC7461" w:rsidRPr="0014783B" w:rsidRDefault="008C0BC9" w:rsidP="007D0694">
      <w:pPr>
        <w:spacing w:line="360" w:lineRule="auto"/>
        <w:ind w:left="720" w:right="687" w:hanging="720"/>
        <w:jc w:val="both"/>
        <w:rPr>
          <w:rFonts w:ascii="Times New Roman" w:hAnsi="Times New Roman" w:cs="Times New Roman"/>
          <w:sz w:val="24"/>
        </w:rPr>
      </w:pPr>
      <w:r w:rsidRPr="0014783B">
        <w:rPr>
          <w:rFonts w:ascii="Times New Roman" w:hAnsi="Times New Roman" w:cs="Times New Roman"/>
          <w:sz w:val="24"/>
        </w:rPr>
        <w:lastRenderedPageBreak/>
        <w:t xml:space="preserve">Hossain, M. T., Khan, A., Chung, E. J., Rashid, M. H. O., &amp; Chung, Y. R. (2016). Biological control of rice </w:t>
      </w:r>
      <w:proofErr w:type="spellStart"/>
      <w:r w:rsidRPr="0014783B">
        <w:rPr>
          <w:rFonts w:ascii="Times New Roman" w:hAnsi="Times New Roman" w:cs="Times New Roman"/>
          <w:sz w:val="24"/>
        </w:rPr>
        <w:t>bakanae</w:t>
      </w:r>
      <w:proofErr w:type="spellEnd"/>
      <w:r w:rsidRPr="0014783B">
        <w:rPr>
          <w:rFonts w:ascii="Times New Roman" w:hAnsi="Times New Roman" w:cs="Times New Roman"/>
          <w:sz w:val="24"/>
        </w:rPr>
        <w:t xml:space="preserve"> by an endophytic </w:t>
      </w:r>
      <w:r w:rsidRPr="0014783B">
        <w:rPr>
          <w:rFonts w:ascii="Times New Roman" w:hAnsi="Times New Roman" w:cs="Times New Roman"/>
          <w:i/>
          <w:iCs/>
          <w:sz w:val="24"/>
        </w:rPr>
        <w:t xml:space="preserve">Bacillus </w:t>
      </w:r>
      <w:proofErr w:type="spellStart"/>
      <w:r w:rsidRPr="0014783B">
        <w:rPr>
          <w:rFonts w:ascii="Times New Roman" w:hAnsi="Times New Roman" w:cs="Times New Roman"/>
          <w:i/>
          <w:iCs/>
          <w:sz w:val="24"/>
        </w:rPr>
        <w:t>oryzicola</w:t>
      </w:r>
      <w:proofErr w:type="spellEnd"/>
      <w:r w:rsidRPr="0014783B">
        <w:rPr>
          <w:rFonts w:ascii="Times New Roman" w:hAnsi="Times New Roman" w:cs="Times New Roman"/>
          <w:sz w:val="24"/>
        </w:rPr>
        <w:t xml:space="preserve"> YC7007. </w:t>
      </w:r>
      <w:r w:rsidRPr="0014783B">
        <w:rPr>
          <w:rFonts w:ascii="Times New Roman" w:hAnsi="Times New Roman" w:cs="Times New Roman"/>
          <w:i/>
          <w:iCs/>
          <w:sz w:val="24"/>
        </w:rPr>
        <w:t>The Plant Pathology Journal</w:t>
      </w:r>
      <w:r w:rsidRPr="0014783B">
        <w:rPr>
          <w:rFonts w:ascii="Times New Roman" w:hAnsi="Times New Roman" w:cs="Times New Roman"/>
          <w:sz w:val="24"/>
        </w:rPr>
        <w:t>, 32(3), 228.</w:t>
      </w:r>
      <w:r w:rsidR="00FC7461" w:rsidRPr="0014783B">
        <w:rPr>
          <w:rFonts w:ascii="Times New Roman" w:hAnsi="Times New Roman" w:cs="Times New Roman"/>
          <w:sz w:val="24"/>
        </w:rPr>
        <w:t xml:space="preserve"> </w:t>
      </w:r>
      <w:hyperlink r:id="rId12" w:history="1">
        <w:r w:rsidR="00FC7461" w:rsidRPr="0014783B">
          <w:rPr>
            <w:rStyle w:val="Hyperlink"/>
            <w:rFonts w:ascii="Times New Roman" w:hAnsi="Times New Roman" w:cs="Times New Roman"/>
            <w:color w:val="0D0D0D" w:themeColor="text1" w:themeTint="F2"/>
            <w:sz w:val="24"/>
            <w:u w:val="none"/>
          </w:rPr>
          <w:t>https://doi.org/10.5423/PPJ.OA.10.2015.0218</w:t>
        </w:r>
      </w:hyperlink>
    </w:p>
    <w:p w14:paraId="0FDDF7F6" w14:textId="57B6DAD1" w:rsidR="00972EAE" w:rsidRPr="0014783B" w:rsidRDefault="00972EAE"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Howell, C. R., Hanson, L. E., </w:t>
      </w:r>
      <w:proofErr w:type="spellStart"/>
      <w:r w:rsidRPr="0014783B">
        <w:rPr>
          <w:rFonts w:ascii="Times New Roman" w:hAnsi="Times New Roman" w:cs="Times New Roman"/>
          <w:sz w:val="24"/>
          <w:szCs w:val="24"/>
        </w:rPr>
        <w:t>Stipanovic</w:t>
      </w:r>
      <w:proofErr w:type="spellEnd"/>
      <w:r w:rsidRPr="0014783B">
        <w:rPr>
          <w:rFonts w:ascii="Times New Roman" w:hAnsi="Times New Roman" w:cs="Times New Roman"/>
          <w:sz w:val="24"/>
          <w:szCs w:val="24"/>
        </w:rPr>
        <w:t xml:space="preserve">, R. D., &amp; </w:t>
      </w:r>
      <w:proofErr w:type="spellStart"/>
      <w:r w:rsidRPr="0014783B">
        <w:rPr>
          <w:rFonts w:ascii="Times New Roman" w:hAnsi="Times New Roman" w:cs="Times New Roman"/>
          <w:sz w:val="24"/>
          <w:szCs w:val="24"/>
        </w:rPr>
        <w:t>Puckhaber</w:t>
      </w:r>
      <w:proofErr w:type="spellEnd"/>
      <w:r w:rsidRPr="0014783B">
        <w:rPr>
          <w:rFonts w:ascii="Times New Roman" w:hAnsi="Times New Roman" w:cs="Times New Roman"/>
          <w:sz w:val="24"/>
          <w:szCs w:val="24"/>
        </w:rPr>
        <w:t xml:space="preserve">, L. S. (2000). Induction of terpenoid synthesis in cotton roots and control of </w:t>
      </w:r>
      <w:proofErr w:type="spellStart"/>
      <w:r w:rsidRPr="0014783B">
        <w:rPr>
          <w:rFonts w:ascii="Times New Roman" w:hAnsi="Times New Roman" w:cs="Times New Roman"/>
          <w:i/>
          <w:iCs/>
          <w:sz w:val="24"/>
          <w:szCs w:val="24"/>
        </w:rPr>
        <w:t>Rhizoctonia</w:t>
      </w:r>
      <w:proofErr w:type="spellEnd"/>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solani</w:t>
      </w:r>
      <w:proofErr w:type="spellEnd"/>
      <w:r w:rsidRPr="0014783B">
        <w:rPr>
          <w:rFonts w:ascii="Times New Roman" w:hAnsi="Times New Roman" w:cs="Times New Roman"/>
          <w:sz w:val="24"/>
          <w:szCs w:val="24"/>
        </w:rPr>
        <w:t xml:space="preserve"> by seed treatment with Trichoderma </w:t>
      </w:r>
      <w:proofErr w:type="spellStart"/>
      <w:r w:rsidRPr="0014783B">
        <w:rPr>
          <w:rFonts w:ascii="Times New Roman" w:hAnsi="Times New Roman" w:cs="Times New Roman"/>
          <w:sz w:val="24"/>
          <w:szCs w:val="24"/>
        </w:rPr>
        <w:t>virens</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Phytopathology</w:t>
      </w:r>
      <w:r w:rsidRPr="0014783B">
        <w:rPr>
          <w:rFonts w:ascii="Times New Roman" w:hAnsi="Times New Roman" w:cs="Times New Roman"/>
          <w:sz w:val="24"/>
          <w:szCs w:val="24"/>
        </w:rPr>
        <w:t>, 90(3), 248-252.</w:t>
      </w:r>
      <w:r w:rsidR="00FC7461" w:rsidRPr="0014783B">
        <w:rPr>
          <w:rFonts w:ascii="Times New Roman" w:hAnsi="Times New Roman" w:cs="Times New Roman"/>
          <w:sz w:val="24"/>
          <w:szCs w:val="24"/>
        </w:rPr>
        <w:t xml:space="preserve"> https://doi.org/10.1094/phyto.2000.90.3.248</w:t>
      </w:r>
    </w:p>
    <w:p w14:paraId="493E6963" w14:textId="6AC90A29" w:rsidR="00972EAE" w:rsidRPr="0014783B" w:rsidRDefault="00972EAE"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Karthikeyan, V., </w:t>
      </w:r>
      <w:proofErr w:type="spellStart"/>
      <w:r w:rsidRPr="0014783B">
        <w:rPr>
          <w:rFonts w:ascii="Times New Roman" w:hAnsi="Times New Roman" w:cs="Times New Roman"/>
          <w:sz w:val="24"/>
          <w:szCs w:val="24"/>
        </w:rPr>
        <w:t>Sankaralingam</w:t>
      </w:r>
      <w:proofErr w:type="spellEnd"/>
      <w:r w:rsidRPr="0014783B">
        <w:rPr>
          <w:rFonts w:ascii="Times New Roman" w:hAnsi="Times New Roman" w:cs="Times New Roman"/>
          <w:sz w:val="24"/>
          <w:szCs w:val="24"/>
        </w:rPr>
        <w:t xml:space="preserve">, A., &amp; </w:t>
      </w:r>
      <w:proofErr w:type="spellStart"/>
      <w:r w:rsidRPr="0014783B">
        <w:rPr>
          <w:rFonts w:ascii="Times New Roman" w:hAnsi="Times New Roman" w:cs="Times New Roman"/>
          <w:sz w:val="24"/>
          <w:szCs w:val="24"/>
        </w:rPr>
        <w:t>Nakkeeran</w:t>
      </w:r>
      <w:proofErr w:type="spellEnd"/>
      <w:r w:rsidRPr="0014783B">
        <w:rPr>
          <w:rFonts w:ascii="Times New Roman" w:hAnsi="Times New Roman" w:cs="Times New Roman"/>
          <w:sz w:val="24"/>
          <w:szCs w:val="24"/>
        </w:rPr>
        <w:t xml:space="preserve">, S. (2006). Biological control of groundnut stem rot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roofErr w:type="spellStart"/>
      <w:r w:rsidRPr="0014783B">
        <w:rPr>
          <w:rFonts w:ascii="Times New Roman" w:hAnsi="Times New Roman" w:cs="Times New Roman"/>
          <w:sz w:val="24"/>
          <w:szCs w:val="24"/>
        </w:rPr>
        <w:t>Sacc</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Archives of Phytopathology and Plant Protection</w:t>
      </w:r>
      <w:r w:rsidRPr="0014783B">
        <w:rPr>
          <w:rFonts w:ascii="Times New Roman" w:hAnsi="Times New Roman" w:cs="Times New Roman"/>
          <w:sz w:val="24"/>
          <w:szCs w:val="24"/>
        </w:rPr>
        <w:t>, 39(3), 239-246.</w:t>
      </w:r>
      <w:r w:rsidR="00FC7461" w:rsidRPr="0014783B">
        <w:rPr>
          <w:rFonts w:ascii="Times New Roman" w:hAnsi="Times New Roman" w:cs="Times New Roman"/>
          <w:sz w:val="24"/>
          <w:szCs w:val="24"/>
        </w:rPr>
        <w:t xml:space="preserve"> http://dx.doi.org/10.1080/03235400500094688</w:t>
      </w:r>
    </w:p>
    <w:p w14:paraId="55470E09" w14:textId="383B3D60" w:rsidR="00972EAE" w:rsidRPr="0014783B" w:rsidRDefault="00972EAE" w:rsidP="007D0694">
      <w:pPr>
        <w:spacing w:line="360" w:lineRule="auto"/>
        <w:ind w:left="720" w:right="687" w:hanging="720"/>
        <w:jc w:val="both"/>
        <w:rPr>
          <w:rFonts w:ascii="Times New Roman" w:hAnsi="Times New Roman" w:cs="Times New Roman"/>
          <w:bCs/>
          <w:sz w:val="24"/>
          <w:szCs w:val="24"/>
        </w:rPr>
      </w:pPr>
      <w:proofErr w:type="spellStart"/>
      <w:r w:rsidRPr="0014783B">
        <w:rPr>
          <w:rFonts w:ascii="Times New Roman" w:hAnsi="Times New Roman" w:cs="Times New Roman"/>
          <w:bCs/>
          <w:iCs/>
          <w:sz w:val="24"/>
          <w:szCs w:val="24"/>
        </w:rPr>
        <w:t>Kokalis-Burelle</w:t>
      </w:r>
      <w:proofErr w:type="spellEnd"/>
      <w:r w:rsidRPr="0014783B">
        <w:rPr>
          <w:rFonts w:ascii="Times New Roman" w:hAnsi="Times New Roman" w:cs="Times New Roman"/>
          <w:bCs/>
          <w:iCs/>
          <w:sz w:val="24"/>
          <w:szCs w:val="24"/>
        </w:rPr>
        <w:t>, N., Backman, P. A., Rodríguez-</w:t>
      </w:r>
      <w:proofErr w:type="spellStart"/>
      <w:r w:rsidRPr="0014783B">
        <w:rPr>
          <w:rFonts w:ascii="Times New Roman" w:hAnsi="Times New Roman" w:cs="Times New Roman"/>
          <w:bCs/>
          <w:iCs/>
          <w:sz w:val="24"/>
          <w:szCs w:val="24"/>
        </w:rPr>
        <w:t>Kábana</w:t>
      </w:r>
      <w:proofErr w:type="spellEnd"/>
      <w:r w:rsidRPr="0014783B">
        <w:rPr>
          <w:rFonts w:ascii="Times New Roman" w:hAnsi="Times New Roman" w:cs="Times New Roman"/>
          <w:bCs/>
          <w:iCs/>
          <w:sz w:val="24"/>
          <w:szCs w:val="24"/>
        </w:rPr>
        <w:t xml:space="preserve">, R., &amp; </w:t>
      </w:r>
      <w:proofErr w:type="spellStart"/>
      <w:r w:rsidRPr="0014783B">
        <w:rPr>
          <w:rFonts w:ascii="Times New Roman" w:hAnsi="Times New Roman" w:cs="Times New Roman"/>
          <w:bCs/>
          <w:iCs/>
          <w:sz w:val="24"/>
          <w:szCs w:val="24"/>
        </w:rPr>
        <w:t>Ploper</w:t>
      </w:r>
      <w:proofErr w:type="spellEnd"/>
      <w:r w:rsidRPr="0014783B">
        <w:rPr>
          <w:rFonts w:ascii="Times New Roman" w:hAnsi="Times New Roman" w:cs="Times New Roman"/>
          <w:bCs/>
          <w:iCs/>
          <w:sz w:val="24"/>
          <w:szCs w:val="24"/>
        </w:rPr>
        <w:t>, L. D. (1992). Potential for biological control of early leafspot of peanut using Bacillus cereus and chitin as foliar amendments. </w:t>
      </w:r>
      <w:r w:rsidRPr="0014783B">
        <w:rPr>
          <w:rFonts w:ascii="Times New Roman" w:hAnsi="Times New Roman" w:cs="Times New Roman"/>
          <w:bCs/>
          <w:i/>
          <w:iCs/>
          <w:sz w:val="24"/>
          <w:szCs w:val="24"/>
        </w:rPr>
        <w:t>Biological Control</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2(4), 321-328.</w:t>
      </w:r>
      <w:r w:rsidR="00881CCD" w:rsidRPr="0014783B">
        <w:rPr>
          <w:rFonts w:ascii="Times New Roman" w:hAnsi="Times New Roman" w:cs="Times New Roman"/>
          <w:bCs/>
          <w:sz w:val="24"/>
          <w:szCs w:val="24"/>
        </w:rPr>
        <w:t xml:space="preserve"> https://doi.org/10.1016/1049-9644(92)90026-A</w:t>
      </w:r>
    </w:p>
    <w:p w14:paraId="6614F5F5" w14:textId="7D7038FC" w:rsidR="00972EAE" w:rsidRPr="0014783B" w:rsidRDefault="00972EAE" w:rsidP="007D0694">
      <w:pPr>
        <w:spacing w:line="360" w:lineRule="auto"/>
        <w:ind w:left="720" w:right="687" w:hanging="720"/>
        <w:jc w:val="both"/>
        <w:rPr>
          <w:rFonts w:ascii="Times New Roman" w:hAnsi="Times New Roman" w:cs="Times New Roman"/>
          <w:sz w:val="24"/>
        </w:rPr>
      </w:pPr>
      <w:r w:rsidRPr="0014783B">
        <w:rPr>
          <w:rFonts w:ascii="Times New Roman" w:hAnsi="Times New Roman" w:cs="Times New Roman"/>
          <w:sz w:val="24"/>
        </w:rPr>
        <w:t xml:space="preserve">Kumar, V., &amp; </w:t>
      </w:r>
      <w:proofErr w:type="spellStart"/>
      <w:r w:rsidRPr="0014783B">
        <w:rPr>
          <w:rFonts w:ascii="Times New Roman" w:hAnsi="Times New Roman" w:cs="Times New Roman"/>
          <w:sz w:val="24"/>
        </w:rPr>
        <w:t>Thirumalaisamy</w:t>
      </w:r>
      <w:proofErr w:type="spellEnd"/>
      <w:r w:rsidRPr="0014783B">
        <w:rPr>
          <w:rFonts w:ascii="Times New Roman" w:hAnsi="Times New Roman" w:cs="Times New Roman"/>
          <w:sz w:val="24"/>
        </w:rPr>
        <w:t>, P. P. (2016). Diseases of groundnut. Disease of field crops and their management.</w:t>
      </w:r>
      <w:r w:rsidRPr="0014783B">
        <w:rPr>
          <w:rFonts w:ascii="Times New Roman" w:hAnsi="Times New Roman" w:cs="Times New Roman"/>
          <w:i/>
          <w:iCs/>
          <w:sz w:val="24"/>
        </w:rPr>
        <w:t xml:space="preserve"> Indian </w:t>
      </w:r>
      <w:proofErr w:type="spellStart"/>
      <w:r w:rsidRPr="0014783B">
        <w:rPr>
          <w:rFonts w:ascii="Times New Roman" w:hAnsi="Times New Roman" w:cs="Times New Roman"/>
          <w:i/>
          <w:iCs/>
          <w:sz w:val="24"/>
        </w:rPr>
        <w:t>Phytopathological</w:t>
      </w:r>
      <w:proofErr w:type="spellEnd"/>
      <w:r w:rsidRPr="0014783B">
        <w:rPr>
          <w:rFonts w:ascii="Times New Roman" w:hAnsi="Times New Roman" w:cs="Times New Roman"/>
          <w:i/>
          <w:iCs/>
          <w:sz w:val="24"/>
        </w:rPr>
        <w:t xml:space="preserve"> Society, Today and Tomorrow’s Printers and Publishers, </w:t>
      </w:r>
      <w:r w:rsidRPr="0014783B">
        <w:rPr>
          <w:rFonts w:ascii="Times New Roman" w:hAnsi="Times New Roman" w:cs="Times New Roman"/>
          <w:sz w:val="24"/>
        </w:rPr>
        <w:t>New Delhi, 459-487.</w:t>
      </w:r>
    </w:p>
    <w:p w14:paraId="223F5474" w14:textId="23AFA50F" w:rsidR="00A14F71" w:rsidRPr="0014783B" w:rsidRDefault="00A14F71" w:rsidP="007D0694">
      <w:pPr>
        <w:spacing w:line="360" w:lineRule="auto"/>
        <w:ind w:left="720" w:right="687" w:hanging="720"/>
        <w:jc w:val="both"/>
        <w:rPr>
          <w:rFonts w:ascii="Times New Roman" w:eastAsia="Times New Roman" w:hAnsi="Times New Roman" w:cs="Times New Roman"/>
          <w:kern w:val="0"/>
          <w:sz w:val="24"/>
          <w:szCs w:val="24"/>
          <w14:ligatures w14:val="none"/>
        </w:rPr>
      </w:pPr>
      <w:proofErr w:type="spellStart"/>
      <w:r w:rsidRPr="0014783B">
        <w:rPr>
          <w:rFonts w:ascii="Times New Roman" w:eastAsia="Times New Roman" w:hAnsi="Times New Roman" w:cs="Times New Roman"/>
          <w:kern w:val="0"/>
          <w:sz w:val="24"/>
          <w:szCs w:val="24"/>
          <w14:ligatures w14:val="none"/>
        </w:rPr>
        <w:t>Lugtenberg</w:t>
      </w:r>
      <w:proofErr w:type="spellEnd"/>
      <w:r w:rsidRPr="0014783B">
        <w:rPr>
          <w:rFonts w:ascii="Times New Roman" w:eastAsia="Times New Roman" w:hAnsi="Times New Roman" w:cs="Times New Roman"/>
          <w:kern w:val="0"/>
          <w:sz w:val="24"/>
          <w:szCs w:val="24"/>
          <w14:ligatures w14:val="none"/>
        </w:rPr>
        <w:t xml:space="preserve">, B. J., </w:t>
      </w:r>
      <w:proofErr w:type="spellStart"/>
      <w:r w:rsidRPr="0014783B">
        <w:rPr>
          <w:rFonts w:ascii="Times New Roman" w:eastAsia="Times New Roman" w:hAnsi="Times New Roman" w:cs="Times New Roman"/>
          <w:kern w:val="0"/>
          <w:sz w:val="24"/>
          <w:szCs w:val="24"/>
          <w14:ligatures w14:val="none"/>
        </w:rPr>
        <w:t>Malfanova</w:t>
      </w:r>
      <w:proofErr w:type="spellEnd"/>
      <w:r w:rsidRPr="0014783B">
        <w:rPr>
          <w:rFonts w:ascii="Times New Roman" w:eastAsia="Times New Roman" w:hAnsi="Times New Roman" w:cs="Times New Roman"/>
          <w:kern w:val="0"/>
          <w:sz w:val="24"/>
          <w:szCs w:val="24"/>
          <w14:ligatures w14:val="none"/>
        </w:rPr>
        <w:t xml:space="preserve">, N., </w:t>
      </w:r>
      <w:proofErr w:type="spellStart"/>
      <w:r w:rsidRPr="0014783B">
        <w:rPr>
          <w:rFonts w:ascii="Times New Roman" w:eastAsia="Times New Roman" w:hAnsi="Times New Roman" w:cs="Times New Roman"/>
          <w:kern w:val="0"/>
          <w:sz w:val="24"/>
          <w:szCs w:val="24"/>
          <w14:ligatures w14:val="none"/>
        </w:rPr>
        <w:t>Kamilova</w:t>
      </w:r>
      <w:proofErr w:type="spellEnd"/>
      <w:r w:rsidRPr="0014783B">
        <w:rPr>
          <w:rFonts w:ascii="Times New Roman" w:eastAsia="Times New Roman" w:hAnsi="Times New Roman" w:cs="Times New Roman"/>
          <w:kern w:val="0"/>
          <w:sz w:val="24"/>
          <w:szCs w:val="24"/>
          <w14:ligatures w14:val="none"/>
        </w:rPr>
        <w:t>, F., &amp; Berg, G. (2013). Plant growth promotion by microbes. </w:t>
      </w:r>
      <w:r w:rsidRPr="0014783B">
        <w:rPr>
          <w:rFonts w:ascii="Times New Roman" w:eastAsia="Times New Roman" w:hAnsi="Times New Roman" w:cs="Times New Roman"/>
          <w:i/>
          <w:iCs/>
          <w:kern w:val="0"/>
          <w:sz w:val="24"/>
          <w:szCs w:val="24"/>
          <w14:ligatures w14:val="none"/>
        </w:rPr>
        <w:t>Molecular microbial ecology of the rhizosphere</w:t>
      </w:r>
      <w:r w:rsidRPr="0014783B">
        <w:rPr>
          <w:rFonts w:ascii="Times New Roman" w:eastAsia="Times New Roman" w:hAnsi="Times New Roman" w:cs="Times New Roman"/>
          <w:kern w:val="0"/>
          <w:sz w:val="24"/>
          <w:szCs w:val="24"/>
          <w14:ligatures w14:val="none"/>
        </w:rPr>
        <w:t>, 1, 559-573.</w:t>
      </w:r>
      <w:r w:rsidR="00881CCD" w:rsidRPr="0014783B">
        <w:rPr>
          <w:rFonts w:ascii="Times New Roman" w:eastAsia="Times New Roman" w:hAnsi="Times New Roman" w:cs="Times New Roman"/>
          <w:kern w:val="0"/>
          <w:sz w:val="24"/>
          <w:szCs w:val="24"/>
          <w14:ligatures w14:val="none"/>
        </w:rPr>
        <w:t xml:space="preserve"> https://doi.org/10.1002/9781118297674.ch53</w:t>
      </w:r>
    </w:p>
    <w:p w14:paraId="4E5195B6" w14:textId="756CF819" w:rsidR="00A14F71" w:rsidRPr="0014783B" w:rsidRDefault="00A14F71"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Mayer, A. M., </w:t>
      </w:r>
      <w:proofErr w:type="spellStart"/>
      <w:r w:rsidRPr="0014783B">
        <w:rPr>
          <w:rFonts w:ascii="Times New Roman" w:hAnsi="Times New Roman" w:cs="Times New Roman"/>
          <w:sz w:val="24"/>
          <w:szCs w:val="24"/>
        </w:rPr>
        <w:t>Harel</w:t>
      </w:r>
      <w:proofErr w:type="spellEnd"/>
      <w:r w:rsidRPr="0014783B">
        <w:rPr>
          <w:rFonts w:ascii="Times New Roman" w:hAnsi="Times New Roman" w:cs="Times New Roman"/>
          <w:sz w:val="24"/>
          <w:szCs w:val="24"/>
        </w:rPr>
        <w:t>, E., &amp; Ben-</w:t>
      </w:r>
      <w:proofErr w:type="spellStart"/>
      <w:r w:rsidRPr="0014783B">
        <w:rPr>
          <w:rFonts w:ascii="Times New Roman" w:hAnsi="Times New Roman" w:cs="Times New Roman"/>
          <w:sz w:val="24"/>
          <w:szCs w:val="24"/>
        </w:rPr>
        <w:t>Shaul</w:t>
      </w:r>
      <w:proofErr w:type="spellEnd"/>
      <w:r w:rsidRPr="0014783B">
        <w:rPr>
          <w:rFonts w:ascii="Times New Roman" w:hAnsi="Times New Roman" w:cs="Times New Roman"/>
          <w:sz w:val="24"/>
          <w:szCs w:val="24"/>
        </w:rPr>
        <w:t>, R. (1966). Assay of catechol oxidase—a critical comparison of methods. </w:t>
      </w:r>
      <w:r w:rsidRPr="0014783B">
        <w:rPr>
          <w:rFonts w:ascii="Times New Roman" w:hAnsi="Times New Roman" w:cs="Times New Roman"/>
          <w:i/>
          <w:iCs/>
          <w:sz w:val="24"/>
          <w:szCs w:val="24"/>
        </w:rPr>
        <w:t>Phytochemistry</w:t>
      </w:r>
      <w:r w:rsidRPr="0014783B">
        <w:rPr>
          <w:rFonts w:ascii="Times New Roman" w:hAnsi="Times New Roman" w:cs="Times New Roman"/>
          <w:sz w:val="24"/>
          <w:szCs w:val="24"/>
        </w:rPr>
        <w:t>, 5(4), 783-789.</w:t>
      </w:r>
      <w:r w:rsidR="00881CCD" w:rsidRPr="0014783B">
        <w:rPr>
          <w:rFonts w:ascii="Times New Roman" w:hAnsi="Times New Roman" w:cs="Times New Roman"/>
          <w:sz w:val="24"/>
          <w:szCs w:val="24"/>
        </w:rPr>
        <w:t xml:space="preserve"> https://doi.org/10.1016/S0031-9422(00)83660-2</w:t>
      </w:r>
    </w:p>
    <w:p w14:paraId="3ECF2270" w14:textId="0E00F0B9" w:rsidR="00823138" w:rsidRPr="0014783B" w:rsidRDefault="00823138" w:rsidP="007D0694">
      <w:pPr>
        <w:spacing w:line="360" w:lineRule="auto"/>
        <w:ind w:left="720" w:right="687" w:hanging="720"/>
        <w:jc w:val="both"/>
        <w:rPr>
          <w:rFonts w:ascii="Times New Roman" w:hAnsi="Times New Roman" w:cs="Times New Roman"/>
          <w:sz w:val="24"/>
          <w:szCs w:val="24"/>
        </w:rPr>
      </w:pPr>
      <w:proofErr w:type="spellStart"/>
      <w:r w:rsidRPr="0014783B">
        <w:rPr>
          <w:rFonts w:ascii="Times New Roman" w:hAnsi="Times New Roman" w:cs="Times New Roman"/>
          <w:sz w:val="24"/>
          <w:szCs w:val="24"/>
        </w:rPr>
        <w:t>Mohammadi</w:t>
      </w:r>
      <w:proofErr w:type="spellEnd"/>
      <w:r w:rsidRPr="0014783B">
        <w:rPr>
          <w:rFonts w:ascii="Times New Roman" w:hAnsi="Times New Roman" w:cs="Times New Roman"/>
          <w:sz w:val="24"/>
          <w:szCs w:val="24"/>
        </w:rPr>
        <w:t>, M., &amp; Karr, A. L. (2002). β-1, 3-glucanase and chitinase activities in soybean root nodules. </w:t>
      </w:r>
      <w:r w:rsidRPr="0014783B">
        <w:rPr>
          <w:rFonts w:ascii="Times New Roman" w:hAnsi="Times New Roman" w:cs="Times New Roman"/>
          <w:i/>
          <w:iCs/>
          <w:sz w:val="24"/>
          <w:szCs w:val="24"/>
        </w:rPr>
        <w:t>Journal of plant physiology</w:t>
      </w:r>
      <w:r w:rsidRPr="0014783B">
        <w:rPr>
          <w:rFonts w:ascii="Times New Roman" w:hAnsi="Times New Roman" w:cs="Times New Roman"/>
          <w:sz w:val="24"/>
          <w:szCs w:val="24"/>
        </w:rPr>
        <w:t>, 159(3), 245-256.</w:t>
      </w:r>
      <w:r w:rsidR="00881CCD" w:rsidRPr="0014783B">
        <w:rPr>
          <w:rFonts w:ascii="Times New Roman" w:hAnsi="Times New Roman" w:cs="Times New Roman"/>
          <w:sz w:val="24"/>
          <w:szCs w:val="24"/>
        </w:rPr>
        <w:t xml:space="preserve"> https://doi.org/10.1078/0176-1617-00702</w:t>
      </w:r>
    </w:p>
    <w:p w14:paraId="262E6674" w14:textId="2160777C" w:rsidR="0014783B" w:rsidRPr="0014783B" w:rsidRDefault="007D0694" w:rsidP="0014783B">
      <w:pPr>
        <w:spacing w:line="360" w:lineRule="auto"/>
        <w:ind w:left="720" w:right="687" w:hanging="720"/>
        <w:jc w:val="both"/>
        <w:rPr>
          <w:rFonts w:ascii="Times New Roman" w:hAnsi="Times New Roman" w:cs="Times New Roman"/>
          <w:sz w:val="24"/>
          <w:szCs w:val="24"/>
        </w:rPr>
      </w:pPr>
      <w:proofErr w:type="spellStart"/>
      <w:r w:rsidRPr="0014783B">
        <w:rPr>
          <w:rFonts w:ascii="Times New Roman" w:hAnsi="Times New Roman" w:cs="Times New Roman"/>
          <w:sz w:val="24"/>
          <w:szCs w:val="24"/>
        </w:rPr>
        <w:lastRenderedPageBreak/>
        <w:t>Papavizas</w:t>
      </w:r>
      <w:proofErr w:type="spellEnd"/>
      <w:r w:rsidRPr="0014783B">
        <w:rPr>
          <w:rFonts w:ascii="Times New Roman" w:hAnsi="Times New Roman" w:cs="Times New Roman"/>
          <w:sz w:val="24"/>
          <w:szCs w:val="24"/>
        </w:rPr>
        <w:t xml:space="preserve">, G. C. (1985). Trichoderma and </w:t>
      </w:r>
      <w:proofErr w:type="spellStart"/>
      <w:r w:rsidRPr="0014783B">
        <w:rPr>
          <w:rFonts w:ascii="Times New Roman" w:hAnsi="Times New Roman" w:cs="Times New Roman"/>
          <w:sz w:val="24"/>
          <w:szCs w:val="24"/>
        </w:rPr>
        <w:t>Gliocladium</w:t>
      </w:r>
      <w:proofErr w:type="spellEnd"/>
      <w:r w:rsidRPr="0014783B">
        <w:rPr>
          <w:rFonts w:ascii="Times New Roman" w:hAnsi="Times New Roman" w:cs="Times New Roman"/>
          <w:sz w:val="24"/>
          <w:szCs w:val="24"/>
        </w:rPr>
        <w:t>: biology, ecology, and potential for biocontrol. </w:t>
      </w:r>
      <w:r w:rsidRPr="0014783B">
        <w:rPr>
          <w:rFonts w:ascii="Times New Roman" w:hAnsi="Times New Roman" w:cs="Times New Roman"/>
          <w:i/>
          <w:iCs/>
          <w:sz w:val="24"/>
          <w:szCs w:val="24"/>
        </w:rPr>
        <w:t>Annual review of Phytopathology</w:t>
      </w:r>
      <w:r w:rsidRPr="0014783B">
        <w:rPr>
          <w:rFonts w:ascii="Times New Roman" w:hAnsi="Times New Roman" w:cs="Times New Roman"/>
          <w:sz w:val="24"/>
          <w:szCs w:val="24"/>
        </w:rPr>
        <w:t>, 23(1), 23-54.</w:t>
      </w:r>
      <w:r w:rsidR="00881CCD" w:rsidRPr="0014783B">
        <w:rPr>
          <w:rFonts w:ascii="Times New Roman" w:hAnsi="Times New Roman" w:cs="Times New Roman"/>
          <w:sz w:val="24"/>
          <w:szCs w:val="24"/>
        </w:rPr>
        <w:t xml:space="preserve"> </w:t>
      </w:r>
      <w:hyperlink r:id="rId13" w:history="1">
        <w:r w:rsidR="0014783B" w:rsidRPr="0014783B">
          <w:rPr>
            <w:rStyle w:val="Hyperlink"/>
            <w:rFonts w:ascii="Times New Roman" w:hAnsi="Times New Roman" w:cs="Times New Roman"/>
            <w:sz w:val="24"/>
            <w:szCs w:val="24"/>
          </w:rPr>
          <w:t>https://doi.org/10.1146/annurev.py.23.090185.000323</w:t>
        </w:r>
      </w:hyperlink>
    </w:p>
    <w:p w14:paraId="494823D0" w14:textId="5F4C225E" w:rsidR="0014783B" w:rsidRPr="0014783B" w:rsidRDefault="007D0694" w:rsidP="0014783B">
      <w:pPr>
        <w:spacing w:line="360" w:lineRule="auto"/>
        <w:ind w:left="720" w:right="687" w:hanging="720"/>
        <w:jc w:val="both"/>
        <w:rPr>
          <w:rFonts w:ascii="Times New Roman" w:hAnsi="Times New Roman" w:cs="Times New Roman"/>
          <w:sz w:val="24"/>
          <w:szCs w:val="24"/>
        </w:rPr>
      </w:pPr>
      <w:proofErr w:type="spellStart"/>
      <w:r w:rsidRPr="0014783B">
        <w:rPr>
          <w:rFonts w:ascii="Times New Roman" w:hAnsi="Times New Roman" w:cs="Times New Roman"/>
          <w:sz w:val="24"/>
          <w:szCs w:val="24"/>
        </w:rPr>
        <w:t>Partiban</w:t>
      </w:r>
      <w:proofErr w:type="spellEnd"/>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K</w:t>
      </w:r>
      <w:r w:rsidR="007E1CB6" w:rsidRPr="0014783B">
        <w:rPr>
          <w:rFonts w:ascii="Times New Roman" w:hAnsi="Times New Roman" w:cs="Times New Roman"/>
          <w:sz w:val="24"/>
          <w:szCs w:val="24"/>
        </w:rPr>
        <w:t>.</w:t>
      </w:r>
      <w:r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Upadhyay</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J</w:t>
      </w:r>
      <w:r w:rsidR="007E1CB6" w:rsidRPr="0014783B">
        <w:rPr>
          <w:rFonts w:ascii="Times New Roman" w:hAnsi="Times New Roman" w:cs="Times New Roman"/>
          <w:sz w:val="24"/>
          <w:szCs w:val="24"/>
        </w:rPr>
        <w:t xml:space="preserve">. </w:t>
      </w:r>
      <w:r w:rsidRPr="0014783B">
        <w:rPr>
          <w:rFonts w:ascii="Times New Roman" w:hAnsi="Times New Roman" w:cs="Times New Roman"/>
          <w:sz w:val="24"/>
          <w:szCs w:val="24"/>
        </w:rPr>
        <w:t>P</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007E1CB6" w:rsidRPr="0014783B">
        <w:rPr>
          <w:rFonts w:ascii="Times New Roman" w:hAnsi="Times New Roman" w:cs="Times New Roman"/>
          <w:sz w:val="24"/>
          <w:szCs w:val="24"/>
        </w:rPr>
        <w:t>&amp;</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Mukhopadhyay,</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w:t>
      </w:r>
      <w:r w:rsidR="007E1CB6" w:rsidRPr="0014783B">
        <w:rPr>
          <w:rFonts w:ascii="Times New Roman" w:hAnsi="Times New Roman" w:cs="Times New Roman"/>
          <w:sz w:val="24"/>
          <w:szCs w:val="24"/>
        </w:rPr>
        <w:t xml:space="preserve">. </w:t>
      </w:r>
      <w:r w:rsidRPr="0014783B">
        <w:rPr>
          <w:rFonts w:ascii="Times New Roman" w:hAnsi="Times New Roman" w:cs="Times New Roman"/>
          <w:sz w:val="24"/>
          <w:szCs w:val="24"/>
        </w:rPr>
        <w:t>N</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(2002)</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Efficacy</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of</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 xml:space="preserve">Trichoderma </w:t>
      </w:r>
      <w:proofErr w:type="spellStart"/>
      <w:r w:rsidRPr="0014783B">
        <w:rPr>
          <w:rFonts w:ascii="Times New Roman" w:hAnsi="Times New Roman" w:cs="Times New Roman"/>
          <w:sz w:val="24"/>
          <w:szCs w:val="24"/>
        </w:rPr>
        <w:t>harzianum</w:t>
      </w:r>
      <w:proofErr w:type="spellEnd"/>
      <w:r w:rsidRPr="0014783B">
        <w:rPr>
          <w:rFonts w:ascii="Times New Roman" w:hAnsi="Times New Roman" w:cs="Times New Roman"/>
          <w:sz w:val="24"/>
          <w:szCs w:val="24"/>
        </w:rPr>
        <w:t xml:space="preserve"> Rifai</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alone</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or</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in</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combination</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with</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fungicides</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against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Sclerotium</w:t>
      </w:r>
      <w:r w:rsidRPr="0014783B">
        <w:rPr>
          <w:rFonts w:ascii="Times New Roman" w:hAnsi="Times New Roman" w:cs="Times New Roman"/>
          <w:spacing w:val="-2"/>
          <w:sz w:val="24"/>
          <w:szCs w:val="24"/>
        </w:rPr>
        <w:t xml:space="preserve"> </w:t>
      </w:r>
      <w:r w:rsidRPr="0014783B">
        <w:rPr>
          <w:rFonts w:ascii="Times New Roman" w:hAnsi="Times New Roman" w:cs="Times New Roman"/>
          <w:sz w:val="24"/>
          <w:szCs w:val="24"/>
        </w:rPr>
        <w:t>wilt</w:t>
      </w:r>
      <w:r w:rsidRPr="0014783B">
        <w:rPr>
          <w:rFonts w:ascii="Times New Roman" w:hAnsi="Times New Roman" w:cs="Times New Roman"/>
          <w:spacing w:val="2"/>
          <w:sz w:val="24"/>
          <w:szCs w:val="24"/>
        </w:rPr>
        <w:t xml:space="preserve"> </w:t>
      </w:r>
      <w:r w:rsidRPr="0014783B">
        <w:rPr>
          <w:rFonts w:ascii="Times New Roman" w:hAnsi="Times New Roman" w:cs="Times New Roman"/>
          <w:sz w:val="24"/>
          <w:szCs w:val="24"/>
        </w:rPr>
        <w:t>of</w:t>
      </w:r>
      <w:r w:rsidRPr="0014783B">
        <w:rPr>
          <w:rFonts w:ascii="Times New Roman" w:hAnsi="Times New Roman" w:cs="Times New Roman"/>
          <w:spacing w:val="-4"/>
          <w:sz w:val="24"/>
          <w:szCs w:val="24"/>
        </w:rPr>
        <w:t xml:space="preserve"> </w:t>
      </w:r>
      <w:r w:rsidRPr="0014783B">
        <w:rPr>
          <w:rFonts w:ascii="Times New Roman" w:hAnsi="Times New Roman" w:cs="Times New Roman"/>
          <w:sz w:val="24"/>
          <w:szCs w:val="24"/>
        </w:rPr>
        <w:t>groundnut.</w:t>
      </w:r>
      <w:r w:rsidRPr="0014783B">
        <w:rPr>
          <w:rFonts w:ascii="Times New Roman" w:hAnsi="Times New Roman" w:cs="Times New Roman"/>
          <w:spacing w:val="-1"/>
          <w:sz w:val="24"/>
          <w:szCs w:val="24"/>
        </w:rPr>
        <w:t xml:space="preserve"> </w:t>
      </w:r>
      <w:r w:rsidRPr="0014783B">
        <w:rPr>
          <w:rFonts w:ascii="Times New Roman" w:hAnsi="Times New Roman" w:cs="Times New Roman"/>
          <w:i/>
          <w:iCs/>
          <w:sz w:val="24"/>
          <w:szCs w:val="24"/>
        </w:rPr>
        <w:t>Journal</w:t>
      </w:r>
      <w:r w:rsidRPr="0014783B">
        <w:rPr>
          <w:rFonts w:ascii="Times New Roman" w:hAnsi="Times New Roman" w:cs="Times New Roman"/>
          <w:i/>
          <w:iCs/>
          <w:spacing w:val="-2"/>
          <w:sz w:val="24"/>
          <w:szCs w:val="24"/>
        </w:rPr>
        <w:t xml:space="preserve"> </w:t>
      </w:r>
      <w:r w:rsidRPr="0014783B">
        <w:rPr>
          <w:rFonts w:ascii="Times New Roman" w:hAnsi="Times New Roman" w:cs="Times New Roman"/>
          <w:i/>
          <w:iCs/>
          <w:sz w:val="24"/>
          <w:szCs w:val="24"/>
        </w:rPr>
        <w:t>of</w:t>
      </w:r>
      <w:r w:rsidRPr="0014783B">
        <w:rPr>
          <w:rFonts w:ascii="Times New Roman" w:hAnsi="Times New Roman" w:cs="Times New Roman"/>
          <w:i/>
          <w:iCs/>
          <w:spacing w:val="-2"/>
          <w:sz w:val="24"/>
          <w:szCs w:val="24"/>
        </w:rPr>
        <w:t xml:space="preserve"> </w:t>
      </w:r>
      <w:r w:rsidRPr="0014783B">
        <w:rPr>
          <w:rFonts w:ascii="Times New Roman" w:hAnsi="Times New Roman" w:cs="Times New Roman"/>
          <w:i/>
          <w:iCs/>
          <w:sz w:val="24"/>
          <w:szCs w:val="24"/>
        </w:rPr>
        <w:t>Biological</w:t>
      </w:r>
      <w:r w:rsidRPr="0014783B">
        <w:rPr>
          <w:rFonts w:ascii="Times New Roman" w:hAnsi="Times New Roman" w:cs="Times New Roman"/>
          <w:i/>
          <w:iCs/>
          <w:spacing w:val="-1"/>
          <w:sz w:val="24"/>
          <w:szCs w:val="24"/>
        </w:rPr>
        <w:t xml:space="preserve"> </w:t>
      </w:r>
      <w:r w:rsidRPr="0014783B">
        <w:rPr>
          <w:rFonts w:ascii="Times New Roman" w:hAnsi="Times New Roman" w:cs="Times New Roman"/>
          <w:i/>
          <w:iCs/>
          <w:sz w:val="24"/>
          <w:szCs w:val="24"/>
        </w:rPr>
        <w:t>Control</w:t>
      </w:r>
      <w:r w:rsidR="007E1CB6" w:rsidRPr="0014783B">
        <w:rPr>
          <w:rFonts w:ascii="Times New Roman" w:hAnsi="Times New Roman" w:cs="Times New Roman"/>
          <w:sz w:val="24"/>
          <w:szCs w:val="24"/>
        </w:rPr>
        <w:t>,</w:t>
      </w:r>
      <w:r w:rsidRPr="0014783B">
        <w:rPr>
          <w:rFonts w:ascii="Times New Roman" w:hAnsi="Times New Roman" w:cs="Times New Roman"/>
          <w:spacing w:val="8"/>
          <w:sz w:val="24"/>
          <w:szCs w:val="24"/>
        </w:rPr>
        <w:t xml:space="preserve"> </w:t>
      </w:r>
      <w:r w:rsidRPr="0014783B">
        <w:rPr>
          <w:rFonts w:ascii="Times New Roman" w:hAnsi="Times New Roman" w:cs="Times New Roman"/>
          <w:bCs/>
          <w:sz w:val="24"/>
          <w:szCs w:val="24"/>
        </w:rPr>
        <w:t>16(1)</w:t>
      </w:r>
      <w:r w:rsidR="007E1CB6" w:rsidRPr="0014783B">
        <w:rPr>
          <w:rFonts w:ascii="Times New Roman" w:hAnsi="Times New Roman" w:cs="Times New Roman"/>
          <w:bCs/>
          <w:sz w:val="24"/>
          <w:szCs w:val="24"/>
        </w:rPr>
        <w:t xml:space="preserve">, </w:t>
      </w:r>
      <w:r w:rsidRPr="0014783B">
        <w:rPr>
          <w:rFonts w:ascii="Times New Roman" w:hAnsi="Times New Roman" w:cs="Times New Roman"/>
          <w:sz w:val="24"/>
          <w:szCs w:val="24"/>
        </w:rPr>
        <w:t>57-63</w:t>
      </w:r>
      <w:r w:rsidR="007E1CB6" w:rsidRPr="0014783B">
        <w:rPr>
          <w:rFonts w:ascii="Times New Roman" w:hAnsi="Times New Roman" w:cs="Times New Roman"/>
          <w:sz w:val="24"/>
          <w:szCs w:val="24"/>
        </w:rPr>
        <w:t>.</w:t>
      </w:r>
      <w:r w:rsidR="00834B73" w:rsidRPr="0014783B">
        <w:rPr>
          <w:rFonts w:ascii="Times New Roman" w:hAnsi="Times New Roman" w:cs="Times New Roman"/>
          <w:sz w:val="24"/>
          <w:szCs w:val="24"/>
        </w:rPr>
        <w:t xml:space="preserve"> </w:t>
      </w:r>
      <w:hyperlink r:id="rId14" w:history="1">
        <w:r w:rsidR="0014783B" w:rsidRPr="0014783B">
          <w:rPr>
            <w:rStyle w:val="Hyperlink"/>
            <w:rFonts w:ascii="Times New Roman" w:hAnsi="Times New Roman" w:cs="Times New Roman"/>
            <w:sz w:val="24"/>
            <w:szCs w:val="24"/>
          </w:rPr>
          <w:t>https://doi.org/10.18311/jbc/2002/4014</w:t>
        </w:r>
      </w:hyperlink>
    </w:p>
    <w:p w14:paraId="19629CB8" w14:textId="49A4907F" w:rsidR="007D0694" w:rsidRPr="0014783B" w:rsidRDefault="007D0694" w:rsidP="0014783B">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bCs/>
          <w:iCs/>
          <w:sz w:val="24"/>
          <w:szCs w:val="24"/>
        </w:rPr>
        <w:t xml:space="preserve">Vinson, J. A., </w:t>
      </w:r>
      <w:proofErr w:type="spellStart"/>
      <w:r w:rsidRPr="0014783B">
        <w:rPr>
          <w:rFonts w:ascii="Times New Roman" w:hAnsi="Times New Roman" w:cs="Times New Roman"/>
          <w:bCs/>
          <w:iCs/>
          <w:sz w:val="24"/>
          <w:szCs w:val="24"/>
        </w:rPr>
        <w:t>Su</w:t>
      </w:r>
      <w:proofErr w:type="spellEnd"/>
      <w:r w:rsidRPr="0014783B">
        <w:rPr>
          <w:rFonts w:ascii="Times New Roman" w:hAnsi="Times New Roman" w:cs="Times New Roman"/>
          <w:bCs/>
          <w:iCs/>
          <w:sz w:val="24"/>
          <w:szCs w:val="24"/>
        </w:rPr>
        <w:t xml:space="preserve">, X., </w:t>
      </w:r>
      <w:proofErr w:type="spellStart"/>
      <w:r w:rsidRPr="0014783B">
        <w:rPr>
          <w:rFonts w:ascii="Times New Roman" w:hAnsi="Times New Roman" w:cs="Times New Roman"/>
          <w:bCs/>
          <w:iCs/>
          <w:sz w:val="24"/>
          <w:szCs w:val="24"/>
        </w:rPr>
        <w:t>Zubik</w:t>
      </w:r>
      <w:proofErr w:type="spellEnd"/>
      <w:r w:rsidRPr="0014783B">
        <w:rPr>
          <w:rFonts w:ascii="Times New Roman" w:hAnsi="Times New Roman" w:cs="Times New Roman"/>
          <w:bCs/>
          <w:iCs/>
          <w:sz w:val="24"/>
          <w:szCs w:val="24"/>
        </w:rPr>
        <w:t xml:space="preserve">, L., </w:t>
      </w:r>
      <w:r w:rsidR="00F96F69" w:rsidRPr="0014783B">
        <w:rPr>
          <w:rFonts w:ascii="Times New Roman" w:hAnsi="Times New Roman" w:cs="Times New Roman"/>
          <w:bCs/>
          <w:iCs/>
          <w:sz w:val="24"/>
          <w:szCs w:val="24"/>
        </w:rPr>
        <w:t>&amp;</w:t>
      </w:r>
      <w:r w:rsidRPr="0014783B">
        <w:rPr>
          <w:rFonts w:ascii="Times New Roman" w:hAnsi="Times New Roman" w:cs="Times New Roman"/>
          <w:bCs/>
          <w:iCs/>
          <w:sz w:val="24"/>
          <w:szCs w:val="24"/>
        </w:rPr>
        <w:t xml:space="preserve"> Bose, P. (2001). Phenol antioxidant quantity and quality in foods: fruits. </w:t>
      </w:r>
      <w:r w:rsidRPr="0014783B">
        <w:rPr>
          <w:rFonts w:ascii="Times New Roman" w:hAnsi="Times New Roman" w:cs="Times New Roman"/>
          <w:bCs/>
          <w:i/>
          <w:iCs/>
          <w:sz w:val="24"/>
          <w:szCs w:val="24"/>
        </w:rPr>
        <w:t>Journal of agricultural and food chemistry</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49</w:t>
      </w:r>
      <w:r w:rsidRPr="0014783B">
        <w:rPr>
          <w:rFonts w:ascii="Times New Roman" w:hAnsi="Times New Roman" w:cs="Times New Roman"/>
          <w:bCs/>
          <w:iCs/>
          <w:sz w:val="24"/>
          <w:szCs w:val="24"/>
        </w:rPr>
        <w:t>(11), 5315-5321.</w:t>
      </w:r>
      <w:r w:rsidR="00834B73" w:rsidRPr="0014783B">
        <w:rPr>
          <w:rFonts w:ascii="Times New Roman" w:hAnsi="Times New Roman" w:cs="Times New Roman"/>
          <w:bCs/>
          <w:iCs/>
          <w:sz w:val="24"/>
          <w:szCs w:val="24"/>
        </w:rPr>
        <w:t xml:space="preserve"> https://doi.org/10.1021/jf0009293</w:t>
      </w:r>
    </w:p>
    <w:sectPr w:rsidR="007D0694" w:rsidRPr="001478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212C" w14:textId="77777777" w:rsidR="00846836" w:rsidRDefault="00846836" w:rsidP="00EF50A4">
      <w:pPr>
        <w:spacing w:after="0" w:line="240" w:lineRule="auto"/>
      </w:pPr>
      <w:r>
        <w:separator/>
      </w:r>
    </w:p>
  </w:endnote>
  <w:endnote w:type="continuationSeparator" w:id="0">
    <w:p w14:paraId="3883DF8B" w14:textId="77777777" w:rsidR="00846836" w:rsidRDefault="00846836" w:rsidP="00EF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5C9F" w14:textId="77777777" w:rsidR="00EF50A4" w:rsidRDefault="00EF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D975" w14:textId="77777777" w:rsidR="00EF50A4" w:rsidRDefault="00EF5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E33C" w14:textId="77777777" w:rsidR="00EF50A4" w:rsidRDefault="00EF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8193" w14:textId="77777777" w:rsidR="00846836" w:rsidRDefault="00846836" w:rsidP="00EF50A4">
      <w:pPr>
        <w:spacing w:after="0" w:line="240" w:lineRule="auto"/>
      </w:pPr>
      <w:r>
        <w:separator/>
      </w:r>
    </w:p>
  </w:footnote>
  <w:footnote w:type="continuationSeparator" w:id="0">
    <w:p w14:paraId="24C40D73" w14:textId="77777777" w:rsidR="00846836" w:rsidRDefault="00846836" w:rsidP="00EF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A6FF" w14:textId="087F03EB" w:rsidR="00EF50A4" w:rsidRDefault="00EF50A4">
    <w:pPr>
      <w:pStyle w:val="Header"/>
    </w:pPr>
    <w:r>
      <w:rPr>
        <w:noProof/>
      </w:rPr>
      <w:pict w14:anchorId="705F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E506" w14:textId="750132A8" w:rsidR="00EF50A4" w:rsidRDefault="00EF50A4">
    <w:pPr>
      <w:pStyle w:val="Header"/>
    </w:pPr>
    <w:r>
      <w:rPr>
        <w:noProof/>
      </w:rPr>
      <w:pict w14:anchorId="6D306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BD4D" w14:textId="75E03E62" w:rsidR="00EF50A4" w:rsidRDefault="00EF50A4">
    <w:pPr>
      <w:pStyle w:val="Header"/>
    </w:pPr>
    <w:r>
      <w:rPr>
        <w:noProof/>
      </w:rPr>
      <w:pict w14:anchorId="45054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3B0"/>
    <w:multiLevelType w:val="multilevel"/>
    <w:tmpl w:val="BC7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57E65"/>
    <w:multiLevelType w:val="multilevel"/>
    <w:tmpl w:val="609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86"/>
    <w:rsid w:val="000559C0"/>
    <w:rsid w:val="000A380D"/>
    <w:rsid w:val="000D3FCB"/>
    <w:rsid w:val="0014783B"/>
    <w:rsid w:val="00171E1A"/>
    <w:rsid w:val="002E7B25"/>
    <w:rsid w:val="00362F98"/>
    <w:rsid w:val="003A421D"/>
    <w:rsid w:val="003C3056"/>
    <w:rsid w:val="0044741B"/>
    <w:rsid w:val="004D3D0C"/>
    <w:rsid w:val="005B60E8"/>
    <w:rsid w:val="005C01BD"/>
    <w:rsid w:val="00611B58"/>
    <w:rsid w:val="00613373"/>
    <w:rsid w:val="006E5864"/>
    <w:rsid w:val="007348BB"/>
    <w:rsid w:val="007D0694"/>
    <w:rsid w:val="007D5026"/>
    <w:rsid w:val="007E1CB6"/>
    <w:rsid w:val="00823138"/>
    <w:rsid w:val="00834B73"/>
    <w:rsid w:val="008453EA"/>
    <w:rsid w:val="00846836"/>
    <w:rsid w:val="00881CCD"/>
    <w:rsid w:val="008A009C"/>
    <w:rsid w:val="008C0BC9"/>
    <w:rsid w:val="00972EAE"/>
    <w:rsid w:val="009A7F18"/>
    <w:rsid w:val="00A14F71"/>
    <w:rsid w:val="00AD0D77"/>
    <w:rsid w:val="00AD2AD4"/>
    <w:rsid w:val="00AF68A8"/>
    <w:rsid w:val="00C84219"/>
    <w:rsid w:val="00C87B19"/>
    <w:rsid w:val="00D03B20"/>
    <w:rsid w:val="00E06E1B"/>
    <w:rsid w:val="00E77DF8"/>
    <w:rsid w:val="00E83971"/>
    <w:rsid w:val="00E97E0C"/>
    <w:rsid w:val="00EC1586"/>
    <w:rsid w:val="00EF50A4"/>
    <w:rsid w:val="00F04E1C"/>
    <w:rsid w:val="00F96F69"/>
    <w:rsid w:val="00FC7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46095"/>
  <w15:chartTrackingRefBased/>
  <w15:docId w15:val="{43A48B3B-F206-4079-9002-2164E88F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586"/>
  </w:style>
  <w:style w:type="paragraph" w:styleId="Heading1">
    <w:name w:val="heading 1"/>
    <w:basedOn w:val="Normal"/>
    <w:next w:val="Normal"/>
    <w:link w:val="Heading1Char"/>
    <w:uiPriority w:val="9"/>
    <w:qFormat/>
    <w:rsid w:val="00EC15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5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5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5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5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5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5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5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5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586"/>
    <w:rPr>
      <w:rFonts w:eastAsiaTheme="majorEastAsia" w:cstheme="majorBidi"/>
      <w:color w:val="272727" w:themeColor="text1" w:themeTint="D8"/>
    </w:rPr>
  </w:style>
  <w:style w:type="paragraph" w:styleId="Title">
    <w:name w:val="Title"/>
    <w:basedOn w:val="Normal"/>
    <w:next w:val="Normal"/>
    <w:link w:val="TitleChar"/>
    <w:uiPriority w:val="10"/>
    <w:qFormat/>
    <w:rsid w:val="00EC1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586"/>
    <w:pPr>
      <w:spacing w:before="160"/>
      <w:jc w:val="center"/>
    </w:pPr>
    <w:rPr>
      <w:i/>
      <w:iCs/>
      <w:color w:val="404040" w:themeColor="text1" w:themeTint="BF"/>
    </w:rPr>
  </w:style>
  <w:style w:type="character" w:customStyle="1" w:styleId="QuoteChar">
    <w:name w:val="Quote Char"/>
    <w:basedOn w:val="DefaultParagraphFont"/>
    <w:link w:val="Quote"/>
    <w:uiPriority w:val="29"/>
    <w:rsid w:val="00EC1586"/>
    <w:rPr>
      <w:i/>
      <w:iCs/>
      <w:color w:val="404040" w:themeColor="text1" w:themeTint="BF"/>
    </w:rPr>
  </w:style>
  <w:style w:type="paragraph" w:styleId="ListParagraph">
    <w:name w:val="List Paragraph"/>
    <w:basedOn w:val="Normal"/>
    <w:uiPriority w:val="34"/>
    <w:qFormat/>
    <w:rsid w:val="00EC1586"/>
    <w:pPr>
      <w:ind w:left="720"/>
      <w:contextualSpacing/>
    </w:pPr>
  </w:style>
  <w:style w:type="character" w:styleId="IntenseEmphasis">
    <w:name w:val="Intense Emphasis"/>
    <w:basedOn w:val="DefaultParagraphFont"/>
    <w:uiPriority w:val="21"/>
    <w:qFormat/>
    <w:rsid w:val="00EC1586"/>
    <w:rPr>
      <w:i/>
      <w:iCs/>
      <w:color w:val="2F5496" w:themeColor="accent1" w:themeShade="BF"/>
    </w:rPr>
  </w:style>
  <w:style w:type="paragraph" w:styleId="IntenseQuote">
    <w:name w:val="Intense Quote"/>
    <w:basedOn w:val="Normal"/>
    <w:next w:val="Normal"/>
    <w:link w:val="IntenseQuoteChar"/>
    <w:uiPriority w:val="30"/>
    <w:qFormat/>
    <w:rsid w:val="00EC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586"/>
    <w:rPr>
      <w:i/>
      <w:iCs/>
      <w:color w:val="2F5496" w:themeColor="accent1" w:themeShade="BF"/>
    </w:rPr>
  </w:style>
  <w:style w:type="character" w:styleId="IntenseReference">
    <w:name w:val="Intense Reference"/>
    <w:basedOn w:val="DefaultParagraphFont"/>
    <w:uiPriority w:val="32"/>
    <w:qFormat/>
    <w:rsid w:val="00EC1586"/>
    <w:rPr>
      <w:b/>
      <w:bCs/>
      <w:smallCaps/>
      <w:color w:val="2F5496" w:themeColor="accent1" w:themeShade="BF"/>
      <w:spacing w:val="5"/>
    </w:rPr>
  </w:style>
  <w:style w:type="table" w:styleId="TableGrid">
    <w:name w:val="Table Grid"/>
    <w:basedOn w:val="TableNormal"/>
    <w:uiPriority w:val="39"/>
    <w:qFormat/>
    <w:rsid w:val="007D0694"/>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069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7D069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C7461"/>
    <w:rPr>
      <w:color w:val="0563C1" w:themeColor="hyperlink"/>
      <w:u w:val="single"/>
    </w:rPr>
  </w:style>
  <w:style w:type="character" w:styleId="UnresolvedMention">
    <w:name w:val="Unresolved Mention"/>
    <w:basedOn w:val="DefaultParagraphFont"/>
    <w:uiPriority w:val="99"/>
    <w:semiHidden/>
    <w:unhideWhenUsed/>
    <w:rsid w:val="00FC7461"/>
    <w:rPr>
      <w:color w:val="605E5C"/>
      <w:shd w:val="clear" w:color="auto" w:fill="E1DFDD"/>
    </w:rPr>
  </w:style>
  <w:style w:type="paragraph" w:styleId="Header">
    <w:name w:val="header"/>
    <w:basedOn w:val="Normal"/>
    <w:link w:val="HeaderChar"/>
    <w:uiPriority w:val="99"/>
    <w:unhideWhenUsed/>
    <w:rsid w:val="00E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A4"/>
  </w:style>
  <w:style w:type="paragraph" w:styleId="Footer">
    <w:name w:val="footer"/>
    <w:basedOn w:val="Normal"/>
    <w:link w:val="FooterChar"/>
    <w:uiPriority w:val="99"/>
    <w:unhideWhenUsed/>
    <w:rsid w:val="00E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212">
      <w:bodyDiv w:val="1"/>
      <w:marLeft w:val="0"/>
      <w:marRight w:val="0"/>
      <w:marTop w:val="0"/>
      <w:marBottom w:val="0"/>
      <w:divBdr>
        <w:top w:val="none" w:sz="0" w:space="0" w:color="auto"/>
        <w:left w:val="none" w:sz="0" w:space="0" w:color="auto"/>
        <w:bottom w:val="none" w:sz="0" w:space="0" w:color="auto"/>
        <w:right w:val="none" w:sz="0" w:space="0" w:color="auto"/>
      </w:divBdr>
    </w:div>
    <w:div w:id="970985468">
      <w:bodyDiv w:val="1"/>
      <w:marLeft w:val="0"/>
      <w:marRight w:val="0"/>
      <w:marTop w:val="0"/>
      <w:marBottom w:val="0"/>
      <w:divBdr>
        <w:top w:val="none" w:sz="0" w:space="0" w:color="auto"/>
        <w:left w:val="none" w:sz="0" w:space="0" w:color="auto"/>
        <w:bottom w:val="none" w:sz="0" w:space="0" w:color="auto"/>
        <w:right w:val="none" w:sz="0" w:space="0" w:color="auto"/>
      </w:divBdr>
    </w:div>
    <w:div w:id="1009403693">
      <w:bodyDiv w:val="1"/>
      <w:marLeft w:val="0"/>
      <w:marRight w:val="0"/>
      <w:marTop w:val="0"/>
      <w:marBottom w:val="0"/>
      <w:divBdr>
        <w:top w:val="none" w:sz="0" w:space="0" w:color="auto"/>
        <w:left w:val="none" w:sz="0" w:space="0" w:color="auto"/>
        <w:bottom w:val="none" w:sz="0" w:space="0" w:color="auto"/>
        <w:right w:val="none" w:sz="0" w:space="0" w:color="auto"/>
      </w:divBdr>
    </w:div>
    <w:div w:id="10981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46/annurev.py.23.090185.0003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5423/PPJ.OA.10.2015.02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8311/jbc/2002/401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in1\Desktop\THESIS_TRICHODERMA\GROUNDNUT%20POD%20NUMBER_DISEASE_TRICHODERMA%20COLONY%20COU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GROUNDNUT%20POD%20NUMBER_DISEASE_TRICHODERMA%20COLONY%20COU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Rhizosphere population of </a:t>
            </a:r>
            <a:r>
              <a:rPr lang="en-US" sz="1200" i="1">
                <a:latin typeface="Times New Roman" panose="02020603050405020304" charset="0"/>
                <a:cs typeface="Times New Roman" panose="02020603050405020304" charset="0"/>
              </a:rPr>
              <a:t>Trichoderma spp. </a:t>
            </a:r>
          </a:p>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(log transformed</a:t>
            </a:r>
            <a:r>
              <a:rPr lang="en-US" sz="1200" baseline="0">
                <a:latin typeface="Times New Roman" panose="02020603050405020304" charset="0"/>
                <a:cs typeface="Times New Roman" panose="02020603050405020304" charset="0"/>
              </a:rPr>
              <a:t> </a:t>
            </a:r>
            <a:r>
              <a:rPr lang="en-US" sz="1200">
                <a:latin typeface="Times New Roman" panose="02020603050405020304" charset="0"/>
                <a:cs typeface="Times New Roman" panose="02020603050405020304" charset="0"/>
              </a:rPr>
              <a:t>cfu/g of soil)</a:t>
            </a:r>
          </a:p>
        </c:rich>
      </c:tx>
      <c:layout>
        <c:manualLayout>
          <c:xMode val="edge"/>
          <c:yMode val="edge"/>
          <c:x val="0.27609850507817002"/>
          <c:y val="5.2493438320210001E-2"/>
        </c:manualLayout>
      </c:layout>
      <c:overlay val="0"/>
    </c:title>
    <c:autoTitleDeleted val="0"/>
    <c:plotArea>
      <c:layout>
        <c:manualLayout>
          <c:layoutTarget val="inner"/>
          <c:xMode val="edge"/>
          <c:yMode val="edge"/>
          <c:x val="9.3085739282589702E-2"/>
          <c:y val="0.16432121880530501"/>
          <c:w val="0.86992825896762904"/>
          <c:h val="0.71969871844195499"/>
        </c:manualLayout>
      </c:layout>
      <c:barChart>
        <c:barDir val="col"/>
        <c:grouping val="clustered"/>
        <c:varyColors val="0"/>
        <c:ser>
          <c:idx val="0"/>
          <c:order val="0"/>
          <c:tx>
            <c:strRef>
              <c:f>Sheet3!$T$3</c:f>
              <c:strCache>
                <c:ptCount val="1"/>
                <c:pt idx="0">
                  <c:v>Rhizosphere population (log transformed cfu/g of soil)</c:v>
                </c:pt>
              </c:strCache>
            </c:strRef>
          </c:tx>
          <c:spPr>
            <a:pattFill prst="ltUpDiag">
              <a:fgClr>
                <a:schemeClr val="tx1"/>
              </a:fgClr>
              <a:bgClr>
                <a:schemeClr val="bg1"/>
              </a:bgClr>
            </a:pattFill>
            <a:ln>
              <a:solidFill>
                <a:schemeClr val="tx1"/>
              </a:solidFill>
            </a:ln>
          </c:spPr>
          <c:invertIfNegative val="0"/>
          <c:errBars>
            <c:errBarType val="both"/>
            <c:errValType val="stdErr"/>
            <c:noEndCap val="0"/>
          </c:errBars>
          <c:cat>
            <c:strRef>
              <c:f>Sheet3!$S$4:$S$13</c:f>
              <c:strCache>
                <c:ptCount val="10"/>
                <c:pt idx="0">
                  <c:v>T1</c:v>
                </c:pt>
                <c:pt idx="1">
                  <c:v>T2</c:v>
                </c:pt>
                <c:pt idx="2">
                  <c:v>T3</c:v>
                </c:pt>
                <c:pt idx="3">
                  <c:v>T4</c:v>
                </c:pt>
                <c:pt idx="4">
                  <c:v>T5</c:v>
                </c:pt>
                <c:pt idx="5">
                  <c:v>T6</c:v>
                </c:pt>
                <c:pt idx="6">
                  <c:v>T7</c:v>
                </c:pt>
                <c:pt idx="7">
                  <c:v>T8</c:v>
                </c:pt>
                <c:pt idx="8">
                  <c:v>T9</c:v>
                </c:pt>
                <c:pt idx="9">
                  <c:v>T10</c:v>
                </c:pt>
              </c:strCache>
            </c:strRef>
          </c:cat>
          <c:val>
            <c:numRef>
              <c:f>Sheet3!$T$4:$T$13</c:f>
              <c:numCache>
                <c:formatCode>0.000</c:formatCode>
                <c:ptCount val="10"/>
                <c:pt idx="0">
                  <c:v>7.3151118724960202</c:v>
                </c:pt>
                <c:pt idx="1">
                  <c:v>7.3807170339861097</c:v>
                </c:pt>
                <c:pt idx="2">
                  <c:v>5.4184241683677703</c:v>
                </c:pt>
                <c:pt idx="3">
                  <c:v>7.5681474124228396</c:v>
                </c:pt>
                <c:pt idx="4">
                  <c:v>7.4313589466748997</c:v>
                </c:pt>
                <c:pt idx="5">
                  <c:v>7.3357685264648804</c:v>
                </c:pt>
                <c:pt idx="6">
                  <c:v>7.4128726970921397</c:v>
                </c:pt>
                <c:pt idx="7">
                  <c:v>5.4407397649113403</c:v>
                </c:pt>
                <c:pt idx="8">
                  <c:v>7.5850371270045001</c:v>
                </c:pt>
                <c:pt idx="9">
                  <c:v>7.4515013733947297</c:v>
                </c:pt>
              </c:numCache>
            </c:numRef>
          </c:val>
          <c:extLst>
            <c:ext xmlns:c16="http://schemas.microsoft.com/office/drawing/2014/chart" uri="{C3380CC4-5D6E-409C-BE32-E72D297353CC}">
              <c16:uniqueId val="{00000000-6DCC-4124-A4D1-C1B9CD2CB53D}"/>
            </c:ext>
          </c:extLst>
        </c:ser>
        <c:dLbls>
          <c:showLegendKey val="0"/>
          <c:showVal val="0"/>
          <c:showCatName val="0"/>
          <c:showSerName val="0"/>
          <c:showPercent val="0"/>
          <c:showBubbleSize val="0"/>
        </c:dLbls>
        <c:gapWidth val="150"/>
        <c:axId val="153869696"/>
        <c:axId val="154072576"/>
      </c:barChart>
      <c:catAx>
        <c:axId val="1538696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072576"/>
        <c:crosses val="autoZero"/>
        <c:auto val="1"/>
        <c:lblAlgn val="ctr"/>
        <c:lblOffset val="100"/>
        <c:noMultiLvlLbl val="0"/>
      </c:catAx>
      <c:valAx>
        <c:axId val="154072576"/>
        <c:scaling>
          <c:orientation val="minMax"/>
        </c:scaling>
        <c:delete val="0"/>
        <c:axPos val="l"/>
        <c:numFmt formatCode="0.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869696"/>
        <c:crosses val="autoZero"/>
        <c:crossBetween val="between"/>
      </c:valAx>
    </c:plotArea>
    <c:plotVisOnly val="1"/>
    <c:dispBlanksAs val="gap"/>
    <c:showDLblsOverMax val="0"/>
    <c:extLst>
      <c:ext uri="{0b15fc19-7d7d-44ad-8c2d-2c3a37ce22c3}">
        <chartProps xmlns="https://web.wps.cn/et/2018/main" chartId="{b92ccdae-fbfd-4d65-ba37-badf64de9bc1}"/>
      </c:ext>
    </c:extLst>
  </c:chart>
  <c:spPr>
    <a:ln w="6350" cap="flat" cmpd="sng" algn="ctr">
      <a:no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25898510190294E-2"/>
          <c:y val="2.0863315162527801E-2"/>
          <c:w val="0.873787951969627"/>
          <c:h val="0.941179352580928"/>
        </c:manualLayout>
      </c:layout>
      <c:barChart>
        <c:barDir val="col"/>
        <c:grouping val="clustered"/>
        <c:varyColors val="0"/>
        <c:ser>
          <c:idx val="0"/>
          <c:order val="0"/>
          <c:tx>
            <c:strRef>
              <c:f>'[GROUNDNUT POD NUMBER_DISEASE_TRICHODERMA COLONY COUNT.xlsx]Sheet2'!$R$16</c:f>
              <c:strCache>
                <c:ptCount val="1"/>
                <c:pt idx="0">
                  <c:v>% incidence</c:v>
                </c:pt>
              </c:strCache>
            </c:strRef>
          </c:tx>
          <c:spPr>
            <a:pattFill prst="wdUpDiag">
              <a:fgClr>
                <a:srgbClr val="D9D9D9"/>
              </a:fgClr>
              <a:bgClr>
                <a:schemeClr val="bg1"/>
              </a:bgClr>
            </a:pattFill>
            <a:ln>
              <a:solidFill>
                <a:schemeClr val="tx1"/>
              </a:solidFill>
            </a:ln>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COUNT.xlsx]Sheet2'!$R$17:$R$27</c:f>
              <c:numCache>
                <c:formatCode>0.00</c:formatCode>
                <c:ptCount val="11"/>
                <c:pt idx="0">
                  <c:v>85.714285714285694</c:v>
                </c:pt>
                <c:pt idx="1">
                  <c:v>28.571428571428601</c:v>
                </c:pt>
                <c:pt idx="2">
                  <c:v>23.8095238095238</c:v>
                </c:pt>
                <c:pt idx="3">
                  <c:v>28.571428571428601</c:v>
                </c:pt>
                <c:pt idx="4">
                  <c:v>19.047619047619001</c:v>
                </c:pt>
                <c:pt idx="5">
                  <c:v>23.8095238095238</c:v>
                </c:pt>
                <c:pt idx="6">
                  <c:v>33.3333333333333</c:v>
                </c:pt>
                <c:pt idx="7">
                  <c:v>28.571428571428601</c:v>
                </c:pt>
                <c:pt idx="8">
                  <c:v>33.3333333333333</c:v>
                </c:pt>
                <c:pt idx="9">
                  <c:v>14.285714285714301</c:v>
                </c:pt>
                <c:pt idx="10">
                  <c:v>23.8095238095238</c:v>
                </c:pt>
              </c:numCache>
            </c:numRef>
          </c:val>
          <c:extLst>
            <c:ext xmlns:c16="http://schemas.microsoft.com/office/drawing/2014/chart" uri="{C3380CC4-5D6E-409C-BE32-E72D297353CC}">
              <c16:uniqueId val="{00000000-63DB-40FC-A1E4-E007B5A94662}"/>
            </c:ext>
          </c:extLst>
        </c:ser>
        <c:ser>
          <c:idx val="1"/>
          <c:order val="1"/>
          <c:tx>
            <c:strRef>
              <c:f>'[GROUNDNUT POD NUMBER_DISEASE_TRICHODERMA COLONY COUNT.xlsx]Sheet2'!$S$16</c:f>
              <c:strCache>
                <c:ptCount val="1"/>
              </c:strCache>
            </c:strRef>
          </c:tx>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COUNT.xlsx]Sheet2'!$S$17:$S$27</c:f>
              <c:numCache>
                <c:formatCode>General</c:formatCode>
                <c:ptCount val="11"/>
              </c:numCache>
            </c:numRef>
          </c:val>
          <c:extLst>
            <c:ext xmlns:c16="http://schemas.microsoft.com/office/drawing/2014/chart" uri="{C3380CC4-5D6E-409C-BE32-E72D297353CC}">
              <c16:uniqueId val="{00000001-63DB-40FC-A1E4-E007B5A94662}"/>
            </c:ext>
          </c:extLst>
        </c:ser>
        <c:ser>
          <c:idx val="2"/>
          <c:order val="2"/>
          <c:tx>
            <c:strRef>
              <c:f>'[GROUNDNUT POD NUMBER_DISEASE_TRICHODERMA COLONY COUNT.xlsx]Sheet2'!$T$16</c:f>
              <c:strCache>
                <c:ptCount val="1"/>
                <c:pt idx="0">
                  <c:v>% reduction over control</c:v>
                </c:pt>
              </c:strCache>
            </c:strRef>
          </c:tx>
          <c:spPr>
            <a:solidFill>
              <a:schemeClr val="tx1"/>
            </a:solidFill>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COUNT.xlsx]Sheet2'!$T$17:$T$27</c:f>
              <c:numCache>
                <c:formatCode>0.00</c:formatCode>
                <c:ptCount val="11"/>
                <c:pt idx="1">
                  <c:v>66.664999916662495</c:v>
                </c:pt>
                <c:pt idx="2">
                  <c:v>72.220833263885396</c:v>
                </c:pt>
                <c:pt idx="3">
                  <c:v>66.664999916662495</c:v>
                </c:pt>
                <c:pt idx="4">
                  <c:v>77.776666611108396</c:v>
                </c:pt>
                <c:pt idx="5">
                  <c:v>72.220833263885396</c:v>
                </c:pt>
                <c:pt idx="6">
                  <c:v>61.109166569439601</c:v>
                </c:pt>
                <c:pt idx="7">
                  <c:v>66.664999916662495</c:v>
                </c:pt>
                <c:pt idx="8">
                  <c:v>61.109166569439502</c:v>
                </c:pt>
                <c:pt idx="9">
                  <c:v>83.332499958331297</c:v>
                </c:pt>
                <c:pt idx="10">
                  <c:v>72.220833263885396</c:v>
                </c:pt>
              </c:numCache>
            </c:numRef>
          </c:val>
          <c:extLst>
            <c:ext xmlns:c16="http://schemas.microsoft.com/office/drawing/2014/chart" uri="{C3380CC4-5D6E-409C-BE32-E72D297353CC}">
              <c16:uniqueId val="{00000002-63DB-40FC-A1E4-E007B5A94662}"/>
            </c:ext>
          </c:extLst>
        </c:ser>
        <c:dLbls>
          <c:showLegendKey val="0"/>
          <c:showVal val="0"/>
          <c:showCatName val="0"/>
          <c:showSerName val="0"/>
          <c:showPercent val="0"/>
          <c:showBubbleSize val="0"/>
        </c:dLbls>
        <c:gapWidth val="150"/>
        <c:axId val="153975040"/>
        <c:axId val="153985408"/>
      </c:barChart>
      <c:catAx>
        <c:axId val="1539750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85408"/>
        <c:crosses val="autoZero"/>
        <c:auto val="1"/>
        <c:lblAlgn val="ctr"/>
        <c:lblOffset val="100"/>
        <c:noMultiLvlLbl val="0"/>
      </c:catAx>
      <c:valAx>
        <c:axId val="153985408"/>
        <c:scaling>
          <c:orientation val="minMax"/>
        </c:scaling>
        <c:delete val="0"/>
        <c:axPos val="l"/>
        <c:numFmt formatCode="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75040"/>
        <c:crosses val="autoZero"/>
        <c:crossBetween val="between"/>
      </c:valAx>
    </c:plotArea>
    <c:legend>
      <c:legendPos val="r"/>
      <c:legendEntry>
        <c:idx val="1"/>
        <c:delete val="1"/>
      </c:legendEntry>
      <c:layout>
        <c:manualLayout>
          <c:xMode val="edge"/>
          <c:yMode val="edge"/>
          <c:x val="0.55647766594863401"/>
          <c:y val="3.23854477318401E-2"/>
          <c:w val="0.42532082253242298"/>
          <c:h val="0.103414362033084"/>
        </c:manualLayout>
      </c:layout>
      <c:overlay val="0"/>
      <c:txPr>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480345e2-db08-4ad4-bff4-36db98ec484e}"/>
      </c:ext>
    </c:extLst>
  </c:chart>
  <c:spPr>
    <a:ln w="6350" cap="flat" cmpd="sng" algn="ctr">
      <a:noFill/>
      <a:prstDash val="solid"/>
      <a:round/>
    </a:ln>
  </c:spPr>
  <c:txPr>
    <a:bodyPr/>
    <a:lstStyle/>
    <a:p>
      <a:pPr>
        <a:defRPr lang="en-US"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20" b="1" i="0" u="none" strike="noStrike" kern="1200" baseline="0">
                <a:solidFill>
                  <a:schemeClr val="tx1"/>
                </a:solidFill>
                <a:latin typeface="Times New Roman" panose="02020603050405020304" charset="0"/>
                <a:ea typeface="+mn-ea"/>
                <a:cs typeface="Times New Roman" panose="02020603050405020304" charset="0"/>
              </a:defRPr>
            </a:pPr>
            <a:r>
              <a:rPr lang="en-IN"/>
              <a:t>Total</a:t>
            </a:r>
            <a:r>
              <a:rPr lang="en-IN" baseline="0"/>
              <a:t> Phenols</a:t>
            </a:r>
            <a:endParaRPr lang="en-IN"/>
          </a:p>
        </c:rich>
      </c:tx>
      <c:layout>
        <c:manualLayout>
          <c:xMode val="edge"/>
          <c:yMode val="edge"/>
          <c:x val="0.41765785440148201"/>
          <c:y val="5.23446019629226E-2"/>
        </c:manualLayout>
      </c:layout>
      <c:overlay val="0"/>
    </c:title>
    <c:autoTitleDeleted val="0"/>
    <c:plotArea>
      <c:layout>
        <c:manualLayout>
          <c:layoutTarget val="inner"/>
          <c:xMode val="edge"/>
          <c:yMode val="edge"/>
          <c:x val="0.114565656565657"/>
          <c:y val="4.1515280218035799E-2"/>
          <c:w val="0.83712208701185098"/>
          <c:h val="0.78394970063309999"/>
        </c:manualLayout>
      </c:layout>
      <c:barChart>
        <c:barDir val="col"/>
        <c:grouping val="clustered"/>
        <c:varyColors val="0"/>
        <c:ser>
          <c:idx val="0"/>
          <c:order val="0"/>
          <c:tx>
            <c:strRef>
              <c:f>Sheet3!$K$37</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Sheet3!$K$38:$K$48</c:f>
              <c:numCache>
                <c:formatCode>0.000</c:formatCode>
                <c:ptCount val="11"/>
                <c:pt idx="0">
                  <c:v>0.23117799999999999</c:v>
                </c:pt>
                <c:pt idx="1">
                  <c:v>0.32300709999999999</c:v>
                </c:pt>
                <c:pt idx="2">
                  <c:v>0.16995859999999999</c:v>
                </c:pt>
                <c:pt idx="3">
                  <c:v>0.48996909999999999</c:v>
                </c:pt>
                <c:pt idx="4">
                  <c:v>0.27013579999999998</c:v>
                </c:pt>
                <c:pt idx="5">
                  <c:v>0.24787419999999999</c:v>
                </c:pt>
                <c:pt idx="6">
                  <c:v>0.26457039999999998</c:v>
                </c:pt>
                <c:pt idx="7">
                  <c:v>0.18665480000000001</c:v>
                </c:pt>
                <c:pt idx="8">
                  <c:v>0.30352820000000202</c:v>
                </c:pt>
                <c:pt idx="9">
                  <c:v>0.27291850000000201</c:v>
                </c:pt>
                <c:pt idx="10">
                  <c:v>0.16439319999999999</c:v>
                </c:pt>
              </c:numCache>
            </c:numRef>
          </c:val>
          <c:extLst>
            <c:ext xmlns:c16="http://schemas.microsoft.com/office/drawing/2014/chart" uri="{C3380CC4-5D6E-409C-BE32-E72D297353CC}">
              <c16:uniqueId val="{00000000-F40A-41C4-A20E-AC6BB71DBFF5}"/>
            </c:ext>
          </c:extLst>
        </c:ser>
        <c:ser>
          <c:idx val="1"/>
          <c:order val="1"/>
          <c:tx>
            <c:strRef>
              <c:f>Sheet3!$L$37</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Sheet3!$L$38:$L$48</c:f>
              <c:numCache>
                <c:formatCode>0.000</c:formatCode>
                <c:ptCount val="11"/>
                <c:pt idx="0">
                  <c:v>0.375878400000003</c:v>
                </c:pt>
                <c:pt idx="1">
                  <c:v>0.381443800000002</c:v>
                </c:pt>
                <c:pt idx="2">
                  <c:v>0.29239739999999997</c:v>
                </c:pt>
                <c:pt idx="3">
                  <c:v>0.65136570000000005</c:v>
                </c:pt>
                <c:pt idx="4">
                  <c:v>0.456576700000002</c:v>
                </c:pt>
                <c:pt idx="5">
                  <c:v>0.36753029999999998</c:v>
                </c:pt>
                <c:pt idx="6">
                  <c:v>0.34805140000000001</c:v>
                </c:pt>
                <c:pt idx="7">
                  <c:v>0.2061337</c:v>
                </c:pt>
                <c:pt idx="8">
                  <c:v>0.59014630000000001</c:v>
                </c:pt>
                <c:pt idx="9">
                  <c:v>0.44544590000000001</c:v>
                </c:pt>
                <c:pt idx="10">
                  <c:v>5.0302500000000201E-2</c:v>
                </c:pt>
              </c:numCache>
            </c:numRef>
          </c:val>
          <c:extLst>
            <c:ext xmlns:c16="http://schemas.microsoft.com/office/drawing/2014/chart" uri="{C3380CC4-5D6E-409C-BE32-E72D297353CC}">
              <c16:uniqueId val="{00000001-F40A-41C4-A20E-AC6BB71DBFF5}"/>
            </c:ext>
          </c:extLst>
        </c:ser>
        <c:dLbls>
          <c:showLegendKey val="0"/>
          <c:showVal val="0"/>
          <c:showCatName val="0"/>
          <c:showSerName val="0"/>
          <c:showPercent val="0"/>
          <c:showBubbleSize val="0"/>
        </c:dLbls>
        <c:gapWidth val="150"/>
        <c:axId val="154571520"/>
        <c:axId val="154573824"/>
      </c:barChart>
      <c:catAx>
        <c:axId val="154571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573824"/>
        <c:crosses val="autoZero"/>
        <c:auto val="1"/>
        <c:lblAlgn val="ctr"/>
        <c:lblOffset val="100"/>
        <c:noMultiLvlLbl val="0"/>
      </c:catAx>
      <c:valAx>
        <c:axId val="154573824"/>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t>mg/g of fresh wt.</a:t>
                </a:r>
              </a:p>
            </c:rich>
          </c:tx>
          <c:overlay val="0"/>
        </c:title>
        <c:numFmt formatCode="0.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571520"/>
        <c:crosses val="autoZero"/>
        <c:crossBetween val="between"/>
      </c:valAx>
    </c:plotArea>
    <c:legend>
      <c:legendPos val="r"/>
      <c:layout>
        <c:manualLayout>
          <c:xMode val="edge"/>
          <c:yMode val="edge"/>
          <c:x val="0.754033865951656"/>
          <c:y val="2.06407405181223E-2"/>
          <c:w val="0.24427185238208901"/>
          <c:h val="0.12893339258259701"/>
        </c:manualLayout>
      </c:layout>
      <c:overlay val="0"/>
      <c:txPr>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b2aa2d6-3794-4c6c-a89c-b7dd1ac69227}"/>
      </c:ext>
    </c:extLst>
  </c:chart>
  <c:spPr>
    <a:ln w="6350" cap="flat" cmpd="sng" algn="ctr">
      <a:noFill/>
      <a:prstDash val="solid"/>
      <a:round/>
    </a:ln>
  </c:spPr>
  <c:txPr>
    <a:bodyPr/>
    <a:lstStyle/>
    <a:p>
      <a:pPr>
        <a:defRPr lang="en-US" sz="11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IN" sz="1100"/>
              <a:t>Polyphenol</a:t>
            </a:r>
            <a:r>
              <a:rPr lang="en-IN" sz="1100" baseline="0"/>
              <a:t> oxidase</a:t>
            </a:r>
            <a:endParaRPr lang="en-IN" sz="1100"/>
          </a:p>
        </c:rich>
      </c:tx>
      <c:overlay val="0"/>
    </c:title>
    <c:autoTitleDeleted val="0"/>
    <c:plotArea>
      <c:layout>
        <c:manualLayout>
          <c:layoutTarget val="inner"/>
          <c:xMode val="edge"/>
          <c:yMode val="edge"/>
          <c:x val="0.134329542140566"/>
          <c:y val="5.1400554097404502E-2"/>
          <c:w val="0.81590765043258995"/>
          <c:h val="0.75009222805483"/>
        </c:manualLayout>
      </c:layout>
      <c:barChart>
        <c:barDir val="col"/>
        <c:grouping val="clustered"/>
        <c:varyColors val="0"/>
        <c:ser>
          <c:idx val="0"/>
          <c:order val="0"/>
          <c:tx>
            <c:strRef>
              <c:f>Sheet2!$J$34</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Sheet2!$J$35:$J$45</c:f>
              <c:numCache>
                <c:formatCode>0.00</c:formatCode>
                <c:ptCount val="11"/>
                <c:pt idx="0">
                  <c:v>2.81</c:v>
                </c:pt>
                <c:pt idx="1">
                  <c:v>3.0449999999999999</c:v>
                </c:pt>
                <c:pt idx="2">
                  <c:v>2.5049999999999999</c:v>
                </c:pt>
                <c:pt idx="3">
                  <c:v>2.68</c:v>
                </c:pt>
                <c:pt idx="4">
                  <c:v>2.68</c:v>
                </c:pt>
                <c:pt idx="5">
                  <c:v>2.98</c:v>
                </c:pt>
                <c:pt idx="6">
                  <c:v>2.8650000000000002</c:v>
                </c:pt>
                <c:pt idx="7">
                  <c:v>2.6549999999999998</c:v>
                </c:pt>
                <c:pt idx="8">
                  <c:v>2.52</c:v>
                </c:pt>
                <c:pt idx="9">
                  <c:v>2.625</c:v>
                </c:pt>
                <c:pt idx="10">
                  <c:v>2.1</c:v>
                </c:pt>
              </c:numCache>
            </c:numRef>
          </c:val>
          <c:extLst>
            <c:ext xmlns:c16="http://schemas.microsoft.com/office/drawing/2014/chart" uri="{C3380CC4-5D6E-409C-BE32-E72D297353CC}">
              <c16:uniqueId val="{00000000-B2D3-42C8-A424-EAFB1D9318BC}"/>
            </c:ext>
          </c:extLst>
        </c:ser>
        <c:ser>
          <c:idx val="1"/>
          <c:order val="1"/>
          <c:tx>
            <c:strRef>
              <c:f>Sheet2!$K$34</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Sheet2!$K$35:$K$45</c:f>
              <c:numCache>
                <c:formatCode>0.00</c:formatCode>
                <c:ptCount val="11"/>
                <c:pt idx="0">
                  <c:v>3</c:v>
                </c:pt>
                <c:pt idx="1">
                  <c:v>3.39</c:v>
                </c:pt>
                <c:pt idx="2">
                  <c:v>3.04</c:v>
                </c:pt>
                <c:pt idx="3">
                  <c:v>3.0750000000000002</c:v>
                </c:pt>
                <c:pt idx="4">
                  <c:v>3.09</c:v>
                </c:pt>
                <c:pt idx="5">
                  <c:v>3.09</c:v>
                </c:pt>
                <c:pt idx="6">
                  <c:v>3.27</c:v>
                </c:pt>
                <c:pt idx="7">
                  <c:v>3.33</c:v>
                </c:pt>
                <c:pt idx="8">
                  <c:v>3.415</c:v>
                </c:pt>
                <c:pt idx="9">
                  <c:v>3.07</c:v>
                </c:pt>
                <c:pt idx="10">
                  <c:v>2.2999999999999998</c:v>
                </c:pt>
              </c:numCache>
            </c:numRef>
          </c:val>
          <c:extLst>
            <c:ext xmlns:c16="http://schemas.microsoft.com/office/drawing/2014/chart" uri="{C3380CC4-5D6E-409C-BE32-E72D297353CC}">
              <c16:uniqueId val="{00000001-B2D3-42C8-A424-EAFB1D9318BC}"/>
            </c:ext>
          </c:extLst>
        </c:ser>
        <c:dLbls>
          <c:showLegendKey val="0"/>
          <c:showVal val="0"/>
          <c:showCatName val="0"/>
          <c:showSerName val="0"/>
          <c:showPercent val="0"/>
          <c:showBubbleSize val="0"/>
        </c:dLbls>
        <c:gapWidth val="150"/>
        <c:axId val="153922944"/>
        <c:axId val="153949312"/>
      </c:barChart>
      <c:catAx>
        <c:axId val="153922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49312"/>
        <c:crosses val="autoZero"/>
        <c:auto val="1"/>
        <c:lblAlgn val="ctr"/>
        <c:lblOffset val="100"/>
        <c:noMultiLvlLbl val="0"/>
      </c:catAx>
      <c:valAx>
        <c:axId val="153949312"/>
        <c:scaling>
          <c:orientation val="minMax"/>
          <c:max val="5"/>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 (∆495nm/min/g fresh wt.)</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22944"/>
        <c:crosses val="autoZero"/>
        <c:crossBetween val="between"/>
      </c:valAx>
    </c:plotArea>
    <c:legend>
      <c:legendPos val="r"/>
      <c:layout>
        <c:manualLayout>
          <c:xMode val="edge"/>
          <c:yMode val="edge"/>
          <c:x val="0.70517053970070698"/>
          <c:y val="7.9305229463766697E-2"/>
          <c:w val="0.291429352580927"/>
          <c:h val="0.16743438320210099"/>
        </c:manualLayout>
      </c:layout>
      <c:overlay val="0"/>
      <c:txPr>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36000dc8-22ac-4c8a-8ccb-42c36d84bd2b}"/>
      </c:ext>
    </c:extLst>
  </c:chart>
  <c:spPr>
    <a:ln w="6350" cap="flat" cmpd="sng" algn="ctr">
      <a:noFill/>
      <a:prstDash val="solid"/>
      <a:round/>
    </a:ln>
  </c:spPr>
  <c:txPr>
    <a:bodyPr/>
    <a:lstStyle/>
    <a:p>
      <a:pPr>
        <a:defRPr lang="en-US" b="1">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B4F9-2429-4614-943B-68843D84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Agrawal</dc:creator>
  <cp:keywords/>
  <dc:description/>
  <cp:lastModifiedBy>SDI 1084</cp:lastModifiedBy>
  <cp:revision>14</cp:revision>
  <dcterms:created xsi:type="dcterms:W3CDTF">2025-03-25T09:29:00Z</dcterms:created>
  <dcterms:modified xsi:type="dcterms:W3CDTF">2025-04-10T08:13:00Z</dcterms:modified>
</cp:coreProperties>
</file>