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E451B" w14:textId="071F1D35" w:rsidR="00FE6ECB" w:rsidRPr="003F1806" w:rsidRDefault="00FE6ECB" w:rsidP="00B42A32">
      <w:pPr>
        <w:pStyle w:val="NoSpacing"/>
        <w:pBdr>
          <w:bottom w:val="single" w:sz="12" w:space="1" w:color="auto"/>
        </w:pBdr>
        <w:spacing w:line="276" w:lineRule="auto"/>
        <w:jc w:val="both"/>
        <w:rPr>
          <w:rFonts w:ascii="Arial MT" w:hAnsi="Arial MT" w:cs="Arial"/>
          <w:b/>
          <w:bCs/>
          <w:sz w:val="20"/>
          <w:szCs w:val="20"/>
        </w:rPr>
      </w:pPr>
      <w:r w:rsidRPr="003F1806">
        <w:rPr>
          <w:rFonts w:ascii="Arial MT" w:hAnsi="Arial MT" w:cs="Arial"/>
          <w:b/>
          <w:bCs/>
          <w:sz w:val="20"/>
          <w:szCs w:val="20"/>
        </w:rPr>
        <w:t xml:space="preserve">Analysis of Livelihood Strategy Variation in </w:t>
      </w:r>
      <w:r w:rsidR="00D3697C" w:rsidRPr="003F1806">
        <w:rPr>
          <w:rFonts w:ascii="Arial MT" w:hAnsi="Arial MT" w:cs="Arial"/>
          <w:b/>
          <w:bCs/>
          <w:sz w:val="20"/>
          <w:szCs w:val="20"/>
        </w:rPr>
        <w:t>Rudra Prayag</w:t>
      </w:r>
      <w:r w:rsidRPr="003F1806">
        <w:rPr>
          <w:rFonts w:ascii="Arial MT" w:hAnsi="Arial MT" w:cs="Arial"/>
          <w:b/>
          <w:bCs/>
          <w:sz w:val="20"/>
          <w:szCs w:val="20"/>
        </w:rPr>
        <w:t xml:space="preserve"> district of Garhwal Himalaya: Implications for Poverty Reduction</w:t>
      </w:r>
    </w:p>
    <w:p w14:paraId="322CFEC2" w14:textId="77777777" w:rsidR="00D3697C" w:rsidRPr="00A03C36" w:rsidRDefault="00D3697C" w:rsidP="00B42A32">
      <w:pPr>
        <w:pStyle w:val="NoSpacing"/>
        <w:spacing w:line="276" w:lineRule="auto"/>
        <w:rPr>
          <w:rFonts w:ascii="Arial MT" w:hAnsi="Arial MT" w:cs="Arial"/>
          <w:sz w:val="18"/>
          <w:szCs w:val="18"/>
        </w:rPr>
      </w:pPr>
    </w:p>
    <w:p w14:paraId="6A90BCDF" w14:textId="20A6B2C6" w:rsidR="00FE6ECB" w:rsidRPr="003F1806" w:rsidRDefault="00303881" w:rsidP="00B42A32">
      <w:pPr>
        <w:pBdr>
          <w:top w:val="single" w:sz="4" w:space="1" w:color="auto"/>
          <w:left w:val="single" w:sz="4" w:space="4" w:color="auto"/>
          <w:bottom w:val="single" w:sz="4" w:space="1" w:color="auto"/>
          <w:right w:val="single" w:sz="4" w:space="4" w:color="auto"/>
        </w:pBdr>
        <w:tabs>
          <w:tab w:val="left" w:pos="720"/>
          <w:tab w:val="left" w:pos="1263"/>
        </w:tabs>
        <w:spacing w:before="120" w:after="120"/>
        <w:jc w:val="both"/>
        <w:rPr>
          <w:rFonts w:ascii="Arial MT" w:hAnsi="Arial MT" w:cs="Arial"/>
          <w:b/>
          <w:bCs/>
          <w:color w:val="000000"/>
          <w:sz w:val="20"/>
          <w:szCs w:val="20"/>
        </w:rPr>
      </w:pPr>
      <w:r>
        <w:rPr>
          <w:rFonts w:ascii="Arial MT" w:hAnsi="Arial MT" w:cs="Arial"/>
          <w:b/>
          <w:bCs/>
          <w:color w:val="000000"/>
          <w:sz w:val="20"/>
          <w:szCs w:val="20"/>
        </w:rPr>
        <w:t xml:space="preserve">                                      </w:t>
      </w:r>
      <w:r w:rsidR="00FE6ECB" w:rsidRPr="003F1806">
        <w:rPr>
          <w:rFonts w:ascii="Arial MT" w:hAnsi="Arial MT" w:cs="Arial"/>
          <w:b/>
          <w:bCs/>
          <w:color w:val="000000"/>
          <w:sz w:val="20"/>
          <w:szCs w:val="20"/>
        </w:rPr>
        <w:t>Abstract:</w:t>
      </w:r>
    </w:p>
    <w:p w14:paraId="4DAA9AAA" w14:textId="7B37B8A2" w:rsidR="00FE6ECB" w:rsidRPr="003F1806" w:rsidRDefault="00FE6ECB" w:rsidP="00B42A32">
      <w:pPr>
        <w:pBdr>
          <w:top w:val="single" w:sz="4" w:space="1" w:color="auto"/>
          <w:left w:val="single" w:sz="4" w:space="4" w:color="auto"/>
          <w:bottom w:val="single" w:sz="4" w:space="1" w:color="auto"/>
          <w:right w:val="single" w:sz="4" w:space="4" w:color="auto"/>
        </w:pBdr>
        <w:tabs>
          <w:tab w:val="left" w:pos="720"/>
          <w:tab w:val="left" w:pos="1263"/>
        </w:tabs>
        <w:spacing w:before="120" w:after="120"/>
        <w:jc w:val="both"/>
        <w:rPr>
          <w:rFonts w:ascii="Arial MT" w:hAnsi="Arial MT" w:cs="Arial"/>
          <w:bCs/>
          <w:color w:val="000000"/>
          <w:sz w:val="20"/>
          <w:szCs w:val="20"/>
        </w:rPr>
      </w:pPr>
      <w:r w:rsidRPr="003F1806">
        <w:rPr>
          <w:rFonts w:ascii="Arial MT" w:hAnsi="Arial MT" w:cs="Arial"/>
          <w:bCs/>
          <w:color w:val="000000"/>
          <w:sz w:val="20"/>
          <w:szCs w:val="20"/>
        </w:rPr>
        <w:t xml:space="preserve">This paper has emphasis on, to understand the variation of livelihood strategies within and between the blocks to understand the quality of life in the villages of district </w:t>
      </w:r>
      <w:r w:rsidR="00303881" w:rsidRPr="003F1806">
        <w:rPr>
          <w:rFonts w:ascii="Arial MT" w:hAnsi="Arial MT" w:cs="Arial"/>
          <w:bCs/>
          <w:color w:val="000000"/>
          <w:sz w:val="20"/>
          <w:szCs w:val="20"/>
        </w:rPr>
        <w:t>Rudra Prayag</w:t>
      </w:r>
      <w:r w:rsidRPr="003F1806">
        <w:rPr>
          <w:rFonts w:ascii="Arial MT" w:hAnsi="Arial MT" w:cs="Arial"/>
          <w:bCs/>
          <w:color w:val="000000"/>
          <w:sz w:val="20"/>
          <w:szCs w:val="20"/>
        </w:rPr>
        <w:t xml:space="preserve">. The study also identifies the factors that are interlinked with the socio-economic attributes of the people which involved in various income generating activities. This analysis is essential to understand the mechanism of livelihood strategy changes within and between the blocks of district </w:t>
      </w:r>
      <w:r w:rsidR="00303881" w:rsidRPr="003F1806">
        <w:rPr>
          <w:rFonts w:ascii="Arial MT" w:hAnsi="Arial MT" w:cs="Arial"/>
          <w:bCs/>
          <w:color w:val="000000"/>
          <w:sz w:val="20"/>
          <w:szCs w:val="20"/>
        </w:rPr>
        <w:t>Rudra Prayag</w:t>
      </w:r>
      <w:r w:rsidRPr="003F1806">
        <w:rPr>
          <w:rFonts w:ascii="Arial MT" w:hAnsi="Arial MT" w:cs="Arial"/>
          <w:bCs/>
          <w:color w:val="000000"/>
          <w:sz w:val="20"/>
          <w:szCs w:val="20"/>
        </w:rPr>
        <w:t xml:space="preserve">. The </w:t>
      </w:r>
      <w:r w:rsidR="001F5199" w:rsidRPr="003F1806">
        <w:rPr>
          <w:rFonts w:ascii="Arial MT" w:hAnsi="Arial MT" w:cs="Arial"/>
          <w:bCs/>
          <w:color w:val="000000"/>
          <w:sz w:val="20"/>
          <w:szCs w:val="20"/>
        </w:rPr>
        <w:t>result of the study shows that people</w:t>
      </w:r>
      <w:r w:rsidRPr="003F1806">
        <w:rPr>
          <w:rFonts w:ascii="Arial MT" w:hAnsi="Arial MT" w:cs="Arial"/>
          <w:bCs/>
          <w:color w:val="000000"/>
          <w:sz w:val="20"/>
          <w:szCs w:val="20"/>
        </w:rPr>
        <w:t xml:space="preserve"> are mainly dependent on tourism, agriculture, animal husbandry and vegetable cultivation for their livelihood. </w:t>
      </w:r>
      <w:r w:rsidR="000F5C0E" w:rsidRPr="003F1806">
        <w:rPr>
          <w:rFonts w:ascii="Arial MT" w:hAnsi="Arial MT" w:cs="Arial"/>
          <w:bCs/>
          <w:color w:val="000000"/>
          <w:sz w:val="20"/>
          <w:szCs w:val="20"/>
        </w:rPr>
        <w:t xml:space="preserve">A </w:t>
      </w:r>
      <w:r w:rsidR="00F910C7" w:rsidRPr="003F1806">
        <w:rPr>
          <w:rFonts w:ascii="Arial MT" w:hAnsi="Arial MT" w:cs="Arial"/>
          <w:bCs/>
          <w:color w:val="000000"/>
          <w:sz w:val="20"/>
          <w:szCs w:val="20"/>
        </w:rPr>
        <w:t>random sampling method was</w:t>
      </w:r>
      <w:r w:rsidRPr="003F1806">
        <w:rPr>
          <w:rFonts w:ascii="Arial MT" w:hAnsi="Arial MT" w:cs="Arial"/>
          <w:bCs/>
          <w:color w:val="000000"/>
          <w:sz w:val="20"/>
          <w:szCs w:val="20"/>
        </w:rPr>
        <w:t xml:space="preserve"> used to select the villages. </w:t>
      </w:r>
      <w:r w:rsidR="00F910C7" w:rsidRPr="003F1806">
        <w:rPr>
          <w:rFonts w:ascii="Arial MT" w:hAnsi="Arial MT" w:cs="Arial"/>
          <w:bCs/>
          <w:color w:val="000000"/>
          <w:sz w:val="20"/>
          <w:szCs w:val="20"/>
        </w:rPr>
        <w:t>Semi-structured questionnaire and</w:t>
      </w:r>
      <w:r w:rsidRPr="003F1806">
        <w:rPr>
          <w:rFonts w:ascii="Arial MT" w:hAnsi="Arial MT" w:cs="Arial"/>
          <w:bCs/>
          <w:color w:val="000000"/>
          <w:sz w:val="20"/>
          <w:szCs w:val="20"/>
        </w:rPr>
        <w:t xml:space="preserve"> interview method were used to understand the importance of resources for livelihood generation. The data gathered from each selected village was compiled and analyzed by using SPSS 16.</w:t>
      </w:r>
      <w:r w:rsidRPr="003F1806">
        <w:rPr>
          <w:rFonts w:ascii="Arial MT" w:hAnsi="Arial MT" w:cs="Arial"/>
          <w:b/>
          <w:color w:val="000000"/>
          <w:sz w:val="20"/>
          <w:szCs w:val="20"/>
        </w:rPr>
        <w:t xml:space="preserve"> </w:t>
      </w:r>
      <w:r w:rsidRPr="003F1806">
        <w:rPr>
          <w:rFonts w:ascii="Arial MT" w:hAnsi="Arial MT" w:cs="Arial"/>
          <w:bCs/>
          <w:color w:val="000000"/>
          <w:sz w:val="20"/>
          <w:szCs w:val="20"/>
        </w:rPr>
        <w:t>A higher proportion of household (57.6%) of Agustmuni block depends on agricultural activities while the majority of people of Jakholi and Ukhimath block depend on remittances (65.1) and agriculture (55.8) respectively. Analysis of the socio-economic character</w:t>
      </w:r>
      <w:r w:rsidR="00C35EB9" w:rsidRPr="003F1806">
        <w:rPr>
          <w:rFonts w:ascii="Arial MT" w:hAnsi="Arial MT" w:cs="Arial"/>
          <w:bCs/>
          <w:color w:val="000000"/>
          <w:sz w:val="20"/>
          <w:szCs w:val="20"/>
        </w:rPr>
        <w:t xml:space="preserve">istics of rural households </w:t>
      </w:r>
      <w:r w:rsidRPr="003F1806">
        <w:rPr>
          <w:rFonts w:ascii="Arial MT" w:hAnsi="Arial MT" w:cs="Arial"/>
          <w:bCs/>
          <w:color w:val="000000"/>
          <w:sz w:val="20"/>
          <w:szCs w:val="20"/>
        </w:rPr>
        <w:t xml:space="preserve">reveals </w:t>
      </w:r>
      <w:r w:rsidR="00C35EB9" w:rsidRPr="003F1806">
        <w:rPr>
          <w:rFonts w:ascii="Arial MT" w:hAnsi="Arial MT" w:cs="Arial"/>
          <w:bCs/>
          <w:color w:val="000000"/>
          <w:sz w:val="20"/>
          <w:szCs w:val="20"/>
        </w:rPr>
        <w:t xml:space="preserve">that age, labour endowment and </w:t>
      </w:r>
      <w:r w:rsidRPr="003F1806">
        <w:rPr>
          <w:rFonts w:ascii="Arial MT" w:hAnsi="Arial MT" w:cs="Arial"/>
          <w:bCs/>
          <w:color w:val="000000"/>
          <w:sz w:val="20"/>
          <w:szCs w:val="20"/>
        </w:rPr>
        <w:t>education in terms of access to basic infrastructure are some of the barriers that poor households face to enter into high-return livelihood strategies.</w:t>
      </w:r>
      <w:r w:rsidR="00C35EB9" w:rsidRPr="003F1806">
        <w:rPr>
          <w:rFonts w:ascii="Arial MT" w:hAnsi="Arial MT" w:cs="Arial"/>
          <w:bCs/>
          <w:color w:val="000000"/>
          <w:sz w:val="20"/>
          <w:szCs w:val="20"/>
        </w:rPr>
        <w:t xml:space="preserve"> </w:t>
      </w:r>
    </w:p>
    <w:p w14:paraId="24FC5BED" w14:textId="77777777" w:rsidR="00FE6ECB" w:rsidRPr="003F1806" w:rsidRDefault="00FE6ECB" w:rsidP="00B42A32">
      <w:pPr>
        <w:spacing w:before="240" w:after="0"/>
        <w:jc w:val="both"/>
        <w:rPr>
          <w:rFonts w:ascii="Arial MT" w:hAnsi="Arial MT" w:cs="Arial"/>
          <w:sz w:val="20"/>
          <w:szCs w:val="20"/>
        </w:rPr>
      </w:pPr>
      <w:r w:rsidRPr="003F1806">
        <w:rPr>
          <w:rFonts w:ascii="Arial MT" w:hAnsi="Arial MT" w:cs="Arial"/>
          <w:b/>
          <w:sz w:val="20"/>
          <w:szCs w:val="20"/>
        </w:rPr>
        <w:t xml:space="preserve">Keywords: </w:t>
      </w:r>
      <w:r w:rsidRPr="003F1806">
        <w:rPr>
          <w:rFonts w:ascii="Arial MT" w:hAnsi="Arial MT" w:cs="Arial"/>
          <w:sz w:val="20"/>
          <w:szCs w:val="20"/>
        </w:rPr>
        <w:t>Sustainable</w:t>
      </w:r>
      <w:r w:rsidR="00C35EB9" w:rsidRPr="003F1806">
        <w:rPr>
          <w:rFonts w:ascii="Arial MT" w:hAnsi="Arial MT" w:cs="Arial"/>
          <w:sz w:val="20"/>
          <w:szCs w:val="20"/>
        </w:rPr>
        <w:t>,</w:t>
      </w:r>
      <w:r w:rsidRPr="003F1806">
        <w:rPr>
          <w:rFonts w:ascii="Arial MT" w:hAnsi="Arial MT" w:cs="Arial"/>
          <w:sz w:val="20"/>
          <w:szCs w:val="20"/>
        </w:rPr>
        <w:t xml:space="preserve"> </w:t>
      </w:r>
      <w:r w:rsidR="00C35EB9" w:rsidRPr="003F1806">
        <w:rPr>
          <w:rFonts w:ascii="Arial MT" w:hAnsi="Arial MT" w:cs="Arial"/>
          <w:sz w:val="20"/>
          <w:szCs w:val="20"/>
        </w:rPr>
        <w:t>L</w:t>
      </w:r>
      <w:r w:rsidRPr="003F1806">
        <w:rPr>
          <w:rFonts w:ascii="Arial MT" w:hAnsi="Arial MT" w:cs="Arial"/>
          <w:sz w:val="20"/>
          <w:szCs w:val="20"/>
        </w:rPr>
        <w:t>ivelihood, Remittances, Subsistence farming</w:t>
      </w:r>
    </w:p>
    <w:p w14:paraId="005F69B8" w14:textId="10473323" w:rsidR="00B00811" w:rsidRPr="003F1806" w:rsidRDefault="005251DB" w:rsidP="00B42A32">
      <w:pPr>
        <w:spacing w:before="240" w:after="0"/>
        <w:jc w:val="both"/>
        <w:rPr>
          <w:rFonts w:ascii="Arial MT" w:hAnsi="Arial MT" w:cs="Arial"/>
          <w:b/>
          <w:sz w:val="20"/>
          <w:szCs w:val="20"/>
        </w:rPr>
      </w:pPr>
      <w:r>
        <w:rPr>
          <w:rFonts w:ascii="Arial MT" w:hAnsi="Arial MT" w:cs="Arial"/>
          <w:b/>
          <w:sz w:val="20"/>
          <w:szCs w:val="20"/>
        </w:rPr>
        <w:t xml:space="preserve">1. </w:t>
      </w:r>
      <w:r w:rsidR="00B00811" w:rsidRPr="003F1806">
        <w:rPr>
          <w:rFonts w:ascii="Arial MT" w:hAnsi="Arial MT" w:cs="Arial"/>
          <w:b/>
          <w:sz w:val="20"/>
          <w:szCs w:val="20"/>
        </w:rPr>
        <w:t>Introduction:</w:t>
      </w:r>
    </w:p>
    <w:p w14:paraId="67676A6B" w14:textId="15EFC644" w:rsidR="0096358B" w:rsidRPr="003F1806" w:rsidRDefault="0096358B" w:rsidP="00B42A32">
      <w:pPr>
        <w:spacing w:after="0"/>
        <w:jc w:val="both"/>
        <w:rPr>
          <w:rFonts w:ascii="Arial MT" w:hAnsi="Arial MT" w:cs="Arial"/>
          <w:sz w:val="20"/>
          <w:szCs w:val="20"/>
        </w:rPr>
      </w:pPr>
      <w:r w:rsidRPr="003F1806">
        <w:rPr>
          <w:rFonts w:ascii="Arial MT" w:hAnsi="Arial MT" w:cs="Arial"/>
          <w:sz w:val="20"/>
          <w:szCs w:val="20"/>
        </w:rPr>
        <w:t xml:space="preserve">Uttarakhand, in spite of being a small state, has certain key features that make it distinct from other states of the country and highlights its potential for development. All the hill districts have subsistence farming as their main economic activity. Due to subsistence livelihood, migration and a </w:t>
      </w:r>
      <w:r w:rsidR="00215419" w:rsidRPr="003F1806">
        <w:rPr>
          <w:rFonts w:ascii="Arial MT" w:hAnsi="Arial MT" w:cs="Arial"/>
          <w:sz w:val="20"/>
          <w:szCs w:val="20"/>
        </w:rPr>
        <w:t>remittance-based</w:t>
      </w:r>
      <w:r w:rsidRPr="003F1806">
        <w:rPr>
          <w:rFonts w:ascii="Arial MT" w:hAnsi="Arial MT" w:cs="Arial"/>
          <w:sz w:val="20"/>
          <w:szCs w:val="20"/>
        </w:rPr>
        <w:t xml:space="preserve"> economy operate in the hill districts. They are land-locked with huge distance between the markets and resources. Because of these constraints, traditional agriculture cannot be the lead sector for development. </w:t>
      </w:r>
      <w:r w:rsidR="00215419" w:rsidRPr="003F1806">
        <w:rPr>
          <w:rFonts w:ascii="Arial MT" w:hAnsi="Arial MT" w:cs="Arial"/>
          <w:sz w:val="20"/>
          <w:szCs w:val="20"/>
        </w:rPr>
        <w:t>Thus,</w:t>
      </w:r>
      <w:r w:rsidRPr="003F1806">
        <w:rPr>
          <w:rFonts w:ascii="Arial MT" w:hAnsi="Arial MT" w:cs="Arial"/>
          <w:sz w:val="20"/>
          <w:szCs w:val="20"/>
        </w:rPr>
        <w:t xml:space="preserve"> the state faces the challenge of promoting livelihoods to minimize migration through local employment and income generation, and to enhance the quality of life of people living in villages. The positive features of these hill districts are that they have enormous potential for tourism, a suitable climate for high-value agriculture, and a pleasant environment due to 60 percent forest cover. These have to be harnessed for a development strategy (Mittal </w:t>
      </w:r>
      <w:r w:rsidRPr="003F1806">
        <w:rPr>
          <w:rFonts w:ascii="Arial MT" w:hAnsi="Arial MT" w:cs="Arial"/>
          <w:i/>
          <w:sz w:val="20"/>
          <w:szCs w:val="20"/>
        </w:rPr>
        <w:t>et al.</w:t>
      </w:r>
      <w:r w:rsidRPr="003F1806">
        <w:rPr>
          <w:rFonts w:ascii="Arial MT" w:hAnsi="Arial MT" w:cs="Arial"/>
          <w:sz w:val="20"/>
          <w:szCs w:val="20"/>
        </w:rPr>
        <w:t>, 2008).</w:t>
      </w:r>
    </w:p>
    <w:p w14:paraId="50763D39" w14:textId="526628BF" w:rsidR="0096358B" w:rsidRPr="003F1806" w:rsidRDefault="0096358B" w:rsidP="00B42A32">
      <w:pPr>
        <w:spacing w:after="0"/>
        <w:jc w:val="both"/>
        <w:rPr>
          <w:rFonts w:ascii="Arial MT" w:hAnsi="Arial MT" w:cs="Arial"/>
          <w:sz w:val="20"/>
          <w:szCs w:val="20"/>
        </w:rPr>
      </w:pPr>
      <w:r w:rsidRPr="003F1806">
        <w:rPr>
          <w:rFonts w:ascii="Arial MT" w:hAnsi="Arial MT" w:cs="Arial"/>
          <w:sz w:val="20"/>
          <w:szCs w:val="20"/>
        </w:rPr>
        <w:t>Many studies have focused on the analysis of livelihood strategies adopted by the rural people (</w:t>
      </w:r>
      <w:proofErr w:type="spellStart"/>
      <w:r w:rsidRPr="003F1806">
        <w:rPr>
          <w:rFonts w:ascii="Arial MT" w:hAnsi="Arial MT" w:cs="Arial"/>
          <w:sz w:val="20"/>
          <w:szCs w:val="20"/>
        </w:rPr>
        <w:t>Thennakoon</w:t>
      </w:r>
      <w:proofErr w:type="spellEnd"/>
      <w:r w:rsidRPr="003F1806">
        <w:rPr>
          <w:rFonts w:ascii="Arial MT" w:hAnsi="Arial MT" w:cs="Arial"/>
          <w:sz w:val="20"/>
          <w:szCs w:val="20"/>
        </w:rPr>
        <w:t xml:space="preserve">, 2004; Shah </w:t>
      </w:r>
      <w:r w:rsidRPr="003F1806">
        <w:rPr>
          <w:rFonts w:ascii="Arial MT" w:hAnsi="Arial MT" w:cs="Arial"/>
          <w:i/>
          <w:sz w:val="20"/>
          <w:szCs w:val="20"/>
        </w:rPr>
        <w:t>et al</w:t>
      </w:r>
      <w:r w:rsidRPr="003F1806">
        <w:rPr>
          <w:rFonts w:ascii="Arial MT" w:hAnsi="Arial MT" w:cs="Arial"/>
          <w:sz w:val="20"/>
          <w:szCs w:val="20"/>
        </w:rPr>
        <w:t xml:space="preserve">., 2005; Adi, 2007 and Babulo </w:t>
      </w:r>
      <w:r w:rsidRPr="003F1806">
        <w:rPr>
          <w:rFonts w:ascii="Arial MT" w:hAnsi="Arial MT" w:cs="Arial"/>
          <w:i/>
          <w:sz w:val="20"/>
          <w:szCs w:val="20"/>
        </w:rPr>
        <w:t>et al</w:t>
      </w:r>
      <w:r w:rsidRPr="003F1806">
        <w:rPr>
          <w:rFonts w:ascii="Arial MT" w:hAnsi="Arial MT" w:cs="Arial"/>
          <w:sz w:val="20"/>
          <w:szCs w:val="20"/>
        </w:rPr>
        <w:t xml:space="preserve">., 2008). Livelihood strategies </w:t>
      </w:r>
      <w:r w:rsidR="00215419" w:rsidRPr="003F1806">
        <w:rPr>
          <w:rFonts w:ascii="Arial MT" w:hAnsi="Arial MT" w:cs="Arial"/>
          <w:sz w:val="20"/>
          <w:szCs w:val="20"/>
        </w:rPr>
        <w:t>denote</w:t>
      </w:r>
      <w:r w:rsidRPr="003F1806">
        <w:rPr>
          <w:rFonts w:ascii="Arial MT" w:hAnsi="Arial MT" w:cs="Arial"/>
          <w:sz w:val="20"/>
          <w:szCs w:val="20"/>
        </w:rPr>
        <w:t xml:space="preserve"> the range and combination of activities and choices that people make and undertake – ways of combining and using assets in order to achieve their livelihood goals.</w:t>
      </w:r>
      <w:r w:rsidR="007E7303">
        <w:rPr>
          <w:rFonts w:ascii="Arial MT" w:hAnsi="Arial MT" w:cs="Arial"/>
          <w:sz w:val="20"/>
          <w:szCs w:val="20"/>
        </w:rPr>
        <w:t xml:space="preserve"> </w:t>
      </w:r>
      <w:r w:rsidRPr="003F1806">
        <w:rPr>
          <w:rFonts w:ascii="Arial MT" w:hAnsi="Arial MT" w:cs="Arial"/>
          <w:sz w:val="20"/>
          <w:szCs w:val="20"/>
        </w:rPr>
        <w:t xml:space="preserve">The concept of ‘sustainable livelihoods’ is increasingly important in the development debate. Sustainable livelihoods are achieved through access to a range of livelihood resources which are combined in the pursuit of different livelihood strategies (agricultural intensification or extensification, livelihood diversification and migration). Central to the framework is the analysis of the range of formal and informal organizational and institutional factors that influence sustainable livelihood outcomes (Scoones, 2005). The concept of sustainable livelihood approach was first introduced by Brundtland Commission on Environment and Development in 1987 and later expanded at United Nations Conference on Environment and Development in 1992 (IISD, 2013). As a concept, sustainable livelihoods approach is held to provide a more rounded picture of the complexities of living and surviving in poor communities than understandings based on measures of income, consumption and employment (Brocklesby and Fisher, 2003). A livelihood comprises the capabilities, assets and activities required for a means of living and it is sustainable when it can cope with and recover from stresses and shocks, maintain or enhance its capabilities and assets, while not undermining the natural resource base (Chambers and Conway, 1992; Scoones, 1998). Vulnerability of rural households to shocks affects their livelihood assets and options (Kalaba </w:t>
      </w:r>
      <w:r w:rsidRPr="003F1806">
        <w:rPr>
          <w:rFonts w:ascii="Arial MT" w:hAnsi="Arial MT" w:cs="Arial"/>
          <w:i/>
          <w:sz w:val="20"/>
          <w:szCs w:val="20"/>
        </w:rPr>
        <w:t>et al.</w:t>
      </w:r>
      <w:r w:rsidRPr="003F1806">
        <w:rPr>
          <w:rFonts w:ascii="Arial MT" w:hAnsi="Arial MT" w:cs="Arial"/>
          <w:sz w:val="20"/>
          <w:szCs w:val="20"/>
        </w:rPr>
        <w:t xml:space="preserve">, 2012). The shocks of poor households </w:t>
      </w:r>
      <w:proofErr w:type="gramStart"/>
      <w:r w:rsidRPr="003F1806">
        <w:rPr>
          <w:rFonts w:ascii="Arial MT" w:hAnsi="Arial MT" w:cs="Arial"/>
          <w:sz w:val="20"/>
          <w:szCs w:val="20"/>
        </w:rPr>
        <w:t>is</w:t>
      </w:r>
      <w:proofErr w:type="gramEnd"/>
      <w:r w:rsidRPr="003F1806">
        <w:rPr>
          <w:rFonts w:ascii="Arial MT" w:hAnsi="Arial MT" w:cs="Arial"/>
          <w:sz w:val="20"/>
          <w:szCs w:val="20"/>
        </w:rPr>
        <w:t xml:space="preserve"> being addressed by devising mechanisms such as selling productive assets, temporarily reducing consumption, or searching for off-farm employment to buffer their consequences (</w:t>
      </w:r>
      <w:proofErr w:type="spellStart"/>
      <w:r w:rsidRPr="003F1806">
        <w:rPr>
          <w:rFonts w:ascii="Arial MT" w:hAnsi="Arial MT" w:cs="Arial"/>
          <w:sz w:val="20"/>
          <w:szCs w:val="20"/>
        </w:rPr>
        <w:t>Dercon</w:t>
      </w:r>
      <w:proofErr w:type="spellEnd"/>
      <w:r w:rsidRPr="003F1806">
        <w:rPr>
          <w:rFonts w:ascii="Arial MT" w:hAnsi="Arial MT" w:cs="Arial"/>
          <w:sz w:val="20"/>
          <w:szCs w:val="20"/>
        </w:rPr>
        <w:t xml:space="preserve">, 2002). The adverse effect of shocks is generally more severe for the poor who are less insured against shocks and therefore are more likely to reduce consumption than their wealthier counterparts (Jalan and </w:t>
      </w:r>
      <w:proofErr w:type="spellStart"/>
      <w:r w:rsidRPr="003F1806">
        <w:rPr>
          <w:rFonts w:ascii="Arial MT" w:hAnsi="Arial MT" w:cs="Arial"/>
          <w:sz w:val="20"/>
          <w:szCs w:val="20"/>
        </w:rPr>
        <w:t>Ravallion</w:t>
      </w:r>
      <w:proofErr w:type="spellEnd"/>
      <w:r w:rsidRPr="003F1806">
        <w:rPr>
          <w:rFonts w:ascii="Arial MT" w:hAnsi="Arial MT" w:cs="Arial"/>
          <w:sz w:val="20"/>
          <w:szCs w:val="20"/>
        </w:rPr>
        <w:t>, 1999).</w:t>
      </w:r>
    </w:p>
    <w:p w14:paraId="0133E1C0" w14:textId="77777777" w:rsidR="00CF1D43" w:rsidRDefault="00D21312" w:rsidP="00B42A32">
      <w:pPr>
        <w:jc w:val="both"/>
        <w:rPr>
          <w:rFonts w:ascii="Arial MT" w:hAnsi="Arial MT" w:cs="Arial"/>
          <w:sz w:val="20"/>
          <w:szCs w:val="20"/>
        </w:rPr>
      </w:pPr>
      <w:r w:rsidRPr="003F1806">
        <w:rPr>
          <w:rFonts w:ascii="Arial MT" w:hAnsi="Arial MT" w:cs="Arial"/>
          <w:b/>
          <w:noProof/>
          <w:sz w:val="20"/>
          <w:szCs w:val="20"/>
        </w:rPr>
        <w:lastRenderedPageBreak/>
        <w:drawing>
          <wp:anchor distT="0" distB="0" distL="114300" distR="114300" simplePos="0" relativeHeight="251658240" behindDoc="0" locked="0" layoutInCell="1" allowOverlap="1" wp14:anchorId="44122710" wp14:editId="24C034A4">
            <wp:simplePos x="0" y="0"/>
            <wp:positionH relativeFrom="column">
              <wp:posOffset>-9525</wp:posOffset>
            </wp:positionH>
            <wp:positionV relativeFrom="paragraph">
              <wp:posOffset>857885</wp:posOffset>
            </wp:positionV>
            <wp:extent cx="3200400" cy="2571750"/>
            <wp:effectExtent l="19050" t="19050" r="0" b="0"/>
            <wp:wrapThrough wrapText="bothSides">
              <wp:wrapPolygon edited="0">
                <wp:start x="-129" y="-160"/>
                <wp:lineTo x="-129" y="21600"/>
                <wp:lineTo x="21600" y="21600"/>
                <wp:lineTo x="21600" y="-160"/>
                <wp:lineTo x="-129" y="-16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91" t="8267" r="30395"/>
                    <a:stretch>
                      <a:fillRect/>
                    </a:stretch>
                  </pic:blipFill>
                  <pic:spPr bwMode="auto">
                    <a:xfrm>
                      <a:off x="0" y="0"/>
                      <a:ext cx="3200400" cy="257175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96358B" w:rsidRPr="003F1806">
        <w:rPr>
          <w:rFonts w:ascii="Arial MT" w:hAnsi="Arial MT" w:cs="Arial"/>
          <w:sz w:val="20"/>
          <w:szCs w:val="20"/>
        </w:rPr>
        <w:t xml:space="preserve">Low and declining farm productivity on one hand, and growing opportunities for employment in other part of country on the other, is encouraging more and more people to migrate to jobs outside of hill districts. Between one third and one half of households send migrants and, as it is mainly men who migrate, </w:t>
      </w:r>
    </w:p>
    <w:p w14:paraId="714EB547" w14:textId="5A574B60" w:rsidR="00CF1D43" w:rsidRDefault="00CF1D43" w:rsidP="00B42A32">
      <w:pPr>
        <w:jc w:val="both"/>
        <w:rPr>
          <w:rFonts w:ascii="Arial MT" w:hAnsi="Arial MT" w:cs="Arial"/>
          <w:sz w:val="20"/>
          <w:szCs w:val="20"/>
        </w:rPr>
      </w:pPr>
      <w:r>
        <w:rPr>
          <w:rFonts w:ascii="Arial MT" w:hAnsi="Arial MT" w:cs="Arial"/>
          <w:sz w:val="20"/>
          <w:szCs w:val="20"/>
        </w:rPr>
        <w:t xml:space="preserve">Map </w:t>
      </w:r>
      <w:proofErr w:type="gramStart"/>
      <w:r>
        <w:rPr>
          <w:rFonts w:ascii="Arial MT" w:hAnsi="Arial MT" w:cs="Arial"/>
          <w:sz w:val="20"/>
          <w:szCs w:val="20"/>
        </w:rPr>
        <w:t>1 :</w:t>
      </w:r>
      <w:proofErr w:type="gramEnd"/>
      <w:r>
        <w:rPr>
          <w:rFonts w:ascii="Arial MT" w:hAnsi="Arial MT" w:cs="Arial"/>
          <w:sz w:val="20"/>
          <w:szCs w:val="20"/>
        </w:rPr>
        <w:t xml:space="preserve"> </w:t>
      </w:r>
      <w:r w:rsidRPr="00CF1D43">
        <w:rPr>
          <w:rFonts w:ascii="Arial MT" w:hAnsi="Arial MT" w:cs="Arial"/>
          <w:sz w:val="20"/>
          <w:szCs w:val="20"/>
        </w:rPr>
        <w:t>Study Area</w:t>
      </w:r>
    </w:p>
    <w:p w14:paraId="63178BF9" w14:textId="634536A8" w:rsidR="0096358B" w:rsidRPr="003F1806" w:rsidRDefault="0096358B" w:rsidP="00B42A32">
      <w:pPr>
        <w:jc w:val="both"/>
        <w:rPr>
          <w:rFonts w:ascii="Arial MT" w:hAnsi="Arial MT" w:cs="Arial"/>
          <w:sz w:val="20"/>
          <w:szCs w:val="20"/>
        </w:rPr>
      </w:pPr>
      <w:r w:rsidRPr="003F1806">
        <w:rPr>
          <w:rFonts w:ascii="Arial MT" w:hAnsi="Arial MT" w:cs="Arial"/>
          <w:sz w:val="20"/>
          <w:szCs w:val="20"/>
        </w:rPr>
        <w:t xml:space="preserve">this places more and more of the burden of farm labour, as well as domestic work on women. Lack of labour, low productivity and wild animal damage are all contributing to land being abandoned, and it is said that as much as 30% of land in the hills that was once used to grow crops is no longer in production (ILSP, 2011). </w:t>
      </w:r>
      <w:r w:rsidR="00B00811" w:rsidRPr="003F1806">
        <w:rPr>
          <w:rFonts w:ascii="Arial MT" w:hAnsi="Arial MT" w:cs="Arial"/>
          <w:sz w:val="20"/>
          <w:szCs w:val="20"/>
        </w:rPr>
        <w:t>This study analyzes the livelihood strategy planning within the districts and implications for poverty reduction.</w:t>
      </w:r>
    </w:p>
    <w:p w14:paraId="1961A840" w14:textId="31BA189C" w:rsidR="00302E71" w:rsidRPr="003F1806" w:rsidRDefault="00302E71" w:rsidP="00B42A32">
      <w:pPr>
        <w:spacing w:after="0"/>
        <w:rPr>
          <w:rFonts w:ascii="Arial MT" w:hAnsi="Arial MT" w:cs="Arial"/>
          <w:sz w:val="20"/>
          <w:szCs w:val="20"/>
        </w:rPr>
      </w:pPr>
      <w:r w:rsidRPr="003F1806">
        <w:rPr>
          <w:rFonts w:ascii="Arial MT" w:hAnsi="Arial MT" w:cs="Arial"/>
          <w:b/>
          <w:sz w:val="20"/>
          <w:szCs w:val="20"/>
        </w:rPr>
        <w:t>Study Area</w:t>
      </w:r>
    </w:p>
    <w:p w14:paraId="52805C17" w14:textId="5570F5D8" w:rsidR="00302E71" w:rsidRPr="003F1806" w:rsidRDefault="00302E71" w:rsidP="00B42A32">
      <w:pPr>
        <w:spacing w:after="0"/>
        <w:jc w:val="both"/>
        <w:rPr>
          <w:rFonts w:ascii="Arial MT" w:hAnsi="Arial MT" w:cs="Arial"/>
          <w:bCs/>
          <w:sz w:val="20"/>
          <w:szCs w:val="20"/>
        </w:rPr>
      </w:pPr>
      <w:r w:rsidRPr="003F1806">
        <w:rPr>
          <w:rFonts w:ascii="Arial MT" w:hAnsi="Arial MT" w:cs="Arial"/>
          <w:bCs/>
          <w:sz w:val="20"/>
          <w:szCs w:val="20"/>
        </w:rPr>
        <w:t xml:space="preserve">The present study focuses on </w:t>
      </w:r>
      <w:r w:rsidR="00352631" w:rsidRPr="003F1806">
        <w:rPr>
          <w:rFonts w:ascii="Arial MT" w:hAnsi="Arial MT" w:cs="Arial"/>
          <w:bCs/>
          <w:sz w:val="20"/>
          <w:szCs w:val="20"/>
        </w:rPr>
        <w:t>Rudra Prayag</w:t>
      </w:r>
      <w:r w:rsidRPr="003F1806">
        <w:rPr>
          <w:rFonts w:ascii="Arial MT" w:hAnsi="Arial MT" w:cs="Arial"/>
          <w:bCs/>
          <w:sz w:val="20"/>
          <w:szCs w:val="20"/>
        </w:rPr>
        <w:t xml:space="preserve"> district of Uttarakhand that falls in Lesser and Higher Himalayan terrain. </w:t>
      </w:r>
      <w:r w:rsidRPr="003F1806">
        <w:rPr>
          <w:rFonts w:ascii="Arial MT" w:hAnsi="Arial MT" w:cs="Arial"/>
          <w:sz w:val="20"/>
          <w:szCs w:val="20"/>
        </w:rPr>
        <w:t xml:space="preserve">The study area is situated in the north western part of the Garhwal Himalaya. </w:t>
      </w:r>
      <w:r w:rsidRPr="003F1806">
        <w:rPr>
          <w:rFonts w:ascii="Arial MT" w:hAnsi="Arial MT" w:cs="Arial"/>
          <w:bCs/>
          <w:sz w:val="20"/>
          <w:szCs w:val="20"/>
        </w:rPr>
        <w:t xml:space="preserve">Administrative boundaries of the district are delimited by </w:t>
      </w:r>
      <w:r w:rsidRPr="003F1806">
        <w:rPr>
          <w:rFonts w:ascii="Arial MT" w:hAnsi="Arial MT" w:cs="Arial"/>
          <w:sz w:val="20"/>
          <w:szCs w:val="20"/>
        </w:rPr>
        <w:t>30</w:t>
      </w:r>
      <w:r w:rsidRPr="003F1806">
        <w:rPr>
          <w:rFonts w:ascii="Arial MT" w:hAnsi="Arial MT" w:cs="Arial"/>
          <w:sz w:val="20"/>
          <w:szCs w:val="20"/>
          <w:vertAlign w:val="superscript"/>
        </w:rPr>
        <w:t>0</w:t>
      </w:r>
      <w:r w:rsidRPr="003F1806">
        <w:rPr>
          <w:rFonts w:ascii="Arial MT" w:hAnsi="Arial MT" w:cs="Arial"/>
          <w:sz w:val="20"/>
          <w:szCs w:val="20"/>
        </w:rPr>
        <w:t>19' to 30</w:t>
      </w:r>
      <w:r w:rsidRPr="003F1806">
        <w:rPr>
          <w:rFonts w:ascii="Arial MT" w:hAnsi="Arial MT" w:cs="Arial"/>
          <w:sz w:val="20"/>
          <w:szCs w:val="20"/>
          <w:vertAlign w:val="superscript"/>
        </w:rPr>
        <w:t>0</w:t>
      </w:r>
      <w:r w:rsidRPr="003F1806">
        <w:rPr>
          <w:rFonts w:ascii="Arial MT" w:hAnsi="Arial MT" w:cs="Arial"/>
          <w:sz w:val="20"/>
          <w:szCs w:val="20"/>
        </w:rPr>
        <w:t xml:space="preserve">49' </w:t>
      </w:r>
      <w:r w:rsidRPr="003F1806">
        <w:rPr>
          <w:rFonts w:ascii="Arial MT" w:hAnsi="Arial MT" w:cs="Arial"/>
          <w:bCs/>
          <w:sz w:val="20"/>
          <w:szCs w:val="20"/>
        </w:rPr>
        <w:t>N latitudes</w:t>
      </w:r>
      <w:r w:rsidRPr="003F1806">
        <w:rPr>
          <w:rFonts w:ascii="Arial MT" w:hAnsi="Arial MT" w:cs="Arial"/>
          <w:sz w:val="20"/>
          <w:szCs w:val="20"/>
        </w:rPr>
        <w:t xml:space="preserve"> and 78</w:t>
      </w:r>
      <w:r w:rsidRPr="003F1806">
        <w:rPr>
          <w:rFonts w:ascii="Arial MT" w:hAnsi="Arial MT" w:cs="Arial"/>
          <w:sz w:val="20"/>
          <w:szCs w:val="20"/>
          <w:vertAlign w:val="superscript"/>
        </w:rPr>
        <w:t>0</w:t>
      </w:r>
      <w:r w:rsidRPr="003F1806">
        <w:rPr>
          <w:rFonts w:ascii="Arial MT" w:hAnsi="Arial MT" w:cs="Arial"/>
          <w:sz w:val="20"/>
          <w:szCs w:val="20"/>
        </w:rPr>
        <w:t>49' to 79</w:t>
      </w:r>
      <w:r w:rsidRPr="003F1806">
        <w:rPr>
          <w:rFonts w:ascii="Arial MT" w:hAnsi="Arial MT" w:cs="Arial"/>
          <w:sz w:val="20"/>
          <w:szCs w:val="20"/>
          <w:vertAlign w:val="superscript"/>
        </w:rPr>
        <w:t>0</w:t>
      </w:r>
      <w:r w:rsidRPr="003F1806">
        <w:rPr>
          <w:rFonts w:ascii="Arial MT" w:hAnsi="Arial MT" w:cs="Arial"/>
          <w:sz w:val="20"/>
          <w:szCs w:val="20"/>
        </w:rPr>
        <w:t>21' E</w:t>
      </w:r>
      <w:r w:rsidRPr="003F1806">
        <w:rPr>
          <w:rFonts w:ascii="Arial MT" w:hAnsi="Arial MT" w:cs="Arial"/>
          <w:bCs/>
          <w:sz w:val="20"/>
          <w:szCs w:val="20"/>
        </w:rPr>
        <w:t xml:space="preserve"> longitudes. </w:t>
      </w:r>
      <w:r w:rsidRPr="003F1806">
        <w:rPr>
          <w:rFonts w:ascii="Arial MT" w:hAnsi="Arial MT" w:cs="Arial"/>
          <w:sz w:val="20"/>
          <w:szCs w:val="20"/>
        </w:rPr>
        <w:t xml:space="preserve">The district has four tehsils (Ukhimath, Jakholi, </w:t>
      </w:r>
      <w:r w:rsidR="00352631" w:rsidRPr="003F1806">
        <w:rPr>
          <w:rFonts w:ascii="Arial MT" w:hAnsi="Arial MT" w:cs="Arial"/>
          <w:sz w:val="20"/>
          <w:szCs w:val="20"/>
        </w:rPr>
        <w:t>Rudra Prayag</w:t>
      </w:r>
      <w:r w:rsidRPr="003F1806">
        <w:rPr>
          <w:rFonts w:ascii="Arial MT" w:hAnsi="Arial MT" w:cs="Arial"/>
          <w:sz w:val="20"/>
          <w:szCs w:val="20"/>
        </w:rPr>
        <w:t xml:space="preserve"> and </w:t>
      </w:r>
      <w:r w:rsidR="00352631" w:rsidRPr="003F1806">
        <w:rPr>
          <w:rFonts w:ascii="Arial MT" w:hAnsi="Arial MT" w:cs="Arial"/>
          <w:sz w:val="20"/>
          <w:szCs w:val="20"/>
        </w:rPr>
        <w:t>Basu Kedar</w:t>
      </w:r>
      <w:r w:rsidRPr="003F1806">
        <w:rPr>
          <w:rFonts w:ascii="Arial MT" w:hAnsi="Arial MT" w:cs="Arial"/>
          <w:sz w:val="20"/>
          <w:szCs w:val="20"/>
        </w:rPr>
        <w:t xml:space="preserve"> (newly formed)) and has three development blocks viz. </w:t>
      </w:r>
      <w:r w:rsidR="00352631" w:rsidRPr="003F1806">
        <w:rPr>
          <w:rFonts w:ascii="Arial MT" w:hAnsi="Arial MT" w:cs="Arial"/>
          <w:sz w:val="20"/>
          <w:szCs w:val="20"/>
        </w:rPr>
        <w:t>Agastya Muni</w:t>
      </w:r>
      <w:r w:rsidRPr="003F1806">
        <w:rPr>
          <w:rFonts w:ascii="Arial MT" w:hAnsi="Arial MT" w:cs="Arial"/>
          <w:sz w:val="20"/>
          <w:szCs w:val="20"/>
        </w:rPr>
        <w:t>, Jakholi and Ukhimath</w:t>
      </w:r>
      <w:r w:rsidRPr="003F1806">
        <w:rPr>
          <w:rFonts w:ascii="Arial MT" w:hAnsi="Arial MT" w:cs="Arial"/>
          <w:bCs/>
          <w:sz w:val="20"/>
          <w:szCs w:val="20"/>
        </w:rPr>
        <w:t xml:space="preserve"> and there are 688 villages in the district out of which 35 are uninhabited (Census of India, 2011).</w:t>
      </w:r>
      <w:r w:rsidRPr="003F1806">
        <w:rPr>
          <w:rFonts w:ascii="Arial MT" w:hAnsi="Arial MT" w:cs="Arial"/>
          <w:sz w:val="20"/>
          <w:szCs w:val="20"/>
        </w:rPr>
        <w:t xml:space="preserve"> </w:t>
      </w:r>
    </w:p>
    <w:p w14:paraId="2159CB14" w14:textId="6968FAEF" w:rsidR="00302E71" w:rsidRPr="003F1806" w:rsidRDefault="005251DB" w:rsidP="00B42A32">
      <w:pPr>
        <w:spacing w:before="240" w:after="0"/>
        <w:rPr>
          <w:rFonts w:ascii="Arial MT" w:hAnsi="Arial MT" w:cs="Arial"/>
          <w:b/>
          <w:bCs/>
          <w:sz w:val="20"/>
          <w:szCs w:val="20"/>
        </w:rPr>
      </w:pPr>
      <w:r>
        <w:rPr>
          <w:rFonts w:ascii="Arial MT" w:hAnsi="Arial MT" w:cs="Arial"/>
          <w:b/>
          <w:bCs/>
          <w:sz w:val="20"/>
          <w:szCs w:val="20"/>
        </w:rPr>
        <w:t xml:space="preserve">2. </w:t>
      </w:r>
      <w:r w:rsidR="00302E71" w:rsidRPr="003F1806">
        <w:rPr>
          <w:rFonts w:ascii="Arial MT" w:hAnsi="Arial MT" w:cs="Arial"/>
          <w:b/>
          <w:bCs/>
          <w:sz w:val="20"/>
          <w:szCs w:val="20"/>
        </w:rPr>
        <w:t>Material and Methods</w:t>
      </w:r>
    </w:p>
    <w:p w14:paraId="0E6B2891" w14:textId="686AF3D0" w:rsidR="00A03C36" w:rsidRDefault="00302E71" w:rsidP="00B42A32">
      <w:pPr>
        <w:spacing w:after="0"/>
        <w:jc w:val="both"/>
        <w:rPr>
          <w:rFonts w:ascii="Arial MT" w:hAnsi="Arial MT" w:cs="Arial"/>
          <w:b/>
          <w:sz w:val="20"/>
          <w:szCs w:val="20"/>
        </w:rPr>
      </w:pPr>
      <w:r w:rsidRPr="003F1806">
        <w:rPr>
          <w:rFonts w:ascii="Arial MT" w:hAnsi="Arial MT" w:cs="Arial"/>
          <w:bCs/>
          <w:sz w:val="20"/>
          <w:szCs w:val="20"/>
        </w:rPr>
        <w:t xml:space="preserve">The present study was carried out in </w:t>
      </w:r>
      <w:r w:rsidR="00352631" w:rsidRPr="003F1806">
        <w:rPr>
          <w:rFonts w:ascii="Arial MT" w:hAnsi="Arial MT" w:cs="Arial"/>
          <w:bCs/>
          <w:sz w:val="20"/>
          <w:szCs w:val="20"/>
        </w:rPr>
        <w:t>Rudra Prayag</w:t>
      </w:r>
      <w:r w:rsidRPr="003F1806">
        <w:rPr>
          <w:rFonts w:ascii="Arial MT" w:hAnsi="Arial MT" w:cs="Arial"/>
          <w:bCs/>
          <w:sz w:val="20"/>
          <w:szCs w:val="20"/>
        </w:rPr>
        <w:t xml:space="preserve"> district of Garhwal Himalayan region.</w:t>
      </w:r>
      <w:r w:rsidRPr="003F1806">
        <w:rPr>
          <w:rFonts w:ascii="Arial MT" w:hAnsi="Arial MT" w:cs="Arial"/>
          <w:sz w:val="20"/>
          <w:szCs w:val="20"/>
        </w:rPr>
        <w:t xml:space="preserve"> This study was intended to address the household level livelihood strategies and adoption pattern of different </w:t>
      </w:r>
      <w:r w:rsidR="00215419" w:rsidRPr="003F1806">
        <w:rPr>
          <w:rFonts w:ascii="Arial MT" w:hAnsi="Arial MT" w:cs="Arial"/>
          <w:sz w:val="20"/>
          <w:szCs w:val="20"/>
        </w:rPr>
        <w:t>agriculture-based</w:t>
      </w:r>
      <w:r w:rsidRPr="003F1806">
        <w:rPr>
          <w:rFonts w:ascii="Arial MT" w:hAnsi="Arial MT" w:cs="Arial"/>
          <w:sz w:val="20"/>
          <w:szCs w:val="20"/>
        </w:rPr>
        <w:t xml:space="preserve"> technologies/innovations. This study is based on primary data and analysis of these </w:t>
      </w:r>
      <w:r w:rsidR="00215419" w:rsidRPr="003F1806">
        <w:rPr>
          <w:rFonts w:ascii="Arial MT" w:hAnsi="Arial MT" w:cs="Arial"/>
          <w:sz w:val="20"/>
          <w:szCs w:val="20"/>
        </w:rPr>
        <w:t>data</w:t>
      </w:r>
      <w:r w:rsidRPr="003F1806">
        <w:rPr>
          <w:rFonts w:ascii="Arial MT" w:hAnsi="Arial MT" w:cs="Arial"/>
          <w:sz w:val="20"/>
          <w:szCs w:val="20"/>
        </w:rPr>
        <w:t>.</w:t>
      </w:r>
      <w:r w:rsidR="00352631">
        <w:rPr>
          <w:rFonts w:ascii="Arial MT" w:hAnsi="Arial MT" w:cs="Arial"/>
          <w:sz w:val="20"/>
          <w:szCs w:val="20"/>
        </w:rPr>
        <w:t xml:space="preserve"> </w:t>
      </w:r>
      <w:r w:rsidRPr="003F1806">
        <w:rPr>
          <w:rFonts w:ascii="Arial MT" w:hAnsi="Arial MT" w:cs="Arial"/>
          <w:sz w:val="20"/>
          <w:szCs w:val="20"/>
        </w:rPr>
        <w:t xml:space="preserve">For the collection of primary </w:t>
      </w:r>
      <w:r w:rsidR="00215419" w:rsidRPr="003F1806">
        <w:rPr>
          <w:rFonts w:ascii="Arial MT" w:hAnsi="Arial MT" w:cs="Arial"/>
          <w:sz w:val="20"/>
          <w:szCs w:val="20"/>
        </w:rPr>
        <w:t>data,</w:t>
      </w:r>
      <w:r w:rsidRPr="003F1806">
        <w:rPr>
          <w:rFonts w:ascii="Arial MT" w:hAnsi="Arial MT" w:cs="Arial"/>
          <w:sz w:val="20"/>
          <w:szCs w:val="20"/>
        </w:rPr>
        <w:t xml:space="preserve"> a </w:t>
      </w:r>
      <w:r w:rsidRPr="003F1806">
        <w:rPr>
          <w:rFonts w:ascii="Arial MT" w:hAnsi="Arial MT" w:cs="Arial"/>
          <w:bCs/>
          <w:sz w:val="20"/>
          <w:szCs w:val="20"/>
        </w:rPr>
        <w:t>Multistage</w:t>
      </w:r>
      <w:r w:rsidRPr="003F1806">
        <w:rPr>
          <w:rFonts w:ascii="Arial MT" w:hAnsi="Arial MT" w:cs="Arial"/>
          <w:sz w:val="20"/>
          <w:szCs w:val="20"/>
        </w:rPr>
        <w:t xml:space="preserve"> random sampling method was used and a complete inventory made at household </w:t>
      </w:r>
      <w:r w:rsidRPr="003F1806">
        <w:rPr>
          <w:rFonts w:ascii="Arial MT" w:hAnsi="Arial MT" w:cs="Arial"/>
          <w:sz w:val="20"/>
          <w:szCs w:val="20"/>
        </w:rPr>
        <w:t xml:space="preserve">level for each selected villages with the help of semi-structured questionnaires and personal interviews with local mature and knowledgeable persons. 64 villages were randomly selected from all the three blocks of district </w:t>
      </w:r>
      <w:r w:rsidR="00352631" w:rsidRPr="003F1806">
        <w:rPr>
          <w:rFonts w:ascii="Arial MT" w:hAnsi="Arial MT" w:cs="Arial"/>
          <w:sz w:val="20"/>
          <w:szCs w:val="20"/>
        </w:rPr>
        <w:t>Rudra Prayag</w:t>
      </w:r>
      <w:r w:rsidRPr="003F1806">
        <w:rPr>
          <w:rFonts w:ascii="Arial MT" w:hAnsi="Arial MT" w:cs="Arial"/>
          <w:sz w:val="20"/>
          <w:szCs w:val="20"/>
        </w:rPr>
        <w:t xml:space="preserve"> for collection of primary data</w:t>
      </w:r>
      <w:r w:rsidR="005962B0" w:rsidRPr="003F1806">
        <w:rPr>
          <w:rFonts w:ascii="Arial MT" w:hAnsi="Arial MT" w:cs="Arial"/>
          <w:sz w:val="20"/>
          <w:szCs w:val="20"/>
        </w:rPr>
        <w:t xml:space="preserve"> (Table 1)</w:t>
      </w:r>
      <w:r w:rsidRPr="003F1806">
        <w:rPr>
          <w:rFonts w:ascii="Arial MT" w:hAnsi="Arial MT" w:cs="Arial"/>
          <w:sz w:val="20"/>
          <w:szCs w:val="20"/>
        </w:rPr>
        <w:t xml:space="preserve">. Primary data were collected from 604 </w:t>
      </w:r>
      <w:r w:rsidRPr="003F1806">
        <w:rPr>
          <w:rFonts w:ascii="Arial MT" w:hAnsi="Arial MT" w:cs="Arial"/>
          <w:bCs/>
          <w:sz w:val="20"/>
          <w:szCs w:val="20"/>
        </w:rPr>
        <w:t xml:space="preserve">randomly selected households in between August 2014 and June 2016. Data collection on basic household's attributes such as gender of household head and income, various technologies and government services used by farmers were gathered. All the respondent participated for this study were read about the purpose of the interview verbally and prior oral consent was obtained. The data were </w:t>
      </w:r>
      <w:r w:rsidR="00215419" w:rsidRPr="003F1806">
        <w:rPr>
          <w:rFonts w:ascii="Arial MT" w:hAnsi="Arial MT" w:cs="Arial"/>
          <w:bCs/>
          <w:sz w:val="20"/>
          <w:szCs w:val="20"/>
        </w:rPr>
        <w:t>analyzed</w:t>
      </w:r>
      <w:r w:rsidRPr="003F1806">
        <w:rPr>
          <w:rFonts w:ascii="Arial MT" w:hAnsi="Arial MT" w:cs="Arial"/>
          <w:bCs/>
          <w:sz w:val="20"/>
          <w:szCs w:val="20"/>
        </w:rPr>
        <w:t xml:space="preserve"> by using SPSS 16 software.</w:t>
      </w:r>
    </w:p>
    <w:p w14:paraId="7D29D7AC" w14:textId="587B54A5" w:rsidR="00302E71" w:rsidRPr="007E7303" w:rsidRDefault="00CC72A6" w:rsidP="00B42A32">
      <w:pPr>
        <w:spacing w:after="0"/>
        <w:jc w:val="both"/>
        <w:rPr>
          <w:rFonts w:ascii="Arial MT" w:hAnsi="Arial MT" w:cs="Arial"/>
          <w:sz w:val="20"/>
          <w:szCs w:val="20"/>
        </w:rPr>
      </w:pPr>
      <w:r w:rsidRPr="003F1806">
        <w:rPr>
          <w:rFonts w:ascii="Arial MT" w:hAnsi="Arial MT" w:cs="Arial"/>
          <w:b/>
          <w:sz w:val="20"/>
          <w:szCs w:val="20"/>
        </w:rPr>
        <w:t xml:space="preserve">Table 1: </w:t>
      </w:r>
      <w:r w:rsidR="00302E71" w:rsidRPr="003F1806">
        <w:rPr>
          <w:rFonts w:ascii="Arial MT" w:hAnsi="Arial MT" w:cs="Arial"/>
          <w:b/>
          <w:sz w:val="20"/>
          <w:szCs w:val="20"/>
        </w:rPr>
        <w:t xml:space="preserve">Sampling distribution in three blocks of district </w:t>
      </w:r>
      <w:r w:rsidR="00215419" w:rsidRPr="003F1806">
        <w:rPr>
          <w:rFonts w:ascii="Arial MT" w:hAnsi="Arial MT" w:cs="Arial"/>
          <w:b/>
          <w:sz w:val="20"/>
          <w:szCs w:val="20"/>
        </w:rPr>
        <w:t>Rudra Prayag</w:t>
      </w:r>
      <w:r w:rsidRPr="003F1806">
        <w:rPr>
          <w:rFonts w:ascii="Arial MT" w:hAnsi="Arial MT" w:cs="Arial"/>
          <w:b/>
          <w:sz w:val="20"/>
          <w:szCs w:val="20"/>
        </w:rPr>
        <w:t xml:space="preserve"> on altitudinal basis</w:t>
      </w:r>
      <w:r w:rsidR="00302E71" w:rsidRPr="003F1806">
        <w:rPr>
          <w:rFonts w:ascii="Arial MT" w:hAnsi="Arial MT" w:cs="Arial"/>
          <w:b/>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11"/>
        <w:gridCol w:w="851"/>
        <w:gridCol w:w="1030"/>
        <w:gridCol w:w="1119"/>
      </w:tblGrid>
      <w:tr w:rsidR="00302E71" w:rsidRPr="00A03C36" w14:paraId="40EF1443" w14:textId="77777777" w:rsidTr="00476EDE">
        <w:trPr>
          <w:trHeight w:hRule="exact" w:val="1207"/>
        </w:trPr>
        <w:tc>
          <w:tcPr>
            <w:tcW w:w="1552" w:type="dxa"/>
          </w:tcPr>
          <w:p w14:paraId="4943CE81" w14:textId="77777777" w:rsidR="00302E71" w:rsidRPr="00A03C36" w:rsidRDefault="00302E71" w:rsidP="00B42A32">
            <w:pPr>
              <w:spacing w:after="0"/>
              <w:rPr>
                <w:rFonts w:ascii="Arial MT" w:hAnsi="Arial MT" w:cs="Arial"/>
                <w:b/>
                <w:sz w:val="18"/>
                <w:szCs w:val="18"/>
              </w:rPr>
            </w:pPr>
            <w:r w:rsidRPr="00A03C36">
              <w:rPr>
                <w:rFonts w:ascii="Arial MT" w:hAnsi="Arial MT" w:cs="Arial"/>
                <w:b/>
                <w:sz w:val="18"/>
                <w:szCs w:val="18"/>
              </w:rPr>
              <w:t>Block</w:t>
            </w:r>
          </w:p>
        </w:tc>
        <w:tc>
          <w:tcPr>
            <w:tcW w:w="2670" w:type="dxa"/>
          </w:tcPr>
          <w:p w14:paraId="49560FCB" w14:textId="77777777" w:rsidR="00302E71" w:rsidRPr="00A03C36" w:rsidRDefault="00302E71" w:rsidP="00B42A32">
            <w:pPr>
              <w:spacing w:after="0"/>
              <w:rPr>
                <w:rFonts w:ascii="Arial MT" w:hAnsi="Arial MT" w:cs="Arial"/>
                <w:b/>
                <w:sz w:val="18"/>
                <w:szCs w:val="18"/>
              </w:rPr>
            </w:pPr>
            <w:r w:rsidRPr="00A03C36">
              <w:rPr>
                <w:rFonts w:ascii="Arial MT" w:hAnsi="Arial MT" w:cs="Arial"/>
                <w:b/>
                <w:sz w:val="18"/>
                <w:szCs w:val="18"/>
              </w:rPr>
              <w:t>Altitudes (above mean sea level (</w:t>
            </w:r>
            <w:proofErr w:type="spellStart"/>
            <w:r w:rsidRPr="00A03C36">
              <w:rPr>
                <w:rFonts w:ascii="Arial MT" w:hAnsi="Arial MT" w:cs="Arial"/>
                <w:b/>
                <w:sz w:val="18"/>
                <w:szCs w:val="18"/>
              </w:rPr>
              <w:t>amsl</w:t>
            </w:r>
            <w:proofErr w:type="spellEnd"/>
            <w:r w:rsidRPr="00A03C36">
              <w:rPr>
                <w:rFonts w:ascii="Arial MT" w:hAnsi="Arial MT" w:cs="Arial"/>
                <w:b/>
                <w:sz w:val="18"/>
                <w:szCs w:val="18"/>
              </w:rPr>
              <w:t>)</w:t>
            </w:r>
          </w:p>
        </w:tc>
        <w:tc>
          <w:tcPr>
            <w:tcW w:w="1083" w:type="dxa"/>
          </w:tcPr>
          <w:p w14:paraId="05A8ABED"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rPr>
              <w:t>Number of Villages</w:t>
            </w:r>
          </w:p>
        </w:tc>
        <w:tc>
          <w:tcPr>
            <w:tcW w:w="1343" w:type="dxa"/>
          </w:tcPr>
          <w:p w14:paraId="32D85A05"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rPr>
              <w:t>Number of Household</w:t>
            </w:r>
          </w:p>
        </w:tc>
        <w:tc>
          <w:tcPr>
            <w:tcW w:w="1769" w:type="dxa"/>
          </w:tcPr>
          <w:p w14:paraId="31025120"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lang w:val="en-IN"/>
              </w:rPr>
              <w:t>Percentage of sampling distribution (%)</w:t>
            </w:r>
          </w:p>
        </w:tc>
      </w:tr>
      <w:tr w:rsidR="00302E71" w:rsidRPr="00A03C36" w14:paraId="37F46972" w14:textId="77777777" w:rsidTr="00302E71">
        <w:trPr>
          <w:trHeight w:hRule="exact" w:val="432"/>
        </w:trPr>
        <w:tc>
          <w:tcPr>
            <w:tcW w:w="1552" w:type="dxa"/>
            <w:vMerge w:val="restart"/>
          </w:tcPr>
          <w:p w14:paraId="2EE92DCD"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Agustmuni</w:t>
            </w:r>
          </w:p>
        </w:tc>
        <w:tc>
          <w:tcPr>
            <w:tcW w:w="2670" w:type="dxa"/>
            <w:vAlign w:val="center"/>
          </w:tcPr>
          <w:p w14:paraId="428ED4A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7C8214C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w:t>
            </w:r>
          </w:p>
        </w:tc>
        <w:tc>
          <w:tcPr>
            <w:tcW w:w="1343" w:type="dxa"/>
            <w:vAlign w:val="center"/>
          </w:tcPr>
          <w:p w14:paraId="256473B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66</w:t>
            </w:r>
          </w:p>
        </w:tc>
        <w:tc>
          <w:tcPr>
            <w:tcW w:w="1769" w:type="dxa"/>
            <w:vAlign w:val="center"/>
          </w:tcPr>
          <w:p w14:paraId="19B7B701"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10.93</w:t>
            </w:r>
          </w:p>
        </w:tc>
      </w:tr>
      <w:tr w:rsidR="00302E71" w:rsidRPr="00A03C36" w14:paraId="469B6BB8" w14:textId="77777777" w:rsidTr="00302E71">
        <w:trPr>
          <w:trHeight w:hRule="exact" w:val="432"/>
        </w:trPr>
        <w:tc>
          <w:tcPr>
            <w:tcW w:w="1552" w:type="dxa"/>
            <w:vMerge/>
          </w:tcPr>
          <w:p w14:paraId="367E0A37" w14:textId="77777777" w:rsidR="00302E71" w:rsidRPr="00A03C36" w:rsidRDefault="00302E71" w:rsidP="00B42A32">
            <w:pPr>
              <w:spacing w:after="0"/>
              <w:rPr>
                <w:rFonts w:ascii="Arial MT" w:hAnsi="Arial MT" w:cs="Arial"/>
                <w:sz w:val="18"/>
                <w:szCs w:val="18"/>
              </w:rPr>
            </w:pPr>
          </w:p>
        </w:tc>
        <w:tc>
          <w:tcPr>
            <w:tcW w:w="2670" w:type="dxa"/>
            <w:vAlign w:val="center"/>
          </w:tcPr>
          <w:p w14:paraId="1C5AA49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5C6A038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w:t>
            </w:r>
          </w:p>
        </w:tc>
        <w:tc>
          <w:tcPr>
            <w:tcW w:w="1343" w:type="dxa"/>
            <w:vAlign w:val="center"/>
          </w:tcPr>
          <w:p w14:paraId="6A176DB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71</w:t>
            </w:r>
          </w:p>
        </w:tc>
        <w:tc>
          <w:tcPr>
            <w:tcW w:w="1769" w:type="dxa"/>
            <w:vAlign w:val="center"/>
          </w:tcPr>
          <w:p w14:paraId="1FD8435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11.75</w:t>
            </w:r>
          </w:p>
        </w:tc>
      </w:tr>
      <w:tr w:rsidR="00302E71" w:rsidRPr="00A03C36" w14:paraId="276EDD20" w14:textId="77777777" w:rsidTr="00302E71">
        <w:trPr>
          <w:trHeight w:hRule="exact" w:val="432"/>
        </w:trPr>
        <w:tc>
          <w:tcPr>
            <w:tcW w:w="1552" w:type="dxa"/>
            <w:vMerge/>
          </w:tcPr>
          <w:p w14:paraId="53803DE5" w14:textId="77777777" w:rsidR="00302E71" w:rsidRPr="00A03C36" w:rsidRDefault="00302E71" w:rsidP="00B42A32">
            <w:pPr>
              <w:spacing w:after="0"/>
              <w:rPr>
                <w:rFonts w:ascii="Arial MT" w:hAnsi="Arial MT" w:cs="Arial"/>
                <w:sz w:val="18"/>
                <w:szCs w:val="18"/>
              </w:rPr>
            </w:pPr>
          </w:p>
        </w:tc>
        <w:tc>
          <w:tcPr>
            <w:tcW w:w="2670" w:type="dxa"/>
            <w:vAlign w:val="center"/>
          </w:tcPr>
          <w:p w14:paraId="79D3620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3D65106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15</w:t>
            </w:r>
          </w:p>
        </w:tc>
        <w:tc>
          <w:tcPr>
            <w:tcW w:w="1343" w:type="dxa"/>
            <w:vAlign w:val="center"/>
          </w:tcPr>
          <w:p w14:paraId="6932C8C8"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135</w:t>
            </w:r>
          </w:p>
        </w:tc>
        <w:tc>
          <w:tcPr>
            <w:tcW w:w="1769" w:type="dxa"/>
            <w:vAlign w:val="center"/>
          </w:tcPr>
          <w:p w14:paraId="5C4D958B"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22.35</w:t>
            </w:r>
          </w:p>
        </w:tc>
      </w:tr>
      <w:tr w:rsidR="00302E71" w:rsidRPr="00A03C36" w14:paraId="44B623EF" w14:textId="77777777" w:rsidTr="00302E71">
        <w:trPr>
          <w:trHeight w:hRule="exact" w:val="432"/>
        </w:trPr>
        <w:tc>
          <w:tcPr>
            <w:tcW w:w="1552" w:type="dxa"/>
            <w:vMerge w:val="restart"/>
          </w:tcPr>
          <w:p w14:paraId="6325D01E"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Jakholi</w:t>
            </w:r>
          </w:p>
        </w:tc>
        <w:tc>
          <w:tcPr>
            <w:tcW w:w="2670" w:type="dxa"/>
            <w:vAlign w:val="center"/>
          </w:tcPr>
          <w:p w14:paraId="3CADF148"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780E1D96"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w:t>
            </w:r>
          </w:p>
        </w:tc>
        <w:tc>
          <w:tcPr>
            <w:tcW w:w="1343" w:type="dxa"/>
            <w:vAlign w:val="center"/>
          </w:tcPr>
          <w:p w14:paraId="5091F9C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63</w:t>
            </w:r>
          </w:p>
        </w:tc>
        <w:tc>
          <w:tcPr>
            <w:tcW w:w="1769" w:type="dxa"/>
            <w:vAlign w:val="center"/>
          </w:tcPr>
          <w:p w14:paraId="0B29267C"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10.43</w:t>
            </w:r>
          </w:p>
        </w:tc>
      </w:tr>
      <w:tr w:rsidR="00302E71" w:rsidRPr="00A03C36" w14:paraId="5F0876FA" w14:textId="77777777" w:rsidTr="00302E71">
        <w:trPr>
          <w:trHeight w:hRule="exact" w:val="432"/>
        </w:trPr>
        <w:tc>
          <w:tcPr>
            <w:tcW w:w="1552" w:type="dxa"/>
            <w:vMerge/>
          </w:tcPr>
          <w:p w14:paraId="1A8D6D34" w14:textId="77777777" w:rsidR="00302E71" w:rsidRPr="00A03C36" w:rsidRDefault="00302E71" w:rsidP="00B42A32">
            <w:pPr>
              <w:spacing w:after="0"/>
              <w:rPr>
                <w:rFonts w:ascii="Arial MT" w:hAnsi="Arial MT" w:cs="Arial"/>
                <w:sz w:val="18"/>
                <w:szCs w:val="18"/>
              </w:rPr>
            </w:pPr>
          </w:p>
        </w:tc>
        <w:tc>
          <w:tcPr>
            <w:tcW w:w="2670" w:type="dxa"/>
            <w:vAlign w:val="center"/>
          </w:tcPr>
          <w:p w14:paraId="3EA33484"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6227084"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4</w:t>
            </w:r>
          </w:p>
        </w:tc>
        <w:tc>
          <w:tcPr>
            <w:tcW w:w="1343" w:type="dxa"/>
            <w:vAlign w:val="center"/>
          </w:tcPr>
          <w:p w14:paraId="42433326"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41</w:t>
            </w:r>
          </w:p>
        </w:tc>
        <w:tc>
          <w:tcPr>
            <w:tcW w:w="1769" w:type="dxa"/>
            <w:vAlign w:val="center"/>
          </w:tcPr>
          <w:p w14:paraId="270DFF50"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06.79</w:t>
            </w:r>
          </w:p>
        </w:tc>
      </w:tr>
      <w:tr w:rsidR="00302E71" w:rsidRPr="00A03C36" w14:paraId="7F8C59DA" w14:textId="77777777" w:rsidTr="00302E71">
        <w:trPr>
          <w:trHeight w:hRule="exact" w:val="432"/>
        </w:trPr>
        <w:tc>
          <w:tcPr>
            <w:tcW w:w="1552" w:type="dxa"/>
            <w:vMerge/>
          </w:tcPr>
          <w:p w14:paraId="62C949A2" w14:textId="77777777" w:rsidR="00302E71" w:rsidRPr="00A03C36" w:rsidRDefault="00302E71" w:rsidP="00B42A32">
            <w:pPr>
              <w:spacing w:after="0"/>
              <w:rPr>
                <w:rFonts w:ascii="Arial MT" w:hAnsi="Arial MT" w:cs="Arial"/>
                <w:sz w:val="18"/>
                <w:szCs w:val="18"/>
              </w:rPr>
            </w:pPr>
          </w:p>
        </w:tc>
        <w:tc>
          <w:tcPr>
            <w:tcW w:w="2670" w:type="dxa"/>
            <w:vAlign w:val="center"/>
          </w:tcPr>
          <w:p w14:paraId="5F1AAC8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D58DD3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w:t>
            </w:r>
          </w:p>
        </w:tc>
        <w:tc>
          <w:tcPr>
            <w:tcW w:w="1343" w:type="dxa"/>
            <w:vAlign w:val="center"/>
          </w:tcPr>
          <w:p w14:paraId="752AF5E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51</w:t>
            </w:r>
          </w:p>
        </w:tc>
        <w:tc>
          <w:tcPr>
            <w:tcW w:w="1769" w:type="dxa"/>
            <w:vAlign w:val="center"/>
          </w:tcPr>
          <w:p w14:paraId="0C28428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08.44</w:t>
            </w:r>
          </w:p>
        </w:tc>
      </w:tr>
      <w:tr w:rsidR="00302E71" w:rsidRPr="00A03C36" w14:paraId="661429AA" w14:textId="77777777" w:rsidTr="00302E71">
        <w:trPr>
          <w:trHeight w:hRule="exact" w:val="432"/>
        </w:trPr>
        <w:tc>
          <w:tcPr>
            <w:tcW w:w="1552" w:type="dxa"/>
            <w:vMerge w:val="restart"/>
          </w:tcPr>
          <w:p w14:paraId="465FFE3A"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Ukhimath</w:t>
            </w:r>
          </w:p>
        </w:tc>
        <w:tc>
          <w:tcPr>
            <w:tcW w:w="2670" w:type="dxa"/>
            <w:vAlign w:val="center"/>
          </w:tcPr>
          <w:p w14:paraId="6BA8BEA0"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43A5EBD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11</w:t>
            </w:r>
          </w:p>
        </w:tc>
        <w:tc>
          <w:tcPr>
            <w:tcW w:w="1343" w:type="dxa"/>
            <w:vAlign w:val="center"/>
          </w:tcPr>
          <w:p w14:paraId="4F56ABA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104</w:t>
            </w:r>
          </w:p>
        </w:tc>
        <w:tc>
          <w:tcPr>
            <w:tcW w:w="1769" w:type="dxa"/>
            <w:vAlign w:val="center"/>
          </w:tcPr>
          <w:p w14:paraId="4B03A66B"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17.23</w:t>
            </w:r>
          </w:p>
        </w:tc>
      </w:tr>
      <w:tr w:rsidR="00302E71" w:rsidRPr="00A03C36" w14:paraId="304F1B80" w14:textId="77777777" w:rsidTr="00302E71">
        <w:trPr>
          <w:trHeight w:hRule="exact" w:val="432"/>
        </w:trPr>
        <w:tc>
          <w:tcPr>
            <w:tcW w:w="1552" w:type="dxa"/>
            <w:vMerge/>
          </w:tcPr>
          <w:p w14:paraId="2E8F53F2" w14:textId="77777777" w:rsidR="00302E71" w:rsidRPr="00A03C36" w:rsidRDefault="00302E71" w:rsidP="00B42A32">
            <w:pPr>
              <w:spacing w:after="0"/>
              <w:rPr>
                <w:rFonts w:ascii="Arial MT" w:hAnsi="Arial MT" w:cs="Arial"/>
                <w:sz w:val="18"/>
                <w:szCs w:val="18"/>
              </w:rPr>
            </w:pPr>
          </w:p>
        </w:tc>
        <w:tc>
          <w:tcPr>
            <w:tcW w:w="2670" w:type="dxa"/>
            <w:vAlign w:val="center"/>
          </w:tcPr>
          <w:p w14:paraId="4B94480D"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29CEC19"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w:t>
            </w:r>
          </w:p>
        </w:tc>
        <w:tc>
          <w:tcPr>
            <w:tcW w:w="1343" w:type="dxa"/>
            <w:vAlign w:val="center"/>
          </w:tcPr>
          <w:p w14:paraId="291A389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56</w:t>
            </w:r>
          </w:p>
        </w:tc>
        <w:tc>
          <w:tcPr>
            <w:tcW w:w="1769" w:type="dxa"/>
            <w:vAlign w:val="center"/>
          </w:tcPr>
          <w:p w14:paraId="6DFA244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09.27</w:t>
            </w:r>
          </w:p>
        </w:tc>
      </w:tr>
      <w:tr w:rsidR="00302E71" w:rsidRPr="00A03C36" w14:paraId="6888402C" w14:textId="77777777" w:rsidTr="00302E71">
        <w:trPr>
          <w:trHeight w:hRule="exact" w:val="432"/>
        </w:trPr>
        <w:tc>
          <w:tcPr>
            <w:tcW w:w="1552" w:type="dxa"/>
            <w:vMerge/>
          </w:tcPr>
          <w:p w14:paraId="65DED7A3" w14:textId="77777777" w:rsidR="00302E71" w:rsidRPr="00A03C36" w:rsidRDefault="00302E71" w:rsidP="00B42A32">
            <w:pPr>
              <w:spacing w:after="0"/>
              <w:rPr>
                <w:rFonts w:ascii="Arial MT" w:hAnsi="Arial MT" w:cs="Arial"/>
                <w:sz w:val="18"/>
                <w:szCs w:val="18"/>
              </w:rPr>
            </w:pPr>
          </w:p>
        </w:tc>
        <w:tc>
          <w:tcPr>
            <w:tcW w:w="2670" w:type="dxa"/>
            <w:vAlign w:val="center"/>
          </w:tcPr>
          <w:p w14:paraId="310375C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6CC982B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3</w:t>
            </w:r>
          </w:p>
        </w:tc>
        <w:tc>
          <w:tcPr>
            <w:tcW w:w="1343" w:type="dxa"/>
            <w:vAlign w:val="center"/>
          </w:tcPr>
          <w:p w14:paraId="09A9A91D"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17</w:t>
            </w:r>
          </w:p>
        </w:tc>
        <w:tc>
          <w:tcPr>
            <w:tcW w:w="1769" w:type="dxa"/>
            <w:vAlign w:val="center"/>
          </w:tcPr>
          <w:p w14:paraId="4CC97B3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02.81</w:t>
            </w:r>
          </w:p>
        </w:tc>
      </w:tr>
      <w:tr w:rsidR="00302E71" w:rsidRPr="00A03C36" w14:paraId="2D2A3D45" w14:textId="77777777" w:rsidTr="00302E71">
        <w:trPr>
          <w:trHeight w:hRule="exact" w:val="432"/>
        </w:trPr>
        <w:tc>
          <w:tcPr>
            <w:tcW w:w="1552" w:type="dxa"/>
            <w:vMerge/>
          </w:tcPr>
          <w:p w14:paraId="4E12C05C" w14:textId="77777777" w:rsidR="00302E71" w:rsidRPr="00A03C36" w:rsidRDefault="00302E71" w:rsidP="00B42A32">
            <w:pPr>
              <w:spacing w:after="0"/>
              <w:rPr>
                <w:rFonts w:ascii="Arial MT" w:hAnsi="Arial MT" w:cs="Arial"/>
                <w:sz w:val="18"/>
                <w:szCs w:val="18"/>
              </w:rPr>
            </w:pPr>
          </w:p>
        </w:tc>
        <w:tc>
          <w:tcPr>
            <w:tcW w:w="2670" w:type="dxa"/>
            <w:vAlign w:val="center"/>
          </w:tcPr>
          <w:p w14:paraId="406A643C" w14:textId="77777777" w:rsidR="00302E71" w:rsidRPr="00A03C36" w:rsidRDefault="00302E71" w:rsidP="00B42A32">
            <w:pPr>
              <w:spacing w:after="0"/>
              <w:jc w:val="center"/>
              <w:rPr>
                <w:rFonts w:ascii="Arial MT" w:hAnsi="Arial MT" w:cs="Arial"/>
                <w:b/>
                <w:bCs/>
                <w:sz w:val="18"/>
                <w:szCs w:val="18"/>
              </w:rPr>
            </w:pPr>
            <w:r w:rsidRPr="00A03C36">
              <w:rPr>
                <w:rFonts w:ascii="Arial MT" w:hAnsi="Arial MT" w:cs="Arial"/>
                <w:b/>
                <w:bCs/>
                <w:sz w:val="18"/>
                <w:szCs w:val="18"/>
              </w:rPr>
              <w:t>Total</w:t>
            </w:r>
          </w:p>
        </w:tc>
        <w:tc>
          <w:tcPr>
            <w:tcW w:w="1083" w:type="dxa"/>
            <w:vAlign w:val="center"/>
          </w:tcPr>
          <w:p w14:paraId="4C943154"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64</w:t>
            </w:r>
            <w:r w:rsidRPr="00A03C36">
              <w:rPr>
                <w:rFonts w:ascii="Arial MT" w:hAnsi="Arial MT" w:cs="Arial"/>
                <w:b/>
                <w:bCs/>
                <w:sz w:val="18"/>
                <w:szCs w:val="18"/>
              </w:rPr>
              <w:fldChar w:fldCharType="end"/>
            </w:r>
          </w:p>
        </w:tc>
        <w:tc>
          <w:tcPr>
            <w:tcW w:w="1343" w:type="dxa"/>
            <w:vAlign w:val="center"/>
          </w:tcPr>
          <w:p w14:paraId="6C35540E"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604</w:t>
            </w:r>
            <w:r w:rsidRPr="00A03C36">
              <w:rPr>
                <w:rFonts w:ascii="Arial MT" w:hAnsi="Arial MT" w:cs="Arial"/>
                <w:b/>
                <w:bCs/>
                <w:sz w:val="18"/>
                <w:szCs w:val="18"/>
              </w:rPr>
              <w:fldChar w:fldCharType="end"/>
            </w:r>
          </w:p>
        </w:tc>
        <w:tc>
          <w:tcPr>
            <w:tcW w:w="1769" w:type="dxa"/>
            <w:vAlign w:val="center"/>
          </w:tcPr>
          <w:p w14:paraId="54E6968B"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100</w:t>
            </w:r>
            <w:r w:rsidRPr="00A03C36">
              <w:rPr>
                <w:rFonts w:ascii="Arial MT" w:hAnsi="Arial MT" w:cs="Arial"/>
                <w:b/>
                <w:bCs/>
                <w:sz w:val="18"/>
                <w:szCs w:val="18"/>
              </w:rPr>
              <w:fldChar w:fldCharType="end"/>
            </w:r>
          </w:p>
        </w:tc>
      </w:tr>
    </w:tbl>
    <w:p w14:paraId="487D53B0" w14:textId="1D50BEDF" w:rsidR="00302E71" w:rsidRPr="003F1806" w:rsidRDefault="005251DB" w:rsidP="00B42A32">
      <w:pPr>
        <w:spacing w:before="240" w:after="0"/>
        <w:jc w:val="both"/>
        <w:rPr>
          <w:rFonts w:ascii="Arial MT" w:hAnsi="Arial MT" w:cs="Arial"/>
          <w:b/>
          <w:color w:val="000000"/>
          <w:sz w:val="20"/>
          <w:szCs w:val="20"/>
        </w:rPr>
      </w:pPr>
      <w:r>
        <w:rPr>
          <w:rFonts w:ascii="Arial MT" w:hAnsi="Arial MT" w:cs="Arial"/>
          <w:b/>
          <w:color w:val="000000"/>
          <w:sz w:val="20"/>
          <w:szCs w:val="20"/>
        </w:rPr>
        <w:t xml:space="preserve">2.1. </w:t>
      </w:r>
      <w:r w:rsidR="00302E71" w:rsidRPr="003F1806">
        <w:rPr>
          <w:rFonts w:ascii="Arial MT" w:hAnsi="Arial MT" w:cs="Arial"/>
          <w:b/>
          <w:color w:val="000000"/>
          <w:sz w:val="20"/>
          <w:szCs w:val="20"/>
        </w:rPr>
        <w:t>Determining the Livelihood Diversification Index</w:t>
      </w:r>
    </w:p>
    <w:p w14:paraId="26E4171B" w14:textId="1546B39E" w:rsidR="00176158" w:rsidRPr="003F1806" w:rsidRDefault="00302E71" w:rsidP="00B42A32">
      <w:pPr>
        <w:spacing w:after="0"/>
        <w:ind w:firstLine="720"/>
        <w:jc w:val="both"/>
        <w:rPr>
          <w:rFonts w:ascii="Arial MT" w:hAnsi="Arial MT" w:cs="Arial"/>
          <w:bCs/>
          <w:color w:val="FF0000"/>
          <w:sz w:val="20"/>
          <w:szCs w:val="20"/>
        </w:rPr>
      </w:pPr>
      <w:r w:rsidRPr="003F1806">
        <w:rPr>
          <w:rFonts w:ascii="Arial MT" w:hAnsi="Arial MT" w:cs="Arial"/>
          <w:bCs/>
          <w:color w:val="000000"/>
          <w:sz w:val="20"/>
          <w:szCs w:val="20"/>
        </w:rPr>
        <w:t xml:space="preserve">Livelihood diversification, being an important livelihood strategy adopted by developing countries, is propitious in the reduction of vulnerability while ensuring food safety and reducing the threat of famine. A great interest in the practice of livelihood diversification has recently been seen in developing countries (Knutsson and Ostwald, 2006). Diversification within agriculture, combining agriculture with other activities, animal husbandry and labour are the primary methods practiced by farmers in livelihood diversification due to increasing populations, reducing agricultural productivity. Two major categories of livelihood diversification agricultural and non-agriculture with ten sub categories e.g. agriculture produce sale, livestock and livestock produce sale, salaried job, wage labour, remittances, tourism, carpentry/masonry, </w:t>
      </w:r>
      <w:r w:rsidRPr="003F1806">
        <w:rPr>
          <w:rFonts w:ascii="Arial MT" w:hAnsi="Arial MT" w:cs="Arial"/>
          <w:bCs/>
          <w:color w:val="000000"/>
          <w:sz w:val="20"/>
          <w:szCs w:val="20"/>
        </w:rPr>
        <w:lastRenderedPageBreak/>
        <w:t>business/trade, pensions and social benefit schemes were determining.</w:t>
      </w:r>
    </w:p>
    <w:p w14:paraId="17573C4E" w14:textId="72D3B280" w:rsidR="00302E71" w:rsidRPr="003F1806" w:rsidRDefault="005251DB" w:rsidP="00B42A32">
      <w:pPr>
        <w:spacing w:after="0"/>
        <w:jc w:val="both"/>
        <w:rPr>
          <w:rFonts w:ascii="Arial MT" w:hAnsi="Arial MT" w:cs="Arial"/>
          <w:bCs/>
          <w:color w:val="FF0000"/>
          <w:sz w:val="20"/>
          <w:szCs w:val="20"/>
        </w:rPr>
      </w:pPr>
      <w:r>
        <w:rPr>
          <w:rFonts w:ascii="Arial MT" w:hAnsi="Arial MT" w:cs="Arial"/>
          <w:b/>
          <w:bCs/>
          <w:noProof/>
          <w:sz w:val="20"/>
          <w:szCs w:val="20"/>
        </w:rPr>
        <w:t xml:space="preserve">2.2. </w:t>
      </w:r>
      <w:r w:rsidR="00302E71" w:rsidRPr="003F1806">
        <w:rPr>
          <w:rFonts w:ascii="Arial MT" w:hAnsi="Arial MT" w:cs="Arial"/>
          <w:b/>
          <w:bCs/>
          <w:noProof/>
          <w:sz w:val="20"/>
          <w:szCs w:val="20"/>
        </w:rPr>
        <w:t xml:space="preserve">Model Estimation of Livelihood Strategy Sustainability (Binary logistic)  </w:t>
      </w:r>
    </w:p>
    <w:p w14:paraId="08B1397B" w14:textId="77777777" w:rsidR="00302E71" w:rsidRPr="003F1806" w:rsidRDefault="00302E71" w:rsidP="00B42A32">
      <w:pPr>
        <w:spacing w:after="0"/>
        <w:jc w:val="both"/>
        <w:rPr>
          <w:rFonts w:ascii="Arial MT" w:hAnsi="Arial MT" w:cs="Arial"/>
          <w:noProof/>
          <w:sz w:val="20"/>
          <w:szCs w:val="20"/>
        </w:rPr>
      </w:pPr>
      <w:r w:rsidRPr="003F1806">
        <w:rPr>
          <w:rFonts w:ascii="Arial MT" w:hAnsi="Arial MT" w:cs="Arial"/>
          <w:noProof/>
          <w:sz w:val="20"/>
          <w:szCs w:val="20"/>
        </w:rPr>
        <w:t xml:space="preserve">In this study, logistic regression is used to describe the relationship between livelihood strategies and livelihood assets. When using the logistic distribution, we need to make an algebraic conservation to arrive at our usual linear regression equation, the logistic regression model will be (Hosmer and Lemeshow, 2000): </w:t>
      </w:r>
    </w:p>
    <w:p w14:paraId="11F6DF8E" w14:textId="004E5236" w:rsidR="00302E71" w:rsidRPr="003F1806" w:rsidRDefault="00302E71" w:rsidP="00B42A32">
      <w:pPr>
        <w:spacing w:after="0"/>
        <w:jc w:val="both"/>
        <w:rPr>
          <w:rFonts w:ascii="Arial MT" w:hAnsi="Arial MT" w:cs="Arial"/>
          <w:noProof/>
          <w:sz w:val="20"/>
          <w:szCs w:val="20"/>
        </w:rPr>
      </w:pPr>
      <m:oMathPara>
        <m:oMath>
          <m:r>
            <w:rPr>
              <w:rFonts w:ascii="Cambria Math" w:eastAsia="Cambria Math" w:hAnsi="Cambria Math" w:cs="Arial"/>
              <w:noProof/>
              <w:sz w:val="20"/>
              <w:szCs w:val="20"/>
            </w:rPr>
            <m:t>p=</m:t>
          </m:r>
          <m:sSub>
            <m:sSubPr>
              <m:ctrlPr>
                <w:rPr>
                  <w:rFonts w:ascii="Cambria Math" w:eastAsia="Cambria Math" w:hAnsi="Cambria Math" w:cs="Arial"/>
                  <w:i/>
                  <w:noProof/>
                  <w:sz w:val="20"/>
                  <w:szCs w:val="20"/>
                </w:rPr>
              </m:ctrlPr>
            </m:sSubPr>
            <m:e>
              <m:r>
                <w:rPr>
                  <w:rFonts w:ascii="Cambria Math" w:eastAsia="Cambria Math" w:hAnsi="Cambria Math" w:cs="Arial"/>
                  <w:noProof/>
                  <w:sz w:val="20"/>
                  <w:szCs w:val="20"/>
                </w:rPr>
                <m:t>b</m:t>
              </m:r>
            </m:e>
            <m:sub>
              <m:r>
                <w:rPr>
                  <w:rFonts w:ascii="Cambria Math" w:eastAsia="Cambria Math" w:hAnsi="Cambria Math" w:cs="Arial"/>
                  <w:noProof/>
                  <w:sz w:val="20"/>
                  <w:szCs w:val="20"/>
                </w:rPr>
                <m:t>0</m:t>
              </m:r>
            </m:sub>
          </m:sSub>
          <m:r>
            <w:rPr>
              <w:rFonts w:ascii="Cambria Math" w:eastAsia="Cambria Math" w:hAnsi="Cambria Math" w:cs="Arial"/>
              <w:noProof/>
              <w:sz w:val="20"/>
              <w:szCs w:val="20"/>
            </w:rPr>
            <m:t>+</m:t>
          </m:r>
          <m:nary>
            <m:naryPr>
              <m:chr m:val="∑"/>
              <m:grow m:val="1"/>
              <m:ctrlPr>
                <w:rPr>
                  <w:rFonts w:ascii="Cambria Math" w:hAnsi="Cambria Math" w:cs="Arial"/>
                  <w:noProof/>
                  <w:sz w:val="20"/>
                  <w:szCs w:val="20"/>
                </w:rPr>
              </m:ctrlPr>
            </m:naryPr>
            <m:sub>
              <m:r>
                <w:rPr>
                  <w:rFonts w:ascii="Cambria Math" w:eastAsia="Cambria Math" w:hAnsi="Cambria Math" w:cs="Arial"/>
                  <w:noProof/>
                  <w:sz w:val="20"/>
                  <w:szCs w:val="20"/>
                </w:rPr>
                <m:t>i=1</m:t>
              </m:r>
            </m:sub>
            <m:sup>
              <m:r>
                <w:rPr>
                  <w:rFonts w:ascii="Cambria Math" w:eastAsia="Cambria Math" w:hAnsi="Cambria Math" w:cs="Arial"/>
                  <w:noProof/>
                  <w:sz w:val="20"/>
                  <w:szCs w:val="20"/>
                </w:rPr>
                <m:t>m</m:t>
              </m:r>
            </m:sup>
            <m:e>
              <m:sSub>
                <m:sSubPr>
                  <m:ctrlPr>
                    <w:rPr>
                      <w:rFonts w:ascii="Cambria Math" w:hAnsi="Cambria Math" w:cs="Arial"/>
                      <w:noProof/>
                      <w:sz w:val="20"/>
                      <w:szCs w:val="20"/>
                    </w:rPr>
                  </m:ctrlPr>
                </m:sSubPr>
                <m:e>
                  <m:r>
                    <m:rPr>
                      <m:sty m:val="p"/>
                    </m:rPr>
                    <w:rPr>
                      <w:rFonts w:ascii="Cambria Math" w:hAnsi="Cambria Math" w:cs="Arial"/>
                      <w:noProof/>
                      <w:sz w:val="20"/>
                      <w:szCs w:val="20"/>
                    </w:rPr>
                    <m:t>b</m:t>
                  </m:r>
                </m:e>
                <m:sub>
                  <m:r>
                    <m:rPr>
                      <m:sty m:val="p"/>
                    </m:rPr>
                    <w:rPr>
                      <w:rFonts w:ascii="Cambria Math" w:hAnsi="Cambria Math" w:cs="Arial"/>
                      <w:noProof/>
                      <w:sz w:val="20"/>
                      <w:szCs w:val="20"/>
                    </w:rPr>
                    <m:t>i</m:t>
                  </m:r>
                </m:sub>
              </m:sSub>
              <m:sSub>
                <m:sSubPr>
                  <m:ctrlPr>
                    <w:rPr>
                      <w:rFonts w:ascii="Cambria Math" w:hAnsi="Cambria Math" w:cs="Arial"/>
                      <w:noProof/>
                      <w:sz w:val="20"/>
                      <w:szCs w:val="20"/>
                    </w:rPr>
                  </m:ctrlPr>
                </m:sSubPr>
                <m:e>
                  <m:r>
                    <m:rPr>
                      <m:sty m:val="p"/>
                    </m:rPr>
                    <w:rPr>
                      <w:rFonts w:ascii="Cambria Math" w:hAnsi="Cambria Math" w:cs="Arial"/>
                      <w:noProof/>
                      <w:sz w:val="20"/>
                      <w:szCs w:val="20"/>
                    </w:rPr>
                    <m:t>C</m:t>
                  </m:r>
                </m:e>
                <m:sub>
                  <m:r>
                    <m:rPr>
                      <m:sty m:val="p"/>
                    </m:rPr>
                    <w:rPr>
                      <w:rFonts w:ascii="Cambria Math" w:hAnsi="Cambria Math" w:cs="Arial"/>
                      <w:noProof/>
                      <w:sz w:val="20"/>
                      <w:szCs w:val="20"/>
                    </w:rPr>
                    <m:t>i</m:t>
                  </m:r>
                </m:sub>
              </m:sSub>
            </m:e>
          </m:nary>
          <m:r>
            <m:rPr>
              <m:sty m:val="p"/>
            </m:rPr>
            <w:rPr>
              <w:rFonts w:ascii="Cambria Math" w:hAnsi="Cambria Math" w:cs="Arial"/>
              <w:noProof/>
              <w:sz w:val="20"/>
              <w:szCs w:val="20"/>
            </w:rPr>
            <m:t xml:space="preserve">                                                                                         (4)</m:t>
          </m:r>
          <m:r>
            <m:rPr>
              <m:sty m:val="p"/>
            </m:rPr>
            <w:rPr>
              <w:rFonts w:ascii="Cambria Math" w:hAnsi="Cambria Math" w:cs="Arial"/>
              <w:noProof/>
              <w:sz w:val="20"/>
              <w:szCs w:val="20"/>
            </w:rPr>
            <w:br/>
          </m:r>
        </m:oMath>
      </m:oMathPara>
      <w:r w:rsidRPr="003F1806">
        <w:rPr>
          <w:rFonts w:ascii="Arial MT" w:hAnsi="Arial MT" w:cs="Arial"/>
          <w:noProof/>
          <w:sz w:val="20"/>
          <w:szCs w:val="20"/>
        </w:rPr>
        <w:t xml:space="preserve"> </w:t>
      </w:r>
      <w:r w:rsidRPr="00DC02C7">
        <w:rPr>
          <w:rFonts w:ascii="Arial MT" w:hAnsi="Arial MT" w:cs="Arial"/>
          <w:b/>
          <w:bCs/>
          <w:noProof/>
          <w:sz w:val="20"/>
          <w:szCs w:val="20"/>
        </w:rPr>
        <w:t>Where,</w:t>
      </w:r>
      <w:r w:rsidRPr="003F1806">
        <w:rPr>
          <w:rFonts w:ascii="Arial MT" w:hAnsi="Arial MT" w:cs="Arial"/>
          <w:noProof/>
          <w:sz w:val="20"/>
          <w:szCs w:val="20"/>
        </w:rPr>
        <w:t xml:space="preserve"> p is the probability, b</w:t>
      </w:r>
      <w:r w:rsidRPr="003F1806">
        <w:rPr>
          <w:rFonts w:ascii="Arial MT" w:hAnsi="Arial MT" w:cs="Arial"/>
          <w:noProof/>
          <w:sz w:val="20"/>
          <w:szCs w:val="20"/>
          <w:vertAlign w:val="subscript"/>
        </w:rPr>
        <w:t>0</w:t>
      </w:r>
      <w:r w:rsidRPr="003F1806">
        <w:rPr>
          <w:rFonts w:ascii="Arial MT" w:hAnsi="Arial MT" w:cs="Arial"/>
          <w:noProof/>
          <w:sz w:val="20"/>
          <w:szCs w:val="20"/>
        </w:rPr>
        <w:t xml:space="preserve"> is the constant, and b</w:t>
      </w:r>
      <w:r w:rsidRPr="003F1806">
        <w:rPr>
          <w:rFonts w:ascii="Arial MT" w:hAnsi="Arial MT" w:cs="Arial"/>
          <w:noProof/>
          <w:sz w:val="20"/>
          <w:szCs w:val="20"/>
          <w:vertAlign w:val="subscript"/>
        </w:rPr>
        <w:t>i</w:t>
      </w:r>
      <w:r w:rsidRPr="003F1806">
        <w:rPr>
          <w:rFonts w:ascii="Arial MT" w:hAnsi="Arial MT" w:cs="Arial"/>
          <w:noProof/>
          <w:sz w:val="20"/>
          <w:szCs w:val="20"/>
        </w:rPr>
        <w:t xml:space="preserve"> (i=1,2,3,……m) is the regression coefficient. In practice the dependent variable (p) is not continuous. Therefore, we convert P into the probability ratio (Ω) of non-agricultural livelihood strategies. The logistic formula is stated as follows:</w:t>
      </w:r>
    </w:p>
    <w:p w14:paraId="46EB0315" w14:textId="77777777" w:rsidR="00302E71" w:rsidRPr="003F1806" w:rsidRDefault="00302E71" w:rsidP="00B42A32">
      <w:pPr>
        <w:spacing w:after="0"/>
        <w:jc w:val="both"/>
        <w:rPr>
          <w:rFonts w:ascii="Arial MT" w:hAnsi="Arial MT" w:cs="Arial"/>
          <w:noProof/>
          <w:sz w:val="20"/>
          <w:szCs w:val="20"/>
        </w:rPr>
      </w:pPr>
      <m:oMathPara>
        <m:oMath>
          <m:r>
            <w:rPr>
              <w:rFonts w:ascii="Cambria Math" w:hAnsi="Cambria Math" w:cs="Arial"/>
              <w:noProof/>
              <w:sz w:val="20"/>
              <w:szCs w:val="20"/>
            </w:rPr>
            <m:t>In</m:t>
          </m:r>
          <m:d>
            <m:dPr>
              <m:ctrlPr>
                <w:rPr>
                  <w:rFonts w:ascii="Cambria Math" w:hAnsi="Cambria Math" w:cs="Arial"/>
                  <w:noProof/>
                  <w:sz w:val="20"/>
                  <w:szCs w:val="20"/>
                </w:rPr>
              </m:ctrlPr>
            </m:dPr>
            <m:e>
              <m:r>
                <m:rPr>
                  <m:sty m:val="p"/>
                </m:rPr>
                <w:rPr>
                  <w:rFonts w:ascii="Cambria Math" w:hAnsi="Cambria Math" w:cs="Arial"/>
                  <w:noProof/>
                  <w:sz w:val="20"/>
                  <w:szCs w:val="20"/>
                </w:rPr>
                <m:t>Ω</m:t>
              </m:r>
            </m:e>
          </m:d>
          <m:r>
            <w:rPr>
              <w:rFonts w:ascii="Cambria Math" w:hAnsi="Cambria Math" w:cs="Arial"/>
              <w:noProof/>
              <w:sz w:val="20"/>
              <w:szCs w:val="20"/>
            </w:rPr>
            <m:t>=In</m:t>
          </m:r>
          <m:d>
            <m:dPr>
              <m:ctrlPr>
                <w:rPr>
                  <w:rFonts w:ascii="Cambria Math" w:hAnsi="Cambria Math" w:cs="Arial"/>
                  <w:i/>
                  <w:noProof/>
                  <w:sz w:val="20"/>
                  <w:szCs w:val="20"/>
                </w:rPr>
              </m:ctrlPr>
            </m:dPr>
            <m:e>
              <m:f>
                <m:fPr>
                  <m:ctrlPr>
                    <w:rPr>
                      <w:rFonts w:ascii="Cambria Math" w:hAnsi="Cambria Math" w:cs="Arial"/>
                      <w:i/>
                      <w:noProof/>
                      <w:sz w:val="20"/>
                      <w:szCs w:val="20"/>
                    </w:rPr>
                  </m:ctrlPr>
                </m:fPr>
                <m:num>
                  <m:r>
                    <w:rPr>
                      <w:rFonts w:ascii="Cambria Math" w:hAnsi="Cambria Math" w:cs="Arial"/>
                      <w:noProof/>
                      <w:sz w:val="20"/>
                      <w:szCs w:val="20"/>
                    </w:rPr>
                    <m:t>p</m:t>
                  </m:r>
                </m:num>
                <m:den>
                  <m:r>
                    <w:rPr>
                      <w:rFonts w:ascii="Cambria Math" w:hAnsi="Cambria Math" w:cs="Arial"/>
                      <w:noProof/>
                      <w:sz w:val="20"/>
                      <w:szCs w:val="20"/>
                    </w:rPr>
                    <m:t>1-p</m:t>
                  </m:r>
                </m:den>
              </m:f>
            </m:e>
          </m:d>
          <m:r>
            <w:rPr>
              <w:rFonts w:ascii="Cambria Math" w:hAnsi="Cambria Math" w:cs="Arial"/>
              <w:noProof/>
              <w:sz w:val="20"/>
              <w:szCs w:val="20"/>
            </w:rPr>
            <m:t xml:space="preserve">                                                                                   (5)</m:t>
          </m:r>
        </m:oMath>
      </m:oMathPara>
    </w:p>
    <w:p w14:paraId="40E214D2" w14:textId="77777777"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w:t>
      </w:r>
      <w:proofErr w:type="gramStart"/>
      <w:r w:rsidRPr="003F1806">
        <w:rPr>
          <w:rFonts w:ascii="Arial MT" w:hAnsi="Arial MT" w:cs="Arial"/>
          <w:sz w:val="20"/>
          <w:szCs w:val="20"/>
        </w:rPr>
        <w:t>In</w:t>
      </w:r>
      <w:proofErr w:type="gramEnd"/>
      <w:r w:rsidRPr="003F1806">
        <w:rPr>
          <w:rFonts w:ascii="Arial MT" w:hAnsi="Arial MT" w:cs="Arial"/>
          <w:sz w:val="20"/>
          <w:szCs w:val="20"/>
        </w:rPr>
        <w:t xml:space="preserve"> symbol refers to a natural logarithm, and Ω is called log it (p). Then we further obtain the following equation:</w:t>
      </w:r>
    </w:p>
    <w:p w14:paraId="3C458E1C" w14:textId="77777777" w:rsidR="00302E71" w:rsidRPr="003F1806" w:rsidRDefault="00F77D1B" w:rsidP="00B42A32">
      <w:pPr>
        <w:spacing w:after="0"/>
        <w:jc w:val="both"/>
        <w:rPr>
          <w:rFonts w:ascii="Arial MT" w:hAnsi="Arial MT" w:cs="Arial"/>
          <w:sz w:val="20"/>
          <w:szCs w:val="20"/>
        </w:rPr>
      </w:pPr>
      <m:oMathPara>
        <m:oMath>
          <m:func>
            <m:funcPr>
              <m:ctrlPr>
                <w:rPr>
                  <w:rFonts w:ascii="Cambria Math" w:hAnsi="Cambria Math" w:cs="Arial"/>
                  <w:i/>
                  <w:sz w:val="20"/>
                  <w:szCs w:val="20"/>
                </w:rPr>
              </m:ctrlPr>
            </m:funcPr>
            <m:fName>
              <m:r>
                <m:rPr>
                  <m:sty m:val="p"/>
                </m:rPr>
                <w:rPr>
                  <w:rFonts w:ascii="Cambria Math" w:hAnsi="Cambria Math" w:cs="Arial"/>
                  <w:sz w:val="20"/>
                  <w:szCs w:val="20"/>
                </w:rPr>
                <m:t>log</m:t>
              </m:r>
            </m:fName>
            <m:e>
              <m:r>
                <w:rPr>
                  <w:rFonts w:ascii="Cambria Math" w:hAnsi="Cambria Math" w:cs="Arial"/>
                  <w:sz w:val="20"/>
                  <w:szCs w:val="20"/>
                </w:rPr>
                <m:t>it</m:t>
              </m:r>
              <m:r>
                <w:rPr>
                  <w:rFonts w:ascii="Cambria Math" w:hAnsi="Cambria Math" w:cs="Arial"/>
                  <w:sz w:val="20"/>
                  <w:szCs w:val="20"/>
                </w:rPr>
                <m:t xml:space="preserve"> (</m:t>
              </m:r>
              <m:r>
                <w:rPr>
                  <w:rFonts w:ascii="Cambria Math" w:hAnsi="Cambria Math" w:cs="Arial"/>
                  <w:sz w:val="20"/>
                  <w:szCs w:val="20"/>
                </w:rPr>
                <m:t>p</m:t>
              </m:r>
              <m:r>
                <w:rPr>
                  <w:rFonts w:ascii="Cambria Math" w:hAnsi="Cambria Math" w:cs="Arial"/>
                  <w:sz w:val="20"/>
                  <w:szCs w:val="20"/>
                </w:rPr>
                <m:t>)</m:t>
              </m:r>
            </m:e>
          </m:fun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0</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m</m:t>
              </m:r>
            </m:sup>
            <m:e>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i</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r>
            <w:rPr>
              <w:rFonts w:ascii="Cambria Math" w:hAnsi="Cambria Math" w:cs="Arial"/>
              <w:sz w:val="20"/>
              <w:szCs w:val="20"/>
            </w:rPr>
            <m:t xml:space="preserve">                                                                         (6)</m:t>
          </m:r>
        </m:oMath>
      </m:oMathPara>
    </w:p>
    <w:p w14:paraId="5369AF7F" w14:textId="77777777"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0</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m</m:t>
            </m:r>
          </m:sup>
          <m:e>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i</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oMath>
      <w:r w:rsidRPr="003F1806">
        <w:rPr>
          <w:rFonts w:ascii="Arial MT" w:hAnsi="Arial MT" w:cs="Arial"/>
          <w:sz w:val="20"/>
          <w:szCs w:val="20"/>
        </w:rPr>
        <w:t xml:space="preserve"> is our familiar equation for the regression line. p can also be computed from the regression equation. Therefore, if we know the regression equation, we could theoretically calculate the expected probability for a given value of C</w:t>
      </w:r>
      <w:r w:rsidRPr="003F1806">
        <w:rPr>
          <w:rFonts w:ascii="Arial MT" w:hAnsi="Arial MT" w:cs="Arial"/>
          <w:sz w:val="20"/>
          <w:szCs w:val="20"/>
          <w:vertAlign w:val="subscript"/>
        </w:rPr>
        <w:t>i</w:t>
      </w:r>
      <w:r w:rsidRPr="003F1806">
        <w:rPr>
          <w:rFonts w:ascii="Arial MT" w:hAnsi="Arial MT" w:cs="Arial"/>
          <w:sz w:val="20"/>
          <w:szCs w:val="20"/>
        </w:rPr>
        <w:t>. Eq. (6) is transformed as follows:</w:t>
      </w:r>
    </w:p>
    <w:p w14:paraId="187E877C" w14:textId="77777777" w:rsidR="00302E71" w:rsidRPr="003F1806" w:rsidRDefault="00302E71" w:rsidP="00B42A32">
      <w:pPr>
        <w:spacing w:after="0"/>
        <w:jc w:val="both"/>
        <w:rPr>
          <w:rFonts w:ascii="Arial MT" w:hAnsi="Arial MT" w:cs="Arial"/>
          <w:sz w:val="20"/>
          <w:szCs w:val="20"/>
        </w:rPr>
      </w:pPr>
      <m:oMathPara>
        <m:oMath>
          <m:r>
            <w:rPr>
              <w:rFonts w:ascii="Cambria Math" w:hAnsi="Cambria Math" w:cs="Arial"/>
              <w:noProof/>
              <w:sz w:val="20"/>
              <w:szCs w:val="20"/>
            </w:rPr>
            <m:t>Ω=</m:t>
          </m:r>
          <m:f>
            <m:fPr>
              <m:ctrlPr>
                <w:rPr>
                  <w:rFonts w:ascii="Cambria Math" w:hAnsi="Cambria Math" w:cs="Arial"/>
                  <w:i/>
                  <w:noProof/>
                  <w:sz w:val="20"/>
                  <w:szCs w:val="20"/>
                </w:rPr>
              </m:ctrlPr>
            </m:fPr>
            <m:num>
              <m:r>
                <w:rPr>
                  <w:rFonts w:ascii="Cambria Math" w:hAnsi="Cambria Math" w:cs="Arial"/>
                  <w:noProof/>
                  <w:sz w:val="20"/>
                  <w:szCs w:val="20"/>
                </w:rPr>
                <m:t>p</m:t>
              </m:r>
            </m:num>
            <m:den>
              <m:r>
                <w:rPr>
                  <w:rFonts w:ascii="Cambria Math" w:hAnsi="Cambria Math" w:cs="Arial"/>
                  <w:noProof/>
                  <w:sz w:val="20"/>
                  <w:szCs w:val="20"/>
                </w:rPr>
                <m:t>1-p</m:t>
              </m:r>
            </m:den>
          </m:f>
          <m:r>
            <w:rPr>
              <w:rFonts w:ascii="Cambria Math" w:hAnsi="Cambria Math" w:cs="Arial"/>
              <w:noProof/>
              <w:sz w:val="20"/>
              <w:szCs w:val="20"/>
            </w:rPr>
            <m:t>=</m:t>
          </m:r>
          <m:func>
            <m:funcPr>
              <m:ctrlPr>
                <w:rPr>
                  <w:rFonts w:ascii="Cambria Math" w:hAnsi="Cambria Math" w:cs="Arial"/>
                  <w:noProof/>
                  <w:sz w:val="20"/>
                  <w:szCs w:val="20"/>
                </w:rPr>
              </m:ctrlPr>
            </m:funcPr>
            <m:fName>
              <m:r>
                <m:rPr>
                  <m:sty m:val="p"/>
                </m:rPr>
                <w:rPr>
                  <w:rFonts w:ascii="Cambria Math" w:hAnsi="Cambria Math" w:cs="Arial"/>
                  <w:noProof/>
                  <w:sz w:val="20"/>
                  <w:szCs w:val="20"/>
                </w:rPr>
                <m:t>exp</m:t>
              </m:r>
            </m:fName>
            <m:e>
              <m:d>
                <m:dPr>
                  <m:ctrlPr>
                    <w:rPr>
                      <w:rFonts w:ascii="Cambria Math" w:hAnsi="Cambria Math" w:cs="Arial"/>
                      <w:i/>
                      <w:noProof/>
                      <w:sz w:val="20"/>
                      <w:szCs w:val="20"/>
                    </w:rPr>
                  </m:ctrlPr>
                </m:dPr>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0</m:t>
                      </m:r>
                    </m:sub>
                  </m:sSub>
                  <m:r>
                    <w:rPr>
                      <w:rFonts w:ascii="Cambria Math" w:hAnsi="Cambria Math" w:cs="Arial"/>
                      <w:noProof/>
                      <w:sz w:val="20"/>
                      <w:szCs w:val="20"/>
                    </w:rPr>
                    <m:t>+</m:t>
                  </m:r>
                  <m:nary>
                    <m:naryPr>
                      <m:chr m:val="∑"/>
                      <m:limLoc m:val="undOvr"/>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m</m:t>
                      </m:r>
                    </m:sup>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i</m:t>
                          </m:r>
                        </m:sub>
                      </m:sSub>
                      <m:sSub>
                        <m:sSubPr>
                          <m:ctrlPr>
                            <w:rPr>
                              <w:rFonts w:ascii="Cambria Math" w:hAnsi="Cambria Math" w:cs="Arial"/>
                              <w:i/>
                              <w:noProof/>
                              <w:sz w:val="20"/>
                              <w:szCs w:val="20"/>
                            </w:rPr>
                          </m:ctrlPr>
                        </m:sSubPr>
                        <m:e>
                          <m:r>
                            <w:rPr>
                              <w:rFonts w:ascii="Cambria Math" w:hAnsi="Cambria Math" w:cs="Arial"/>
                              <w:noProof/>
                              <w:sz w:val="20"/>
                              <w:szCs w:val="20"/>
                            </w:rPr>
                            <m:t>C</m:t>
                          </m:r>
                        </m:e>
                        <m:sub>
                          <m:r>
                            <w:rPr>
                              <w:rFonts w:ascii="Cambria Math" w:hAnsi="Cambria Math" w:cs="Arial"/>
                              <w:noProof/>
                              <w:sz w:val="20"/>
                              <w:szCs w:val="20"/>
                            </w:rPr>
                            <m:t>i</m:t>
                          </m:r>
                        </m:sub>
                      </m:sSub>
                    </m:e>
                  </m:nary>
                </m:e>
              </m:d>
              <m:ctrlPr>
                <w:rPr>
                  <w:rFonts w:ascii="Cambria Math" w:hAnsi="Cambria Math" w:cs="Arial"/>
                  <w:i/>
                  <w:sz w:val="20"/>
                  <w:szCs w:val="20"/>
                </w:rPr>
              </m:ctrlPr>
            </m:e>
          </m:func>
          <m:r>
            <w:rPr>
              <w:rFonts w:ascii="Cambria Math" w:hAnsi="Cambria Math" w:cs="Arial"/>
              <w:noProof/>
              <w:sz w:val="20"/>
              <w:szCs w:val="20"/>
            </w:rPr>
            <m:t xml:space="preserve">                                                         (7)</m:t>
          </m:r>
        </m:oMath>
      </m:oMathPara>
    </w:p>
    <w:p w14:paraId="49206C8C" w14:textId="760E9DEA"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exp is the exponent function, and it is opposite to the natural logarithm. We are estimating the probability (e.g. non-agriculture and agriculture strategy), because the value of C</w:t>
      </w:r>
      <w:r w:rsidRPr="003F1806">
        <w:rPr>
          <w:rFonts w:ascii="Arial MT" w:hAnsi="Arial MT" w:cs="Arial"/>
          <w:sz w:val="20"/>
          <w:szCs w:val="20"/>
          <w:vertAlign w:val="subscript"/>
        </w:rPr>
        <w:t>i</w:t>
      </w:r>
      <w:r w:rsidRPr="003F1806">
        <w:rPr>
          <w:rFonts w:ascii="Arial MT" w:hAnsi="Arial MT" w:cs="Arial"/>
          <w:sz w:val="20"/>
          <w:szCs w:val="20"/>
        </w:rPr>
        <w:t xml:space="preserve"> increased and decreased in one unit. The derivative transformation of </w:t>
      </w:r>
      <w:proofErr w:type="gramStart"/>
      <w:r w:rsidRPr="003F1806">
        <w:rPr>
          <w:rFonts w:ascii="Arial MT" w:hAnsi="Arial MT" w:cs="Arial"/>
          <w:sz w:val="20"/>
          <w:szCs w:val="20"/>
        </w:rPr>
        <w:t>Eq</w:t>
      </w:r>
      <w:r w:rsidR="007E7303">
        <w:rPr>
          <w:rFonts w:ascii="Arial MT" w:hAnsi="Arial MT" w:cs="Arial"/>
          <w:sz w:val="20"/>
          <w:szCs w:val="20"/>
        </w:rPr>
        <w:t xml:space="preserve"> </w:t>
      </w:r>
      <w:r w:rsidRPr="003F1806">
        <w:rPr>
          <w:rFonts w:ascii="Arial MT" w:hAnsi="Arial MT" w:cs="Arial"/>
          <w:sz w:val="20"/>
          <w:szCs w:val="20"/>
        </w:rPr>
        <w:t>.</w:t>
      </w:r>
      <w:proofErr w:type="gramEnd"/>
      <w:r w:rsidRPr="003F1806">
        <w:rPr>
          <w:rFonts w:ascii="Arial MT" w:hAnsi="Arial MT" w:cs="Arial"/>
          <w:sz w:val="20"/>
          <w:szCs w:val="20"/>
        </w:rPr>
        <w:t>(7) is</w:t>
      </w:r>
    </w:p>
    <w:p w14:paraId="7BF12227" w14:textId="77777777" w:rsidR="00302E71" w:rsidRPr="003F1806" w:rsidRDefault="00302E71" w:rsidP="00B42A32">
      <w:pPr>
        <w:spacing w:after="0"/>
        <w:jc w:val="both"/>
        <w:rPr>
          <w:rFonts w:ascii="Arial MT" w:hAnsi="Arial MT" w:cs="Arial"/>
          <w:b/>
          <w:bCs/>
          <w:sz w:val="20"/>
          <w:szCs w:val="20"/>
        </w:rPr>
      </w:pPr>
      <m:oMathPara>
        <m:oMath>
          <m:r>
            <w:rPr>
              <w:rFonts w:ascii="Cambria Math" w:hAnsi="Cambria Math" w:cs="Arial"/>
              <w:noProof/>
              <w:sz w:val="20"/>
              <w:szCs w:val="20"/>
            </w:rPr>
            <m:t>Ω=</m:t>
          </m:r>
          <m:func>
            <m:funcPr>
              <m:ctrlPr>
                <w:rPr>
                  <w:rFonts w:ascii="Cambria Math" w:hAnsi="Cambria Math" w:cs="Arial"/>
                  <w:noProof/>
                  <w:sz w:val="20"/>
                  <w:szCs w:val="20"/>
                </w:rPr>
              </m:ctrlPr>
            </m:funcPr>
            <m:fName>
              <m:r>
                <m:rPr>
                  <m:sty m:val="p"/>
                </m:rPr>
                <w:rPr>
                  <w:rFonts w:ascii="Cambria Math" w:hAnsi="Cambria Math" w:cs="Arial"/>
                  <w:noProof/>
                  <w:sz w:val="20"/>
                  <w:szCs w:val="20"/>
                </w:rPr>
                <m:t>exp</m:t>
              </m:r>
            </m:fName>
            <m:e>
              <m:d>
                <m:dPr>
                  <m:ctrlPr>
                    <w:rPr>
                      <w:rFonts w:ascii="Cambria Math" w:hAnsi="Cambria Math" w:cs="Arial"/>
                      <w:i/>
                      <w:noProof/>
                      <w:sz w:val="20"/>
                      <w:szCs w:val="20"/>
                    </w:rPr>
                  </m:ctrlPr>
                </m:dPr>
                <m:e>
                  <m:sSub>
                    <m:sSubPr>
                      <m:ctrlPr>
                        <w:rPr>
                          <w:rFonts w:ascii="Cambria Math" w:hAnsi="Cambria Math" w:cs="Arial"/>
                          <w:i/>
                          <w:noProof/>
                          <w:sz w:val="20"/>
                          <w:szCs w:val="20"/>
                        </w:rPr>
                      </m:ctrlPr>
                    </m:sSubPr>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j</m:t>
                          </m:r>
                        </m:sub>
                      </m:sSub>
                      <m:r>
                        <w:rPr>
                          <w:rFonts w:ascii="Cambria Math" w:hAnsi="Cambria Math" w:cs="Arial"/>
                          <w:noProof/>
                          <w:sz w:val="20"/>
                          <w:szCs w:val="20"/>
                        </w:rPr>
                        <m:t>+b</m:t>
                      </m:r>
                    </m:e>
                    <m:sub>
                      <m:r>
                        <w:rPr>
                          <w:rFonts w:ascii="Cambria Math" w:hAnsi="Cambria Math" w:cs="Arial"/>
                          <w:noProof/>
                          <w:sz w:val="20"/>
                          <w:szCs w:val="20"/>
                        </w:rPr>
                        <m:t>0</m:t>
                      </m:r>
                    </m:sub>
                  </m:sSub>
                  <m:r>
                    <w:rPr>
                      <w:rFonts w:ascii="Cambria Math" w:hAnsi="Cambria Math" w:cs="Arial"/>
                      <w:noProof/>
                      <w:sz w:val="20"/>
                      <w:szCs w:val="20"/>
                    </w:rPr>
                    <m:t>+</m:t>
                  </m:r>
                  <m:nary>
                    <m:naryPr>
                      <m:chr m:val="∑"/>
                      <m:limLoc m:val="undOvr"/>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m</m:t>
                      </m:r>
                    </m:sup>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i</m:t>
                          </m:r>
                        </m:sub>
                      </m:sSub>
                      <m:sSub>
                        <m:sSubPr>
                          <m:ctrlPr>
                            <w:rPr>
                              <w:rFonts w:ascii="Cambria Math" w:hAnsi="Cambria Math" w:cs="Arial"/>
                              <w:i/>
                              <w:noProof/>
                              <w:sz w:val="20"/>
                              <w:szCs w:val="20"/>
                            </w:rPr>
                          </m:ctrlPr>
                        </m:sSubPr>
                        <m:e>
                          <m:r>
                            <w:rPr>
                              <w:rFonts w:ascii="Cambria Math" w:hAnsi="Cambria Math" w:cs="Arial"/>
                              <w:noProof/>
                              <w:sz w:val="20"/>
                              <w:szCs w:val="20"/>
                            </w:rPr>
                            <m:t>C</m:t>
                          </m:r>
                        </m:e>
                        <m:sub>
                          <m:r>
                            <w:rPr>
                              <w:rFonts w:ascii="Cambria Math" w:hAnsi="Cambria Math" w:cs="Arial"/>
                              <w:noProof/>
                              <w:sz w:val="20"/>
                              <w:szCs w:val="20"/>
                            </w:rPr>
                            <m:t>i</m:t>
                          </m:r>
                        </m:sub>
                      </m:sSub>
                    </m:e>
                  </m:nary>
                </m:e>
              </m:d>
              <m:ctrlPr>
                <w:rPr>
                  <w:rFonts w:ascii="Cambria Math" w:hAnsi="Cambria Math" w:cs="Arial"/>
                  <w:i/>
                  <w:sz w:val="20"/>
                  <w:szCs w:val="20"/>
                </w:rPr>
              </m:ctrlPr>
            </m:e>
          </m:func>
          <m:r>
            <w:rPr>
              <w:rFonts w:ascii="Cambria Math" w:hAnsi="Cambria Math" w:cs="Arial"/>
              <w:noProof/>
              <w:sz w:val="20"/>
              <w:szCs w:val="20"/>
            </w:rPr>
            <m:t>=Ω</m:t>
          </m:r>
          <m:r>
            <m:rPr>
              <m:sty m:val="p"/>
            </m:rPr>
            <w:rPr>
              <w:rFonts w:ascii="Cambria Math" w:hAnsi="Cambria Math" w:cs="Arial"/>
              <w:noProof/>
              <w:sz w:val="20"/>
              <w:szCs w:val="20"/>
            </w:rPr>
            <m:t>exp⁡</m:t>
          </m:r>
          <m:r>
            <w:rPr>
              <w:rFonts w:ascii="Cambria Math" w:hAnsi="Cambria Math" w:cs="Arial"/>
              <w:noProof/>
              <w:sz w:val="20"/>
              <w:szCs w:val="20"/>
            </w:rPr>
            <m:t>(</m:t>
          </m:r>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j</m:t>
              </m:r>
            </m:sub>
          </m:sSub>
          <m:r>
            <w:rPr>
              <w:rFonts w:ascii="Cambria Math" w:hAnsi="Cambria Math" w:cs="Arial"/>
              <w:noProof/>
              <w:sz w:val="20"/>
              <w:szCs w:val="20"/>
            </w:rPr>
            <m:t>)                                        (8)</m:t>
          </m:r>
        </m:oMath>
      </m:oMathPara>
    </w:p>
    <w:p w14:paraId="5A74095E" w14:textId="09802E5F" w:rsidR="00D21312" w:rsidRPr="005251DB" w:rsidRDefault="00302E71" w:rsidP="00B42A32">
      <w:pPr>
        <w:spacing w:after="0"/>
        <w:jc w:val="both"/>
        <w:rPr>
          <w:rFonts w:ascii="Arial MT" w:hAnsi="Arial MT" w:cs="Arial"/>
          <w:sz w:val="20"/>
          <w:szCs w:val="20"/>
        </w:rPr>
      </w:pPr>
      <w:r w:rsidRPr="003F1806">
        <w:rPr>
          <w:rFonts w:ascii="Arial MT" w:hAnsi="Arial MT" w:cs="Arial"/>
          <w:sz w:val="20"/>
          <w:szCs w:val="20"/>
        </w:rPr>
        <w:t>where,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is the elasticity of probability, and it will change when C</w:t>
      </w:r>
      <w:r w:rsidRPr="003F1806">
        <w:rPr>
          <w:rFonts w:ascii="Arial MT" w:hAnsi="Arial MT" w:cs="Arial"/>
          <w:sz w:val="20"/>
          <w:szCs w:val="20"/>
          <w:vertAlign w:val="subscript"/>
        </w:rPr>
        <w:t>i</w:t>
      </w:r>
      <w:r w:rsidRPr="003F1806">
        <w:rPr>
          <w:rFonts w:ascii="Arial MT" w:hAnsi="Arial MT" w:cs="Arial"/>
          <w:sz w:val="20"/>
          <w:szCs w:val="20"/>
        </w:rPr>
        <w:t xml:space="preserve"> increases or decreases by one unit. Here we define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as the sustainability of livelihood strategies to livelihood assets. The explanatory variable (C</w:t>
      </w:r>
      <w:r w:rsidRPr="003F1806">
        <w:rPr>
          <w:rFonts w:ascii="Arial MT" w:hAnsi="Arial MT" w:cs="Arial"/>
          <w:sz w:val="20"/>
          <w:szCs w:val="20"/>
          <w:vertAlign w:val="subscript"/>
        </w:rPr>
        <w:t>i</w:t>
      </w:r>
      <w:r w:rsidRPr="003F1806">
        <w:rPr>
          <w:rFonts w:ascii="Arial MT" w:hAnsi="Arial MT" w:cs="Arial"/>
          <w:sz w:val="20"/>
          <w:szCs w:val="20"/>
        </w:rPr>
        <w:t xml:space="preserve">) includes human, natural, physical, financial and social asset. Based on the Eq. (7), we </w:t>
      </w:r>
      <w:r w:rsidRPr="003F1806">
        <w:rPr>
          <w:rFonts w:ascii="Arial MT" w:hAnsi="Arial MT" w:cs="Arial"/>
          <w:sz w:val="20"/>
          <w:szCs w:val="20"/>
        </w:rPr>
        <w:t>can calculate the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value. It should be noted, however, there is a positive relationship between livelihood asset and non-agriculture livelihood strategies if the regression coefficient is negative. This means that the probability of agricultural livelihood strategies is increases by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times as the livelihood assets (C</w:t>
      </w:r>
      <w:r w:rsidRPr="003F1806">
        <w:rPr>
          <w:rFonts w:ascii="Arial MT" w:hAnsi="Arial MT" w:cs="Arial"/>
          <w:sz w:val="20"/>
          <w:szCs w:val="20"/>
          <w:vertAlign w:val="subscript"/>
        </w:rPr>
        <w:t>i</w:t>
      </w:r>
      <w:r w:rsidRPr="003F1806">
        <w:rPr>
          <w:rFonts w:ascii="Arial MT" w:hAnsi="Arial MT" w:cs="Arial"/>
          <w:sz w:val="20"/>
          <w:szCs w:val="20"/>
        </w:rPr>
        <w:t>) increases by one unit. SPSS 16 is used to conduct statistical analysis in this study.</w:t>
      </w:r>
    </w:p>
    <w:p w14:paraId="72123103" w14:textId="02EB6F29"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 </w:t>
      </w:r>
      <w:r w:rsidR="00302E71" w:rsidRPr="003F1806">
        <w:rPr>
          <w:rFonts w:ascii="Arial MT" w:hAnsi="Arial MT" w:cs="Arial"/>
          <w:b/>
          <w:bCs/>
          <w:sz w:val="20"/>
          <w:szCs w:val="20"/>
        </w:rPr>
        <w:t>Results and Discussion</w:t>
      </w:r>
    </w:p>
    <w:p w14:paraId="7C6844A5" w14:textId="399C1C29"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The way a household copes with environmental changes and withstands stressful situations directly depends on the availability and accessibility of the livelihood assets. A livelihood strategy is, to a large extent, the ways in which livelihood assets are arranged and selected (Fang </w:t>
      </w:r>
      <w:r w:rsidRPr="003F1806">
        <w:rPr>
          <w:rFonts w:ascii="Arial MT" w:hAnsi="Arial MT" w:cs="Arial"/>
          <w:i/>
          <w:sz w:val="20"/>
          <w:szCs w:val="20"/>
        </w:rPr>
        <w:t>et al.,</w:t>
      </w:r>
      <w:r w:rsidRPr="003F1806">
        <w:rPr>
          <w:rFonts w:ascii="Arial MT" w:hAnsi="Arial MT" w:cs="Arial"/>
          <w:sz w:val="20"/>
          <w:szCs w:val="20"/>
        </w:rPr>
        <w:t xml:space="preserve"> 2014). Therefore, it is to say that different combinations of livelihood assets result in different abilities to follow livelihood strategies. In order to further understand the determinants of each livelihood strategy and compare the differences in sustainability in three altitudinal zones within three blocks, we divide livelihood strategies into two categories- farm an</w:t>
      </w:r>
      <w:r w:rsidR="00FE6ECB" w:rsidRPr="003F1806">
        <w:rPr>
          <w:rFonts w:ascii="Arial MT" w:hAnsi="Arial MT" w:cs="Arial"/>
          <w:sz w:val="20"/>
          <w:szCs w:val="20"/>
        </w:rPr>
        <w:t>d non-farm strategies. Table 2</w:t>
      </w:r>
      <w:r w:rsidRPr="003F1806">
        <w:rPr>
          <w:rFonts w:ascii="Arial MT" w:hAnsi="Arial MT" w:cs="Arial"/>
          <w:sz w:val="20"/>
          <w:szCs w:val="20"/>
        </w:rPr>
        <w:t xml:space="preserve"> clearly illustrates that the levels of livelihood assets possessed by households are closely related to livelihood strategies. Natural and human assets have positive effects on agricultural livelihood strategies, whereas financial and social assets have positive effects on non-agricultural livelihood strategies. The sustainability of livelihood strategies to assets varies greatly between and within blocks. </w:t>
      </w:r>
      <w:r w:rsidR="007E7303">
        <w:rPr>
          <w:rFonts w:ascii="Arial MT" w:hAnsi="Arial MT" w:cs="Arial"/>
          <w:sz w:val="20"/>
          <w:szCs w:val="20"/>
        </w:rPr>
        <w:t xml:space="preserve"> </w:t>
      </w:r>
      <w:r w:rsidRPr="003F1806">
        <w:rPr>
          <w:rFonts w:ascii="Arial MT" w:hAnsi="Arial MT" w:cs="Arial"/>
          <w:noProof/>
          <w:sz w:val="20"/>
          <w:szCs w:val="20"/>
        </w:rPr>
        <w:t>An econometric analysis was carried out applying data from a random sampling of 604 households in the three altitudes of three blocks in Rudraprayag district to test the hypothesis. With the help of binary logistic regression applied to the asset-explanatory variables, the primary factors that determine a household’s livelihood strategy and its reliance on asset endowments were identified. The analyses indicate that different access to or endowment of livelihood assets is an important factor that determines the choice of a household’s livelihood strategy.</w:t>
      </w:r>
    </w:p>
    <w:p w14:paraId="471E5DE2" w14:textId="228C8F37"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3.1. </w:t>
      </w:r>
      <w:r w:rsidR="00302E71" w:rsidRPr="003F1806">
        <w:rPr>
          <w:rFonts w:ascii="Arial MT" w:hAnsi="Arial MT" w:cs="Arial"/>
          <w:b/>
          <w:bCs/>
          <w:sz w:val="20"/>
          <w:szCs w:val="20"/>
        </w:rPr>
        <w:t>Calculating Index in the Sustainabl</w:t>
      </w:r>
      <w:r w:rsidR="00CC72A6" w:rsidRPr="003F1806">
        <w:rPr>
          <w:rFonts w:ascii="Arial MT" w:hAnsi="Arial MT" w:cs="Arial"/>
          <w:b/>
          <w:bCs/>
          <w:sz w:val="20"/>
          <w:szCs w:val="20"/>
        </w:rPr>
        <w:t>e Livelihood Framework</w:t>
      </w:r>
    </w:p>
    <w:p w14:paraId="73048F53" w14:textId="47992406" w:rsidR="00302E71" w:rsidRPr="003F1806" w:rsidRDefault="00302E71" w:rsidP="00B42A32">
      <w:pPr>
        <w:spacing w:after="0"/>
        <w:ind w:firstLine="720"/>
        <w:jc w:val="both"/>
        <w:rPr>
          <w:rFonts w:ascii="Arial MT" w:hAnsi="Arial MT" w:cs="Arial"/>
          <w:sz w:val="20"/>
          <w:szCs w:val="20"/>
        </w:rPr>
      </w:pPr>
      <w:r w:rsidRPr="003F1806">
        <w:rPr>
          <w:rFonts w:ascii="Arial MT" w:hAnsi="Arial MT" w:cs="Arial"/>
          <w:sz w:val="20"/>
          <w:szCs w:val="20"/>
        </w:rPr>
        <w:t xml:space="preserve">Table 2 shows that the gender of household head has the maximum weight value (0.87) within all the altitude of three blocks, in terms of human capital in the evaluation index system of the Sustainable Livelihoods Framework for rural households. As most of the families were male headed families. The water facilities </w:t>
      </w:r>
      <w:proofErr w:type="gramStart"/>
      <w:r w:rsidRPr="003F1806">
        <w:rPr>
          <w:rFonts w:ascii="Arial MT" w:hAnsi="Arial MT" w:cs="Arial"/>
          <w:sz w:val="20"/>
          <w:szCs w:val="20"/>
        </w:rPr>
        <w:t>has</w:t>
      </w:r>
      <w:proofErr w:type="gramEnd"/>
      <w:r w:rsidRPr="003F1806">
        <w:rPr>
          <w:rFonts w:ascii="Arial MT" w:hAnsi="Arial MT" w:cs="Arial"/>
          <w:sz w:val="20"/>
          <w:szCs w:val="20"/>
        </w:rPr>
        <w:t xml:space="preserve"> a maximum weight value of 0.87 because of the fact that majority of household has their personal tap within house and the household which has no personnel tap fetch water from a distance of less than 0.5 Km. with year around availability of water, in the study area. The energy availability has the maximum weight value 0.95. This is because of the fact that around 99% of household have the electricity </w:t>
      </w:r>
      <w:r w:rsidR="00215419" w:rsidRPr="003F1806">
        <w:rPr>
          <w:rFonts w:ascii="Arial MT" w:hAnsi="Arial MT" w:cs="Arial"/>
          <w:sz w:val="20"/>
          <w:szCs w:val="20"/>
        </w:rPr>
        <w:t xml:space="preserve">connection </w:t>
      </w:r>
      <w:r w:rsidR="00215419" w:rsidRPr="003F1806">
        <w:rPr>
          <w:rFonts w:ascii="Arial MT" w:hAnsi="Arial MT" w:cs="Arial"/>
          <w:sz w:val="20"/>
          <w:szCs w:val="20"/>
        </w:rPr>
        <w:lastRenderedPageBreak/>
        <w:t>and</w:t>
      </w:r>
      <w:r w:rsidRPr="003F1806">
        <w:rPr>
          <w:rFonts w:ascii="Arial MT" w:hAnsi="Arial MT" w:cs="Arial"/>
          <w:sz w:val="20"/>
          <w:szCs w:val="20"/>
        </w:rPr>
        <w:t xml:space="preserve"> access to LPG but the LPG use is very limited in villages due to irregular supply and comparatively high cost from urban areas (due to extra transport charges from delivery post to home). Household savings has a maximum value of 0.55, due to better facilities of banks, insurance and large population of livestock which provide income source for poor farmers round </w:t>
      </w:r>
      <w:r w:rsidRPr="003F1806">
        <w:rPr>
          <w:rFonts w:ascii="Arial MT" w:hAnsi="Arial MT" w:cs="Arial"/>
          <w:sz w:val="20"/>
          <w:szCs w:val="20"/>
        </w:rPr>
        <w:t>the year and also provide liquidity during emergencies or crises. The organizational membership has the maximum value 0.49. Therefore, the education level, household assets, household income, and financial support, affect the livelihood level of farmers.</w:t>
      </w:r>
    </w:p>
    <w:p w14:paraId="10FB5665" w14:textId="77777777" w:rsidR="00302E71" w:rsidRPr="003F1806" w:rsidRDefault="00302E71" w:rsidP="00B42A32">
      <w:pPr>
        <w:spacing w:after="0"/>
        <w:ind w:firstLine="720"/>
        <w:jc w:val="both"/>
        <w:rPr>
          <w:rFonts w:ascii="Arial MT" w:hAnsi="Arial MT" w:cs="Arial"/>
          <w:sz w:val="20"/>
          <w:szCs w:val="20"/>
        </w:rPr>
        <w:sectPr w:rsidR="00302E71" w:rsidRPr="003F1806" w:rsidSect="00A4657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0"/>
          <w:pgNumType w:start="50"/>
          <w:cols w:num="2" w:space="720"/>
          <w:titlePg/>
          <w:docGrid w:linePitch="360"/>
        </w:sectPr>
      </w:pPr>
    </w:p>
    <w:p w14:paraId="5FFC7159" w14:textId="77777777" w:rsidR="00733E9B" w:rsidRDefault="00733E9B" w:rsidP="00B42A32">
      <w:pPr>
        <w:spacing w:after="0"/>
        <w:jc w:val="both"/>
        <w:rPr>
          <w:rFonts w:ascii="Arial MT" w:hAnsi="Arial MT" w:cs="Arial"/>
          <w:b/>
          <w:bCs/>
          <w:sz w:val="20"/>
          <w:szCs w:val="20"/>
        </w:rPr>
        <w:sectPr w:rsidR="00733E9B" w:rsidSect="00A46579">
          <w:type w:val="continuous"/>
          <w:pgSz w:w="12240" w:h="15840" w:code="1"/>
          <w:pgMar w:top="720" w:right="720" w:bottom="720" w:left="720" w:header="720" w:footer="720" w:gutter="0"/>
          <w:cols w:num="2" w:space="720"/>
          <w:docGrid w:linePitch="360"/>
        </w:sectPr>
      </w:pPr>
    </w:p>
    <w:p w14:paraId="152E2242" w14:textId="66A56A33" w:rsidR="00302E71" w:rsidRPr="003F1806" w:rsidRDefault="00DF690D" w:rsidP="00B42A32">
      <w:pPr>
        <w:spacing w:after="0"/>
        <w:jc w:val="both"/>
        <w:rPr>
          <w:rFonts w:ascii="Arial MT" w:hAnsi="Arial MT" w:cs="Arial"/>
          <w:b/>
          <w:bCs/>
          <w:sz w:val="20"/>
          <w:szCs w:val="20"/>
        </w:rPr>
      </w:pPr>
      <w:r>
        <w:rPr>
          <w:rFonts w:ascii="Arial MT" w:hAnsi="Arial MT" w:cs="Arial"/>
          <w:b/>
          <w:bCs/>
          <w:sz w:val="20"/>
          <w:szCs w:val="20"/>
        </w:rPr>
        <w:t xml:space="preserve">   </w:t>
      </w:r>
      <w:r w:rsidR="005962B0" w:rsidRPr="003F1806">
        <w:rPr>
          <w:rFonts w:ascii="Arial MT" w:hAnsi="Arial MT" w:cs="Arial"/>
          <w:b/>
          <w:bCs/>
          <w:sz w:val="20"/>
          <w:szCs w:val="20"/>
        </w:rPr>
        <w:t>Table 2</w:t>
      </w:r>
      <w:r w:rsidR="00302E71" w:rsidRPr="003F1806">
        <w:rPr>
          <w:rFonts w:ascii="Arial MT" w:hAnsi="Arial MT" w:cs="Arial"/>
          <w:b/>
          <w:bCs/>
          <w:sz w:val="20"/>
          <w:szCs w:val="20"/>
        </w:rPr>
        <w:t>: The effective index value of measuring indicators in the district</w:t>
      </w:r>
    </w:p>
    <w:p w14:paraId="365C757B" w14:textId="77777777" w:rsidR="007E7303" w:rsidRDefault="007E7303" w:rsidP="00B42A32">
      <w:pPr>
        <w:spacing w:after="0"/>
        <w:ind w:left="-91"/>
        <w:rPr>
          <w:rFonts w:ascii="Arial MT" w:eastAsia="Times New Roman" w:hAnsi="Arial MT" w:cs="Arial"/>
          <w:b/>
          <w:bCs/>
          <w:color w:val="000000"/>
          <w:sz w:val="20"/>
          <w:szCs w:val="20"/>
        </w:rPr>
        <w:sectPr w:rsidR="007E7303" w:rsidSect="00A46579">
          <w:type w:val="continuous"/>
          <w:pgSz w:w="12240" w:h="15840" w:code="1"/>
          <w:pgMar w:top="720" w:right="720" w:bottom="720" w:left="720" w:header="720" w:footer="720" w:gutter="0"/>
          <w:cols w:space="720"/>
          <w:docGrid w:linePitch="360"/>
        </w:sectPr>
      </w:pPr>
    </w:p>
    <w:tbl>
      <w:tblPr>
        <w:tblW w:w="9845" w:type="dxa"/>
        <w:tblInd w:w="288" w:type="dxa"/>
        <w:tblCellMar>
          <w:left w:w="115" w:type="dxa"/>
          <w:right w:w="115" w:type="dxa"/>
        </w:tblCellMar>
        <w:tblLook w:val="04A0" w:firstRow="1" w:lastRow="0" w:firstColumn="1" w:lastColumn="0" w:noHBand="0" w:noVBand="1"/>
      </w:tblPr>
      <w:tblGrid>
        <w:gridCol w:w="1051"/>
        <w:gridCol w:w="1519"/>
        <w:gridCol w:w="653"/>
        <w:gridCol w:w="842"/>
        <w:gridCol w:w="735"/>
        <w:gridCol w:w="653"/>
        <w:gridCol w:w="842"/>
        <w:gridCol w:w="747"/>
        <w:gridCol w:w="950"/>
        <w:gridCol w:w="1022"/>
        <w:gridCol w:w="958"/>
      </w:tblGrid>
      <w:tr w:rsidR="00733E9B" w:rsidRPr="003F1806" w14:paraId="4F4A0DA2"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25E4EEFB" w14:textId="77777777" w:rsidR="00FE6ECB" w:rsidRPr="003F1806" w:rsidRDefault="00FE6ECB" w:rsidP="00B42A32">
            <w:pPr>
              <w:spacing w:after="0"/>
              <w:ind w:left="-91"/>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Household Assets</w:t>
            </w:r>
          </w:p>
        </w:tc>
        <w:tc>
          <w:tcPr>
            <w:tcW w:w="1519" w:type="dxa"/>
            <w:vMerge w:val="restart"/>
            <w:tcBorders>
              <w:top w:val="single" w:sz="4" w:space="0" w:color="auto"/>
              <w:left w:val="single" w:sz="4" w:space="0" w:color="auto"/>
              <w:right w:val="single" w:sz="4" w:space="0" w:color="auto"/>
            </w:tcBorders>
            <w:shd w:val="clear" w:color="auto" w:fill="auto"/>
            <w:noWrap/>
            <w:vAlign w:val="center"/>
            <w:hideMark/>
          </w:tcPr>
          <w:p w14:paraId="5AB0E514"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Indicators</w:t>
            </w:r>
          </w:p>
        </w:tc>
        <w:tc>
          <w:tcPr>
            <w:tcW w:w="2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511E8F"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Agustmuni</w:t>
            </w:r>
          </w:p>
        </w:tc>
        <w:tc>
          <w:tcPr>
            <w:tcW w:w="22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0E3C2C"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Jakholi</w:t>
            </w:r>
          </w:p>
        </w:tc>
        <w:tc>
          <w:tcPr>
            <w:tcW w:w="29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27573A"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Ukhimath</w:t>
            </w:r>
          </w:p>
        </w:tc>
      </w:tr>
      <w:tr w:rsidR="00733E9B" w:rsidRPr="003F1806" w14:paraId="6660E7A8"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66F9D737" w14:textId="77777777" w:rsidR="00FE6ECB" w:rsidRPr="003F1806" w:rsidRDefault="00FE6ECB" w:rsidP="00B42A32">
            <w:pPr>
              <w:spacing w:after="0"/>
              <w:rPr>
                <w:rFonts w:ascii="Arial MT" w:eastAsia="Times New Roman" w:hAnsi="Arial MT" w:cs="Arial"/>
                <w:color w:val="000000"/>
                <w:sz w:val="20"/>
                <w:szCs w:val="20"/>
              </w:rPr>
            </w:pPr>
          </w:p>
        </w:tc>
        <w:tc>
          <w:tcPr>
            <w:tcW w:w="1519" w:type="dxa"/>
            <w:vMerge/>
            <w:tcBorders>
              <w:left w:val="single" w:sz="4" w:space="0" w:color="auto"/>
              <w:bottom w:val="single" w:sz="4" w:space="0" w:color="auto"/>
              <w:right w:val="single" w:sz="4" w:space="0" w:color="auto"/>
            </w:tcBorders>
            <w:shd w:val="clear" w:color="auto" w:fill="auto"/>
            <w:noWrap/>
            <w:vAlign w:val="center"/>
            <w:hideMark/>
          </w:tcPr>
          <w:p w14:paraId="19C2513E" w14:textId="77777777" w:rsidR="00FE6ECB" w:rsidRPr="003F1806" w:rsidRDefault="00FE6ECB" w:rsidP="00B42A32">
            <w:pPr>
              <w:spacing w:after="0"/>
              <w:rPr>
                <w:rFonts w:ascii="Arial MT" w:eastAsia="Times New Roman" w:hAnsi="Arial MT" w:cs="Arial"/>
                <w:color w:val="000000"/>
                <w:sz w:val="20"/>
                <w:szCs w:val="20"/>
              </w:rPr>
            </w:pPr>
          </w:p>
        </w:tc>
        <w:tc>
          <w:tcPr>
            <w:tcW w:w="653" w:type="dxa"/>
            <w:tcBorders>
              <w:top w:val="nil"/>
              <w:left w:val="nil"/>
              <w:bottom w:val="single" w:sz="4" w:space="0" w:color="auto"/>
              <w:right w:val="single" w:sz="4" w:space="0" w:color="auto"/>
            </w:tcBorders>
            <w:shd w:val="clear" w:color="auto" w:fill="auto"/>
            <w:noWrap/>
            <w:vAlign w:val="center"/>
            <w:hideMark/>
          </w:tcPr>
          <w:p w14:paraId="4EB37F74"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715" w:type="dxa"/>
            <w:tcBorders>
              <w:top w:val="nil"/>
              <w:left w:val="nil"/>
              <w:bottom w:val="single" w:sz="4" w:space="0" w:color="auto"/>
              <w:right w:val="single" w:sz="4" w:space="0" w:color="auto"/>
            </w:tcBorders>
            <w:shd w:val="clear" w:color="auto" w:fill="auto"/>
            <w:noWrap/>
            <w:vAlign w:val="center"/>
            <w:hideMark/>
          </w:tcPr>
          <w:p w14:paraId="572D6D5D"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735" w:type="dxa"/>
            <w:tcBorders>
              <w:top w:val="nil"/>
              <w:left w:val="nil"/>
              <w:bottom w:val="single" w:sz="4" w:space="0" w:color="auto"/>
              <w:right w:val="single" w:sz="4" w:space="0" w:color="auto"/>
            </w:tcBorders>
            <w:shd w:val="clear" w:color="auto" w:fill="auto"/>
            <w:noWrap/>
            <w:vAlign w:val="center"/>
            <w:hideMark/>
          </w:tcPr>
          <w:p w14:paraId="04C97C07"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c>
          <w:tcPr>
            <w:tcW w:w="653" w:type="dxa"/>
            <w:tcBorders>
              <w:top w:val="nil"/>
              <w:left w:val="nil"/>
              <w:bottom w:val="single" w:sz="4" w:space="0" w:color="auto"/>
              <w:right w:val="single" w:sz="4" w:space="0" w:color="auto"/>
            </w:tcBorders>
            <w:shd w:val="clear" w:color="auto" w:fill="auto"/>
            <w:noWrap/>
            <w:vAlign w:val="center"/>
            <w:hideMark/>
          </w:tcPr>
          <w:p w14:paraId="40A7D9F5"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842" w:type="dxa"/>
            <w:tcBorders>
              <w:top w:val="nil"/>
              <w:left w:val="nil"/>
              <w:bottom w:val="single" w:sz="4" w:space="0" w:color="auto"/>
              <w:right w:val="single" w:sz="4" w:space="0" w:color="auto"/>
            </w:tcBorders>
            <w:shd w:val="clear" w:color="auto" w:fill="auto"/>
            <w:noWrap/>
            <w:vAlign w:val="center"/>
            <w:hideMark/>
          </w:tcPr>
          <w:p w14:paraId="02615570"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747" w:type="dxa"/>
            <w:tcBorders>
              <w:top w:val="nil"/>
              <w:left w:val="nil"/>
              <w:bottom w:val="single" w:sz="4" w:space="0" w:color="auto"/>
              <w:right w:val="single" w:sz="4" w:space="0" w:color="auto"/>
            </w:tcBorders>
            <w:shd w:val="clear" w:color="auto" w:fill="auto"/>
            <w:noWrap/>
            <w:vAlign w:val="center"/>
            <w:hideMark/>
          </w:tcPr>
          <w:p w14:paraId="6B175D76"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c>
          <w:tcPr>
            <w:tcW w:w="950" w:type="dxa"/>
            <w:tcBorders>
              <w:top w:val="nil"/>
              <w:left w:val="nil"/>
              <w:bottom w:val="single" w:sz="4" w:space="0" w:color="auto"/>
              <w:right w:val="single" w:sz="4" w:space="0" w:color="auto"/>
            </w:tcBorders>
            <w:shd w:val="clear" w:color="auto" w:fill="auto"/>
            <w:noWrap/>
            <w:vAlign w:val="center"/>
            <w:hideMark/>
          </w:tcPr>
          <w:p w14:paraId="7A696569"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1022" w:type="dxa"/>
            <w:tcBorders>
              <w:top w:val="nil"/>
              <w:left w:val="nil"/>
              <w:bottom w:val="single" w:sz="4" w:space="0" w:color="auto"/>
              <w:right w:val="single" w:sz="4" w:space="0" w:color="auto"/>
            </w:tcBorders>
            <w:shd w:val="clear" w:color="auto" w:fill="auto"/>
            <w:noWrap/>
            <w:vAlign w:val="center"/>
            <w:hideMark/>
          </w:tcPr>
          <w:p w14:paraId="3864737E"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958" w:type="dxa"/>
            <w:tcBorders>
              <w:top w:val="nil"/>
              <w:left w:val="nil"/>
              <w:bottom w:val="single" w:sz="4" w:space="0" w:color="auto"/>
              <w:right w:val="single" w:sz="4" w:space="0" w:color="auto"/>
            </w:tcBorders>
            <w:shd w:val="clear" w:color="auto" w:fill="auto"/>
            <w:noWrap/>
            <w:vAlign w:val="center"/>
            <w:hideMark/>
          </w:tcPr>
          <w:p w14:paraId="00AF767A"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r>
      <w:tr w:rsidR="00733E9B" w:rsidRPr="003F1806" w14:paraId="7C8AA343" w14:textId="77777777" w:rsidTr="00733E9B">
        <w:trPr>
          <w:trHeight w:hRule="exact" w:val="344"/>
        </w:trPr>
        <w:tc>
          <w:tcPr>
            <w:tcW w:w="1051" w:type="dxa"/>
            <w:vMerge w:val="restart"/>
            <w:tcBorders>
              <w:top w:val="nil"/>
              <w:left w:val="single" w:sz="4" w:space="0" w:color="auto"/>
              <w:right w:val="nil"/>
            </w:tcBorders>
            <w:shd w:val="clear" w:color="auto" w:fill="auto"/>
            <w:noWrap/>
            <w:vAlign w:val="center"/>
            <w:hideMark/>
          </w:tcPr>
          <w:p w14:paraId="2EA400DC"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Human Assets (C</w:t>
            </w:r>
            <w:r w:rsidRPr="003F1806">
              <w:rPr>
                <w:rFonts w:ascii="Arial MT" w:eastAsia="Times New Roman" w:hAnsi="Arial MT" w:cs="Arial"/>
                <w:b/>
                <w:bCs/>
                <w:color w:val="000000"/>
                <w:sz w:val="20"/>
                <w:szCs w:val="20"/>
                <w:vertAlign w:val="subscript"/>
              </w:rPr>
              <w:t>1</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4C1BB48"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773A9E4E"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0.42</w:t>
            </w:r>
          </w:p>
        </w:tc>
        <w:tc>
          <w:tcPr>
            <w:tcW w:w="715" w:type="dxa"/>
            <w:tcBorders>
              <w:top w:val="nil"/>
              <w:left w:val="nil"/>
              <w:bottom w:val="single" w:sz="4" w:space="0" w:color="auto"/>
              <w:right w:val="single" w:sz="4" w:space="0" w:color="auto"/>
            </w:tcBorders>
            <w:shd w:val="clear" w:color="auto" w:fill="auto"/>
            <w:noWrap/>
            <w:vAlign w:val="center"/>
            <w:hideMark/>
          </w:tcPr>
          <w:p w14:paraId="1ED81EC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c>
          <w:tcPr>
            <w:tcW w:w="735" w:type="dxa"/>
            <w:tcBorders>
              <w:top w:val="nil"/>
              <w:left w:val="nil"/>
              <w:bottom w:val="single" w:sz="4" w:space="0" w:color="auto"/>
              <w:right w:val="single" w:sz="4" w:space="0" w:color="auto"/>
            </w:tcBorders>
            <w:shd w:val="clear" w:color="auto" w:fill="auto"/>
            <w:noWrap/>
            <w:vAlign w:val="center"/>
            <w:hideMark/>
          </w:tcPr>
          <w:p w14:paraId="6421AFA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0.38</w:t>
            </w:r>
          </w:p>
        </w:tc>
        <w:tc>
          <w:tcPr>
            <w:tcW w:w="653" w:type="dxa"/>
            <w:tcBorders>
              <w:top w:val="nil"/>
              <w:left w:val="nil"/>
              <w:bottom w:val="single" w:sz="4" w:space="0" w:color="auto"/>
              <w:right w:val="single" w:sz="4" w:space="0" w:color="auto"/>
            </w:tcBorders>
            <w:shd w:val="clear" w:color="auto" w:fill="auto"/>
            <w:noWrap/>
            <w:vAlign w:val="center"/>
            <w:hideMark/>
          </w:tcPr>
          <w:p w14:paraId="7B5C8111"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842" w:type="dxa"/>
            <w:tcBorders>
              <w:top w:val="nil"/>
              <w:left w:val="nil"/>
              <w:bottom w:val="single" w:sz="4" w:space="0" w:color="auto"/>
              <w:right w:val="single" w:sz="4" w:space="0" w:color="auto"/>
            </w:tcBorders>
            <w:shd w:val="clear" w:color="auto" w:fill="auto"/>
            <w:noWrap/>
            <w:vAlign w:val="center"/>
            <w:hideMark/>
          </w:tcPr>
          <w:p w14:paraId="26D05C7E"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2279163B"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0.44</w:t>
            </w:r>
          </w:p>
        </w:tc>
        <w:tc>
          <w:tcPr>
            <w:tcW w:w="950" w:type="dxa"/>
            <w:tcBorders>
              <w:top w:val="nil"/>
              <w:left w:val="nil"/>
              <w:bottom w:val="single" w:sz="4" w:space="0" w:color="auto"/>
              <w:right w:val="single" w:sz="4" w:space="0" w:color="auto"/>
            </w:tcBorders>
            <w:shd w:val="clear" w:color="auto" w:fill="auto"/>
            <w:noWrap/>
            <w:vAlign w:val="center"/>
            <w:hideMark/>
          </w:tcPr>
          <w:p w14:paraId="1A56A1B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c>
          <w:tcPr>
            <w:tcW w:w="1022" w:type="dxa"/>
            <w:tcBorders>
              <w:top w:val="nil"/>
              <w:left w:val="nil"/>
              <w:bottom w:val="single" w:sz="4" w:space="0" w:color="auto"/>
              <w:right w:val="single" w:sz="4" w:space="0" w:color="auto"/>
            </w:tcBorders>
            <w:shd w:val="clear" w:color="auto" w:fill="auto"/>
            <w:noWrap/>
            <w:vAlign w:val="center"/>
            <w:hideMark/>
          </w:tcPr>
          <w:p w14:paraId="08869983"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2EBBFAA0"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r>
      <w:tr w:rsidR="00733E9B" w:rsidRPr="003F1806" w14:paraId="5A3F9CC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6DA64B0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F9A52E5"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HHGen</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7E6AE9F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715" w:type="dxa"/>
            <w:tcBorders>
              <w:top w:val="nil"/>
              <w:left w:val="nil"/>
              <w:bottom w:val="single" w:sz="4" w:space="0" w:color="auto"/>
              <w:right w:val="single" w:sz="4" w:space="0" w:color="auto"/>
            </w:tcBorders>
            <w:shd w:val="clear" w:color="auto" w:fill="auto"/>
            <w:noWrap/>
            <w:vAlign w:val="center"/>
            <w:hideMark/>
          </w:tcPr>
          <w:p w14:paraId="669D98B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c>
          <w:tcPr>
            <w:tcW w:w="735" w:type="dxa"/>
            <w:tcBorders>
              <w:top w:val="nil"/>
              <w:left w:val="nil"/>
              <w:bottom w:val="single" w:sz="4" w:space="0" w:color="auto"/>
              <w:right w:val="single" w:sz="4" w:space="0" w:color="auto"/>
            </w:tcBorders>
            <w:shd w:val="clear" w:color="auto" w:fill="auto"/>
            <w:noWrap/>
            <w:vAlign w:val="center"/>
            <w:hideMark/>
          </w:tcPr>
          <w:p w14:paraId="46F8A07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0.75</w:t>
            </w:r>
          </w:p>
        </w:tc>
        <w:tc>
          <w:tcPr>
            <w:tcW w:w="653" w:type="dxa"/>
            <w:tcBorders>
              <w:top w:val="nil"/>
              <w:left w:val="nil"/>
              <w:bottom w:val="single" w:sz="4" w:space="0" w:color="auto"/>
              <w:right w:val="single" w:sz="4" w:space="0" w:color="auto"/>
            </w:tcBorders>
            <w:shd w:val="clear" w:color="auto" w:fill="auto"/>
            <w:noWrap/>
            <w:vAlign w:val="center"/>
            <w:hideMark/>
          </w:tcPr>
          <w:p w14:paraId="4B31A67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0.83</w:t>
            </w:r>
          </w:p>
        </w:tc>
        <w:tc>
          <w:tcPr>
            <w:tcW w:w="842" w:type="dxa"/>
            <w:tcBorders>
              <w:top w:val="nil"/>
              <w:left w:val="nil"/>
              <w:bottom w:val="single" w:sz="4" w:space="0" w:color="auto"/>
              <w:right w:val="single" w:sz="4" w:space="0" w:color="auto"/>
            </w:tcBorders>
            <w:shd w:val="clear" w:color="auto" w:fill="auto"/>
            <w:noWrap/>
            <w:vAlign w:val="center"/>
            <w:hideMark/>
          </w:tcPr>
          <w:p w14:paraId="4ACCE36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747" w:type="dxa"/>
            <w:tcBorders>
              <w:top w:val="nil"/>
              <w:left w:val="nil"/>
              <w:bottom w:val="single" w:sz="4" w:space="0" w:color="auto"/>
              <w:right w:val="single" w:sz="4" w:space="0" w:color="auto"/>
            </w:tcBorders>
            <w:shd w:val="clear" w:color="auto" w:fill="auto"/>
            <w:noWrap/>
            <w:vAlign w:val="center"/>
            <w:hideMark/>
          </w:tcPr>
          <w:p w14:paraId="313C9FA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0.80</w:t>
            </w:r>
          </w:p>
        </w:tc>
        <w:tc>
          <w:tcPr>
            <w:tcW w:w="950" w:type="dxa"/>
            <w:tcBorders>
              <w:top w:val="nil"/>
              <w:left w:val="nil"/>
              <w:bottom w:val="single" w:sz="4" w:space="0" w:color="auto"/>
              <w:right w:val="single" w:sz="4" w:space="0" w:color="auto"/>
            </w:tcBorders>
            <w:shd w:val="clear" w:color="auto" w:fill="auto"/>
            <w:noWrap/>
            <w:vAlign w:val="center"/>
            <w:hideMark/>
          </w:tcPr>
          <w:p w14:paraId="7DC60DE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0.87</w:t>
            </w:r>
          </w:p>
        </w:tc>
        <w:tc>
          <w:tcPr>
            <w:tcW w:w="1022" w:type="dxa"/>
            <w:tcBorders>
              <w:top w:val="nil"/>
              <w:left w:val="nil"/>
              <w:bottom w:val="single" w:sz="4" w:space="0" w:color="auto"/>
              <w:right w:val="single" w:sz="4" w:space="0" w:color="auto"/>
            </w:tcBorders>
            <w:shd w:val="clear" w:color="auto" w:fill="auto"/>
            <w:noWrap/>
            <w:vAlign w:val="center"/>
            <w:hideMark/>
          </w:tcPr>
          <w:p w14:paraId="32104C4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958" w:type="dxa"/>
            <w:tcBorders>
              <w:top w:val="nil"/>
              <w:left w:val="nil"/>
              <w:bottom w:val="single" w:sz="4" w:space="0" w:color="auto"/>
              <w:right w:val="single" w:sz="4" w:space="0" w:color="auto"/>
            </w:tcBorders>
            <w:shd w:val="clear" w:color="auto" w:fill="auto"/>
            <w:noWrap/>
            <w:vAlign w:val="center"/>
            <w:hideMark/>
          </w:tcPr>
          <w:p w14:paraId="364A44D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0.71</w:t>
            </w:r>
          </w:p>
        </w:tc>
      </w:tr>
      <w:tr w:rsidR="00733E9B" w:rsidRPr="003F1806" w14:paraId="259C5696"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556F8D96"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3978BE9"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HHAge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57DF2A0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0.54</w:t>
            </w:r>
          </w:p>
        </w:tc>
        <w:tc>
          <w:tcPr>
            <w:tcW w:w="715" w:type="dxa"/>
            <w:tcBorders>
              <w:top w:val="nil"/>
              <w:left w:val="nil"/>
              <w:bottom w:val="single" w:sz="4" w:space="0" w:color="auto"/>
              <w:right w:val="single" w:sz="4" w:space="0" w:color="auto"/>
            </w:tcBorders>
            <w:shd w:val="clear" w:color="auto" w:fill="auto"/>
            <w:noWrap/>
            <w:vAlign w:val="center"/>
            <w:hideMark/>
          </w:tcPr>
          <w:p w14:paraId="275B69B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735" w:type="dxa"/>
            <w:tcBorders>
              <w:top w:val="nil"/>
              <w:left w:val="nil"/>
              <w:bottom w:val="single" w:sz="4" w:space="0" w:color="auto"/>
              <w:right w:val="single" w:sz="4" w:space="0" w:color="auto"/>
            </w:tcBorders>
            <w:shd w:val="clear" w:color="auto" w:fill="auto"/>
            <w:noWrap/>
            <w:vAlign w:val="center"/>
            <w:hideMark/>
          </w:tcPr>
          <w:p w14:paraId="78F2726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0.58</w:t>
            </w:r>
          </w:p>
        </w:tc>
        <w:tc>
          <w:tcPr>
            <w:tcW w:w="653" w:type="dxa"/>
            <w:tcBorders>
              <w:top w:val="nil"/>
              <w:left w:val="nil"/>
              <w:bottom w:val="single" w:sz="4" w:space="0" w:color="auto"/>
              <w:right w:val="single" w:sz="4" w:space="0" w:color="auto"/>
            </w:tcBorders>
            <w:shd w:val="clear" w:color="auto" w:fill="auto"/>
            <w:noWrap/>
            <w:vAlign w:val="center"/>
            <w:hideMark/>
          </w:tcPr>
          <w:p w14:paraId="081BE81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842" w:type="dxa"/>
            <w:tcBorders>
              <w:top w:val="nil"/>
              <w:left w:val="nil"/>
              <w:bottom w:val="single" w:sz="4" w:space="0" w:color="auto"/>
              <w:right w:val="single" w:sz="4" w:space="0" w:color="auto"/>
            </w:tcBorders>
            <w:shd w:val="clear" w:color="auto" w:fill="auto"/>
            <w:noWrap/>
            <w:vAlign w:val="center"/>
            <w:hideMark/>
          </w:tcPr>
          <w:p w14:paraId="31A3417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747" w:type="dxa"/>
            <w:tcBorders>
              <w:top w:val="nil"/>
              <w:left w:val="nil"/>
              <w:bottom w:val="single" w:sz="4" w:space="0" w:color="auto"/>
              <w:right w:val="single" w:sz="4" w:space="0" w:color="auto"/>
            </w:tcBorders>
            <w:shd w:val="clear" w:color="auto" w:fill="auto"/>
            <w:noWrap/>
            <w:vAlign w:val="center"/>
            <w:hideMark/>
          </w:tcPr>
          <w:p w14:paraId="5F13A29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0.65</w:t>
            </w:r>
          </w:p>
        </w:tc>
        <w:tc>
          <w:tcPr>
            <w:tcW w:w="950" w:type="dxa"/>
            <w:tcBorders>
              <w:top w:val="nil"/>
              <w:left w:val="nil"/>
              <w:bottom w:val="single" w:sz="4" w:space="0" w:color="auto"/>
              <w:right w:val="single" w:sz="4" w:space="0" w:color="auto"/>
            </w:tcBorders>
            <w:shd w:val="clear" w:color="auto" w:fill="auto"/>
            <w:noWrap/>
            <w:vAlign w:val="center"/>
            <w:hideMark/>
          </w:tcPr>
          <w:p w14:paraId="0F522AD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1022" w:type="dxa"/>
            <w:tcBorders>
              <w:top w:val="nil"/>
              <w:left w:val="nil"/>
              <w:bottom w:val="single" w:sz="4" w:space="0" w:color="auto"/>
              <w:right w:val="single" w:sz="4" w:space="0" w:color="auto"/>
            </w:tcBorders>
            <w:shd w:val="clear" w:color="auto" w:fill="auto"/>
            <w:noWrap/>
            <w:vAlign w:val="center"/>
            <w:hideMark/>
          </w:tcPr>
          <w:p w14:paraId="5E4250B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0.62</w:t>
            </w:r>
          </w:p>
        </w:tc>
        <w:tc>
          <w:tcPr>
            <w:tcW w:w="958" w:type="dxa"/>
            <w:tcBorders>
              <w:top w:val="nil"/>
              <w:left w:val="nil"/>
              <w:bottom w:val="single" w:sz="4" w:space="0" w:color="auto"/>
              <w:right w:val="single" w:sz="4" w:space="0" w:color="auto"/>
            </w:tcBorders>
            <w:shd w:val="clear" w:color="auto" w:fill="auto"/>
            <w:noWrap/>
            <w:vAlign w:val="center"/>
            <w:hideMark/>
          </w:tcPr>
          <w:p w14:paraId="311FA22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0.50</w:t>
            </w:r>
          </w:p>
        </w:tc>
      </w:tr>
      <w:tr w:rsidR="00733E9B" w:rsidRPr="003F1806" w14:paraId="514FEDA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9B2769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E7D0867"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HHEdu</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2DB8271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0CBF94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35" w:type="dxa"/>
            <w:tcBorders>
              <w:top w:val="nil"/>
              <w:left w:val="nil"/>
              <w:bottom w:val="single" w:sz="4" w:space="0" w:color="auto"/>
              <w:right w:val="single" w:sz="4" w:space="0" w:color="auto"/>
            </w:tcBorders>
            <w:shd w:val="clear" w:color="auto" w:fill="auto"/>
            <w:noWrap/>
            <w:vAlign w:val="center"/>
            <w:hideMark/>
          </w:tcPr>
          <w:p w14:paraId="2CA6B29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653" w:type="dxa"/>
            <w:tcBorders>
              <w:top w:val="nil"/>
              <w:left w:val="nil"/>
              <w:bottom w:val="single" w:sz="4" w:space="0" w:color="auto"/>
              <w:right w:val="single" w:sz="4" w:space="0" w:color="auto"/>
            </w:tcBorders>
            <w:shd w:val="clear" w:color="auto" w:fill="auto"/>
            <w:noWrap/>
            <w:vAlign w:val="center"/>
            <w:hideMark/>
          </w:tcPr>
          <w:p w14:paraId="121D265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842" w:type="dxa"/>
            <w:tcBorders>
              <w:top w:val="nil"/>
              <w:left w:val="nil"/>
              <w:bottom w:val="single" w:sz="4" w:space="0" w:color="auto"/>
              <w:right w:val="single" w:sz="4" w:space="0" w:color="auto"/>
            </w:tcBorders>
            <w:shd w:val="clear" w:color="auto" w:fill="auto"/>
            <w:noWrap/>
            <w:vAlign w:val="center"/>
            <w:hideMark/>
          </w:tcPr>
          <w:p w14:paraId="0353A9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3B967BD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950" w:type="dxa"/>
            <w:tcBorders>
              <w:top w:val="nil"/>
              <w:left w:val="nil"/>
              <w:bottom w:val="single" w:sz="4" w:space="0" w:color="auto"/>
              <w:right w:val="single" w:sz="4" w:space="0" w:color="auto"/>
            </w:tcBorders>
            <w:shd w:val="clear" w:color="auto" w:fill="auto"/>
            <w:noWrap/>
            <w:vAlign w:val="center"/>
            <w:hideMark/>
          </w:tcPr>
          <w:p w14:paraId="171962B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1022" w:type="dxa"/>
            <w:tcBorders>
              <w:top w:val="nil"/>
              <w:left w:val="nil"/>
              <w:bottom w:val="single" w:sz="4" w:space="0" w:color="auto"/>
              <w:right w:val="single" w:sz="4" w:space="0" w:color="auto"/>
            </w:tcBorders>
            <w:shd w:val="clear" w:color="auto" w:fill="auto"/>
            <w:noWrap/>
            <w:vAlign w:val="center"/>
            <w:hideMark/>
          </w:tcPr>
          <w:p w14:paraId="43EBCF4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487BD2B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r>
      <w:tr w:rsidR="00733E9B" w:rsidRPr="003F1806" w14:paraId="1C575BF9"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25E0A5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CBECB05"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FamilySize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6E7F79D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715" w:type="dxa"/>
            <w:tcBorders>
              <w:top w:val="nil"/>
              <w:left w:val="nil"/>
              <w:bottom w:val="single" w:sz="4" w:space="0" w:color="auto"/>
              <w:right w:val="single" w:sz="4" w:space="0" w:color="auto"/>
            </w:tcBorders>
            <w:shd w:val="clear" w:color="auto" w:fill="auto"/>
            <w:noWrap/>
            <w:vAlign w:val="center"/>
            <w:hideMark/>
          </w:tcPr>
          <w:p w14:paraId="2B72747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0.19</w:t>
            </w:r>
          </w:p>
        </w:tc>
        <w:tc>
          <w:tcPr>
            <w:tcW w:w="735" w:type="dxa"/>
            <w:tcBorders>
              <w:top w:val="nil"/>
              <w:left w:val="nil"/>
              <w:bottom w:val="single" w:sz="4" w:space="0" w:color="auto"/>
              <w:right w:val="single" w:sz="4" w:space="0" w:color="auto"/>
            </w:tcBorders>
            <w:shd w:val="clear" w:color="auto" w:fill="auto"/>
            <w:noWrap/>
            <w:vAlign w:val="center"/>
            <w:hideMark/>
          </w:tcPr>
          <w:p w14:paraId="60EBC69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0.16</w:t>
            </w:r>
          </w:p>
        </w:tc>
        <w:tc>
          <w:tcPr>
            <w:tcW w:w="653" w:type="dxa"/>
            <w:tcBorders>
              <w:top w:val="nil"/>
              <w:left w:val="nil"/>
              <w:bottom w:val="single" w:sz="4" w:space="0" w:color="auto"/>
              <w:right w:val="single" w:sz="4" w:space="0" w:color="auto"/>
            </w:tcBorders>
            <w:shd w:val="clear" w:color="auto" w:fill="auto"/>
            <w:noWrap/>
            <w:vAlign w:val="center"/>
            <w:hideMark/>
          </w:tcPr>
          <w:p w14:paraId="502E46E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0.15</w:t>
            </w:r>
          </w:p>
        </w:tc>
        <w:tc>
          <w:tcPr>
            <w:tcW w:w="842" w:type="dxa"/>
            <w:tcBorders>
              <w:top w:val="nil"/>
              <w:left w:val="nil"/>
              <w:bottom w:val="single" w:sz="4" w:space="0" w:color="auto"/>
              <w:right w:val="single" w:sz="4" w:space="0" w:color="auto"/>
            </w:tcBorders>
            <w:shd w:val="clear" w:color="auto" w:fill="auto"/>
            <w:noWrap/>
            <w:vAlign w:val="center"/>
            <w:hideMark/>
          </w:tcPr>
          <w:p w14:paraId="1A62E0A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747" w:type="dxa"/>
            <w:tcBorders>
              <w:top w:val="nil"/>
              <w:left w:val="nil"/>
              <w:bottom w:val="single" w:sz="4" w:space="0" w:color="auto"/>
              <w:right w:val="single" w:sz="4" w:space="0" w:color="auto"/>
            </w:tcBorders>
            <w:shd w:val="clear" w:color="auto" w:fill="auto"/>
            <w:noWrap/>
            <w:vAlign w:val="center"/>
            <w:hideMark/>
          </w:tcPr>
          <w:p w14:paraId="5E519DF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950" w:type="dxa"/>
            <w:tcBorders>
              <w:top w:val="nil"/>
              <w:left w:val="nil"/>
              <w:bottom w:val="single" w:sz="4" w:space="0" w:color="auto"/>
              <w:right w:val="single" w:sz="4" w:space="0" w:color="auto"/>
            </w:tcBorders>
            <w:shd w:val="clear" w:color="auto" w:fill="auto"/>
            <w:noWrap/>
            <w:vAlign w:val="center"/>
            <w:hideMark/>
          </w:tcPr>
          <w:p w14:paraId="7C250BA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0.16</w:t>
            </w:r>
          </w:p>
        </w:tc>
        <w:tc>
          <w:tcPr>
            <w:tcW w:w="1022" w:type="dxa"/>
            <w:tcBorders>
              <w:top w:val="nil"/>
              <w:left w:val="nil"/>
              <w:bottom w:val="single" w:sz="4" w:space="0" w:color="auto"/>
              <w:right w:val="single" w:sz="4" w:space="0" w:color="auto"/>
            </w:tcBorders>
            <w:shd w:val="clear" w:color="auto" w:fill="auto"/>
            <w:noWrap/>
            <w:vAlign w:val="center"/>
            <w:hideMark/>
          </w:tcPr>
          <w:p w14:paraId="343BFA9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958" w:type="dxa"/>
            <w:tcBorders>
              <w:top w:val="nil"/>
              <w:left w:val="nil"/>
              <w:bottom w:val="single" w:sz="4" w:space="0" w:color="auto"/>
              <w:right w:val="single" w:sz="4" w:space="0" w:color="auto"/>
            </w:tcBorders>
            <w:shd w:val="clear" w:color="auto" w:fill="auto"/>
            <w:noWrap/>
            <w:vAlign w:val="center"/>
            <w:hideMark/>
          </w:tcPr>
          <w:p w14:paraId="7C09BAF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r>
      <w:tr w:rsidR="00733E9B" w:rsidRPr="003F1806" w14:paraId="35DD7AA3" w14:textId="77777777" w:rsidTr="00733E9B">
        <w:trPr>
          <w:trHeight w:hRule="exact" w:val="286"/>
        </w:trPr>
        <w:tc>
          <w:tcPr>
            <w:tcW w:w="1051" w:type="dxa"/>
            <w:vMerge/>
            <w:tcBorders>
              <w:left w:val="single" w:sz="4" w:space="0" w:color="auto"/>
              <w:right w:val="nil"/>
            </w:tcBorders>
            <w:shd w:val="clear" w:color="auto" w:fill="auto"/>
            <w:noWrap/>
            <w:vAlign w:val="center"/>
            <w:hideMark/>
          </w:tcPr>
          <w:p w14:paraId="5E700DD6"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BCFB54B"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Family Labour Ability</w:t>
            </w:r>
          </w:p>
        </w:tc>
        <w:tc>
          <w:tcPr>
            <w:tcW w:w="653" w:type="dxa"/>
            <w:tcBorders>
              <w:top w:val="nil"/>
              <w:left w:val="nil"/>
              <w:bottom w:val="single" w:sz="4" w:space="0" w:color="auto"/>
              <w:right w:val="single" w:sz="4" w:space="0" w:color="auto"/>
            </w:tcBorders>
            <w:shd w:val="clear" w:color="auto" w:fill="auto"/>
            <w:noWrap/>
            <w:vAlign w:val="center"/>
            <w:hideMark/>
          </w:tcPr>
          <w:p w14:paraId="3A6ABCF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715" w:type="dxa"/>
            <w:tcBorders>
              <w:top w:val="nil"/>
              <w:left w:val="nil"/>
              <w:bottom w:val="single" w:sz="4" w:space="0" w:color="auto"/>
              <w:right w:val="single" w:sz="4" w:space="0" w:color="auto"/>
            </w:tcBorders>
            <w:shd w:val="clear" w:color="auto" w:fill="auto"/>
            <w:noWrap/>
            <w:vAlign w:val="center"/>
            <w:hideMark/>
          </w:tcPr>
          <w:p w14:paraId="2BE0047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c>
          <w:tcPr>
            <w:tcW w:w="735" w:type="dxa"/>
            <w:tcBorders>
              <w:top w:val="nil"/>
              <w:left w:val="nil"/>
              <w:bottom w:val="single" w:sz="4" w:space="0" w:color="auto"/>
              <w:right w:val="single" w:sz="4" w:space="0" w:color="auto"/>
            </w:tcBorders>
            <w:shd w:val="clear" w:color="auto" w:fill="auto"/>
            <w:noWrap/>
            <w:vAlign w:val="center"/>
            <w:hideMark/>
          </w:tcPr>
          <w:p w14:paraId="4C18B7B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653" w:type="dxa"/>
            <w:tcBorders>
              <w:top w:val="nil"/>
              <w:left w:val="nil"/>
              <w:bottom w:val="single" w:sz="4" w:space="0" w:color="auto"/>
              <w:right w:val="single" w:sz="4" w:space="0" w:color="auto"/>
            </w:tcBorders>
            <w:shd w:val="clear" w:color="auto" w:fill="auto"/>
            <w:noWrap/>
            <w:vAlign w:val="center"/>
            <w:hideMark/>
          </w:tcPr>
          <w:p w14:paraId="6B4D3AA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0.42</w:t>
            </w:r>
          </w:p>
        </w:tc>
        <w:tc>
          <w:tcPr>
            <w:tcW w:w="842" w:type="dxa"/>
            <w:tcBorders>
              <w:top w:val="nil"/>
              <w:left w:val="nil"/>
              <w:bottom w:val="single" w:sz="4" w:space="0" w:color="auto"/>
              <w:right w:val="single" w:sz="4" w:space="0" w:color="auto"/>
            </w:tcBorders>
            <w:shd w:val="clear" w:color="auto" w:fill="auto"/>
            <w:noWrap/>
            <w:vAlign w:val="center"/>
            <w:hideMark/>
          </w:tcPr>
          <w:p w14:paraId="0CCF071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747" w:type="dxa"/>
            <w:tcBorders>
              <w:top w:val="nil"/>
              <w:left w:val="nil"/>
              <w:bottom w:val="single" w:sz="4" w:space="0" w:color="auto"/>
              <w:right w:val="single" w:sz="4" w:space="0" w:color="auto"/>
            </w:tcBorders>
            <w:shd w:val="clear" w:color="auto" w:fill="auto"/>
            <w:noWrap/>
            <w:vAlign w:val="center"/>
            <w:hideMark/>
          </w:tcPr>
          <w:p w14:paraId="7D4F8D5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0.60</w:t>
            </w:r>
          </w:p>
        </w:tc>
        <w:tc>
          <w:tcPr>
            <w:tcW w:w="950" w:type="dxa"/>
            <w:tcBorders>
              <w:top w:val="nil"/>
              <w:left w:val="nil"/>
              <w:bottom w:val="single" w:sz="4" w:space="0" w:color="auto"/>
              <w:right w:val="single" w:sz="4" w:space="0" w:color="auto"/>
            </w:tcBorders>
            <w:shd w:val="clear" w:color="auto" w:fill="auto"/>
            <w:noWrap/>
            <w:vAlign w:val="center"/>
            <w:hideMark/>
          </w:tcPr>
          <w:p w14:paraId="6FED2A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1022" w:type="dxa"/>
            <w:tcBorders>
              <w:top w:val="nil"/>
              <w:left w:val="nil"/>
              <w:bottom w:val="single" w:sz="4" w:space="0" w:color="auto"/>
              <w:right w:val="single" w:sz="4" w:space="0" w:color="auto"/>
            </w:tcBorders>
            <w:shd w:val="clear" w:color="auto" w:fill="auto"/>
            <w:noWrap/>
            <w:vAlign w:val="center"/>
            <w:hideMark/>
          </w:tcPr>
          <w:p w14:paraId="787E94E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958" w:type="dxa"/>
            <w:tcBorders>
              <w:top w:val="nil"/>
              <w:left w:val="nil"/>
              <w:bottom w:val="single" w:sz="4" w:space="0" w:color="auto"/>
              <w:right w:val="single" w:sz="4" w:space="0" w:color="auto"/>
            </w:tcBorders>
            <w:shd w:val="clear" w:color="auto" w:fill="auto"/>
            <w:noWrap/>
            <w:vAlign w:val="center"/>
            <w:hideMark/>
          </w:tcPr>
          <w:p w14:paraId="2B2497B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r>
      <w:tr w:rsidR="00733E9B" w:rsidRPr="003F1806" w14:paraId="6E96D649"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CB67E4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0184DED"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Health</w:t>
            </w:r>
          </w:p>
        </w:tc>
        <w:tc>
          <w:tcPr>
            <w:tcW w:w="653" w:type="dxa"/>
            <w:tcBorders>
              <w:top w:val="nil"/>
              <w:left w:val="nil"/>
              <w:bottom w:val="single" w:sz="4" w:space="0" w:color="auto"/>
              <w:right w:val="single" w:sz="4" w:space="0" w:color="auto"/>
            </w:tcBorders>
            <w:shd w:val="clear" w:color="auto" w:fill="auto"/>
            <w:noWrap/>
            <w:vAlign w:val="center"/>
            <w:hideMark/>
          </w:tcPr>
          <w:p w14:paraId="4F7263E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0.27</w:t>
            </w:r>
          </w:p>
        </w:tc>
        <w:tc>
          <w:tcPr>
            <w:tcW w:w="715" w:type="dxa"/>
            <w:tcBorders>
              <w:top w:val="nil"/>
              <w:left w:val="nil"/>
              <w:bottom w:val="single" w:sz="4" w:space="0" w:color="auto"/>
              <w:right w:val="single" w:sz="4" w:space="0" w:color="auto"/>
            </w:tcBorders>
            <w:shd w:val="clear" w:color="auto" w:fill="auto"/>
            <w:noWrap/>
            <w:vAlign w:val="center"/>
            <w:hideMark/>
          </w:tcPr>
          <w:p w14:paraId="726F507C"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336F8E6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0.21</w:t>
            </w:r>
          </w:p>
        </w:tc>
        <w:tc>
          <w:tcPr>
            <w:tcW w:w="653" w:type="dxa"/>
            <w:tcBorders>
              <w:top w:val="nil"/>
              <w:left w:val="nil"/>
              <w:bottom w:val="single" w:sz="4" w:space="0" w:color="auto"/>
              <w:right w:val="single" w:sz="4" w:space="0" w:color="auto"/>
            </w:tcBorders>
            <w:shd w:val="clear" w:color="auto" w:fill="auto"/>
            <w:noWrap/>
            <w:vAlign w:val="center"/>
            <w:hideMark/>
          </w:tcPr>
          <w:p w14:paraId="59B6A18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0.24</w:t>
            </w:r>
          </w:p>
        </w:tc>
        <w:tc>
          <w:tcPr>
            <w:tcW w:w="842" w:type="dxa"/>
            <w:tcBorders>
              <w:top w:val="nil"/>
              <w:left w:val="nil"/>
              <w:bottom w:val="single" w:sz="4" w:space="0" w:color="auto"/>
              <w:right w:val="single" w:sz="4" w:space="0" w:color="auto"/>
            </w:tcBorders>
            <w:shd w:val="clear" w:color="auto" w:fill="auto"/>
            <w:noWrap/>
            <w:vAlign w:val="center"/>
            <w:hideMark/>
          </w:tcPr>
          <w:p w14:paraId="4E5F233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47" w:type="dxa"/>
            <w:tcBorders>
              <w:top w:val="nil"/>
              <w:left w:val="nil"/>
              <w:bottom w:val="single" w:sz="4" w:space="0" w:color="auto"/>
              <w:right w:val="single" w:sz="4" w:space="0" w:color="auto"/>
            </w:tcBorders>
            <w:shd w:val="clear" w:color="auto" w:fill="auto"/>
            <w:noWrap/>
            <w:vAlign w:val="center"/>
            <w:hideMark/>
          </w:tcPr>
          <w:p w14:paraId="32D6BBCA"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950" w:type="dxa"/>
            <w:tcBorders>
              <w:top w:val="nil"/>
              <w:left w:val="nil"/>
              <w:bottom w:val="single" w:sz="4" w:space="0" w:color="auto"/>
              <w:right w:val="single" w:sz="4" w:space="0" w:color="auto"/>
            </w:tcBorders>
            <w:shd w:val="clear" w:color="auto" w:fill="auto"/>
            <w:noWrap/>
            <w:vAlign w:val="center"/>
            <w:hideMark/>
          </w:tcPr>
          <w:p w14:paraId="72EF00C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1022" w:type="dxa"/>
            <w:tcBorders>
              <w:top w:val="nil"/>
              <w:left w:val="nil"/>
              <w:bottom w:val="single" w:sz="4" w:space="0" w:color="auto"/>
              <w:right w:val="single" w:sz="4" w:space="0" w:color="auto"/>
            </w:tcBorders>
            <w:shd w:val="clear" w:color="auto" w:fill="auto"/>
            <w:noWrap/>
            <w:vAlign w:val="center"/>
            <w:hideMark/>
          </w:tcPr>
          <w:p w14:paraId="55FEE987"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958" w:type="dxa"/>
            <w:tcBorders>
              <w:top w:val="nil"/>
              <w:left w:val="nil"/>
              <w:bottom w:val="single" w:sz="4" w:space="0" w:color="auto"/>
              <w:right w:val="single" w:sz="4" w:space="0" w:color="auto"/>
            </w:tcBorders>
            <w:shd w:val="clear" w:color="auto" w:fill="auto"/>
            <w:noWrap/>
            <w:vAlign w:val="center"/>
            <w:hideMark/>
          </w:tcPr>
          <w:p w14:paraId="2F51C24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r>
      <w:tr w:rsidR="00733E9B" w:rsidRPr="003F1806" w14:paraId="248E1B1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2BA7AD1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AA783C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Family Education</w:t>
            </w:r>
          </w:p>
        </w:tc>
        <w:tc>
          <w:tcPr>
            <w:tcW w:w="653" w:type="dxa"/>
            <w:tcBorders>
              <w:top w:val="nil"/>
              <w:left w:val="nil"/>
              <w:bottom w:val="single" w:sz="4" w:space="0" w:color="auto"/>
              <w:right w:val="single" w:sz="4" w:space="0" w:color="auto"/>
            </w:tcBorders>
            <w:shd w:val="clear" w:color="auto" w:fill="auto"/>
            <w:noWrap/>
            <w:vAlign w:val="center"/>
            <w:hideMark/>
          </w:tcPr>
          <w:p w14:paraId="677817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715" w:type="dxa"/>
            <w:tcBorders>
              <w:top w:val="nil"/>
              <w:left w:val="nil"/>
              <w:bottom w:val="single" w:sz="4" w:space="0" w:color="auto"/>
              <w:right w:val="single" w:sz="4" w:space="0" w:color="auto"/>
            </w:tcBorders>
            <w:shd w:val="clear" w:color="auto" w:fill="auto"/>
            <w:noWrap/>
            <w:vAlign w:val="center"/>
            <w:hideMark/>
          </w:tcPr>
          <w:p w14:paraId="0526B2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735" w:type="dxa"/>
            <w:tcBorders>
              <w:top w:val="nil"/>
              <w:left w:val="nil"/>
              <w:bottom w:val="single" w:sz="4" w:space="0" w:color="auto"/>
              <w:right w:val="single" w:sz="4" w:space="0" w:color="auto"/>
            </w:tcBorders>
            <w:shd w:val="clear" w:color="auto" w:fill="auto"/>
            <w:noWrap/>
            <w:vAlign w:val="center"/>
            <w:hideMark/>
          </w:tcPr>
          <w:p w14:paraId="38A030D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653" w:type="dxa"/>
            <w:tcBorders>
              <w:top w:val="nil"/>
              <w:left w:val="nil"/>
              <w:bottom w:val="single" w:sz="4" w:space="0" w:color="auto"/>
              <w:right w:val="single" w:sz="4" w:space="0" w:color="auto"/>
            </w:tcBorders>
            <w:shd w:val="clear" w:color="auto" w:fill="auto"/>
            <w:noWrap/>
            <w:vAlign w:val="center"/>
            <w:hideMark/>
          </w:tcPr>
          <w:p w14:paraId="747DA9B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13E427D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32D87D6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0.59</w:t>
            </w:r>
          </w:p>
        </w:tc>
        <w:tc>
          <w:tcPr>
            <w:tcW w:w="950" w:type="dxa"/>
            <w:tcBorders>
              <w:top w:val="nil"/>
              <w:left w:val="nil"/>
              <w:bottom w:val="single" w:sz="4" w:space="0" w:color="auto"/>
              <w:right w:val="single" w:sz="4" w:space="0" w:color="auto"/>
            </w:tcBorders>
            <w:shd w:val="clear" w:color="auto" w:fill="auto"/>
            <w:noWrap/>
            <w:vAlign w:val="center"/>
            <w:hideMark/>
          </w:tcPr>
          <w:p w14:paraId="3650AC2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1022" w:type="dxa"/>
            <w:tcBorders>
              <w:top w:val="nil"/>
              <w:left w:val="nil"/>
              <w:bottom w:val="single" w:sz="4" w:space="0" w:color="auto"/>
              <w:right w:val="single" w:sz="4" w:space="0" w:color="auto"/>
            </w:tcBorders>
            <w:shd w:val="clear" w:color="auto" w:fill="auto"/>
            <w:noWrap/>
            <w:vAlign w:val="center"/>
            <w:hideMark/>
          </w:tcPr>
          <w:p w14:paraId="4FE8D0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958" w:type="dxa"/>
            <w:tcBorders>
              <w:top w:val="nil"/>
              <w:left w:val="nil"/>
              <w:bottom w:val="single" w:sz="4" w:space="0" w:color="auto"/>
              <w:right w:val="single" w:sz="4" w:space="0" w:color="auto"/>
            </w:tcBorders>
            <w:shd w:val="clear" w:color="auto" w:fill="auto"/>
            <w:noWrap/>
            <w:vAlign w:val="center"/>
            <w:hideMark/>
          </w:tcPr>
          <w:p w14:paraId="318DB60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0.59</w:t>
            </w:r>
          </w:p>
        </w:tc>
      </w:tr>
      <w:tr w:rsidR="00733E9B" w:rsidRPr="003F1806" w14:paraId="65F4B8A2"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7AB3142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31A1116"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Vocational Training</w:t>
            </w:r>
          </w:p>
        </w:tc>
        <w:tc>
          <w:tcPr>
            <w:tcW w:w="653" w:type="dxa"/>
            <w:tcBorders>
              <w:top w:val="nil"/>
              <w:left w:val="nil"/>
              <w:bottom w:val="single" w:sz="4" w:space="0" w:color="auto"/>
              <w:right w:val="single" w:sz="4" w:space="0" w:color="auto"/>
            </w:tcBorders>
            <w:shd w:val="clear" w:color="auto" w:fill="auto"/>
            <w:noWrap/>
            <w:vAlign w:val="center"/>
            <w:hideMark/>
          </w:tcPr>
          <w:p w14:paraId="5A0E53E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715" w:type="dxa"/>
            <w:tcBorders>
              <w:top w:val="nil"/>
              <w:left w:val="nil"/>
              <w:bottom w:val="single" w:sz="4" w:space="0" w:color="auto"/>
              <w:right w:val="single" w:sz="4" w:space="0" w:color="auto"/>
            </w:tcBorders>
            <w:shd w:val="clear" w:color="auto" w:fill="auto"/>
            <w:noWrap/>
            <w:vAlign w:val="center"/>
            <w:hideMark/>
          </w:tcPr>
          <w:p w14:paraId="72B4C5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735" w:type="dxa"/>
            <w:tcBorders>
              <w:top w:val="nil"/>
              <w:left w:val="nil"/>
              <w:bottom w:val="single" w:sz="4" w:space="0" w:color="auto"/>
              <w:right w:val="single" w:sz="4" w:space="0" w:color="auto"/>
            </w:tcBorders>
            <w:shd w:val="clear" w:color="auto" w:fill="auto"/>
            <w:noWrap/>
            <w:vAlign w:val="center"/>
            <w:hideMark/>
          </w:tcPr>
          <w:p w14:paraId="1BFFA1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653" w:type="dxa"/>
            <w:tcBorders>
              <w:top w:val="nil"/>
              <w:left w:val="nil"/>
              <w:bottom w:val="single" w:sz="4" w:space="0" w:color="auto"/>
              <w:right w:val="single" w:sz="4" w:space="0" w:color="auto"/>
            </w:tcBorders>
            <w:shd w:val="clear" w:color="auto" w:fill="auto"/>
            <w:noWrap/>
            <w:vAlign w:val="center"/>
            <w:hideMark/>
          </w:tcPr>
          <w:p w14:paraId="38E6A4A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842" w:type="dxa"/>
            <w:tcBorders>
              <w:top w:val="nil"/>
              <w:left w:val="nil"/>
              <w:bottom w:val="single" w:sz="4" w:space="0" w:color="auto"/>
              <w:right w:val="single" w:sz="4" w:space="0" w:color="auto"/>
            </w:tcBorders>
            <w:shd w:val="clear" w:color="auto" w:fill="auto"/>
            <w:noWrap/>
            <w:vAlign w:val="center"/>
            <w:hideMark/>
          </w:tcPr>
          <w:p w14:paraId="034848A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747" w:type="dxa"/>
            <w:tcBorders>
              <w:top w:val="nil"/>
              <w:left w:val="nil"/>
              <w:bottom w:val="single" w:sz="4" w:space="0" w:color="auto"/>
              <w:right w:val="single" w:sz="4" w:space="0" w:color="auto"/>
            </w:tcBorders>
            <w:shd w:val="clear" w:color="auto" w:fill="auto"/>
            <w:noWrap/>
            <w:vAlign w:val="center"/>
            <w:hideMark/>
          </w:tcPr>
          <w:p w14:paraId="071722C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1D9E016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1022" w:type="dxa"/>
            <w:tcBorders>
              <w:top w:val="nil"/>
              <w:left w:val="nil"/>
              <w:bottom w:val="single" w:sz="4" w:space="0" w:color="auto"/>
              <w:right w:val="single" w:sz="4" w:space="0" w:color="auto"/>
            </w:tcBorders>
            <w:shd w:val="clear" w:color="auto" w:fill="auto"/>
            <w:noWrap/>
            <w:vAlign w:val="center"/>
            <w:hideMark/>
          </w:tcPr>
          <w:p w14:paraId="51A9172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958" w:type="dxa"/>
            <w:tcBorders>
              <w:top w:val="nil"/>
              <w:left w:val="nil"/>
              <w:bottom w:val="single" w:sz="4" w:space="0" w:color="auto"/>
              <w:right w:val="single" w:sz="4" w:space="0" w:color="auto"/>
            </w:tcBorders>
            <w:shd w:val="clear" w:color="auto" w:fill="auto"/>
            <w:noWrap/>
            <w:vAlign w:val="center"/>
            <w:hideMark/>
          </w:tcPr>
          <w:p w14:paraId="5EEA84C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r>
      <w:tr w:rsidR="00733E9B" w:rsidRPr="003F1806" w14:paraId="1B7A198E" w14:textId="77777777" w:rsidTr="00733E9B">
        <w:trPr>
          <w:trHeight w:hRule="exact" w:val="344"/>
        </w:trPr>
        <w:tc>
          <w:tcPr>
            <w:tcW w:w="105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85BFFBB"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Natural Assets (C</w:t>
            </w:r>
            <w:r w:rsidRPr="003F1806">
              <w:rPr>
                <w:rFonts w:ascii="Arial MT" w:eastAsia="Times New Roman" w:hAnsi="Arial MT" w:cs="Arial"/>
                <w:b/>
                <w:bCs/>
                <w:color w:val="000000"/>
                <w:sz w:val="20"/>
                <w:szCs w:val="20"/>
                <w:vertAlign w:val="subscript"/>
              </w:rPr>
              <w:t>2</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7C6EA3D0" w14:textId="77777777" w:rsidR="00FE6ECB" w:rsidRPr="003F1806" w:rsidRDefault="00FE6ECB" w:rsidP="00B42A32">
            <w:pPr>
              <w:spacing w:after="0"/>
              <w:rPr>
                <w:rFonts w:ascii="Arial MT" w:eastAsia="Times New Roman" w:hAnsi="Arial MT" w:cs="Arial"/>
                <w:sz w:val="20"/>
                <w:szCs w:val="20"/>
              </w:rPr>
            </w:pPr>
            <w:r w:rsidRPr="003F1806">
              <w:rPr>
                <w:rFonts w:ascii="Arial MT" w:eastAsia="Times New Roman" w:hAnsi="Arial MT" w:cs="Arial"/>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3B8F5E9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0.29</w:t>
            </w:r>
          </w:p>
        </w:tc>
        <w:tc>
          <w:tcPr>
            <w:tcW w:w="715" w:type="dxa"/>
            <w:tcBorders>
              <w:top w:val="nil"/>
              <w:left w:val="nil"/>
              <w:bottom w:val="single" w:sz="4" w:space="0" w:color="auto"/>
              <w:right w:val="single" w:sz="4" w:space="0" w:color="auto"/>
            </w:tcBorders>
            <w:shd w:val="clear" w:color="auto" w:fill="auto"/>
            <w:noWrap/>
            <w:vAlign w:val="center"/>
            <w:hideMark/>
          </w:tcPr>
          <w:p w14:paraId="062BD23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35" w:type="dxa"/>
            <w:tcBorders>
              <w:top w:val="nil"/>
              <w:left w:val="nil"/>
              <w:bottom w:val="single" w:sz="4" w:space="0" w:color="auto"/>
              <w:right w:val="single" w:sz="4" w:space="0" w:color="auto"/>
            </w:tcBorders>
            <w:shd w:val="clear" w:color="auto" w:fill="auto"/>
            <w:noWrap/>
            <w:vAlign w:val="center"/>
            <w:hideMark/>
          </w:tcPr>
          <w:p w14:paraId="5A2B82C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0.33</w:t>
            </w:r>
          </w:p>
        </w:tc>
        <w:tc>
          <w:tcPr>
            <w:tcW w:w="653" w:type="dxa"/>
            <w:tcBorders>
              <w:top w:val="nil"/>
              <w:left w:val="nil"/>
              <w:bottom w:val="single" w:sz="4" w:space="0" w:color="auto"/>
              <w:right w:val="single" w:sz="4" w:space="0" w:color="auto"/>
            </w:tcBorders>
            <w:shd w:val="clear" w:color="auto" w:fill="auto"/>
            <w:noWrap/>
            <w:vAlign w:val="center"/>
            <w:hideMark/>
          </w:tcPr>
          <w:p w14:paraId="524427F7"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1BBE0041"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0.41</w:t>
            </w:r>
          </w:p>
        </w:tc>
        <w:tc>
          <w:tcPr>
            <w:tcW w:w="747" w:type="dxa"/>
            <w:tcBorders>
              <w:top w:val="nil"/>
              <w:left w:val="nil"/>
              <w:bottom w:val="single" w:sz="4" w:space="0" w:color="auto"/>
              <w:right w:val="single" w:sz="4" w:space="0" w:color="auto"/>
            </w:tcBorders>
            <w:shd w:val="clear" w:color="auto" w:fill="auto"/>
            <w:noWrap/>
            <w:vAlign w:val="center"/>
            <w:hideMark/>
          </w:tcPr>
          <w:p w14:paraId="631C8910"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950" w:type="dxa"/>
            <w:tcBorders>
              <w:top w:val="nil"/>
              <w:left w:val="nil"/>
              <w:bottom w:val="single" w:sz="4" w:space="0" w:color="auto"/>
              <w:right w:val="single" w:sz="4" w:space="0" w:color="auto"/>
            </w:tcBorders>
            <w:shd w:val="clear" w:color="auto" w:fill="auto"/>
            <w:noWrap/>
            <w:vAlign w:val="center"/>
            <w:hideMark/>
          </w:tcPr>
          <w:p w14:paraId="58C327A4"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0.35</w:t>
            </w:r>
          </w:p>
        </w:tc>
        <w:tc>
          <w:tcPr>
            <w:tcW w:w="1022" w:type="dxa"/>
            <w:tcBorders>
              <w:top w:val="nil"/>
              <w:left w:val="nil"/>
              <w:bottom w:val="single" w:sz="4" w:space="0" w:color="auto"/>
              <w:right w:val="single" w:sz="4" w:space="0" w:color="auto"/>
            </w:tcBorders>
            <w:shd w:val="clear" w:color="auto" w:fill="auto"/>
            <w:noWrap/>
            <w:vAlign w:val="center"/>
            <w:hideMark/>
          </w:tcPr>
          <w:p w14:paraId="51D4AFF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0.34</w:t>
            </w:r>
          </w:p>
        </w:tc>
        <w:tc>
          <w:tcPr>
            <w:tcW w:w="958" w:type="dxa"/>
            <w:tcBorders>
              <w:top w:val="nil"/>
              <w:left w:val="nil"/>
              <w:bottom w:val="single" w:sz="4" w:space="0" w:color="auto"/>
              <w:right w:val="single" w:sz="4" w:space="0" w:color="auto"/>
            </w:tcBorders>
            <w:shd w:val="clear" w:color="auto" w:fill="auto"/>
            <w:noWrap/>
            <w:vAlign w:val="center"/>
            <w:hideMark/>
          </w:tcPr>
          <w:p w14:paraId="676EA9EF"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0.32</w:t>
            </w:r>
          </w:p>
        </w:tc>
      </w:tr>
      <w:tr w:rsidR="00733E9B" w:rsidRPr="003F1806" w14:paraId="4F9548B7" w14:textId="77777777" w:rsidTr="00733E9B">
        <w:trPr>
          <w:trHeight w:hRule="exact" w:val="344"/>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36332D5C"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45FF4EB"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Land Holding</w:t>
            </w:r>
          </w:p>
        </w:tc>
        <w:tc>
          <w:tcPr>
            <w:tcW w:w="653" w:type="dxa"/>
            <w:tcBorders>
              <w:top w:val="nil"/>
              <w:left w:val="nil"/>
              <w:bottom w:val="single" w:sz="4" w:space="0" w:color="auto"/>
              <w:right w:val="single" w:sz="4" w:space="0" w:color="auto"/>
            </w:tcBorders>
            <w:shd w:val="clear" w:color="auto" w:fill="auto"/>
            <w:noWrap/>
            <w:vAlign w:val="center"/>
            <w:hideMark/>
          </w:tcPr>
          <w:p w14:paraId="5043B4A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715" w:type="dxa"/>
            <w:tcBorders>
              <w:top w:val="nil"/>
              <w:left w:val="nil"/>
              <w:bottom w:val="single" w:sz="4" w:space="0" w:color="auto"/>
              <w:right w:val="single" w:sz="4" w:space="0" w:color="auto"/>
            </w:tcBorders>
            <w:shd w:val="clear" w:color="auto" w:fill="auto"/>
            <w:noWrap/>
            <w:vAlign w:val="center"/>
            <w:hideMark/>
          </w:tcPr>
          <w:p w14:paraId="50778B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35" w:type="dxa"/>
            <w:tcBorders>
              <w:top w:val="nil"/>
              <w:left w:val="nil"/>
              <w:bottom w:val="single" w:sz="4" w:space="0" w:color="auto"/>
              <w:right w:val="single" w:sz="4" w:space="0" w:color="auto"/>
            </w:tcBorders>
            <w:shd w:val="clear" w:color="auto" w:fill="auto"/>
            <w:noWrap/>
            <w:vAlign w:val="center"/>
            <w:hideMark/>
          </w:tcPr>
          <w:p w14:paraId="1523CD0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653" w:type="dxa"/>
            <w:tcBorders>
              <w:top w:val="nil"/>
              <w:left w:val="nil"/>
              <w:bottom w:val="single" w:sz="4" w:space="0" w:color="auto"/>
              <w:right w:val="single" w:sz="4" w:space="0" w:color="auto"/>
            </w:tcBorders>
            <w:shd w:val="clear" w:color="auto" w:fill="auto"/>
            <w:noWrap/>
            <w:vAlign w:val="center"/>
            <w:hideMark/>
          </w:tcPr>
          <w:p w14:paraId="197DC4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08DE163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4B068BA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950" w:type="dxa"/>
            <w:tcBorders>
              <w:top w:val="nil"/>
              <w:left w:val="nil"/>
              <w:bottom w:val="single" w:sz="4" w:space="0" w:color="auto"/>
              <w:right w:val="single" w:sz="4" w:space="0" w:color="auto"/>
            </w:tcBorders>
            <w:shd w:val="clear" w:color="auto" w:fill="auto"/>
            <w:noWrap/>
            <w:vAlign w:val="center"/>
            <w:hideMark/>
          </w:tcPr>
          <w:p w14:paraId="5528597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1022" w:type="dxa"/>
            <w:tcBorders>
              <w:top w:val="nil"/>
              <w:left w:val="nil"/>
              <w:bottom w:val="single" w:sz="4" w:space="0" w:color="auto"/>
              <w:right w:val="single" w:sz="4" w:space="0" w:color="auto"/>
            </w:tcBorders>
            <w:shd w:val="clear" w:color="auto" w:fill="auto"/>
            <w:noWrap/>
            <w:vAlign w:val="center"/>
            <w:hideMark/>
          </w:tcPr>
          <w:p w14:paraId="07FBFA6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958" w:type="dxa"/>
            <w:tcBorders>
              <w:top w:val="nil"/>
              <w:left w:val="nil"/>
              <w:bottom w:val="single" w:sz="4" w:space="0" w:color="auto"/>
              <w:right w:val="single" w:sz="4" w:space="0" w:color="auto"/>
            </w:tcBorders>
            <w:shd w:val="clear" w:color="auto" w:fill="auto"/>
            <w:noWrap/>
            <w:vAlign w:val="center"/>
            <w:hideMark/>
          </w:tcPr>
          <w:p w14:paraId="68C102C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50E3994E" w14:textId="77777777" w:rsidTr="00733E9B">
        <w:trPr>
          <w:trHeight w:hRule="exact" w:val="344"/>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2D1370F2"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DE0ACEF"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Irrigated Land</w:t>
            </w:r>
          </w:p>
        </w:tc>
        <w:tc>
          <w:tcPr>
            <w:tcW w:w="653" w:type="dxa"/>
            <w:tcBorders>
              <w:top w:val="nil"/>
              <w:left w:val="nil"/>
              <w:bottom w:val="single" w:sz="4" w:space="0" w:color="auto"/>
              <w:right w:val="single" w:sz="4" w:space="0" w:color="auto"/>
            </w:tcBorders>
            <w:shd w:val="clear" w:color="auto" w:fill="auto"/>
            <w:noWrap/>
            <w:vAlign w:val="center"/>
            <w:hideMark/>
          </w:tcPr>
          <w:p w14:paraId="0F572F6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0.03</w:t>
            </w:r>
          </w:p>
        </w:tc>
        <w:tc>
          <w:tcPr>
            <w:tcW w:w="715" w:type="dxa"/>
            <w:tcBorders>
              <w:top w:val="nil"/>
              <w:left w:val="nil"/>
              <w:bottom w:val="single" w:sz="4" w:space="0" w:color="auto"/>
              <w:right w:val="single" w:sz="4" w:space="0" w:color="auto"/>
            </w:tcBorders>
            <w:shd w:val="clear" w:color="auto" w:fill="auto"/>
            <w:noWrap/>
            <w:vAlign w:val="center"/>
            <w:hideMark/>
          </w:tcPr>
          <w:p w14:paraId="1EC36A4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735" w:type="dxa"/>
            <w:tcBorders>
              <w:top w:val="nil"/>
              <w:left w:val="nil"/>
              <w:bottom w:val="single" w:sz="4" w:space="0" w:color="auto"/>
              <w:right w:val="single" w:sz="4" w:space="0" w:color="auto"/>
            </w:tcBorders>
            <w:shd w:val="clear" w:color="auto" w:fill="auto"/>
            <w:noWrap/>
            <w:vAlign w:val="center"/>
            <w:hideMark/>
          </w:tcPr>
          <w:p w14:paraId="49D1CF8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c>
          <w:tcPr>
            <w:tcW w:w="653" w:type="dxa"/>
            <w:tcBorders>
              <w:top w:val="nil"/>
              <w:left w:val="nil"/>
              <w:bottom w:val="single" w:sz="4" w:space="0" w:color="auto"/>
              <w:right w:val="single" w:sz="4" w:space="0" w:color="auto"/>
            </w:tcBorders>
            <w:shd w:val="clear" w:color="auto" w:fill="auto"/>
            <w:noWrap/>
            <w:vAlign w:val="center"/>
            <w:hideMark/>
          </w:tcPr>
          <w:p w14:paraId="111474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842" w:type="dxa"/>
            <w:tcBorders>
              <w:top w:val="nil"/>
              <w:left w:val="nil"/>
              <w:bottom w:val="single" w:sz="4" w:space="0" w:color="auto"/>
              <w:right w:val="single" w:sz="4" w:space="0" w:color="auto"/>
            </w:tcBorders>
            <w:shd w:val="clear" w:color="auto" w:fill="auto"/>
            <w:noWrap/>
            <w:vAlign w:val="center"/>
            <w:hideMark/>
          </w:tcPr>
          <w:p w14:paraId="58CBB3A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747" w:type="dxa"/>
            <w:tcBorders>
              <w:top w:val="nil"/>
              <w:left w:val="nil"/>
              <w:bottom w:val="single" w:sz="4" w:space="0" w:color="auto"/>
              <w:right w:val="single" w:sz="4" w:space="0" w:color="auto"/>
            </w:tcBorders>
            <w:shd w:val="clear" w:color="auto" w:fill="auto"/>
            <w:noWrap/>
            <w:vAlign w:val="center"/>
            <w:hideMark/>
          </w:tcPr>
          <w:p w14:paraId="19B82C7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0.15</w:t>
            </w:r>
          </w:p>
        </w:tc>
        <w:tc>
          <w:tcPr>
            <w:tcW w:w="950" w:type="dxa"/>
            <w:tcBorders>
              <w:top w:val="nil"/>
              <w:left w:val="nil"/>
              <w:bottom w:val="single" w:sz="4" w:space="0" w:color="auto"/>
              <w:right w:val="single" w:sz="4" w:space="0" w:color="auto"/>
            </w:tcBorders>
            <w:shd w:val="clear" w:color="auto" w:fill="auto"/>
            <w:noWrap/>
            <w:vAlign w:val="center"/>
            <w:hideMark/>
          </w:tcPr>
          <w:p w14:paraId="498DC0E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1022" w:type="dxa"/>
            <w:tcBorders>
              <w:top w:val="nil"/>
              <w:left w:val="nil"/>
              <w:bottom w:val="single" w:sz="4" w:space="0" w:color="auto"/>
              <w:right w:val="single" w:sz="4" w:space="0" w:color="auto"/>
            </w:tcBorders>
            <w:shd w:val="clear" w:color="auto" w:fill="auto"/>
            <w:noWrap/>
            <w:vAlign w:val="center"/>
            <w:hideMark/>
          </w:tcPr>
          <w:p w14:paraId="5E2ED75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0.03</w:t>
            </w:r>
          </w:p>
        </w:tc>
        <w:tc>
          <w:tcPr>
            <w:tcW w:w="958" w:type="dxa"/>
            <w:tcBorders>
              <w:top w:val="nil"/>
              <w:left w:val="nil"/>
              <w:bottom w:val="single" w:sz="4" w:space="0" w:color="auto"/>
              <w:right w:val="single" w:sz="4" w:space="0" w:color="auto"/>
            </w:tcBorders>
            <w:shd w:val="clear" w:color="auto" w:fill="auto"/>
            <w:noWrap/>
            <w:vAlign w:val="center"/>
            <w:hideMark/>
          </w:tcPr>
          <w:p w14:paraId="46088BA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0.01</w:t>
            </w:r>
          </w:p>
        </w:tc>
      </w:tr>
      <w:tr w:rsidR="00733E9B" w:rsidRPr="003F1806" w14:paraId="42EB9BC2" w14:textId="77777777" w:rsidTr="00733E9B">
        <w:trPr>
          <w:trHeight w:hRule="exact" w:val="286"/>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467D3248"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BFED20A"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Environmental condition</w:t>
            </w:r>
          </w:p>
        </w:tc>
        <w:tc>
          <w:tcPr>
            <w:tcW w:w="653" w:type="dxa"/>
            <w:tcBorders>
              <w:top w:val="nil"/>
              <w:left w:val="nil"/>
              <w:bottom w:val="single" w:sz="4" w:space="0" w:color="auto"/>
              <w:right w:val="single" w:sz="4" w:space="0" w:color="auto"/>
            </w:tcBorders>
            <w:shd w:val="clear" w:color="auto" w:fill="auto"/>
            <w:noWrap/>
            <w:vAlign w:val="center"/>
            <w:hideMark/>
          </w:tcPr>
          <w:p w14:paraId="09CCBA5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15" w:type="dxa"/>
            <w:tcBorders>
              <w:top w:val="nil"/>
              <w:left w:val="nil"/>
              <w:bottom w:val="single" w:sz="4" w:space="0" w:color="auto"/>
              <w:right w:val="single" w:sz="4" w:space="0" w:color="auto"/>
            </w:tcBorders>
            <w:shd w:val="clear" w:color="auto" w:fill="auto"/>
            <w:noWrap/>
            <w:vAlign w:val="center"/>
            <w:hideMark/>
          </w:tcPr>
          <w:p w14:paraId="0E14E33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0.29</w:t>
            </w:r>
          </w:p>
        </w:tc>
        <w:tc>
          <w:tcPr>
            <w:tcW w:w="735" w:type="dxa"/>
            <w:tcBorders>
              <w:top w:val="nil"/>
              <w:left w:val="nil"/>
              <w:bottom w:val="single" w:sz="4" w:space="0" w:color="auto"/>
              <w:right w:val="single" w:sz="4" w:space="0" w:color="auto"/>
            </w:tcBorders>
            <w:shd w:val="clear" w:color="auto" w:fill="auto"/>
            <w:noWrap/>
            <w:vAlign w:val="center"/>
            <w:hideMark/>
          </w:tcPr>
          <w:p w14:paraId="525C6487"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0.29</w:t>
            </w:r>
          </w:p>
        </w:tc>
        <w:tc>
          <w:tcPr>
            <w:tcW w:w="653" w:type="dxa"/>
            <w:tcBorders>
              <w:top w:val="nil"/>
              <w:left w:val="nil"/>
              <w:bottom w:val="single" w:sz="4" w:space="0" w:color="auto"/>
              <w:right w:val="single" w:sz="4" w:space="0" w:color="auto"/>
            </w:tcBorders>
            <w:shd w:val="clear" w:color="auto" w:fill="auto"/>
            <w:noWrap/>
            <w:vAlign w:val="center"/>
            <w:hideMark/>
          </w:tcPr>
          <w:p w14:paraId="3D8982C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0.31</w:t>
            </w:r>
          </w:p>
        </w:tc>
        <w:tc>
          <w:tcPr>
            <w:tcW w:w="842" w:type="dxa"/>
            <w:tcBorders>
              <w:top w:val="nil"/>
              <w:left w:val="nil"/>
              <w:bottom w:val="single" w:sz="4" w:space="0" w:color="auto"/>
              <w:right w:val="single" w:sz="4" w:space="0" w:color="auto"/>
            </w:tcBorders>
            <w:shd w:val="clear" w:color="auto" w:fill="auto"/>
            <w:noWrap/>
            <w:vAlign w:val="center"/>
            <w:hideMark/>
          </w:tcPr>
          <w:p w14:paraId="5F6C0B0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4EEFDE7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0.34</w:t>
            </w:r>
          </w:p>
        </w:tc>
        <w:tc>
          <w:tcPr>
            <w:tcW w:w="950" w:type="dxa"/>
            <w:tcBorders>
              <w:top w:val="nil"/>
              <w:left w:val="nil"/>
              <w:bottom w:val="single" w:sz="4" w:space="0" w:color="auto"/>
              <w:right w:val="single" w:sz="4" w:space="0" w:color="auto"/>
            </w:tcBorders>
            <w:shd w:val="clear" w:color="auto" w:fill="auto"/>
            <w:noWrap/>
            <w:vAlign w:val="center"/>
            <w:hideMark/>
          </w:tcPr>
          <w:p w14:paraId="63373E2B"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0.36</w:t>
            </w:r>
          </w:p>
        </w:tc>
        <w:tc>
          <w:tcPr>
            <w:tcW w:w="1022" w:type="dxa"/>
            <w:tcBorders>
              <w:top w:val="nil"/>
              <w:left w:val="nil"/>
              <w:bottom w:val="single" w:sz="4" w:space="0" w:color="auto"/>
              <w:right w:val="single" w:sz="4" w:space="0" w:color="auto"/>
            </w:tcBorders>
            <w:shd w:val="clear" w:color="auto" w:fill="auto"/>
            <w:noWrap/>
            <w:vAlign w:val="center"/>
            <w:hideMark/>
          </w:tcPr>
          <w:p w14:paraId="5958F2E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0.35</w:t>
            </w:r>
          </w:p>
        </w:tc>
        <w:tc>
          <w:tcPr>
            <w:tcW w:w="958" w:type="dxa"/>
            <w:tcBorders>
              <w:top w:val="nil"/>
              <w:left w:val="nil"/>
              <w:bottom w:val="single" w:sz="4" w:space="0" w:color="auto"/>
              <w:right w:val="single" w:sz="4" w:space="0" w:color="auto"/>
            </w:tcBorders>
            <w:shd w:val="clear" w:color="auto" w:fill="auto"/>
            <w:noWrap/>
            <w:vAlign w:val="center"/>
            <w:hideMark/>
          </w:tcPr>
          <w:p w14:paraId="446A73DC"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0.28</w:t>
            </w:r>
          </w:p>
        </w:tc>
      </w:tr>
      <w:tr w:rsidR="00733E9B" w:rsidRPr="003F1806" w14:paraId="4C7AEF88"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63C33D56"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Physical Assets (C</w:t>
            </w:r>
            <w:r w:rsidRPr="003F1806">
              <w:rPr>
                <w:rFonts w:ascii="Arial MT" w:eastAsia="Times New Roman" w:hAnsi="Arial MT" w:cs="Arial"/>
                <w:b/>
                <w:bCs/>
                <w:color w:val="000000"/>
                <w:sz w:val="20"/>
                <w:szCs w:val="20"/>
                <w:vertAlign w:val="subscript"/>
              </w:rPr>
              <w:t>3</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415009B"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44C51785"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0.47</w:t>
            </w:r>
          </w:p>
        </w:tc>
        <w:tc>
          <w:tcPr>
            <w:tcW w:w="715" w:type="dxa"/>
            <w:tcBorders>
              <w:top w:val="nil"/>
              <w:left w:val="nil"/>
              <w:bottom w:val="single" w:sz="4" w:space="0" w:color="auto"/>
              <w:right w:val="single" w:sz="4" w:space="0" w:color="auto"/>
            </w:tcBorders>
            <w:shd w:val="clear" w:color="auto" w:fill="auto"/>
            <w:noWrap/>
            <w:vAlign w:val="center"/>
            <w:hideMark/>
          </w:tcPr>
          <w:p w14:paraId="582421A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0.51</w:t>
            </w:r>
          </w:p>
        </w:tc>
        <w:tc>
          <w:tcPr>
            <w:tcW w:w="735" w:type="dxa"/>
            <w:tcBorders>
              <w:top w:val="nil"/>
              <w:left w:val="nil"/>
              <w:bottom w:val="single" w:sz="4" w:space="0" w:color="auto"/>
              <w:right w:val="single" w:sz="4" w:space="0" w:color="auto"/>
            </w:tcBorders>
            <w:shd w:val="clear" w:color="auto" w:fill="auto"/>
            <w:noWrap/>
            <w:vAlign w:val="center"/>
            <w:hideMark/>
          </w:tcPr>
          <w:p w14:paraId="7D2C09C9"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0.52</w:t>
            </w:r>
          </w:p>
        </w:tc>
        <w:tc>
          <w:tcPr>
            <w:tcW w:w="653" w:type="dxa"/>
            <w:tcBorders>
              <w:top w:val="nil"/>
              <w:left w:val="nil"/>
              <w:bottom w:val="single" w:sz="4" w:space="0" w:color="auto"/>
              <w:right w:val="single" w:sz="4" w:space="0" w:color="auto"/>
            </w:tcBorders>
            <w:shd w:val="clear" w:color="auto" w:fill="auto"/>
            <w:noWrap/>
            <w:vAlign w:val="center"/>
            <w:hideMark/>
          </w:tcPr>
          <w:p w14:paraId="1D80697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0.46</w:t>
            </w:r>
          </w:p>
        </w:tc>
        <w:tc>
          <w:tcPr>
            <w:tcW w:w="842" w:type="dxa"/>
            <w:tcBorders>
              <w:top w:val="nil"/>
              <w:left w:val="nil"/>
              <w:bottom w:val="single" w:sz="4" w:space="0" w:color="auto"/>
              <w:right w:val="single" w:sz="4" w:space="0" w:color="auto"/>
            </w:tcBorders>
            <w:shd w:val="clear" w:color="auto" w:fill="auto"/>
            <w:noWrap/>
            <w:vAlign w:val="center"/>
            <w:hideMark/>
          </w:tcPr>
          <w:p w14:paraId="625AE766"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546C26D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0.50</w:t>
            </w:r>
          </w:p>
        </w:tc>
        <w:tc>
          <w:tcPr>
            <w:tcW w:w="950" w:type="dxa"/>
            <w:tcBorders>
              <w:top w:val="nil"/>
              <w:left w:val="nil"/>
              <w:bottom w:val="single" w:sz="4" w:space="0" w:color="auto"/>
              <w:right w:val="single" w:sz="4" w:space="0" w:color="auto"/>
            </w:tcBorders>
            <w:shd w:val="clear" w:color="auto" w:fill="auto"/>
            <w:noWrap/>
            <w:vAlign w:val="center"/>
            <w:hideMark/>
          </w:tcPr>
          <w:p w14:paraId="541B10CC"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0.47</w:t>
            </w:r>
          </w:p>
        </w:tc>
        <w:tc>
          <w:tcPr>
            <w:tcW w:w="1022" w:type="dxa"/>
            <w:tcBorders>
              <w:top w:val="nil"/>
              <w:left w:val="nil"/>
              <w:bottom w:val="single" w:sz="4" w:space="0" w:color="auto"/>
              <w:right w:val="single" w:sz="4" w:space="0" w:color="auto"/>
            </w:tcBorders>
            <w:shd w:val="clear" w:color="auto" w:fill="auto"/>
            <w:noWrap/>
            <w:vAlign w:val="center"/>
            <w:hideMark/>
          </w:tcPr>
          <w:p w14:paraId="2D604444"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0.50</w:t>
            </w:r>
          </w:p>
        </w:tc>
        <w:tc>
          <w:tcPr>
            <w:tcW w:w="958" w:type="dxa"/>
            <w:tcBorders>
              <w:top w:val="nil"/>
              <w:left w:val="nil"/>
              <w:bottom w:val="single" w:sz="4" w:space="0" w:color="auto"/>
              <w:right w:val="single" w:sz="4" w:space="0" w:color="auto"/>
            </w:tcBorders>
            <w:shd w:val="clear" w:color="auto" w:fill="auto"/>
            <w:noWrap/>
            <w:vAlign w:val="center"/>
            <w:hideMark/>
          </w:tcPr>
          <w:p w14:paraId="6127BC9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0.46</w:t>
            </w:r>
          </w:p>
        </w:tc>
      </w:tr>
      <w:tr w:rsidR="00733E9B" w:rsidRPr="003F1806" w14:paraId="4DB35AA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234405D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3A1670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House type</w:t>
            </w:r>
          </w:p>
        </w:tc>
        <w:tc>
          <w:tcPr>
            <w:tcW w:w="653" w:type="dxa"/>
            <w:tcBorders>
              <w:top w:val="nil"/>
              <w:left w:val="nil"/>
              <w:bottom w:val="single" w:sz="4" w:space="0" w:color="auto"/>
              <w:right w:val="single" w:sz="4" w:space="0" w:color="auto"/>
            </w:tcBorders>
            <w:shd w:val="clear" w:color="auto" w:fill="auto"/>
            <w:noWrap/>
            <w:vAlign w:val="center"/>
            <w:hideMark/>
          </w:tcPr>
          <w:p w14:paraId="61FAEB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c>
          <w:tcPr>
            <w:tcW w:w="715" w:type="dxa"/>
            <w:tcBorders>
              <w:top w:val="nil"/>
              <w:left w:val="nil"/>
              <w:bottom w:val="single" w:sz="4" w:space="0" w:color="auto"/>
              <w:right w:val="single" w:sz="4" w:space="0" w:color="auto"/>
            </w:tcBorders>
            <w:shd w:val="clear" w:color="auto" w:fill="auto"/>
            <w:noWrap/>
            <w:vAlign w:val="center"/>
            <w:hideMark/>
          </w:tcPr>
          <w:p w14:paraId="722CA41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0.81</w:t>
            </w:r>
          </w:p>
        </w:tc>
        <w:tc>
          <w:tcPr>
            <w:tcW w:w="735" w:type="dxa"/>
            <w:tcBorders>
              <w:top w:val="nil"/>
              <w:left w:val="nil"/>
              <w:bottom w:val="single" w:sz="4" w:space="0" w:color="auto"/>
              <w:right w:val="single" w:sz="4" w:space="0" w:color="auto"/>
            </w:tcBorders>
            <w:shd w:val="clear" w:color="auto" w:fill="auto"/>
            <w:noWrap/>
            <w:vAlign w:val="center"/>
            <w:hideMark/>
          </w:tcPr>
          <w:p w14:paraId="35A10FC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0.89</w:t>
            </w:r>
          </w:p>
        </w:tc>
        <w:tc>
          <w:tcPr>
            <w:tcW w:w="653" w:type="dxa"/>
            <w:tcBorders>
              <w:top w:val="nil"/>
              <w:left w:val="nil"/>
              <w:bottom w:val="single" w:sz="4" w:space="0" w:color="auto"/>
              <w:right w:val="single" w:sz="4" w:space="0" w:color="auto"/>
            </w:tcBorders>
            <w:shd w:val="clear" w:color="auto" w:fill="auto"/>
            <w:noWrap/>
            <w:vAlign w:val="center"/>
            <w:hideMark/>
          </w:tcPr>
          <w:p w14:paraId="7EE823E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0.78</w:t>
            </w:r>
          </w:p>
        </w:tc>
        <w:tc>
          <w:tcPr>
            <w:tcW w:w="842" w:type="dxa"/>
            <w:tcBorders>
              <w:top w:val="nil"/>
              <w:left w:val="nil"/>
              <w:bottom w:val="single" w:sz="4" w:space="0" w:color="auto"/>
              <w:right w:val="single" w:sz="4" w:space="0" w:color="auto"/>
            </w:tcBorders>
            <w:shd w:val="clear" w:color="auto" w:fill="auto"/>
            <w:noWrap/>
            <w:vAlign w:val="center"/>
            <w:hideMark/>
          </w:tcPr>
          <w:p w14:paraId="2AB56AF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747" w:type="dxa"/>
            <w:tcBorders>
              <w:top w:val="nil"/>
              <w:left w:val="nil"/>
              <w:bottom w:val="single" w:sz="4" w:space="0" w:color="auto"/>
              <w:right w:val="single" w:sz="4" w:space="0" w:color="auto"/>
            </w:tcBorders>
            <w:shd w:val="clear" w:color="auto" w:fill="auto"/>
            <w:noWrap/>
            <w:vAlign w:val="center"/>
            <w:hideMark/>
          </w:tcPr>
          <w:p w14:paraId="0CD58C3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0.84</w:t>
            </w:r>
          </w:p>
        </w:tc>
        <w:tc>
          <w:tcPr>
            <w:tcW w:w="950" w:type="dxa"/>
            <w:tcBorders>
              <w:top w:val="nil"/>
              <w:left w:val="nil"/>
              <w:bottom w:val="single" w:sz="4" w:space="0" w:color="auto"/>
              <w:right w:val="single" w:sz="4" w:space="0" w:color="auto"/>
            </w:tcBorders>
            <w:shd w:val="clear" w:color="auto" w:fill="auto"/>
            <w:noWrap/>
            <w:vAlign w:val="center"/>
            <w:hideMark/>
          </w:tcPr>
          <w:p w14:paraId="777168A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1022" w:type="dxa"/>
            <w:tcBorders>
              <w:top w:val="nil"/>
              <w:left w:val="nil"/>
              <w:bottom w:val="single" w:sz="4" w:space="0" w:color="auto"/>
              <w:right w:val="single" w:sz="4" w:space="0" w:color="auto"/>
            </w:tcBorders>
            <w:shd w:val="clear" w:color="auto" w:fill="auto"/>
            <w:noWrap/>
            <w:vAlign w:val="center"/>
            <w:hideMark/>
          </w:tcPr>
          <w:p w14:paraId="54C7E75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0.90</w:t>
            </w:r>
          </w:p>
        </w:tc>
        <w:tc>
          <w:tcPr>
            <w:tcW w:w="958" w:type="dxa"/>
            <w:tcBorders>
              <w:top w:val="nil"/>
              <w:left w:val="nil"/>
              <w:bottom w:val="single" w:sz="4" w:space="0" w:color="auto"/>
              <w:right w:val="single" w:sz="4" w:space="0" w:color="auto"/>
            </w:tcBorders>
            <w:shd w:val="clear" w:color="auto" w:fill="auto"/>
            <w:noWrap/>
            <w:vAlign w:val="center"/>
            <w:hideMark/>
          </w:tcPr>
          <w:p w14:paraId="1402E26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r>
      <w:tr w:rsidR="00733E9B" w:rsidRPr="003F1806" w14:paraId="630334E5"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4AAD54C"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8C5A9C3"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Toilet</w:t>
            </w:r>
          </w:p>
        </w:tc>
        <w:tc>
          <w:tcPr>
            <w:tcW w:w="653" w:type="dxa"/>
            <w:tcBorders>
              <w:top w:val="nil"/>
              <w:left w:val="nil"/>
              <w:bottom w:val="single" w:sz="4" w:space="0" w:color="auto"/>
              <w:right w:val="single" w:sz="4" w:space="0" w:color="auto"/>
            </w:tcBorders>
            <w:shd w:val="clear" w:color="auto" w:fill="auto"/>
            <w:noWrap/>
            <w:vAlign w:val="center"/>
            <w:hideMark/>
          </w:tcPr>
          <w:p w14:paraId="320E801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0.89</w:t>
            </w:r>
          </w:p>
        </w:tc>
        <w:tc>
          <w:tcPr>
            <w:tcW w:w="715" w:type="dxa"/>
            <w:tcBorders>
              <w:top w:val="nil"/>
              <w:left w:val="nil"/>
              <w:bottom w:val="single" w:sz="4" w:space="0" w:color="auto"/>
              <w:right w:val="single" w:sz="4" w:space="0" w:color="auto"/>
            </w:tcBorders>
            <w:shd w:val="clear" w:color="auto" w:fill="auto"/>
            <w:noWrap/>
            <w:vAlign w:val="center"/>
            <w:hideMark/>
          </w:tcPr>
          <w:p w14:paraId="7154116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0.93</w:t>
            </w:r>
          </w:p>
        </w:tc>
        <w:tc>
          <w:tcPr>
            <w:tcW w:w="735" w:type="dxa"/>
            <w:tcBorders>
              <w:top w:val="nil"/>
              <w:left w:val="nil"/>
              <w:bottom w:val="single" w:sz="4" w:space="0" w:color="auto"/>
              <w:right w:val="single" w:sz="4" w:space="0" w:color="auto"/>
            </w:tcBorders>
            <w:shd w:val="clear" w:color="auto" w:fill="auto"/>
            <w:noWrap/>
            <w:vAlign w:val="center"/>
            <w:hideMark/>
          </w:tcPr>
          <w:p w14:paraId="412C4E3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0.96</w:t>
            </w:r>
          </w:p>
        </w:tc>
        <w:tc>
          <w:tcPr>
            <w:tcW w:w="653" w:type="dxa"/>
            <w:tcBorders>
              <w:top w:val="nil"/>
              <w:left w:val="nil"/>
              <w:bottom w:val="single" w:sz="4" w:space="0" w:color="auto"/>
              <w:right w:val="single" w:sz="4" w:space="0" w:color="auto"/>
            </w:tcBorders>
            <w:shd w:val="clear" w:color="auto" w:fill="auto"/>
            <w:noWrap/>
            <w:vAlign w:val="center"/>
            <w:hideMark/>
          </w:tcPr>
          <w:p w14:paraId="5BC298C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842" w:type="dxa"/>
            <w:tcBorders>
              <w:top w:val="nil"/>
              <w:left w:val="nil"/>
              <w:bottom w:val="single" w:sz="4" w:space="0" w:color="auto"/>
              <w:right w:val="single" w:sz="4" w:space="0" w:color="auto"/>
            </w:tcBorders>
            <w:shd w:val="clear" w:color="auto" w:fill="auto"/>
            <w:noWrap/>
            <w:vAlign w:val="center"/>
            <w:hideMark/>
          </w:tcPr>
          <w:p w14:paraId="536C1EF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0.78</w:t>
            </w:r>
          </w:p>
        </w:tc>
        <w:tc>
          <w:tcPr>
            <w:tcW w:w="747" w:type="dxa"/>
            <w:tcBorders>
              <w:top w:val="nil"/>
              <w:left w:val="nil"/>
              <w:bottom w:val="single" w:sz="4" w:space="0" w:color="auto"/>
              <w:right w:val="single" w:sz="4" w:space="0" w:color="auto"/>
            </w:tcBorders>
            <w:shd w:val="clear" w:color="auto" w:fill="auto"/>
            <w:noWrap/>
            <w:vAlign w:val="center"/>
            <w:hideMark/>
          </w:tcPr>
          <w:p w14:paraId="75EC388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950" w:type="dxa"/>
            <w:tcBorders>
              <w:top w:val="nil"/>
              <w:left w:val="nil"/>
              <w:bottom w:val="single" w:sz="4" w:space="0" w:color="auto"/>
              <w:right w:val="single" w:sz="4" w:space="0" w:color="auto"/>
            </w:tcBorders>
            <w:shd w:val="clear" w:color="auto" w:fill="auto"/>
            <w:noWrap/>
            <w:vAlign w:val="center"/>
            <w:hideMark/>
          </w:tcPr>
          <w:p w14:paraId="024079B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1022" w:type="dxa"/>
            <w:tcBorders>
              <w:top w:val="nil"/>
              <w:left w:val="nil"/>
              <w:bottom w:val="single" w:sz="4" w:space="0" w:color="auto"/>
              <w:right w:val="single" w:sz="4" w:space="0" w:color="auto"/>
            </w:tcBorders>
            <w:shd w:val="clear" w:color="auto" w:fill="auto"/>
            <w:noWrap/>
            <w:vAlign w:val="center"/>
            <w:hideMark/>
          </w:tcPr>
          <w:p w14:paraId="7E8B2F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0.86</w:t>
            </w:r>
          </w:p>
        </w:tc>
        <w:tc>
          <w:tcPr>
            <w:tcW w:w="958" w:type="dxa"/>
            <w:tcBorders>
              <w:top w:val="nil"/>
              <w:left w:val="nil"/>
              <w:bottom w:val="single" w:sz="4" w:space="0" w:color="auto"/>
              <w:right w:val="single" w:sz="4" w:space="0" w:color="auto"/>
            </w:tcBorders>
            <w:shd w:val="clear" w:color="auto" w:fill="auto"/>
            <w:noWrap/>
            <w:vAlign w:val="center"/>
            <w:hideMark/>
          </w:tcPr>
          <w:p w14:paraId="3CAD64D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0.82</w:t>
            </w:r>
          </w:p>
        </w:tc>
      </w:tr>
      <w:tr w:rsidR="00733E9B" w:rsidRPr="003F1806" w14:paraId="19BB2A3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D112164"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53AB7E4"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Energy</w:t>
            </w:r>
          </w:p>
        </w:tc>
        <w:tc>
          <w:tcPr>
            <w:tcW w:w="653" w:type="dxa"/>
            <w:tcBorders>
              <w:top w:val="nil"/>
              <w:left w:val="nil"/>
              <w:bottom w:val="single" w:sz="4" w:space="0" w:color="auto"/>
              <w:right w:val="single" w:sz="4" w:space="0" w:color="auto"/>
            </w:tcBorders>
            <w:shd w:val="clear" w:color="auto" w:fill="auto"/>
            <w:noWrap/>
            <w:vAlign w:val="center"/>
            <w:hideMark/>
          </w:tcPr>
          <w:p w14:paraId="18AD995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0.85</w:t>
            </w:r>
          </w:p>
        </w:tc>
        <w:tc>
          <w:tcPr>
            <w:tcW w:w="715" w:type="dxa"/>
            <w:tcBorders>
              <w:top w:val="nil"/>
              <w:left w:val="nil"/>
              <w:bottom w:val="single" w:sz="4" w:space="0" w:color="auto"/>
              <w:right w:val="single" w:sz="4" w:space="0" w:color="auto"/>
            </w:tcBorders>
            <w:shd w:val="clear" w:color="auto" w:fill="auto"/>
            <w:noWrap/>
            <w:vAlign w:val="center"/>
            <w:hideMark/>
          </w:tcPr>
          <w:p w14:paraId="56E1886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0.95</w:t>
            </w:r>
          </w:p>
        </w:tc>
        <w:tc>
          <w:tcPr>
            <w:tcW w:w="735" w:type="dxa"/>
            <w:tcBorders>
              <w:top w:val="nil"/>
              <w:left w:val="nil"/>
              <w:bottom w:val="single" w:sz="4" w:space="0" w:color="auto"/>
              <w:right w:val="single" w:sz="4" w:space="0" w:color="auto"/>
            </w:tcBorders>
            <w:shd w:val="clear" w:color="auto" w:fill="auto"/>
            <w:noWrap/>
            <w:vAlign w:val="center"/>
            <w:hideMark/>
          </w:tcPr>
          <w:p w14:paraId="253BE9A3"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0.94</w:t>
            </w:r>
          </w:p>
        </w:tc>
        <w:tc>
          <w:tcPr>
            <w:tcW w:w="653" w:type="dxa"/>
            <w:tcBorders>
              <w:top w:val="nil"/>
              <w:left w:val="nil"/>
              <w:bottom w:val="single" w:sz="4" w:space="0" w:color="auto"/>
              <w:right w:val="single" w:sz="4" w:space="0" w:color="auto"/>
            </w:tcBorders>
            <w:shd w:val="clear" w:color="auto" w:fill="auto"/>
            <w:noWrap/>
            <w:vAlign w:val="center"/>
            <w:hideMark/>
          </w:tcPr>
          <w:p w14:paraId="067EC77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0.71</w:t>
            </w:r>
          </w:p>
        </w:tc>
        <w:tc>
          <w:tcPr>
            <w:tcW w:w="842" w:type="dxa"/>
            <w:tcBorders>
              <w:top w:val="nil"/>
              <w:left w:val="nil"/>
              <w:bottom w:val="single" w:sz="4" w:space="0" w:color="auto"/>
              <w:right w:val="single" w:sz="4" w:space="0" w:color="auto"/>
            </w:tcBorders>
            <w:shd w:val="clear" w:color="auto" w:fill="auto"/>
            <w:noWrap/>
            <w:vAlign w:val="center"/>
            <w:hideMark/>
          </w:tcPr>
          <w:p w14:paraId="48B7E5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0.80</w:t>
            </w:r>
          </w:p>
        </w:tc>
        <w:tc>
          <w:tcPr>
            <w:tcW w:w="747" w:type="dxa"/>
            <w:tcBorders>
              <w:top w:val="nil"/>
              <w:left w:val="nil"/>
              <w:bottom w:val="single" w:sz="4" w:space="0" w:color="auto"/>
              <w:right w:val="single" w:sz="4" w:space="0" w:color="auto"/>
            </w:tcBorders>
            <w:shd w:val="clear" w:color="auto" w:fill="auto"/>
            <w:noWrap/>
            <w:vAlign w:val="center"/>
            <w:hideMark/>
          </w:tcPr>
          <w:p w14:paraId="51FA5F39"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0.92</w:t>
            </w:r>
          </w:p>
        </w:tc>
        <w:tc>
          <w:tcPr>
            <w:tcW w:w="950" w:type="dxa"/>
            <w:tcBorders>
              <w:top w:val="nil"/>
              <w:left w:val="nil"/>
              <w:bottom w:val="single" w:sz="4" w:space="0" w:color="auto"/>
              <w:right w:val="single" w:sz="4" w:space="0" w:color="auto"/>
            </w:tcBorders>
            <w:shd w:val="clear" w:color="auto" w:fill="auto"/>
            <w:noWrap/>
            <w:vAlign w:val="center"/>
            <w:hideMark/>
          </w:tcPr>
          <w:p w14:paraId="0D23E4E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0.81</w:t>
            </w:r>
          </w:p>
        </w:tc>
        <w:tc>
          <w:tcPr>
            <w:tcW w:w="1022" w:type="dxa"/>
            <w:tcBorders>
              <w:top w:val="nil"/>
              <w:left w:val="nil"/>
              <w:bottom w:val="single" w:sz="4" w:space="0" w:color="auto"/>
              <w:right w:val="single" w:sz="4" w:space="0" w:color="auto"/>
            </w:tcBorders>
            <w:shd w:val="clear" w:color="auto" w:fill="auto"/>
            <w:noWrap/>
            <w:vAlign w:val="center"/>
            <w:hideMark/>
          </w:tcPr>
          <w:p w14:paraId="35121C0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0.91</w:t>
            </w:r>
          </w:p>
        </w:tc>
        <w:tc>
          <w:tcPr>
            <w:tcW w:w="958" w:type="dxa"/>
            <w:tcBorders>
              <w:top w:val="nil"/>
              <w:left w:val="nil"/>
              <w:bottom w:val="single" w:sz="4" w:space="0" w:color="auto"/>
              <w:right w:val="single" w:sz="4" w:space="0" w:color="auto"/>
            </w:tcBorders>
            <w:shd w:val="clear" w:color="auto" w:fill="auto"/>
            <w:noWrap/>
            <w:vAlign w:val="center"/>
            <w:hideMark/>
          </w:tcPr>
          <w:p w14:paraId="12CB3BA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0.79</w:t>
            </w:r>
          </w:p>
        </w:tc>
      </w:tr>
      <w:tr w:rsidR="00733E9B" w:rsidRPr="003F1806" w14:paraId="26578758"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C503A1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CD0FBE3"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Road</w:t>
            </w:r>
          </w:p>
        </w:tc>
        <w:tc>
          <w:tcPr>
            <w:tcW w:w="653" w:type="dxa"/>
            <w:tcBorders>
              <w:top w:val="nil"/>
              <w:left w:val="nil"/>
              <w:bottom w:val="single" w:sz="4" w:space="0" w:color="auto"/>
              <w:right w:val="single" w:sz="4" w:space="0" w:color="auto"/>
            </w:tcBorders>
            <w:shd w:val="clear" w:color="auto" w:fill="auto"/>
            <w:noWrap/>
            <w:vAlign w:val="center"/>
            <w:hideMark/>
          </w:tcPr>
          <w:p w14:paraId="285C1F8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715" w:type="dxa"/>
            <w:tcBorders>
              <w:top w:val="nil"/>
              <w:left w:val="nil"/>
              <w:bottom w:val="single" w:sz="4" w:space="0" w:color="auto"/>
              <w:right w:val="single" w:sz="4" w:space="0" w:color="auto"/>
            </w:tcBorders>
            <w:shd w:val="clear" w:color="auto" w:fill="auto"/>
            <w:noWrap/>
            <w:vAlign w:val="center"/>
            <w:hideMark/>
          </w:tcPr>
          <w:p w14:paraId="7131BBB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35" w:type="dxa"/>
            <w:tcBorders>
              <w:top w:val="nil"/>
              <w:left w:val="nil"/>
              <w:bottom w:val="single" w:sz="4" w:space="0" w:color="auto"/>
              <w:right w:val="single" w:sz="4" w:space="0" w:color="auto"/>
            </w:tcBorders>
            <w:shd w:val="clear" w:color="auto" w:fill="auto"/>
            <w:noWrap/>
            <w:vAlign w:val="center"/>
            <w:hideMark/>
          </w:tcPr>
          <w:p w14:paraId="1BFBD84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0.39</w:t>
            </w:r>
          </w:p>
        </w:tc>
        <w:tc>
          <w:tcPr>
            <w:tcW w:w="653" w:type="dxa"/>
            <w:tcBorders>
              <w:top w:val="nil"/>
              <w:left w:val="nil"/>
              <w:bottom w:val="single" w:sz="4" w:space="0" w:color="auto"/>
              <w:right w:val="single" w:sz="4" w:space="0" w:color="auto"/>
            </w:tcBorders>
            <w:shd w:val="clear" w:color="auto" w:fill="auto"/>
            <w:noWrap/>
            <w:vAlign w:val="center"/>
            <w:hideMark/>
          </w:tcPr>
          <w:p w14:paraId="27A5635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0.67</w:t>
            </w:r>
          </w:p>
        </w:tc>
        <w:tc>
          <w:tcPr>
            <w:tcW w:w="842" w:type="dxa"/>
            <w:tcBorders>
              <w:top w:val="nil"/>
              <w:left w:val="nil"/>
              <w:bottom w:val="single" w:sz="4" w:space="0" w:color="auto"/>
              <w:right w:val="single" w:sz="4" w:space="0" w:color="auto"/>
            </w:tcBorders>
            <w:shd w:val="clear" w:color="auto" w:fill="auto"/>
            <w:noWrap/>
            <w:vAlign w:val="center"/>
            <w:hideMark/>
          </w:tcPr>
          <w:p w14:paraId="0EE05C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503D930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950" w:type="dxa"/>
            <w:tcBorders>
              <w:top w:val="nil"/>
              <w:left w:val="nil"/>
              <w:bottom w:val="single" w:sz="4" w:space="0" w:color="auto"/>
              <w:right w:val="single" w:sz="4" w:space="0" w:color="auto"/>
            </w:tcBorders>
            <w:shd w:val="clear" w:color="auto" w:fill="auto"/>
            <w:noWrap/>
            <w:vAlign w:val="center"/>
            <w:hideMark/>
          </w:tcPr>
          <w:p w14:paraId="653D409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1022" w:type="dxa"/>
            <w:tcBorders>
              <w:top w:val="nil"/>
              <w:left w:val="nil"/>
              <w:bottom w:val="single" w:sz="4" w:space="0" w:color="auto"/>
              <w:right w:val="single" w:sz="4" w:space="0" w:color="auto"/>
            </w:tcBorders>
            <w:shd w:val="clear" w:color="auto" w:fill="auto"/>
            <w:noWrap/>
            <w:vAlign w:val="center"/>
            <w:hideMark/>
          </w:tcPr>
          <w:p w14:paraId="79E4AA2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958" w:type="dxa"/>
            <w:tcBorders>
              <w:top w:val="nil"/>
              <w:left w:val="nil"/>
              <w:bottom w:val="single" w:sz="4" w:space="0" w:color="auto"/>
              <w:right w:val="single" w:sz="4" w:space="0" w:color="auto"/>
            </w:tcBorders>
            <w:shd w:val="clear" w:color="auto" w:fill="auto"/>
            <w:noWrap/>
            <w:vAlign w:val="center"/>
            <w:hideMark/>
          </w:tcPr>
          <w:p w14:paraId="5460F30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3E9533DA"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6EFF8DD"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F2AEB1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Household Assets</w:t>
            </w:r>
          </w:p>
        </w:tc>
        <w:tc>
          <w:tcPr>
            <w:tcW w:w="653" w:type="dxa"/>
            <w:tcBorders>
              <w:top w:val="nil"/>
              <w:left w:val="nil"/>
              <w:bottom w:val="single" w:sz="4" w:space="0" w:color="auto"/>
              <w:right w:val="single" w:sz="4" w:space="0" w:color="auto"/>
            </w:tcBorders>
            <w:shd w:val="clear" w:color="auto" w:fill="auto"/>
            <w:noWrap/>
            <w:vAlign w:val="center"/>
            <w:hideMark/>
          </w:tcPr>
          <w:p w14:paraId="6C8A6D2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715" w:type="dxa"/>
            <w:tcBorders>
              <w:top w:val="nil"/>
              <w:left w:val="nil"/>
              <w:bottom w:val="single" w:sz="4" w:space="0" w:color="auto"/>
              <w:right w:val="single" w:sz="4" w:space="0" w:color="auto"/>
            </w:tcBorders>
            <w:shd w:val="clear" w:color="auto" w:fill="auto"/>
            <w:noWrap/>
            <w:vAlign w:val="center"/>
            <w:hideMark/>
          </w:tcPr>
          <w:p w14:paraId="158B800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735" w:type="dxa"/>
            <w:tcBorders>
              <w:top w:val="nil"/>
              <w:left w:val="nil"/>
              <w:bottom w:val="single" w:sz="4" w:space="0" w:color="auto"/>
              <w:right w:val="single" w:sz="4" w:space="0" w:color="auto"/>
            </w:tcBorders>
            <w:shd w:val="clear" w:color="auto" w:fill="auto"/>
            <w:noWrap/>
            <w:vAlign w:val="center"/>
            <w:hideMark/>
          </w:tcPr>
          <w:p w14:paraId="23BAC82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0.08</w:t>
            </w:r>
          </w:p>
        </w:tc>
        <w:tc>
          <w:tcPr>
            <w:tcW w:w="653" w:type="dxa"/>
            <w:tcBorders>
              <w:top w:val="nil"/>
              <w:left w:val="nil"/>
              <w:bottom w:val="single" w:sz="4" w:space="0" w:color="auto"/>
              <w:right w:val="single" w:sz="4" w:space="0" w:color="auto"/>
            </w:tcBorders>
            <w:shd w:val="clear" w:color="auto" w:fill="auto"/>
            <w:noWrap/>
            <w:vAlign w:val="center"/>
            <w:hideMark/>
          </w:tcPr>
          <w:p w14:paraId="4F9CA06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842" w:type="dxa"/>
            <w:tcBorders>
              <w:top w:val="nil"/>
              <w:left w:val="nil"/>
              <w:bottom w:val="single" w:sz="4" w:space="0" w:color="auto"/>
              <w:right w:val="single" w:sz="4" w:space="0" w:color="auto"/>
            </w:tcBorders>
            <w:shd w:val="clear" w:color="auto" w:fill="auto"/>
            <w:noWrap/>
            <w:vAlign w:val="center"/>
            <w:hideMark/>
          </w:tcPr>
          <w:p w14:paraId="46C2B0B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0.32</w:t>
            </w:r>
          </w:p>
        </w:tc>
        <w:tc>
          <w:tcPr>
            <w:tcW w:w="747" w:type="dxa"/>
            <w:tcBorders>
              <w:top w:val="nil"/>
              <w:left w:val="nil"/>
              <w:bottom w:val="single" w:sz="4" w:space="0" w:color="auto"/>
              <w:right w:val="single" w:sz="4" w:space="0" w:color="auto"/>
            </w:tcBorders>
            <w:shd w:val="clear" w:color="auto" w:fill="auto"/>
            <w:noWrap/>
            <w:vAlign w:val="center"/>
            <w:hideMark/>
          </w:tcPr>
          <w:p w14:paraId="36031F4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950" w:type="dxa"/>
            <w:tcBorders>
              <w:top w:val="nil"/>
              <w:left w:val="nil"/>
              <w:bottom w:val="single" w:sz="4" w:space="0" w:color="auto"/>
              <w:right w:val="single" w:sz="4" w:space="0" w:color="auto"/>
            </w:tcBorders>
            <w:shd w:val="clear" w:color="auto" w:fill="auto"/>
            <w:noWrap/>
            <w:vAlign w:val="center"/>
            <w:hideMark/>
          </w:tcPr>
          <w:p w14:paraId="30D3876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1022" w:type="dxa"/>
            <w:tcBorders>
              <w:top w:val="nil"/>
              <w:left w:val="nil"/>
              <w:bottom w:val="single" w:sz="4" w:space="0" w:color="auto"/>
              <w:right w:val="single" w:sz="4" w:space="0" w:color="auto"/>
            </w:tcBorders>
            <w:shd w:val="clear" w:color="auto" w:fill="auto"/>
            <w:noWrap/>
            <w:vAlign w:val="center"/>
            <w:hideMark/>
          </w:tcPr>
          <w:p w14:paraId="3DFDBB5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c>
          <w:tcPr>
            <w:tcW w:w="958" w:type="dxa"/>
            <w:tcBorders>
              <w:top w:val="nil"/>
              <w:left w:val="nil"/>
              <w:bottom w:val="single" w:sz="4" w:space="0" w:color="auto"/>
              <w:right w:val="single" w:sz="4" w:space="0" w:color="auto"/>
            </w:tcBorders>
            <w:shd w:val="clear" w:color="auto" w:fill="auto"/>
            <w:noWrap/>
            <w:vAlign w:val="center"/>
            <w:hideMark/>
          </w:tcPr>
          <w:p w14:paraId="4A08619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r>
      <w:tr w:rsidR="00733E9B" w:rsidRPr="003F1806" w14:paraId="16F1E6B0"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CF3030A"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1C89677"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Transport</w:t>
            </w:r>
          </w:p>
        </w:tc>
        <w:tc>
          <w:tcPr>
            <w:tcW w:w="653" w:type="dxa"/>
            <w:tcBorders>
              <w:top w:val="nil"/>
              <w:left w:val="nil"/>
              <w:bottom w:val="single" w:sz="4" w:space="0" w:color="auto"/>
              <w:right w:val="single" w:sz="4" w:space="0" w:color="auto"/>
            </w:tcBorders>
            <w:shd w:val="clear" w:color="auto" w:fill="auto"/>
            <w:noWrap/>
            <w:vAlign w:val="center"/>
            <w:hideMark/>
          </w:tcPr>
          <w:p w14:paraId="5741023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15" w:type="dxa"/>
            <w:tcBorders>
              <w:top w:val="nil"/>
              <w:left w:val="nil"/>
              <w:bottom w:val="single" w:sz="4" w:space="0" w:color="auto"/>
              <w:right w:val="single" w:sz="4" w:space="0" w:color="auto"/>
            </w:tcBorders>
            <w:shd w:val="clear" w:color="auto" w:fill="auto"/>
            <w:noWrap/>
            <w:vAlign w:val="center"/>
            <w:hideMark/>
          </w:tcPr>
          <w:p w14:paraId="73FEA72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735" w:type="dxa"/>
            <w:tcBorders>
              <w:top w:val="nil"/>
              <w:left w:val="nil"/>
              <w:bottom w:val="single" w:sz="4" w:space="0" w:color="auto"/>
              <w:right w:val="single" w:sz="4" w:space="0" w:color="auto"/>
            </w:tcBorders>
            <w:shd w:val="clear" w:color="auto" w:fill="auto"/>
            <w:noWrap/>
            <w:vAlign w:val="center"/>
            <w:hideMark/>
          </w:tcPr>
          <w:p w14:paraId="0B60A08D" w14:textId="77777777" w:rsidR="00FE6ECB" w:rsidRPr="003F1806" w:rsidRDefault="00FE6ECB" w:rsidP="00B42A32">
            <w:pPr>
              <w:autoSpaceDE w:val="0"/>
              <w:autoSpaceDN w:val="0"/>
              <w:adjustRightInd w:val="0"/>
              <w:spacing w:after="0"/>
              <w:rPr>
                <w:rFonts w:ascii="Arial MT" w:hAnsi="Arial MT" w:cs="Arial"/>
                <w:color w:val="000000" w:themeColor="text1"/>
                <w:sz w:val="20"/>
                <w:szCs w:val="20"/>
              </w:rPr>
            </w:pPr>
            <w:r w:rsidRPr="003F1806">
              <w:rPr>
                <w:rFonts w:ascii="Arial MT" w:hAnsi="Arial MT" w:cs="Arial"/>
                <w:color w:val="000000" w:themeColor="text1"/>
                <w:sz w:val="20"/>
                <w:szCs w:val="20"/>
              </w:rPr>
              <w:t>0.50</w:t>
            </w:r>
          </w:p>
        </w:tc>
        <w:tc>
          <w:tcPr>
            <w:tcW w:w="653" w:type="dxa"/>
            <w:tcBorders>
              <w:top w:val="nil"/>
              <w:left w:val="nil"/>
              <w:bottom w:val="single" w:sz="4" w:space="0" w:color="auto"/>
              <w:right w:val="single" w:sz="4" w:space="0" w:color="auto"/>
            </w:tcBorders>
            <w:shd w:val="clear" w:color="auto" w:fill="auto"/>
            <w:noWrap/>
            <w:vAlign w:val="center"/>
            <w:hideMark/>
          </w:tcPr>
          <w:p w14:paraId="14FBF90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218E013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747" w:type="dxa"/>
            <w:tcBorders>
              <w:top w:val="nil"/>
              <w:left w:val="nil"/>
              <w:bottom w:val="single" w:sz="4" w:space="0" w:color="auto"/>
              <w:right w:val="single" w:sz="4" w:space="0" w:color="auto"/>
            </w:tcBorders>
            <w:shd w:val="clear" w:color="auto" w:fill="auto"/>
            <w:noWrap/>
            <w:vAlign w:val="center"/>
            <w:hideMark/>
          </w:tcPr>
          <w:p w14:paraId="5FD0D21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950" w:type="dxa"/>
            <w:tcBorders>
              <w:top w:val="nil"/>
              <w:left w:val="nil"/>
              <w:bottom w:val="single" w:sz="4" w:space="0" w:color="auto"/>
              <w:right w:val="single" w:sz="4" w:space="0" w:color="auto"/>
            </w:tcBorders>
            <w:shd w:val="clear" w:color="auto" w:fill="auto"/>
            <w:noWrap/>
            <w:vAlign w:val="center"/>
            <w:hideMark/>
          </w:tcPr>
          <w:p w14:paraId="691806D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1022" w:type="dxa"/>
            <w:tcBorders>
              <w:top w:val="nil"/>
              <w:left w:val="nil"/>
              <w:bottom w:val="single" w:sz="4" w:space="0" w:color="auto"/>
              <w:right w:val="single" w:sz="4" w:space="0" w:color="auto"/>
            </w:tcBorders>
            <w:shd w:val="clear" w:color="auto" w:fill="auto"/>
            <w:noWrap/>
            <w:vAlign w:val="center"/>
            <w:hideMark/>
          </w:tcPr>
          <w:p w14:paraId="59CBE53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958" w:type="dxa"/>
            <w:tcBorders>
              <w:top w:val="nil"/>
              <w:left w:val="nil"/>
              <w:bottom w:val="single" w:sz="4" w:space="0" w:color="auto"/>
              <w:right w:val="single" w:sz="4" w:space="0" w:color="auto"/>
            </w:tcBorders>
            <w:shd w:val="clear" w:color="auto" w:fill="auto"/>
            <w:noWrap/>
            <w:vAlign w:val="center"/>
            <w:hideMark/>
          </w:tcPr>
          <w:p w14:paraId="7E261B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r>
      <w:tr w:rsidR="00733E9B" w:rsidRPr="003F1806" w14:paraId="2F02A204" w14:textId="77777777" w:rsidTr="00733E9B">
        <w:trPr>
          <w:trHeight w:hRule="exact" w:val="287"/>
        </w:trPr>
        <w:tc>
          <w:tcPr>
            <w:tcW w:w="1051" w:type="dxa"/>
            <w:vMerge/>
            <w:tcBorders>
              <w:left w:val="single" w:sz="4" w:space="0" w:color="auto"/>
              <w:right w:val="nil"/>
            </w:tcBorders>
            <w:shd w:val="clear" w:color="auto" w:fill="auto"/>
            <w:noWrap/>
            <w:vAlign w:val="center"/>
            <w:hideMark/>
          </w:tcPr>
          <w:p w14:paraId="592BAAB4"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A124"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Communication</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972D58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5770BE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0.94</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30FEDF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527EE4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7EDB8D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35D9222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65FF999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0.93</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9B41FE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0.82</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E37D5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1.00</w:t>
            </w:r>
          </w:p>
        </w:tc>
      </w:tr>
      <w:tr w:rsidR="00733E9B" w:rsidRPr="003F1806" w14:paraId="137D67E1" w14:textId="77777777" w:rsidTr="00733E9B">
        <w:trPr>
          <w:trHeight w:val="143"/>
        </w:trPr>
        <w:tc>
          <w:tcPr>
            <w:tcW w:w="1051" w:type="dxa"/>
            <w:vMerge/>
            <w:tcBorders>
              <w:left w:val="single" w:sz="4" w:space="0" w:color="auto"/>
              <w:right w:val="nil"/>
            </w:tcBorders>
            <w:shd w:val="clear" w:color="auto" w:fill="auto"/>
            <w:noWrap/>
            <w:vAlign w:val="center"/>
            <w:hideMark/>
          </w:tcPr>
          <w:p w14:paraId="130E45E1"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right w:val="single" w:sz="4" w:space="0" w:color="auto"/>
            </w:tcBorders>
            <w:shd w:val="clear" w:color="auto" w:fill="auto"/>
            <w:noWrap/>
            <w:vAlign w:val="center"/>
            <w:hideMark/>
          </w:tcPr>
          <w:p w14:paraId="259B74B9" w14:textId="77777777" w:rsidR="00FE6ECB" w:rsidRPr="003F1806" w:rsidRDefault="00FE6ECB" w:rsidP="00B42A32">
            <w:pPr>
              <w:spacing w:after="0"/>
              <w:rPr>
                <w:rFonts w:ascii="Arial MT" w:eastAsia="Times New Roman" w:hAnsi="Arial MT" w:cs="Arial"/>
                <w:color w:val="000000"/>
                <w:sz w:val="20"/>
                <w:szCs w:val="20"/>
              </w:rPr>
            </w:pPr>
          </w:p>
        </w:tc>
        <w:tc>
          <w:tcPr>
            <w:tcW w:w="653" w:type="dxa"/>
            <w:tcBorders>
              <w:top w:val="single" w:sz="4" w:space="0" w:color="auto"/>
              <w:left w:val="nil"/>
              <w:right w:val="single" w:sz="4" w:space="0" w:color="auto"/>
            </w:tcBorders>
            <w:shd w:val="clear" w:color="auto" w:fill="auto"/>
            <w:noWrap/>
            <w:vAlign w:val="center"/>
            <w:hideMark/>
          </w:tcPr>
          <w:p w14:paraId="57D9A895"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15" w:type="dxa"/>
            <w:tcBorders>
              <w:top w:val="single" w:sz="4" w:space="0" w:color="auto"/>
              <w:left w:val="nil"/>
              <w:right w:val="single" w:sz="4" w:space="0" w:color="auto"/>
            </w:tcBorders>
            <w:shd w:val="clear" w:color="auto" w:fill="auto"/>
            <w:noWrap/>
            <w:vAlign w:val="center"/>
            <w:hideMark/>
          </w:tcPr>
          <w:p w14:paraId="542551FD"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35" w:type="dxa"/>
            <w:tcBorders>
              <w:top w:val="single" w:sz="4" w:space="0" w:color="auto"/>
              <w:left w:val="nil"/>
              <w:right w:val="single" w:sz="4" w:space="0" w:color="auto"/>
            </w:tcBorders>
            <w:shd w:val="clear" w:color="auto" w:fill="auto"/>
            <w:noWrap/>
            <w:vAlign w:val="center"/>
            <w:hideMark/>
          </w:tcPr>
          <w:p w14:paraId="36C74C66"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653" w:type="dxa"/>
            <w:tcBorders>
              <w:top w:val="single" w:sz="4" w:space="0" w:color="auto"/>
              <w:left w:val="nil"/>
              <w:right w:val="single" w:sz="4" w:space="0" w:color="auto"/>
            </w:tcBorders>
            <w:shd w:val="clear" w:color="auto" w:fill="auto"/>
            <w:noWrap/>
            <w:vAlign w:val="center"/>
            <w:hideMark/>
          </w:tcPr>
          <w:p w14:paraId="16CAB7B4"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842" w:type="dxa"/>
            <w:tcBorders>
              <w:top w:val="single" w:sz="4" w:space="0" w:color="auto"/>
              <w:left w:val="nil"/>
              <w:right w:val="single" w:sz="4" w:space="0" w:color="auto"/>
            </w:tcBorders>
            <w:shd w:val="clear" w:color="auto" w:fill="auto"/>
            <w:noWrap/>
            <w:vAlign w:val="center"/>
            <w:hideMark/>
          </w:tcPr>
          <w:p w14:paraId="79F63546"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47" w:type="dxa"/>
            <w:tcBorders>
              <w:top w:val="single" w:sz="4" w:space="0" w:color="auto"/>
              <w:left w:val="nil"/>
              <w:right w:val="single" w:sz="4" w:space="0" w:color="auto"/>
            </w:tcBorders>
            <w:shd w:val="clear" w:color="auto" w:fill="auto"/>
            <w:noWrap/>
            <w:vAlign w:val="center"/>
            <w:hideMark/>
          </w:tcPr>
          <w:p w14:paraId="7566CA2B"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950" w:type="dxa"/>
            <w:tcBorders>
              <w:top w:val="single" w:sz="4" w:space="0" w:color="auto"/>
              <w:left w:val="nil"/>
              <w:right w:val="single" w:sz="4" w:space="0" w:color="auto"/>
            </w:tcBorders>
            <w:shd w:val="clear" w:color="auto" w:fill="auto"/>
            <w:noWrap/>
            <w:vAlign w:val="center"/>
            <w:hideMark/>
          </w:tcPr>
          <w:p w14:paraId="0366CAB0"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1022" w:type="dxa"/>
            <w:tcBorders>
              <w:top w:val="single" w:sz="4" w:space="0" w:color="auto"/>
              <w:left w:val="nil"/>
              <w:right w:val="single" w:sz="4" w:space="0" w:color="auto"/>
            </w:tcBorders>
            <w:shd w:val="clear" w:color="auto" w:fill="auto"/>
            <w:noWrap/>
            <w:vAlign w:val="center"/>
            <w:hideMark/>
          </w:tcPr>
          <w:p w14:paraId="197A672E"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958" w:type="dxa"/>
            <w:tcBorders>
              <w:top w:val="single" w:sz="4" w:space="0" w:color="auto"/>
              <w:left w:val="nil"/>
              <w:right w:val="single" w:sz="4" w:space="0" w:color="auto"/>
            </w:tcBorders>
            <w:shd w:val="clear" w:color="auto" w:fill="auto"/>
            <w:noWrap/>
            <w:vAlign w:val="center"/>
            <w:hideMark/>
          </w:tcPr>
          <w:p w14:paraId="07D50DC1"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r>
      <w:tr w:rsidR="00733E9B" w:rsidRPr="003F1806" w14:paraId="21B02DB2" w14:textId="77777777" w:rsidTr="00733E9B">
        <w:trPr>
          <w:trHeight w:hRule="exact" w:val="344"/>
        </w:trPr>
        <w:tc>
          <w:tcPr>
            <w:tcW w:w="1051" w:type="dxa"/>
            <w:vMerge/>
            <w:tcBorders>
              <w:left w:val="single" w:sz="4" w:space="0" w:color="auto"/>
              <w:right w:val="single" w:sz="4" w:space="0" w:color="auto"/>
            </w:tcBorders>
            <w:shd w:val="clear" w:color="auto" w:fill="auto"/>
            <w:noWrap/>
            <w:vAlign w:val="center"/>
            <w:hideMark/>
          </w:tcPr>
          <w:p w14:paraId="4D06D02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left w:val="single" w:sz="4" w:space="0" w:color="auto"/>
              <w:bottom w:val="single" w:sz="4" w:space="0" w:color="auto"/>
              <w:right w:val="single" w:sz="4" w:space="0" w:color="auto"/>
            </w:tcBorders>
            <w:shd w:val="clear" w:color="auto" w:fill="auto"/>
            <w:noWrap/>
            <w:vAlign w:val="center"/>
            <w:hideMark/>
          </w:tcPr>
          <w:p w14:paraId="196BF821"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Access to Market</w:t>
            </w:r>
          </w:p>
        </w:tc>
        <w:tc>
          <w:tcPr>
            <w:tcW w:w="653" w:type="dxa"/>
            <w:tcBorders>
              <w:left w:val="single" w:sz="4" w:space="0" w:color="auto"/>
              <w:bottom w:val="single" w:sz="4" w:space="0" w:color="auto"/>
              <w:right w:val="single" w:sz="4" w:space="0" w:color="auto"/>
            </w:tcBorders>
            <w:shd w:val="clear" w:color="auto" w:fill="auto"/>
            <w:noWrap/>
            <w:vAlign w:val="center"/>
            <w:hideMark/>
          </w:tcPr>
          <w:p w14:paraId="5E1AD7E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715" w:type="dxa"/>
            <w:tcBorders>
              <w:left w:val="single" w:sz="4" w:space="0" w:color="auto"/>
              <w:bottom w:val="single" w:sz="4" w:space="0" w:color="auto"/>
              <w:right w:val="single" w:sz="4" w:space="0" w:color="auto"/>
            </w:tcBorders>
            <w:shd w:val="clear" w:color="auto" w:fill="auto"/>
            <w:noWrap/>
            <w:vAlign w:val="center"/>
            <w:hideMark/>
          </w:tcPr>
          <w:p w14:paraId="46DA024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0.53</w:t>
            </w:r>
          </w:p>
        </w:tc>
        <w:tc>
          <w:tcPr>
            <w:tcW w:w="735" w:type="dxa"/>
            <w:tcBorders>
              <w:left w:val="single" w:sz="4" w:space="0" w:color="auto"/>
              <w:bottom w:val="single" w:sz="4" w:space="0" w:color="auto"/>
              <w:right w:val="single" w:sz="4" w:space="0" w:color="auto"/>
            </w:tcBorders>
            <w:shd w:val="clear" w:color="auto" w:fill="auto"/>
            <w:noWrap/>
            <w:vAlign w:val="center"/>
            <w:hideMark/>
          </w:tcPr>
          <w:p w14:paraId="34952DB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653" w:type="dxa"/>
            <w:tcBorders>
              <w:left w:val="single" w:sz="4" w:space="0" w:color="auto"/>
              <w:bottom w:val="single" w:sz="4" w:space="0" w:color="auto"/>
              <w:right w:val="single" w:sz="4" w:space="0" w:color="auto"/>
            </w:tcBorders>
            <w:shd w:val="clear" w:color="auto" w:fill="auto"/>
            <w:noWrap/>
            <w:vAlign w:val="center"/>
            <w:hideMark/>
          </w:tcPr>
          <w:p w14:paraId="5A077E8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842" w:type="dxa"/>
            <w:tcBorders>
              <w:left w:val="single" w:sz="4" w:space="0" w:color="auto"/>
              <w:bottom w:val="single" w:sz="4" w:space="0" w:color="auto"/>
              <w:right w:val="single" w:sz="4" w:space="0" w:color="auto"/>
            </w:tcBorders>
            <w:shd w:val="clear" w:color="auto" w:fill="auto"/>
            <w:noWrap/>
            <w:vAlign w:val="center"/>
            <w:hideMark/>
          </w:tcPr>
          <w:p w14:paraId="6C8CD71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0.54</w:t>
            </w:r>
          </w:p>
        </w:tc>
        <w:tc>
          <w:tcPr>
            <w:tcW w:w="747" w:type="dxa"/>
            <w:tcBorders>
              <w:left w:val="single" w:sz="4" w:space="0" w:color="auto"/>
              <w:bottom w:val="single" w:sz="4" w:space="0" w:color="auto"/>
              <w:right w:val="single" w:sz="4" w:space="0" w:color="auto"/>
            </w:tcBorders>
            <w:shd w:val="clear" w:color="auto" w:fill="auto"/>
            <w:noWrap/>
            <w:vAlign w:val="center"/>
            <w:hideMark/>
          </w:tcPr>
          <w:p w14:paraId="7225022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0" w:type="dxa"/>
            <w:tcBorders>
              <w:left w:val="single" w:sz="4" w:space="0" w:color="auto"/>
              <w:bottom w:val="single" w:sz="4" w:space="0" w:color="auto"/>
              <w:right w:val="single" w:sz="4" w:space="0" w:color="auto"/>
            </w:tcBorders>
            <w:shd w:val="clear" w:color="auto" w:fill="auto"/>
            <w:noWrap/>
            <w:vAlign w:val="center"/>
            <w:hideMark/>
          </w:tcPr>
          <w:p w14:paraId="10D02F7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0.34</w:t>
            </w:r>
          </w:p>
        </w:tc>
        <w:tc>
          <w:tcPr>
            <w:tcW w:w="1022" w:type="dxa"/>
            <w:tcBorders>
              <w:left w:val="single" w:sz="4" w:space="0" w:color="auto"/>
              <w:bottom w:val="single" w:sz="4" w:space="0" w:color="auto"/>
              <w:right w:val="single" w:sz="4" w:space="0" w:color="auto"/>
            </w:tcBorders>
            <w:shd w:val="clear" w:color="auto" w:fill="auto"/>
            <w:noWrap/>
            <w:vAlign w:val="center"/>
            <w:hideMark/>
          </w:tcPr>
          <w:p w14:paraId="1DB9C2F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8" w:type="dxa"/>
            <w:tcBorders>
              <w:left w:val="single" w:sz="4" w:space="0" w:color="auto"/>
              <w:bottom w:val="single" w:sz="4" w:space="0" w:color="auto"/>
              <w:right w:val="single" w:sz="4" w:space="0" w:color="auto"/>
            </w:tcBorders>
            <w:shd w:val="clear" w:color="auto" w:fill="auto"/>
            <w:noWrap/>
            <w:vAlign w:val="center"/>
            <w:hideMark/>
          </w:tcPr>
          <w:p w14:paraId="7A797CA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r>
      <w:tr w:rsidR="00733E9B" w:rsidRPr="003F1806" w14:paraId="18DFAE6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ED5D87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F5B0"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Access to Education</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A27647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0.49</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444EE22"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0.67</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370793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0.62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5CE6744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0.49</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10072D4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0.74</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7E607E5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0.54</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6DCAE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0.58</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B2D68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0.58</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481CEDE8"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0.44</w:t>
            </w:r>
          </w:p>
        </w:tc>
      </w:tr>
      <w:tr w:rsidR="00733E9B" w:rsidRPr="003F1806" w14:paraId="744CA444" w14:textId="77777777" w:rsidTr="00733E9B">
        <w:trPr>
          <w:trHeight w:hRule="exact" w:val="286"/>
        </w:trPr>
        <w:tc>
          <w:tcPr>
            <w:tcW w:w="1051" w:type="dxa"/>
            <w:vMerge/>
            <w:tcBorders>
              <w:left w:val="single" w:sz="4" w:space="0" w:color="auto"/>
              <w:right w:val="nil"/>
            </w:tcBorders>
            <w:shd w:val="clear" w:color="auto" w:fill="auto"/>
            <w:noWrap/>
            <w:vAlign w:val="center"/>
            <w:hideMark/>
          </w:tcPr>
          <w:p w14:paraId="583380E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63BE5"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Access to Health facilities</w:t>
            </w:r>
          </w:p>
        </w:tc>
        <w:tc>
          <w:tcPr>
            <w:tcW w:w="653" w:type="dxa"/>
            <w:tcBorders>
              <w:top w:val="nil"/>
              <w:left w:val="nil"/>
              <w:bottom w:val="single" w:sz="4" w:space="0" w:color="auto"/>
              <w:right w:val="single" w:sz="4" w:space="0" w:color="auto"/>
            </w:tcBorders>
            <w:shd w:val="clear" w:color="auto" w:fill="auto"/>
            <w:noWrap/>
            <w:vAlign w:val="center"/>
            <w:hideMark/>
          </w:tcPr>
          <w:p w14:paraId="7D94AFA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15" w:type="dxa"/>
            <w:tcBorders>
              <w:top w:val="nil"/>
              <w:left w:val="nil"/>
              <w:bottom w:val="single" w:sz="4" w:space="0" w:color="auto"/>
              <w:right w:val="single" w:sz="4" w:space="0" w:color="auto"/>
            </w:tcBorders>
            <w:shd w:val="clear" w:color="auto" w:fill="auto"/>
            <w:noWrap/>
            <w:vAlign w:val="center"/>
            <w:hideMark/>
          </w:tcPr>
          <w:p w14:paraId="4C24B13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c>
          <w:tcPr>
            <w:tcW w:w="735" w:type="dxa"/>
            <w:tcBorders>
              <w:top w:val="nil"/>
              <w:left w:val="nil"/>
              <w:bottom w:val="single" w:sz="4" w:space="0" w:color="auto"/>
              <w:right w:val="single" w:sz="4" w:space="0" w:color="auto"/>
            </w:tcBorders>
            <w:shd w:val="clear" w:color="auto" w:fill="auto"/>
            <w:noWrap/>
            <w:vAlign w:val="center"/>
            <w:hideMark/>
          </w:tcPr>
          <w:p w14:paraId="36AEEFA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653" w:type="dxa"/>
            <w:tcBorders>
              <w:top w:val="nil"/>
              <w:left w:val="nil"/>
              <w:bottom w:val="single" w:sz="4" w:space="0" w:color="auto"/>
              <w:right w:val="single" w:sz="4" w:space="0" w:color="auto"/>
            </w:tcBorders>
            <w:shd w:val="clear" w:color="auto" w:fill="auto"/>
            <w:noWrap/>
            <w:vAlign w:val="center"/>
            <w:hideMark/>
          </w:tcPr>
          <w:p w14:paraId="702BE83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842" w:type="dxa"/>
            <w:tcBorders>
              <w:top w:val="nil"/>
              <w:left w:val="nil"/>
              <w:bottom w:val="single" w:sz="4" w:space="0" w:color="auto"/>
              <w:right w:val="single" w:sz="4" w:space="0" w:color="auto"/>
            </w:tcBorders>
            <w:shd w:val="clear" w:color="auto" w:fill="auto"/>
            <w:noWrap/>
            <w:vAlign w:val="center"/>
            <w:hideMark/>
          </w:tcPr>
          <w:p w14:paraId="5F78D2C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747" w:type="dxa"/>
            <w:tcBorders>
              <w:top w:val="nil"/>
              <w:left w:val="nil"/>
              <w:bottom w:val="single" w:sz="4" w:space="0" w:color="auto"/>
              <w:right w:val="single" w:sz="4" w:space="0" w:color="auto"/>
            </w:tcBorders>
            <w:shd w:val="clear" w:color="auto" w:fill="auto"/>
            <w:noWrap/>
            <w:vAlign w:val="center"/>
            <w:hideMark/>
          </w:tcPr>
          <w:p w14:paraId="393A46A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950" w:type="dxa"/>
            <w:tcBorders>
              <w:top w:val="nil"/>
              <w:left w:val="nil"/>
              <w:bottom w:val="single" w:sz="4" w:space="0" w:color="auto"/>
              <w:right w:val="single" w:sz="4" w:space="0" w:color="auto"/>
            </w:tcBorders>
            <w:shd w:val="clear" w:color="auto" w:fill="auto"/>
            <w:noWrap/>
            <w:vAlign w:val="center"/>
            <w:hideMark/>
          </w:tcPr>
          <w:p w14:paraId="0BB536E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1022" w:type="dxa"/>
            <w:tcBorders>
              <w:top w:val="nil"/>
              <w:left w:val="nil"/>
              <w:bottom w:val="single" w:sz="4" w:space="0" w:color="auto"/>
              <w:right w:val="single" w:sz="4" w:space="0" w:color="auto"/>
            </w:tcBorders>
            <w:shd w:val="clear" w:color="auto" w:fill="auto"/>
            <w:noWrap/>
            <w:vAlign w:val="center"/>
            <w:hideMark/>
          </w:tcPr>
          <w:p w14:paraId="42082BA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958" w:type="dxa"/>
            <w:tcBorders>
              <w:top w:val="nil"/>
              <w:left w:val="nil"/>
              <w:bottom w:val="single" w:sz="4" w:space="0" w:color="auto"/>
              <w:right w:val="single" w:sz="4" w:space="0" w:color="auto"/>
            </w:tcBorders>
            <w:shd w:val="clear" w:color="auto" w:fill="auto"/>
            <w:noWrap/>
            <w:vAlign w:val="center"/>
            <w:hideMark/>
          </w:tcPr>
          <w:p w14:paraId="4E7EDF6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7268C076"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B46B399"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264C7D4"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xml:space="preserve">Animal health care </w:t>
            </w:r>
            <w:proofErr w:type="spellStart"/>
            <w:r w:rsidRPr="003F1806">
              <w:rPr>
                <w:rFonts w:ascii="Arial MT" w:eastAsia="Times New Roman" w:hAnsi="Arial MT" w:cs="Arial"/>
                <w:color w:val="000000"/>
                <w:sz w:val="20"/>
                <w:szCs w:val="20"/>
              </w:rPr>
              <w:t>centre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0F52E2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15" w:type="dxa"/>
            <w:tcBorders>
              <w:top w:val="nil"/>
              <w:left w:val="nil"/>
              <w:bottom w:val="single" w:sz="4" w:space="0" w:color="auto"/>
              <w:right w:val="single" w:sz="4" w:space="0" w:color="auto"/>
            </w:tcBorders>
            <w:shd w:val="clear" w:color="auto" w:fill="auto"/>
            <w:noWrap/>
            <w:vAlign w:val="center"/>
            <w:hideMark/>
          </w:tcPr>
          <w:p w14:paraId="79BFF5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0.28</w:t>
            </w:r>
          </w:p>
        </w:tc>
        <w:tc>
          <w:tcPr>
            <w:tcW w:w="735" w:type="dxa"/>
            <w:tcBorders>
              <w:top w:val="nil"/>
              <w:left w:val="nil"/>
              <w:bottom w:val="single" w:sz="4" w:space="0" w:color="auto"/>
              <w:right w:val="single" w:sz="4" w:space="0" w:color="auto"/>
            </w:tcBorders>
            <w:shd w:val="clear" w:color="auto" w:fill="auto"/>
            <w:noWrap/>
            <w:vAlign w:val="center"/>
            <w:hideMark/>
          </w:tcPr>
          <w:p w14:paraId="543211D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653" w:type="dxa"/>
            <w:tcBorders>
              <w:top w:val="nil"/>
              <w:left w:val="nil"/>
              <w:bottom w:val="single" w:sz="4" w:space="0" w:color="auto"/>
              <w:right w:val="single" w:sz="4" w:space="0" w:color="auto"/>
            </w:tcBorders>
            <w:shd w:val="clear" w:color="auto" w:fill="auto"/>
            <w:noWrap/>
            <w:vAlign w:val="center"/>
            <w:hideMark/>
          </w:tcPr>
          <w:p w14:paraId="1FE4406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842" w:type="dxa"/>
            <w:tcBorders>
              <w:top w:val="nil"/>
              <w:left w:val="nil"/>
              <w:bottom w:val="single" w:sz="4" w:space="0" w:color="auto"/>
              <w:right w:val="single" w:sz="4" w:space="0" w:color="auto"/>
            </w:tcBorders>
            <w:shd w:val="clear" w:color="auto" w:fill="auto"/>
            <w:noWrap/>
            <w:vAlign w:val="center"/>
            <w:hideMark/>
          </w:tcPr>
          <w:p w14:paraId="12875F3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747" w:type="dxa"/>
            <w:tcBorders>
              <w:top w:val="nil"/>
              <w:left w:val="nil"/>
              <w:bottom w:val="single" w:sz="4" w:space="0" w:color="auto"/>
              <w:right w:val="single" w:sz="4" w:space="0" w:color="auto"/>
            </w:tcBorders>
            <w:shd w:val="clear" w:color="auto" w:fill="auto"/>
            <w:noWrap/>
            <w:vAlign w:val="center"/>
            <w:hideMark/>
          </w:tcPr>
          <w:p w14:paraId="6E5CE33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0.53</w:t>
            </w:r>
          </w:p>
        </w:tc>
        <w:tc>
          <w:tcPr>
            <w:tcW w:w="950" w:type="dxa"/>
            <w:tcBorders>
              <w:top w:val="nil"/>
              <w:left w:val="nil"/>
              <w:bottom w:val="single" w:sz="4" w:space="0" w:color="auto"/>
              <w:right w:val="single" w:sz="4" w:space="0" w:color="auto"/>
            </w:tcBorders>
            <w:shd w:val="clear" w:color="auto" w:fill="auto"/>
            <w:noWrap/>
            <w:vAlign w:val="center"/>
            <w:hideMark/>
          </w:tcPr>
          <w:p w14:paraId="7C84FF0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1022" w:type="dxa"/>
            <w:tcBorders>
              <w:top w:val="nil"/>
              <w:left w:val="nil"/>
              <w:bottom w:val="single" w:sz="4" w:space="0" w:color="auto"/>
              <w:right w:val="single" w:sz="4" w:space="0" w:color="auto"/>
            </w:tcBorders>
            <w:shd w:val="clear" w:color="auto" w:fill="auto"/>
            <w:noWrap/>
            <w:vAlign w:val="center"/>
            <w:hideMark/>
          </w:tcPr>
          <w:p w14:paraId="1538B82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0.34</w:t>
            </w:r>
          </w:p>
        </w:tc>
        <w:tc>
          <w:tcPr>
            <w:tcW w:w="958" w:type="dxa"/>
            <w:tcBorders>
              <w:top w:val="nil"/>
              <w:left w:val="nil"/>
              <w:bottom w:val="single" w:sz="4" w:space="0" w:color="auto"/>
              <w:right w:val="single" w:sz="4" w:space="0" w:color="auto"/>
            </w:tcBorders>
            <w:shd w:val="clear" w:color="auto" w:fill="auto"/>
            <w:noWrap/>
            <w:vAlign w:val="center"/>
            <w:hideMark/>
          </w:tcPr>
          <w:p w14:paraId="3BFCF5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r>
      <w:tr w:rsidR="00733E9B" w:rsidRPr="003F1806" w14:paraId="5A357A8F" w14:textId="77777777" w:rsidTr="00733E9B">
        <w:trPr>
          <w:trHeight w:hRule="exact" w:val="573"/>
        </w:trPr>
        <w:tc>
          <w:tcPr>
            <w:tcW w:w="1051" w:type="dxa"/>
            <w:vMerge/>
            <w:tcBorders>
              <w:left w:val="single" w:sz="4" w:space="0" w:color="auto"/>
              <w:right w:val="nil"/>
            </w:tcBorders>
            <w:shd w:val="clear" w:color="auto" w:fill="auto"/>
            <w:noWrap/>
            <w:vAlign w:val="center"/>
            <w:hideMark/>
          </w:tcPr>
          <w:p w14:paraId="37AC62E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B5C2C3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Agriculture tools and equipment</w:t>
            </w:r>
          </w:p>
        </w:tc>
        <w:tc>
          <w:tcPr>
            <w:tcW w:w="653" w:type="dxa"/>
            <w:tcBorders>
              <w:top w:val="nil"/>
              <w:left w:val="nil"/>
              <w:bottom w:val="single" w:sz="4" w:space="0" w:color="auto"/>
              <w:right w:val="single" w:sz="4" w:space="0" w:color="auto"/>
            </w:tcBorders>
            <w:shd w:val="clear" w:color="auto" w:fill="auto"/>
            <w:noWrap/>
            <w:vAlign w:val="center"/>
            <w:hideMark/>
          </w:tcPr>
          <w:p w14:paraId="4A19E99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715" w:type="dxa"/>
            <w:tcBorders>
              <w:top w:val="nil"/>
              <w:left w:val="nil"/>
              <w:bottom w:val="single" w:sz="4" w:space="0" w:color="auto"/>
              <w:right w:val="single" w:sz="4" w:space="0" w:color="auto"/>
            </w:tcBorders>
            <w:shd w:val="clear" w:color="auto" w:fill="auto"/>
            <w:noWrap/>
            <w:vAlign w:val="center"/>
            <w:hideMark/>
          </w:tcPr>
          <w:p w14:paraId="5F231FF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0.10</w:t>
            </w:r>
          </w:p>
        </w:tc>
        <w:tc>
          <w:tcPr>
            <w:tcW w:w="735" w:type="dxa"/>
            <w:tcBorders>
              <w:top w:val="nil"/>
              <w:left w:val="nil"/>
              <w:bottom w:val="single" w:sz="4" w:space="0" w:color="auto"/>
              <w:right w:val="single" w:sz="4" w:space="0" w:color="auto"/>
            </w:tcBorders>
            <w:shd w:val="clear" w:color="auto" w:fill="auto"/>
            <w:noWrap/>
            <w:vAlign w:val="center"/>
            <w:hideMark/>
          </w:tcPr>
          <w:p w14:paraId="618F40D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653" w:type="dxa"/>
            <w:tcBorders>
              <w:top w:val="nil"/>
              <w:left w:val="nil"/>
              <w:bottom w:val="single" w:sz="4" w:space="0" w:color="auto"/>
              <w:right w:val="single" w:sz="4" w:space="0" w:color="auto"/>
            </w:tcBorders>
            <w:shd w:val="clear" w:color="auto" w:fill="auto"/>
            <w:noWrap/>
            <w:vAlign w:val="center"/>
            <w:hideMark/>
          </w:tcPr>
          <w:p w14:paraId="4FB681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842" w:type="dxa"/>
            <w:tcBorders>
              <w:top w:val="nil"/>
              <w:left w:val="nil"/>
              <w:bottom w:val="single" w:sz="4" w:space="0" w:color="auto"/>
              <w:right w:val="single" w:sz="4" w:space="0" w:color="auto"/>
            </w:tcBorders>
            <w:shd w:val="clear" w:color="auto" w:fill="auto"/>
            <w:noWrap/>
            <w:vAlign w:val="center"/>
            <w:hideMark/>
          </w:tcPr>
          <w:p w14:paraId="27872AE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0.02</w:t>
            </w:r>
          </w:p>
        </w:tc>
        <w:tc>
          <w:tcPr>
            <w:tcW w:w="747" w:type="dxa"/>
            <w:tcBorders>
              <w:top w:val="nil"/>
              <w:left w:val="nil"/>
              <w:bottom w:val="single" w:sz="4" w:space="0" w:color="auto"/>
              <w:right w:val="single" w:sz="4" w:space="0" w:color="auto"/>
            </w:tcBorders>
            <w:shd w:val="clear" w:color="auto" w:fill="auto"/>
            <w:noWrap/>
            <w:vAlign w:val="center"/>
            <w:hideMark/>
          </w:tcPr>
          <w:p w14:paraId="07852A7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1ABC106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1022" w:type="dxa"/>
            <w:tcBorders>
              <w:top w:val="nil"/>
              <w:left w:val="nil"/>
              <w:bottom w:val="single" w:sz="4" w:space="0" w:color="auto"/>
              <w:right w:val="single" w:sz="4" w:space="0" w:color="auto"/>
            </w:tcBorders>
            <w:shd w:val="clear" w:color="auto" w:fill="auto"/>
            <w:noWrap/>
            <w:vAlign w:val="center"/>
            <w:hideMark/>
          </w:tcPr>
          <w:p w14:paraId="3BCEC13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958" w:type="dxa"/>
            <w:tcBorders>
              <w:top w:val="nil"/>
              <w:left w:val="nil"/>
              <w:bottom w:val="single" w:sz="4" w:space="0" w:color="auto"/>
              <w:right w:val="single" w:sz="4" w:space="0" w:color="auto"/>
            </w:tcBorders>
            <w:shd w:val="clear" w:color="auto" w:fill="auto"/>
            <w:noWrap/>
            <w:vAlign w:val="center"/>
            <w:hideMark/>
          </w:tcPr>
          <w:p w14:paraId="05D868B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r>
      <w:tr w:rsidR="00733E9B" w:rsidRPr="003F1806" w14:paraId="4BA125E2" w14:textId="77777777" w:rsidTr="00733E9B">
        <w:trPr>
          <w:trHeight w:hRule="exact" w:val="573"/>
        </w:trPr>
        <w:tc>
          <w:tcPr>
            <w:tcW w:w="1051" w:type="dxa"/>
            <w:vMerge/>
            <w:tcBorders>
              <w:left w:val="single" w:sz="4" w:space="0" w:color="auto"/>
              <w:bottom w:val="single" w:sz="4" w:space="0" w:color="auto"/>
              <w:right w:val="nil"/>
            </w:tcBorders>
            <w:shd w:val="clear" w:color="auto" w:fill="auto"/>
            <w:noWrap/>
            <w:vAlign w:val="center"/>
            <w:hideMark/>
          </w:tcPr>
          <w:p w14:paraId="50ABB07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59EA4DE"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Government Services (e.g. Horti/Agri)</w:t>
            </w:r>
          </w:p>
        </w:tc>
        <w:tc>
          <w:tcPr>
            <w:tcW w:w="653" w:type="dxa"/>
            <w:tcBorders>
              <w:top w:val="nil"/>
              <w:left w:val="nil"/>
              <w:bottom w:val="single" w:sz="4" w:space="0" w:color="auto"/>
              <w:right w:val="single" w:sz="4" w:space="0" w:color="auto"/>
            </w:tcBorders>
            <w:shd w:val="clear" w:color="auto" w:fill="auto"/>
            <w:noWrap/>
            <w:vAlign w:val="center"/>
            <w:hideMark/>
          </w:tcPr>
          <w:p w14:paraId="1227C3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715" w:type="dxa"/>
            <w:tcBorders>
              <w:top w:val="nil"/>
              <w:left w:val="nil"/>
              <w:bottom w:val="single" w:sz="4" w:space="0" w:color="auto"/>
              <w:right w:val="single" w:sz="4" w:space="0" w:color="auto"/>
            </w:tcBorders>
            <w:shd w:val="clear" w:color="auto" w:fill="auto"/>
            <w:noWrap/>
            <w:vAlign w:val="center"/>
            <w:hideMark/>
          </w:tcPr>
          <w:p w14:paraId="1A7DF9F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35" w:type="dxa"/>
            <w:tcBorders>
              <w:top w:val="nil"/>
              <w:left w:val="nil"/>
              <w:bottom w:val="single" w:sz="4" w:space="0" w:color="auto"/>
              <w:right w:val="single" w:sz="4" w:space="0" w:color="auto"/>
            </w:tcBorders>
            <w:shd w:val="clear" w:color="auto" w:fill="auto"/>
            <w:noWrap/>
            <w:vAlign w:val="center"/>
            <w:hideMark/>
          </w:tcPr>
          <w:p w14:paraId="6DEC0B6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0.26</w:t>
            </w:r>
          </w:p>
        </w:tc>
        <w:tc>
          <w:tcPr>
            <w:tcW w:w="653" w:type="dxa"/>
            <w:tcBorders>
              <w:top w:val="nil"/>
              <w:left w:val="nil"/>
              <w:bottom w:val="single" w:sz="4" w:space="0" w:color="auto"/>
              <w:right w:val="single" w:sz="4" w:space="0" w:color="auto"/>
            </w:tcBorders>
            <w:shd w:val="clear" w:color="auto" w:fill="auto"/>
            <w:noWrap/>
            <w:vAlign w:val="center"/>
            <w:hideMark/>
          </w:tcPr>
          <w:p w14:paraId="137EDDA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842" w:type="dxa"/>
            <w:tcBorders>
              <w:top w:val="nil"/>
              <w:left w:val="nil"/>
              <w:bottom w:val="single" w:sz="4" w:space="0" w:color="auto"/>
              <w:right w:val="single" w:sz="4" w:space="0" w:color="auto"/>
            </w:tcBorders>
            <w:shd w:val="clear" w:color="auto" w:fill="auto"/>
            <w:noWrap/>
            <w:vAlign w:val="center"/>
            <w:hideMark/>
          </w:tcPr>
          <w:p w14:paraId="050A9BD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47" w:type="dxa"/>
            <w:tcBorders>
              <w:top w:val="nil"/>
              <w:left w:val="nil"/>
              <w:bottom w:val="single" w:sz="4" w:space="0" w:color="auto"/>
              <w:right w:val="single" w:sz="4" w:space="0" w:color="auto"/>
            </w:tcBorders>
            <w:shd w:val="clear" w:color="auto" w:fill="auto"/>
            <w:noWrap/>
            <w:vAlign w:val="center"/>
            <w:hideMark/>
          </w:tcPr>
          <w:p w14:paraId="0309AC8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252D531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0.19</w:t>
            </w:r>
          </w:p>
        </w:tc>
        <w:tc>
          <w:tcPr>
            <w:tcW w:w="1022" w:type="dxa"/>
            <w:tcBorders>
              <w:top w:val="nil"/>
              <w:left w:val="nil"/>
              <w:bottom w:val="single" w:sz="4" w:space="0" w:color="auto"/>
              <w:right w:val="single" w:sz="4" w:space="0" w:color="auto"/>
            </w:tcBorders>
            <w:shd w:val="clear" w:color="auto" w:fill="auto"/>
            <w:noWrap/>
            <w:vAlign w:val="center"/>
            <w:hideMark/>
          </w:tcPr>
          <w:p w14:paraId="56D9B09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958" w:type="dxa"/>
            <w:tcBorders>
              <w:top w:val="nil"/>
              <w:left w:val="nil"/>
              <w:bottom w:val="single" w:sz="4" w:space="0" w:color="auto"/>
              <w:right w:val="single" w:sz="4" w:space="0" w:color="auto"/>
            </w:tcBorders>
            <w:shd w:val="clear" w:color="auto" w:fill="auto"/>
            <w:noWrap/>
            <w:vAlign w:val="center"/>
            <w:hideMark/>
          </w:tcPr>
          <w:p w14:paraId="785763E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r>
      <w:tr w:rsidR="00733E9B" w:rsidRPr="003F1806" w14:paraId="4457B27E" w14:textId="77777777" w:rsidTr="00733E9B">
        <w:trPr>
          <w:trHeight w:hRule="exact" w:val="344"/>
        </w:trPr>
        <w:tc>
          <w:tcPr>
            <w:tcW w:w="105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0371E28"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Financial Assets (C</w:t>
            </w:r>
            <w:r w:rsidRPr="003F1806">
              <w:rPr>
                <w:rFonts w:ascii="Arial MT" w:eastAsia="Times New Roman" w:hAnsi="Arial MT" w:cs="Arial"/>
                <w:b/>
                <w:bCs/>
                <w:color w:val="000000"/>
                <w:sz w:val="20"/>
                <w:szCs w:val="20"/>
                <w:vertAlign w:val="subscript"/>
              </w:rPr>
              <w:t>4</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D8C89D8"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73910ED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1EF3417F"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0.35</w:t>
            </w:r>
          </w:p>
        </w:tc>
        <w:tc>
          <w:tcPr>
            <w:tcW w:w="735" w:type="dxa"/>
            <w:tcBorders>
              <w:top w:val="nil"/>
              <w:left w:val="nil"/>
              <w:bottom w:val="single" w:sz="4" w:space="0" w:color="auto"/>
              <w:right w:val="single" w:sz="4" w:space="0" w:color="auto"/>
            </w:tcBorders>
            <w:shd w:val="clear" w:color="auto" w:fill="auto"/>
            <w:noWrap/>
            <w:vAlign w:val="center"/>
            <w:hideMark/>
          </w:tcPr>
          <w:p w14:paraId="7524747C"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0.34</w:t>
            </w:r>
          </w:p>
        </w:tc>
        <w:tc>
          <w:tcPr>
            <w:tcW w:w="653" w:type="dxa"/>
            <w:tcBorders>
              <w:top w:val="nil"/>
              <w:left w:val="nil"/>
              <w:bottom w:val="single" w:sz="4" w:space="0" w:color="auto"/>
              <w:right w:val="single" w:sz="4" w:space="0" w:color="auto"/>
            </w:tcBorders>
            <w:shd w:val="clear" w:color="auto" w:fill="auto"/>
            <w:noWrap/>
            <w:vAlign w:val="center"/>
            <w:hideMark/>
          </w:tcPr>
          <w:p w14:paraId="1295A09A"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0.33</w:t>
            </w:r>
          </w:p>
        </w:tc>
        <w:tc>
          <w:tcPr>
            <w:tcW w:w="842" w:type="dxa"/>
            <w:tcBorders>
              <w:top w:val="nil"/>
              <w:left w:val="nil"/>
              <w:bottom w:val="single" w:sz="4" w:space="0" w:color="auto"/>
              <w:right w:val="single" w:sz="4" w:space="0" w:color="auto"/>
            </w:tcBorders>
            <w:shd w:val="clear" w:color="auto" w:fill="auto"/>
            <w:noWrap/>
            <w:vAlign w:val="center"/>
            <w:hideMark/>
          </w:tcPr>
          <w:p w14:paraId="113EE8A0"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356EE9D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0.31</w:t>
            </w:r>
          </w:p>
        </w:tc>
        <w:tc>
          <w:tcPr>
            <w:tcW w:w="950" w:type="dxa"/>
            <w:tcBorders>
              <w:top w:val="nil"/>
              <w:left w:val="nil"/>
              <w:bottom w:val="single" w:sz="4" w:space="0" w:color="auto"/>
              <w:right w:val="single" w:sz="4" w:space="0" w:color="auto"/>
            </w:tcBorders>
            <w:shd w:val="clear" w:color="auto" w:fill="auto"/>
            <w:noWrap/>
            <w:vAlign w:val="center"/>
            <w:hideMark/>
          </w:tcPr>
          <w:p w14:paraId="7B0D9AEB"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0.41</w:t>
            </w:r>
          </w:p>
        </w:tc>
        <w:tc>
          <w:tcPr>
            <w:tcW w:w="1022" w:type="dxa"/>
            <w:tcBorders>
              <w:top w:val="nil"/>
              <w:left w:val="nil"/>
              <w:bottom w:val="single" w:sz="4" w:space="0" w:color="auto"/>
              <w:right w:val="single" w:sz="4" w:space="0" w:color="auto"/>
            </w:tcBorders>
            <w:shd w:val="clear" w:color="auto" w:fill="auto"/>
            <w:noWrap/>
            <w:vAlign w:val="center"/>
            <w:hideMark/>
          </w:tcPr>
          <w:p w14:paraId="53FD23F4"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315927C6"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r>
      <w:tr w:rsidR="00733E9B" w:rsidRPr="003F1806" w14:paraId="17D3F9B4"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7367644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07E4C09" w14:textId="77777777" w:rsidR="00FE6ECB" w:rsidRPr="003F1806" w:rsidRDefault="00FE6ECB"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Sa</w:t>
            </w:r>
            <w:r w:rsidR="00533710" w:rsidRPr="003F1806">
              <w:rPr>
                <w:rFonts w:ascii="Arial MT" w:eastAsia="Times New Roman" w:hAnsi="Arial MT" w:cs="Arial"/>
                <w:bCs/>
                <w:iCs/>
                <w:color w:val="000000"/>
                <w:sz w:val="20"/>
                <w:szCs w:val="20"/>
              </w:rPr>
              <w:t>vings</w:t>
            </w:r>
          </w:p>
        </w:tc>
        <w:tc>
          <w:tcPr>
            <w:tcW w:w="653" w:type="dxa"/>
            <w:tcBorders>
              <w:top w:val="nil"/>
              <w:left w:val="nil"/>
              <w:bottom w:val="single" w:sz="4" w:space="0" w:color="auto"/>
              <w:right w:val="single" w:sz="4" w:space="0" w:color="auto"/>
            </w:tcBorders>
            <w:shd w:val="clear" w:color="auto" w:fill="auto"/>
            <w:noWrap/>
            <w:vAlign w:val="center"/>
            <w:hideMark/>
          </w:tcPr>
          <w:p w14:paraId="6837CC1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0.49</w:t>
            </w:r>
          </w:p>
        </w:tc>
        <w:tc>
          <w:tcPr>
            <w:tcW w:w="715" w:type="dxa"/>
            <w:tcBorders>
              <w:top w:val="nil"/>
              <w:left w:val="nil"/>
              <w:bottom w:val="single" w:sz="4" w:space="0" w:color="auto"/>
              <w:right w:val="single" w:sz="4" w:space="0" w:color="auto"/>
            </w:tcBorders>
            <w:shd w:val="clear" w:color="auto" w:fill="auto"/>
            <w:noWrap/>
            <w:vAlign w:val="center"/>
            <w:hideMark/>
          </w:tcPr>
          <w:p w14:paraId="3F9E3C04"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0.47</w:t>
            </w:r>
          </w:p>
        </w:tc>
        <w:tc>
          <w:tcPr>
            <w:tcW w:w="735" w:type="dxa"/>
            <w:tcBorders>
              <w:top w:val="nil"/>
              <w:left w:val="nil"/>
              <w:bottom w:val="single" w:sz="4" w:space="0" w:color="auto"/>
              <w:right w:val="single" w:sz="4" w:space="0" w:color="auto"/>
            </w:tcBorders>
            <w:shd w:val="clear" w:color="auto" w:fill="auto"/>
            <w:noWrap/>
            <w:vAlign w:val="center"/>
            <w:hideMark/>
          </w:tcPr>
          <w:p w14:paraId="34714A3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0.45</w:t>
            </w:r>
          </w:p>
        </w:tc>
        <w:tc>
          <w:tcPr>
            <w:tcW w:w="653" w:type="dxa"/>
            <w:tcBorders>
              <w:top w:val="nil"/>
              <w:left w:val="nil"/>
              <w:bottom w:val="single" w:sz="4" w:space="0" w:color="auto"/>
              <w:right w:val="single" w:sz="4" w:space="0" w:color="auto"/>
            </w:tcBorders>
            <w:shd w:val="clear" w:color="auto" w:fill="auto"/>
            <w:noWrap/>
            <w:vAlign w:val="center"/>
            <w:hideMark/>
          </w:tcPr>
          <w:p w14:paraId="79399F0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0.45</w:t>
            </w:r>
          </w:p>
        </w:tc>
        <w:tc>
          <w:tcPr>
            <w:tcW w:w="842" w:type="dxa"/>
            <w:tcBorders>
              <w:top w:val="nil"/>
              <w:left w:val="nil"/>
              <w:bottom w:val="single" w:sz="4" w:space="0" w:color="auto"/>
              <w:right w:val="single" w:sz="4" w:space="0" w:color="auto"/>
            </w:tcBorders>
            <w:shd w:val="clear" w:color="auto" w:fill="auto"/>
            <w:noWrap/>
            <w:vAlign w:val="center"/>
            <w:hideMark/>
          </w:tcPr>
          <w:p w14:paraId="329701C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0.48</w:t>
            </w:r>
          </w:p>
        </w:tc>
        <w:tc>
          <w:tcPr>
            <w:tcW w:w="747" w:type="dxa"/>
            <w:tcBorders>
              <w:top w:val="nil"/>
              <w:left w:val="nil"/>
              <w:bottom w:val="single" w:sz="4" w:space="0" w:color="auto"/>
              <w:right w:val="single" w:sz="4" w:space="0" w:color="auto"/>
            </w:tcBorders>
            <w:shd w:val="clear" w:color="auto" w:fill="auto"/>
            <w:noWrap/>
            <w:vAlign w:val="center"/>
            <w:hideMark/>
          </w:tcPr>
          <w:p w14:paraId="662CCDBE"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0.43</w:t>
            </w:r>
          </w:p>
        </w:tc>
        <w:tc>
          <w:tcPr>
            <w:tcW w:w="950" w:type="dxa"/>
            <w:tcBorders>
              <w:top w:val="nil"/>
              <w:left w:val="nil"/>
              <w:bottom w:val="single" w:sz="4" w:space="0" w:color="auto"/>
              <w:right w:val="single" w:sz="4" w:space="0" w:color="auto"/>
            </w:tcBorders>
            <w:shd w:val="clear" w:color="auto" w:fill="auto"/>
            <w:noWrap/>
            <w:vAlign w:val="center"/>
            <w:hideMark/>
          </w:tcPr>
          <w:p w14:paraId="5FDDDBA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0.55</w:t>
            </w:r>
          </w:p>
        </w:tc>
        <w:tc>
          <w:tcPr>
            <w:tcW w:w="1022" w:type="dxa"/>
            <w:tcBorders>
              <w:top w:val="nil"/>
              <w:left w:val="nil"/>
              <w:bottom w:val="single" w:sz="4" w:space="0" w:color="auto"/>
              <w:right w:val="single" w:sz="4" w:space="0" w:color="auto"/>
            </w:tcBorders>
            <w:shd w:val="clear" w:color="auto" w:fill="auto"/>
            <w:noWrap/>
            <w:vAlign w:val="center"/>
            <w:hideMark/>
          </w:tcPr>
          <w:p w14:paraId="5D4133A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0.44</w:t>
            </w:r>
          </w:p>
        </w:tc>
        <w:tc>
          <w:tcPr>
            <w:tcW w:w="958" w:type="dxa"/>
            <w:tcBorders>
              <w:top w:val="nil"/>
              <w:left w:val="nil"/>
              <w:bottom w:val="single" w:sz="4" w:space="0" w:color="auto"/>
              <w:right w:val="single" w:sz="4" w:space="0" w:color="auto"/>
            </w:tcBorders>
            <w:shd w:val="clear" w:color="auto" w:fill="auto"/>
            <w:noWrap/>
            <w:vAlign w:val="center"/>
            <w:hideMark/>
          </w:tcPr>
          <w:p w14:paraId="29680D53"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0.48</w:t>
            </w:r>
          </w:p>
        </w:tc>
      </w:tr>
      <w:tr w:rsidR="00733E9B" w:rsidRPr="003F1806" w14:paraId="3C93F445"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3A1F2BF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8E721DC" w14:textId="77777777" w:rsidR="00FE6ECB" w:rsidRPr="003F1806" w:rsidRDefault="00533710"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Credits</w:t>
            </w:r>
          </w:p>
        </w:tc>
        <w:tc>
          <w:tcPr>
            <w:tcW w:w="653" w:type="dxa"/>
            <w:tcBorders>
              <w:top w:val="nil"/>
              <w:left w:val="nil"/>
              <w:bottom w:val="single" w:sz="4" w:space="0" w:color="auto"/>
              <w:right w:val="single" w:sz="4" w:space="0" w:color="auto"/>
            </w:tcBorders>
            <w:shd w:val="clear" w:color="auto" w:fill="auto"/>
            <w:noWrap/>
            <w:vAlign w:val="center"/>
            <w:hideMark/>
          </w:tcPr>
          <w:p w14:paraId="360AE16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0.42</w:t>
            </w:r>
          </w:p>
        </w:tc>
        <w:tc>
          <w:tcPr>
            <w:tcW w:w="715" w:type="dxa"/>
            <w:tcBorders>
              <w:top w:val="nil"/>
              <w:left w:val="nil"/>
              <w:bottom w:val="single" w:sz="4" w:space="0" w:color="auto"/>
              <w:right w:val="single" w:sz="4" w:space="0" w:color="auto"/>
            </w:tcBorders>
            <w:shd w:val="clear" w:color="auto" w:fill="auto"/>
            <w:noWrap/>
            <w:vAlign w:val="center"/>
            <w:hideMark/>
          </w:tcPr>
          <w:p w14:paraId="5A76A04F"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0.29</w:t>
            </w:r>
          </w:p>
        </w:tc>
        <w:tc>
          <w:tcPr>
            <w:tcW w:w="735" w:type="dxa"/>
            <w:tcBorders>
              <w:top w:val="nil"/>
              <w:left w:val="nil"/>
              <w:bottom w:val="single" w:sz="4" w:space="0" w:color="auto"/>
              <w:right w:val="single" w:sz="4" w:space="0" w:color="auto"/>
            </w:tcBorders>
            <w:shd w:val="clear" w:color="auto" w:fill="auto"/>
            <w:noWrap/>
            <w:vAlign w:val="center"/>
            <w:hideMark/>
          </w:tcPr>
          <w:p w14:paraId="13F0D9C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0.29</w:t>
            </w:r>
          </w:p>
        </w:tc>
        <w:tc>
          <w:tcPr>
            <w:tcW w:w="653" w:type="dxa"/>
            <w:tcBorders>
              <w:top w:val="nil"/>
              <w:left w:val="nil"/>
              <w:bottom w:val="single" w:sz="4" w:space="0" w:color="auto"/>
              <w:right w:val="single" w:sz="4" w:space="0" w:color="auto"/>
            </w:tcBorders>
            <w:shd w:val="clear" w:color="auto" w:fill="auto"/>
            <w:noWrap/>
            <w:vAlign w:val="center"/>
            <w:hideMark/>
          </w:tcPr>
          <w:p w14:paraId="19DE9FE6"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0.21</w:t>
            </w:r>
          </w:p>
        </w:tc>
        <w:tc>
          <w:tcPr>
            <w:tcW w:w="842" w:type="dxa"/>
            <w:tcBorders>
              <w:top w:val="nil"/>
              <w:left w:val="nil"/>
              <w:bottom w:val="single" w:sz="4" w:space="0" w:color="auto"/>
              <w:right w:val="single" w:sz="4" w:space="0" w:color="auto"/>
            </w:tcBorders>
            <w:shd w:val="clear" w:color="auto" w:fill="auto"/>
            <w:noWrap/>
            <w:vAlign w:val="center"/>
            <w:hideMark/>
          </w:tcPr>
          <w:p w14:paraId="0CA90BC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0.25</w:t>
            </w:r>
          </w:p>
        </w:tc>
        <w:tc>
          <w:tcPr>
            <w:tcW w:w="747" w:type="dxa"/>
            <w:tcBorders>
              <w:top w:val="nil"/>
              <w:left w:val="nil"/>
              <w:bottom w:val="single" w:sz="4" w:space="0" w:color="auto"/>
              <w:right w:val="single" w:sz="4" w:space="0" w:color="auto"/>
            </w:tcBorders>
            <w:shd w:val="clear" w:color="auto" w:fill="auto"/>
            <w:noWrap/>
            <w:vAlign w:val="center"/>
            <w:hideMark/>
          </w:tcPr>
          <w:p w14:paraId="4C35A73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0.22</w:t>
            </w:r>
          </w:p>
        </w:tc>
        <w:tc>
          <w:tcPr>
            <w:tcW w:w="950" w:type="dxa"/>
            <w:tcBorders>
              <w:top w:val="nil"/>
              <w:left w:val="nil"/>
              <w:bottom w:val="single" w:sz="4" w:space="0" w:color="auto"/>
              <w:right w:val="single" w:sz="4" w:space="0" w:color="auto"/>
            </w:tcBorders>
            <w:shd w:val="clear" w:color="auto" w:fill="auto"/>
            <w:noWrap/>
            <w:vAlign w:val="center"/>
            <w:hideMark/>
          </w:tcPr>
          <w:p w14:paraId="415D8FC0"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0.37</w:t>
            </w:r>
          </w:p>
        </w:tc>
        <w:tc>
          <w:tcPr>
            <w:tcW w:w="1022" w:type="dxa"/>
            <w:tcBorders>
              <w:top w:val="nil"/>
              <w:left w:val="nil"/>
              <w:bottom w:val="single" w:sz="4" w:space="0" w:color="auto"/>
              <w:right w:val="single" w:sz="4" w:space="0" w:color="auto"/>
            </w:tcBorders>
            <w:shd w:val="clear" w:color="auto" w:fill="auto"/>
            <w:noWrap/>
            <w:vAlign w:val="center"/>
            <w:hideMark/>
          </w:tcPr>
          <w:p w14:paraId="3D608241"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0.33</w:t>
            </w:r>
          </w:p>
        </w:tc>
        <w:tc>
          <w:tcPr>
            <w:tcW w:w="958" w:type="dxa"/>
            <w:tcBorders>
              <w:top w:val="nil"/>
              <w:left w:val="nil"/>
              <w:bottom w:val="single" w:sz="4" w:space="0" w:color="auto"/>
              <w:right w:val="single" w:sz="4" w:space="0" w:color="auto"/>
            </w:tcBorders>
            <w:shd w:val="clear" w:color="auto" w:fill="auto"/>
            <w:noWrap/>
            <w:vAlign w:val="center"/>
            <w:hideMark/>
          </w:tcPr>
          <w:p w14:paraId="3A71D8B9"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0.43</w:t>
            </w:r>
          </w:p>
        </w:tc>
      </w:tr>
      <w:tr w:rsidR="00733E9B" w:rsidRPr="003F1806" w14:paraId="06378AB1"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130EC459"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F5689" w14:textId="77777777" w:rsidR="00FE6ECB" w:rsidRPr="003F1806" w:rsidRDefault="00533710"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Income Sources</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DF79531"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E23675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F3F8BA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0.28</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3DC8D56"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F26DAA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509F44A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0918E06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A64C7CD"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751BFC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r>
      <w:tr w:rsidR="00733E9B" w:rsidRPr="003F1806" w14:paraId="1A89FEB2"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1BD067C5" w14:textId="77777777" w:rsidR="00464609" w:rsidRPr="003F1806" w:rsidRDefault="00464609"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Social Assets (C</w:t>
            </w:r>
            <w:r w:rsidRPr="003F1806">
              <w:rPr>
                <w:rFonts w:ascii="Arial MT" w:eastAsia="Times New Roman" w:hAnsi="Arial MT" w:cs="Arial"/>
                <w:b/>
                <w:bCs/>
                <w:color w:val="000000"/>
                <w:sz w:val="20"/>
                <w:szCs w:val="20"/>
                <w:vertAlign w:val="subscript"/>
              </w:rPr>
              <w:t>5</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5299E46"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48A9B5A0"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15" w:type="dxa"/>
            <w:tcBorders>
              <w:top w:val="nil"/>
              <w:left w:val="nil"/>
              <w:bottom w:val="single" w:sz="4" w:space="0" w:color="auto"/>
              <w:right w:val="single" w:sz="4" w:space="0" w:color="auto"/>
            </w:tcBorders>
            <w:shd w:val="clear" w:color="auto" w:fill="auto"/>
            <w:noWrap/>
            <w:vAlign w:val="center"/>
            <w:hideMark/>
          </w:tcPr>
          <w:p w14:paraId="31A99EEE"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5342E833"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0.32</w:t>
            </w:r>
          </w:p>
        </w:tc>
        <w:tc>
          <w:tcPr>
            <w:tcW w:w="653" w:type="dxa"/>
            <w:tcBorders>
              <w:top w:val="nil"/>
              <w:left w:val="nil"/>
              <w:bottom w:val="single" w:sz="4" w:space="0" w:color="auto"/>
              <w:right w:val="single" w:sz="4" w:space="0" w:color="auto"/>
            </w:tcBorders>
            <w:shd w:val="clear" w:color="auto" w:fill="auto"/>
            <w:noWrap/>
            <w:vAlign w:val="center"/>
            <w:hideMark/>
          </w:tcPr>
          <w:p w14:paraId="48D2E144"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5D18C764"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47" w:type="dxa"/>
            <w:tcBorders>
              <w:top w:val="nil"/>
              <w:left w:val="nil"/>
              <w:bottom w:val="single" w:sz="4" w:space="0" w:color="auto"/>
              <w:right w:val="single" w:sz="4" w:space="0" w:color="auto"/>
            </w:tcBorders>
            <w:shd w:val="clear" w:color="auto" w:fill="auto"/>
            <w:noWrap/>
            <w:vAlign w:val="center"/>
            <w:hideMark/>
          </w:tcPr>
          <w:p w14:paraId="1AA6316E"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0.40</w:t>
            </w:r>
          </w:p>
        </w:tc>
        <w:tc>
          <w:tcPr>
            <w:tcW w:w="950" w:type="dxa"/>
            <w:tcBorders>
              <w:top w:val="nil"/>
              <w:left w:val="nil"/>
              <w:bottom w:val="single" w:sz="4" w:space="0" w:color="auto"/>
              <w:right w:val="single" w:sz="4" w:space="0" w:color="auto"/>
            </w:tcBorders>
            <w:shd w:val="clear" w:color="auto" w:fill="auto"/>
            <w:noWrap/>
            <w:vAlign w:val="center"/>
            <w:hideMark/>
          </w:tcPr>
          <w:p w14:paraId="74C3043A"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0.40</w:t>
            </w:r>
          </w:p>
        </w:tc>
        <w:tc>
          <w:tcPr>
            <w:tcW w:w="1022" w:type="dxa"/>
            <w:tcBorders>
              <w:top w:val="nil"/>
              <w:left w:val="nil"/>
              <w:bottom w:val="single" w:sz="4" w:space="0" w:color="auto"/>
              <w:right w:val="single" w:sz="4" w:space="0" w:color="auto"/>
            </w:tcBorders>
            <w:shd w:val="clear" w:color="auto" w:fill="auto"/>
            <w:noWrap/>
            <w:vAlign w:val="center"/>
            <w:hideMark/>
          </w:tcPr>
          <w:p w14:paraId="788618E8"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0.27</w:t>
            </w:r>
          </w:p>
        </w:tc>
        <w:tc>
          <w:tcPr>
            <w:tcW w:w="958" w:type="dxa"/>
            <w:tcBorders>
              <w:top w:val="nil"/>
              <w:left w:val="nil"/>
              <w:bottom w:val="single" w:sz="4" w:space="0" w:color="auto"/>
              <w:right w:val="single" w:sz="4" w:space="0" w:color="auto"/>
            </w:tcBorders>
            <w:shd w:val="clear" w:color="auto" w:fill="auto"/>
            <w:noWrap/>
            <w:vAlign w:val="center"/>
            <w:hideMark/>
          </w:tcPr>
          <w:p w14:paraId="4B767597"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0.25</w:t>
            </w:r>
          </w:p>
        </w:tc>
      </w:tr>
      <w:tr w:rsidR="00733E9B" w:rsidRPr="003F1806" w14:paraId="5DADACE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AFCA82A"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9CC2143"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xml:space="preserve">Friends/ </w:t>
            </w:r>
            <w:proofErr w:type="spellStart"/>
            <w:r w:rsidRPr="003F1806">
              <w:rPr>
                <w:rFonts w:ascii="Arial MT" w:eastAsia="Times New Roman" w:hAnsi="Arial MT" w:cs="Arial"/>
                <w:color w:val="000000"/>
                <w:sz w:val="20"/>
                <w:szCs w:val="20"/>
              </w:rPr>
              <w:t>Neighbour</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7724BE2F"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57A10FC7"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c>
          <w:tcPr>
            <w:tcW w:w="735" w:type="dxa"/>
            <w:tcBorders>
              <w:top w:val="nil"/>
              <w:left w:val="nil"/>
              <w:bottom w:val="single" w:sz="4" w:space="0" w:color="auto"/>
              <w:right w:val="single" w:sz="4" w:space="0" w:color="auto"/>
            </w:tcBorders>
            <w:shd w:val="clear" w:color="auto" w:fill="auto"/>
            <w:noWrap/>
            <w:vAlign w:val="center"/>
            <w:hideMark/>
          </w:tcPr>
          <w:p w14:paraId="58E72520"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0.39</w:t>
            </w:r>
          </w:p>
        </w:tc>
        <w:tc>
          <w:tcPr>
            <w:tcW w:w="653" w:type="dxa"/>
            <w:tcBorders>
              <w:top w:val="nil"/>
              <w:left w:val="nil"/>
              <w:bottom w:val="single" w:sz="4" w:space="0" w:color="auto"/>
              <w:right w:val="single" w:sz="4" w:space="0" w:color="auto"/>
            </w:tcBorders>
            <w:shd w:val="clear" w:color="auto" w:fill="auto"/>
            <w:noWrap/>
            <w:vAlign w:val="center"/>
            <w:hideMark/>
          </w:tcPr>
          <w:p w14:paraId="368822AE"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842" w:type="dxa"/>
            <w:tcBorders>
              <w:top w:val="nil"/>
              <w:left w:val="nil"/>
              <w:bottom w:val="single" w:sz="4" w:space="0" w:color="auto"/>
              <w:right w:val="single" w:sz="4" w:space="0" w:color="auto"/>
            </w:tcBorders>
            <w:shd w:val="clear" w:color="auto" w:fill="auto"/>
            <w:noWrap/>
            <w:vAlign w:val="center"/>
            <w:hideMark/>
          </w:tcPr>
          <w:p w14:paraId="1FA72FD3"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47" w:type="dxa"/>
            <w:tcBorders>
              <w:top w:val="nil"/>
              <w:left w:val="nil"/>
              <w:bottom w:val="single" w:sz="4" w:space="0" w:color="auto"/>
              <w:right w:val="single" w:sz="4" w:space="0" w:color="auto"/>
            </w:tcBorders>
            <w:shd w:val="clear" w:color="auto" w:fill="auto"/>
            <w:noWrap/>
            <w:vAlign w:val="center"/>
            <w:hideMark/>
          </w:tcPr>
          <w:p w14:paraId="6BE2777C"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0" w:type="dxa"/>
            <w:tcBorders>
              <w:top w:val="nil"/>
              <w:left w:val="nil"/>
              <w:bottom w:val="single" w:sz="4" w:space="0" w:color="auto"/>
              <w:right w:val="single" w:sz="4" w:space="0" w:color="auto"/>
            </w:tcBorders>
            <w:shd w:val="clear" w:color="auto" w:fill="auto"/>
            <w:noWrap/>
            <w:vAlign w:val="center"/>
            <w:hideMark/>
          </w:tcPr>
          <w:p w14:paraId="6A0EB4F9"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0.42</w:t>
            </w:r>
          </w:p>
        </w:tc>
        <w:tc>
          <w:tcPr>
            <w:tcW w:w="1022" w:type="dxa"/>
            <w:tcBorders>
              <w:top w:val="nil"/>
              <w:left w:val="nil"/>
              <w:bottom w:val="single" w:sz="4" w:space="0" w:color="auto"/>
              <w:right w:val="single" w:sz="4" w:space="0" w:color="auto"/>
            </w:tcBorders>
            <w:shd w:val="clear" w:color="auto" w:fill="auto"/>
            <w:noWrap/>
            <w:vAlign w:val="center"/>
            <w:hideMark/>
          </w:tcPr>
          <w:p w14:paraId="5141A81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958" w:type="dxa"/>
            <w:tcBorders>
              <w:top w:val="nil"/>
              <w:left w:val="nil"/>
              <w:bottom w:val="single" w:sz="4" w:space="0" w:color="auto"/>
              <w:right w:val="single" w:sz="4" w:space="0" w:color="auto"/>
            </w:tcBorders>
            <w:shd w:val="clear" w:color="auto" w:fill="auto"/>
            <w:noWrap/>
            <w:vAlign w:val="center"/>
            <w:hideMark/>
          </w:tcPr>
          <w:p w14:paraId="5ED99ECB"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272DB8FC" w14:textId="77777777" w:rsidTr="00733E9B">
        <w:trPr>
          <w:trHeight w:hRule="exact" w:val="780"/>
        </w:trPr>
        <w:tc>
          <w:tcPr>
            <w:tcW w:w="1051" w:type="dxa"/>
            <w:vMerge/>
            <w:tcBorders>
              <w:left w:val="single" w:sz="4" w:space="0" w:color="auto"/>
              <w:right w:val="nil"/>
            </w:tcBorders>
            <w:shd w:val="clear" w:color="auto" w:fill="auto"/>
            <w:noWrap/>
            <w:vAlign w:val="center"/>
            <w:hideMark/>
          </w:tcPr>
          <w:p w14:paraId="6AD028D5"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EBB75AE"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Membership (SHGs, CBOs, NGOs, Farmers federation, political party etc.)</w:t>
            </w:r>
          </w:p>
        </w:tc>
        <w:tc>
          <w:tcPr>
            <w:tcW w:w="653" w:type="dxa"/>
            <w:tcBorders>
              <w:top w:val="nil"/>
              <w:left w:val="nil"/>
              <w:bottom w:val="single" w:sz="4" w:space="0" w:color="auto"/>
              <w:right w:val="single" w:sz="4" w:space="0" w:color="auto"/>
            </w:tcBorders>
            <w:shd w:val="clear" w:color="auto" w:fill="auto"/>
            <w:noWrap/>
            <w:vAlign w:val="center"/>
            <w:hideMark/>
          </w:tcPr>
          <w:p w14:paraId="089E694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0.36</w:t>
            </w:r>
          </w:p>
        </w:tc>
        <w:tc>
          <w:tcPr>
            <w:tcW w:w="715" w:type="dxa"/>
            <w:tcBorders>
              <w:top w:val="nil"/>
              <w:left w:val="nil"/>
              <w:bottom w:val="single" w:sz="4" w:space="0" w:color="auto"/>
              <w:right w:val="single" w:sz="4" w:space="0" w:color="auto"/>
            </w:tcBorders>
            <w:shd w:val="clear" w:color="auto" w:fill="auto"/>
            <w:noWrap/>
            <w:vAlign w:val="center"/>
            <w:hideMark/>
          </w:tcPr>
          <w:p w14:paraId="4038C2AC"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35" w:type="dxa"/>
            <w:tcBorders>
              <w:top w:val="nil"/>
              <w:left w:val="nil"/>
              <w:bottom w:val="single" w:sz="4" w:space="0" w:color="auto"/>
              <w:right w:val="single" w:sz="4" w:space="0" w:color="auto"/>
            </w:tcBorders>
            <w:shd w:val="clear" w:color="auto" w:fill="auto"/>
            <w:noWrap/>
            <w:vAlign w:val="center"/>
            <w:hideMark/>
          </w:tcPr>
          <w:p w14:paraId="5C911514"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653" w:type="dxa"/>
            <w:tcBorders>
              <w:top w:val="nil"/>
              <w:left w:val="nil"/>
              <w:bottom w:val="single" w:sz="4" w:space="0" w:color="auto"/>
              <w:right w:val="single" w:sz="4" w:space="0" w:color="auto"/>
            </w:tcBorders>
            <w:shd w:val="clear" w:color="auto" w:fill="auto"/>
            <w:noWrap/>
            <w:vAlign w:val="center"/>
            <w:hideMark/>
          </w:tcPr>
          <w:p w14:paraId="44E27CE1"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842" w:type="dxa"/>
            <w:tcBorders>
              <w:top w:val="nil"/>
              <w:left w:val="nil"/>
              <w:bottom w:val="single" w:sz="4" w:space="0" w:color="auto"/>
              <w:right w:val="single" w:sz="4" w:space="0" w:color="auto"/>
            </w:tcBorders>
            <w:shd w:val="clear" w:color="auto" w:fill="auto"/>
            <w:noWrap/>
            <w:vAlign w:val="center"/>
            <w:hideMark/>
          </w:tcPr>
          <w:p w14:paraId="3FDD8AB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311EA907"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950" w:type="dxa"/>
            <w:tcBorders>
              <w:top w:val="nil"/>
              <w:left w:val="nil"/>
              <w:bottom w:val="single" w:sz="4" w:space="0" w:color="auto"/>
              <w:right w:val="single" w:sz="4" w:space="0" w:color="auto"/>
            </w:tcBorders>
            <w:shd w:val="clear" w:color="auto" w:fill="auto"/>
            <w:noWrap/>
            <w:vAlign w:val="center"/>
            <w:hideMark/>
          </w:tcPr>
          <w:p w14:paraId="00474DA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c>
          <w:tcPr>
            <w:tcW w:w="1022" w:type="dxa"/>
            <w:tcBorders>
              <w:top w:val="nil"/>
              <w:left w:val="nil"/>
              <w:bottom w:val="single" w:sz="4" w:space="0" w:color="auto"/>
              <w:right w:val="single" w:sz="4" w:space="0" w:color="auto"/>
            </w:tcBorders>
            <w:shd w:val="clear" w:color="auto" w:fill="auto"/>
            <w:noWrap/>
            <w:vAlign w:val="center"/>
            <w:hideMark/>
          </w:tcPr>
          <w:p w14:paraId="4A79FC65"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958" w:type="dxa"/>
            <w:tcBorders>
              <w:top w:val="nil"/>
              <w:left w:val="nil"/>
              <w:bottom w:val="single" w:sz="4" w:space="0" w:color="auto"/>
              <w:right w:val="single" w:sz="4" w:space="0" w:color="auto"/>
            </w:tcBorders>
            <w:shd w:val="clear" w:color="auto" w:fill="auto"/>
            <w:noWrap/>
            <w:vAlign w:val="center"/>
            <w:hideMark/>
          </w:tcPr>
          <w:p w14:paraId="44D47F8A"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r>
      <w:tr w:rsidR="00733E9B" w:rsidRPr="003F1806" w14:paraId="4950D793" w14:textId="77777777" w:rsidTr="00733E9B">
        <w:trPr>
          <w:trHeight w:hRule="exact" w:val="286"/>
        </w:trPr>
        <w:tc>
          <w:tcPr>
            <w:tcW w:w="1051" w:type="dxa"/>
            <w:vMerge/>
            <w:tcBorders>
              <w:left w:val="single" w:sz="4" w:space="0" w:color="auto"/>
              <w:bottom w:val="single" w:sz="4" w:space="0" w:color="auto"/>
              <w:right w:val="nil"/>
            </w:tcBorders>
            <w:shd w:val="clear" w:color="auto" w:fill="auto"/>
            <w:noWrap/>
            <w:vAlign w:val="center"/>
            <w:hideMark/>
          </w:tcPr>
          <w:p w14:paraId="201E6BF2"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A1FF8EE"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Reciprocity and Exchange</w:t>
            </w:r>
          </w:p>
        </w:tc>
        <w:tc>
          <w:tcPr>
            <w:tcW w:w="653" w:type="dxa"/>
            <w:tcBorders>
              <w:top w:val="nil"/>
              <w:left w:val="nil"/>
              <w:bottom w:val="single" w:sz="4" w:space="0" w:color="auto"/>
              <w:right w:val="single" w:sz="4" w:space="0" w:color="auto"/>
            </w:tcBorders>
            <w:shd w:val="clear" w:color="auto" w:fill="auto"/>
            <w:noWrap/>
            <w:vAlign w:val="center"/>
            <w:hideMark/>
          </w:tcPr>
          <w:p w14:paraId="479DB061"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0.32</w:t>
            </w:r>
          </w:p>
        </w:tc>
        <w:tc>
          <w:tcPr>
            <w:tcW w:w="715" w:type="dxa"/>
            <w:tcBorders>
              <w:top w:val="nil"/>
              <w:left w:val="nil"/>
              <w:bottom w:val="single" w:sz="4" w:space="0" w:color="auto"/>
              <w:right w:val="single" w:sz="4" w:space="0" w:color="auto"/>
            </w:tcBorders>
            <w:shd w:val="clear" w:color="auto" w:fill="auto"/>
            <w:noWrap/>
            <w:vAlign w:val="center"/>
            <w:hideMark/>
          </w:tcPr>
          <w:p w14:paraId="078464FD"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7D22F906"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c>
          <w:tcPr>
            <w:tcW w:w="653" w:type="dxa"/>
            <w:tcBorders>
              <w:top w:val="nil"/>
              <w:left w:val="nil"/>
              <w:bottom w:val="single" w:sz="4" w:space="0" w:color="auto"/>
              <w:right w:val="single" w:sz="4" w:space="0" w:color="auto"/>
            </w:tcBorders>
            <w:shd w:val="clear" w:color="auto" w:fill="auto"/>
            <w:noWrap/>
            <w:vAlign w:val="center"/>
            <w:hideMark/>
          </w:tcPr>
          <w:p w14:paraId="41B8677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842" w:type="dxa"/>
            <w:tcBorders>
              <w:top w:val="nil"/>
              <w:left w:val="nil"/>
              <w:bottom w:val="single" w:sz="4" w:space="0" w:color="auto"/>
              <w:right w:val="single" w:sz="4" w:space="0" w:color="auto"/>
            </w:tcBorders>
            <w:shd w:val="clear" w:color="auto" w:fill="auto"/>
            <w:noWrap/>
            <w:vAlign w:val="center"/>
            <w:hideMark/>
          </w:tcPr>
          <w:p w14:paraId="5A655B73"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0.22</w:t>
            </w:r>
          </w:p>
        </w:tc>
        <w:tc>
          <w:tcPr>
            <w:tcW w:w="747" w:type="dxa"/>
            <w:tcBorders>
              <w:top w:val="nil"/>
              <w:left w:val="nil"/>
              <w:bottom w:val="single" w:sz="4" w:space="0" w:color="auto"/>
              <w:right w:val="single" w:sz="4" w:space="0" w:color="auto"/>
            </w:tcBorders>
            <w:shd w:val="clear" w:color="auto" w:fill="auto"/>
            <w:noWrap/>
            <w:vAlign w:val="center"/>
            <w:hideMark/>
          </w:tcPr>
          <w:p w14:paraId="7D723F36"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950" w:type="dxa"/>
            <w:tcBorders>
              <w:top w:val="nil"/>
              <w:left w:val="nil"/>
              <w:bottom w:val="single" w:sz="4" w:space="0" w:color="auto"/>
              <w:right w:val="single" w:sz="4" w:space="0" w:color="auto"/>
            </w:tcBorders>
            <w:shd w:val="clear" w:color="auto" w:fill="auto"/>
            <w:noWrap/>
            <w:vAlign w:val="center"/>
            <w:hideMark/>
          </w:tcPr>
          <w:p w14:paraId="22F00529"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c>
          <w:tcPr>
            <w:tcW w:w="1022" w:type="dxa"/>
            <w:tcBorders>
              <w:top w:val="nil"/>
              <w:left w:val="nil"/>
              <w:bottom w:val="single" w:sz="4" w:space="0" w:color="auto"/>
              <w:right w:val="single" w:sz="4" w:space="0" w:color="auto"/>
            </w:tcBorders>
            <w:shd w:val="clear" w:color="auto" w:fill="auto"/>
            <w:noWrap/>
            <w:vAlign w:val="center"/>
            <w:hideMark/>
          </w:tcPr>
          <w:p w14:paraId="6D02CA30"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958" w:type="dxa"/>
            <w:tcBorders>
              <w:top w:val="nil"/>
              <w:left w:val="nil"/>
              <w:bottom w:val="single" w:sz="4" w:space="0" w:color="auto"/>
              <w:right w:val="single" w:sz="4" w:space="0" w:color="auto"/>
            </w:tcBorders>
            <w:shd w:val="clear" w:color="auto" w:fill="auto"/>
            <w:noWrap/>
            <w:vAlign w:val="center"/>
            <w:hideMark/>
          </w:tcPr>
          <w:p w14:paraId="1F137A8B"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r>
    </w:tbl>
    <w:p w14:paraId="3D6AFB45" w14:textId="77777777" w:rsidR="00302E71" w:rsidRPr="003F1806" w:rsidRDefault="00302E71" w:rsidP="00B42A32">
      <w:pPr>
        <w:spacing w:after="0"/>
        <w:jc w:val="both"/>
        <w:rPr>
          <w:rFonts w:ascii="Arial MT" w:hAnsi="Arial MT" w:cs="Arial"/>
          <w:b/>
          <w:bCs/>
          <w:sz w:val="20"/>
          <w:szCs w:val="20"/>
        </w:rPr>
        <w:sectPr w:rsidR="00302E71" w:rsidRPr="003F1806" w:rsidSect="00A46579">
          <w:type w:val="continuous"/>
          <w:pgSz w:w="12240" w:h="15840" w:code="1"/>
          <w:pgMar w:top="720" w:right="720" w:bottom="720" w:left="720" w:header="720" w:footer="720" w:gutter="0"/>
          <w:cols w:space="720"/>
          <w:docGrid w:linePitch="360"/>
        </w:sectPr>
      </w:pPr>
    </w:p>
    <w:p w14:paraId="7067E270" w14:textId="77777777" w:rsidR="00572179" w:rsidRDefault="00572179" w:rsidP="00B42A32">
      <w:pPr>
        <w:spacing w:after="0"/>
        <w:jc w:val="both"/>
        <w:rPr>
          <w:rFonts w:ascii="Arial MT" w:hAnsi="Arial MT" w:cs="Arial"/>
          <w:b/>
          <w:bCs/>
          <w:sz w:val="20"/>
          <w:szCs w:val="20"/>
        </w:rPr>
      </w:pPr>
    </w:p>
    <w:p w14:paraId="4C3649E0" w14:textId="6F782D1F" w:rsidR="00302E71" w:rsidRPr="003F1806" w:rsidRDefault="005251DB" w:rsidP="00B42A32">
      <w:pPr>
        <w:spacing w:after="0"/>
        <w:jc w:val="both"/>
        <w:rPr>
          <w:rFonts w:ascii="Arial MT" w:hAnsi="Arial MT" w:cs="Arial"/>
          <w:b/>
          <w:bCs/>
          <w:sz w:val="20"/>
          <w:szCs w:val="20"/>
        </w:rPr>
      </w:pPr>
      <w:r>
        <w:rPr>
          <w:rFonts w:ascii="Arial MT" w:hAnsi="Arial MT" w:cs="Arial"/>
          <w:b/>
          <w:bCs/>
          <w:sz w:val="20"/>
          <w:szCs w:val="20"/>
        </w:rPr>
        <w:t xml:space="preserve">3.2. </w:t>
      </w:r>
      <w:r w:rsidR="00302E71" w:rsidRPr="003F1806">
        <w:rPr>
          <w:rFonts w:ascii="Arial MT" w:hAnsi="Arial MT" w:cs="Arial"/>
          <w:b/>
          <w:bCs/>
          <w:sz w:val="20"/>
          <w:szCs w:val="20"/>
        </w:rPr>
        <w:t xml:space="preserve"> Analysis of the Livelihood Assets</w:t>
      </w:r>
    </w:p>
    <w:p w14:paraId="71466024" w14:textId="77777777" w:rsidR="00572179" w:rsidRDefault="00302E71" w:rsidP="00B42A32">
      <w:pPr>
        <w:spacing w:after="0"/>
        <w:jc w:val="both"/>
        <w:rPr>
          <w:rFonts w:ascii="Arial MT" w:hAnsi="Arial MT" w:cs="Arial"/>
          <w:sz w:val="20"/>
          <w:szCs w:val="20"/>
        </w:rPr>
      </w:pPr>
      <w:r w:rsidRPr="003F1806">
        <w:rPr>
          <w:rFonts w:ascii="Arial MT" w:hAnsi="Arial MT" w:cs="Arial"/>
          <w:sz w:val="20"/>
          <w:szCs w:val="20"/>
        </w:rPr>
        <w:t xml:space="preserve">The data used in this study was acquired and calculated by way of a social survey that was carried out in three blocks of district </w:t>
      </w:r>
      <w:r w:rsidR="00215419" w:rsidRPr="003F1806">
        <w:rPr>
          <w:rFonts w:ascii="Arial MT" w:hAnsi="Arial MT" w:cs="Arial"/>
          <w:sz w:val="20"/>
          <w:szCs w:val="20"/>
        </w:rPr>
        <w:t>Rudra Prayag</w:t>
      </w:r>
      <w:r w:rsidRPr="003F1806">
        <w:rPr>
          <w:rFonts w:ascii="Arial MT" w:hAnsi="Arial MT" w:cs="Arial"/>
          <w:sz w:val="20"/>
          <w:szCs w:val="20"/>
        </w:rPr>
        <w:t xml:space="preserve"> on altitudinal basis. </w:t>
      </w:r>
      <w:proofErr w:type="gramStart"/>
      <w:r w:rsidRPr="003F1806">
        <w:rPr>
          <w:rFonts w:ascii="Arial MT" w:hAnsi="Arial MT" w:cs="Arial"/>
          <w:sz w:val="20"/>
          <w:szCs w:val="20"/>
        </w:rPr>
        <w:t xml:space="preserve">The </w:t>
      </w:r>
      <w:r w:rsidR="00733E9B">
        <w:rPr>
          <w:rFonts w:ascii="Arial MT" w:hAnsi="Arial MT" w:cs="Arial"/>
          <w:sz w:val="20"/>
          <w:szCs w:val="20"/>
        </w:rPr>
        <w:t xml:space="preserve"> </w:t>
      </w:r>
      <w:r w:rsidRPr="003F1806">
        <w:rPr>
          <w:rFonts w:ascii="Arial MT" w:hAnsi="Arial MT" w:cs="Arial"/>
          <w:sz w:val="20"/>
          <w:szCs w:val="20"/>
        </w:rPr>
        <w:t>object</w:t>
      </w:r>
      <w:proofErr w:type="gramEnd"/>
      <w:r w:rsidRPr="003F1806">
        <w:rPr>
          <w:rFonts w:ascii="Arial MT" w:hAnsi="Arial MT" w:cs="Arial"/>
          <w:sz w:val="20"/>
          <w:szCs w:val="20"/>
        </w:rPr>
        <w:t xml:space="preserve"> of the investigation is households who live in different altitudinal </w:t>
      </w:r>
    </w:p>
    <w:p w14:paraId="319504F1" w14:textId="77777777" w:rsidR="00572179" w:rsidRDefault="00572179" w:rsidP="00B42A32">
      <w:pPr>
        <w:spacing w:after="0"/>
        <w:jc w:val="both"/>
        <w:rPr>
          <w:rFonts w:ascii="Arial MT" w:hAnsi="Arial MT" w:cs="Arial"/>
          <w:sz w:val="20"/>
          <w:szCs w:val="20"/>
        </w:rPr>
      </w:pPr>
    </w:p>
    <w:p w14:paraId="2B44F260" w14:textId="77777777" w:rsidR="00572179" w:rsidRDefault="00572179" w:rsidP="00B42A32">
      <w:pPr>
        <w:spacing w:after="0"/>
        <w:jc w:val="both"/>
        <w:rPr>
          <w:rFonts w:ascii="Arial MT" w:hAnsi="Arial MT" w:cs="Arial"/>
          <w:sz w:val="20"/>
          <w:szCs w:val="20"/>
        </w:rPr>
      </w:pPr>
    </w:p>
    <w:p w14:paraId="58124487" w14:textId="77777777" w:rsidR="00296AED" w:rsidRDefault="00296AED" w:rsidP="00B42A32">
      <w:pPr>
        <w:spacing w:after="0"/>
        <w:jc w:val="both"/>
        <w:rPr>
          <w:rFonts w:ascii="Arial MT" w:hAnsi="Arial MT" w:cs="Arial"/>
          <w:sz w:val="20"/>
          <w:szCs w:val="20"/>
        </w:rPr>
      </w:pPr>
    </w:p>
    <w:p w14:paraId="59BCFEF9" w14:textId="5C663529"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zones of three blocks in the district under examination and the design of questionnaire that includes the aforementioned five livelihood assets of household. A total of 604 questionnaires were used for collection of data. General scores were calculated by means of an Index on the basis of the standardized process of the above data. </w:t>
      </w:r>
      <w:r w:rsidR="00367589" w:rsidRPr="003F1806">
        <w:rPr>
          <w:rFonts w:ascii="Arial MT" w:hAnsi="Arial MT" w:cs="Arial"/>
          <w:sz w:val="20"/>
          <w:szCs w:val="20"/>
        </w:rPr>
        <w:t>/</w:t>
      </w:r>
    </w:p>
    <w:p w14:paraId="6CF1E9F4" w14:textId="77777777" w:rsidR="00733E9B" w:rsidRDefault="00733E9B" w:rsidP="00B42A32">
      <w:pPr>
        <w:jc w:val="both"/>
        <w:rPr>
          <w:rFonts w:ascii="Arial MT" w:hAnsi="Arial MT" w:cs="Arial"/>
          <w:sz w:val="20"/>
        </w:rPr>
      </w:pPr>
    </w:p>
    <w:p w14:paraId="6BA75C4E" w14:textId="77777777" w:rsidR="00572179" w:rsidRDefault="00572179" w:rsidP="00B42A32">
      <w:pPr>
        <w:jc w:val="both"/>
        <w:rPr>
          <w:rFonts w:ascii="Arial MT" w:hAnsi="Arial MT" w:cs="Arial"/>
          <w:sz w:val="20"/>
        </w:rPr>
        <w:sectPr w:rsidR="00572179" w:rsidSect="00A46579">
          <w:type w:val="continuous"/>
          <w:pgSz w:w="12240" w:h="15840" w:code="1"/>
          <w:pgMar w:top="720" w:right="720" w:bottom="720" w:left="720" w:header="720" w:footer="720" w:gutter="0"/>
          <w:cols w:num="2" w:space="720"/>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70"/>
        <w:gridCol w:w="6020"/>
      </w:tblGrid>
      <w:tr w:rsidR="00367589" w:rsidRPr="003F1806" w14:paraId="4D979C9E" w14:textId="77777777" w:rsidTr="00733E9B">
        <w:tc>
          <w:tcPr>
            <w:tcW w:w="4788" w:type="dxa"/>
          </w:tcPr>
          <w:p w14:paraId="428E862D"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24BC3E5A" wp14:editId="64B0C262">
                  <wp:extent cx="2646485" cy="2162908"/>
                  <wp:effectExtent l="0" t="0" r="0" b="0"/>
                  <wp:docPr id="5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6093" w:type="dxa"/>
          </w:tcPr>
          <w:p w14:paraId="70BE3F84"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6C1E1293" wp14:editId="1A1601AE">
                  <wp:extent cx="2510141" cy="2071991"/>
                  <wp:effectExtent l="19050" t="0" r="0" b="0"/>
                  <wp:docPr id="5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67589" w:rsidRPr="003F1806" w14:paraId="384475F0" w14:textId="77777777" w:rsidTr="00733E9B">
        <w:tc>
          <w:tcPr>
            <w:tcW w:w="4788" w:type="dxa"/>
          </w:tcPr>
          <w:p w14:paraId="4C60485E"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2BCE3B83" wp14:editId="21CDDDC5">
                  <wp:extent cx="2444262" cy="2198077"/>
                  <wp:effectExtent l="0" t="0" r="0" b="0"/>
                  <wp:docPr id="5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6093" w:type="dxa"/>
          </w:tcPr>
          <w:p w14:paraId="24C5185D"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71C1857C" wp14:editId="282AEBB9">
                  <wp:extent cx="2653812" cy="2233246"/>
                  <wp:effectExtent l="0" t="0" r="0" b="0"/>
                  <wp:docPr id="6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67589" w:rsidRPr="003F1806" w14:paraId="3AC8EC8E" w14:textId="77777777" w:rsidTr="00733E9B">
        <w:trPr>
          <w:trHeight w:val="719"/>
        </w:trPr>
        <w:tc>
          <w:tcPr>
            <w:tcW w:w="10881" w:type="dxa"/>
            <w:gridSpan w:val="2"/>
          </w:tcPr>
          <w:p w14:paraId="356D3CF9" w14:textId="4FCE2E0E" w:rsidR="00367589" w:rsidRPr="003F1806" w:rsidRDefault="00367589" w:rsidP="00B42A32">
            <w:pPr>
              <w:spacing w:line="276" w:lineRule="auto"/>
              <w:jc w:val="both"/>
              <w:rPr>
                <w:rFonts w:ascii="Arial MT" w:hAnsi="Arial MT" w:cs="Arial"/>
                <w:noProof/>
                <w:sz w:val="20"/>
              </w:rPr>
            </w:pPr>
            <w:r w:rsidRPr="003F1806">
              <w:rPr>
                <w:rFonts w:ascii="Arial MT" w:hAnsi="Arial MT" w:cs="Arial"/>
                <w:b/>
                <w:bCs/>
                <w:sz w:val="20"/>
              </w:rPr>
              <w:t xml:space="preserve">Figure 1: Livelihood pentagons describing the status of five capital assets (human, natural, physical, financial and social) in district </w:t>
            </w:r>
            <w:r w:rsidR="00DF690D" w:rsidRPr="003F1806">
              <w:rPr>
                <w:rFonts w:ascii="Arial MT" w:hAnsi="Arial MT" w:cs="Arial"/>
                <w:b/>
                <w:bCs/>
                <w:sz w:val="20"/>
              </w:rPr>
              <w:t>Rudra Prayag</w:t>
            </w:r>
            <w:r w:rsidRPr="003F1806">
              <w:rPr>
                <w:rFonts w:ascii="Arial MT" w:hAnsi="Arial MT" w:cs="Arial"/>
                <w:b/>
                <w:bCs/>
                <w:sz w:val="20"/>
              </w:rPr>
              <w:t xml:space="preserve"> on altitudinal basis the higher, middle, lower and overall.</w:t>
            </w:r>
          </w:p>
        </w:tc>
      </w:tr>
    </w:tbl>
    <w:p w14:paraId="0E8CFDD2" w14:textId="77777777" w:rsidR="00733E9B" w:rsidRDefault="00733E9B" w:rsidP="00B42A32">
      <w:pPr>
        <w:spacing w:before="240" w:after="0"/>
        <w:ind w:firstLine="72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7035FA50" w14:textId="126693EE" w:rsidR="00296AED" w:rsidRDefault="00302E71" w:rsidP="00B42A32">
      <w:pPr>
        <w:spacing w:before="240" w:after="0"/>
        <w:jc w:val="both"/>
        <w:rPr>
          <w:rFonts w:ascii="Arial MT" w:hAnsi="Arial MT" w:cs="Arial"/>
          <w:sz w:val="20"/>
          <w:szCs w:val="20"/>
        </w:rPr>
      </w:pPr>
      <w:r w:rsidRPr="003F1806">
        <w:rPr>
          <w:rFonts w:ascii="Arial MT" w:hAnsi="Arial MT" w:cs="Arial"/>
          <w:sz w:val="20"/>
          <w:szCs w:val="20"/>
        </w:rPr>
        <w:lastRenderedPageBreak/>
        <w:t xml:space="preserve">The livelihood status of each block </w:t>
      </w:r>
      <w:r w:rsidR="00215419" w:rsidRPr="003F1806">
        <w:rPr>
          <w:rFonts w:ascii="Arial MT" w:hAnsi="Arial MT" w:cs="Arial"/>
          <w:sz w:val="20"/>
          <w:szCs w:val="20"/>
        </w:rPr>
        <w:t>was</w:t>
      </w:r>
      <w:r w:rsidRPr="003F1806">
        <w:rPr>
          <w:rFonts w:ascii="Arial MT" w:hAnsi="Arial MT" w:cs="Arial"/>
          <w:sz w:val="20"/>
          <w:szCs w:val="20"/>
        </w:rPr>
        <w:t xml:space="preserve"> summarized in terms of different pentagons describing the five capital assets; human, natural, physical, financial</w:t>
      </w:r>
      <w:r w:rsidRPr="003F1806">
        <w:rPr>
          <w:rFonts w:ascii="Arial MT" w:hAnsi="Arial MT" w:cs="Arial"/>
          <w:b/>
          <w:bCs/>
          <w:sz w:val="20"/>
          <w:szCs w:val="20"/>
        </w:rPr>
        <w:t xml:space="preserve"> </w:t>
      </w:r>
      <w:r w:rsidRPr="003F1806">
        <w:rPr>
          <w:rFonts w:ascii="Arial MT" w:hAnsi="Arial MT" w:cs="Arial"/>
          <w:sz w:val="20"/>
          <w:szCs w:val="20"/>
        </w:rPr>
        <w:t>and social,</w:t>
      </w:r>
      <w:r w:rsidRPr="003F1806">
        <w:rPr>
          <w:rFonts w:ascii="Arial MT" w:hAnsi="Arial MT" w:cs="Arial"/>
          <w:b/>
          <w:bCs/>
          <w:sz w:val="20"/>
          <w:szCs w:val="20"/>
        </w:rPr>
        <w:t xml:space="preserve"> </w:t>
      </w:r>
      <w:r w:rsidR="00A6473E" w:rsidRPr="003F1806">
        <w:rPr>
          <w:rFonts w:ascii="Arial MT" w:hAnsi="Arial MT" w:cs="Arial"/>
          <w:sz w:val="20"/>
          <w:szCs w:val="20"/>
        </w:rPr>
        <w:t>(Fig. 1</w:t>
      </w:r>
      <w:r w:rsidRPr="003F1806">
        <w:rPr>
          <w:rFonts w:ascii="Arial MT" w:hAnsi="Arial MT" w:cs="Arial"/>
          <w:sz w:val="20"/>
          <w:szCs w:val="20"/>
        </w:rPr>
        <w:t>).</w:t>
      </w:r>
      <w:r w:rsidRPr="003F1806">
        <w:rPr>
          <w:rFonts w:ascii="Arial MT" w:hAnsi="Arial MT" w:cs="Arial"/>
          <w:b/>
          <w:bCs/>
          <w:sz w:val="20"/>
          <w:szCs w:val="20"/>
        </w:rPr>
        <w:t xml:space="preserve"> </w:t>
      </w:r>
      <w:r w:rsidR="00D21312">
        <w:rPr>
          <w:rFonts w:ascii="Arial MT" w:hAnsi="Arial MT" w:cs="Arial"/>
          <w:sz w:val="20"/>
          <w:szCs w:val="20"/>
        </w:rPr>
        <w:t xml:space="preserve"> </w:t>
      </w:r>
      <w:r w:rsidRPr="003F1806">
        <w:rPr>
          <w:rFonts w:ascii="Arial MT" w:hAnsi="Arial MT" w:cs="Arial"/>
          <w:sz w:val="20"/>
          <w:szCs w:val="20"/>
        </w:rPr>
        <w:t xml:space="preserve">Marked differences were observed within and between the blocks, in particular between the three altitudinal zones. Of the five livelihood assets, in all the altitudes (high, middle, low) of </w:t>
      </w:r>
    </w:p>
    <w:p w14:paraId="1A6644C3" w14:textId="08AE1E55" w:rsidR="00302E71" w:rsidRPr="003F1806" w:rsidRDefault="00367589" w:rsidP="00B42A32">
      <w:pPr>
        <w:spacing w:before="240" w:after="0"/>
        <w:jc w:val="both"/>
        <w:rPr>
          <w:rFonts w:ascii="Arial MT" w:hAnsi="Arial MT" w:cs="Arial"/>
          <w:sz w:val="20"/>
          <w:szCs w:val="20"/>
        </w:rPr>
      </w:pPr>
      <w:r w:rsidRPr="003F1806">
        <w:rPr>
          <w:rFonts w:ascii="Arial MT" w:hAnsi="Arial MT" w:cs="Arial"/>
          <w:sz w:val="20"/>
          <w:szCs w:val="20"/>
        </w:rPr>
        <w:t>district physical</w:t>
      </w:r>
      <w:r w:rsidR="00302E71" w:rsidRPr="003F1806">
        <w:rPr>
          <w:rFonts w:ascii="Arial MT" w:hAnsi="Arial MT" w:cs="Arial"/>
          <w:sz w:val="20"/>
          <w:szCs w:val="20"/>
        </w:rPr>
        <w:t xml:space="preserve"> asset possessed the highest value (0.47, 0.51, 0.52 respectively) (Fig. 2, Table 2) however, the contributing indicators had differential share for all the altitudes. The higher physical assets index shows that the household have a better access to physical assets such as Pakka houses, better toilet facilities, energy availability, access to education, market, road and other necessary infrastructural facilities. The combination of these indicators provides a higher Physical security index for higher altitude villages. This result indicated that although households were among those with low incomes and even having an income below the poverty line, but their basic needs such as home condition (almost </w:t>
      </w:r>
      <w:proofErr w:type="spellStart"/>
      <w:r w:rsidR="00302E71" w:rsidRPr="003F1806">
        <w:rPr>
          <w:rFonts w:ascii="Arial MT" w:hAnsi="Arial MT" w:cs="Arial"/>
          <w:sz w:val="20"/>
          <w:szCs w:val="20"/>
        </w:rPr>
        <w:t>pakka</w:t>
      </w:r>
      <w:proofErr w:type="spellEnd"/>
      <w:r w:rsidR="00302E71" w:rsidRPr="003F1806">
        <w:rPr>
          <w:rFonts w:ascii="Arial MT" w:hAnsi="Arial MT" w:cs="Arial"/>
          <w:sz w:val="20"/>
          <w:szCs w:val="20"/>
        </w:rPr>
        <w:t xml:space="preserve"> houses), household possession, and access to water resources and electricity were adequate. The infrastructural facilities in the whole block </w:t>
      </w:r>
      <w:r w:rsidR="00215419" w:rsidRPr="003F1806">
        <w:rPr>
          <w:rFonts w:ascii="Arial MT" w:hAnsi="Arial MT" w:cs="Arial"/>
          <w:sz w:val="20"/>
          <w:szCs w:val="20"/>
        </w:rPr>
        <w:t>are</w:t>
      </w:r>
      <w:r w:rsidR="00302E71" w:rsidRPr="003F1806">
        <w:rPr>
          <w:rFonts w:ascii="Arial MT" w:hAnsi="Arial MT" w:cs="Arial"/>
          <w:sz w:val="20"/>
          <w:szCs w:val="20"/>
        </w:rPr>
        <w:t xml:space="preserve"> also adequate in terms of presence/quantity but the services are very poor in quality e.g. health </w:t>
      </w:r>
      <w:r w:rsidRPr="003F1806">
        <w:rPr>
          <w:rFonts w:ascii="Arial MT" w:hAnsi="Arial MT" w:cs="Arial"/>
          <w:sz w:val="20"/>
          <w:szCs w:val="20"/>
        </w:rPr>
        <w:t>center</w:t>
      </w:r>
      <w:r w:rsidR="00302E71" w:rsidRPr="003F1806">
        <w:rPr>
          <w:rFonts w:ascii="Arial MT" w:hAnsi="Arial MT" w:cs="Arial"/>
          <w:sz w:val="20"/>
          <w:szCs w:val="20"/>
        </w:rPr>
        <w:t xml:space="preserve"> is available but lack of professional health service provider, almost all the villages have road facility but lack of good transport services creates health hazard and excess crop wastage. This represents that even area has good quantity of physical assets but there is a strong need to strengthen the access of these services which enhances the production and lifestyle in order to improve the livelihood of farmers. The area is under the early flooded zone and its lower altitude was highly affected by the event and about 17 Hectare agriculture land was washed away. Of the five livelihood capitals, financial capital provided the most significant influence. The lack of financial asset would inhibit farmers to increase production scales and develop infrastructures that would, consequently, make it difficult to achieve livelihood diversification. Lending policies to farmers should produce a certain offset by improving investments, strengthening the effect of cooperative organizations and associations, and improving the financial capital of farmers overall. This would enable motivation in the improvement of other capitals, thereby contributing to the improvement of the livelihood level of farmers.</w:t>
      </w:r>
    </w:p>
    <w:p w14:paraId="6068B0B9" w14:textId="2876E5F0"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As for human asset, highest value is observed for higher altitude (0.42) followed by middle (0.40) and lower (0.38). The quantity and quality of human asset directly determine the ability and scope of the household to control the other types of capital (DFID, 1999). Eight indicators were selected in the study to measure human asset: household size, household labour ability, gender of household head, the age of the household head, the </w:t>
      </w:r>
      <w:r w:rsidRPr="003F1806">
        <w:rPr>
          <w:rFonts w:ascii="Arial MT" w:hAnsi="Arial MT" w:cs="Arial"/>
          <w:sz w:val="20"/>
          <w:szCs w:val="20"/>
        </w:rPr>
        <w:t>highest education of the household head, the maximum years of education of household members and family health status.</w:t>
      </w:r>
      <w:r w:rsidRPr="003F1806">
        <w:rPr>
          <w:rFonts w:ascii="Arial MT" w:hAnsi="Arial MT" w:cs="Arial"/>
          <w:color w:val="FF0000"/>
          <w:sz w:val="20"/>
          <w:szCs w:val="20"/>
        </w:rPr>
        <w:t xml:space="preserve"> </w:t>
      </w:r>
      <w:r w:rsidRPr="003F1806">
        <w:rPr>
          <w:rFonts w:ascii="Arial MT" w:hAnsi="Arial MT" w:cs="Arial"/>
          <w:sz w:val="20"/>
          <w:szCs w:val="20"/>
        </w:rPr>
        <w:t xml:space="preserve">Among the indicators to represent human asset in this study is the high education level attain by household members including head of household (HH) affect the </w:t>
      </w:r>
      <w:r w:rsidR="00367589" w:rsidRPr="003F1806">
        <w:rPr>
          <w:rFonts w:ascii="Arial MT" w:hAnsi="Arial MT" w:cs="Arial"/>
          <w:sz w:val="20"/>
          <w:szCs w:val="20"/>
        </w:rPr>
        <w:t>wellbeing</w:t>
      </w:r>
      <w:r w:rsidRPr="003F1806">
        <w:rPr>
          <w:rFonts w:ascii="Arial MT" w:hAnsi="Arial MT" w:cs="Arial"/>
          <w:sz w:val="20"/>
          <w:szCs w:val="20"/>
        </w:rPr>
        <w:t xml:space="preserve"> of household. Education level of HH reflects the level of awareness of the importance of higher education of children, access to information and capability to improve family economic status. From the analysis, it was </w:t>
      </w:r>
      <w:r w:rsidR="00215419" w:rsidRPr="003F1806">
        <w:rPr>
          <w:rFonts w:ascii="Arial MT" w:hAnsi="Arial MT" w:cs="Arial"/>
          <w:sz w:val="20"/>
          <w:szCs w:val="20"/>
        </w:rPr>
        <w:t>showed</w:t>
      </w:r>
      <w:r w:rsidRPr="003F1806">
        <w:rPr>
          <w:rFonts w:ascii="Arial MT" w:hAnsi="Arial MT" w:cs="Arial"/>
          <w:sz w:val="20"/>
          <w:szCs w:val="20"/>
        </w:rPr>
        <w:t xml:space="preserve"> that maximum 36.6% of the HH has no qualification. The assistances particularly in terms of financial support or subsidies were given by the government at the present time might be appropriate for the poor that having low sustainable livelihood index (SLI) in most of the </w:t>
      </w:r>
      <w:r w:rsidR="00215419" w:rsidRPr="003F1806">
        <w:rPr>
          <w:rFonts w:ascii="Arial MT" w:hAnsi="Arial MT" w:cs="Arial"/>
          <w:sz w:val="20"/>
          <w:szCs w:val="20"/>
        </w:rPr>
        <w:t>livelihood’s</w:t>
      </w:r>
      <w:r w:rsidRPr="003F1806">
        <w:rPr>
          <w:rFonts w:ascii="Arial MT" w:hAnsi="Arial MT" w:cs="Arial"/>
          <w:sz w:val="20"/>
          <w:szCs w:val="20"/>
        </w:rPr>
        <w:t xml:space="preserve"> asset. </w:t>
      </w:r>
      <w:r w:rsidR="00733E9B" w:rsidRPr="003F1806">
        <w:rPr>
          <w:rFonts w:ascii="Arial MT" w:hAnsi="Arial MT" w:cs="Arial"/>
          <w:sz w:val="20"/>
          <w:szCs w:val="20"/>
        </w:rPr>
        <w:t>However,</w:t>
      </w:r>
      <w:r w:rsidRPr="003F1806">
        <w:rPr>
          <w:rFonts w:ascii="Arial MT" w:hAnsi="Arial MT" w:cs="Arial"/>
          <w:sz w:val="20"/>
          <w:szCs w:val="20"/>
        </w:rPr>
        <w:t xml:space="preserve"> this kind of assistance does not guarantee the sustainability of the poor’s livelihood, otherwise it will promote their reliance on government assistance. Assistance in term of entrepreneurial project or vocational training is the better safeguard to the sustainability of the poor’s livelihood. Training and intensive coaching are necessary to increase their technical knowledge and skill to ensure the sustainability of the scheme and thus the sustainability of their livelihood. Moreover, to address this problem in the long term, it is necessary to raise awareness of education among the poor </w:t>
      </w:r>
      <w:r w:rsidR="00367589" w:rsidRPr="003F1806">
        <w:rPr>
          <w:rFonts w:ascii="Arial MT" w:hAnsi="Arial MT" w:cs="Arial"/>
          <w:sz w:val="20"/>
          <w:szCs w:val="20"/>
        </w:rPr>
        <w:t>children</w:t>
      </w:r>
      <w:r w:rsidRPr="003F1806">
        <w:rPr>
          <w:rFonts w:ascii="Arial MT" w:hAnsi="Arial MT" w:cs="Arial"/>
          <w:sz w:val="20"/>
          <w:szCs w:val="20"/>
        </w:rPr>
        <w:t>.</w:t>
      </w:r>
      <w:r w:rsidRPr="003F1806">
        <w:rPr>
          <w:rFonts w:ascii="Arial MT" w:hAnsi="Arial MT" w:cs="Arial"/>
          <w:color w:val="FF0000"/>
          <w:sz w:val="20"/>
          <w:szCs w:val="20"/>
        </w:rPr>
        <w:t xml:space="preserve"> </w:t>
      </w:r>
    </w:p>
    <w:p w14:paraId="2B5098C7" w14:textId="103420F4"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Natural asset possessed relatively low index value in higher and lower altitudes (0.29 and 0.33 respectively) compared to physical, financial and human assets since accessibility of financial capital requires human capital for more sustainability of natural assets and certain social capital as well. The natural asset was slightly higher (0.36) in middle altitude. The natural asset is the strength of the mountainous but the region is vulnerable to this resource. This can be attributed to the relatively poor climatic conditions (erratic rainfall, landslide/land erosion etc.), poor quality of soil, the lack of good access to grazing land due to protected forest, poor means for irrigation (maximum rainfed area) and the small average plot size. Thus, the diversification of traditional agriculture with high value crops along with water harvesting practices and introduction of entrepreneurial activities must not be based on land use. The </w:t>
      </w:r>
      <w:r w:rsidR="00215419" w:rsidRPr="003F1806">
        <w:rPr>
          <w:rFonts w:ascii="Arial MT" w:hAnsi="Arial MT" w:cs="Arial"/>
          <w:sz w:val="20"/>
          <w:szCs w:val="20"/>
        </w:rPr>
        <w:t>home-based</w:t>
      </w:r>
      <w:r w:rsidRPr="003F1806">
        <w:rPr>
          <w:rFonts w:ascii="Arial MT" w:hAnsi="Arial MT" w:cs="Arial"/>
          <w:sz w:val="20"/>
          <w:szCs w:val="20"/>
        </w:rPr>
        <w:t xml:space="preserve"> entrepreneurial activities such as food processing, retailing, sewing and crafts may be more appropriate. However, the agro-entrepreneurial activities might be possible with the full utilization of agricultural land in rural areas, especially in the areas that inhabited by the poor. Even they also can involve in the activity within the value chain of agricultural activities such as marketing and retailing job. Attention should also be given towards increasing their financial asset.</w:t>
      </w:r>
    </w:p>
    <w:p w14:paraId="36834197" w14:textId="737AD8A6"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Result showed that all respondents were obtained relatively low SLI for the financial asset ranged between 0.41 for higher altitude and 0.34 for lower altitude. The lower and middle </w:t>
      </w:r>
      <w:r w:rsidRPr="003F1806">
        <w:rPr>
          <w:rFonts w:ascii="Arial MT" w:hAnsi="Arial MT" w:cs="Arial"/>
          <w:sz w:val="20"/>
          <w:szCs w:val="20"/>
        </w:rPr>
        <w:lastRenderedPageBreak/>
        <w:t xml:space="preserve">altitude has a lower index value 0.34 and 0.35 respectively as both the altitude has highly affected by flood and their livelihood sources are destroyed due to it. Thus, approaches toward enhancing their financial status such as encouraging them to involve in microcredit system and cooperative might be alleviating the poor out of poverty trap. </w:t>
      </w:r>
      <w:r w:rsidR="00572179">
        <w:rPr>
          <w:rFonts w:ascii="Arial MT" w:hAnsi="Arial MT" w:cs="Arial"/>
          <w:sz w:val="20"/>
          <w:szCs w:val="20"/>
        </w:rPr>
        <w:t xml:space="preserve"> </w:t>
      </w:r>
      <w:r w:rsidRPr="003F1806">
        <w:rPr>
          <w:rFonts w:ascii="Arial MT" w:hAnsi="Arial MT" w:cs="Arial"/>
          <w:sz w:val="20"/>
          <w:szCs w:val="20"/>
        </w:rPr>
        <w:t xml:space="preserve">The social assets which people can draw on including informal relationships of trust, reciprocity and exchange with families, friends and </w:t>
      </w:r>
      <w:r w:rsidR="00CA678F" w:rsidRPr="003F1806">
        <w:rPr>
          <w:rFonts w:ascii="Arial MT" w:hAnsi="Arial MT" w:cs="Arial"/>
          <w:sz w:val="20"/>
          <w:szCs w:val="20"/>
        </w:rPr>
        <w:t>neighbor’s</w:t>
      </w:r>
      <w:r w:rsidRPr="003F1806">
        <w:rPr>
          <w:rFonts w:ascii="Arial MT" w:hAnsi="Arial MT" w:cs="Arial"/>
          <w:sz w:val="20"/>
          <w:szCs w:val="20"/>
        </w:rPr>
        <w:t xml:space="preserve"> as well as more </w:t>
      </w:r>
      <w:r w:rsidR="00367589" w:rsidRPr="003F1806">
        <w:rPr>
          <w:rFonts w:ascii="Arial MT" w:hAnsi="Arial MT" w:cs="Arial"/>
          <w:sz w:val="20"/>
          <w:szCs w:val="20"/>
        </w:rPr>
        <w:t>formalized</w:t>
      </w:r>
      <w:r w:rsidRPr="003F1806">
        <w:rPr>
          <w:rFonts w:ascii="Arial MT" w:hAnsi="Arial MT" w:cs="Arial"/>
          <w:sz w:val="20"/>
          <w:szCs w:val="20"/>
        </w:rPr>
        <w:t xml:space="preserve"> groupings (e.g. community and faith groups). Social capital in the block shows the highest value for higher altitude (0.36) followed by lower (0.32) and middle (0.25). These results obtained because of a lower index value of households for reciprocity and exchange and lower </w:t>
      </w:r>
      <w:r w:rsidR="00215419" w:rsidRPr="003F1806">
        <w:rPr>
          <w:rFonts w:ascii="Arial MT" w:hAnsi="Arial MT" w:cs="Arial"/>
          <w:sz w:val="20"/>
          <w:szCs w:val="20"/>
        </w:rPr>
        <w:t>households</w:t>
      </w:r>
      <w:r w:rsidR="00215419" w:rsidRPr="003F1806">
        <w:rPr>
          <w:rFonts w:ascii="Arial MT" w:hAnsi="Arial MT" w:cs="Arial" w:hint="eastAsia"/>
          <w:sz w:val="20"/>
          <w:szCs w:val="20"/>
        </w:rPr>
        <w:t>’</w:t>
      </w:r>
      <w:r w:rsidRPr="003F1806">
        <w:rPr>
          <w:rFonts w:ascii="Arial MT" w:hAnsi="Arial MT" w:cs="Arial"/>
          <w:sz w:val="20"/>
          <w:szCs w:val="20"/>
        </w:rPr>
        <w:t xml:space="preserve"> membership of any formal and informal organization in all the three altitudes. This means a higher percentage of households that has not been member of any organization. These results indicate a need for strengthening community networks and local organizations such as Woman Union (Mahila Mangal Dal), Youth unions (</w:t>
      </w:r>
      <w:proofErr w:type="spellStart"/>
      <w:r w:rsidRPr="003F1806">
        <w:rPr>
          <w:rFonts w:ascii="Arial MT" w:hAnsi="Arial MT" w:cs="Arial"/>
          <w:sz w:val="20"/>
          <w:szCs w:val="20"/>
        </w:rPr>
        <w:t>Yuvak</w:t>
      </w:r>
      <w:proofErr w:type="spellEnd"/>
      <w:r w:rsidRPr="003F1806">
        <w:rPr>
          <w:rFonts w:ascii="Arial MT" w:hAnsi="Arial MT" w:cs="Arial"/>
          <w:sz w:val="20"/>
          <w:szCs w:val="20"/>
        </w:rPr>
        <w:t xml:space="preserve"> Mangal Dal), Farmer associations etc. at the village level to reduce social capital vulnerability and increase the livelihood sustainability through networking. This lower index also related to the location of the villages as the lower altitude comes under the early flood zone and can be improved by social programs. </w:t>
      </w:r>
    </w:p>
    <w:p w14:paraId="647805A3" w14:textId="1D8BEE25"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In overall the block has a good access to physical assets (0.50) and it can be </w:t>
      </w:r>
      <w:r w:rsidR="00215419" w:rsidRPr="003F1806">
        <w:rPr>
          <w:rFonts w:ascii="Arial MT" w:hAnsi="Arial MT" w:cs="Arial"/>
          <w:sz w:val="20"/>
          <w:szCs w:val="20"/>
        </w:rPr>
        <w:t>said</w:t>
      </w:r>
      <w:r w:rsidRPr="003F1806">
        <w:rPr>
          <w:rFonts w:ascii="Arial MT" w:hAnsi="Arial MT" w:cs="Arial"/>
          <w:sz w:val="20"/>
          <w:szCs w:val="20"/>
        </w:rPr>
        <w:t xml:space="preserve"> that as the block has better availability of physical infrastructure need to be enhance the quality of services in the areas of health care, livestock improvement, agriculture extension services and market linkages of agriculture produce for enhancing income opportunities of rural poor. Human asset (0.40), the quantity and quality of human asset related to the ability of household to control and utilize the other assets. As the good quantity and quality of human asset available, scope of agriculture expansion increases and good education level of household members encourage them to diversify their income through non-agriculture activities, as the high degradation of agriculture land due to flood in the block. The financial asset (0.36), lower than the human and physical asset. Due to flood low intake of tourist affect the livelihood opportunities in the region so there is a need to enhance financial asset by improving entrepreneurial and other skill. Access to natural asset (0.33) is necessary for enhancing income of poor household as they are dependent on agriculture and allied activities for income. Better social </w:t>
      </w:r>
      <w:r w:rsidR="00215419" w:rsidRPr="003F1806">
        <w:rPr>
          <w:rFonts w:ascii="Arial MT" w:hAnsi="Arial MT" w:cs="Arial"/>
          <w:sz w:val="20"/>
          <w:szCs w:val="20"/>
        </w:rPr>
        <w:t>asset (</w:t>
      </w:r>
      <w:r w:rsidRPr="003F1806">
        <w:rPr>
          <w:rFonts w:ascii="Arial MT" w:hAnsi="Arial MT" w:cs="Arial"/>
          <w:sz w:val="20"/>
          <w:szCs w:val="20"/>
        </w:rPr>
        <w:t xml:space="preserve">0.31) </w:t>
      </w:r>
      <w:r w:rsidR="00215419" w:rsidRPr="003F1806">
        <w:rPr>
          <w:rFonts w:ascii="Arial MT" w:hAnsi="Arial MT" w:cs="Arial"/>
          <w:sz w:val="20"/>
          <w:szCs w:val="20"/>
        </w:rPr>
        <w:t>provides</w:t>
      </w:r>
      <w:r w:rsidRPr="003F1806">
        <w:rPr>
          <w:rFonts w:ascii="Arial MT" w:hAnsi="Arial MT" w:cs="Arial"/>
          <w:sz w:val="20"/>
          <w:szCs w:val="20"/>
        </w:rPr>
        <w:t xml:space="preserve"> economic security to the household and support during emergencies, this asset is very low in the study area so need to be enhance through better social networking. </w:t>
      </w:r>
    </w:p>
    <w:p w14:paraId="6B7D1880" w14:textId="6B41619B"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Within the </w:t>
      </w:r>
      <w:r w:rsidRPr="003F1806">
        <w:rPr>
          <w:rFonts w:ascii="Arial MT" w:hAnsi="Arial MT" w:cs="Arial"/>
          <w:bCs/>
          <w:sz w:val="20"/>
          <w:szCs w:val="20"/>
        </w:rPr>
        <w:t>block</w:t>
      </w:r>
      <w:r w:rsidR="00A47FF7" w:rsidRPr="003F1806">
        <w:rPr>
          <w:rFonts w:ascii="Arial MT" w:hAnsi="Arial MT" w:cs="Arial"/>
          <w:bCs/>
          <w:sz w:val="20"/>
          <w:szCs w:val="20"/>
        </w:rPr>
        <w:t>s</w:t>
      </w:r>
      <w:r w:rsidRPr="003F1806">
        <w:rPr>
          <w:rFonts w:ascii="Arial MT" w:hAnsi="Arial MT" w:cs="Arial"/>
          <w:sz w:val="20"/>
          <w:szCs w:val="20"/>
        </w:rPr>
        <w:t xml:space="preserve">, physical and natural assets index were higher in all the three altitudes, and access to financial, human and social assets considerably less than these two assets. Natural assets were good in all the altitudes with the exception of lower </w:t>
      </w:r>
      <w:r w:rsidRPr="003F1806">
        <w:rPr>
          <w:rFonts w:ascii="Arial MT" w:hAnsi="Arial MT" w:cs="Arial"/>
          <w:sz w:val="20"/>
          <w:szCs w:val="20"/>
        </w:rPr>
        <w:t>altitude (0.41), which has higher value of human asset (0.44) in terms of access to natural assets.</w:t>
      </w:r>
      <w:r w:rsidRPr="003F1806">
        <w:rPr>
          <w:rFonts w:ascii="Arial MT" w:hAnsi="Arial MT" w:cs="Arial"/>
          <w:b/>
          <w:bCs/>
          <w:sz w:val="20"/>
          <w:szCs w:val="20"/>
        </w:rPr>
        <w:t xml:space="preserve"> </w:t>
      </w:r>
      <w:r w:rsidRPr="003F1806">
        <w:rPr>
          <w:rFonts w:ascii="Arial MT" w:hAnsi="Arial MT" w:cs="Arial"/>
          <w:sz w:val="20"/>
          <w:szCs w:val="20"/>
        </w:rPr>
        <w:t>In higher altitudes villagers had a reasonable access to the physical and natural assets but limited access to financial, h</w:t>
      </w:r>
      <w:r w:rsidR="00A6473E" w:rsidRPr="003F1806">
        <w:rPr>
          <w:rFonts w:ascii="Arial MT" w:hAnsi="Arial MT" w:cs="Arial"/>
          <w:sz w:val="20"/>
          <w:szCs w:val="20"/>
        </w:rPr>
        <w:t>uman and social assets</w:t>
      </w:r>
      <w:r w:rsidRPr="003F1806">
        <w:rPr>
          <w:rFonts w:ascii="Arial MT" w:hAnsi="Arial MT" w:cs="Arial"/>
          <w:sz w:val="20"/>
          <w:szCs w:val="20"/>
        </w:rPr>
        <w:t xml:space="preserve">. Middle zone </w:t>
      </w:r>
      <w:r w:rsidR="00215419" w:rsidRPr="003F1806">
        <w:rPr>
          <w:rFonts w:ascii="Arial MT" w:hAnsi="Arial MT" w:cs="Arial"/>
          <w:sz w:val="20"/>
          <w:szCs w:val="20"/>
        </w:rPr>
        <w:t>was</w:t>
      </w:r>
      <w:r w:rsidRPr="003F1806">
        <w:rPr>
          <w:rFonts w:ascii="Arial MT" w:hAnsi="Arial MT" w:cs="Arial"/>
          <w:sz w:val="20"/>
          <w:szCs w:val="20"/>
        </w:rPr>
        <w:t xml:space="preserve"> characterized by low access to financial assets, reflecting the poor access to credit faciliti</w:t>
      </w:r>
      <w:r w:rsidR="00A6473E" w:rsidRPr="003F1806">
        <w:rPr>
          <w:rFonts w:ascii="Arial MT" w:hAnsi="Arial MT" w:cs="Arial"/>
          <w:sz w:val="20"/>
          <w:szCs w:val="20"/>
        </w:rPr>
        <w:t>es and income sources (Table 2</w:t>
      </w:r>
      <w:r w:rsidRPr="003F1806">
        <w:rPr>
          <w:rFonts w:ascii="Arial MT" w:hAnsi="Arial MT" w:cs="Arial"/>
          <w:sz w:val="20"/>
          <w:szCs w:val="20"/>
        </w:rPr>
        <w:t>). The lower altitude has a moderate access of all the assets accept social asset.</w:t>
      </w:r>
    </w:p>
    <w:p w14:paraId="3921E1FC" w14:textId="573BB869"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3.4. </w:t>
      </w:r>
      <w:r w:rsidR="00302E71" w:rsidRPr="003F1806">
        <w:rPr>
          <w:rFonts w:ascii="Arial MT" w:hAnsi="Arial MT" w:cs="Arial"/>
          <w:b/>
          <w:bCs/>
          <w:sz w:val="20"/>
          <w:szCs w:val="20"/>
        </w:rPr>
        <w:t>Livelihood Strategies</w:t>
      </w:r>
    </w:p>
    <w:p w14:paraId="39BD8517" w14:textId="3172D60E" w:rsidR="00302E71" w:rsidRPr="00733E9B" w:rsidRDefault="00302E71" w:rsidP="00B42A32">
      <w:pPr>
        <w:spacing w:after="0"/>
        <w:jc w:val="both"/>
        <w:rPr>
          <w:rFonts w:ascii="Arial MT" w:hAnsi="Arial MT" w:cs="Arial"/>
          <w:b/>
          <w:bCs/>
          <w:sz w:val="20"/>
          <w:szCs w:val="20"/>
        </w:rPr>
      </w:pPr>
      <w:r w:rsidRPr="003F1806">
        <w:rPr>
          <w:rFonts w:ascii="Arial MT" w:hAnsi="Arial MT" w:cs="Arial"/>
          <w:sz w:val="20"/>
          <w:szCs w:val="20"/>
        </w:rPr>
        <w:t>In the analysis of income-</w:t>
      </w:r>
      <w:r w:rsidR="00A6473E" w:rsidRPr="003F1806">
        <w:rPr>
          <w:rFonts w:ascii="Arial MT" w:hAnsi="Arial MT" w:cs="Arial"/>
          <w:sz w:val="20"/>
          <w:szCs w:val="20"/>
        </w:rPr>
        <w:t>generating activities (Table 2, Fig 2</w:t>
      </w:r>
      <w:r w:rsidRPr="003F1806">
        <w:rPr>
          <w:rFonts w:ascii="Arial MT" w:hAnsi="Arial MT" w:cs="Arial"/>
          <w:sz w:val="20"/>
          <w:szCs w:val="20"/>
        </w:rPr>
        <w:t xml:space="preserve">), different strategies of livelihood were identified. Sources of household income differed between the higher, middle and lower altitudes of all three blocks. In high altitude of Agustmuni block, the majority of households depended on livestock &amp; livestock produce (0.58) and agriculture produce sale (0.50) as their main source of income, whilst few households (0.45) depended on salaried job outside the village in the form of government or private jobs. </w:t>
      </w:r>
      <w:proofErr w:type="spellStart"/>
      <w:r w:rsidRPr="003F1806">
        <w:rPr>
          <w:rFonts w:ascii="Arial MT" w:hAnsi="Arial MT" w:cs="Arial"/>
          <w:sz w:val="20"/>
          <w:szCs w:val="20"/>
        </w:rPr>
        <w:t>Chaulai</w:t>
      </w:r>
      <w:proofErr w:type="spellEnd"/>
      <w:r w:rsidRPr="003F1806">
        <w:rPr>
          <w:rFonts w:ascii="Arial MT" w:hAnsi="Arial MT" w:cs="Arial"/>
          <w:sz w:val="20"/>
          <w:szCs w:val="20"/>
        </w:rPr>
        <w:t>, potato, kidney</w:t>
      </w:r>
      <w:r w:rsidR="00464609" w:rsidRPr="003F1806">
        <w:rPr>
          <w:rFonts w:ascii="Arial MT" w:hAnsi="Arial MT" w:cs="Arial"/>
          <w:sz w:val="20"/>
          <w:szCs w:val="20"/>
        </w:rPr>
        <w:t xml:space="preserve"> </w:t>
      </w:r>
      <w:r w:rsidRPr="003F1806">
        <w:rPr>
          <w:rFonts w:ascii="Arial MT" w:hAnsi="Arial MT" w:cs="Arial"/>
          <w:sz w:val="20"/>
          <w:szCs w:val="20"/>
        </w:rPr>
        <w:t xml:space="preserve">bean and spices are the major cash crops of the region soil conditions are relatively good in the region and sale of these products provides a better income opportunity for poor farmers. Pensions (0.36), remittances (0.27) and government social benefits (0.26) mainly in the form of </w:t>
      </w:r>
      <w:proofErr w:type="spellStart"/>
      <w:r w:rsidRPr="003F1806">
        <w:rPr>
          <w:rFonts w:ascii="Arial MT" w:hAnsi="Arial MT" w:cs="Arial"/>
          <w:sz w:val="20"/>
          <w:szCs w:val="20"/>
        </w:rPr>
        <w:t>oldage</w:t>
      </w:r>
      <w:proofErr w:type="spellEnd"/>
      <w:r w:rsidRPr="003F1806">
        <w:rPr>
          <w:rFonts w:ascii="Arial MT" w:hAnsi="Arial MT" w:cs="Arial"/>
          <w:sz w:val="20"/>
          <w:szCs w:val="20"/>
        </w:rPr>
        <w:t xml:space="preserve">, widow, disabled pension and food-aid were the next major activity in which the majority of households involved. Other non-agricultural activities i.e. village level business/trading (0.15), carpentry/masonry (0.12), wage </w:t>
      </w:r>
      <w:r w:rsidR="00733E9B" w:rsidRPr="003F1806">
        <w:rPr>
          <w:rFonts w:ascii="Arial MT" w:hAnsi="Arial MT" w:cs="Arial"/>
          <w:sz w:val="20"/>
          <w:szCs w:val="20"/>
        </w:rPr>
        <w:t>laborers</w:t>
      </w:r>
      <w:r w:rsidRPr="003F1806">
        <w:rPr>
          <w:rFonts w:ascii="Arial MT" w:hAnsi="Arial MT" w:cs="Arial"/>
          <w:sz w:val="20"/>
          <w:szCs w:val="20"/>
        </w:rPr>
        <w:t xml:space="preserve"> (0.23), tourism (0.15) involved only a few households or low index value in all altitudes </w:t>
      </w:r>
      <w:r w:rsidR="00733E9B">
        <w:rPr>
          <w:rFonts w:ascii="Arial MT" w:hAnsi="Arial MT" w:cs="Arial"/>
          <w:sz w:val="20"/>
          <w:szCs w:val="20"/>
        </w:rPr>
        <w:t>o</w:t>
      </w:r>
      <w:r w:rsidRPr="003F1806">
        <w:rPr>
          <w:rFonts w:ascii="Arial MT" w:hAnsi="Arial MT" w:cs="Arial"/>
          <w:sz w:val="20"/>
          <w:szCs w:val="20"/>
        </w:rPr>
        <w:t xml:space="preserve">f the total households of middle altitudes, households mainly dependent on salaried job and pensions, as same value observed for the both (0.49), followed by livestock &amp; livestock produce sale (0.48), agriculture produce sale (0.35), remittances (0.32), government social benefits (0.18), wage labour, carpentry &amp; masonry, tourism observed same value for these three (0.17) and other business/trade (0.15). </w:t>
      </w:r>
      <w:r w:rsidR="00572179" w:rsidRPr="003F1806">
        <w:rPr>
          <w:rFonts w:ascii="Arial MT" w:hAnsi="Arial MT" w:cs="Arial"/>
          <w:sz w:val="20"/>
          <w:szCs w:val="20"/>
        </w:rPr>
        <w:t xml:space="preserve">Of the total households of low altitudes, majority of households dependent on salaried job (0.46), followed by livestock &amp; livestock produce sale (0.42), pensions (0.39), tourism (0.27), remittances, government social benefits &amp; carpentry/masonry observed same value (0.24), agriculture produce sale (0.19), other business/trade (0.17) and wage labour (0.15). </w:t>
      </w:r>
      <w:r w:rsidR="00572179">
        <w:rPr>
          <w:rFonts w:ascii="Arial MT" w:hAnsi="Arial MT" w:cs="Arial"/>
          <w:sz w:val="20"/>
          <w:szCs w:val="20"/>
        </w:rPr>
        <w:t xml:space="preserve"> </w:t>
      </w:r>
      <w:r w:rsidR="00572179" w:rsidRPr="003F1806">
        <w:rPr>
          <w:rFonts w:ascii="Arial MT" w:hAnsi="Arial MT" w:cs="Arial"/>
          <w:sz w:val="20"/>
          <w:szCs w:val="20"/>
        </w:rPr>
        <w:t>In contrast, the majority of households of high altitude of Jakholi block, principally dependent on remittances and salaried job (0.65), followed by livestock and livestock produce sale (0.59), wage labour (0.32), other business/trade (0.29), government social benefits (0.27), pensions (0.16), carpentry/masonry (0.13) and agriculture produce sale &amp; tourism (0.08) (Table 2, Fig. 2)</w:t>
      </w:r>
      <w:r w:rsidR="00572179">
        <w:rPr>
          <w:rFonts w:ascii="Arial MT" w:hAnsi="Arial MT" w:cs="Arial"/>
          <w:sz w:val="20"/>
          <w:szCs w:val="20"/>
        </w:rPr>
        <w:t>, o</w:t>
      </w:r>
      <w:r w:rsidR="00572179" w:rsidRPr="003F1806">
        <w:rPr>
          <w:rFonts w:ascii="Arial MT" w:hAnsi="Arial MT" w:cs="Arial"/>
          <w:sz w:val="20"/>
          <w:szCs w:val="20"/>
        </w:rPr>
        <w:t xml:space="preserve">f the total households of middle altitudes, households mainly dependent on remittances and salaried job (0.59), followed by livestock and livestock produce sale (0.51), government social benefits </w:t>
      </w:r>
      <w:r w:rsidR="00572179" w:rsidRPr="003F1806">
        <w:rPr>
          <w:rFonts w:ascii="Arial MT" w:hAnsi="Arial MT" w:cs="Arial"/>
          <w:sz w:val="20"/>
          <w:szCs w:val="20"/>
        </w:rPr>
        <w:lastRenderedPageBreak/>
        <w:t>(0.29), wage labour, agriculture produce sale &amp; other business/trade (0.24), pensions (0.20), carpentry/masonry (0.17) and tourism (0.10).</w:t>
      </w:r>
    </w:p>
    <w:p w14:paraId="79536149" w14:textId="77777777" w:rsidR="00733E9B" w:rsidRDefault="00733E9B" w:rsidP="00B42A32">
      <w:pPr>
        <w:spacing w:after="0"/>
        <w:jc w:val="center"/>
        <w:rPr>
          <w:rFonts w:ascii="Arial MT" w:hAnsi="Arial MT" w:cs="Arial"/>
          <w:sz w:val="20"/>
          <w:szCs w:val="20"/>
        </w:rPr>
        <w:sectPr w:rsidR="00733E9B" w:rsidSect="00A46579">
          <w:type w:val="continuous"/>
          <w:pgSz w:w="12240" w:h="15840" w:code="1"/>
          <w:pgMar w:top="720" w:right="720" w:bottom="720" w:left="720" w:header="720" w:footer="720" w:gutter="0"/>
          <w:cols w:num="2" w:space="720"/>
          <w:docGrid w:linePitch="360"/>
        </w:sectPr>
      </w:pPr>
    </w:p>
    <w:p w14:paraId="0EC814C6" w14:textId="77777777" w:rsidR="00733E9B" w:rsidRDefault="00302E71" w:rsidP="00B42A32">
      <w:pPr>
        <w:spacing w:after="0"/>
        <w:jc w:val="center"/>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r w:rsidRPr="003F1806">
        <w:rPr>
          <w:rFonts w:ascii="Arial MT" w:hAnsi="Arial MT" w:cs="Arial"/>
          <w:noProof/>
          <w:sz w:val="20"/>
          <w:szCs w:val="20"/>
        </w:rPr>
        <w:drawing>
          <wp:inline distT="0" distB="0" distL="0" distR="0" wp14:anchorId="11A1CD7C" wp14:editId="3356A426">
            <wp:extent cx="4690110" cy="2705100"/>
            <wp:effectExtent l="0" t="0" r="0" b="0"/>
            <wp:docPr id="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A7A058" w14:textId="77777777" w:rsidR="00302E71" w:rsidRPr="003F1806" w:rsidRDefault="00302E71" w:rsidP="00B42A32">
      <w:pPr>
        <w:spacing w:after="0"/>
        <w:rPr>
          <w:rFonts w:ascii="Arial MT" w:hAnsi="Arial MT" w:cs="Arial"/>
          <w:sz w:val="20"/>
          <w:szCs w:val="20"/>
        </w:rPr>
      </w:pPr>
    </w:p>
    <w:p w14:paraId="57BF1367" w14:textId="77777777" w:rsidR="00302E71" w:rsidRPr="003F1806" w:rsidRDefault="00A6473E" w:rsidP="00B42A32">
      <w:pPr>
        <w:spacing w:after="0"/>
        <w:jc w:val="center"/>
        <w:rPr>
          <w:rFonts w:ascii="Arial MT" w:hAnsi="Arial MT" w:cs="Arial"/>
          <w:b/>
          <w:bCs/>
          <w:sz w:val="20"/>
          <w:szCs w:val="20"/>
        </w:rPr>
      </w:pPr>
      <w:r w:rsidRPr="003F1806">
        <w:rPr>
          <w:rFonts w:ascii="Arial MT" w:hAnsi="Arial MT" w:cs="Arial"/>
          <w:b/>
          <w:bCs/>
          <w:sz w:val="20"/>
          <w:szCs w:val="20"/>
        </w:rPr>
        <w:t>Figure 2</w:t>
      </w:r>
      <w:r w:rsidR="00302E71" w:rsidRPr="003F1806">
        <w:rPr>
          <w:rFonts w:ascii="Arial MT" w:hAnsi="Arial MT" w:cs="Arial"/>
          <w:b/>
          <w:bCs/>
          <w:sz w:val="20"/>
          <w:szCs w:val="20"/>
        </w:rPr>
        <w:t>: Shows the variation in livelihood strategies in three altitudes of Agustmuni block</w:t>
      </w:r>
    </w:p>
    <w:p w14:paraId="2CD1AF19" w14:textId="77777777" w:rsidR="00733E9B" w:rsidRDefault="00733E9B" w:rsidP="00B42A32">
      <w:pPr>
        <w:spacing w:after="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78BC2E5C" w14:textId="71922879" w:rsidR="00302E71" w:rsidRPr="00733E9B" w:rsidRDefault="005251DB" w:rsidP="00B42A32">
      <w:pPr>
        <w:spacing w:after="0"/>
        <w:jc w:val="both"/>
        <w:rPr>
          <w:rFonts w:ascii="Arial MT" w:hAnsi="Arial MT" w:cs="Arial"/>
          <w:sz w:val="20"/>
          <w:szCs w:val="20"/>
        </w:rPr>
      </w:pPr>
      <w:r>
        <w:rPr>
          <w:rFonts w:ascii="Arial MT" w:hAnsi="Arial MT" w:cs="Arial"/>
          <w:b/>
          <w:bCs/>
          <w:sz w:val="20"/>
          <w:szCs w:val="20"/>
        </w:rPr>
        <w:t xml:space="preserve">3.5. </w:t>
      </w:r>
      <w:r w:rsidR="00302E71" w:rsidRPr="003F1806">
        <w:rPr>
          <w:rFonts w:ascii="Arial MT" w:hAnsi="Arial MT" w:cs="Arial"/>
          <w:b/>
          <w:bCs/>
          <w:sz w:val="20"/>
          <w:szCs w:val="20"/>
        </w:rPr>
        <w:t xml:space="preserve">Relationship between Livelihood Capitals and Livelihood Strategy Choice  </w:t>
      </w:r>
    </w:p>
    <w:p w14:paraId="7AC4DF59" w14:textId="4D0004BF" w:rsidR="00302E71" w:rsidRPr="00D21312" w:rsidRDefault="00302E71" w:rsidP="00B42A32">
      <w:pPr>
        <w:spacing w:after="0"/>
        <w:jc w:val="both"/>
        <w:rPr>
          <w:rFonts w:ascii="Arial MT" w:hAnsi="Arial MT" w:cs="Arial"/>
          <w:sz w:val="20"/>
          <w:szCs w:val="20"/>
        </w:rPr>
      </w:pPr>
      <w:r w:rsidRPr="003F1806">
        <w:rPr>
          <w:rFonts w:ascii="Arial MT" w:hAnsi="Arial MT" w:cs="Arial"/>
          <w:sz w:val="20"/>
          <w:szCs w:val="20"/>
        </w:rPr>
        <w:t xml:space="preserve">A multivariable livelihood strategy is one in which the allocation of asset use and managerial choice are made in order to achieve livelihood objectives that include management, investment, and bearing of arrangements. This study analyzed the relationship between the choice of livelihood strategy and livelihood asset by way of binary logistic regression. In order to analyze the influence of all five livelihood assets on the choice of livelihood strategies, this study designated all five livelihood assets as regressive independent variables and </w:t>
      </w:r>
      <w:r w:rsidRPr="003F1806">
        <w:rPr>
          <w:rFonts w:ascii="Arial MT" w:hAnsi="Arial MT" w:cs="Arial"/>
          <w:sz w:val="20"/>
          <w:szCs w:val="20"/>
        </w:rPr>
        <w:t xml:space="preserve">designated livelihood strategies as regressive dependent variables in order to analyze them by means of binary logistic regression. Independent variables of regression were used with the forward LR method that is based upon P&lt;0.1. Results are shown in table </w:t>
      </w:r>
      <w:r w:rsidR="008A0534">
        <w:rPr>
          <w:rFonts w:ascii="Arial MT" w:hAnsi="Arial MT" w:cs="Arial"/>
          <w:sz w:val="20"/>
          <w:szCs w:val="20"/>
        </w:rPr>
        <w:t>3</w:t>
      </w:r>
      <w:r w:rsidRPr="003F1806">
        <w:rPr>
          <w:rFonts w:ascii="Arial MT" w:hAnsi="Arial MT" w:cs="Arial"/>
          <w:sz w:val="20"/>
          <w:szCs w:val="20"/>
        </w:rPr>
        <w:t>. The livelihood strategies were divided into agriculture and non-agriculture and presented as agriculture, 1 and 0 otherwise. All five indexes adopted by way of binary logistic regression represent the status of livelihood assets. Results coincide with the analysis are carried out.</w:t>
      </w:r>
    </w:p>
    <w:p w14:paraId="5E5D1D94" w14:textId="77777777" w:rsidR="005251DB" w:rsidRDefault="005251DB" w:rsidP="00B42A32">
      <w:pPr>
        <w:spacing w:after="0"/>
        <w:jc w:val="both"/>
        <w:rPr>
          <w:rFonts w:ascii="Arial MT" w:hAnsi="Arial MT" w:cs="Arial"/>
          <w:b/>
          <w:bCs/>
          <w:sz w:val="20"/>
          <w:szCs w:val="20"/>
        </w:rPr>
      </w:pPr>
    </w:p>
    <w:p w14:paraId="25747910" w14:textId="77777777" w:rsidR="005251DB" w:rsidRDefault="005251DB" w:rsidP="00B42A32">
      <w:pPr>
        <w:spacing w:after="0"/>
        <w:jc w:val="both"/>
        <w:rPr>
          <w:rFonts w:ascii="Arial MT" w:hAnsi="Arial MT" w:cs="Arial"/>
          <w:b/>
          <w:bCs/>
          <w:sz w:val="20"/>
          <w:szCs w:val="20"/>
        </w:rPr>
      </w:pPr>
    </w:p>
    <w:p w14:paraId="6DA06289" w14:textId="77777777" w:rsidR="00733E9B" w:rsidRDefault="00733E9B" w:rsidP="00B42A32">
      <w:pPr>
        <w:spacing w:after="0"/>
        <w:jc w:val="both"/>
        <w:rPr>
          <w:rFonts w:ascii="Arial MT" w:hAnsi="Arial MT" w:cs="Arial"/>
          <w:b/>
          <w:bCs/>
          <w:sz w:val="20"/>
          <w:szCs w:val="20"/>
        </w:rPr>
        <w:sectPr w:rsidR="00733E9B" w:rsidSect="00A46579">
          <w:type w:val="continuous"/>
          <w:pgSz w:w="12240" w:h="15840" w:code="1"/>
          <w:pgMar w:top="720" w:right="720" w:bottom="720" w:left="720" w:header="720" w:footer="720" w:gutter="0"/>
          <w:cols w:num="2" w:space="720"/>
          <w:docGrid w:linePitch="360"/>
        </w:sectPr>
      </w:pPr>
    </w:p>
    <w:p w14:paraId="36A048A0" w14:textId="77777777" w:rsidR="00572179" w:rsidRDefault="005251DB" w:rsidP="00B42A32">
      <w:pPr>
        <w:spacing w:after="0"/>
        <w:jc w:val="both"/>
        <w:rPr>
          <w:rFonts w:ascii="Arial MT" w:hAnsi="Arial MT" w:cs="Arial"/>
          <w:b/>
          <w:bCs/>
          <w:sz w:val="20"/>
          <w:szCs w:val="20"/>
        </w:rPr>
      </w:pPr>
      <w:r>
        <w:rPr>
          <w:rFonts w:ascii="Arial MT" w:hAnsi="Arial MT" w:cs="Arial"/>
          <w:b/>
          <w:bCs/>
          <w:sz w:val="20"/>
          <w:szCs w:val="20"/>
        </w:rPr>
        <w:t xml:space="preserve">        </w:t>
      </w:r>
      <w:r w:rsidR="00733E9B">
        <w:rPr>
          <w:rFonts w:ascii="Arial MT" w:hAnsi="Arial MT" w:cs="Arial"/>
          <w:b/>
          <w:bCs/>
          <w:sz w:val="20"/>
          <w:szCs w:val="20"/>
        </w:rPr>
        <w:t xml:space="preserve">               </w:t>
      </w:r>
    </w:p>
    <w:p w14:paraId="6DB9643F" w14:textId="23138207" w:rsidR="00302E71" w:rsidRPr="003F1806" w:rsidRDefault="00572179" w:rsidP="00B42A32">
      <w:pPr>
        <w:spacing w:after="0"/>
        <w:jc w:val="both"/>
        <w:rPr>
          <w:rFonts w:ascii="Arial MT" w:hAnsi="Arial MT" w:cs="Arial"/>
          <w:b/>
          <w:bCs/>
          <w:sz w:val="20"/>
          <w:szCs w:val="20"/>
        </w:rPr>
      </w:pPr>
      <w:r>
        <w:rPr>
          <w:rFonts w:ascii="Arial MT" w:hAnsi="Arial MT" w:cs="Arial"/>
          <w:b/>
          <w:bCs/>
          <w:sz w:val="20"/>
          <w:szCs w:val="20"/>
        </w:rPr>
        <w:t xml:space="preserve">                                  </w:t>
      </w:r>
      <w:r w:rsidR="005251DB">
        <w:rPr>
          <w:rFonts w:ascii="Arial MT" w:hAnsi="Arial MT" w:cs="Arial"/>
          <w:b/>
          <w:bCs/>
          <w:sz w:val="20"/>
          <w:szCs w:val="20"/>
        </w:rPr>
        <w:t xml:space="preserve"> </w:t>
      </w:r>
      <w:r w:rsidR="00302E71" w:rsidRPr="003F1806">
        <w:rPr>
          <w:rFonts w:ascii="Arial MT" w:hAnsi="Arial MT" w:cs="Arial"/>
          <w:b/>
          <w:bCs/>
          <w:sz w:val="20"/>
          <w:szCs w:val="20"/>
        </w:rPr>
        <w:t xml:space="preserve">Table </w:t>
      </w:r>
      <w:r w:rsidR="008A0534">
        <w:rPr>
          <w:rFonts w:ascii="Arial MT" w:hAnsi="Arial MT" w:cs="Arial"/>
          <w:b/>
          <w:bCs/>
          <w:sz w:val="20"/>
          <w:szCs w:val="20"/>
        </w:rPr>
        <w:t>3</w:t>
      </w:r>
      <w:r w:rsidR="00302E71" w:rsidRPr="003F1806">
        <w:rPr>
          <w:rFonts w:ascii="Arial MT" w:hAnsi="Arial MT" w:cs="Arial"/>
          <w:b/>
          <w:bCs/>
          <w:sz w:val="20"/>
          <w:szCs w:val="20"/>
        </w:rPr>
        <w:t xml:space="preserve">: </w:t>
      </w:r>
      <w:r w:rsidR="00D21312">
        <w:rPr>
          <w:rFonts w:ascii="Arial MT" w:hAnsi="Arial MT" w:cs="Arial"/>
          <w:b/>
          <w:bCs/>
          <w:sz w:val="20"/>
          <w:szCs w:val="20"/>
        </w:rPr>
        <w:t xml:space="preserve"> </w:t>
      </w:r>
      <w:r w:rsidR="00302E71" w:rsidRPr="003F1806">
        <w:rPr>
          <w:rFonts w:ascii="Arial MT" w:hAnsi="Arial MT" w:cs="Arial"/>
          <w:b/>
          <w:bCs/>
          <w:sz w:val="20"/>
          <w:szCs w:val="20"/>
        </w:rPr>
        <w:t>Relationship analysis between livelihood assets and livelihood strategies</w:t>
      </w:r>
    </w:p>
    <w:p w14:paraId="76A3B72D" w14:textId="77777777" w:rsidR="00733E9B" w:rsidRDefault="00733E9B" w:rsidP="00B42A32">
      <w:pPr>
        <w:autoSpaceDE w:val="0"/>
        <w:autoSpaceDN w:val="0"/>
        <w:adjustRightInd w:val="0"/>
        <w:jc w:val="both"/>
        <w:rPr>
          <w:rFonts w:ascii="Arial MT" w:hAnsi="Arial MT" w:cs="Arial"/>
          <w:b/>
          <w:bCs/>
          <w:color w:val="000000"/>
          <w:sz w:val="20"/>
        </w:rPr>
        <w:sectPr w:rsidR="00733E9B" w:rsidSect="00A46579">
          <w:type w:val="continuous"/>
          <w:pgSz w:w="12240" w:h="15840" w:code="1"/>
          <w:pgMar w:top="720" w:right="720" w:bottom="720" w:left="720" w:header="720" w:footer="720" w:gutter="0"/>
          <w:cols w:space="720"/>
          <w:docGrid w:linePitch="360"/>
        </w:sectPr>
      </w:pPr>
    </w:p>
    <w:tbl>
      <w:tblPr>
        <w:tblStyle w:val="TableGrid"/>
        <w:tblW w:w="8550" w:type="dxa"/>
        <w:jc w:val="center"/>
        <w:tblLayout w:type="fixed"/>
        <w:tblLook w:val="04A0" w:firstRow="1" w:lastRow="0" w:firstColumn="1" w:lastColumn="0" w:noHBand="0" w:noVBand="1"/>
      </w:tblPr>
      <w:tblGrid>
        <w:gridCol w:w="1080"/>
        <w:gridCol w:w="1350"/>
        <w:gridCol w:w="1170"/>
        <w:gridCol w:w="810"/>
        <w:gridCol w:w="889"/>
        <w:gridCol w:w="851"/>
        <w:gridCol w:w="1500"/>
        <w:gridCol w:w="900"/>
      </w:tblGrid>
      <w:tr w:rsidR="00302E71" w:rsidRPr="006B7A8F" w14:paraId="00476596" w14:textId="77777777" w:rsidTr="00733E9B">
        <w:trPr>
          <w:jc w:val="center"/>
        </w:trPr>
        <w:tc>
          <w:tcPr>
            <w:tcW w:w="1080" w:type="dxa"/>
            <w:vMerge w:val="restart"/>
          </w:tcPr>
          <w:p w14:paraId="7C47BC18"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Assets</w:t>
            </w:r>
          </w:p>
        </w:tc>
        <w:tc>
          <w:tcPr>
            <w:tcW w:w="1350" w:type="dxa"/>
            <w:vMerge w:val="restart"/>
          </w:tcPr>
          <w:p w14:paraId="6707E49F" w14:textId="77777777" w:rsidR="00302E71" w:rsidRPr="006B7A8F" w:rsidRDefault="00302E71" w:rsidP="00B42A32">
            <w:pPr>
              <w:autoSpaceDE w:val="0"/>
              <w:autoSpaceDN w:val="0"/>
              <w:adjustRightInd w:val="0"/>
              <w:spacing w:line="276" w:lineRule="auto"/>
              <w:ind w:left="-108" w:right="-108"/>
              <w:jc w:val="both"/>
              <w:rPr>
                <w:rFonts w:ascii="Arial MT" w:hAnsi="Arial MT" w:cs="Arial"/>
                <w:b/>
                <w:bCs/>
                <w:color w:val="000000"/>
                <w:sz w:val="16"/>
                <w:szCs w:val="16"/>
              </w:rPr>
            </w:pPr>
            <w:r w:rsidRPr="006B7A8F">
              <w:rPr>
                <w:rFonts w:ascii="Arial MT" w:hAnsi="Arial MT" w:cs="Arial"/>
                <w:b/>
                <w:bCs/>
                <w:color w:val="000000"/>
                <w:sz w:val="16"/>
                <w:szCs w:val="16"/>
              </w:rPr>
              <w:t>Regression coefficient (B)</w:t>
            </w:r>
          </w:p>
        </w:tc>
        <w:tc>
          <w:tcPr>
            <w:tcW w:w="1170" w:type="dxa"/>
            <w:vMerge w:val="restart"/>
          </w:tcPr>
          <w:p w14:paraId="34DA8400" w14:textId="77777777" w:rsidR="00302E71" w:rsidRPr="006B7A8F" w:rsidRDefault="00302E71" w:rsidP="00B42A32">
            <w:pPr>
              <w:autoSpaceDE w:val="0"/>
              <w:autoSpaceDN w:val="0"/>
              <w:adjustRightInd w:val="0"/>
              <w:spacing w:line="276" w:lineRule="auto"/>
              <w:ind w:left="-108"/>
              <w:jc w:val="both"/>
              <w:rPr>
                <w:rFonts w:ascii="Arial MT" w:hAnsi="Arial MT" w:cs="Arial"/>
                <w:b/>
                <w:bCs/>
                <w:color w:val="000000"/>
                <w:sz w:val="16"/>
                <w:szCs w:val="16"/>
              </w:rPr>
            </w:pPr>
            <w:r w:rsidRPr="006B7A8F">
              <w:rPr>
                <w:rFonts w:ascii="Arial MT" w:hAnsi="Arial MT" w:cs="Arial"/>
                <w:b/>
                <w:bCs/>
                <w:color w:val="000000"/>
                <w:sz w:val="16"/>
                <w:szCs w:val="16"/>
              </w:rPr>
              <w:t>Standard error (S.E.)</w:t>
            </w:r>
          </w:p>
        </w:tc>
        <w:tc>
          <w:tcPr>
            <w:tcW w:w="810" w:type="dxa"/>
            <w:vMerge w:val="restart"/>
          </w:tcPr>
          <w:p w14:paraId="3E06BE7B"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Wald test</w:t>
            </w:r>
          </w:p>
        </w:tc>
        <w:tc>
          <w:tcPr>
            <w:tcW w:w="889" w:type="dxa"/>
            <w:vMerge w:val="restart"/>
          </w:tcPr>
          <w:p w14:paraId="23C63D4B" w14:textId="77777777" w:rsidR="00302E71" w:rsidRPr="006B7A8F" w:rsidRDefault="00302E71" w:rsidP="00B42A32">
            <w:pPr>
              <w:autoSpaceDE w:val="0"/>
              <w:autoSpaceDN w:val="0"/>
              <w:adjustRightInd w:val="0"/>
              <w:spacing w:line="276" w:lineRule="auto"/>
              <w:ind w:left="-53" w:right="-108"/>
              <w:jc w:val="both"/>
              <w:rPr>
                <w:rFonts w:ascii="Arial MT" w:hAnsi="Arial MT" w:cs="Arial"/>
                <w:b/>
                <w:bCs/>
                <w:color w:val="000000"/>
                <w:sz w:val="16"/>
                <w:szCs w:val="16"/>
              </w:rPr>
            </w:pPr>
            <w:r w:rsidRPr="006B7A8F">
              <w:rPr>
                <w:rFonts w:ascii="Arial MT" w:hAnsi="Arial MT" w:cs="Arial"/>
                <w:b/>
                <w:bCs/>
                <w:color w:val="000000"/>
                <w:sz w:val="16"/>
                <w:szCs w:val="16"/>
              </w:rPr>
              <w:t xml:space="preserve">Significance </w:t>
            </w:r>
          </w:p>
        </w:tc>
        <w:tc>
          <w:tcPr>
            <w:tcW w:w="851" w:type="dxa"/>
            <w:vMerge w:val="restart"/>
          </w:tcPr>
          <w:p w14:paraId="072A1A1A"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Exp (B)</w:t>
            </w:r>
          </w:p>
        </w:tc>
        <w:tc>
          <w:tcPr>
            <w:tcW w:w="2400" w:type="dxa"/>
            <w:gridSpan w:val="2"/>
          </w:tcPr>
          <w:p w14:paraId="7537FF3B"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95.0%CI for Exp(B)</w:t>
            </w:r>
          </w:p>
        </w:tc>
      </w:tr>
      <w:tr w:rsidR="00302E71" w:rsidRPr="006B7A8F" w14:paraId="3883B8D5" w14:textId="77777777" w:rsidTr="00733E9B">
        <w:trPr>
          <w:trHeight w:hRule="exact" w:val="359"/>
          <w:jc w:val="center"/>
        </w:trPr>
        <w:tc>
          <w:tcPr>
            <w:tcW w:w="1080" w:type="dxa"/>
            <w:vMerge/>
          </w:tcPr>
          <w:p w14:paraId="4E10D560"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350" w:type="dxa"/>
            <w:vMerge/>
          </w:tcPr>
          <w:p w14:paraId="76D6B251"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170" w:type="dxa"/>
            <w:vMerge/>
          </w:tcPr>
          <w:p w14:paraId="2583D1FA"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10" w:type="dxa"/>
            <w:vMerge/>
          </w:tcPr>
          <w:p w14:paraId="4D1B23BC"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89" w:type="dxa"/>
            <w:vMerge/>
          </w:tcPr>
          <w:p w14:paraId="2536BAD1"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51" w:type="dxa"/>
            <w:vMerge/>
          </w:tcPr>
          <w:p w14:paraId="3FA99D65"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500" w:type="dxa"/>
          </w:tcPr>
          <w:p w14:paraId="690811BE"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 xml:space="preserve">Lower </w:t>
            </w:r>
          </w:p>
        </w:tc>
        <w:tc>
          <w:tcPr>
            <w:tcW w:w="900" w:type="dxa"/>
          </w:tcPr>
          <w:p w14:paraId="759D8EFF"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 xml:space="preserve">Upper </w:t>
            </w:r>
          </w:p>
        </w:tc>
      </w:tr>
      <w:tr w:rsidR="00302E71" w:rsidRPr="006B7A8F" w14:paraId="6F57BEB8" w14:textId="77777777" w:rsidTr="00733E9B">
        <w:trPr>
          <w:trHeight w:hRule="exact" w:val="432"/>
          <w:jc w:val="center"/>
        </w:trPr>
        <w:tc>
          <w:tcPr>
            <w:tcW w:w="1080" w:type="dxa"/>
          </w:tcPr>
          <w:p w14:paraId="3056A84F"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Human asset</w:t>
            </w:r>
          </w:p>
        </w:tc>
        <w:tc>
          <w:tcPr>
            <w:tcW w:w="1350" w:type="dxa"/>
          </w:tcPr>
          <w:p w14:paraId="0783ABE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1.665</w:t>
            </w:r>
          </w:p>
        </w:tc>
        <w:tc>
          <w:tcPr>
            <w:tcW w:w="1170" w:type="dxa"/>
          </w:tcPr>
          <w:p w14:paraId="61658DA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0.887</w:t>
            </w:r>
          </w:p>
        </w:tc>
        <w:tc>
          <w:tcPr>
            <w:tcW w:w="810" w:type="dxa"/>
          </w:tcPr>
          <w:p w14:paraId="0FF86BB5"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3.526</w:t>
            </w:r>
          </w:p>
        </w:tc>
        <w:tc>
          <w:tcPr>
            <w:tcW w:w="889" w:type="dxa"/>
          </w:tcPr>
          <w:p w14:paraId="4848B40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0.060</w:t>
            </w:r>
          </w:p>
        </w:tc>
        <w:tc>
          <w:tcPr>
            <w:tcW w:w="851" w:type="dxa"/>
          </w:tcPr>
          <w:p w14:paraId="282F500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5.286</w:t>
            </w:r>
          </w:p>
        </w:tc>
        <w:tc>
          <w:tcPr>
            <w:tcW w:w="1500" w:type="dxa"/>
          </w:tcPr>
          <w:p w14:paraId="3A1CF99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0.930</w:t>
            </w:r>
          </w:p>
        </w:tc>
        <w:tc>
          <w:tcPr>
            <w:tcW w:w="900" w:type="dxa"/>
          </w:tcPr>
          <w:p w14:paraId="049F539F"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30.055</w:t>
            </w:r>
          </w:p>
        </w:tc>
      </w:tr>
      <w:tr w:rsidR="00302E71" w:rsidRPr="006B7A8F" w14:paraId="47704302" w14:textId="77777777" w:rsidTr="00733E9B">
        <w:trPr>
          <w:trHeight w:hRule="exact" w:val="432"/>
          <w:jc w:val="center"/>
        </w:trPr>
        <w:tc>
          <w:tcPr>
            <w:tcW w:w="1080" w:type="dxa"/>
          </w:tcPr>
          <w:p w14:paraId="143C8F6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Natural asset</w:t>
            </w:r>
          </w:p>
        </w:tc>
        <w:tc>
          <w:tcPr>
            <w:tcW w:w="1350" w:type="dxa"/>
          </w:tcPr>
          <w:p w14:paraId="725563D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-0.855</w:t>
            </w:r>
          </w:p>
        </w:tc>
        <w:tc>
          <w:tcPr>
            <w:tcW w:w="1170" w:type="dxa"/>
          </w:tcPr>
          <w:p w14:paraId="50E4F72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0.843</w:t>
            </w:r>
          </w:p>
        </w:tc>
        <w:tc>
          <w:tcPr>
            <w:tcW w:w="810" w:type="dxa"/>
          </w:tcPr>
          <w:p w14:paraId="7AEA029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1.029</w:t>
            </w:r>
          </w:p>
        </w:tc>
        <w:tc>
          <w:tcPr>
            <w:tcW w:w="889" w:type="dxa"/>
          </w:tcPr>
          <w:p w14:paraId="7E72EF0A"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0.310</w:t>
            </w:r>
          </w:p>
        </w:tc>
        <w:tc>
          <w:tcPr>
            <w:tcW w:w="851" w:type="dxa"/>
          </w:tcPr>
          <w:p w14:paraId="1A4940D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0.425</w:t>
            </w:r>
          </w:p>
        </w:tc>
        <w:tc>
          <w:tcPr>
            <w:tcW w:w="1500" w:type="dxa"/>
          </w:tcPr>
          <w:p w14:paraId="0749CC88"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0.081</w:t>
            </w:r>
          </w:p>
        </w:tc>
        <w:tc>
          <w:tcPr>
            <w:tcW w:w="900" w:type="dxa"/>
          </w:tcPr>
          <w:p w14:paraId="35382F0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2.219</w:t>
            </w:r>
          </w:p>
        </w:tc>
      </w:tr>
      <w:tr w:rsidR="00302E71" w:rsidRPr="006B7A8F" w14:paraId="35889645" w14:textId="77777777" w:rsidTr="00733E9B">
        <w:trPr>
          <w:trHeight w:hRule="exact" w:val="432"/>
          <w:jc w:val="center"/>
        </w:trPr>
        <w:tc>
          <w:tcPr>
            <w:tcW w:w="1080" w:type="dxa"/>
          </w:tcPr>
          <w:p w14:paraId="38C7710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Physical asset</w:t>
            </w:r>
          </w:p>
        </w:tc>
        <w:tc>
          <w:tcPr>
            <w:tcW w:w="1350" w:type="dxa"/>
          </w:tcPr>
          <w:p w14:paraId="5648EAF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-2.431</w:t>
            </w:r>
          </w:p>
        </w:tc>
        <w:tc>
          <w:tcPr>
            <w:tcW w:w="1170" w:type="dxa"/>
          </w:tcPr>
          <w:p w14:paraId="466A1CF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1.067</w:t>
            </w:r>
          </w:p>
        </w:tc>
        <w:tc>
          <w:tcPr>
            <w:tcW w:w="810" w:type="dxa"/>
          </w:tcPr>
          <w:p w14:paraId="6FE6A59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5.191</w:t>
            </w:r>
          </w:p>
        </w:tc>
        <w:tc>
          <w:tcPr>
            <w:tcW w:w="889" w:type="dxa"/>
          </w:tcPr>
          <w:p w14:paraId="7E6AAA7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0.023</w:t>
            </w:r>
          </w:p>
        </w:tc>
        <w:tc>
          <w:tcPr>
            <w:tcW w:w="851" w:type="dxa"/>
          </w:tcPr>
          <w:p w14:paraId="5D1A0AD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0.088</w:t>
            </w:r>
          </w:p>
        </w:tc>
        <w:tc>
          <w:tcPr>
            <w:tcW w:w="1500" w:type="dxa"/>
          </w:tcPr>
          <w:p w14:paraId="4B1FC1B0"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0.011</w:t>
            </w:r>
          </w:p>
        </w:tc>
        <w:tc>
          <w:tcPr>
            <w:tcW w:w="900" w:type="dxa"/>
          </w:tcPr>
          <w:p w14:paraId="1C564B0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0.712</w:t>
            </w:r>
          </w:p>
        </w:tc>
      </w:tr>
      <w:tr w:rsidR="00302E71" w:rsidRPr="006B7A8F" w14:paraId="2D163192" w14:textId="77777777" w:rsidTr="00733E9B">
        <w:trPr>
          <w:trHeight w:hRule="exact" w:val="432"/>
          <w:jc w:val="center"/>
        </w:trPr>
        <w:tc>
          <w:tcPr>
            <w:tcW w:w="1080" w:type="dxa"/>
          </w:tcPr>
          <w:p w14:paraId="53F9A949" w14:textId="77777777" w:rsidR="00302E71" w:rsidRPr="006B7A8F" w:rsidRDefault="00302E71" w:rsidP="00B42A32">
            <w:pPr>
              <w:autoSpaceDE w:val="0"/>
              <w:autoSpaceDN w:val="0"/>
              <w:adjustRightInd w:val="0"/>
              <w:spacing w:line="276" w:lineRule="auto"/>
              <w:ind w:right="-71"/>
              <w:jc w:val="both"/>
              <w:rPr>
                <w:rFonts w:ascii="Arial MT" w:hAnsi="Arial MT" w:cs="Arial"/>
                <w:color w:val="000000"/>
                <w:sz w:val="16"/>
                <w:szCs w:val="16"/>
              </w:rPr>
            </w:pPr>
            <w:r w:rsidRPr="006B7A8F">
              <w:rPr>
                <w:rFonts w:ascii="Arial MT" w:hAnsi="Arial MT" w:cs="Arial"/>
                <w:color w:val="000000"/>
                <w:sz w:val="16"/>
                <w:szCs w:val="16"/>
              </w:rPr>
              <w:t>Financial asset</w:t>
            </w:r>
          </w:p>
        </w:tc>
        <w:tc>
          <w:tcPr>
            <w:tcW w:w="1350" w:type="dxa"/>
          </w:tcPr>
          <w:p w14:paraId="2BE035A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-6.239</w:t>
            </w:r>
          </w:p>
        </w:tc>
        <w:tc>
          <w:tcPr>
            <w:tcW w:w="1170" w:type="dxa"/>
          </w:tcPr>
          <w:p w14:paraId="5377233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0.791</w:t>
            </w:r>
          </w:p>
        </w:tc>
        <w:tc>
          <w:tcPr>
            <w:tcW w:w="810" w:type="dxa"/>
          </w:tcPr>
          <w:p w14:paraId="1C8F66E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62.278</w:t>
            </w:r>
          </w:p>
        </w:tc>
        <w:tc>
          <w:tcPr>
            <w:tcW w:w="889" w:type="dxa"/>
          </w:tcPr>
          <w:p w14:paraId="446C596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851" w:type="dxa"/>
          </w:tcPr>
          <w:p w14:paraId="0BAFA7C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0.002</w:t>
            </w:r>
          </w:p>
        </w:tc>
        <w:tc>
          <w:tcPr>
            <w:tcW w:w="1500" w:type="dxa"/>
          </w:tcPr>
          <w:p w14:paraId="6CC5515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900" w:type="dxa"/>
          </w:tcPr>
          <w:p w14:paraId="68CD753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0.009</w:t>
            </w:r>
          </w:p>
        </w:tc>
      </w:tr>
      <w:tr w:rsidR="00302E71" w:rsidRPr="006B7A8F" w14:paraId="1FB4705D" w14:textId="77777777" w:rsidTr="00733E9B">
        <w:trPr>
          <w:trHeight w:hRule="exact" w:val="432"/>
          <w:jc w:val="center"/>
        </w:trPr>
        <w:tc>
          <w:tcPr>
            <w:tcW w:w="1080" w:type="dxa"/>
          </w:tcPr>
          <w:p w14:paraId="4778742C"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Social</w:t>
            </w:r>
          </w:p>
        </w:tc>
        <w:tc>
          <w:tcPr>
            <w:tcW w:w="1350" w:type="dxa"/>
          </w:tcPr>
          <w:p w14:paraId="730D966C"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0.619</w:t>
            </w:r>
          </w:p>
        </w:tc>
        <w:tc>
          <w:tcPr>
            <w:tcW w:w="1170" w:type="dxa"/>
          </w:tcPr>
          <w:p w14:paraId="6B50904A"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0.325</w:t>
            </w:r>
          </w:p>
        </w:tc>
        <w:tc>
          <w:tcPr>
            <w:tcW w:w="810" w:type="dxa"/>
          </w:tcPr>
          <w:p w14:paraId="0CBC45D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3.637</w:t>
            </w:r>
          </w:p>
        </w:tc>
        <w:tc>
          <w:tcPr>
            <w:tcW w:w="889" w:type="dxa"/>
          </w:tcPr>
          <w:p w14:paraId="2DCF422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0.057</w:t>
            </w:r>
          </w:p>
        </w:tc>
        <w:tc>
          <w:tcPr>
            <w:tcW w:w="851" w:type="dxa"/>
          </w:tcPr>
          <w:p w14:paraId="0329F39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1.857</w:t>
            </w:r>
          </w:p>
        </w:tc>
        <w:tc>
          <w:tcPr>
            <w:tcW w:w="1500" w:type="dxa"/>
          </w:tcPr>
          <w:p w14:paraId="7B71BEE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0.983</w:t>
            </w:r>
          </w:p>
        </w:tc>
        <w:tc>
          <w:tcPr>
            <w:tcW w:w="900" w:type="dxa"/>
          </w:tcPr>
          <w:p w14:paraId="55B51A0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3.508</w:t>
            </w:r>
          </w:p>
        </w:tc>
      </w:tr>
      <w:tr w:rsidR="00302E71" w:rsidRPr="006B7A8F" w14:paraId="781D44A8" w14:textId="77777777" w:rsidTr="00733E9B">
        <w:trPr>
          <w:trHeight w:hRule="exact" w:val="432"/>
          <w:jc w:val="center"/>
        </w:trPr>
        <w:tc>
          <w:tcPr>
            <w:tcW w:w="1080" w:type="dxa"/>
          </w:tcPr>
          <w:p w14:paraId="68474FE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 xml:space="preserve">Constant </w:t>
            </w:r>
          </w:p>
        </w:tc>
        <w:tc>
          <w:tcPr>
            <w:tcW w:w="1350" w:type="dxa"/>
          </w:tcPr>
          <w:p w14:paraId="12D0A8D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3.792</w:t>
            </w:r>
          </w:p>
        </w:tc>
        <w:tc>
          <w:tcPr>
            <w:tcW w:w="1170" w:type="dxa"/>
          </w:tcPr>
          <w:p w14:paraId="69E9C66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0.699</w:t>
            </w:r>
          </w:p>
        </w:tc>
        <w:tc>
          <w:tcPr>
            <w:tcW w:w="810" w:type="dxa"/>
          </w:tcPr>
          <w:p w14:paraId="486D1AC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29.405</w:t>
            </w:r>
          </w:p>
        </w:tc>
        <w:tc>
          <w:tcPr>
            <w:tcW w:w="889" w:type="dxa"/>
          </w:tcPr>
          <w:p w14:paraId="1CA961C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851" w:type="dxa"/>
          </w:tcPr>
          <w:p w14:paraId="29197B3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44.356</w:t>
            </w:r>
          </w:p>
        </w:tc>
        <w:tc>
          <w:tcPr>
            <w:tcW w:w="1500" w:type="dxa"/>
          </w:tcPr>
          <w:p w14:paraId="5199D2D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p>
        </w:tc>
        <w:tc>
          <w:tcPr>
            <w:tcW w:w="900" w:type="dxa"/>
          </w:tcPr>
          <w:p w14:paraId="153A495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p>
        </w:tc>
      </w:tr>
      <w:tr w:rsidR="00176158" w:rsidRPr="006B7A8F" w14:paraId="2B69F9A1" w14:textId="77777777" w:rsidTr="00D21312">
        <w:trPr>
          <w:trHeight w:hRule="exact" w:val="604"/>
          <w:jc w:val="center"/>
        </w:trPr>
        <w:tc>
          <w:tcPr>
            <w:tcW w:w="8550" w:type="dxa"/>
            <w:gridSpan w:val="8"/>
          </w:tcPr>
          <w:p w14:paraId="15DFD300" w14:textId="2386A461" w:rsidR="00176158" w:rsidRPr="006B7A8F" w:rsidRDefault="00176158" w:rsidP="00B42A32">
            <w:pPr>
              <w:spacing w:line="276" w:lineRule="auto"/>
              <w:jc w:val="both"/>
              <w:rPr>
                <w:rFonts w:ascii="Arial MT" w:eastAsia="Times New Roman" w:hAnsi="Arial MT" w:cs="Arial"/>
                <w:sz w:val="16"/>
                <w:szCs w:val="16"/>
              </w:rPr>
            </w:pPr>
            <w:r w:rsidRPr="006B7A8F">
              <w:rPr>
                <w:rFonts w:ascii="Arial MT" w:eastAsia="Times New Roman" w:hAnsi="Arial MT" w:cs="Arial"/>
                <w:sz w:val="16"/>
                <w:szCs w:val="16"/>
              </w:rPr>
              <w:t>Percent concordant = 78.7, -2 Log likelihood = 67.489, Cox &amp; Snell R</w:t>
            </w:r>
            <w:r w:rsidRPr="006B7A8F">
              <w:rPr>
                <w:rFonts w:ascii="Arial MT" w:eastAsia="Times New Roman" w:hAnsi="Arial MT" w:cs="Arial"/>
                <w:sz w:val="16"/>
                <w:szCs w:val="16"/>
                <w:vertAlign w:val="superscript"/>
              </w:rPr>
              <w:t>2</w:t>
            </w:r>
            <w:r w:rsidRPr="006B7A8F">
              <w:rPr>
                <w:rFonts w:ascii="Arial MT" w:eastAsia="Times New Roman" w:hAnsi="Arial MT" w:cs="Arial"/>
                <w:sz w:val="16"/>
                <w:szCs w:val="16"/>
              </w:rPr>
              <w:t xml:space="preserve"> = .383, Hosmer and </w:t>
            </w:r>
            <w:proofErr w:type="spellStart"/>
            <w:r w:rsidRPr="006B7A8F">
              <w:rPr>
                <w:rFonts w:ascii="Arial MT" w:eastAsia="Times New Roman" w:hAnsi="Arial MT" w:cs="Arial"/>
                <w:sz w:val="16"/>
                <w:szCs w:val="16"/>
              </w:rPr>
              <w:t>Lemeshow</w:t>
            </w:r>
            <w:proofErr w:type="spellEnd"/>
            <w:r w:rsidRPr="006B7A8F">
              <w:rPr>
                <w:rFonts w:ascii="Arial MT" w:eastAsia="Times New Roman" w:hAnsi="Arial MT" w:cs="Arial"/>
                <w:sz w:val="16"/>
                <w:szCs w:val="16"/>
              </w:rPr>
              <w:t xml:space="preserve"> Goodness-of-Fit Test = 0.55 (.79), Nagelkerke R</w:t>
            </w:r>
            <w:r w:rsidRPr="006B7A8F">
              <w:rPr>
                <w:rFonts w:ascii="Arial MT" w:eastAsia="Times New Roman" w:hAnsi="Arial MT" w:cs="Arial"/>
                <w:sz w:val="16"/>
                <w:szCs w:val="16"/>
                <w:vertAlign w:val="superscript"/>
              </w:rPr>
              <w:t>2</w:t>
            </w:r>
            <w:r w:rsidRPr="006B7A8F">
              <w:rPr>
                <w:rFonts w:ascii="Arial MT" w:eastAsia="Times New Roman" w:hAnsi="Arial MT" w:cs="Arial"/>
                <w:sz w:val="16"/>
                <w:szCs w:val="16"/>
              </w:rPr>
              <w:t xml:space="preserve"> = 0.59</w:t>
            </w:r>
          </w:p>
          <w:p w14:paraId="46AE651E" w14:textId="77777777" w:rsidR="00176158" w:rsidRPr="006B7A8F" w:rsidRDefault="00176158" w:rsidP="00B42A32">
            <w:pPr>
              <w:autoSpaceDE w:val="0"/>
              <w:autoSpaceDN w:val="0"/>
              <w:adjustRightInd w:val="0"/>
              <w:spacing w:line="276" w:lineRule="auto"/>
              <w:jc w:val="both"/>
              <w:rPr>
                <w:rFonts w:ascii="Arial MT" w:hAnsi="Arial MT" w:cs="Arial"/>
                <w:color w:val="000000"/>
                <w:sz w:val="16"/>
                <w:szCs w:val="16"/>
              </w:rPr>
            </w:pPr>
          </w:p>
        </w:tc>
      </w:tr>
    </w:tbl>
    <w:p w14:paraId="01B73CB3" w14:textId="77777777" w:rsidR="00733E9B" w:rsidRDefault="00733E9B" w:rsidP="00B42A32">
      <w:pPr>
        <w:spacing w:before="240" w:after="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5FE62553" w14:textId="090B17A4" w:rsidR="00572179" w:rsidRDefault="00302E71" w:rsidP="00B42A32">
      <w:pPr>
        <w:spacing w:before="240" w:after="0"/>
        <w:jc w:val="both"/>
        <w:rPr>
          <w:rFonts w:ascii="Arial MT" w:hAnsi="Arial MT" w:cs="Arial"/>
          <w:sz w:val="20"/>
          <w:szCs w:val="20"/>
        </w:rPr>
      </w:pPr>
      <w:r w:rsidRPr="003F1806">
        <w:rPr>
          <w:rFonts w:ascii="Arial MT" w:hAnsi="Arial MT" w:cs="Arial"/>
          <w:sz w:val="20"/>
          <w:szCs w:val="20"/>
        </w:rPr>
        <w:lastRenderedPageBreak/>
        <w:t xml:space="preserve">As shown in table </w:t>
      </w:r>
      <w:r w:rsidR="008A0534">
        <w:rPr>
          <w:rFonts w:ascii="Arial MT" w:hAnsi="Arial MT" w:cs="Arial"/>
          <w:sz w:val="20"/>
          <w:szCs w:val="20"/>
        </w:rPr>
        <w:t>3</w:t>
      </w:r>
      <w:r w:rsidRPr="003F1806">
        <w:rPr>
          <w:rFonts w:ascii="Arial MT" w:hAnsi="Arial MT" w:cs="Arial"/>
          <w:sz w:val="20"/>
          <w:szCs w:val="20"/>
        </w:rPr>
        <w:t xml:space="preserve">, a particularly close relationship exists between livelihood strategies and livelihood assets. The results demonstrate that the association between natural asset and farm strategy is generally positive. Household with higher </w:t>
      </w:r>
    </w:p>
    <w:p w14:paraId="1B9A6524" w14:textId="1B32CDE0" w:rsidR="00302E71" w:rsidRPr="003F1806" w:rsidRDefault="00302E71" w:rsidP="00B42A32">
      <w:pPr>
        <w:spacing w:before="240" w:after="0"/>
        <w:jc w:val="both"/>
        <w:rPr>
          <w:rFonts w:ascii="Arial MT" w:hAnsi="Arial MT" w:cs="Arial"/>
          <w:sz w:val="20"/>
          <w:szCs w:val="20"/>
        </w:rPr>
      </w:pPr>
      <w:r w:rsidRPr="003F1806">
        <w:rPr>
          <w:rFonts w:ascii="Arial MT" w:hAnsi="Arial MT" w:cs="Arial"/>
          <w:sz w:val="20"/>
          <w:szCs w:val="20"/>
        </w:rPr>
        <w:t xml:space="preserve">level of proximate natural asset </w:t>
      </w:r>
      <w:proofErr w:type="gramStart"/>
      <w:r w:rsidRPr="003F1806">
        <w:rPr>
          <w:rFonts w:ascii="Arial MT" w:hAnsi="Arial MT" w:cs="Arial"/>
          <w:sz w:val="20"/>
          <w:szCs w:val="20"/>
        </w:rPr>
        <w:t>are</w:t>
      </w:r>
      <w:proofErr w:type="gramEnd"/>
      <w:r w:rsidRPr="003F1806">
        <w:rPr>
          <w:rFonts w:ascii="Arial MT" w:hAnsi="Arial MT" w:cs="Arial"/>
          <w:sz w:val="20"/>
          <w:szCs w:val="20"/>
        </w:rPr>
        <w:t xml:space="preserve"> more likely to engage in farm activities. In contrast to natural asset, household which have better access to financial asset improves their access to better non-farm opportunities. This implies that financial asset is an important driving force for rural households to choose non-farm livelihood strategies. From the analysis perspective, an increment of one unit of natural asset should reduce the occurrence of choosing non-agricultural activities by 0.855 times. While an increment of one unit in financial asset should decreases the occurrence of choosing agricultural activities by 6.239 times. An increment of one unit in physical asset should </w:t>
      </w:r>
      <w:r w:rsidR="00215419" w:rsidRPr="003F1806">
        <w:rPr>
          <w:rFonts w:ascii="Arial MT" w:hAnsi="Arial MT" w:cs="Arial"/>
          <w:sz w:val="20"/>
          <w:szCs w:val="20"/>
        </w:rPr>
        <w:t>reduce</w:t>
      </w:r>
      <w:r w:rsidRPr="003F1806">
        <w:rPr>
          <w:rFonts w:ascii="Arial MT" w:hAnsi="Arial MT" w:cs="Arial"/>
          <w:sz w:val="20"/>
          <w:szCs w:val="20"/>
        </w:rPr>
        <w:t xml:space="preserve"> the occurrence of choosing agricultural activities by 2.431 times. With an increase in natural asset, farmers tend to engage in agricultural production and make farming or animal husbandry to be the primary source of household livelihood. The abundance of natural asset tends to make farming a more profitable enterprise overall. However, with an increase in financial asset, farmers tend to engage in non-agricultural production and rely on outside enterprises or engage in household sideline production as a way to supplement income and to achieve livelihood diversification. Farmers with access to more financial asset </w:t>
      </w:r>
      <w:r w:rsidR="00443B45" w:rsidRPr="003F1806">
        <w:rPr>
          <w:rFonts w:ascii="Arial MT" w:hAnsi="Arial MT" w:cs="Arial"/>
          <w:sz w:val="20"/>
          <w:szCs w:val="20"/>
        </w:rPr>
        <w:t>tends</w:t>
      </w:r>
      <w:r w:rsidRPr="003F1806">
        <w:rPr>
          <w:rFonts w:ascii="Arial MT" w:hAnsi="Arial MT" w:cs="Arial"/>
          <w:sz w:val="20"/>
          <w:szCs w:val="20"/>
        </w:rPr>
        <w:t xml:space="preserve"> to engage in secondary and tertiary sources to gain more revenue that is redirected into technology, equipment, or infrastructure to be cycled back into production. </w:t>
      </w:r>
    </w:p>
    <w:p w14:paraId="0D26CCC7" w14:textId="0AD5C5F0"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3.5. </w:t>
      </w:r>
      <w:r w:rsidR="00302E71" w:rsidRPr="003F1806">
        <w:rPr>
          <w:rFonts w:ascii="Arial MT" w:hAnsi="Arial MT" w:cs="Arial"/>
          <w:b/>
          <w:bCs/>
          <w:sz w:val="20"/>
          <w:szCs w:val="20"/>
        </w:rPr>
        <w:t xml:space="preserve">Variation in Livelihood Strategies within </w:t>
      </w:r>
      <w:r w:rsidR="00A47FF7" w:rsidRPr="003F1806">
        <w:rPr>
          <w:rFonts w:ascii="Arial MT" w:hAnsi="Arial MT" w:cs="Arial"/>
          <w:b/>
          <w:bCs/>
          <w:sz w:val="20"/>
          <w:szCs w:val="20"/>
        </w:rPr>
        <w:t>District</w:t>
      </w:r>
    </w:p>
    <w:p w14:paraId="248AB8B3" w14:textId="25189DFD" w:rsidR="00302E71" w:rsidRPr="003F1806" w:rsidRDefault="00A47FF7" w:rsidP="00B42A32">
      <w:pPr>
        <w:spacing w:after="0"/>
        <w:jc w:val="both"/>
        <w:rPr>
          <w:rFonts w:ascii="Arial MT" w:hAnsi="Arial MT" w:cs="Arial"/>
          <w:bCs/>
          <w:sz w:val="20"/>
          <w:szCs w:val="20"/>
          <w:lang w:val="en-GB"/>
        </w:rPr>
      </w:pPr>
      <w:r w:rsidRPr="003F1806">
        <w:rPr>
          <w:rFonts w:ascii="Arial MT" w:hAnsi="Arial MT" w:cs="Arial"/>
          <w:sz w:val="20"/>
          <w:szCs w:val="20"/>
        </w:rPr>
        <w:t xml:space="preserve">The </w:t>
      </w:r>
      <w:r w:rsidR="00302E71" w:rsidRPr="003F1806">
        <w:rPr>
          <w:rFonts w:ascii="Arial MT" w:hAnsi="Arial MT" w:cs="Arial"/>
          <w:sz w:val="20"/>
          <w:szCs w:val="20"/>
        </w:rPr>
        <w:t>limited accessibility to assets is identified as a universal challenge faced by rural household in mountain areas. However, livelihood assets are likely to have a significant effect on the livelihood options although the effect on different type of communities/settlements varies. The probability of agricultural livelihood strategies reduced by 6.239 times as the financial asset increases by one unit. Results show that the households of higher altitudes depend on agriculture and allied activities (0.50 and 0.58) for livelihood.</w:t>
      </w:r>
      <w:r w:rsidR="00302E71" w:rsidRPr="003F1806">
        <w:rPr>
          <w:rFonts w:ascii="Arial MT" w:hAnsi="Arial MT" w:cs="Arial"/>
          <w:sz w:val="20"/>
          <w:szCs w:val="20"/>
          <w:lang w:val="en-GB"/>
        </w:rPr>
        <w:t xml:space="preserve"> </w:t>
      </w:r>
      <w:r w:rsidR="00302E71" w:rsidRPr="003F1806">
        <w:rPr>
          <w:rFonts w:ascii="Arial MT" w:eastAsia="Calibri" w:hAnsi="Arial MT" w:cs="Arial"/>
          <w:sz w:val="20"/>
          <w:szCs w:val="20"/>
          <w:lang w:val="en-GB"/>
        </w:rPr>
        <w:t xml:space="preserve">Closely and symbiotically interlinked, both of them are deeply dependent on the neighbouring </w:t>
      </w:r>
      <w:r w:rsidR="00302E71" w:rsidRPr="003F1806">
        <w:rPr>
          <w:rFonts w:ascii="Arial MT" w:eastAsia="Calibri" w:hAnsi="Arial MT" w:cs="Arial"/>
          <w:bCs/>
          <w:sz w:val="20"/>
          <w:szCs w:val="20"/>
          <w:lang w:val="en-GB"/>
        </w:rPr>
        <w:t>forests</w:t>
      </w:r>
      <w:r w:rsidR="00302E71" w:rsidRPr="003F1806">
        <w:rPr>
          <w:rFonts w:ascii="Arial MT" w:eastAsia="Calibri" w:hAnsi="Arial MT" w:cs="Arial"/>
          <w:sz w:val="20"/>
          <w:szCs w:val="20"/>
          <w:lang w:val="en-GB"/>
        </w:rPr>
        <w:t xml:space="preserve"> and ecosystem for sustenance and viability</w:t>
      </w:r>
      <w:r w:rsidR="00302E71" w:rsidRPr="003F1806">
        <w:rPr>
          <w:rFonts w:ascii="Arial MT" w:hAnsi="Arial MT" w:cs="Arial"/>
          <w:sz w:val="20"/>
          <w:szCs w:val="20"/>
          <w:lang w:val="en-GB"/>
        </w:rPr>
        <w:t xml:space="preserve">. Land resources were high (0.33) in the region but lower than middle altitude due to its rich </w:t>
      </w:r>
      <w:r w:rsidR="00215419" w:rsidRPr="003F1806">
        <w:rPr>
          <w:rFonts w:ascii="Arial MT" w:hAnsi="Arial MT" w:cs="Arial"/>
          <w:sz w:val="20"/>
          <w:szCs w:val="20"/>
          <w:lang w:val="en-GB"/>
        </w:rPr>
        <w:t>vegetational (</w:t>
      </w:r>
      <w:r w:rsidR="00302E71" w:rsidRPr="003F1806">
        <w:rPr>
          <w:rFonts w:ascii="Arial MT" w:hAnsi="Arial MT" w:cs="Arial"/>
          <w:sz w:val="20"/>
          <w:szCs w:val="20"/>
          <w:lang w:val="en-GB"/>
        </w:rPr>
        <w:t xml:space="preserve">mainly oak forest) </w:t>
      </w:r>
      <w:r w:rsidR="00215419" w:rsidRPr="003F1806">
        <w:rPr>
          <w:rFonts w:ascii="Arial MT" w:hAnsi="Arial MT" w:cs="Arial"/>
          <w:sz w:val="20"/>
          <w:szCs w:val="20"/>
          <w:lang w:val="en-GB"/>
        </w:rPr>
        <w:t>surroundings which</w:t>
      </w:r>
      <w:r w:rsidR="00302E71" w:rsidRPr="003F1806">
        <w:rPr>
          <w:rFonts w:ascii="Arial MT" w:hAnsi="Arial MT" w:cs="Arial"/>
          <w:sz w:val="20"/>
          <w:szCs w:val="20"/>
          <w:lang w:val="en-GB"/>
        </w:rPr>
        <w:t xml:space="preserve"> </w:t>
      </w:r>
      <w:r w:rsidR="00302E71" w:rsidRPr="003F1806">
        <w:rPr>
          <w:rFonts w:ascii="Arial MT" w:eastAsia="Calibri" w:hAnsi="Arial MT" w:cs="Arial"/>
          <w:bCs/>
          <w:sz w:val="20"/>
          <w:szCs w:val="20"/>
          <w:lang w:val="en-GB"/>
        </w:rPr>
        <w:t>create</w:t>
      </w:r>
      <w:r w:rsidR="00302E71" w:rsidRPr="003F1806">
        <w:rPr>
          <w:rFonts w:ascii="Arial MT" w:hAnsi="Arial MT" w:cs="Arial"/>
          <w:bCs/>
          <w:sz w:val="20"/>
          <w:szCs w:val="20"/>
          <w:lang w:val="en-GB"/>
        </w:rPr>
        <w:t>s</w:t>
      </w:r>
      <w:r w:rsidR="00302E71" w:rsidRPr="003F1806">
        <w:rPr>
          <w:rFonts w:ascii="Arial MT" w:eastAsia="Calibri" w:hAnsi="Arial MT" w:cs="Arial"/>
          <w:bCs/>
          <w:sz w:val="20"/>
          <w:szCs w:val="20"/>
          <w:lang w:val="en-GB"/>
        </w:rPr>
        <w:t xml:space="preserve"> wonderful nutrient cycles and micro-climate for crops and enhance livelihood security and accessibility.</w:t>
      </w:r>
      <w:r w:rsidR="00302E71" w:rsidRPr="003F1806">
        <w:rPr>
          <w:rFonts w:ascii="Arial MT" w:hAnsi="Arial MT" w:cs="Arial"/>
          <w:bCs/>
          <w:sz w:val="20"/>
          <w:szCs w:val="20"/>
          <w:lang w:val="en-GB"/>
        </w:rPr>
        <w:t xml:space="preserve"> As the forest resources are low (0.10), people willing to rear one or more cattle and buffaloes due to its social acceptance and feeding them by waste land grasses, village forest, agroforestry system with forest resource. </w:t>
      </w:r>
      <w:r w:rsidR="00302E71" w:rsidRPr="003F1806">
        <w:rPr>
          <w:rFonts w:ascii="Arial MT" w:hAnsi="Arial MT" w:cs="Arial"/>
          <w:bCs/>
          <w:sz w:val="20"/>
          <w:szCs w:val="20"/>
          <w:lang w:val="en-GB"/>
        </w:rPr>
        <w:t>The dependency on agriculture and allied activities is also due to lack of non-agriculture income sources and low physical assets and higher human asset (</w:t>
      </w:r>
      <w:r w:rsidR="00302E71" w:rsidRPr="003F1806">
        <w:rPr>
          <w:rFonts w:ascii="Arial MT" w:hAnsi="Arial MT" w:cs="Arial"/>
          <w:sz w:val="20"/>
          <w:szCs w:val="20"/>
        </w:rPr>
        <w:t>family labour ability 0.51)</w:t>
      </w:r>
      <w:r w:rsidR="00302E71" w:rsidRPr="003F1806">
        <w:rPr>
          <w:rFonts w:ascii="Arial MT" w:hAnsi="Arial MT" w:cs="Arial"/>
          <w:bCs/>
          <w:sz w:val="20"/>
          <w:szCs w:val="20"/>
          <w:lang w:val="en-GB"/>
        </w:rPr>
        <w:t>. Amaranths, potato, pulses (kidney</w:t>
      </w:r>
      <w:r w:rsidR="00176158" w:rsidRPr="003F1806">
        <w:rPr>
          <w:rFonts w:ascii="Arial MT" w:hAnsi="Arial MT" w:cs="Arial"/>
          <w:bCs/>
          <w:sz w:val="20"/>
          <w:szCs w:val="20"/>
          <w:lang w:val="en-GB"/>
        </w:rPr>
        <w:t xml:space="preserve"> </w:t>
      </w:r>
      <w:r w:rsidR="00302E71" w:rsidRPr="003F1806">
        <w:rPr>
          <w:rFonts w:ascii="Arial MT" w:hAnsi="Arial MT" w:cs="Arial"/>
          <w:bCs/>
          <w:sz w:val="20"/>
          <w:szCs w:val="20"/>
          <w:lang w:val="en-GB"/>
        </w:rPr>
        <w:t xml:space="preserve">bean, soyabean etc.), fruits, vegetable, spices and milk and milk produce selling are the main cash generating options of the households. </w:t>
      </w:r>
    </w:p>
    <w:p w14:paraId="78DC6CA9" w14:textId="77777777" w:rsidR="00302E71" w:rsidRPr="003F1806" w:rsidRDefault="00302E71" w:rsidP="00B42A32">
      <w:pPr>
        <w:spacing w:after="0"/>
        <w:jc w:val="both"/>
        <w:rPr>
          <w:rFonts w:ascii="Arial MT" w:eastAsia="Calibri" w:hAnsi="Arial MT" w:cs="Arial"/>
          <w:bCs/>
          <w:sz w:val="20"/>
          <w:szCs w:val="20"/>
          <w:lang w:val="en-GB"/>
        </w:rPr>
      </w:pPr>
      <w:r w:rsidRPr="003F1806">
        <w:rPr>
          <w:rFonts w:ascii="Arial MT" w:hAnsi="Arial MT" w:cs="Arial"/>
          <w:bCs/>
          <w:sz w:val="20"/>
          <w:szCs w:val="20"/>
          <w:lang w:val="en-GB"/>
        </w:rPr>
        <w:t>In the middle altitude, peoples depend on non-agricultural activities e.g. salaried job and pensions, obtained same value (0.49). As the higher value of natural assets (0.36) was recorded for middle altitudes peoples depend on non-agricultural livelihoods due to high accessibility of physical and human asset (high family education level 0.48) and rainfed agriculture, uncertain environmental condition caused insecurity in production. The irrigated land was higher (0.18) compared to other two altitudes but owned by only few villages.</w:t>
      </w:r>
      <w:r w:rsidRPr="003F1806">
        <w:rPr>
          <w:rFonts w:ascii="Arial MT" w:hAnsi="Arial MT" w:cs="Arial"/>
          <w:sz w:val="20"/>
          <w:szCs w:val="20"/>
        </w:rPr>
        <w:t xml:space="preserve"> Due to the poor access to government services (0.20) for agriculture promotion, lack of improved tools, timely delivery of improved agriculture input, poor environmental condition reduces the scope of agriculture expansion in the region.</w:t>
      </w:r>
      <w:r w:rsidRPr="003F1806">
        <w:rPr>
          <w:rFonts w:ascii="Arial MT" w:hAnsi="Arial MT" w:cs="Arial"/>
          <w:bCs/>
          <w:sz w:val="20"/>
          <w:szCs w:val="20"/>
          <w:lang w:val="en-GB"/>
        </w:rPr>
        <w:t xml:space="preserve"> Accessibility of forest resources were also higher (0.38) in the region which makes the livestock rearing second most important livelihood strategy in the region.</w:t>
      </w:r>
    </w:p>
    <w:p w14:paraId="3B419418" w14:textId="77777777" w:rsidR="00302E71" w:rsidRPr="003F1806" w:rsidRDefault="00302E71" w:rsidP="00B42A32">
      <w:pPr>
        <w:spacing w:after="0"/>
        <w:jc w:val="both"/>
        <w:rPr>
          <w:rFonts w:ascii="Arial MT" w:hAnsi="Arial MT" w:cs="Arial"/>
          <w:b/>
          <w:bCs/>
          <w:sz w:val="20"/>
          <w:szCs w:val="20"/>
        </w:rPr>
      </w:pPr>
      <w:r w:rsidRPr="003F1806">
        <w:rPr>
          <w:rFonts w:ascii="Arial MT" w:hAnsi="Arial MT" w:cs="Arial"/>
          <w:sz w:val="20"/>
          <w:szCs w:val="20"/>
        </w:rPr>
        <w:t>In the lower altitude salaried job was also the main occupation; this may be due to the high physical asset (0.52), higher education level of household head and lack of agriculture expansion facilities. As the irrigated land was higher 0.12 than high altitude but due to erratic rainfall mostly land converted into rainfed year by year and interns unable to provide sufficient food for household consumption. This situation compels the people to search secure income sources in urban and semi-urban areas.</w:t>
      </w:r>
      <w:r w:rsidRPr="003F1806">
        <w:rPr>
          <w:rFonts w:ascii="Arial MT" w:hAnsi="Arial MT" w:cs="Arial"/>
          <w:b/>
          <w:bCs/>
          <w:sz w:val="20"/>
          <w:szCs w:val="20"/>
        </w:rPr>
        <w:t xml:space="preserve"> </w:t>
      </w:r>
    </w:p>
    <w:p w14:paraId="5DDB2A91" w14:textId="77F8B8BC" w:rsidR="00A47FF7"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4. </w:t>
      </w:r>
      <w:r w:rsidR="00A47FF7" w:rsidRPr="003F1806">
        <w:rPr>
          <w:rFonts w:ascii="Arial MT" w:hAnsi="Arial MT" w:cs="Arial"/>
          <w:b/>
          <w:bCs/>
          <w:sz w:val="20"/>
          <w:szCs w:val="20"/>
        </w:rPr>
        <w:t>Conclusion</w:t>
      </w:r>
    </w:p>
    <w:p w14:paraId="3BFCF250" w14:textId="77777777" w:rsidR="00A47FF7" w:rsidRPr="003F1806" w:rsidRDefault="00A47FF7" w:rsidP="00E738F2">
      <w:pPr>
        <w:spacing w:after="0"/>
        <w:jc w:val="both"/>
        <w:rPr>
          <w:rFonts w:ascii="Arial MT" w:hAnsi="Arial MT" w:cs="Arial"/>
          <w:sz w:val="20"/>
          <w:szCs w:val="20"/>
        </w:rPr>
      </w:pPr>
      <w:r w:rsidRPr="003F1806">
        <w:rPr>
          <w:rFonts w:ascii="Arial MT" w:hAnsi="Arial MT" w:cs="Arial"/>
          <w:sz w:val="20"/>
          <w:szCs w:val="20"/>
        </w:rPr>
        <w:t>The amount of natural asset and financial asset endowed by farmers affected the choice of livelihood strategies to a certain extent. It can be concluded from the correlation coefficient values, that influence of financial and physical assets on the choice of livelihood asset were significant. The target of this investigation was to reveal the differences of livelihood strategies within and between the blocks and it was found in all the three blocks that those households were more affluent that have expanded into other non-farm employments and do not solely rely on the land as their primary means of livelihood. Therefore, the influences of human asset, natural asset, and social asset on livelihood strategy options are insignificant. As the different livelihood activities have different requirements, but a general principle is those farmers who are amply endowed with assets are more likely to make positive livelihood choices.</w:t>
      </w:r>
    </w:p>
    <w:p w14:paraId="71E8C7A4" w14:textId="021025C4" w:rsidR="00A47FF7" w:rsidRPr="003F1806" w:rsidRDefault="00A47FF7" w:rsidP="00B42A32">
      <w:pPr>
        <w:spacing w:after="0"/>
        <w:jc w:val="both"/>
        <w:rPr>
          <w:rFonts w:ascii="Arial MT" w:hAnsi="Arial MT" w:cs="Arial"/>
          <w:sz w:val="20"/>
          <w:szCs w:val="20"/>
        </w:rPr>
      </w:pPr>
      <w:r w:rsidRPr="003F1806">
        <w:rPr>
          <w:rFonts w:ascii="Arial MT" w:hAnsi="Arial MT" w:cs="Arial"/>
          <w:sz w:val="20"/>
          <w:szCs w:val="20"/>
        </w:rPr>
        <w:t xml:space="preserve">This study shows how the residents of district </w:t>
      </w:r>
      <w:r w:rsidR="00215419" w:rsidRPr="003F1806">
        <w:rPr>
          <w:rFonts w:ascii="Arial MT" w:hAnsi="Arial MT" w:cs="Arial"/>
          <w:sz w:val="20"/>
          <w:szCs w:val="20"/>
        </w:rPr>
        <w:t>Rudra Prayag</w:t>
      </w:r>
      <w:r w:rsidRPr="003F1806">
        <w:rPr>
          <w:rFonts w:ascii="Arial MT" w:hAnsi="Arial MT" w:cs="Arial"/>
          <w:sz w:val="20"/>
          <w:szCs w:val="20"/>
        </w:rPr>
        <w:t xml:space="preserve"> obtain their livelihood from various livelihood activities; an increasing livelihood diversification among the residents was </w:t>
      </w:r>
      <w:r w:rsidRPr="003F1806">
        <w:rPr>
          <w:rFonts w:ascii="Arial MT" w:hAnsi="Arial MT" w:cs="Arial"/>
          <w:sz w:val="20"/>
          <w:szCs w:val="20"/>
        </w:rPr>
        <w:lastRenderedPageBreak/>
        <w:t xml:space="preserve">observed in this study area and how these relate to assets, and access within the livelihood framework. The implications for policy reform are numerous and need attention from both state and national institutions. Among the respondents, activities being </w:t>
      </w:r>
      <w:r w:rsidR="00176158" w:rsidRPr="003F1806">
        <w:rPr>
          <w:rFonts w:ascii="Arial MT" w:hAnsi="Arial MT" w:cs="Arial"/>
          <w:sz w:val="20"/>
          <w:szCs w:val="20"/>
        </w:rPr>
        <w:t>engaged are</w:t>
      </w:r>
      <w:r w:rsidRPr="003F1806">
        <w:rPr>
          <w:rFonts w:ascii="Arial MT" w:hAnsi="Arial MT" w:cs="Arial"/>
          <w:sz w:val="20"/>
          <w:szCs w:val="20"/>
        </w:rPr>
        <w:t xml:space="preserve"> categorized into agricultural and non-agricultural. Agricultural activities are basically agriculture and allied activities while non-agricultural activities are salaried jobs, trading, tourism, local small entrepreneur etc. that generate income or support for households. Internal household dynamics based on age and household education is shown to affect positively the livelihood outcomes (income and well-being). Then, the study indicates that the role of assets such as social capital, land, property, savings and labour is central in determining the outcomes of livelihood activities as measured by income and well-being. The findings of this study are the following recommendations: </w:t>
      </w:r>
    </w:p>
    <w:p w14:paraId="0A3FE3F4" w14:textId="77777777" w:rsidR="00A47FF7" w:rsidRPr="003F1806" w:rsidRDefault="00A47FF7" w:rsidP="00B42A32">
      <w:pPr>
        <w:pStyle w:val="ListParagraph"/>
        <w:numPr>
          <w:ilvl w:val="0"/>
          <w:numId w:val="26"/>
        </w:numPr>
        <w:spacing w:after="0"/>
        <w:jc w:val="both"/>
        <w:rPr>
          <w:rFonts w:ascii="Arial MT" w:hAnsi="Arial MT" w:cs="Arial"/>
          <w:sz w:val="20"/>
          <w:szCs w:val="20"/>
        </w:rPr>
      </w:pPr>
      <w:r w:rsidRPr="003F1806">
        <w:rPr>
          <w:rFonts w:ascii="Arial MT" w:hAnsi="Arial MT" w:cs="Arial"/>
          <w:sz w:val="20"/>
          <w:szCs w:val="20"/>
        </w:rPr>
        <w:t xml:space="preserve">Government needs to encourage efficient and sustainable use of the existing cultivable land, by further investing in agricultural research, extension and development, with a view to increase the agricultural output as well as the corresponding income for households that take to farming as a major or alternative means of obtaining livelihood. </w:t>
      </w:r>
    </w:p>
    <w:p w14:paraId="5018C767" w14:textId="77777777" w:rsidR="00A47FF7" w:rsidRPr="003F1806" w:rsidRDefault="00A47FF7" w:rsidP="00B42A32">
      <w:pPr>
        <w:pStyle w:val="ListParagraph"/>
        <w:numPr>
          <w:ilvl w:val="0"/>
          <w:numId w:val="26"/>
        </w:numPr>
        <w:spacing w:after="0"/>
        <w:jc w:val="both"/>
        <w:rPr>
          <w:rFonts w:ascii="Arial MT" w:hAnsi="Arial MT" w:cs="Arial"/>
          <w:sz w:val="20"/>
          <w:szCs w:val="20"/>
        </w:rPr>
      </w:pPr>
      <w:r w:rsidRPr="003F1806">
        <w:rPr>
          <w:rFonts w:ascii="Arial MT" w:hAnsi="Arial MT" w:cs="Arial"/>
          <w:sz w:val="20"/>
          <w:szCs w:val="20"/>
        </w:rPr>
        <w:t xml:space="preserve">In addition, government should encourage the existing social organizations (thrift and credit societies) in the communities, to be formally integrated into legal and functional rural banking activities. </w:t>
      </w:r>
    </w:p>
    <w:p w14:paraId="61A6AA5C" w14:textId="77777777" w:rsidR="00A47FF7" w:rsidRPr="005C4432" w:rsidRDefault="00A47FF7" w:rsidP="00B42A32">
      <w:pPr>
        <w:pStyle w:val="ListParagraph"/>
        <w:numPr>
          <w:ilvl w:val="0"/>
          <w:numId w:val="26"/>
        </w:numPr>
        <w:spacing w:after="0"/>
        <w:jc w:val="both"/>
        <w:rPr>
          <w:rFonts w:ascii="Arial MT" w:hAnsi="Arial MT" w:cs="Arial"/>
          <w:color w:val="000000" w:themeColor="text1"/>
          <w:sz w:val="20"/>
          <w:szCs w:val="20"/>
        </w:rPr>
      </w:pPr>
      <w:r w:rsidRPr="003F1806">
        <w:rPr>
          <w:rFonts w:ascii="Arial MT" w:hAnsi="Arial MT" w:cs="Arial"/>
          <w:sz w:val="20"/>
          <w:szCs w:val="20"/>
        </w:rPr>
        <w:t xml:space="preserve">There is also a need for provision of basic infrastructural facilities such as good and accessible roads, potable water, health care </w:t>
      </w:r>
      <w:r w:rsidR="00176158" w:rsidRPr="003F1806">
        <w:rPr>
          <w:rFonts w:ascii="Arial MT" w:hAnsi="Arial MT" w:cs="Arial"/>
          <w:sz w:val="20"/>
          <w:szCs w:val="20"/>
        </w:rPr>
        <w:t>centers</w:t>
      </w:r>
      <w:r w:rsidRPr="003F1806">
        <w:rPr>
          <w:rFonts w:ascii="Arial MT" w:hAnsi="Arial MT" w:cs="Arial"/>
          <w:sz w:val="20"/>
          <w:szCs w:val="20"/>
        </w:rPr>
        <w:t xml:space="preserve">, storage facility, market, and electricity supply among others by the government. This will ensure proper preservation of the perishable agricultural produce as well as unsold stocks, </w:t>
      </w:r>
      <w:r w:rsidR="00176158" w:rsidRPr="003F1806">
        <w:rPr>
          <w:rFonts w:ascii="Arial MT" w:hAnsi="Arial MT" w:cs="Arial"/>
          <w:sz w:val="20"/>
          <w:szCs w:val="20"/>
        </w:rPr>
        <w:t>minimize</w:t>
      </w:r>
      <w:r w:rsidRPr="003F1806">
        <w:rPr>
          <w:rFonts w:ascii="Arial MT" w:hAnsi="Arial MT" w:cs="Arial"/>
          <w:sz w:val="20"/>
          <w:szCs w:val="20"/>
        </w:rPr>
        <w:t xml:space="preserve"> costs of transportation to the market which is very far from the communities, ensure good health status of the community members, then make access to the communities easy by the prospective customers and in the long run, guarantee optimal livelihood outcomes (income generated and well-being among others).</w:t>
      </w:r>
    </w:p>
    <w:p w14:paraId="59E3CFA4" w14:textId="11D24D16" w:rsidR="007E7303" w:rsidRPr="005C4432" w:rsidRDefault="007E7303" w:rsidP="00B42A32">
      <w:pPr>
        <w:pStyle w:val="NoSpacing"/>
        <w:numPr>
          <w:ilvl w:val="0"/>
          <w:numId w:val="30"/>
        </w:numPr>
        <w:spacing w:line="276" w:lineRule="auto"/>
        <w:rPr>
          <w:rFonts w:ascii="Times New Roman" w:hAnsi="Times New Roman" w:cs="Times New Roman"/>
          <w:b/>
          <w:color w:val="000000" w:themeColor="text1"/>
          <w:sz w:val="20"/>
          <w:szCs w:val="20"/>
        </w:rPr>
      </w:pPr>
      <w:bookmarkStart w:id="0" w:name="_GoBack"/>
      <w:bookmarkEnd w:id="0"/>
      <w:r w:rsidRPr="005C4432">
        <w:rPr>
          <w:rFonts w:ascii="Times New Roman" w:hAnsi="Times New Roman" w:cs="Times New Roman"/>
          <w:b/>
          <w:color w:val="000000" w:themeColor="text1"/>
          <w:sz w:val="20"/>
          <w:szCs w:val="20"/>
        </w:rPr>
        <w:t>Availability of data and material</w:t>
      </w:r>
    </w:p>
    <w:p w14:paraId="13A1B1A7" w14:textId="77777777" w:rsidR="007E7303" w:rsidRPr="005C4432" w:rsidRDefault="007E7303" w:rsidP="00B42A32">
      <w:pPr>
        <w:pStyle w:val="NoSpacing"/>
        <w:spacing w:line="276" w:lineRule="auto"/>
        <w:rPr>
          <w:rFonts w:ascii="Times New Roman" w:eastAsia="CIDFont+F3" w:hAnsi="Times New Roman" w:cs="Times New Roman"/>
          <w:color w:val="000000" w:themeColor="text1"/>
          <w:sz w:val="20"/>
          <w:szCs w:val="20"/>
        </w:rPr>
      </w:pPr>
      <w:r w:rsidRPr="005C4432">
        <w:rPr>
          <w:rFonts w:ascii="Times New Roman" w:eastAsia="CIDFont+F3" w:hAnsi="Times New Roman" w:cs="Times New Roman"/>
          <w:color w:val="000000" w:themeColor="text1"/>
          <w:sz w:val="20"/>
          <w:szCs w:val="20"/>
        </w:rPr>
        <w:t>All relevant data and material are presented in the Research Review Paper.</w:t>
      </w:r>
    </w:p>
    <w:p w14:paraId="306A0454" w14:textId="4B119B6F" w:rsidR="007E7303" w:rsidRPr="005C4432" w:rsidRDefault="007E7303"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Times New Roman" w:hAnsi="Times New Roman" w:cs="Times New Roman"/>
          <w:b/>
          <w:color w:val="000000" w:themeColor="text1"/>
          <w:sz w:val="20"/>
          <w:szCs w:val="20"/>
        </w:rPr>
        <w:t>Consent for publication</w:t>
      </w:r>
    </w:p>
    <w:p w14:paraId="6E34D212" w14:textId="77777777" w:rsidR="007E7303" w:rsidRPr="005C4432" w:rsidRDefault="007E7303" w:rsidP="00B42A32">
      <w:pPr>
        <w:pStyle w:val="NoSpacing"/>
        <w:spacing w:line="276" w:lineRule="auto"/>
        <w:rPr>
          <w:rFonts w:ascii="Times New Roman" w:eastAsia="CIDFont+F3" w:hAnsi="Times New Roman" w:cs="Times New Roman"/>
          <w:color w:val="000000" w:themeColor="text1"/>
          <w:sz w:val="20"/>
          <w:szCs w:val="20"/>
        </w:rPr>
      </w:pPr>
      <w:r w:rsidRPr="005C4432">
        <w:rPr>
          <w:rFonts w:ascii="Times New Roman" w:eastAsia="CIDFont+F3" w:hAnsi="Times New Roman" w:cs="Times New Roman"/>
          <w:color w:val="000000" w:themeColor="text1"/>
          <w:sz w:val="20"/>
          <w:szCs w:val="20"/>
        </w:rPr>
        <w:t>Not applicable.</w:t>
      </w:r>
    </w:p>
    <w:p w14:paraId="7B6BE848" w14:textId="01F05C17" w:rsidR="007E7303" w:rsidRPr="005C4432" w:rsidRDefault="007E7303"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Times New Roman" w:hAnsi="Times New Roman" w:cs="Times New Roman"/>
          <w:b/>
          <w:color w:val="000000" w:themeColor="text1"/>
          <w:sz w:val="20"/>
          <w:szCs w:val="20"/>
        </w:rPr>
        <w:t>Ethics approval and consent to participate</w:t>
      </w:r>
    </w:p>
    <w:p w14:paraId="43AE3362" w14:textId="7BC074D3" w:rsidR="007E7303" w:rsidRPr="005C4432" w:rsidRDefault="007E7303" w:rsidP="00B42A32">
      <w:pPr>
        <w:pStyle w:val="NoSpacing"/>
        <w:spacing w:line="276" w:lineRule="auto"/>
        <w:rPr>
          <w:rFonts w:ascii="Times New Roman" w:hAnsi="Times New Roman" w:cs="Times New Roman"/>
          <w:color w:val="000000" w:themeColor="text1"/>
          <w:sz w:val="20"/>
          <w:szCs w:val="20"/>
        </w:rPr>
      </w:pPr>
      <w:r w:rsidRPr="005C4432">
        <w:rPr>
          <w:rFonts w:ascii="Times New Roman" w:eastAsia="CIDFont+F3" w:hAnsi="Times New Roman" w:cs="Times New Roman"/>
          <w:color w:val="000000" w:themeColor="text1"/>
          <w:sz w:val="20"/>
          <w:szCs w:val="20"/>
        </w:rPr>
        <w:t>Not applicable</w:t>
      </w:r>
      <w:r w:rsidRPr="005C4432">
        <w:rPr>
          <w:rFonts w:ascii="Times New Roman" w:hAnsi="Times New Roman" w:cs="Times New Roman"/>
          <w:color w:val="000000" w:themeColor="text1"/>
          <w:sz w:val="20"/>
          <w:szCs w:val="20"/>
        </w:rPr>
        <w:t xml:space="preserve"> </w:t>
      </w:r>
    </w:p>
    <w:p w14:paraId="225E7F2F" w14:textId="5A817F52" w:rsidR="007E7303" w:rsidRPr="00B42A32" w:rsidRDefault="00C24BF7"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Arial MT" w:hAnsi="Arial MT" w:cs="Arial"/>
          <w:b/>
          <w:color w:val="000000" w:themeColor="text1"/>
          <w:sz w:val="20"/>
          <w:szCs w:val="20"/>
        </w:rPr>
        <w:t>References</w:t>
      </w:r>
    </w:p>
    <w:p w14:paraId="7775B470" w14:textId="5009071A" w:rsidR="00D90E27" w:rsidRPr="00572179" w:rsidRDefault="00D90E2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Adi, B. (2007). Determinants of agriculture and non-agricultural livelihood strategies in rural communities: Evidence from eastern Nigeria, </w:t>
      </w:r>
      <w:r w:rsidRPr="00572179">
        <w:rPr>
          <w:rFonts w:ascii="Arial MT" w:hAnsi="Arial MT" w:cs="Arial"/>
          <w:i/>
          <w:sz w:val="20"/>
          <w:szCs w:val="20"/>
        </w:rPr>
        <w:t xml:space="preserve">J </w:t>
      </w:r>
      <w:proofErr w:type="spellStart"/>
      <w:r w:rsidRPr="00572179">
        <w:rPr>
          <w:rFonts w:ascii="Arial MT" w:hAnsi="Arial MT" w:cs="Arial"/>
          <w:i/>
          <w:sz w:val="20"/>
          <w:szCs w:val="20"/>
        </w:rPr>
        <w:t>Devp</w:t>
      </w:r>
      <w:proofErr w:type="spellEnd"/>
      <w:r w:rsidRPr="00572179">
        <w:rPr>
          <w:rFonts w:ascii="Arial MT" w:hAnsi="Arial MT" w:cs="Arial"/>
          <w:i/>
          <w:sz w:val="20"/>
          <w:szCs w:val="20"/>
        </w:rPr>
        <w:t>. Areas</w:t>
      </w:r>
      <w:r w:rsidRPr="00572179">
        <w:rPr>
          <w:rFonts w:ascii="Arial MT" w:hAnsi="Arial MT" w:cs="Arial"/>
          <w:sz w:val="20"/>
          <w:szCs w:val="20"/>
        </w:rPr>
        <w:t>, 40(2): 93-109.</w:t>
      </w:r>
    </w:p>
    <w:p w14:paraId="79981CB4" w14:textId="77777777" w:rsidR="00C24BF7" w:rsidRPr="00572179" w:rsidRDefault="00C24BF7"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Agriculture Statistics at a Glance, Uttarakhand, 2007. </w:t>
      </w:r>
    </w:p>
    <w:p w14:paraId="5B921482" w14:textId="0562578D" w:rsidR="00C24BF7" w:rsidRPr="00572179" w:rsidRDefault="00C24BF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Babulo, B., Muys, B., Nega, F., Tollens, E., Nyssen, J., Deckers, J. and Mathijs, E. (2008). Household </w:t>
      </w:r>
      <w:r w:rsidR="005251DB" w:rsidRPr="00572179">
        <w:rPr>
          <w:rFonts w:ascii="Arial MT" w:hAnsi="Arial MT" w:cs="Arial"/>
          <w:sz w:val="20"/>
          <w:szCs w:val="20"/>
        </w:rPr>
        <w:tab/>
      </w:r>
      <w:r w:rsidRPr="00572179">
        <w:rPr>
          <w:rFonts w:ascii="Arial MT" w:hAnsi="Arial MT" w:cs="Arial"/>
          <w:sz w:val="20"/>
          <w:szCs w:val="20"/>
        </w:rPr>
        <w:t xml:space="preserve">livelihood strategies and forest dependence in the highlands of Tigray, Northern Ethiopia, </w:t>
      </w:r>
      <w:proofErr w:type="spellStart"/>
      <w:r w:rsidRPr="00572179">
        <w:rPr>
          <w:rFonts w:ascii="Arial MT" w:hAnsi="Arial MT" w:cs="Arial"/>
          <w:i/>
          <w:sz w:val="20"/>
          <w:szCs w:val="20"/>
        </w:rPr>
        <w:t>Agril</w:t>
      </w:r>
      <w:proofErr w:type="spellEnd"/>
      <w:r w:rsidRPr="00572179">
        <w:rPr>
          <w:rFonts w:ascii="Arial MT" w:hAnsi="Arial MT" w:cs="Arial"/>
          <w:i/>
          <w:sz w:val="20"/>
          <w:szCs w:val="20"/>
        </w:rPr>
        <w:t>. Sys,</w:t>
      </w:r>
      <w:r w:rsidRPr="00572179">
        <w:rPr>
          <w:rFonts w:ascii="Arial MT" w:hAnsi="Arial MT" w:cs="Arial"/>
          <w:sz w:val="20"/>
          <w:szCs w:val="20"/>
        </w:rPr>
        <w:t xml:space="preserve"> 98: 147-155.</w:t>
      </w:r>
    </w:p>
    <w:p w14:paraId="0E29A775" w14:textId="28C56D4D" w:rsidR="00C24BF7" w:rsidRPr="00572179" w:rsidRDefault="00C24BF7" w:rsidP="00B42A32">
      <w:pPr>
        <w:pStyle w:val="NoSpacing"/>
        <w:numPr>
          <w:ilvl w:val="0"/>
          <w:numId w:val="31"/>
        </w:numPr>
        <w:spacing w:line="276" w:lineRule="auto"/>
        <w:jc w:val="both"/>
        <w:rPr>
          <w:rFonts w:ascii="Arial MT" w:hAnsi="Arial MT" w:cs="Arial"/>
          <w:sz w:val="20"/>
          <w:szCs w:val="20"/>
        </w:rPr>
      </w:pPr>
      <w:proofErr w:type="spellStart"/>
      <w:r w:rsidRPr="00572179">
        <w:rPr>
          <w:rFonts w:ascii="Arial MT" w:hAnsi="Arial MT" w:cs="Arial"/>
          <w:sz w:val="20"/>
          <w:szCs w:val="20"/>
        </w:rPr>
        <w:t>Bezemer</w:t>
      </w:r>
      <w:proofErr w:type="spellEnd"/>
      <w:r w:rsidRPr="00572179">
        <w:rPr>
          <w:rFonts w:ascii="Arial MT" w:hAnsi="Arial MT" w:cs="Arial"/>
          <w:sz w:val="20"/>
          <w:szCs w:val="20"/>
        </w:rPr>
        <w:t xml:space="preserve">, D.J. and </w:t>
      </w:r>
      <w:proofErr w:type="spellStart"/>
      <w:r w:rsidRPr="00572179">
        <w:rPr>
          <w:rFonts w:ascii="Arial MT" w:hAnsi="Arial MT" w:cs="Arial"/>
          <w:sz w:val="20"/>
          <w:szCs w:val="20"/>
        </w:rPr>
        <w:t>Lerman</w:t>
      </w:r>
      <w:proofErr w:type="spellEnd"/>
      <w:r w:rsidRPr="00572179">
        <w:rPr>
          <w:rFonts w:ascii="Arial MT" w:hAnsi="Arial MT" w:cs="Arial"/>
          <w:sz w:val="20"/>
          <w:szCs w:val="20"/>
        </w:rPr>
        <w:t xml:space="preserve">, Z. (2003). Rural Livelihoods in Armenia: The Centre for Agricultural Economic Research, the Department of Agricultural Economics and Management Discussion Paper No. 4.03 </w:t>
      </w:r>
    </w:p>
    <w:p w14:paraId="6F09DA04" w14:textId="38FEFBD7" w:rsidR="00C24BF7" w:rsidRPr="00572179" w:rsidRDefault="00C24BF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Brocklesby, M.A. and Fisher, E.E. (2003). Community development in sustainable livelihoods approaches: An introduction. Oxford University Press and Community Development Journal, 38(3): 185-198. </w:t>
      </w:r>
    </w:p>
    <w:p w14:paraId="67FDB33A" w14:textId="29102AEB" w:rsidR="00C24BF7" w:rsidRPr="00572179" w:rsidRDefault="00C24BF7"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Buckingham, K.C. (2009). Editor of Proceedings of the In- </w:t>
      </w:r>
      <w:proofErr w:type="spellStart"/>
      <w:r w:rsidRPr="00572179">
        <w:rPr>
          <w:rFonts w:ascii="Arial MT" w:hAnsi="Arial MT" w:cs="Arial"/>
          <w:color w:val="000000" w:themeColor="text1"/>
          <w:sz w:val="20"/>
          <w:szCs w:val="20"/>
        </w:rPr>
        <w:t>ternational</w:t>
      </w:r>
      <w:proofErr w:type="spellEnd"/>
      <w:r w:rsidRPr="00572179">
        <w:rPr>
          <w:rFonts w:ascii="Arial MT" w:hAnsi="Arial MT" w:cs="Arial"/>
          <w:color w:val="000000" w:themeColor="text1"/>
          <w:sz w:val="20"/>
          <w:szCs w:val="20"/>
        </w:rPr>
        <w:t xml:space="preserve"> CFC-ICB Workshop on Opportunities and Challenges of Certification for Commodities Harvested/ Extracted by the Rural Poor. International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 xml:space="preserve">Network for Bamboo and Rattan (INBAR) &amp; Common Fund for Com- </w:t>
      </w:r>
      <w:proofErr w:type="spellStart"/>
      <w:r w:rsidRPr="00572179">
        <w:rPr>
          <w:rFonts w:ascii="Arial MT" w:hAnsi="Arial MT" w:cs="Arial"/>
          <w:color w:val="000000" w:themeColor="text1"/>
          <w:sz w:val="20"/>
          <w:szCs w:val="20"/>
        </w:rPr>
        <w:t>modities</w:t>
      </w:r>
      <w:proofErr w:type="spellEnd"/>
      <w:r w:rsidRPr="00572179">
        <w:rPr>
          <w:rFonts w:ascii="Arial MT" w:hAnsi="Arial MT" w:cs="Arial"/>
          <w:color w:val="000000" w:themeColor="text1"/>
          <w:sz w:val="20"/>
          <w:szCs w:val="20"/>
        </w:rPr>
        <w:t xml:space="preserve"> (CFC). April </w:t>
      </w:r>
      <w:r w:rsidR="00215419" w:rsidRPr="00572179">
        <w:rPr>
          <w:rFonts w:ascii="Arial MT" w:hAnsi="Arial MT" w:cs="Arial"/>
          <w:color w:val="000000" w:themeColor="text1"/>
          <w:sz w:val="20"/>
          <w:szCs w:val="20"/>
        </w:rPr>
        <w:t>2, 2009</w:t>
      </w:r>
      <w:r w:rsidRPr="00572179">
        <w:rPr>
          <w:rFonts w:ascii="Arial MT" w:hAnsi="Arial MT" w:cs="Arial"/>
          <w:color w:val="000000" w:themeColor="text1"/>
          <w:sz w:val="20"/>
          <w:szCs w:val="20"/>
        </w:rPr>
        <w:t xml:space="preserve">,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Beijing, China.</w:t>
      </w:r>
    </w:p>
    <w:p w14:paraId="0AD1A7F1" w14:textId="77777777"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Census of India (2011). http://</w:t>
      </w:r>
      <w:hyperlink r:id="rId20" w:history="1">
        <w:r w:rsidRPr="00572179">
          <w:rPr>
            <w:rStyle w:val="Hyperlink"/>
            <w:rFonts w:ascii="Arial MT" w:hAnsi="Arial MT" w:cs="Arial"/>
            <w:color w:val="000000" w:themeColor="text1"/>
            <w:sz w:val="20"/>
            <w:szCs w:val="20"/>
            <w:u w:val="none"/>
          </w:rPr>
          <w:t>www.censusindia.gov.in</w:t>
        </w:r>
      </w:hyperlink>
    </w:p>
    <w:p w14:paraId="2824834C" w14:textId="6C4B3B9B" w:rsidR="0080075B" w:rsidRPr="00572179" w:rsidRDefault="0080075B"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Chambers, R. and Conway, G.G. (1992). Sustainable rural livelihoods: Practical concepts for the 21st Century. IDS Discussion Paper No. 296, IDS, Brighton, UK.</w:t>
      </w:r>
    </w:p>
    <w:p w14:paraId="1BCDBDAC" w14:textId="1D3A9907" w:rsidR="0080075B" w:rsidRPr="00572179" w:rsidRDefault="0080075B" w:rsidP="00B42A32">
      <w:pPr>
        <w:pStyle w:val="NoSpacing"/>
        <w:numPr>
          <w:ilvl w:val="0"/>
          <w:numId w:val="31"/>
        </w:numPr>
        <w:spacing w:line="276" w:lineRule="auto"/>
        <w:jc w:val="both"/>
        <w:rPr>
          <w:rFonts w:ascii="Arial MT" w:hAnsi="Arial MT" w:cs="Arial"/>
          <w:sz w:val="20"/>
          <w:szCs w:val="20"/>
        </w:rPr>
      </w:pPr>
      <w:proofErr w:type="spellStart"/>
      <w:r w:rsidRPr="00572179">
        <w:rPr>
          <w:rFonts w:ascii="Arial MT" w:hAnsi="Arial MT" w:cs="Arial"/>
          <w:sz w:val="20"/>
          <w:szCs w:val="20"/>
        </w:rPr>
        <w:t>Dercon</w:t>
      </w:r>
      <w:proofErr w:type="spellEnd"/>
      <w:r w:rsidRPr="00572179">
        <w:rPr>
          <w:rFonts w:ascii="Arial MT" w:hAnsi="Arial MT" w:cs="Arial"/>
          <w:sz w:val="20"/>
          <w:szCs w:val="20"/>
        </w:rPr>
        <w:t>, S. (2002). “Income risk, coping strategies, and safety nets”. World Bank Research Observer 17: 141–166.</w:t>
      </w:r>
    </w:p>
    <w:p w14:paraId="3EF238C4" w14:textId="6C0D74C9"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Fang, Y.P., Fan, J., Shen, M.V. and Song, M.Q. (2014). Sensitivity of livelihood strategy to livelihood capital in mountain areas: Empirical analysis based on different settlements in the upper reaches of the </w:t>
      </w:r>
      <w:proofErr w:type="spellStart"/>
      <w:r w:rsidRPr="00572179">
        <w:rPr>
          <w:rFonts w:ascii="Arial MT" w:hAnsi="Arial MT" w:cs="Arial"/>
          <w:color w:val="000000" w:themeColor="text1"/>
          <w:sz w:val="20"/>
          <w:szCs w:val="20"/>
        </w:rPr>
        <w:t>Minijiang</w:t>
      </w:r>
      <w:proofErr w:type="spellEnd"/>
      <w:r w:rsidRPr="00572179">
        <w:rPr>
          <w:rFonts w:ascii="Arial MT" w:hAnsi="Arial MT" w:cs="Arial"/>
          <w:color w:val="000000" w:themeColor="text1"/>
          <w:sz w:val="20"/>
          <w:szCs w:val="20"/>
        </w:rPr>
        <w:t xml:space="preserve">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 xml:space="preserve">River, China. </w:t>
      </w:r>
      <w:r w:rsidRPr="00572179">
        <w:rPr>
          <w:rFonts w:ascii="Arial MT" w:hAnsi="Arial MT" w:cs="Arial"/>
          <w:i/>
          <w:color w:val="000000" w:themeColor="text1"/>
          <w:sz w:val="20"/>
          <w:szCs w:val="20"/>
        </w:rPr>
        <w:t>Ecological Indicators</w:t>
      </w:r>
      <w:r w:rsidRPr="00572179">
        <w:rPr>
          <w:rFonts w:ascii="Arial MT" w:hAnsi="Arial MT" w:cs="Arial"/>
          <w:color w:val="000000" w:themeColor="text1"/>
          <w:sz w:val="20"/>
          <w:szCs w:val="20"/>
        </w:rPr>
        <w:t xml:space="preserve">, 38, 225-235. </w:t>
      </w:r>
    </w:p>
    <w:p w14:paraId="6D788367" w14:textId="02D808B7"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DFID (2000). Sustainable Livelihoods Guidance Sheets. Department for International </w:t>
      </w:r>
      <w:proofErr w:type="spellStart"/>
      <w:r w:rsidRPr="00572179">
        <w:rPr>
          <w:rFonts w:ascii="Arial MT" w:hAnsi="Arial MT" w:cs="Arial"/>
          <w:color w:val="000000" w:themeColor="text1"/>
          <w:sz w:val="20"/>
          <w:szCs w:val="20"/>
        </w:rPr>
        <w:t>Develoment</w:t>
      </w:r>
      <w:proofErr w:type="spellEnd"/>
      <w:r w:rsidRPr="00572179">
        <w:rPr>
          <w:rFonts w:ascii="Arial MT" w:hAnsi="Arial MT" w:cs="Arial"/>
          <w:color w:val="000000" w:themeColor="text1"/>
          <w:sz w:val="20"/>
          <w:szCs w:val="20"/>
        </w:rPr>
        <w:t xml:space="preserve">. </w:t>
      </w:r>
      <w:hyperlink r:id="rId21" w:history="1">
        <w:r w:rsidR="00733E9B" w:rsidRPr="00572179">
          <w:rPr>
            <w:rStyle w:val="Hyperlink"/>
            <w:rFonts w:ascii="Arial MT" w:hAnsi="Arial MT" w:cs="Arial"/>
            <w:color w:val="000000" w:themeColor="text1"/>
            <w:sz w:val="20"/>
            <w:szCs w:val="20"/>
            <w:u w:val="none"/>
          </w:rPr>
          <w:t>www.livelihood.org/info/info_guidancesheets.htm</w:t>
        </w:r>
      </w:hyperlink>
    </w:p>
    <w:p w14:paraId="4355FC35" w14:textId="77777777" w:rsidR="00A6473E" w:rsidRPr="00572179" w:rsidRDefault="00A6473E" w:rsidP="00B42A32">
      <w:pPr>
        <w:pStyle w:val="NoSpacing"/>
        <w:numPr>
          <w:ilvl w:val="0"/>
          <w:numId w:val="31"/>
        </w:numPr>
        <w:spacing w:line="276" w:lineRule="auto"/>
        <w:jc w:val="both"/>
        <w:rPr>
          <w:rFonts w:ascii="Arial MT" w:hAnsi="Arial MT" w:cs="Arial"/>
          <w:bCs/>
          <w:sz w:val="20"/>
          <w:szCs w:val="20"/>
        </w:rPr>
      </w:pPr>
      <w:r w:rsidRPr="00572179">
        <w:rPr>
          <w:rFonts w:ascii="Arial MT" w:hAnsi="Arial MT" w:cs="Arial"/>
          <w:bCs/>
          <w:sz w:val="20"/>
          <w:szCs w:val="20"/>
        </w:rPr>
        <w:t xml:space="preserve">Hosmer, D.W. and </w:t>
      </w:r>
      <w:proofErr w:type="spellStart"/>
      <w:r w:rsidRPr="00572179">
        <w:rPr>
          <w:rFonts w:ascii="Arial MT" w:hAnsi="Arial MT" w:cs="Arial"/>
          <w:bCs/>
          <w:sz w:val="20"/>
          <w:szCs w:val="20"/>
        </w:rPr>
        <w:t>Lemeshow</w:t>
      </w:r>
      <w:proofErr w:type="spellEnd"/>
      <w:r w:rsidRPr="00572179">
        <w:rPr>
          <w:rFonts w:ascii="Arial MT" w:hAnsi="Arial MT" w:cs="Arial"/>
          <w:bCs/>
          <w:sz w:val="20"/>
          <w:szCs w:val="20"/>
        </w:rPr>
        <w:t>, S. (2000). Applied Logistic Regression, 2</w:t>
      </w:r>
      <w:r w:rsidRPr="00572179">
        <w:rPr>
          <w:rFonts w:ascii="Arial MT" w:hAnsi="Arial MT" w:cs="Arial"/>
          <w:bCs/>
          <w:sz w:val="20"/>
          <w:szCs w:val="20"/>
          <w:vertAlign w:val="superscript"/>
        </w:rPr>
        <w:t>nd</w:t>
      </w:r>
      <w:r w:rsidRPr="00572179">
        <w:rPr>
          <w:rFonts w:ascii="Arial MT" w:hAnsi="Arial MT" w:cs="Arial"/>
          <w:bCs/>
          <w:sz w:val="20"/>
          <w:szCs w:val="20"/>
        </w:rPr>
        <w:t xml:space="preserve"> ed, Wiley &amp; Sons, New York</w:t>
      </w:r>
    </w:p>
    <w:p w14:paraId="54B94569" w14:textId="43B6A96D"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IISD (2013). What is sustainable development? Environmental, Economic and Social Well-Being for Today </w:t>
      </w:r>
      <w:r w:rsidR="005251DB" w:rsidRPr="00572179">
        <w:rPr>
          <w:rFonts w:ascii="Arial MT" w:hAnsi="Arial MT" w:cs="Arial"/>
          <w:sz w:val="20"/>
          <w:szCs w:val="20"/>
        </w:rPr>
        <w:tab/>
      </w:r>
      <w:r w:rsidRPr="00572179">
        <w:rPr>
          <w:rFonts w:ascii="Arial MT" w:hAnsi="Arial MT" w:cs="Arial"/>
          <w:sz w:val="20"/>
          <w:szCs w:val="20"/>
        </w:rPr>
        <w:t>and Tomorrow. Available from http://www.iisd.org/sd/ [Accessed August 20, 2013].</w:t>
      </w:r>
    </w:p>
    <w:p w14:paraId="62A8A3E9" w14:textId="77777777" w:rsidR="00A6473E" w:rsidRPr="00572179" w:rsidRDefault="00A6473E"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India: Integrated Livelihood Support Project (ILSP), Project Design Report - Appraisal Main Report, 2011.</w:t>
      </w:r>
    </w:p>
    <w:p w14:paraId="7AA50885" w14:textId="4BE54AA7"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Jalan, J. and </w:t>
      </w:r>
      <w:proofErr w:type="spellStart"/>
      <w:r w:rsidRPr="00572179">
        <w:rPr>
          <w:rFonts w:ascii="Arial MT" w:hAnsi="Arial MT" w:cs="Arial"/>
          <w:sz w:val="20"/>
          <w:szCs w:val="20"/>
        </w:rPr>
        <w:t>Ravallion</w:t>
      </w:r>
      <w:proofErr w:type="spellEnd"/>
      <w:r w:rsidRPr="00572179">
        <w:rPr>
          <w:rFonts w:ascii="Arial MT" w:hAnsi="Arial MT" w:cs="Arial"/>
          <w:sz w:val="20"/>
          <w:szCs w:val="20"/>
        </w:rPr>
        <w:t xml:space="preserve">, M. (1999). "Are the poor less well insured? Evidence on vulnerability to income risk in rural China"; </w:t>
      </w:r>
      <w:r w:rsidRPr="00572179">
        <w:rPr>
          <w:rFonts w:ascii="Arial MT" w:hAnsi="Arial MT" w:cs="Arial"/>
          <w:i/>
          <w:sz w:val="20"/>
          <w:szCs w:val="20"/>
        </w:rPr>
        <w:t>Journal of Development Economics</w:t>
      </w:r>
      <w:r w:rsidRPr="00572179">
        <w:rPr>
          <w:rFonts w:ascii="Arial MT" w:hAnsi="Arial MT" w:cs="Arial"/>
          <w:sz w:val="20"/>
          <w:szCs w:val="20"/>
        </w:rPr>
        <w:t xml:space="preserve"> 58(1): 61-81.</w:t>
      </w:r>
    </w:p>
    <w:p w14:paraId="2844BF38" w14:textId="7CC3C1E4"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Kalaba, F.K., Quinn, C.H. and Dougill, A.J. (2012). Contribution of Forest Provisioning Ecosystem Services to </w:t>
      </w:r>
      <w:r w:rsidR="005251DB" w:rsidRPr="00572179">
        <w:rPr>
          <w:rFonts w:ascii="Arial MT" w:hAnsi="Arial MT" w:cs="Arial"/>
          <w:sz w:val="20"/>
          <w:szCs w:val="20"/>
        </w:rPr>
        <w:tab/>
      </w:r>
      <w:r w:rsidRPr="00572179">
        <w:rPr>
          <w:rFonts w:ascii="Arial MT" w:hAnsi="Arial MT" w:cs="Arial"/>
          <w:sz w:val="20"/>
          <w:szCs w:val="20"/>
        </w:rPr>
        <w:t xml:space="preserve">Rural Livelihoods in Copperbelt's Miombo Woodlands, Zambia. Sustainability Research Institute Working </w:t>
      </w:r>
      <w:r w:rsidR="005251DB" w:rsidRPr="00572179">
        <w:rPr>
          <w:rFonts w:ascii="Arial MT" w:hAnsi="Arial MT" w:cs="Arial"/>
          <w:sz w:val="20"/>
          <w:szCs w:val="20"/>
        </w:rPr>
        <w:tab/>
      </w:r>
      <w:r w:rsidRPr="00572179">
        <w:rPr>
          <w:rFonts w:ascii="Arial MT" w:hAnsi="Arial MT" w:cs="Arial"/>
          <w:sz w:val="20"/>
          <w:szCs w:val="20"/>
        </w:rPr>
        <w:t xml:space="preserve">Paper no.41: 1–39. </w:t>
      </w:r>
    </w:p>
    <w:p w14:paraId="70688635" w14:textId="366DD923" w:rsidR="00A6473E" w:rsidRPr="00572179" w:rsidRDefault="00A6473E"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Knutsson, P. and Ostwald, M. (2006). A process-oriented sustainable livelihoods approach—a tool for increased </w:t>
      </w:r>
      <w:r w:rsidRPr="00572179">
        <w:rPr>
          <w:rFonts w:ascii="Arial MT" w:hAnsi="Arial MT" w:cs="Arial"/>
          <w:sz w:val="20"/>
          <w:szCs w:val="20"/>
        </w:rPr>
        <w:lastRenderedPageBreak/>
        <w:t xml:space="preserve">understanding of vulnerability adaptation and resilience. Mitigation and Adaptation Strategies for Global </w:t>
      </w:r>
      <w:r w:rsidR="005251DB" w:rsidRPr="00572179">
        <w:rPr>
          <w:rFonts w:ascii="Arial MT" w:hAnsi="Arial MT" w:cs="Arial"/>
          <w:sz w:val="20"/>
          <w:szCs w:val="20"/>
        </w:rPr>
        <w:tab/>
      </w:r>
      <w:r w:rsidRPr="00572179">
        <w:rPr>
          <w:rFonts w:ascii="Arial MT" w:hAnsi="Arial MT" w:cs="Arial"/>
          <w:sz w:val="20"/>
          <w:szCs w:val="20"/>
        </w:rPr>
        <w:t>Change, 1573–1596. DOI: 10.1007/s11027-006-4421-9.</w:t>
      </w:r>
    </w:p>
    <w:p w14:paraId="74F1884D" w14:textId="2614F60E" w:rsidR="00D90E27" w:rsidRPr="00572179" w:rsidRDefault="00D90E2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Mittal, S., Tripathi, G. and Sethi, D. (2008). “Development Strategy for the Hill Districts of Uttarakhand” </w:t>
      </w:r>
      <w:r w:rsidR="005251DB" w:rsidRPr="00572179">
        <w:rPr>
          <w:rFonts w:ascii="Arial MT" w:hAnsi="Arial MT" w:cs="Arial"/>
          <w:sz w:val="20"/>
          <w:szCs w:val="20"/>
        </w:rPr>
        <w:tab/>
      </w:r>
      <w:r w:rsidRPr="00572179">
        <w:rPr>
          <w:rFonts w:ascii="Arial MT" w:hAnsi="Arial MT" w:cs="Arial"/>
          <w:sz w:val="20"/>
          <w:szCs w:val="20"/>
        </w:rPr>
        <w:t>Indian Council for research on international economic relations, July 2008.</w:t>
      </w:r>
    </w:p>
    <w:p w14:paraId="7106E549" w14:textId="2F2FDFD8"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Scoones, I. (1998). Sustainable rural livelihoods: A framework for analysis. IDS Working Paper No. 72, IDS: Brighton UK.</w:t>
      </w:r>
    </w:p>
    <w:p w14:paraId="30971057" w14:textId="77777777"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Scoones, I. (2005). “Sustainable Rural Livelihoods, A Framework for Analysis”, IDS Working Paper 72.</w:t>
      </w:r>
    </w:p>
    <w:p w14:paraId="7374355F" w14:textId="77777777" w:rsidR="007E7303" w:rsidRDefault="007E7303" w:rsidP="00B42A32">
      <w:pPr>
        <w:spacing w:before="120" w:after="120"/>
        <w:ind w:left="1152" w:hanging="1152"/>
        <w:jc w:val="both"/>
        <w:rPr>
          <w:rFonts w:ascii="Arial MT" w:hAnsi="Arial MT" w:cs="Arial"/>
          <w:sz w:val="20"/>
          <w:szCs w:val="20"/>
        </w:rPr>
      </w:pPr>
    </w:p>
    <w:p w14:paraId="7ACF6D2C" w14:textId="77777777" w:rsidR="00733E9B" w:rsidRDefault="00733E9B" w:rsidP="00B42A32">
      <w:pPr>
        <w:spacing w:before="120" w:after="120"/>
        <w:ind w:left="1152" w:hanging="1152"/>
        <w:jc w:val="both"/>
        <w:rPr>
          <w:rFonts w:ascii="Arial MT" w:hAnsi="Arial MT" w:cs="Arial"/>
          <w:sz w:val="20"/>
          <w:szCs w:val="20"/>
        </w:rPr>
      </w:pPr>
    </w:p>
    <w:p w14:paraId="10D639B7" w14:textId="406A18BC" w:rsidR="00733E9B" w:rsidRDefault="00733E9B" w:rsidP="00B42A32">
      <w:pPr>
        <w:spacing w:before="120" w:after="120"/>
        <w:ind w:left="1152" w:hanging="1152"/>
        <w:jc w:val="both"/>
        <w:rPr>
          <w:rFonts w:ascii="Arial MT" w:hAnsi="Arial MT" w:cs="Arial"/>
          <w:sz w:val="20"/>
          <w:szCs w:val="20"/>
        </w:rPr>
        <w:sectPr w:rsidR="00733E9B" w:rsidSect="00A46579">
          <w:type w:val="continuous"/>
          <w:pgSz w:w="12240" w:h="15840" w:code="1"/>
          <w:pgMar w:top="720" w:right="720" w:bottom="720" w:left="720" w:header="720" w:footer="720" w:gutter="0"/>
          <w:cols w:num="2" w:space="720"/>
          <w:docGrid w:linePitch="360"/>
        </w:sectPr>
      </w:pPr>
      <w:r>
        <w:rPr>
          <w:rFonts w:ascii="Arial MT" w:hAnsi="Arial MT" w:cs="Arial"/>
          <w:sz w:val="20"/>
          <w:szCs w:val="20"/>
        </w:rPr>
        <w:t xml:space="preserve">                                          ***************</w:t>
      </w:r>
    </w:p>
    <w:p w14:paraId="2E5AA5F5" w14:textId="77777777" w:rsidR="0080075B" w:rsidRPr="003F1806" w:rsidRDefault="0080075B" w:rsidP="00CA678F">
      <w:pPr>
        <w:spacing w:before="120" w:after="120"/>
        <w:jc w:val="both"/>
        <w:rPr>
          <w:rFonts w:ascii="Arial MT" w:hAnsi="Arial MT" w:cs="Arial"/>
          <w:sz w:val="20"/>
          <w:szCs w:val="20"/>
        </w:rPr>
      </w:pPr>
    </w:p>
    <w:p w14:paraId="669D855D" w14:textId="77777777" w:rsidR="00C24BF7" w:rsidRPr="003F1806" w:rsidRDefault="00C24BF7" w:rsidP="00B42A32">
      <w:pPr>
        <w:spacing w:after="0"/>
        <w:rPr>
          <w:rFonts w:ascii="Arial MT" w:hAnsi="Arial MT" w:cs="Arial"/>
          <w:sz w:val="20"/>
          <w:szCs w:val="20"/>
        </w:rPr>
      </w:pPr>
    </w:p>
    <w:sectPr w:rsidR="00C24BF7" w:rsidRPr="003F1806" w:rsidSect="00A465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F98B" w14:textId="77777777" w:rsidR="00F77D1B" w:rsidRDefault="00F77D1B" w:rsidP="0096358B">
      <w:pPr>
        <w:spacing w:after="0" w:line="240" w:lineRule="auto"/>
      </w:pPr>
      <w:r>
        <w:separator/>
      </w:r>
    </w:p>
  </w:endnote>
  <w:endnote w:type="continuationSeparator" w:id="0">
    <w:p w14:paraId="46FE7A66" w14:textId="77777777" w:rsidR="00F77D1B" w:rsidRDefault="00F77D1B" w:rsidP="0096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9D8B" w14:textId="77777777" w:rsidR="00A46579" w:rsidRDefault="00A4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F352" w14:textId="77777777" w:rsidR="0043759F" w:rsidRDefault="0043759F">
    <w:pPr>
      <w:pStyle w:val="Footer"/>
      <w:jc w:val="center"/>
    </w:pPr>
  </w:p>
  <w:p w14:paraId="7B395D96" w14:textId="77777777" w:rsidR="0043759F" w:rsidRDefault="00437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3DC7" w14:textId="77777777" w:rsidR="00A46579" w:rsidRDefault="00A4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6046B" w14:textId="77777777" w:rsidR="00F77D1B" w:rsidRDefault="00F77D1B" w:rsidP="0096358B">
      <w:pPr>
        <w:spacing w:after="0" w:line="240" w:lineRule="auto"/>
      </w:pPr>
      <w:r>
        <w:separator/>
      </w:r>
    </w:p>
  </w:footnote>
  <w:footnote w:type="continuationSeparator" w:id="0">
    <w:p w14:paraId="1A61C3B0" w14:textId="77777777" w:rsidR="00F77D1B" w:rsidRDefault="00F77D1B" w:rsidP="0096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FEDA" w14:textId="1C7393BF" w:rsidR="00A46579" w:rsidRDefault="00A46579">
    <w:pPr>
      <w:pStyle w:val="Header"/>
    </w:pPr>
    <w:r>
      <w:rPr>
        <w:noProof/>
      </w:rPr>
      <w:pict w14:anchorId="666A7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60" o:spid="_x0000_s2050"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D0FF" w14:textId="5BB9AA9A" w:rsidR="00A46579" w:rsidRDefault="00A46579">
    <w:pPr>
      <w:pStyle w:val="Header"/>
    </w:pPr>
    <w:r>
      <w:rPr>
        <w:noProof/>
      </w:rPr>
      <w:pict w14:anchorId="7F542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61" o:spid="_x0000_s2051"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5A55" w14:textId="341DAE8A" w:rsidR="00A46579" w:rsidRDefault="00A46579">
    <w:pPr>
      <w:pStyle w:val="Header"/>
    </w:pPr>
    <w:r>
      <w:rPr>
        <w:noProof/>
      </w:rPr>
      <w:pict w14:anchorId="2915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59" o:spid="_x0000_s2049"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692"/>
    <w:multiLevelType w:val="hybridMultilevel"/>
    <w:tmpl w:val="8038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03A6C"/>
    <w:multiLevelType w:val="hybridMultilevel"/>
    <w:tmpl w:val="5A58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807E9"/>
    <w:multiLevelType w:val="hybridMultilevel"/>
    <w:tmpl w:val="ED36B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A5000"/>
    <w:multiLevelType w:val="hybridMultilevel"/>
    <w:tmpl w:val="BBB22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D2CFA"/>
    <w:multiLevelType w:val="hybridMultilevel"/>
    <w:tmpl w:val="3E1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C6413"/>
    <w:multiLevelType w:val="hybridMultilevel"/>
    <w:tmpl w:val="072C7872"/>
    <w:lvl w:ilvl="0" w:tplc="BB148A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A6285"/>
    <w:multiLevelType w:val="hybridMultilevel"/>
    <w:tmpl w:val="878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4AC3"/>
    <w:multiLevelType w:val="hybridMultilevel"/>
    <w:tmpl w:val="282E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26045"/>
    <w:multiLevelType w:val="hybridMultilevel"/>
    <w:tmpl w:val="EE9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91EBE"/>
    <w:multiLevelType w:val="hybridMultilevel"/>
    <w:tmpl w:val="1C5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A7D2B"/>
    <w:multiLevelType w:val="hybridMultilevel"/>
    <w:tmpl w:val="E1D8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3F55"/>
    <w:multiLevelType w:val="hybridMultilevel"/>
    <w:tmpl w:val="D4DA5F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F63143A"/>
    <w:multiLevelType w:val="hybridMultilevel"/>
    <w:tmpl w:val="49F8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61A83"/>
    <w:multiLevelType w:val="hybridMultilevel"/>
    <w:tmpl w:val="1C96EFDC"/>
    <w:lvl w:ilvl="0" w:tplc="C4C075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1706"/>
    <w:multiLevelType w:val="hybridMultilevel"/>
    <w:tmpl w:val="46C8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26295"/>
    <w:multiLevelType w:val="hybridMultilevel"/>
    <w:tmpl w:val="E892D414"/>
    <w:lvl w:ilvl="0" w:tplc="806E742A">
      <w:start w:val="5"/>
      <w:numFmt w:val="decimal"/>
      <w:lvlText w:val="%1."/>
      <w:lvlJc w:val="left"/>
      <w:pPr>
        <w:ind w:left="360" w:hanging="360"/>
      </w:pPr>
      <w:rPr>
        <w:rFonts w:hint="default"/>
        <w:b/>
        <w:bCs/>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7C54522"/>
    <w:multiLevelType w:val="hybridMultilevel"/>
    <w:tmpl w:val="831C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268DC"/>
    <w:multiLevelType w:val="hybridMultilevel"/>
    <w:tmpl w:val="0E3436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6529C6"/>
    <w:multiLevelType w:val="hybridMultilevel"/>
    <w:tmpl w:val="A09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5A91"/>
    <w:multiLevelType w:val="hybridMultilevel"/>
    <w:tmpl w:val="89DC6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FC74E3"/>
    <w:multiLevelType w:val="hybridMultilevel"/>
    <w:tmpl w:val="D9820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03262"/>
    <w:multiLevelType w:val="hybridMultilevel"/>
    <w:tmpl w:val="11A40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DA5D32"/>
    <w:multiLevelType w:val="hybridMultilevel"/>
    <w:tmpl w:val="4EBC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1B69"/>
    <w:multiLevelType w:val="hybridMultilevel"/>
    <w:tmpl w:val="9BE63D50"/>
    <w:lvl w:ilvl="0" w:tplc="156E63B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64816BFF"/>
    <w:multiLevelType w:val="hybridMultilevel"/>
    <w:tmpl w:val="45BCB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FC0438"/>
    <w:multiLevelType w:val="hybridMultilevel"/>
    <w:tmpl w:val="2DE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E2DF1"/>
    <w:multiLevelType w:val="hybridMultilevel"/>
    <w:tmpl w:val="C026276E"/>
    <w:lvl w:ilvl="0" w:tplc="662E6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61A25"/>
    <w:multiLevelType w:val="hybridMultilevel"/>
    <w:tmpl w:val="2822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77661"/>
    <w:multiLevelType w:val="hybridMultilevel"/>
    <w:tmpl w:val="D8C6A0F0"/>
    <w:lvl w:ilvl="0" w:tplc="A2E25240">
      <w:start w:val="1"/>
      <w:numFmt w:val="decimal"/>
      <w:lvlText w:val="%1."/>
      <w:lvlJc w:val="left"/>
      <w:pPr>
        <w:ind w:left="927" w:hanging="360"/>
      </w:pPr>
      <w:rPr>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15:restartNumberingAfterBreak="0">
    <w:nsid w:val="7F746356"/>
    <w:multiLevelType w:val="hybridMultilevel"/>
    <w:tmpl w:val="FE54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47890"/>
    <w:multiLevelType w:val="hybridMultilevel"/>
    <w:tmpl w:val="977016F2"/>
    <w:lvl w:ilvl="0" w:tplc="424E3AA8">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5"/>
  </w:num>
  <w:num w:numId="4">
    <w:abstractNumId w:val="18"/>
  </w:num>
  <w:num w:numId="5">
    <w:abstractNumId w:val="9"/>
  </w:num>
  <w:num w:numId="6">
    <w:abstractNumId w:val="4"/>
  </w:num>
  <w:num w:numId="7">
    <w:abstractNumId w:val="22"/>
  </w:num>
  <w:num w:numId="8">
    <w:abstractNumId w:val="27"/>
  </w:num>
  <w:num w:numId="9">
    <w:abstractNumId w:val="20"/>
  </w:num>
  <w:num w:numId="10">
    <w:abstractNumId w:val="1"/>
  </w:num>
  <w:num w:numId="11">
    <w:abstractNumId w:val="10"/>
  </w:num>
  <w:num w:numId="12">
    <w:abstractNumId w:val="29"/>
  </w:num>
  <w:num w:numId="13">
    <w:abstractNumId w:val="30"/>
  </w:num>
  <w:num w:numId="14">
    <w:abstractNumId w:val="14"/>
  </w:num>
  <w:num w:numId="15">
    <w:abstractNumId w:val="16"/>
  </w:num>
  <w:num w:numId="16">
    <w:abstractNumId w:val="25"/>
  </w:num>
  <w:num w:numId="17">
    <w:abstractNumId w:val="0"/>
  </w:num>
  <w:num w:numId="18">
    <w:abstractNumId w:val="6"/>
  </w:num>
  <w:num w:numId="19">
    <w:abstractNumId w:val="7"/>
  </w:num>
  <w:num w:numId="20">
    <w:abstractNumId w:val="23"/>
  </w:num>
  <w:num w:numId="21">
    <w:abstractNumId w:val="8"/>
  </w:num>
  <w:num w:numId="22">
    <w:abstractNumId w:val="12"/>
  </w:num>
  <w:num w:numId="23">
    <w:abstractNumId w:val="2"/>
  </w:num>
  <w:num w:numId="24">
    <w:abstractNumId w:val="17"/>
  </w:num>
  <w:num w:numId="25">
    <w:abstractNumId w:val="19"/>
  </w:num>
  <w:num w:numId="26">
    <w:abstractNumId w:val="24"/>
  </w:num>
  <w:num w:numId="27">
    <w:abstractNumId w:val="26"/>
  </w:num>
  <w:num w:numId="28">
    <w:abstractNumId w:val="13"/>
  </w:num>
  <w:num w:numId="29">
    <w:abstractNumId w:val="28"/>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8B"/>
    <w:rsid w:val="00065F51"/>
    <w:rsid w:val="000711D7"/>
    <w:rsid w:val="000F5C0E"/>
    <w:rsid w:val="001059E2"/>
    <w:rsid w:val="00130ADB"/>
    <w:rsid w:val="00153856"/>
    <w:rsid w:val="00176158"/>
    <w:rsid w:val="001F41A1"/>
    <w:rsid w:val="001F5199"/>
    <w:rsid w:val="00215419"/>
    <w:rsid w:val="002869F8"/>
    <w:rsid w:val="00296AED"/>
    <w:rsid w:val="002C4E3B"/>
    <w:rsid w:val="002D0493"/>
    <w:rsid w:val="00300CD6"/>
    <w:rsid w:val="00302E71"/>
    <w:rsid w:val="00303881"/>
    <w:rsid w:val="0033799A"/>
    <w:rsid w:val="00352631"/>
    <w:rsid w:val="00367589"/>
    <w:rsid w:val="003F1806"/>
    <w:rsid w:val="003F7C80"/>
    <w:rsid w:val="00405B22"/>
    <w:rsid w:val="0043759F"/>
    <w:rsid w:val="00443B45"/>
    <w:rsid w:val="00464609"/>
    <w:rsid w:val="00476EDE"/>
    <w:rsid w:val="004C080E"/>
    <w:rsid w:val="004C1C4E"/>
    <w:rsid w:val="005251DB"/>
    <w:rsid w:val="00531CF3"/>
    <w:rsid w:val="00533710"/>
    <w:rsid w:val="00541327"/>
    <w:rsid w:val="00571875"/>
    <w:rsid w:val="00572179"/>
    <w:rsid w:val="005877B9"/>
    <w:rsid w:val="005962B0"/>
    <w:rsid w:val="005C4432"/>
    <w:rsid w:val="005E3F2D"/>
    <w:rsid w:val="006557CB"/>
    <w:rsid w:val="006B7A8F"/>
    <w:rsid w:val="00726CA2"/>
    <w:rsid w:val="00733E9B"/>
    <w:rsid w:val="00773D97"/>
    <w:rsid w:val="00783FD9"/>
    <w:rsid w:val="007B5E4F"/>
    <w:rsid w:val="007C38CE"/>
    <w:rsid w:val="007E17BA"/>
    <w:rsid w:val="007E3CF0"/>
    <w:rsid w:val="007E7303"/>
    <w:rsid w:val="0080075B"/>
    <w:rsid w:val="00864120"/>
    <w:rsid w:val="008A0534"/>
    <w:rsid w:val="008E474E"/>
    <w:rsid w:val="008E64F5"/>
    <w:rsid w:val="00944063"/>
    <w:rsid w:val="0096358B"/>
    <w:rsid w:val="009C7B2C"/>
    <w:rsid w:val="009E4470"/>
    <w:rsid w:val="00A03C36"/>
    <w:rsid w:val="00A14DF1"/>
    <w:rsid w:val="00A46579"/>
    <w:rsid w:val="00A47FF7"/>
    <w:rsid w:val="00A6473E"/>
    <w:rsid w:val="00A67DA9"/>
    <w:rsid w:val="00A91AE0"/>
    <w:rsid w:val="00B00811"/>
    <w:rsid w:val="00B10066"/>
    <w:rsid w:val="00B42A32"/>
    <w:rsid w:val="00BF7DDC"/>
    <w:rsid w:val="00C1234C"/>
    <w:rsid w:val="00C24BF7"/>
    <w:rsid w:val="00C35EB9"/>
    <w:rsid w:val="00C530F7"/>
    <w:rsid w:val="00C564A8"/>
    <w:rsid w:val="00C57655"/>
    <w:rsid w:val="00C714DA"/>
    <w:rsid w:val="00C80DED"/>
    <w:rsid w:val="00CA678F"/>
    <w:rsid w:val="00CC54B4"/>
    <w:rsid w:val="00CC72A6"/>
    <w:rsid w:val="00CF1D43"/>
    <w:rsid w:val="00D21312"/>
    <w:rsid w:val="00D33574"/>
    <w:rsid w:val="00D3697C"/>
    <w:rsid w:val="00D4631C"/>
    <w:rsid w:val="00D90E27"/>
    <w:rsid w:val="00DA0A6A"/>
    <w:rsid w:val="00DB6484"/>
    <w:rsid w:val="00DC02C7"/>
    <w:rsid w:val="00DF4E2D"/>
    <w:rsid w:val="00DF690D"/>
    <w:rsid w:val="00E31FF2"/>
    <w:rsid w:val="00E738F2"/>
    <w:rsid w:val="00E83E8D"/>
    <w:rsid w:val="00EC0CC7"/>
    <w:rsid w:val="00ED1C0F"/>
    <w:rsid w:val="00F45A77"/>
    <w:rsid w:val="00F513E7"/>
    <w:rsid w:val="00F61673"/>
    <w:rsid w:val="00F7742C"/>
    <w:rsid w:val="00F77D1B"/>
    <w:rsid w:val="00F910C7"/>
    <w:rsid w:val="00FA5BD7"/>
    <w:rsid w:val="00FE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34F61"/>
  <w15:docId w15:val="{F4EB6594-A34D-42C3-82A4-93367ADF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58B"/>
    <w:rPr>
      <w:rFonts w:eastAsiaTheme="minorEastAsia"/>
    </w:rPr>
  </w:style>
  <w:style w:type="paragraph" w:styleId="Heading1">
    <w:name w:val="heading 1"/>
    <w:basedOn w:val="Normal"/>
    <w:next w:val="Normal"/>
    <w:link w:val="Heading1Char"/>
    <w:qFormat/>
    <w:rsid w:val="00302E7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E71"/>
    <w:rPr>
      <w:rFonts w:ascii="Arial" w:eastAsia="Times New Roman" w:hAnsi="Arial" w:cs="Arial"/>
      <w:b/>
      <w:bCs/>
      <w:kern w:val="32"/>
      <w:sz w:val="32"/>
      <w:szCs w:val="32"/>
    </w:rPr>
  </w:style>
  <w:style w:type="paragraph" w:styleId="Header">
    <w:name w:val="header"/>
    <w:basedOn w:val="Normal"/>
    <w:link w:val="HeaderChar"/>
    <w:uiPriority w:val="99"/>
    <w:unhideWhenUsed/>
    <w:rsid w:val="0096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58B"/>
    <w:rPr>
      <w:rFonts w:eastAsiaTheme="minorEastAsia"/>
    </w:rPr>
  </w:style>
  <w:style w:type="paragraph" w:styleId="Footer">
    <w:name w:val="footer"/>
    <w:basedOn w:val="Normal"/>
    <w:link w:val="FooterChar"/>
    <w:uiPriority w:val="99"/>
    <w:unhideWhenUsed/>
    <w:rsid w:val="0096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58B"/>
    <w:rPr>
      <w:rFonts w:eastAsiaTheme="minorEastAsia"/>
    </w:rPr>
  </w:style>
  <w:style w:type="paragraph" w:styleId="ListParagraph">
    <w:name w:val="List Paragraph"/>
    <w:basedOn w:val="Normal"/>
    <w:uiPriority w:val="34"/>
    <w:qFormat/>
    <w:rsid w:val="00302E71"/>
    <w:pPr>
      <w:ind w:left="720"/>
      <w:contextualSpacing/>
    </w:pPr>
    <w:rPr>
      <w:rFonts w:eastAsiaTheme="minorHAnsi"/>
    </w:rPr>
  </w:style>
  <w:style w:type="table" w:styleId="TableGrid">
    <w:name w:val="Table Grid"/>
    <w:basedOn w:val="TableNormal"/>
    <w:uiPriority w:val="59"/>
    <w:rsid w:val="00302E71"/>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DefaultParagraphFont"/>
    <w:rsid w:val="00302E71"/>
  </w:style>
  <w:style w:type="character" w:styleId="Emphasis">
    <w:name w:val="Emphasis"/>
    <w:basedOn w:val="DefaultParagraphFont"/>
    <w:uiPriority w:val="20"/>
    <w:qFormat/>
    <w:rsid w:val="00302E71"/>
    <w:rPr>
      <w:i/>
      <w:iCs/>
    </w:rPr>
  </w:style>
  <w:style w:type="character" w:customStyle="1" w:styleId="BalloonTextChar">
    <w:name w:val="Balloon Text Char"/>
    <w:basedOn w:val="DefaultParagraphFont"/>
    <w:link w:val="BalloonText"/>
    <w:uiPriority w:val="99"/>
    <w:semiHidden/>
    <w:rsid w:val="00302E71"/>
    <w:rPr>
      <w:rFonts w:ascii="Tahoma" w:hAnsi="Tahoma" w:cs="Mangal"/>
      <w:sz w:val="16"/>
      <w:szCs w:val="14"/>
      <w:lang w:bidi="hi-IN"/>
    </w:rPr>
  </w:style>
  <w:style w:type="paragraph" w:styleId="BalloonText">
    <w:name w:val="Balloon Text"/>
    <w:basedOn w:val="Normal"/>
    <w:link w:val="BalloonTextChar"/>
    <w:uiPriority w:val="99"/>
    <w:semiHidden/>
    <w:unhideWhenUsed/>
    <w:rsid w:val="00302E71"/>
    <w:pPr>
      <w:spacing w:after="0" w:line="240" w:lineRule="auto"/>
    </w:pPr>
    <w:rPr>
      <w:rFonts w:ascii="Tahoma" w:eastAsiaTheme="minorHAnsi" w:hAnsi="Tahoma" w:cs="Mangal"/>
      <w:sz w:val="16"/>
      <w:szCs w:val="14"/>
      <w:lang w:bidi="hi-IN"/>
    </w:rPr>
  </w:style>
  <w:style w:type="character" w:customStyle="1" w:styleId="BalloonTextChar1">
    <w:name w:val="Balloon Text Char1"/>
    <w:basedOn w:val="DefaultParagraphFont"/>
    <w:uiPriority w:val="99"/>
    <w:semiHidden/>
    <w:rsid w:val="00302E71"/>
    <w:rPr>
      <w:rFonts w:ascii="Tahoma" w:eastAsiaTheme="minorEastAsia" w:hAnsi="Tahoma" w:cs="Tahoma"/>
      <w:sz w:val="16"/>
      <w:szCs w:val="16"/>
    </w:rPr>
  </w:style>
  <w:style w:type="character" w:styleId="Hyperlink">
    <w:name w:val="Hyperlink"/>
    <w:basedOn w:val="DefaultParagraphFont"/>
    <w:uiPriority w:val="99"/>
    <w:unhideWhenUsed/>
    <w:rsid w:val="00302E71"/>
    <w:rPr>
      <w:color w:val="0000FF" w:themeColor="hyperlink"/>
      <w:u w:val="single"/>
    </w:rPr>
  </w:style>
  <w:style w:type="character" w:customStyle="1" w:styleId="apple-converted-space">
    <w:name w:val="apple-converted-space"/>
    <w:basedOn w:val="DefaultParagraphFont"/>
    <w:rsid w:val="00302E71"/>
  </w:style>
  <w:style w:type="paragraph" w:styleId="BodyText">
    <w:name w:val="Body Text"/>
    <w:basedOn w:val="Normal"/>
    <w:link w:val="BodyTextChar"/>
    <w:rsid w:val="00302E71"/>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02E71"/>
    <w:rPr>
      <w:rFonts w:ascii="Times New Roman" w:eastAsia="Times New Roman" w:hAnsi="Times New Roman" w:cs="Times New Roman"/>
      <w:sz w:val="24"/>
      <w:szCs w:val="24"/>
    </w:rPr>
  </w:style>
  <w:style w:type="character" w:styleId="Strong">
    <w:name w:val="Strong"/>
    <w:basedOn w:val="DefaultParagraphFont"/>
    <w:uiPriority w:val="22"/>
    <w:qFormat/>
    <w:rsid w:val="00302E71"/>
    <w:rPr>
      <w:b/>
      <w:bCs/>
    </w:rPr>
  </w:style>
  <w:style w:type="character" w:customStyle="1" w:styleId="h1">
    <w:name w:val="h1"/>
    <w:basedOn w:val="DefaultParagraphFont"/>
    <w:rsid w:val="00302E71"/>
  </w:style>
  <w:style w:type="character" w:customStyle="1" w:styleId="h2">
    <w:name w:val="h2"/>
    <w:basedOn w:val="DefaultParagraphFont"/>
    <w:rsid w:val="00302E71"/>
  </w:style>
  <w:style w:type="paragraph" w:styleId="NormalWeb">
    <w:name w:val="Normal (Web)"/>
    <w:basedOn w:val="Normal"/>
    <w:uiPriority w:val="99"/>
    <w:unhideWhenUsed/>
    <w:rsid w:val="00302E7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klink">
    <w:name w:val="klink"/>
    <w:basedOn w:val="DefaultParagraphFont"/>
    <w:rsid w:val="00302E71"/>
  </w:style>
  <w:style w:type="paragraph" w:styleId="NoSpacing">
    <w:name w:val="No Spacing"/>
    <w:link w:val="NoSpacingChar"/>
    <w:uiPriority w:val="1"/>
    <w:qFormat/>
    <w:rsid w:val="00D3697C"/>
    <w:pPr>
      <w:spacing w:after="0" w:line="240" w:lineRule="auto"/>
    </w:pPr>
    <w:rPr>
      <w:rFonts w:eastAsiaTheme="minorEastAsia"/>
    </w:rPr>
  </w:style>
  <w:style w:type="character" w:styleId="SubtleEmphasis">
    <w:name w:val="Subtle Emphasis"/>
    <w:basedOn w:val="DefaultParagraphFont"/>
    <w:uiPriority w:val="19"/>
    <w:qFormat/>
    <w:rsid w:val="00D3697C"/>
    <w:rPr>
      <w:i/>
      <w:iCs/>
      <w:color w:val="404040" w:themeColor="text1" w:themeTint="BF"/>
    </w:rPr>
  </w:style>
  <w:style w:type="character" w:customStyle="1" w:styleId="NoSpacingChar">
    <w:name w:val="No Spacing Char"/>
    <w:basedOn w:val="DefaultParagraphFont"/>
    <w:link w:val="NoSpacing"/>
    <w:uiPriority w:val="1"/>
    <w:rsid w:val="003F1806"/>
    <w:rPr>
      <w:rFonts w:eastAsiaTheme="minorEastAsia"/>
    </w:rPr>
  </w:style>
  <w:style w:type="character" w:styleId="UnresolvedMention">
    <w:name w:val="Unresolved Mention"/>
    <w:basedOn w:val="DefaultParagraphFont"/>
    <w:uiPriority w:val="99"/>
    <w:semiHidden/>
    <w:unhideWhenUsed/>
    <w:rsid w:val="00D21312"/>
    <w:rPr>
      <w:color w:val="605E5C"/>
      <w:shd w:val="clear" w:color="auto" w:fill="E1DFDD"/>
    </w:rPr>
  </w:style>
  <w:style w:type="character" w:styleId="LineNumber">
    <w:name w:val="line number"/>
    <w:basedOn w:val="DefaultParagraphFont"/>
    <w:uiPriority w:val="99"/>
    <w:semiHidden/>
    <w:unhideWhenUsed/>
    <w:rsid w:val="003F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livelihood.org/info/info_guidancesheets.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censusindi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1\Desktop\n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High</a:t>
            </a:r>
          </a:p>
        </c:rich>
      </c:tx>
      <c:layout>
        <c:manualLayout>
          <c:xMode val="edge"/>
          <c:yMode val="edge"/>
          <c:x val="8.8490329846335747E-4"/>
          <c:y val="3.3866064603295942E-2"/>
        </c:manualLayout>
      </c:layout>
      <c:overlay val="0"/>
    </c:title>
    <c:autoTitleDeleted val="0"/>
    <c:plotArea>
      <c:layout>
        <c:manualLayout>
          <c:layoutTarget val="inner"/>
          <c:xMode val="edge"/>
          <c:yMode val="edge"/>
          <c:x val="0.17121799674901941"/>
          <c:y val="0.2107930619332862"/>
          <c:w val="0.50151691772293328"/>
          <c:h val="0.61364468576564513"/>
        </c:manualLayout>
      </c:layout>
      <c:radarChart>
        <c:radarStyle val="marker"/>
        <c:varyColors val="0"/>
        <c:ser>
          <c:idx val="0"/>
          <c:order val="0"/>
          <c:marker>
            <c:symbol val="none"/>
          </c:marker>
          <c:cat>
            <c:strRef>
              <c:f>Sheet11!$A$3:$A$7</c:f>
              <c:strCache>
                <c:ptCount val="5"/>
                <c:pt idx="0">
                  <c:v>Human</c:v>
                </c:pt>
                <c:pt idx="1">
                  <c:v>Natural</c:v>
                </c:pt>
                <c:pt idx="2">
                  <c:v>Physical</c:v>
                </c:pt>
                <c:pt idx="3">
                  <c:v>Financial</c:v>
                </c:pt>
                <c:pt idx="4">
                  <c:v>Social</c:v>
                </c:pt>
              </c:strCache>
            </c:strRef>
          </c:cat>
          <c:val>
            <c:numRef>
              <c:f>Sheet11!$B$3:$B$7</c:f>
              <c:numCache>
                <c:formatCode>0.00</c:formatCode>
                <c:ptCount val="5"/>
                <c:pt idx="0">
                  <c:v>0.41684595014943338</c:v>
                </c:pt>
                <c:pt idx="1">
                  <c:v>0.29000000000000031</c:v>
                </c:pt>
                <c:pt idx="2">
                  <c:v>0.46588606515438108</c:v>
                </c:pt>
                <c:pt idx="3">
                  <c:v>0.40563131313131279</c:v>
                </c:pt>
                <c:pt idx="4">
                  <c:v>0.36454545454545456</c:v>
                </c:pt>
              </c:numCache>
            </c:numRef>
          </c:val>
          <c:extLst>
            <c:ext xmlns:c16="http://schemas.microsoft.com/office/drawing/2014/chart" uri="{C3380CC4-5D6E-409C-BE32-E72D297353CC}">
              <c16:uniqueId val="{00000000-F660-4409-9D7C-6E2ED152990B}"/>
            </c:ext>
          </c:extLst>
        </c:ser>
        <c:dLbls>
          <c:showLegendKey val="0"/>
          <c:showVal val="0"/>
          <c:showCatName val="0"/>
          <c:showSerName val="0"/>
          <c:showPercent val="0"/>
          <c:showBubbleSize val="0"/>
        </c:dLbls>
        <c:axId val="92428928"/>
        <c:axId val="46100864"/>
      </c:radarChart>
      <c:catAx>
        <c:axId val="92428928"/>
        <c:scaling>
          <c:orientation val="minMax"/>
        </c:scaling>
        <c:delete val="0"/>
        <c:axPos val="b"/>
        <c:majorGridlines/>
        <c:numFmt formatCode="General" sourceLinked="0"/>
        <c:majorTickMark val="none"/>
        <c:minorTickMark val="none"/>
        <c:tickLblPos val="nextTo"/>
        <c:spPr>
          <a:ln w="9525">
            <a:noFill/>
          </a:ln>
        </c:spPr>
        <c:txPr>
          <a:bodyPr rot="120000"/>
          <a:lstStyle/>
          <a:p>
            <a:pPr>
              <a:defRPr lang="en-US"/>
            </a:pPr>
            <a:endParaRPr lang="en-US"/>
          </a:p>
        </c:txPr>
        <c:crossAx val="46100864"/>
        <c:crosses val="autoZero"/>
        <c:auto val="1"/>
        <c:lblAlgn val="ctr"/>
        <c:lblOffset val="100"/>
        <c:noMultiLvlLbl val="0"/>
      </c:catAx>
      <c:valAx>
        <c:axId val="46100864"/>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924289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Middle</a:t>
            </a:r>
          </a:p>
        </c:rich>
      </c:tx>
      <c:layout>
        <c:manualLayout>
          <c:xMode val="edge"/>
          <c:yMode val="edge"/>
          <c:x val="1.9307575597296905E-3"/>
          <c:y val="3.4021411165273602E-2"/>
        </c:manualLayout>
      </c:layout>
      <c:overlay val="0"/>
    </c:title>
    <c:autoTitleDeleted val="0"/>
    <c:plotArea>
      <c:layout>
        <c:manualLayout>
          <c:layoutTarget val="inner"/>
          <c:xMode val="edge"/>
          <c:yMode val="edge"/>
          <c:x val="0.16709375122521733"/>
          <c:y val="9.6162724141718309E-2"/>
          <c:w val="0.69486633017729649"/>
          <c:h val="0.86101315941040268"/>
        </c:manualLayout>
      </c:layout>
      <c:radarChart>
        <c:radarStyle val="marker"/>
        <c:varyColors val="0"/>
        <c:ser>
          <c:idx val="0"/>
          <c:order val="0"/>
          <c:marker>
            <c:symbol val="none"/>
          </c:marker>
          <c:cat>
            <c:strRef>
              <c:f>Sheet11!$A$11:$A$15</c:f>
              <c:strCache>
                <c:ptCount val="5"/>
                <c:pt idx="0">
                  <c:v>Human</c:v>
                </c:pt>
                <c:pt idx="1">
                  <c:v>Natural</c:v>
                </c:pt>
                <c:pt idx="2">
                  <c:v>Physical</c:v>
                </c:pt>
                <c:pt idx="3">
                  <c:v>Financial</c:v>
                </c:pt>
                <c:pt idx="4">
                  <c:v>Social</c:v>
                </c:pt>
              </c:strCache>
            </c:strRef>
          </c:cat>
          <c:val>
            <c:numRef>
              <c:f>Sheet11!$B$11:$B$15</c:f>
              <c:numCache>
                <c:formatCode>0.00</c:formatCode>
                <c:ptCount val="5"/>
                <c:pt idx="0">
                  <c:v>0.40188375624115047</c:v>
                </c:pt>
                <c:pt idx="1">
                  <c:v>0.36000000000000032</c:v>
                </c:pt>
                <c:pt idx="2">
                  <c:v>0.50551328543710417</c:v>
                </c:pt>
                <c:pt idx="3">
                  <c:v>0.35021126760563381</c:v>
                </c:pt>
                <c:pt idx="4">
                  <c:v>0.25239436619718308</c:v>
                </c:pt>
              </c:numCache>
            </c:numRef>
          </c:val>
          <c:extLst>
            <c:ext xmlns:c16="http://schemas.microsoft.com/office/drawing/2014/chart" uri="{C3380CC4-5D6E-409C-BE32-E72D297353CC}">
              <c16:uniqueId val="{00000000-A7BD-46C7-92B4-B2FB850395AB}"/>
            </c:ext>
          </c:extLst>
        </c:ser>
        <c:dLbls>
          <c:showLegendKey val="0"/>
          <c:showVal val="0"/>
          <c:showCatName val="0"/>
          <c:showSerName val="0"/>
          <c:showPercent val="0"/>
          <c:showBubbleSize val="0"/>
        </c:dLbls>
        <c:axId val="46108032"/>
        <c:axId val="46113920"/>
      </c:radarChart>
      <c:catAx>
        <c:axId val="46108032"/>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6113920"/>
        <c:crosses val="autoZero"/>
        <c:auto val="1"/>
        <c:lblAlgn val="ctr"/>
        <c:lblOffset val="100"/>
        <c:noMultiLvlLbl val="0"/>
      </c:catAx>
      <c:valAx>
        <c:axId val="46113920"/>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0803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Low</a:t>
            </a:r>
          </a:p>
        </c:rich>
      </c:tx>
      <c:layout>
        <c:manualLayout>
          <c:xMode val="edge"/>
          <c:yMode val="edge"/>
          <c:x val="1.6585956845338343E-2"/>
          <c:y val="5.4740081592893522E-2"/>
        </c:manualLayout>
      </c:layout>
      <c:overlay val="0"/>
    </c:title>
    <c:autoTitleDeleted val="0"/>
    <c:plotArea>
      <c:layout>
        <c:manualLayout>
          <c:layoutTarget val="inner"/>
          <c:xMode val="edge"/>
          <c:yMode val="edge"/>
          <c:x val="0.17117041102913638"/>
          <c:y val="0.1355803277137243"/>
          <c:w val="0.54645123967889475"/>
          <c:h val="0.64809831502718562"/>
        </c:manualLayout>
      </c:layout>
      <c:radarChart>
        <c:radarStyle val="marker"/>
        <c:varyColors val="0"/>
        <c:ser>
          <c:idx val="0"/>
          <c:order val="0"/>
          <c:marker>
            <c:symbol val="none"/>
          </c:marker>
          <c:cat>
            <c:strRef>
              <c:f>Sheet11!$C$11:$C$15</c:f>
              <c:strCache>
                <c:ptCount val="5"/>
                <c:pt idx="0">
                  <c:v>Human</c:v>
                </c:pt>
                <c:pt idx="1">
                  <c:v>Natural</c:v>
                </c:pt>
                <c:pt idx="2">
                  <c:v>Physical</c:v>
                </c:pt>
                <c:pt idx="3">
                  <c:v>Financial</c:v>
                </c:pt>
                <c:pt idx="4">
                  <c:v>Social</c:v>
                </c:pt>
              </c:strCache>
            </c:strRef>
          </c:cat>
          <c:val>
            <c:numRef>
              <c:f>Sheet11!$D$11:$D$15</c:f>
              <c:numCache>
                <c:formatCode>0.00</c:formatCode>
                <c:ptCount val="5"/>
                <c:pt idx="0">
                  <c:v>0.38137379698492108</c:v>
                </c:pt>
                <c:pt idx="1">
                  <c:v>0.33000000000000657</c:v>
                </c:pt>
                <c:pt idx="2">
                  <c:v>0.52483361823361863</c:v>
                </c:pt>
                <c:pt idx="3">
                  <c:v>0.33831324857195538</c:v>
                </c:pt>
                <c:pt idx="4">
                  <c:v>0.32111111111111112</c:v>
                </c:pt>
              </c:numCache>
            </c:numRef>
          </c:val>
          <c:extLst>
            <c:ext xmlns:c16="http://schemas.microsoft.com/office/drawing/2014/chart" uri="{C3380CC4-5D6E-409C-BE32-E72D297353CC}">
              <c16:uniqueId val="{00000000-DDEE-40B9-82FE-975906A5DF86}"/>
            </c:ext>
          </c:extLst>
        </c:ser>
        <c:dLbls>
          <c:showLegendKey val="0"/>
          <c:showVal val="0"/>
          <c:showCatName val="0"/>
          <c:showSerName val="0"/>
          <c:showPercent val="0"/>
          <c:showBubbleSize val="0"/>
        </c:dLbls>
        <c:axId val="46121344"/>
        <c:axId val="46122880"/>
      </c:radarChart>
      <c:catAx>
        <c:axId val="46121344"/>
        <c:scaling>
          <c:orientation val="minMax"/>
        </c:scaling>
        <c:delete val="0"/>
        <c:axPos val="b"/>
        <c:majorGridlines/>
        <c:numFmt formatCode="General" sourceLinked="0"/>
        <c:majorTickMark val="none"/>
        <c:minorTickMark val="none"/>
        <c:tickLblPos val="nextTo"/>
        <c:txPr>
          <a:bodyPr rot="60000"/>
          <a:lstStyle/>
          <a:p>
            <a:pPr>
              <a:defRPr lang="en-US"/>
            </a:pPr>
            <a:endParaRPr lang="en-US"/>
          </a:p>
        </c:txPr>
        <c:crossAx val="46122880"/>
        <c:crosses val="autoZero"/>
        <c:auto val="1"/>
        <c:lblAlgn val="ctr"/>
        <c:lblOffset val="100"/>
        <c:noMultiLvlLbl val="0"/>
      </c:catAx>
      <c:valAx>
        <c:axId val="46122880"/>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2134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Overall </a:t>
            </a:r>
          </a:p>
        </c:rich>
      </c:tx>
      <c:layout>
        <c:manualLayout>
          <c:xMode val="edge"/>
          <c:yMode val="edge"/>
          <c:x val="1.2398719228884391E-3"/>
          <c:y val="4.9225654188702672E-2"/>
        </c:manualLayout>
      </c:layout>
      <c:overlay val="0"/>
    </c:title>
    <c:autoTitleDeleted val="0"/>
    <c:plotArea>
      <c:layout>
        <c:manualLayout>
          <c:layoutTarget val="inner"/>
          <c:xMode val="edge"/>
          <c:yMode val="edge"/>
          <c:x val="0.2453498354820868"/>
          <c:y val="0.17716319653096996"/>
          <c:w val="0.49717274622316882"/>
          <c:h val="0.59080056563405858"/>
        </c:manualLayout>
      </c:layout>
      <c:radarChart>
        <c:radarStyle val="marker"/>
        <c:varyColors val="0"/>
        <c:ser>
          <c:idx val="0"/>
          <c:order val="0"/>
          <c:tx>
            <c:strRef>
              <c:f>Sheet11!$B$2</c:f>
              <c:strCache>
                <c:ptCount val="1"/>
                <c:pt idx="0">
                  <c:v>Higher</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Sheet11!$B$3:$B$7</c:f>
              <c:numCache>
                <c:formatCode>0.00</c:formatCode>
                <c:ptCount val="5"/>
                <c:pt idx="0">
                  <c:v>0.41684595014943338</c:v>
                </c:pt>
                <c:pt idx="1">
                  <c:v>0.29000000000000031</c:v>
                </c:pt>
                <c:pt idx="2">
                  <c:v>0.46588606515437486</c:v>
                </c:pt>
                <c:pt idx="3">
                  <c:v>0.40563131313131279</c:v>
                </c:pt>
                <c:pt idx="4">
                  <c:v>0.36454545454545456</c:v>
                </c:pt>
              </c:numCache>
            </c:numRef>
          </c:val>
          <c:extLst>
            <c:ext xmlns:c16="http://schemas.microsoft.com/office/drawing/2014/chart" uri="{C3380CC4-5D6E-409C-BE32-E72D297353CC}">
              <c16:uniqueId val="{00000000-A6FF-4E67-8406-8E334CCAA2F3}"/>
            </c:ext>
          </c:extLst>
        </c:ser>
        <c:ser>
          <c:idx val="1"/>
          <c:order val="1"/>
          <c:tx>
            <c:strRef>
              <c:f>Sheet11!$C$2</c:f>
              <c:strCache>
                <c:ptCount val="1"/>
                <c:pt idx="0">
                  <c:v>Middle</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Sheet11!$C$3:$C$7</c:f>
              <c:numCache>
                <c:formatCode>0.00</c:formatCode>
                <c:ptCount val="5"/>
                <c:pt idx="0">
                  <c:v>0.40188375624115047</c:v>
                </c:pt>
                <c:pt idx="1">
                  <c:v>0.36000000000000032</c:v>
                </c:pt>
                <c:pt idx="2">
                  <c:v>0.50551328543711238</c:v>
                </c:pt>
                <c:pt idx="3">
                  <c:v>0.35021126760563381</c:v>
                </c:pt>
                <c:pt idx="4">
                  <c:v>0.25239436619718308</c:v>
                </c:pt>
              </c:numCache>
            </c:numRef>
          </c:val>
          <c:extLst>
            <c:ext xmlns:c16="http://schemas.microsoft.com/office/drawing/2014/chart" uri="{C3380CC4-5D6E-409C-BE32-E72D297353CC}">
              <c16:uniqueId val="{00000001-A6FF-4E67-8406-8E334CCAA2F3}"/>
            </c:ext>
          </c:extLst>
        </c:ser>
        <c:ser>
          <c:idx val="2"/>
          <c:order val="2"/>
          <c:tx>
            <c:strRef>
              <c:f>Sheet11!$D$2</c:f>
              <c:strCache>
                <c:ptCount val="1"/>
                <c:pt idx="0">
                  <c:v>Low</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Sheet11!$D$3:$D$7</c:f>
              <c:numCache>
                <c:formatCode>0.00</c:formatCode>
                <c:ptCount val="5"/>
                <c:pt idx="0">
                  <c:v>0.38137379698492235</c:v>
                </c:pt>
                <c:pt idx="1">
                  <c:v>0.33000000000000718</c:v>
                </c:pt>
                <c:pt idx="2">
                  <c:v>0.52483361823361863</c:v>
                </c:pt>
                <c:pt idx="3">
                  <c:v>0.33831324857195538</c:v>
                </c:pt>
                <c:pt idx="4">
                  <c:v>0.32111111111111112</c:v>
                </c:pt>
              </c:numCache>
            </c:numRef>
          </c:val>
          <c:extLst>
            <c:ext xmlns:c16="http://schemas.microsoft.com/office/drawing/2014/chart" uri="{C3380CC4-5D6E-409C-BE32-E72D297353CC}">
              <c16:uniqueId val="{00000002-A6FF-4E67-8406-8E334CCAA2F3}"/>
            </c:ext>
          </c:extLst>
        </c:ser>
        <c:ser>
          <c:idx val="3"/>
          <c:order val="3"/>
          <c:tx>
            <c:strRef>
              <c:f>Sheet11!$E$2</c:f>
              <c:strCache>
                <c:ptCount val="1"/>
                <c:pt idx="0">
                  <c:v>Mean</c:v>
                </c:pt>
              </c:strCache>
            </c:strRef>
          </c:tx>
          <c:spPr>
            <a:ln>
              <a:solidFill>
                <a:schemeClr val="tx1"/>
              </a:solidFill>
            </a:ln>
          </c:spPr>
          <c:marker>
            <c:symbol val="none"/>
          </c:marker>
          <c:cat>
            <c:strRef>
              <c:f>Sheet11!$A$3:$A$7</c:f>
              <c:strCache>
                <c:ptCount val="5"/>
                <c:pt idx="0">
                  <c:v>Human</c:v>
                </c:pt>
                <c:pt idx="1">
                  <c:v>Natural</c:v>
                </c:pt>
                <c:pt idx="2">
                  <c:v>Physical</c:v>
                </c:pt>
                <c:pt idx="3">
                  <c:v>Financial</c:v>
                </c:pt>
                <c:pt idx="4">
                  <c:v>Social</c:v>
                </c:pt>
              </c:strCache>
            </c:strRef>
          </c:cat>
          <c:val>
            <c:numRef>
              <c:f>Sheet11!$E$3:$E$7</c:f>
              <c:numCache>
                <c:formatCode>0.00</c:formatCode>
                <c:ptCount val="5"/>
                <c:pt idx="0">
                  <c:v>0.40003450112516431</c:v>
                </c:pt>
                <c:pt idx="1">
                  <c:v>0.32666666666667776</c:v>
                </c:pt>
                <c:pt idx="2">
                  <c:v>0.49874432294170234</c:v>
                </c:pt>
                <c:pt idx="3">
                  <c:v>0.36471860976964843</c:v>
                </c:pt>
                <c:pt idx="4">
                  <c:v>0.31268364395125886</c:v>
                </c:pt>
              </c:numCache>
            </c:numRef>
          </c:val>
          <c:extLst>
            <c:ext xmlns:c16="http://schemas.microsoft.com/office/drawing/2014/chart" uri="{C3380CC4-5D6E-409C-BE32-E72D297353CC}">
              <c16:uniqueId val="{00000003-A6FF-4E67-8406-8E334CCAA2F3}"/>
            </c:ext>
          </c:extLst>
        </c:ser>
        <c:dLbls>
          <c:showLegendKey val="0"/>
          <c:showVal val="0"/>
          <c:showCatName val="0"/>
          <c:showSerName val="0"/>
          <c:showPercent val="0"/>
          <c:showBubbleSize val="0"/>
        </c:dLbls>
        <c:axId val="46169472"/>
        <c:axId val="46187648"/>
      </c:radarChart>
      <c:catAx>
        <c:axId val="46169472"/>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6187648"/>
        <c:crosses val="autoZero"/>
        <c:auto val="1"/>
        <c:lblAlgn val="ctr"/>
        <c:lblOffset val="100"/>
        <c:noMultiLvlLbl val="0"/>
      </c:catAx>
      <c:valAx>
        <c:axId val="46187648"/>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69472"/>
        <c:crosses val="autoZero"/>
        <c:crossBetween val="between"/>
      </c:valAx>
    </c:plotArea>
    <c:legend>
      <c:legendPos val="b"/>
      <c:layout>
        <c:manualLayout>
          <c:xMode val="edge"/>
          <c:yMode val="edge"/>
          <c:x val="3.4575576661011645E-2"/>
          <c:y val="0.77213943342819591"/>
          <c:w val="0.95974931360492644"/>
          <c:h val="0.19424110010659768"/>
        </c:manualLayout>
      </c:layout>
      <c:overlay val="0"/>
      <c:txPr>
        <a:bodyPr/>
        <a:lstStyle/>
        <a:p>
          <a:pPr>
            <a:defRPr lang="en-US"/>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600">
                <a:latin typeface="Times New Roman" pitchFamily="18" charset="0"/>
                <a:cs typeface="Times New Roman" pitchFamily="18" charset="0"/>
              </a:defRPr>
            </a:pPr>
            <a:r>
              <a:rPr lang="en-US" sz="1600">
                <a:latin typeface="Times New Roman" pitchFamily="18" charset="0"/>
                <a:cs typeface="Times New Roman" pitchFamily="18" charset="0"/>
              </a:rPr>
              <a:t>Livelihood</a:t>
            </a:r>
            <a:r>
              <a:rPr lang="en-US" sz="1600" baseline="0">
                <a:latin typeface="Times New Roman" pitchFamily="18" charset="0"/>
                <a:cs typeface="Times New Roman" pitchFamily="18" charset="0"/>
              </a:rPr>
              <a:t> Strategies in Rudrapraag district</a:t>
            </a:r>
            <a:endParaRPr lang="en-US" sz="1600">
              <a:latin typeface="Times New Roman" pitchFamily="18" charset="0"/>
              <a:cs typeface="Times New Roman" pitchFamily="18" charset="0"/>
            </a:endParaRPr>
          </a:p>
        </c:rich>
      </c:tx>
      <c:layout>
        <c:manualLayout>
          <c:xMode val="edge"/>
          <c:yMode val="edge"/>
          <c:x val="0.18911722828261471"/>
          <c:y val="0"/>
        </c:manualLayout>
      </c:layout>
      <c:overlay val="0"/>
    </c:title>
    <c:autoTitleDeleted val="0"/>
    <c:plotArea>
      <c:layout/>
      <c:radarChart>
        <c:radarStyle val="marker"/>
        <c:varyColors val="0"/>
        <c:ser>
          <c:idx val="0"/>
          <c:order val="0"/>
          <c:tx>
            <c:strRef>
              <c:f>Sheet13!$B$1</c:f>
              <c:strCache>
                <c:ptCount val="1"/>
                <c:pt idx="0">
                  <c:v>High</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Sheet13!$B$2:$B$11</c:f>
              <c:numCache>
                <c:formatCode>0.00</c:formatCode>
                <c:ptCount val="10"/>
                <c:pt idx="0">
                  <c:v>0.45454545454545453</c:v>
                </c:pt>
                <c:pt idx="1">
                  <c:v>0.22727272727272727</c:v>
                </c:pt>
                <c:pt idx="2">
                  <c:v>0.1212121212121232</c:v>
                </c:pt>
                <c:pt idx="3">
                  <c:v>0.27272727272727282</c:v>
                </c:pt>
                <c:pt idx="4">
                  <c:v>0.5</c:v>
                </c:pt>
                <c:pt idx="5">
                  <c:v>0.15151515151515613</c:v>
                </c:pt>
                <c:pt idx="6">
                  <c:v>0.5757575757575758</c:v>
                </c:pt>
                <c:pt idx="7">
                  <c:v>0.15151515151515613</c:v>
                </c:pt>
                <c:pt idx="8">
                  <c:v>0.36363636363636381</c:v>
                </c:pt>
                <c:pt idx="9">
                  <c:v>0.25757575757575757</c:v>
                </c:pt>
              </c:numCache>
            </c:numRef>
          </c:val>
          <c:extLst>
            <c:ext xmlns:c16="http://schemas.microsoft.com/office/drawing/2014/chart" uri="{C3380CC4-5D6E-409C-BE32-E72D297353CC}">
              <c16:uniqueId val="{00000000-63B6-4D3D-AE28-ED9464F19CE6}"/>
            </c:ext>
          </c:extLst>
        </c:ser>
        <c:ser>
          <c:idx val="1"/>
          <c:order val="1"/>
          <c:tx>
            <c:strRef>
              <c:f>Sheet13!$C$1</c:f>
              <c:strCache>
                <c:ptCount val="1"/>
                <c:pt idx="0">
                  <c:v>Middle</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Sheet13!$C$2:$C$11</c:f>
              <c:numCache>
                <c:formatCode>0.00</c:formatCode>
                <c:ptCount val="10"/>
                <c:pt idx="0">
                  <c:v>0.4929577464788733</c:v>
                </c:pt>
                <c:pt idx="1">
                  <c:v>0.16901408450704752</c:v>
                </c:pt>
                <c:pt idx="2">
                  <c:v>0.16901408450704752</c:v>
                </c:pt>
                <c:pt idx="3">
                  <c:v>0.32394366197184227</c:v>
                </c:pt>
                <c:pt idx="4">
                  <c:v>0.352112676056338</c:v>
                </c:pt>
                <c:pt idx="5">
                  <c:v>0.16901408450704752</c:v>
                </c:pt>
                <c:pt idx="6">
                  <c:v>0.4788732394366198</c:v>
                </c:pt>
                <c:pt idx="7">
                  <c:v>0.15492957746478872</c:v>
                </c:pt>
                <c:pt idx="8">
                  <c:v>0.4929577464788733</c:v>
                </c:pt>
                <c:pt idx="9">
                  <c:v>0.18309859154930141</c:v>
                </c:pt>
              </c:numCache>
            </c:numRef>
          </c:val>
          <c:extLst>
            <c:ext xmlns:c16="http://schemas.microsoft.com/office/drawing/2014/chart" uri="{C3380CC4-5D6E-409C-BE32-E72D297353CC}">
              <c16:uniqueId val="{00000001-63B6-4D3D-AE28-ED9464F19CE6}"/>
            </c:ext>
          </c:extLst>
        </c:ser>
        <c:ser>
          <c:idx val="2"/>
          <c:order val="2"/>
          <c:tx>
            <c:strRef>
              <c:f>Sheet13!$D$1</c:f>
              <c:strCache>
                <c:ptCount val="1"/>
                <c:pt idx="0">
                  <c:v>Low</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Sheet13!$D$2:$D$11</c:f>
              <c:numCache>
                <c:formatCode>0.00</c:formatCode>
                <c:ptCount val="10"/>
                <c:pt idx="0">
                  <c:v>0.45925925925925931</c:v>
                </c:pt>
                <c:pt idx="1">
                  <c:v>0.14814814814814894</c:v>
                </c:pt>
                <c:pt idx="2">
                  <c:v>0.24444444444445154</c:v>
                </c:pt>
                <c:pt idx="3">
                  <c:v>0.24444444444445154</c:v>
                </c:pt>
                <c:pt idx="4">
                  <c:v>0.19259259259259601</c:v>
                </c:pt>
                <c:pt idx="5">
                  <c:v>0.26865671641791045</c:v>
                </c:pt>
                <c:pt idx="6">
                  <c:v>0.42222222222222588</c:v>
                </c:pt>
                <c:pt idx="7">
                  <c:v>0.17037037037037039</c:v>
                </c:pt>
                <c:pt idx="8">
                  <c:v>0.38518518518519235</c:v>
                </c:pt>
                <c:pt idx="9">
                  <c:v>0.24000000000000021</c:v>
                </c:pt>
              </c:numCache>
            </c:numRef>
          </c:val>
          <c:extLst>
            <c:ext xmlns:c16="http://schemas.microsoft.com/office/drawing/2014/chart" uri="{C3380CC4-5D6E-409C-BE32-E72D297353CC}">
              <c16:uniqueId val="{00000002-63B6-4D3D-AE28-ED9464F19CE6}"/>
            </c:ext>
          </c:extLst>
        </c:ser>
        <c:dLbls>
          <c:showLegendKey val="0"/>
          <c:showVal val="0"/>
          <c:showCatName val="0"/>
          <c:showSerName val="0"/>
          <c:showPercent val="0"/>
          <c:showBubbleSize val="0"/>
        </c:dLbls>
        <c:axId val="48351488"/>
        <c:axId val="48361472"/>
      </c:radarChart>
      <c:catAx>
        <c:axId val="48351488"/>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8361472"/>
        <c:crosses val="autoZero"/>
        <c:auto val="1"/>
        <c:lblAlgn val="ctr"/>
        <c:lblOffset val="100"/>
        <c:noMultiLvlLbl val="0"/>
      </c:catAx>
      <c:valAx>
        <c:axId val="48361472"/>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83514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0.82691</cdr:x>
      <cdr:y>0.37316</cdr:y>
    </cdr:from>
    <cdr:to>
      <cdr:x>0.98072</cdr:x>
      <cdr:y>0.44835</cdr:y>
    </cdr:to>
    <cdr:sp macro="" textlink="">
      <cdr:nvSpPr>
        <cdr:cNvPr id="2" name="TextBox 1"/>
        <cdr:cNvSpPr txBox="1"/>
      </cdr:nvSpPr>
      <cdr:spPr>
        <a:xfrm xmlns:a="http://schemas.openxmlformats.org/drawingml/2006/main">
          <a:off x="3875942" y="1178169"/>
          <a:ext cx="720970" cy="23739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Altitudes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FD478-E42F-4504-9A48-80C39B00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6622</Words>
  <Characters>37747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dc:creator>
  <cp:keywords/>
  <dc:description/>
  <cp:lastModifiedBy>SDI 1084</cp:lastModifiedBy>
  <cp:revision>5</cp:revision>
  <dcterms:created xsi:type="dcterms:W3CDTF">2025-03-24T16:39:00Z</dcterms:created>
  <dcterms:modified xsi:type="dcterms:W3CDTF">2025-03-25T06:04:00Z</dcterms:modified>
</cp:coreProperties>
</file>