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68DC3" w14:textId="77777777" w:rsidR="00221BB7" w:rsidRDefault="00221BB7" w:rsidP="00221BB7">
      <w:pPr>
        <w:spacing w:after="0" w:line="240" w:lineRule="auto"/>
        <w:jc w:val="center"/>
        <w:rPr>
          <w:rFonts w:ascii="Times New Roman" w:hAnsi="Times New Roman" w:cs="Times New Roman"/>
          <w:b/>
          <w:sz w:val="28"/>
          <w:szCs w:val="28"/>
        </w:rPr>
      </w:pPr>
      <w:r w:rsidRPr="00FD1622">
        <w:rPr>
          <w:rFonts w:ascii="Times New Roman" w:hAnsi="Times New Roman" w:cs="Times New Roman"/>
          <w:b/>
          <w:sz w:val="28"/>
          <w:szCs w:val="28"/>
        </w:rPr>
        <w:t xml:space="preserve">Influence of Health Literacy on the Utilization of Family Planning Services in </w:t>
      </w:r>
      <w:proofErr w:type="spellStart"/>
      <w:r w:rsidR="00D92891" w:rsidRPr="00FD1622">
        <w:rPr>
          <w:rFonts w:ascii="Times New Roman" w:hAnsi="Times New Roman" w:cs="Times New Roman"/>
          <w:b/>
          <w:sz w:val="28"/>
          <w:szCs w:val="28"/>
        </w:rPr>
        <w:t>Akheri</w:t>
      </w:r>
      <w:proofErr w:type="spellEnd"/>
      <w:r w:rsidR="00D92891" w:rsidRPr="00FD1622">
        <w:rPr>
          <w:rFonts w:ascii="Times New Roman" w:hAnsi="Times New Roman" w:cs="Times New Roman"/>
          <w:b/>
          <w:sz w:val="28"/>
          <w:szCs w:val="28"/>
        </w:rPr>
        <w:t xml:space="preserve"> Ward, </w:t>
      </w:r>
      <w:proofErr w:type="spellStart"/>
      <w:r w:rsidR="00D92891" w:rsidRPr="00FD1622">
        <w:rPr>
          <w:rFonts w:ascii="Times New Roman" w:hAnsi="Times New Roman" w:cs="Times New Roman"/>
          <w:b/>
          <w:sz w:val="28"/>
          <w:szCs w:val="28"/>
        </w:rPr>
        <w:t>Arumeru</w:t>
      </w:r>
      <w:proofErr w:type="spellEnd"/>
      <w:r w:rsidR="00D92891" w:rsidRPr="00FD1622">
        <w:rPr>
          <w:rFonts w:ascii="Times New Roman" w:hAnsi="Times New Roman" w:cs="Times New Roman"/>
          <w:b/>
          <w:sz w:val="28"/>
          <w:szCs w:val="28"/>
        </w:rPr>
        <w:t xml:space="preserve"> District</w:t>
      </w:r>
      <w:r w:rsidRPr="00FD1622">
        <w:rPr>
          <w:rFonts w:ascii="Times New Roman" w:hAnsi="Times New Roman" w:cs="Times New Roman"/>
          <w:b/>
          <w:sz w:val="28"/>
          <w:szCs w:val="28"/>
        </w:rPr>
        <w:t>, Arusha-Tanzania</w:t>
      </w:r>
    </w:p>
    <w:p w14:paraId="527FCDF9" w14:textId="77777777" w:rsidR="0076725B" w:rsidRPr="00FD1622" w:rsidRDefault="0076725B" w:rsidP="00221BB7">
      <w:pPr>
        <w:spacing w:after="0" w:line="240" w:lineRule="auto"/>
        <w:jc w:val="center"/>
        <w:rPr>
          <w:rFonts w:ascii="Times New Roman" w:hAnsi="Times New Roman" w:cs="Times New Roman"/>
          <w:b/>
          <w:sz w:val="28"/>
          <w:szCs w:val="28"/>
        </w:rPr>
      </w:pPr>
    </w:p>
    <w:p w14:paraId="32B9F96B" w14:textId="77777777" w:rsidR="00ED0B85" w:rsidRDefault="00ED0B85" w:rsidP="00221BB7">
      <w:pPr>
        <w:jc w:val="both"/>
        <w:rPr>
          <w:rFonts w:ascii="Times New Roman" w:hAnsi="Times New Roman" w:cs="Times New Roman"/>
          <w:b/>
          <w:sz w:val="24"/>
          <w:szCs w:val="24"/>
        </w:rPr>
      </w:pPr>
    </w:p>
    <w:p w14:paraId="777E2FC4" w14:textId="78D8DD98" w:rsidR="003A6214" w:rsidRDefault="00221BB7" w:rsidP="00221BB7">
      <w:pPr>
        <w:jc w:val="both"/>
        <w:rPr>
          <w:rFonts w:ascii="Times New Roman" w:hAnsi="Times New Roman" w:cs="Times New Roman"/>
          <w:b/>
          <w:sz w:val="24"/>
          <w:szCs w:val="24"/>
        </w:rPr>
      </w:pPr>
      <w:bookmarkStart w:id="0" w:name="_GoBack"/>
      <w:bookmarkEnd w:id="0"/>
      <w:r w:rsidRPr="00016DC3">
        <w:rPr>
          <w:rFonts w:ascii="Times New Roman" w:hAnsi="Times New Roman" w:cs="Times New Roman"/>
          <w:b/>
          <w:sz w:val="24"/>
          <w:szCs w:val="24"/>
        </w:rPr>
        <w:t>Abstract</w:t>
      </w:r>
    </w:p>
    <w:p w14:paraId="6C03F6B3" w14:textId="77777777" w:rsidR="009D3747" w:rsidRPr="00016DC3" w:rsidRDefault="009D3747" w:rsidP="00221BB7">
      <w:pPr>
        <w:jc w:val="both"/>
        <w:rPr>
          <w:rFonts w:ascii="Times New Roman" w:hAnsi="Times New Roman" w:cs="Times New Roman"/>
          <w:b/>
          <w:sz w:val="24"/>
          <w:szCs w:val="24"/>
        </w:rPr>
      </w:pPr>
    </w:p>
    <w:p w14:paraId="3EFB67EA" w14:textId="77777777" w:rsidR="00016DC3" w:rsidRPr="0076725B" w:rsidRDefault="00016DC3" w:rsidP="00016DC3">
      <w:pPr>
        <w:jc w:val="both"/>
        <w:rPr>
          <w:rFonts w:ascii="Times New Roman" w:hAnsi="Times New Roman" w:cs="Times New Roman"/>
          <w:sz w:val="20"/>
          <w:szCs w:val="20"/>
        </w:rPr>
      </w:pPr>
      <w:r w:rsidRPr="0076725B">
        <w:rPr>
          <w:rFonts w:ascii="Times New Roman" w:hAnsi="Times New Roman" w:cs="Times New Roman"/>
          <w:sz w:val="20"/>
          <w:szCs w:val="20"/>
        </w:rPr>
        <w:t xml:space="preserve">This study assessed the influence of health literacy on the utilization of family planning services in </w:t>
      </w:r>
      <w:proofErr w:type="spellStart"/>
      <w:r w:rsidR="00AF5C72" w:rsidRPr="0076725B">
        <w:rPr>
          <w:rFonts w:ascii="Times New Roman" w:hAnsi="Times New Roman" w:cs="Times New Roman"/>
          <w:sz w:val="20"/>
          <w:szCs w:val="20"/>
        </w:rPr>
        <w:t>Akheri</w:t>
      </w:r>
      <w:proofErr w:type="spellEnd"/>
      <w:r w:rsidR="00AF5C72" w:rsidRPr="0076725B">
        <w:rPr>
          <w:rFonts w:ascii="Times New Roman" w:hAnsi="Times New Roman" w:cs="Times New Roman"/>
          <w:sz w:val="20"/>
          <w:szCs w:val="20"/>
        </w:rPr>
        <w:t xml:space="preserve"> ward-</w:t>
      </w:r>
      <w:proofErr w:type="spellStart"/>
      <w:r w:rsidRPr="0076725B">
        <w:rPr>
          <w:rFonts w:ascii="Times New Roman" w:hAnsi="Times New Roman" w:cs="Times New Roman"/>
          <w:sz w:val="20"/>
          <w:szCs w:val="20"/>
        </w:rPr>
        <w:t>Arumeru</w:t>
      </w:r>
      <w:proofErr w:type="spellEnd"/>
      <w:r w:rsidRPr="0076725B">
        <w:rPr>
          <w:rFonts w:ascii="Times New Roman" w:hAnsi="Times New Roman" w:cs="Times New Roman"/>
          <w:sz w:val="20"/>
          <w:szCs w:val="20"/>
        </w:rPr>
        <w:t xml:space="preserve"> District, Arusha-Tanzania. Despite existing research on family planning in the region, the role of health literacy remains underexplored. Health literacy, defined as the ability to access, comprehend, and apply health-related information, significantly impacts reproductive health decisions. The study employed a mixed-methods approach, collecting data from 269 pregnant women and key informants through questionnaires and interviews. Findings revealed that 94.8% of respondents agreed that health literacy significantly influences family planning utilization, with 39% and 28.6% perceiving its impact as great and very great, respectively. Qualitative insights from healthcare providers emphasized the importance of education in dispelling myths and empowering individuals to make informed reproductive choices. The study concludes that enhancing health literacy through targeted education, media campaigns, and community outreach can improve family planning uptake, contributing to better maternal and child health outcomes.</w:t>
      </w:r>
    </w:p>
    <w:p w14:paraId="4DCE63A2" w14:textId="77777777" w:rsidR="00221BB7" w:rsidRPr="00016DC3" w:rsidRDefault="00016DC3" w:rsidP="00016DC3">
      <w:pPr>
        <w:jc w:val="both"/>
        <w:rPr>
          <w:rFonts w:ascii="Times New Roman" w:hAnsi="Times New Roman" w:cs="Times New Roman"/>
          <w:sz w:val="24"/>
          <w:szCs w:val="24"/>
        </w:rPr>
      </w:pPr>
      <w:r w:rsidRPr="00016DC3">
        <w:rPr>
          <w:rFonts w:ascii="Times New Roman" w:hAnsi="Times New Roman" w:cs="Times New Roman"/>
          <w:sz w:val="24"/>
          <w:szCs w:val="24"/>
        </w:rPr>
        <w:t xml:space="preserve">Keywords: Health literacy, Family planning, Reproductive health, </w:t>
      </w:r>
      <w:proofErr w:type="spellStart"/>
      <w:r w:rsidRPr="00016DC3">
        <w:rPr>
          <w:rFonts w:ascii="Times New Roman" w:hAnsi="Times New Roman" w:cs="Times New Roman"/>
          <w:sz w:val="24"/>
          <w:szCs w:val="24"/>
        </w:rPr>
        <w:t>Arumeru</w:t>
      </w:r>
      <w:proofErr w:type="spellEnd"/>
      <w:r w:rsidRPr="00016DC3">
        <w:rPr>
          <w:rFonts w:ascii="Times New Roman" w:hAnsi="Times New Roman" w:cs="Times New Roman"/>
          <w:sz w:val="24"/>
          <w:szCs w:val="24"/>
        </w:rPr>
        <w:t xml:space="preserve"> District, Tanzania.</w:t>
      </w:r>
    </w:p>
    <w:p w14:paraId="01D11FB6" w14:textId="77777777" w:rsidR="00221BB7" w:rsidRPr="00821DF5" w:rsidRDefault="00221BB7" w:rsidP="00221BB7">
      <w:pPr>
        <w:jc w:val="both"/>
        <w:rPr>
          <w:rFonts w:ascii="Times New Roman" w:hAnsi="Times New Roman" w:cs="Times New Roman"/>
          <w:b/>
          <w:sz w:val="24"/>
          <w:szCs w:val="24"/>
        </w:rPr>
      </w:pPr>
    </w:p>
    <w:p w14:paraId="4EBA4522" w14:textId="77777777" w:rsidR="00221BB7" w:rsidRPr="00821DF5" w:rsidRDefault="00221BB7" w:rsidP="00221BB7">
      <w:pPr>
        <w:pStyle w:val="ListParagraph"/>
        <w:numPr>
          <w:ilvl w:val="0"/>
          <w:numId w:val="1"/>
        </w:numPr>
        <w:jc w:val="both"/>
        <w:rPr>
          <w:rFonts w:ascii="Times New Roman" w:hAnsi="Times New Roman" w:cs="Times New Roman"/>
          <w:b/>
          <w:sz w:val="24"/>
          <w:szCs w:val="24"/>
        </w:rPr>
      </w:pPr>
      <w:r w:rsidRPr="00821DF5">
        <w:rPr>
          <w:rFonts w:ascii="Times New Roman" w:hAnsi="Times New Roman" w:cs="Times New Roman"/>
          <w:b/>
          <w:sz w:val="24"/>
          <w:szCs w:val="24"/>
        </w:rPr>
        <w:t>INTRODUCTION</w:t>
      </w:r>
    </w:p>
    <w:p w14:paraId="5AFB1626" w14:textId="77777777" w:rsidR="00221BB7" w:rsidRPr="0076725B" w:rsidRDefault="00221BB7" w:rsidP="00221BB7">
      <w:pPr>
        <w:jc w:val="both"/>
        <w:rPr>
          <w:rFonts w:ascii="Times New Roman" w:hAnsi="Times New Roman" w:cs="Times New Roman"/>
          <w:sz w:val="24"/>
          <w:szCs w:val="24"/>
        </w:rPr>
      </w:pPr>
      <w:r w:rsidRPr="0076725B">
        <w:rPr>
          <w:rFonts w:ascii="Times New Roman" w:hAnsi="Times New Roman" w:cs="Times New Roman"/>
          <w:sz w:val="24"/>
          <w:szCs w:val="24"/>
        </w:rPr>
        <w:t xml:space="preserve">Globally, health literacy is recognized as a critical determinant of health outcomes and healthcare utilization. Health literacy refers to the ability of individuals to access, understand, and use health information to make informed decisions about their health </w:t>
      </w:r>
      <w:r w:rsidR="002E0592" w:rsidRPr="0076725B">
        <w:rPr>
          <w:rFonts w:ascii="Times New Roman" w:hAnsi="Times New Roman" w:cs="Times New Roman"/>
          <w:sz w:val="24"/>
          <w:szCs w:val="24"/>
        </w:rPr>
        <w:fldChar w:fldCharType="begin" w:fldLock="1"/>
      </w:r>
      <w:r w:rsidR="002E0592" w:rsidRPr="0076725B">
        <w:rPr>
          <w:rFonts w:ascii="Times New Roman" w:hAnsi="Times New Roman" w:cs="Times New Roman"/>
          <w:sz w:val="24"/>
          <w:szCs w:val="24"/>
        </w:rPr>
        <w:instrText>ADDIN CSL_CITATION {"citationItems":[{"id":"ITEM-1","itemData":{"DOI":"10.1136/fmch-2020-000351","ISSN":"20098774","PMID":"32414834","abstract":"The objective of this review was to clarify what health literacy represents. A systematic review with qualitative syntheses was performed (CRD42017065149). Studies concerning health literacy in all settings were included. Studies before 15 March 2017 were identified from PubMed, Medline, Embase, Web of Science, Scopus, PsycARTICLES and the Cochrane Library. The included literature either had defined the concept of health literacy or made a detailed explanation of health literacy. A total of 34 original studies met the inclusion criteria, including 13 involved in previous systematic reviews and 21 new studies. Health literacy was commonly conceptualised as a set of knowledge, a set of skills or a hierarchy of functions (functional-interactive-critical). The construct of health literacy covers three broad elements: (1) knowledge of health, healthcare and health systems; (2) processing and using information in various formats in relation to health and healthcare; and (3) ability to maintain health through self-management and working in partnerships with health providers. Health literacy is defined as the ability of an individual to obtain and translate knowledge and information in order to maintain and improve health in a way that is appropriate to the individual and system contexts. This definition highlights the diversity of needs from different individuals and the importance of interactions between individual consumers, healthcare providers and healthcare systems.","author":[{"dropping-particle":"","family":"Liu","given":"Chenxi","non-dropping-particle":"","parse-names":false,"suffix":""},{"dropping-particle":"","family":"Wang","given":"Dan","non-dropping-particle":"","parse-names":false,"suffix":""},{"dropping-particle":"","family":"Liu","given":"Chaojie","non-dropping-particle":"","parse-names":false,"suffix":""},{"dropping-particle":"","family":"Jiang","given":"Junnan","non-dropping-particle":"","parse-names":false,"suffix":""},{"dropping-particle":"","family":"Wang","given":"Xuemei","non-dropping-particle":"","parse-names":false,"suffix":""},{"dropping-particle":"","family":"Chen","given":"Haihong","non-dropping-particle":"","parse-names":false,"suffix":""},{"dropping-particle":"","family":"Ju","given":"Xin","non-dropping-particle":"","parse-names":false,"suffix":""},{"dropping-particle":"","family":"Zhang","given":"Xinping","non-dropping-particle":"","parse-names":false,"suffix":""}],"container-title":"Family Medicine and Community Health","id":"ITEM-1","issue":"2","issued":{"date-parts":[["2020"]]},"page":"1-8","title":"What is the meaning of health literacy? A systematic review and qualitative synthesis","type":"article-journal","volume":"8"},"uris":["http://www.mendeley.com/documents/?uuid=76430be9-5739-4f57-8b76-15abd1e2554d"]}],"mendeley":{"formattedCitation":"(Liu et al., 2020)","plainTextFormattedCitation":"(Liu et al., 2020)","previouslyFormattedCitation":"(Liu et al., 2020)"},"properties":{"noteIndex":0},"schema":"https://github.com/citation-style-language/schema/raw/master/csl-citation.json"}</w:instrText>
      </w:r>
      <w:r w:rsidR="002E0592" w:rsidRPr="0076725B">
        <w:rPr>
          <w:rFonts w:ascii="Times New Roman" w:hAnsi="Times New Roman" w:cs="Times New Roman"/>
          <w:sz w:val="24"/>
          <w:szCs w:val="24"/>
        </w:rPr>
        <w:fldChar w:fldCharType="separate"/>
      </w:r>
      <w:r w:rsidR="002E0592" w:rsidRPr="0076725B">
        <w:rPr>
          <w:rFonts w:ascii="Times New Roman" w:hAnsi="Times New Roman" w:cs="Times New Roman"/>
          <w:noProof/>
          <w:sz w:val="24"/>
          <w:szCs w:val="24"/>
        </w:rPr>
        <w:t>(Liu et al., 2020)</w:t>
      </w:r>
      <w:r w:rsidR="002E0592" w:rsidRPr="0076725B">
        <w:rPr>
          <w:rFonts w:ascii="Times New Roman" w:hAnsi="Times New Roman" w:cs="Times New Roman"/>
          <w:sz w:val="24"/>
          <w:szCs w:val="24"/>
        </w:rPr>
        <w:fldChar w:fldCharType="end"/>
      </w:r>
      <w:r w:rsidRPr="0076725B">
        <w:rPr>
          <w:rFonts w:ascii="Times New Roman" w:hAnsi="Times New Roman" w:cs="Times New Roman"/>
          <w:sz w:val="24"/>
          <w:szCs w:val="24"/>
        </w:rPr>
        <w:t>. Low health literacy is associated with poor health outcomes, reduced utilization of preventive services, and increased healthcare costs. Family planning services, which are essential for improving maternal and child health, reducing unintended pregnancies, and promoting gender equality, are significantly influenced by health literacy levels</w:t>
      </w:r>
      <w:r w:rsidR="00AF5C72" w:rsidRPr="0076725B">
        <w:rPr>
          <w:rFonts w:ascii="Times New Roman" w:hAnsi="Times New Roman" w:cs="Times New Roman"/>
          <w:sz w:val="24"/>
          <w:szCs w:val="24"/>
        </w:rPr>
        <w:t xml:space="preserve"> </w:t>
      </w:r>
      <w:r w:rsidR="00905B5B" w:rsidRPr="0076725B">
        <w:rPr>
          <w:rFonts w:ascii="Times New Roman" w:hAnsi="Times New Roman" w:cs="Times New Roman"/>
          <w:sz w:val="24"/>
          <w:szCs w:val="24"/>
        </w:rPr>
        <w:fldChar w:fldCharType="begin" w:fldLock="1"/>
      </w:r>
      <w:r w:rsidR="00D5205A" w:rsidRPr="0076725B">
        <w:rPr>
          <w:rFonts w:ascii="Times New Roman" w:hAnsi="Times New Roman" w:cs="Times New Roman"/>
          <w:sz w:val="24"/>
          <w:szCs w:val="24"/>
        </w:rPr>
        <w:instrText>ADDIN CSL_CITATION {"citationItems":[{"id":"ITEM-1","itemData":{"DOI":"10.1186/s12889-022-13103-1","ISBN":"1288902213103","ISSN":"14712458","PMID":"35379226","abstract":"Background: Low uptake of various recommended modern family planning methods is associated with inadequate family planning literacy among potential beneficiaries of the methods. As such, understanding factors affecting family planning literacy is key to addressing this problem. This study, therefore, explored factors affecting family planning literacy among women of childbearing age in the rural Lake Zone of Tanzania. Methods: The study utilized an exploratory descriptive qualitative research approach using focus group discussions to collect data. A total of eight focus group discussion sessions were held to solicit information from childbearing age women involved in the study. Thematic analysis was used to analyze the data collected from the study participants. Results: Several factors were found to negatively affect the family planning literacy of women of childbearing age in the communities under review. These factors were low levels of education, religious affiliation, and low family income. Other factors that were also found to negatively affect women’s family planning literacy include fertility preference, negative perceptions of family planning, preference of unproven family planning methods, limited access to reliable sources of family planning information, household responsibilities, and poor male partner support on family planning matters. Conclusion: This study has identified a multitude of factors affecting the family planning literacy of women of childbearing age. These factors can limit the women’s capacity to make informed decisions on the utilization of modern family planning methods. Thus, addressing these factors is pivotal in increasing the women’s overall uptake of various recommended family planning methods and enhancing their reproductive health outcomes.","author":[{"dropping-particle":"","family":"Kassim","given":"Mohamed","non-dropping-particle":"","parse-names":false,"suffix":""},{"dropping-particle":"","family":"Ndumbaro","given":"Faraja","non-dropping-particle":"","parse-names":false,"suffix":""}],"container-title":"BMC Public Health","id":"ITEM-1","issue":"1","issued":{"date-parts":[["2022"]]},"page":"1-11","publisher":"BioMed Central","title":"Factors affecting family planning literacy among women of childbearing age in the rural Lake zone, Tanzania","type":"article-journal","volume":"22"},"uris":["http://www.mendeley.com/documents/?uuid=7a4e8e3d-ed7c-47aa-b98c-2ed0a83bec91"]}],"mendeley":{"formattedCitation":"(Kassim &amp; Ndumbaro, 2022)","plainTextFormattedCitation":"(Kassim &amp; Ndumbaro, 2022)","previouslyFormattedCitation":"(Kassim &amp; Ndumbaro, 2022)"},"properties":{"noteIndex":0},"schema":"https://github.com/citation-style-language/schema/raw/master/csl-citation.json"}</w:instrText>
      </w:r>
      <w:r w:rsidR="00905B5B" w:rsidRPr="0076725B">
        <w:rPr>
          <w:rFonts w:ascii="Times New Roman" w:hAnsi="Times New Roman" w:cs="Times New Roman"/>
          <w:sz w:val="24"/>
          <w:szCs w:val="24"/>
        </w:rPr>
        <w:fldChar w:fldCharType="separate"/>
      </w:r>
      <w:r w:rsidR="00905B5B" w:rsidRPr="0076725B">
        <w:rPr>
          <w:rFonts w:ascii="Times New Roman" w:hAnsi="Times New Roman" w:cs="Times New Roman"/>
          <w:noProof/>
          <w:sz w:val="24"/>
          <w:szCs w:val="24"/>
        </w:rPr>
        <w:t>(Kassim &amp; Ndumbaro, 2022)</w:t>
      </w:r>
      <w:r w:rsidR="00905B5B" w:rsidRPr="0076725B">
        <w:rPr>
          <w:rFonts w:ascii="Times New Roman" w:hAnsi="Times New Roman" w:cs="Times New Roman"/>
          <w:sz w:val="24"/>
          <w:szCs w:val="24"/>
        </w:rPr>
        <w:fldChar w:fldCharType="end"/>
      </w:r>
      <w:r w:rsidRPr="0076725B">
        <w:rPr>
          <w:rFonts w:ascii="Times New Roman" w:hAnsi="Times New Roman" w:cs="Times New Roman"/>
          <w:sz w:val="24"/>
          <w:szCs w:val="24"/>
        </w:rPr>
        <w:t xml:space="preserve">. According to </w:t>
      </w:r>
      <w:r w:rsidR="002E0592" w:rsidRPr="0076725B">
        <w:rPr>
          <w:rFonts w:ascii="Times New Roman" w:hAnsi="Times New Roman" w:cs="Times New Roman"/>
          <w:sz w:val="24"/>
          <w:szCs w:val="24"/>
        </w:rPr>
        <w:t xml:space="preserve">Speizer et al, </w:t>
      </w:r>
      <w:r w:rsidR="002E0592" w:rsidRPr="0076725B">
        <w:rPr>
          <w:rFonts w:ascii="Times New Roman" w:hAnsi="Times New Roman" w:cs="Times New Roman"/>
          <w:sz w:val="24"/>
          <w:szCs w:val="24"/>
        </w:rPr>
        <w:fldChar w:fldCharType="begin" w:fldLock="1"/>
      </w:r>
      <w:r w:rsidR="002E0592" w:rsidRPr="0076725B">
        <w:rPr>
          <w:rFonts w:ascii="Times New Roman" w:hAnsi="Times New Roman" w:cs="Times New Roman"/>
          <w:sz w:val="24"/>
          <w:szCs w:val="24"/>
        </w:rPr>
        <w:instrText>ADDIN CSL_CITATION {"citationItems":[{"id":"ITEM-1","itemData":{"DOI":"10.9745/GHSP-D-21-00450","ISSN":"2169575X","PMID":"35294385","author":[{"dropping-particle":"","family":"Speizer","given":"Ilene S.","non-dropping-particle":"","parse-names":false,"suffix":""},{"dropping-particle":"","family":"Bremner","given":"Jason","non-dropping-particle":"","parse-names":false,"suffix":""},{"dropping-particle":"","family":"Farid","given":"Shiza","non-dropping-particle":"","parse-names":false,"suffix":""}],"container-title":"Global Health Science and Practice","id":"ITEM-1","issue":"1","issued":{"date-parts":[["2022"]]},"page":"1-8","title":"Language and Measurement of Contraceptive Need and Making These Indicators More Meaningful for Measuring Fertility Intentions of Women and Girls","type":"article-journal","volume":"10"},"suppress-author":1,"uris":["http://www.mendeley.com/documents/?uuid=97f91d22-5716-4c7b-9fb3-adabe1cd9e07"]}],"mendeley":{"formattedCitation":"(2022)","plainTextFormattedCitation":"(2022)","previouslyFormattedCitation":"(2022)"},"properties":{"noteIndex":0},"schema":"https://github.com/citation-style-language/schema/raw/master/csl-citation.json"}</w:instrText>
      </w:r>
      <w:r w:rsidR="002E0592" w:rsidRPr="0076725B">
        <w:rPr>
          <w:rFonts w:ascii="Times New Roman" w:hAnsi="Times New Roman" w:cs="Times New Roman"/>
          <w:sz w:val="24"/>
          <w:szCs w:val="24"/>
        </w:rPr>
        <w:fldChar w:fldCharType="separate"/>
      </w:r>
      <w:r w:rsidR="002E0592" w:rsidRPr="0076725B">
        <w:rPr>
          <w:rFonts w:ascii="Times New Roman" w:hAnsi="Times New Roman" w:cs="Times New Roman"/>
          <w:noProof/>
          <w:sz w:val="24"/>
          <w:szCs w:val="24"/>
        </w:rPr>
        <w:t>(2022)</w:t>
      </w:r>
      <w:r w:rsidR="002E0592" w:rsidRPr="0076725B">
        <w:rPr>
          <w:rFonts w:ascii="Times New Roman" w:hAnsi="Times New Roman" w:cs="Times New Roman"/>
          <w:sz w:val="24"/>
          <w:szCs w:val="24"/>
        </w:rPr>
        <w:fldChar w:fldCharType="end"/>
      </w:r>
      <w:r w:rsidRPr="0076725B">
        <w:rPr>
          <w:rFonts w:ascii="Times New Roman" w:hAnsi="Times New Roman" w:cs="Times New Roman"/>
          <w:sz w:val="24"/>
          <w:szCs w:val="24"/>
        </w:rPr>
        <w:t xml:space="preserve">, approximately 218 million women of reproductive age in developing countries have an unmet need for modern contraception, partly due to limited health literacy and access to information </w:t>
      </w:r>
      <w:r w:rsidR="002E0592" w:rsidRPr="0076725B">
        <w:rPr>
          <w:rFonts w:ascii="Times New Roman" w:hAnsi="Times New Roman" w:cs="Times New Roman"/>
          <w:sz w:val="24"/>
          <w:szCs w:val="24"/>
        </w:rPr>
        <w:fldChar w:fldCharType="begin" w:fldLock="1"/>
      </w:r>
      <w:r w:rsidR="001B3CEC" w:rsidRPr="0076725B">
        <w:rPr>
          <w:rFonts w:ascii="Times New Roman" w:hAnsi="Times New Roman" w:cs="Times New Roman"/>
          <w:sz w:val="24"/>
          <w:szCs w:val="24"/>
        </w:rPr>
        <w:instrText>ADDIN CSL_CITATION {"citationItems":[{"id":"ITEM-1","itemData":{"DOI":"10.1186/s12889-020-08498-8","ISSN":"14712458","PMID":"32345275","abstract":"Background: Health literacy concerns the ability of citizens to meet the complex demands of health in modern society. Data on the distribution of health literacy in general populations and how health literacy impacts health behavior and general health remains scarce. The present study aims to investigate the prevalence of health literacy levels and associations of health literacy with socioeconomic position, health risk behavior, and health status at a population level. Methods: A nationwide cross-sectional survey linked to administrative registry data was applied to a randomly selected sample of 15,728 Danish individuals aged ≥25 years. By the short form HLS-EU-Q16 health literacy was measured for the domains of healthcare, disease prevention, and health promotion. Adjusted multinomial logistic regression analyses were used to estimate associations of health literacy with demographic and socioeconomic characteristics, health risk behavior (physical activity, smoking, alcohol consumption, body weight), and health status (sickness benefits, self-assessed health). Results: Overall, 9007 (57.3%) individuals responded to the survey. Nearly 4 in 10 respondents faced difficulties in accessing, understanding, appraising, and applying health information. Notably, 8.18% presented with inadequate health literacy and 30.94% with problematic health literacy. Adjusted for potential confounders, regression analyses showed that males, younger individuals, immigrants, individuals with basic education or income below the national average, and individuals receiving social benefits had substantially higher odds of inadequate health literacy. Among health behavior factors (smoking, high alcohol consumption, and inactivity), only physical behavior [sedentary: OR: 2.31 (95% CI: 1.81; 2.95)] was associated with inadequate health literacy in the adjusted models. The long-term health risk indicator body-weight showed that individuals with obesity [OR: 1.78 (95% CI: 1.39; 2.28)] had significantly higher odds of lower health literacy scores. Poor self-assessed health [OR: 4.03 (95% CI: 3.26; 5.00)] and payments of sickness absence compensation benefits [OR: 1.74 (95% CI: 1.35; 2.23)] were associated with lower health literacy scores. Conclusions: Despite a relatively highly educated population, the prevalence of inadequate health literacy is high. Inadequate health literacy is strongly associated with a low socioeconomic position, poor health status, inactivity, and overweight, b…","author":[{"dropping-particle":"","family":"Svendsen","given":"Majbritt Tang","non-dropping-particle":"","parse-names":false,"suffix":""},{"dropping-particle":"","family":"Bak","given":"Carsten Kronborg","non-dropping-particle":"","parse-names":false,"suffix":""},{"dropping-particle":"","family":"Sørensen","given":"Kristine","non-dropping-particle":"","parse-names":false,"suffix":""},{"dropping-particle":"","family":"Pelikan","given":"Jürgen","non-dropping-particle":"","parse-names":false,"suffix":""},{"dropping-particle":"","family":"Riddersholm","given":"Signe Juul","non-dropping-particle":"","parse-names":false,"suffix":""},{"dropping-particle":"","family":"Skals","given":"Regitze Kuhr","non-dropping-particle":"","parse-names":false,"suffix":""},{"dropping-particle":"","family":"Mortensen","given":"Rikke Nørmark","non-dropping-particle":"","parse-names":false,"suffix":""},{"dropping-particle":"","family":"Maindal","given":"Helle Terkildsen","non-dropping-particle":"","parse-names":false,"suffix":""},{"dropping-particle":"","family":"Bøggild","given":"Henrik","non-dropping-particle":"","parse-names":false,"suffix":""},{"dropping-particle":"","family":"Nielsen","given":"Gitte","non-dropping-particle":"","parse-names":false,"suffix":""},{"dropping-particle":"","family":"Torp-Pedersen","given":"Christian","non-dropping-particle":"","parse-names":false,"suffix":""}],"container-title":"BMC Public Health","id":"ITEM-1","issue":"1","issued":{"date-parts":[["2020"]]},"page":"1-12","publisher":"BMC Public Health","title":"Associations of health literacy with socioeconomic position, health risk behavior, and health status: A large national population-based survey among Danish adults","type":"article-journal","volume":"20"},"uris":["http://www.mendeley.com/documents/?uuid=759fbfcb-4041-4736-bc99-6d14ef46b5fe"]},{"id":"ITEM-2","itemData":{"author":[{"dropping-particle":"","family":"Mhina","given":"Juma Almasi","non-dropping-particle":"","parse-names":false,"suffix":""}],"container-title":"South Asian Journal of Social Studies and Economics","id":"ITEM-2","issue":"11","issued":{"date-parts":[["2024"]]},"page":"111-121","title":"Awareness of Family Planning Services among Pregnant Women in Arumeru District , Tanzania : Implications for Public Health Interventions","type":"article-journal","volume":"21"},"uris":["http://www.mendeley.com/documents/?uuid=09b0616d-d0bd-46e9-a1e8-7fe66a1e6585"]}],"mendeley":{"formattedCitation":"(Mhina, 2024; Svendsen et al., 2020)","plainTextFormattedCitation":"(Mhina, 2024; Svendsen et al., 2020)","previouslyFormattedCitation":"(Mhina, 2024; Svendsen et al., 2020)"},"properties":{"noteIndex":0},"schema":"https://github.com/citation-style-language/schema/raw/master/csl-citation.json"}</w:instrText>
      </w:r>
      <w:r w:rsidR="002E0592" w:rsidRPr="0076725B">
        <w:rPr>
          <w:rFonts w:ascii="Times New Roman" w:hAnsi="Times New Roman" w:cs="Times New Roman"/>
          <w:sz w:val="24"/>
          <w:szCs w:val="24"/>
        </w:rPr>
        <w:fldChar w:fldCharType="separate"/>
      </w:r>
      <w:r w:rsidR="002E0592" w:rsidRPr="0076725B">
        <w:rPr>
          <w:rFonts w:ascii="Times New Roman" w:hAnsi="Times New Roman" w:cs="Times New Roman"/>
          <w:noProof/>
          <w:sz w:val="24"/>
          <w:szCs w:val="24"/>
        </w:rPr>
        <w:t>(Mhina, 2024; Svendsen et al., 2020)</w:t>
      </w:r>
      <w:r w:rsidR="002E0592" w:rsidRPr="0076725B">
        <w:rPr>
          <w:rFonts w:ascii="Times New Roman" w:hAnsi="Times New Roman" w:cs="Times New Roman"/>
          <w:sz w:val="24"/>
          <w:szCs w:val="24"/>
        </w:rPr>
        <w:fldChar w:fldCharType="end"/>
      </w:r>
      <w:r w:rsidRPr="0076725B">
        <w:rPr>
          <w:rFonts w:ascii="Times New Roman" w:hAnsi="Times New Roman" w:cs="Times New Roman"/>
          <w:sz w:val="24"/>
          <w:szCs w:val="24"/>
        </w:rPr>
        <w:t>.</w:t>
      </w:r>
    </w:p>
    <w:p w14:paraId="6D8D96C1" w14:textId="77777777" w:rsidR="00221BB7" w:rsidRPr="0076725B" w:rsidRDefault="00221BB7" w:rsidP="00221BB7">
      <w:pPr>
        <w:jc w:val="both"/>
        <w:rPr>
          <w:rFonts w:ascii="Times New Roman" w:hAnsi="Times New Roman" w:cs="Times New Roman"/>
          <w:sz w:val="24"/>
          <w:szCs w:val="24"/>
        </w:rPr>
      </w:pPr>
      <w:r w:rsidRPr="0076725B">
        <w:rPr>
          <w:rFonts w:ascii="Times New Roman" w:hAnsi="Times New Roman" w:cs="Times New Roman"/>
          <w:sz w:val="24"/>
          <w:szCs w:val="24"/>
        </w:rPr>
        <w:t>In Sub-Saharan Africa, health literacy remains a significant challenge, with low levels of education and limited access to health information contributing to poor health outcomes</w:t>
      </w:r>
      <w:r w:rsidR="00D5205A" w:rsidRPr="0076725B">
        <w:rPr>
          <w:rFonts w:ascii="Times New Roman" w:hAnsi="Times New Roman" w:cs="Times New Roman"/>
          <w:sz w:val="24"/>
          <w:szCs w:val="24"/>
        </w:rPr>
        <w:fldChar w:fldCharType="begin" w:fldLock="1"/>
      </w:r>
      <w:r w:rsidR="009303AC" w:rsidRPr="0076725B">
        <w:rPr>
          <w:rFonts w:ascii="Times New Roman" w:hAnsi="Times New Roman" w:cs="Times New Roman"/>
          <w:sz w:val="24"/>
          <w:szCs w:val="24"/>
        </w:rPr>
        <w:instrText>ADDIN CSL_CITATION {"citationItems":[{"id":"ITEM-1","itemData":{"DOI":"10.1016/j.pec.2020.06.007","ISSN":"18735134","PMID":"32601042","abstract":"Objective: This review assessed whether health literacy differences exist between rural and urban populations and whether rurality is a determinant. Methods: Eight online databases were searched using the keywords “health literacy”, “rural” and “urban”, and related terms. Peer-reviewed original research comparing health literacy levels between rural and urban populations were evaluated for strength of evidence. A narrative synthesis summarised the results of included studies. Results: Nineteen articles met inclusion criteria and were of sufficient methodological quality for data extraction. The majority of studies found that urban populations had higher health literacy than rural populations. Differences were more likely to be found in developing than developed countries. Studies that performed covariate analysis indicated that rurality may not be a significant determinant of health literacy. Conclusion: Evidence suggests that rurality alone does not explain rural-urban health literacy differences and that sociodemographic factors play important roles. Practice implications: These findings could be used to help inform the development of evidence-based interventions specifically for rural populations, at both health policy and clinical levels; for example, by tackling healthcare access challenges. The findings also provide a lens through which to consider efforts to reduce rural-urban health outcome disparities.","author":[{"dropping-particle":"","family":"Aljassim","given":"Noor","non-dropping-particle":"","parse-names":false,"suffix":""},{"dropping-particle":"","family":"Ostini","given":"Remo","non-dropping-particle":"","parse-names":false,"suffix":""}],"container-title":"Patient Education and Counseling","id":"ITEM-1","issue":"10","issued":{"date-parts":[["2020"]]},"page":"2142-2154","publisher":"Elsevier Ireland Ltd","title":"Health literacy in rural and urban populations: A systematic review","type":"article-journal","volume":"103"},"uris":["http://www.mendeley.com/documents/?uuid=ceb249f9-9288-43b0-89b4-d6d09cfbaea1"]}],"mendeley":{"formattedCitation":"(Aljassim &amp; Ostini, 2020)","plainTextFormattedCitation":"(Aljassim &amp; Ostini, 2020)","previouslyFormattedCitation":"(Aljassim &amp; Ostini, 2020)"},"properties":{"noteIndex":0},"schema":"https://github.com/citation-style-language/schema/raw/master/csl-citation.json"}</w:instrText>
      </w:r>
      <w:r w:rsidR="00D5205A" w:rsidRPr="0076725B">
        <w:rPr>
          <w:rFonts w:ascii="Times New Roman" w:hAnsi="Times New Roman" w:cs="Times New Roman"/>
          <w:sz w:val="24"/>
          <w:szCs w:val="24"/>
        </w:rPr>
        <w:fldChar w:fldCharType="separate"/>
      </w:r>
      <w:r w:rsidR="00D5205A" w:rsidRPr="0076725B">
        <w:rPr>
          <w:rFonts w:ascii="Times New Roman" w:hAnsi="Times New Roman" w:cs="Times New Roman"/>
          <w:noProof/>
          <w:sz w:val="24"/>
          <w:szCs w:val="24"/>
        </w:rPr>
        <w:t>(Aljassim &amp; Ostini, 2020)</w:t>
      </w:r>
      <w:r w:rsidR="00D5205A" w:rsidRPr="0076725B">
        <w:rPr>
          <w:rFonts w:ascii="Times New Roman" w:hAnsi="Times New Roman" w:cs="Times New Roman"/>
          <w:sz w:val="24"/>
          <w:szCs w:val="24"/>
        </w:rPr>
        <w:fldChar w:fldCharType="end"/>
      </w:r>
      <w:r w:rsidRPr="0076725B">
        <w:rPr>
          <w:rFonts w:ascii="Times New Roman" w:hAnsi="Times New Roman" w:cs="Times New Roman"/>
          <w:sz w:val="24"/>
          <w:szCs w:val="24"/>
        </w:rPr>
        <w:t>. The region has the highest fertility rates globally, with an average of 4.6 births per woman, and a significant proportion of women lack access to modern family planning methods</w:t>
      </w:r>
      <w:r w:rsidR="001B3CEC" w:rsidRPr="0076725B">
        <w:rPr>
          <w:rFonts w:ascii="Times New Roman" w:hAnsi="Times New Roman" w:cs="Times New Roman"/>
          <w:sz w:val="24"/>
          <w:szCs w:val="24"/>
        </w:rPr>
        <w:fldChar w:fldCharType="begin" w:fldLock="1"/>
      </w:r>
      <w:r w:rsidR="00BF4BB6" w:rsidRPr="0076725B">
        <w:rPr>
          <w:rFonts w:ascii="Times New Roman" w:hAnsi="Times New Roman" w:cs="Times New Roman"/>
          <w:sz w:val="24"/>
          <w:szCs w:val="24"/>
        </w:rPr>
        <w:instrText>ADDIN CSL_CITATION {"citationItems":[{"id":"ITEM-1","itemData":{"DOI":"10.2147/oajc.s252970","abstract":"Background: Family planning is defined as the ability of couples or individuals to attain their desired number of children, spacing, and timing of their births with the use of contra-ceptive methods. Ethiopia is one of the most populated countries in Africa with a high fertility rate, a highly unmet need for family planning, and low contraceptive utilization. Objective: This study aims to assess modern contraceptive method utilization and associated factors among women of reproductive age in Gondar City, Northwest Ethiopia. Materials and Methods: A community-based cross-sectional study design was undertaken with 708 women in the reproductive age in Gondar City, using a structured questionnaire combined with face-to-face interviews. Descriptive analysis, binary, and multivariable logistic regression analyses were applied to analyze the data. Results: In this study, 41.2% of the respondents utilized modern contraceptive methods. Of the study participants, 52.1 % had good knowledge and 45.3% had a favorable attitude towards modern contraceptive methods. After adjusting for covariates, the odds of using modern contraceptive methods were 3.6 times, 4.7 times, 2.4 times, and 4 times higher among women of the age 20-24, 25-29, preparatory education, and degree holders, respectively. In addition, for the women having up to six desired children {[}AOR (Adjusted Odds Ratio) = 2.4 (95% CI: 1.1, 5.3)], a history of no-child death experience {[}AOR= 4.4 (95% CI: 1.03, 19.1)], good knowledge {[}AOR= 4.1 (95% CI: 2.7, 6.0)], and favorable attitude {[}AOR= 3.5 (95% CI: 2.4, 5.1)] were positively associated with modern contraceptive utilization. Conclusion: The majority of participants had good knowledge about, but the unfavorable attitude towards the utilization of modern contraceptive methods. Therefore, the authors recommended that special awareness creation with the help of health education interventions should be employed in the community.","author":[{"dropping-particle":"","family":"Oumer","given":"Mohammed","non-dropping-particle":"","parse-names":false,"suffix":""},{"dropping-particle":"","family":"Manaye","given":"Agmas","non-dropping-particle":"","parse-names":false,"suffix":""},{"dropping-particle":"","family":"Mengistu","given":"Zelalem","non-dropping-particle":"","parse-names":false,"suffix":""}],"container-title":"Open Access Journal of Contraception","id":"ITEM-1","issue":"1","issued":{"date-parts":[["2020"]]},"page":"53-67","title":"Modern Contraceptive Method Utilization and Associated Factors Among Women of Reproductive Age in Gondar City, Northwest Ethiopia","type":"article-journal","volume":"Volume 11"},"uris":["http://www.mendeley.com/documents/?uuid=af3bc8fe-6e91-4bc7-ab2f-69ffde728aac"]},{"id":"ITEM-2","itemData":{"DOI":"10.1155/2020/6096280","ISSN":"23146141","PMID":"33457410","abstract":"Background. The use of modern family planning methods among women of reproductive age (15-49 years) is of public health importance in Ethiopia. Nationally, modern family planning method use remains as low as 35%. Understanding factors associated with the use of modern family planning methods may help to improve maternal and child health. Hence, this study is aimed at assessing modern family planning method use and its determinants among women of reproductive age in the rural districts of Eastern Hararghe zone, Eastern Ethiopia. Methodology. A community-based, cross-sectional survey was conducted among 577 randomly selected, currently married, reproductive-aged women in selected rural districts of Eastern Hararghe, Eastern Ethiopia. Data were collected using a pretested, interviewer-administered questionnaire about women's sociodemographic information, knowledge about contraception, reproductive history, contraceptive use and fertility desire, couple's communication, and decision-making on family planning. Binary and multivariable logistic regression was used to analyze the association between the dependent and independent variables. Result. A total of 555 study participants participated, yielding a 96.2% response rate. The overall modern family planning utilization among the study participants was 18.4%. Knowledge of modern family planning methods (AOR=16.958, CI: 4.768, 60.316), husband approval (AOR=3.590, CI: 2.170, 5.936), couple's discussion (AOR=2.852, CI: 1.759, 4.623), male involvement in decisions about family planning (AOR=2.340, CI: 1.531, 3.576), desire for additional child (AOR=2.295, CI: 1.528, 3.447), and previous use of contraception (AOR=0.018, CI: 0.005, 0.063) were significantly associated with modern contraceptive utilization. Conclusion. Even though knowledge of modern family planning methods was very high, the overall modern family planning method use in the study area was low. The government should focus on increasing modern family planning method availability. It must also ensure family planning method security and create awareness on modern family planning methods through community-based education and proper counselling to empower women to make an appropriate choice.","author":[{"dropping-particle":"","family":"Mulatu","given":"Teshale","non-dropping-particle":"","parse-names":false,"suffix":""},{"dropping-particle":"","family":"Sintayehu","given":"Yitagesu","non-dropping-particle":"","parse-names":false,"suffix":""},{"dropping-particle":"","family":"Dessie","given":"Yadeta","non-dropping-particle":"","parse-names":false,"suffix":""},{"dropping-particle":"","family":"Deressa","given":"Merga","non-dropping-particle":"","parse-names":false,"suffix":""}],"container-title":"BioMed Research International","id":"ITEM-2","issued":{"date-parts":[["2020"]]},"title":"Modern Family Planning Utilization and Its Associated Factors among Currently Married Women in Rural Eastern Ethiopia: A Community-Based Study","type":"article-journal","volume":"2020"},"uris":["http://www.mendeley.com/documents/?uuid=5753dd8b-d686-4029-ba2c-e17309a66cab"]}],"mendeley":{"formattedCitation":"(Mulatu et al., 2020; Oumer et al., 2020)","plainTextFormattedCitation":"(Mulatu et al., 2020; Oumer et al., 2020)","previouslyFormattedCitation":"(Mulatu et al., 2020; Oumer et al., 2020)"},"properties":{"noteIndex":0},"schema":"https://github.com/citation-style-language/schema/raw/master/csl-citation.json"}</w:instrText>
      </w:r>
      <w:r w:rsidR="001B3CEC" w:rsidRPr="0076725B">
        <w:rPr>
          <w:rFonts w:ascii="Times New Roman" w:hAnsi="Times New Roman" w:cs="Times New Roman"/>
          <w:sz w:val="24"/>
          <w:szCs w:val="24"/>
        </w:rPr>
        <w:fldChar w:fldCharType="separate"/>
      </w:r>
      <w:r w:rsidR="001B3CEC" w:rsidRPr="0076725B">
        <w:rPr>
          <w:rFonts w:ascii="Times New Roman" w:hAnsi="Times New Roman" w:cs="Times New Roman"/>
          <w:noProof/>
          <w:sz w:val="24"/>
          <w:szCs w:val="24"/>
        </w:rPr>
        <w:t>(Mulatu et al., 2020; Oumer et al., 2020)</w:t>
      </w:r>
      <w:r w:rsidR="001B3CEC" w:rsidRPr="0076725B">
        <w:rPr>
          <w:rFonts w:ascii="Times New Roman" w:hAnsi="Times New Roman" w:cs="Times New Roman"/>
          <w:sz w:val="24"/>
          <w:szCs w:val="24"/>
        </w:rPr>
        <w:fldChar w:fldCharType="end"/>
      </w:r>
      <w:r w:rsidRPr="0076725B">
        <w:rPr>
          <w:rFonts w:ascii="Times New Roman" w:hAnsi="Times New Roman" w:cs="Times New Roman"/>
          <w:sz w:val="24"/>
          <w:szCs w:val="24"/>
        </w:rPr>
        <w:t>. Health literacy is a key barrier to the uptake of family planning services, as many women and men lack the knowledge and skills to make informed decisions about contraception. Cultural and social norms, gender inequality, and limited access to healthcare services further exacerbate the problem</w:t>
      </w:r>
      <w:r w:rsidR="00BF4BB6" w:rsidRPr="0076725B">
        <w:rPr>
          <w:rFonts w:ascii="Times New Roman" w:hAnsi="Times New Roman" w:cs="Times New Roman"/>
          <w:sz w:val="24"/>
          <w:szCs w:val="24"/>
        </w:rPr>
        <w:t xml:space="preserve"> </w:t>
      </w:r>
      <w:r w:rsidR="00BF4BB6" w:rsidRPr="0076725B">
        <w:rPr>
          <w:rFonts w:ascii="Times New Roman" w:hAnsi="Times New Roman" w:cs="Times New Roman"/>
          <w:sz w:val="24"/>
          <w:szCs w:val="24"/>
        </w:rPr>
        <w:fldChar w:fldCharType="begin" w:fldLock="1"/>
      </w:r>
      <w:r w:rsidR="00BF4BB6" w:rsidRPr="0076725B">
        <w:rPr>
          <w:rFonts w:ascii="Times New Roman" w:hAnsi="Times New Roman" w:cs="Times New Roman"/>
          <w:sz w:val="24"/>
          <w:szCs w:val="24"/>
        </w:rPr>
        <w:instrText>ADDIN CSL_CITATION {"citationItems":[{"id":"ITEM-1","itemData":{"DOI":"10.1016/S0140-6736(19)30652-X","ISSN":"1474547X","PMID":"31155275","abstract":"Gender is not accurately captured by the traditional male and female dichotomy of sex. Instead, it is a complex social system that structures the life experience of all human beings. This paper, the first in a Series of five papers, investigates the relationships between gender inequality, restrictive gender norms, and health and wellbeing. Building upon past work, we offer a consolidated conceptual framework that shows how individuals born biologically male or female develop into gendered beings, and how sexism and patriarchy intersect with other forms of discrimination, such as racism, classism, and homophobia, to structure pathways to poor health. We discuss the ample evidence showing the far-reaching consequences of these pathways, including how gender inequality and restrictive gender norms impact health through differential exposures, health-related behaviours and access to care, as well as how gender-biased health research and health-care systems reinforce and reproduce gender inequalities, with serious implications for health. The cumulative consequences of structured disadvantage, mediated through discriminatory laws, policies, and institutions, as well as diet, stress, substance use, and environmental toxins, have triggered important discussions about the role of social injustice in the creation and maintenance of health inequities, especially along racial and socioeconomic lines. This Series paper raises the parallel question of whether discrimination based on gender likewise becomes embodied, with negative consequences for health. For decades, advocates have worked to eliminate gender discrimination in global health, with only modest success. A new plan and new political commitment are needed if these global health aspirations and the wider Sustainable Development Goals of the UN are to be achieved.","author":[{"dropping-particle":"","family":"Heise","given":"Lori","non-dropping-particle":"","parse-names":false,"suffix":""},{"dropping-particle":"","family":"Greene","given":"Margaret E.","non-dropping-particle":"","parse-names":false,"suffix":""},{"dropping-particle":"","family":"Opper","given":"Neisha","non-dropping-particle":"","parse-names":false,"suffix":""},{"dropping-particle":"","family":"Stavropoulou","given":"Maria","non-dropping-particle":"","parse-names":false,"suffix":""},{"dropping-particle":"","family":"Harper","given":"Caroline","non-dropping-particle":"","parse-names":false,"suffix":""},{"dropping-particle":"","family":"Nascimento","given":"Marcos","non-dropping-particle":"","parse-names":false,"suffix":""},{"dropping-particle":"","family":"Zewdie","given":"Debrework","non-dropping-particle":"","parse-names":false,"suffix":""},{"dropping-particle":"","family":"Darmstadt","given":"Gary L.","non-dropping-particle":"","parse-names":false,"suffix":""},{"dropping-particle":"","family":"Greene","given":"Margaret Eleanor","non-dropping-particle":"","parse-names":false,"suffix":""},{"dropping-particle":"","family":"Hawkes","given":"Sarah","non-dropping-particle":"","parse-names":false,"suffix":""},{"dropping-particle":"","family":"Henry","given":"Sarah","non-dropping-particle":"","parse-names":false,"suffix":""},{"dropping-particle":"","family":"Heymann","given":"Jody","non-dropping-particle":"","parse-names":false,"suffix":""},{"dropping-particle":"","family":"Klugman","given":"Jeni","non-dropping-particle":"","parse-names":false,"suffix":""},{"dropping-particle":"","family":"Levine","given":"Ruth","non-dropping-particle":"","parse-names":false,"suffix":""},{"dropping-particle":"","family":"Raj","given":"Anita","non-dropping-particle":"","parse-names":false,"suffix":""},{"dropping-particle":"","family":"Rao Gupta","given":"Geeta","non-dropping-particle":"","parse-names":false,"suffix":""}],"container-title":"The Lancet","id":"ITEM-1","issue":"10189","issued":{"date-parts":[["2019"]]},"page":"2440-2454","title":"Gender inequality and restrictive gender norms: framing the challenges to health","type":"article-journal","volume":"393"},"uris":["http://www.mendeley.com/documents/?uuid=4bf6f8bd-2c4d-4df3-9189-255a3059dbe4"]}],"mendeley":{"formattedCitation":"(Heise et al., 2019)","plainTextFormattedCitation":"(Heise et al., 2019)","previouslyFormattedCitation":"(Heise et al., 2019)"},"properties":{"noteIndex":0},"schema":"https://github.com/citation-style-language/schema/raw/master/csl-citation.json"}</w:instrText>
      </w:r>
      <w:r w:rsidR="00BF4BB6" w:rsidRPr="0076725B">
        <w:rPr>
          <w:rFonts w:ascii="Times New Roman" w:hAnsi="Times New Roman" w:cs="Times New Roman"/>
          <w:sz w:val="24"/>
          <w:szCs w:val="24"/>
        </w:rPr>
        <w:fldChar w:fldCharType="separate"/>
      </w:r>
      <w:r w:rsidR="00BF4BB6" w:rsidRPr="0076725B">
        <w:rPr>
          <w:rFonts w:ascii="Times New Roman" w:hAnsi="Times New Roman" w:cs="Times New Roman"/>
          <w:noProof/>
          <w:sz w:val="24"/>
          <w:szCs w:val="24"/>
        </w:rPr>
        <w:t>(Heise et al., 2019)</w:t>
      </w:r>
      <w:r w:rsidR="00BF4BB6" w:rsidRPr="0076725B">
        <w:rPr>
          <w:rFonts w:ascii="Times New Roman" w:hAnsi="Times New Roman" w:cs="Times New Roman"/>
          <w:sz w:val="24"/>
          <w:szCs w:val="24"/>
        </w:rPr>
        <w:fldChar w:fldCharType="end"/>
      </w:r>
      <w:r w:rsidRPr="0076725B">
        <w:rPr>
          <w:rFonts w:ascii="Times New Roman" w:hAnsi="Times New Roman" w:cs="Times New Roman"/>
          <w:sz w:val="24"/>
          <w:szCs w:val="24"/>
        </w:rPr>
        <w:t>.</w:t>
      </w:r>
    </w:p>
    <w:p w14:paraId="6BDD59FB" w14:textId="77777777" w:rsidR="00221BB7" w:rsidRPr="0076725B" w:rsidRDefault="00221BB7" w:rsidP="00221BB7">
      <w:pPr>
        <w:jc w:val="both"/>
        <w:rPr>
          <w:rFonts w:ascii="Times New Roman" w:hAnsi="Times New Roman" w:cs="Times New Roman"/>
          <w:sz w:val="24"/>
          <w:szCs w:val="24"/>
        </w:rPr>
      </w:pPr>
      <w:r w:rsidRPr="0076725B">
        <w:rPr>
          <w:rFonts w:ascii="Times New Roman" w:hAnsi="Times New Roman" w:cs="Times New Roman"/>
          <w:sz w:val="24"/>
          <w:szCs w:val="24"/>
        </w:rPr>
        <w:t xml:space="preserve">In East Africa, health literacy and family planning utilization vary widely across countries. While some countries, such as Kenya and Rwanda, have made significant progress in increasing contraceptive prevalence rates, others, like Tanzania, still face challenges. In East Africa, health literacy is influenced by factors such as education levels, access to media, and </w:t>
      </w:r>
      <w:r w:rsidRPr="0076725B">
        <w:rPr>
          <w:rFonts w:ascii="Times New Roman" w:hAnsi="Times New Roman" w:cs="Times New Roman"/>
          <w:sz w:val="24"/>
          <w:szCs w:val="24"/>
        </w:rPr>
        <w:lastRenderedPageBreak/>
        <w:t>cultural attitudes toward family planning. Studies have shown that women with higher health literacy are more likely to use modern contraceptive methods and have better reproductive health outcomes</w:t>
      </w:r>
      <w:r w:rsidR="00BF4BB6" w:rsidRPr="0076725B">
        <w:rPr>
          <w:rFonts w:ascii="Times New Roman" w:hAnsi="Times New Roman" w:cs="Times New Roman"/>
          <w:sz w:val="24"/>
          <w:szCs w:val="24"/>
        </w:rPr>
        <w:t xml:space="preserve"> </w:t>
      </w:r>
      <w:r w:rsidR="00BF4BB6" w:rsidRPr="0076725B">
        <w:rPr>
          <w:rFonts w:ascii="Times New Roman" w:hAnsi="Times New Roman" w:cs="Times New Roman"/>
          <w:sz w:val="24"/>
          <w:szCs w:val="24"/>
        </w:rPr>
        <w:fldChar w:fldCharType="begin" w:fldLock="1"/>
      </w:r>
      <w:r w:rsidR="00821DF5" w:rsidRPr="0076725B">
        <w:rPr>
          <w:rFonts w:ascii="Times New Roman" w:hAnsi="Times New Roman" w:cs="Times New Roman"/>
          <w:sz w:val="24"/>
          <w:szCs w:val="24"/>
        </w:rPr>
        <w:instrText>ADDIN CSL_CITATION {"citationItems":[{"id":"ITEM-1","itemData":{"DOI":"10.1080/21642850.2020.1850288","ISSN":"21642850","abstract":"Objective: The oral contraceptive pill is the most widely used method of contraception and when adhered to perfectly is 99% effective at preventing pregnancy. However, adherence to the pill is relatively low. Knowledge has shown to be important in continuation of the pill, and previous research shows the importance of health literacy in adhering to medication in chronic illnesses, but its role has yet to be explored in this behavior. Methods: This cross-sectional study examined the associations between health literacy, knowledge of the pill and adherence, as well as the predictive ability of these two variables and their interaction, in predicting adherence. Recruited through CloudResearch, 193 women (M age = 32.63 years, SD = 5.98) residing in the United States completed the Health Literacy Skills Instrument–Short Form, a previously validated measure of oral contraceptive pill knowledge and the Medication Adherence Report Scale. Results: Results showed a strong positive correlation between health literacy and adherence (r =.76) and moderate associations between health literacy and knowledge (r =.42), and knowledge and adherence (r =.42). The final model of the hierarchical multiple regression accounted for 59.8% of variance in adherence, with health literacy (β =.69) and length of time taking the pill (β =.13) the only significant predictors of adherence. Conclusion: Family planning clinics should consider assessing the patient’s health literacy skills before prescribing the pill to ensure patients fully understand the requirements.","author":[{"dropping-particle":"","family":"Liddelow","given":"Caitlin","non-dropping-particle":"","parse-names":false,"suffix":""},{"dropping-particle":"","family":"Mullan","given":"Barbara","non-dropping-particle":"","parse-names":false,"suffix":""},{"dropping-particle":"","family":"Boyes","given":"Mark","non-dropping-particle":"","parse-names":false,"suffix":""}],"container-title":"Health Psychology and Behavioral Medicine","id":"ITEM-1","issue":"1","issued":{"date-parts":[["2020"]]},"page":"587-600","publisher":"Taylor &amp; Francis","title":"Adherence to the oral contraceptive pill: the roles of health literacy and knowledge","type":"article-journal","volume":"8"},"uris":["http://www.mendeley.com/documents/?uuid=eaa47a68-a92a-466b-856f-4486847b8215"]},{"id":"ITEM-2","itemData":{"DOI":"10.3389/fpubh.2021.629051","ISSN":"22962565","PMID":"33996713","abstract":"Introduction: Health literacy of women can significantly affect different aspects of reproductive health. The aim of this study was the assessment of relationship of health literacy, socio-demographic characteristics and reproductive health behaviors of women in Serbia. Methodology: This was a cross-sectional study on a random sample of women aged 18 and over from the territories of three Serbian regions, stratified according to age groups, region and type of settlement. A standardized version of the European Health Literacy Survey Questionnaire (HLS-EU-Q47) was used in assessing health literacy of women. Results: Based on the calculated index of health literacy, 9.6% of respondents had inadequate health literacy. Inadequate levels of health literacy were more common in women living in rural areas (OR = 1.111) and the poorer classes (OR = 5.122). Employed women (OP = 1.249), with good health (OR = 1.512) with a degree (OR = 1.535) had bigger odds to have adequate health literacy. Multivariate regression analysis showed the following significant predictors: commitment to the chosen gynecologist (OR = 1.530), contraceptive use (OR = 1.020), knowledge of the damages that could be caused by the human papillomavirus (HPV) (OR = 1.578), awareness of vaccine availability against HPV infection (OR = 1.217) and following the health-related topics (OR = 2.350). Conclusion: Limited levels of health literacy were significantly higher among middle-aged women, among those living in rural areas, among women who rated their health as poor or very poor, and who exhibited more negative patterns of reproductive health behavior, indicating the need for implementation of prevention programs and strategies with the aim of increasing the level of health literacy.","author":[{"dropping-particle":"","family":"Maricic","given":"Milena","non-dropping-particle":"","parse-names":false,"suffix":""},{"dropping-particle":"","family":"Stojanovic","given":"Goran","non-dropping-particle":"","parse-names":false,"suffix":""},{"dropping-particle":"","family":"Pazun","given":"Vanja","non-dropping-particle":"","parse-names":false,"suffix":""},{"dropping-particle":"","family":"Stepović","given":"Milos","non-dropping-particle":"","parse-names":false,"suffix":""},{"dropping-particle":"","family":"Djordjevic","given":"Ognjen","non-dropping-particle":"","parse-names":false,"suffix":""},{"dropping-particle":"","family":"Macuzic","given":"Ivana Zivanovic","non-dropping-particle":"","parse-names":false,"suffix":""},{"dropping-particle":"","family":"Milicic","given":"Vesna","non-dropping-particle":"","parse-names":false,"suffix":""},{"dropping-particle":"","family":"Vucic","given":"Veroljub","non-dropping-particle":"","parse-names":false,"suffix":""},{"dropping-particle":"","family":"Radevic","given":"Svetlana","non-dropping-particle":"","parse-names":false,"suffix":""},{"dropping-particle":"","family":"Radovanovic","given":"Snezana","non-dropping-particle":"","parse-names":false,"suffix":""}],"container-title":"Frontiers in Public Health","id":"ITEM-2","issue":"April","issued":{"date-parts":[["2021"]]},"page":"1-10","title":"Relationship Between Socio-Demographic Characteristics, Reproductive Health Behaviors, and Health Literacy of Women in Serbia","type":"article-journal","volume":"9"},"uris":["http://www.mendeley.com/documents/?uuid=682395dc-4421-4af8-a07f-9b42f3118f97"]}],"mendeley":{"formattedCitation":"(Liddelow et al., 2020; Maricic et al., 2021)","plainTextFormattedCitation":"(Liddelow et al., 2020; Maricic et al., 2021)","previouslyFormattedCitation":"(Liddelow et al., 2020; Maricic et al., 2021)"},"properties":{"noteIndex":0},"schema":"https://github.com/citation-style-language/schema/raw/master/csl-citation.json"}</w:instrText>
      </w:r>
      <w:r w:rsidR="00BF4BB6" w:rsidRPr="0076725B">
        <w:rPr>
          <w:rFonts w:ascii="Times New Roman" w:hAnsi="Times New Roman" w:cs="Times New Roman"/>
          <w:sz w:val="24"/>
          <w:szCs w:val="24"/>
        </w:rPr>
        <w:fldChar w:fldCharType="separate"/>
      </w:r>
      <w:r w:rsidR="00BF4BB6" w:rsidRPr="0076725B">
        <w:rPr>
          <w:rFonts w:ascii="Times New Roman" w:hAnsi="Times New Roman" w:cs="Times New Roman"/>
          <w:noProof/>
          <w:sz w:val="24"/>
          <w:szCs w:val="24"/>
        </w:rPr>
        <w:t>(Liddelow et al., 2020; Maricic et al., 2021)</w:t>
      </w:r>
      <w:r w:rsidR="00BF4BB6" w:rsidRPr="0076725B">
        <w:rPr>
          <w:rFonts w:ascii="Times New Roman" w:hAnsi="Times New Roman" w:cs="Times New Roman"/>
          <w:sz w:val="24"/>
          <w:szCs w:val="24"/>
        </w:rPr>
        <w:fldChar w:fldCharType="end"/>
      </w:r>
      <w:r w:rsidRPr="0076725B">
        <w:rPr>
          <w:rFonts w:ascii="Times New Roman" w:hAnsi="Times New Roman" w:cs="Times New Roman"/>
          <w:sz w:val="24"/>
          <w:szCs w:val="24"/>
        </w:rPr>
        <w:t>. However, misconceptions about family planning, lack of male involvement, and limited access to healthcare services remain significant barriers.</w:t>
      </w:r>
    </w:p>
    <w:p w14:paraId="25D1D35E" w14:textId="77777777" w:rsidR="00F027E6" w:rsidRPr="0076725B" w:rsidRDefault="00F027E6" w:rsidP="00221BB7">
      <w:pPr>
        <w:jc w:val="both"/>
        <w:rPr>
          <w:rFonts w:ascii="Times New Roman" w:hAnsi="Times New Roman" w:cs="Times New Roman"/>
          <w:sz w:val="24"/>
          <w:szCs w:val="24"/>
        </w:rPr>
      </w:pPr>
      <w:r w:rsidRPr="0076725B">
        <w:rPr>
          <w:rFonts w:ascii="Times New Roman" w:hAnsi="Times New Roman" w:cs="Times New Roman"/>
          <w:sz w:val="24"/>
          <w:szCs w:val="24"/>
        </w:rPr>
        <w:t>In Tanzania, the utilization of family planning services is influenced by a range of factors, including health literacy, cultural beliefs, and access to healthcare services. According to the Tanzania Demographic and Health Survey (TDHS) 2022, the contraceptive prevalence rate (CPR) for modern methods among married women is 32%, indicating that a significant proportion of women still have an unmet need for family planning</w:t>
      </w:r>
      <w:r w:rsidR="009303AC" w:rsidRPr="0076725B">
        <w:rPr>
          <w:rFonts w:ascii="Times New Roman" w:hAnsi="Times New Roman" w:cs="Times New Roman"/>
          <w:sz w:val="24"/>
          <w:szCs w:val="24"/>
        </w:rPr>
        <w:t xml:space="preserve"> </w:t>
      </w:r>
      <w:r w:rsidR="00821DF5" w:rsidRPr="0076725B">
        <w:rPr>
          <w:rFonts w:ascii="Times New Roman" w:hAnsi="Times New Roman" w:cs="Times New Roman"/>
          <w:sz w:val="24"/>
          <w:szCs w:val="24"/>
        </w:rPr>
        <w:fldChar w:fldCharType="begin" w:fldLock="1"/>
      </w:r>
      <w:r w:rsidR="009B6D52" w:rsidRPr="0076725B">
        <w:rPr>
          <w:rFonts w:ascii="Times New Roman" w:hAnsi="Times New Roman" w:cs="Times New Roman"/>
          <w:sz w:val="24"/>
          <w:szCs w:val="24"/>
        </w:rPr>
        <w:instrText>ADDIN CSL_CITATION {"citationItems":[{"id":"ITEM-1","itemData":{"author":[{"dropping-particle":"","family":"NBS","given":"","non-dropping-particle":"","parse-names":false,"suffix":""}],"id":"ITEM-1","issued":{"date-parts":[["2022"]]},"number-of-pages":"28pp","title":"Tanzania Demographic and Health Survey and Malaria Indicator Survey 2022: Key Indicators Report. National Bureau of Statistics and ICF","type":"report"},"uris":["http://www.mendeley.com/documents/?uuid=ab1e6289-0d2d-4a47-b28a-f648f986d670"]}],"mendeley":{"formattedCitation":"(NBS, 2022)","plainTextFormattedCitation":"(NBS, 2022)","previouslyFormattedCitation":"(NBS, 2022)"},"properties":{"noteIndex":0},"schema":"https://github.com/citation-style-language/schema/raw/master/csl-citation.json"}</w:instrText>
      </w:r>
      <w:r w:rsidR="00821DF5" w:rsidRPr="0076725B">
        <w:rPr>
          <w:rFonts w:ascii="Times New Roman" w:hAnsi="Times New Roman" w:cs="Times New Roman"/>
          <w:sz w:val="24"/>
          <w:szCs w:val="24"/>
        </w:rPr>
        <w:fldChar w:fldCharType="separate"/>
      </w:r>
      <w:r w:rsidR="00821DF5" w:rsidRPr="0076725B">
        <w:rPr>
          <w:rFonts w:ascii="Times New Roman" w:hAnsi="Times New Roman" w:cs="Times New Roman"/>
          <w:noProof/>
          <w:sz w:val="24"/>
          <w:szCs w:val="24"/>
        </w:rPr>
        <w:t>(NBS, 2022)</w:t>
      </w:r>
      <w:r w:rsidR="00821DF5" w:rsidRPr="0076725B">
        <w:rPr>
          <w:rFonts w:ascii="Times New Roman" w:hAnsi="Times New Roman" w:cs="Times New Roman"/>
          <w:sz w:val="24"/>
          <w:szCs w:val="24"/>
        </w:rPr>
        <w:fldChar w:fldCharType="end"/>
      </w:r>
      <w:r w:rsidRPr="0076725B">
        <w:rPr>
          <w:rFonts w:ascii="Times New Roman" w:hAnsi="Times New Roman" w:cs="Times New Roman"/>
          <w:sz w:val="24"/>
          <w:szCs w:val="24"/>
        </w:rPr>
        <w:t>. Health literacy is a critical factor, as many women lack knowledge about the types of contraceptives available, their benefits, and potential side effects. Additionally, cultural and religious beliefs often discourage the use of family planning, particularly in rural areas. The Tanzanian government has implemented various programs to improve health literacy and increase access to family planning services, but challenges remain, particularly in remote and underserved areas</w:t>
      </w:r>
      <w:r w:rsidR="009303AC" w:rsidRPr="0076725B">
        <w:rPr>
          <w:rFonts w:ascii="Times New Roman" w:hAnsi="Times New Roman" w:cs="Times New Roman"/>
          <w:sz w:val="24"/>
          <w:szCs w:val="24"/>
        </w:rPr>
        <w:t xml:space="preserve"> </w:t>
      </w:r>
      <w:r w:rsidR="009303AC" w:rsidRPr="0076725B">
        <w:rPr>
          <w:rFonts w:ascii="Times New Roman" w:hAnsi="Times New Roman" w:cs="Times New Roman"/>
          <w:sz w:val="24"/>
          <w:szCs w:val="24"/>
        </w:rPr>
        <w:fldChar w:fldCharType="begin" w:fldLock="1"/>
      </w:r>
      <w:r w:rsidR="00275A4D" w:rsidRPr="0076725B">
        <w:rPr>
          <w:rFonts w:ascii="Times New Roman" w:hAnsi="Times New Roman" w:cs="Times New Roman"/>
          <w:sz w:val="24"/>
          <w:szCs w:val="24"/>
        </w:rPr>
        <w:instrText>ADDIN CSL_CITATION {"citationItems":[{"id":"ITEM-1","itemData":{"DOI":"10.1186/s12889-022-13103-1","ISBN":"1288902213103","ISSN":"14712458","PMID":"35379226","abstract":"Background: Low uptake of various recommended modern family planning methods is associated with inadequate family planning literacy among potential beneficiaries of the methods. As such, understanding factors affecting family planning literacy is key to addressing this problem. This study, therefore, explored factors affecting family planning literacy among women of childbearing age in the rural Lake Zone of Tanzania. Methods: The study utilized an exploratory descriptive qualitative research approach using focus group discussions to collect data. A total of eight focus group discussion sessions were held to solicit information from childbearing age women involved in the study. Thematic analysis was used to analyze the data collected from the study participants. Results: Several factors were found to negatively affect the family planning literacy of women of childbearing age in the communities under review. These factors were low levels of education, religious affiliation, and low family income. Other factors that were also found to negatively affect women’s family planning literacy include fertility preference, negative perceptions of family planning, preference of unproven family planning methods, limited access to reliable sources of family planning information, household responsibilities, and poor male partner support on family planning matters. Conclusion: This study has identified a multitude of factors affecting the family planning literacy of women of childbearing age. These factors can limit the women’s capacity to make informed decisions on the utilization of modern family planning methods. Thus, addressing these factors is pivotal in increasing the women’s overall uptake of various recommended family planning methods and enhancing their reproductive health outcomes.","author":[{"dropping-particle":"","family":"Kassim","given":"Mohamed","non-dropping-particle":"","parse-names":false,"suffix":""},{"dropping-particle":"","family":"Ndumbaro","given":"Faraja","non-dropping-particle":"","parse-names":false,"suffix":""}],"container-title":"BMC Public Health","id":"ITEM-1","issue":"1","issued":{"date-parts":[["2022"]]},"page":"1-11","publisher":"BioMed Central","title":"Factors affecting family planning literacy among women of childbearing age in the rural Lake zone, Tanzania","type":"article-journal","volume":"22"},"uris":["http://www.mendeley.com/documents/?uuid=7a4e8e3d-ed7c-47aa-b98c-2ed0a83bec91"]},{"id":"ITEM-2","itemData":{"DOI":"10.9745/GHSP-D-21-00484","ISSN":"2169575X","PMID":"35487559","abstract":"The Program to Reduce Maternal Deaths in Tanzania was a 13-year (2006-2019) effort in the Kigoma region that evolved over 3 phases to improve and sustain the availability of, access to, and demand for high-quality maternal and reproductive health care services. The Program intended to bring high-quality care closer to more communities. Cutting across the Program was the routine collection of monitoring and evaluation data. The Program achieved significant reductions in maternal and perinatal mortality, a significant increase in the modern contraceptive prevalence rate, and a significant decline in the unmet need for contraception. By 2017, it was apparent that the Program was on track to meet or surpass many of the targets established by the Government of Tanzania. Over the following 2-plus years, efforts to sustain Program interventions intensified. In April 2019, the Program fully transitioned to Government of Tanzania oversight. Four key lessons were learned during implementation that are relevant to governments, donors, and implementing organizations working to reduce maternal mortality: (1) multistakeholder partnerships are critical; (2) demand creation for services, while critical, must rest on a foundation of well-functioning and highquality clinical services; (3) it is imperative to not only collect robust monitoring and evaluation data, but to be responsive in real time to what the data reveal; and, (4) it is necessary to develop a deliberate sustainability strategy from the start. The Program in Kigoma demonstrates that decentralizing high-quality maternal and reproductive health services in remote, low-resource settings is both feasible and effective and should be considered in places with similar contexts. By embedding the Program in the existing health system, and through efforts to build local capacity, the improvements seen in Kigoma are likely to be sustained. Follow-up evaluations are planned, providing an opportunity to more directly assess sustainability.","author":[{"dropping-particle":"","family":"Prasad","given":"Neena","non-dropping-particle":"","parse-names":false,"suffix":""},{"dropping-particle":"","family":"Mwakatundu","given":"Nguke","non-dropping-particle":"","parse-names":false,"suffix":""},{"dropping-particle":"","family":"Dominico","given":"Sunday","non-dropping-particle":"","parse-names":false,"suffix":""},{"dropping-particle":"","family":"Masako","given":"Prudence","non-dropping-particle":"","parse-names":false,"suffix":""},{"dropping-particle":"","family":"Mongo","given":"Wilfred","non-dropping-particle":"","parse-names":false,"suffix":""},{"dropping-particle":"","family":"Mwanshemele","given":"Yisambi","non-dropping-particle":"","parse-names":false,"suffix":""},{"dropping-particle":"","family":"Maro","given":"Godson","non-dropping-particle":"","parse-names":false,"suffix":""},{"dropping-particle":"","family":"Subi","given":"Leonard","non-dropping-particle":"","parse-names":false,"suffix":""},{"dropping-particle":"","family":"Chaote","given":"Paul","non-dropping-particle":"","parse-names":false,"suffix":""},{"dropping-particle":"","family":"Rusibamayila","given":"Neema","non-dropping-particle":"","parse-names":false,"suffix":""},{"dropping-particle":"","family":"Ruiz","given":"Alicia","non-dropping-particle":"","parse-names":false,"suffix":""},{"dropping-particle":"","family":"Schmidt","given":"Karen","non-dropping-particle":"","parse-names":false,"suffix":""},{"dropping-particle":"","family":"Kasanga","given":"Mkambu Godfrey","non-dropping-particle":"","parse-names":false,"suffix":""},{"dropping-particle":"","family":"Lobis","given":"Samantha","non-dropping-particle":"","parse-names":false,"suffix":""},{"dropping-particle":"","family":"Serbanescu","given":"Florina","non-dropping-particle":"","parse-names":false,"suffix":""}],"container-title":"Global Health Science and Practice","id":"ITEM-2","issue":"2","issued":{"date-parts":[["2022"]]},"page":"1-17","title":"Improving Maternal and Reproductive Health in Kigoma, Tanzania: A 13-Year Initiative","type":"article-journal","volume":"10"},"uris":["http://www.mendeley.com/documents/?uuid=50a610ed-5458-420e-86c9-b35178d4fefa"]}],"mendeley":{"formattedCitation":"(Kassim &amp; Ndumbaro, 2022; Prasad et al., 2022)","plainTextFormattedCitation":"(Kassim &amp; Ndumbaro, 2022; Prasad et al., 2022)","previouslyFormattedCitation":"(Kassim &amp; Ndumbaro, 2022; Prasad et al., 2022)"},"properties":{"noteIndex":0},"schema":"https://github.com/citation-style-language/schema/raw/master/csl-citation.json"}</w:instrText>
      </w:r>
      <w:r w:rsidR="009303AC" w:rsidRPr="0076725B">
        <w:rPr>
          <w:rFonts w:ascii="Times New Roman" w:hAnsi="Times New Roman" w:cs="Times New Roman"/>
          <w:sz w:val="24"/>
          <w:szCs w:val="24"/>
        </w:rPr>
        <w:fldChar w:fldCharType="separate"/>
      </w:r>
      <w:r w:rsidR="009303AC" w:rsidRPr="0076725B">
        <w:rPr>
          <w:rFonts w:ascii="Times New Roman" w:hAnsi="Times New Roman" w:cs="Times New Roman"/>
          <w:noProof/>
          <w:sz w:val="24"/>
          <w:szCs w:val="24"/>
        </w:rPr>
        <w:t>(Kassim &amp; Ndumbaro, 2022; Prasad et al., 2022)</w:t>
      </w:r>
      <w:r w:rsidR="009303AC" w:rsidRPr="0076725B">
        <w:rPr>
          <w:rFonts w:ascii="Times New Roman" w:hAnsi="Times New Roman" w:cs="Times New Roman"/>
          <w:sz w:val="24"/>
          <w:szCs w:val="24"/>
        </w:rPr>
        <w:fldChar w:fldCharType="end"/>
      </w:r>
      <w:r w:rsidRPr="0076725B">
        <w:rPr>
          <w:rFonts w:ascii="Times New Roman" w:hAnsi="Times New Roman" w:cs="Times New Roman"/>
          <w:sz w:val="24"/>
          <w:szCs w:val="24"/>
        </w:rPr>
        <w:t>.</w:t>
      </w:r>
    </w:p>
    <w:p w14:paraId="7DA68740" w14:textId="77777777" w:rsidR="00F027E6" w:rsidRPr="0076725B" w:rsidRDefault="00F027E6" w:rsidP="00F027E6">
      <w:pPr>
        <w:jc w:val="both"/>
        <w:rPr>
          <w:rFonts w:ascii="Times New Roman" w:hAnsi="Times New Roman" w:cs="Times New Roman"/>
          <w:sz w:val="24"/>
          <w:szCs w:val="24"/>
        </w:rPr>
      </w:pPr>
      <w:r w:rsidRPr="0076725B">
        <w:rPr>
          <w:rFonts w:ascii="Times New Roman" w:hAnsi="Times New Roman" w:cs="Times New Roman"/>
          <w:sz w:val="24"/>
          <w:szCs w:val="24"/>
        </w:rPr>
        <w:t>Likewise, the country has witnessed a notable increase in the utilization of modern family planning methods among women, rising from 7% in 1991 to over 30% in 2015</w:t>
      </w:r>
      <w:r w:rsidR="00275A4D" w:rsidRPr="0076725B">
        <w:rPr>
          <w:rFonts w:ascii="Times New Roman" w:hAnsi="Times New Roman" w:cs="Times New Roman"/>
          <w:sz w:val="24"/>
          <w:szCs w:val="24"/>
        </w:rPr>
        <w:t xml:space="preserve"> </w:t>
      </w:r>
      <w:r w:rsidR="00275A4D" w:rsidRPr="0076725B">
        <w:rPr>
          <w:rFonts w:ascii="Times New Roman" w:hAnsi="Times New Roman" w:cs="Times New Roman"/>
          <w:sz w:val="24"/>
          <w:szCs w:val="24"/>
        </w:rPr>
        <w:fldChar w:fldCharType="begin" w:fldLock="1"/>
      </w:r>
      <w:r w:rsidR="008E4716" w:rsidRPr="0076725B">
        <w:rPr>
          <w:rFonts w:ascii="Times New Roman" w:hAnsi="Times New Roman" w:cs="Times New Roman"/>
          <w:sz w:val="24"/>
          <w:szCs w:val="24"/>
        </w:rPr>
        <w:instrText>ADDIN CSL_CITATION {"citationItems":[{"id":"ITEM-1","itemData":{"DOI":"10.1186/s12978-021-01089-9","ISBN":"1297802101","ISSN":"17424755","PMID":"33568180","abstract":"Background: Sub-Saharan Africa has the highest fertility rate in the world, with the highest unmet need for family planning (FP). Yet, there is a lack of knowledge about the determinants for non-utilisation of modern contraceptive methods among women of reproductive age. This systematic review of literature assessed factors affecting the unmet need and reasons for non-utilisation of modern contraceptive methods during the postpartum period in Sub-Saharan African women. Methods: An online literature search was conducted in several databases: MEDLINE, Cochrane Review, PubMed, Elsevier's Science Direct and Web of Science. The search was completed by hand searching. Data were extracted and summarised using the Arksey and O’Malley methodology. Results: In total, 19 studies were included; one qualitative study, seventeen quantitative, and one used a mixed-methods approach. Studies were conducted in Ethiopia (n = 11), Nigeria (n = 3), Kenya (n = 2), Malawi (n = 2) and Uganda (n = 1). Factors affecting the unmet need for modern contraceptive methods were described at three levels: (a) individual; (b) household; and (c) healthcare facility level. Reasons for non-use of FP included: fear of side effects; husband’s disapproval; the absence of menses; abstinence; and low perception of risk of pregnancy. Conclusion: Unmet needs in postpartum FP in women from Sub-Saharan Africa were associated with health-system and socio-demographic determinants. We suggest that there is a need to improve the awareness of modern contraceptive methods through effective interventions. Further research is needed for under-studied countries in this continent.","author":[{"dropping-particle":"","family":"Gahungu","given":"Jumaine","non-dropping-particle":"","parse-names":false,"suffix":""},{"dropping-particle":"","family":"Vahdaninia","given":"Mariam","non-dropping-particle":"","parse-names":false,"suffix":""},{"dropping-particle":"","family":"Regmi","given":"Pramod R.","non-dropping-particle":"","parse-names":false,"suffix":""}],"container-title":"Reproductive Health","id":"ITEM-1","issue":"1","issued":{"date-parts":[["2021"]]},"page":"1-15","publisher":"BioMed Central","title":"The unmet needs for modern family planning methods among postpartum women in Sub-Saharan Africa: a systematic review of the literature","type":"article-journal","volume":"18"},"uris":["http://www.mendeley.com/documents/?uuid=86d1dea9-af4c-4fa2-8a6e-64d1308620a3"]}],"mendeley":{"formattedCitation":"(Gahungu et al., 2021)","plainTextFormattedCitation":"(Gahungu et al., 2021)","previouslyFormattedCitation":"(Gahungu et al., 2021)"},"properties":{"noteIndex":0},"schema":"https://github.com/citation-style-language/schema/raw/master/csl-citation.json"}</w:instrText>
      </w:r>
      <w:r w:rsidR="00275A4D" w:rsidRPr="0076725B">
        <w:rPr>
          <w:rFonts w:ascii="Times New Roman" w:hAnsi="Times New Roman" w:cs="Times New Roman"/>
          <w:sz w:val="24"/>
          <w:szCs w:val="24"/>
        </w:rPr>
        <w:fldChar w:fldCharType="separate"/>
      </w:r>
      <w:r w:rsidR="00275A4D" w:rsidRPr="0076725B">
        <w:rPr>
          <w:rFonts w:ascii="Times New Roman" w:hAnsi="Times New Roman" w:cs="Times New Roman"/>
          <w:noProof/>
          <w:sz w:val="24"/>
          <w:szCs w:val="24"/>
        </w:rPr>
        <w:t>(Gahungu et al., 2021)</w:t>
      </w:r>
      <w:r w:rsidR="00275A4D" w:rsidRPr="0076725B">
        <w:rPr>
          <w:rFonts w:ascii="Times New Roman" w:hAnsi="Times New Roman" w:cs="Times New Roman"/>
          <w:sz w:val="24"/>
          <w:szCs w:val="24"/>
        </w:rPr>
        <w:fldChar w:fldCharType="end"/>
      </w:r>
      <w:r w:rsidRPr="0076725B">
        <w:rPr>
          <w:rFonts w:ascii="Times New Roman" w:hAnsi="Times New Roman" w:cs="Times New Roman"/>
          <w:sz w:val="24"/>
          <w:szCs w:val="24"/>
        </w:rPr>
        <w:t xml:space="preserve">. Despite this progress, more than 20% of family planning needs among women of reproductive age remain unmet, and there is a high rate of contraceptive discontinuation. Geographical disparities are evident, with regions like the Lake Zone experiencing a modern contraceptive prevalence rate of 15% and an unmet need of 33% </w:t>
      </w:r>
      <w:r w:rsidRPr="0076725B">
        <w:rPr>
          <w:rFonts w:ascii="Times New Roman" w:hAnsi="Times New Roman" w:cs="Times New Roman"/>
          <w:sz w:val="24"/>
          <w:szCs w:val="24"/>
        </w:rPr>
        <w:fldChar w:fldCharType="begin" w:fldLock="1"/>
      </w:r>
      <w:r w:rsidR="00710D59" w:rsidRPr="0076725B">
        <w:rPr>
          <w:rFonts w:ascii="Times New Roman" w:hAnsi="Times New Roman" w:cs="Times New Roman"/>
          <w:sz w:val="24"/>
          <w:szCs w:val="24"/>
        </w:rPr>
        <w:instrText>ADDIN CSL_CITATION {"citationItems":[{"id":"ITEM-1","itemData":{"DOI":"10.1186/s40834-024-00288-6","ISSN":"20557426","abstract":"Unintended pregnancies pose significant health risks, particularly in sub-Saharan Africa, where millions of cases are recorded annually, disproportionately affecting adolescent women. Utilization of modern contraceptives is crucial in managing fertility and reducing unintended pregnancies, abortions, and associated health complications. This study aimed to assess the prevalence, distribution and factors associated with modern contraceptives utilization among women aged 15-49 in Uganda. The study used secondary data from the 2016 Uganda Demographic and Health Survey (UDHS). The study sample comprise of 9,235 women aged 15-49 who used any method to prevent pregnancy in the five years preceding 2016 UDHS survey. The outcome variable for this study is utilization of modern contraceptives. Univariate, bivariate, and multilevel binary logistic regression was used to examine the relationship between individual and contextual factors on the modern contraceptive use among women aged 15-49 in Uganda. Choropleth mapping and network analysis in ArcGIS 10.8.2 was used to visualize spatial distribution of modern contraceptive use and measure community access to health facilities respectively. The prevalence of modern contraceptive use was 53.19% (n = 4,919) in Uganda, with significant spatial variation by district. Higher prevalence (23.18%) was observed among women aged 20-29 compared to adolescents (4.1%). Only 21.9% of married women reported using modern contraceptives. At the individual-level, the factors that positively influenced use of modern contraceptives included: women's marital status, wealth index and level of education while sex of the household head, ever terminated a pregnancy and religion negatively affected the use of modern contraceptives. At community-level, community access to health facilities was found to have negative influence on the use of modern contraceptives among women. In communities where women frequently visited health facilities in the 12 months preceding the survey, the use of modern contraceptives reduced by 3.9%. Accessibility analysis revealed challenges, with women in northeastern districts (rural districts) facing travel times exceeding four hours to reach health facilities. Utilization of modern contraceptives are essential for promoting women's health and well-being, particularly concerning maternal healthcare. This study highlights disparities in modern contraceptive use across age groups and the districts, emphasizing the n…","author":[{"dropping-particle":"","family":"Towongo","given":"Moses Festo","non-dropping-particle":"","parse-names":false,"suffix":""},{"dropping-particle":"","family":"Kelepile","given":"Matlhogonolo","non-dropping-particle":"","parse-names":false,"suffix":""}],"container-title":"Contraception and Reproductive Medicine","id":"ITEM-1","issue":"1","issued":{"date-parts":[["2024"]]},"page":"1-17","title":"Prevalence, distribution and factors associated with modern contraceptive use among women of reproductive age in Uganda: evidence from UDHS 2016","type":"article-journal","volume":"9"},"uris":["http://www.mendeley.com/documents/?uuid=43ffa2a4-a0b5-4804-a29a-dd82615ccdaf"]}],"mendeley":{"formattedCitation":"(Towongo &amp; Kelepile, 2024)","plainTextFormattedCitation":"(Towongo &amp; Kelepile, 2024)","previouslyFormattedCitation":"(Towongo &amp; Kelepile, 2024)"},"properties":{"noteIndex":0},"schema":"https://github.com/citation-style-language/schema/raw/master/csl-citation.json"}</w:instrText>
      </w:r>
      <w:r w:rsidRPr="0076725B">
        <w:rPr>
          <w:rFonts w:ascii="Times New Roman" w:hAnsi="Times New Roman" w:cs="Times New Roman"/>
          <w:sz w:val="24"/>
          <w:szCs w:val="24"/>
        </w:rPr>
        <w:fldChar w:fldCharType="separate"/>
      </w:r>
      <w:r w:rsidRPr="0076725B">
        <w:rPr>
          <w:rFonts w:ascii="Times New Roman" w:hAnsi="Times New Roman" w:cs="Times New Roman"/>
          <w:noProof/>
          <w:sz w:val="24"/>
          <w:szCs w:val="24"/>
        </w:rPr>
        <w:t>(Towongo &amp; Kelepile, 2024)</w:t>
      </w:r>
      <w:r w:rsidRPr="0076725B">
        <w:rPr>
          <w:rFonts w:ascii="Times New Roman" w:hAnsi="Times New Roman" w:cs="Times New Roman"/>
          <w:sz w:val="24"/>
          <w:szCs w:val="24"/>
        </w:rPr>
        <w:fldChar w:fldCharType="end"/>
      </w:r>
    </w:p>
    <w:p w14:paraId="789F94BD" w14:textId="77777777" w:rsidR="00F027E6" w:rsidRPr="0076725B" w:rsidRDefault="00710D59" w:rsidP="00F027E6">
      <w:pPr>
        <w:jc w:val="both"/>
        <w:rPr>
          <w:rFonts w:ascii="Times New Roman" w:hAnsi="Times New Roman" w:cs="Times New Roman"/>
          <w:sz w:val="24"/>
          <w:szCs w:val="24"/>
        </w:rPr>
      </w:pPr>
      <w:r w:rsidRPr="0076725B">
        <w:rPr>
          <w:rFonts w:ascii="Times New Roman" w:hAnsi="Times New Roman" w:cs="Times New Roman"/>
          <w:sz w:val="24"/>
          <w:szCs w:val="24"/>
        </w:rPr>
        <w:t>A</w:t>
      </w:r>
      <w:r w:rsidR="00F027E6" w:rsidRPr="0076725B">
        <w:rPr>
          <w:rFonts w:ascii="Times New Roman" w:hAnsi="Times New Roman" w:cs="Times New Roman"/>
          <w:sz w:val="24"/>
          <w:szCs w:val="24"/>
        </w:rPr>
        <w:t xml:space="preserve"> study</w:t>
      </w:r>
      <w:r w:rsidRPr="0076725B">
        <w:rPr>
          <w:rFonts w:ascii="Times New Roman" w:hAnsi="Times New Roman" w:cs="Times New Roman"/>
          <w:sz w:val="24"/>
          <w:szCs w:val="24"/>
        </w:rPr>
        <w:t xml:space="preserve"> conducted in Iringa,</w:t>
      </w:r>
      <w:r w:rsidR="00F027E6" w:rsidRPr="0076725B">
        <w:rPr>
          <w:rFonts w:ascii="Times New Roman" w:hAnsi="Times New Roman" w:cs="Times New Roman"/>
          <w:sz w:val="24"/>
          <w:szCs w:val="24"/>
        </w:rPr>
        <w:t xml:space="preserve"> identified several factors influencing modern family planning utilization. These include marital status, parity, availability of modern family planning methods, and education level. The study emphasized the need for government investment in women's education and raising awareness about the benefits of modern family planning methods</w:t>
      </w:r>
      <w:r w:rsidRPr="0076725B">
        <w:rPr>
          <w:rFonts w:ascii="Times New Roman" w:hAnsi="Times New Roman" w:cs="Times New Roman"/>
          <w:sz w:val="24"/>
          <w:szCs w:val="24"/>
        </w:rPr>
        <w:t xml:space="preserve"> </w:t>
      </w:r>
      <w:r w:rsidRPr="0076725B">
        <w:rPr>
          <w:rFonts w:ascii="Times New Roman" w:hAnsi="Times New Roman" w:cs="Times New Roman"/>
          <w:sz w:val="24"/>
          <w:szCs w:val="24"/>
        </w:rPr>
        <w:fldChar w:fldCharType="begin" w:fldLock="1"/>
      </w:r>
      <w:r w:rsidR="006C33D7" w:rsidRPr="0076725B">
        <w:rPr>
          <w:rFonts w:ascii="Times New Roman" w:hAnsi="Times New Roman" w:cs="Times New Roman"/>
          <w:sz w:val="24"/>
          <w:szCs w:val="24"/>
        </w:rPr>
        <w:instrText>ADDIN CSL_CITATION {"citationItems":[{"id":"ITEM-1","itemData":{"DOI":"10.1177/23779608251313897","ISSN":"23779608","abstract":"Background: Preventing unwanted pregnancies, achieving optimal child spacing, and improving quality of life are benefits of modern family planning (FP). This study aimed to assess modern FP use, identify the factors influencing its use and determine the barriers to FP use among women of reproductive age. Methods: A mixed-methods approach was conducted in the Iringa Region between March and July 2022. Conveniently, 368 women of reproductive age were included in the quantitative study, and 48 were purposively selected for the qualitative study based on reported barriers to using modern FP. Interviewer-administered questionnaires and interview guides were used for data collection. The factors of modern FP use were determined using multivariable logistic regression analysis. The p &lt; 0.05 was considered to be significant. For qualitative data, all interviews were recorded and transcribed. Data were analyzed manually through thematic analysis. Results: The prevalence of modern FP use was 181 (49%). Being married (adjusted odds ratio [AOR] = 5.44, 95% confidence interval [CI] = 1.77–16.73, p =.003), parity of 6 and more (AOR = 2.43, 95% CI = 1.99–5.95, p =.052), availability of modern FP methods (AOR = 1.71, 95% CI = 1.03–2.85, p =.038), and women with primary education level (AOR = 2.99, 95% CI = 1.03–3.25, p =.001), women with secondary and higher education (AOR = 3.53, 95% CI = 1.41–4.38, p =.001), were predictors for modern FP utilization. Four main themes merged (1) individual barriers, (2) hospital barriers, (3) cultural barriers, and (4) knowledge of modern FP methods. Conclusion: The use of modern FP increases with women's education. There is a need for the government to invest in women's education and raise awareness and knowledge of the benefits of modern FP methods.","author":[{"dropping-particle":"","family":"Ngole","given":"Besha E.","non-dropping-particle":"","parse-names":false,"suffix":""},{"dropping-particle":"","family":"Joho","given":"Angelina A.","non-dropping-particle":"","parse-names":false,"suffix":""}],"container-title":"SAGE Open Nursing","id":"ITEM-1","issue":"3","issued":{"date-parts":[["2025"]]},"page":"1-12","title":"Factors Influencing Modern Family Planning Utilization and Barriers in Women of Reproductive Age in the Iringa Region, Tanzania: A Mixed-Methods Study","type":"article-journal","volume":"11"},"uris":["http://www.mendeley.com/documents/?uuid=0ef47284-9e0a-47ee-96da-0a96ffcd0881"]}],"mendeley":{"formattedCitation":"(Ngole &amp; Joho, 2025)","plainTextFormattedCitation":"(Ngole &amp; Joho, 2025)","previouslyFormattedCitation":"(Ngole &amp; Joho, 2025)"},"properties":{"noteIndex":0},"schema":"https://github.com/citation-style-language/schema/raw/master/csl-citation.json"}</w:instrText>
      </w:r>
      <w:r w:rsidRPr="0076725B">
        <w:rPr>
          <w:rFonts w:ascii="Times New Roman" w:hAnsi="Times New Roman" w:cs="Times New Roman"/>
          <w:sz w:val="24"/>
          <w:szCs w:val="24"/>
        </w:rPr>
        <w:fldChar w:fldCharType="separate"/>
      </w:r>
      <w:r w:rsidRPr="0076725B">
        <w:rPr>
          <w:rFonts w:ascii="Times New Roman" w:hAnsi="Times New Roman" w:cs="Times New Roman"/>
          <w:noProof/>
          <w:sz w:val="24"/>
          <w:szCs w:val="24"/>
        </w:rPr>
        <w:t>(Ngole &amp; Joho, 2025)</w:t>
      </w:r>
      <w:r w:rsidRPr="0076725B">
        <w:rPr>
          <w:rFonts w:ascii="Times New Roman" w:hAnsi="Times New Roman" w:cs="Times New Roman"/>
          <w:sz w:val="24"/>
          <w:szCs w:val="24"/>
        </w:rPr>
        <w:fldChar w:fldCharType="end"/>
      </w:r>
      <w:r w:rsidRPr="0076725B">
        <w:rPr>
          <w:rFonts w:ascii="Times New Roman" w:hAnsi="Times New Roman" w:cs="Times New Roman"/>
          <w:sz w:val="24"/>
          <w:szCs w:val="24"/>
        </w:rPr>
        <w:t>.</w:t>
      </w:r>
    </w:p>
    <w:p w14:paraId="1D1A057B" w14:textId="77777777" w:rsidR="00710D59" w:rsidRPr="0076725B" w:rsidRDefault="00710D59" w:rsidP="00F027E6">
      <w:pPr>
        <w:jc w:val="both"/>
        <w:rPr>
          <w:rFonts w:ascii="Times New Roman" w:hAnsi="Times New Roman" w:cs="Times New Roman"/>
          <w:sz w:val="24"/>
          <w:szCs w:val="24"/>
        </w:rPr>
      </w:pPr>
      <w:r w:rsidRPr="0076725B">
        <w:rPr>
          <w:rFonts w:ascii="Times New Roman" w:hAnsi="Times New Roman" w:cs="Times New Roman"/>
          <w:sz w:val="24"/>
          <w:szCs w:val="24"/>
        </w:rPr>
        <w:t xml:space="preserve">In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located in the Arusha Region of Tanzania, is a semi-urban and rural area with a diverse population. The district faces challenges related to health literacy and family planning utilization, particularly among women</w:t>
      </w:r>
      <w:r w:rsidR="00275A4D" w:rsidRPr="0076725B">
        <w:rPr>
          <w:rFonts w:ascii="Times New Roman" w:hAnsi="Times New Roman" w:cs="Times New Roman"/>
          <w:sz w:val="24"/>
          <w:szCs w:val="24"/>
        </w:rPr>
        <w:t xml:space="preserve"> in rural communities. C</w:t>
      </w:r>
      <w:r w:rsidRPr="0076725B">
        <w:rPr>
          <w:rFonts w:ascii="Times New Roman" w:hAnsi="Times New Roman" w:cs="Times New Roman"/>
          <w:sz w:val="24"/>
          <w:szCs w:val="24"/>
        </w:rPr>
        <w:t>ultural barriers, and low levels of education contribute to low contraceptive use</w:t>
      </w:r>
      <w:r w:rsidR="008E4716" w:rsidRPr="0076725B">
        <w:rPr>
          <w:rFonts w:ascii="Times New Roman" w:hAnsi="Times New Roman" w:cs="Times New Roman"/>
          <w:sz w:val="24"/>
          <w:szCs w:val="24"/>
        </w:rPr>
        <w:t xml:space="preserve"> </w:t>
      </w:r>
      <w:r w:rsidR="008E4716" w:rsidRPr="0076725B">
        <w:rPr>
          <w:rFonts w:ascii="Times New Roman" w:hAnsi="Times New Roman" w:cs="Times New Roman"/>
          <w:sz w:val="24"/>
          <w:szCs w:val="24"/>
        </w:rPr>
        <w:fldChar w:fldCharType="begin" w:fldLock="1"/>
      </w:r>
      <w:r w:rsidR="008E4716" w:rsidRPr="0076725B">
        <w:rPr>
          <w:rFonts w:ascii="Times New Roman" w:hAnsi="Times New Roman" w:cs="Times New Roman"/>
          <w:sz w:val="24"/>
          <w:szCs w:val="24"/>
        </w:rPr>
        <w:instrText>ADDIN CSL_CITATION {"citationItems":[{"id":"ITEM-1","itemData":{"DOI":"10.1080/13625187.2022.2096215","ISSN":"14730782","PMID":"36047713","abstract":"Background: Unintended pregnancy has a huge adverse impact on maternal, child and family health and wealth. There is an unmet need for contraception globally, with an estimated 40% of pregnancies unintended worldwide. Methods: We systematically searched PubMed and specialist databases for systematic reviews addressing contraceptive choice, uptake or use, published in English between 2000 and 2019. Two reviewers independently selected and appraised reports and synthesised quantitative and qualitative review findings. We mapped emergent themes to a social determinants of health framework to develop our understanding of the complexities of contraceptive choice and use. Findings: We found 24 systematic reviews of mostly moderate or high quality. Factors affecting contraception use are remarkably similar among women in very different cultures and settings globally. Use of contraception is influenced by the perceived likelihood and appeal of pregnancy, and relationship status. It is influenced by women’s knowledge, beliefs, and perceptions of side effects and health risks. Male partners have a strong influence, as do peers’ views and experiences, and families’ expectations. Lack of education and poverty is linked with low contraception use, and social and cultural norms influence contraception and expectations of family size and timing. Contraception use also depends upon their availability, the accessibility, confidentiality and costs of health services, and attitudes, behaviour and skills of health practitioners. Interpretation: Contraception has remarkably far-reaching benefits and is highly cost-effective. However, women worldwide lack sufficient knowledge, capability and opportunity to make reproductive choices, and health care systems often fail to provide access and informed choice.","author":[{"dropping-particle":"","family":"D’Souza","given":"Preethy","non-dropping-particle":"","parse-names":false,"suffix":""},{"dropping-particle":"V.","family":"Bailey","given":"Julia","non-dropping-particle":"","parse-names":false,"suffix":""},{"dropping-particle":"","family":"Stephenson","given":"Judith","non-dropping-particle":"","parse-names":false,"suffix":""},{"dropping-particle":"","family":"Oliver","given":"Sandy","non-dropping-particle":"","parse-names":false,"suffix":""}],"container-title":"European Journal of Contraception and Reproductive Health Care","id":"ITEM-1","issue":"5","issued":{"date-parts":[["2022"]]},"page":"364-372","publisher":"Taylor &amp; Francis","title":"Factors influencing contraception choice and use globally: a synthesis of systematic reviews","type":"article-journal","volume":"27"},"uris":["http://www.mendeley.com/documents/?uuid=49c6ed84-0dcc-4550-9a4d-354585bf5aab"]},{"id":"ITEM-2","itemData":{"DOI":"10.1371/journal.pone.0252745","ISBN":"1111111111","ISSN":"19326203","PMID":"34086806","abstract":"Background In sub-Saharan Africa, about 80% of young women either use a traditional method or do not use any form of contraception at all. The objectives of this review were to ascertain the barriers and motivators of contraceptive use among young people in Sub-Saharan Africa. Materials and methods We conducted electronic literature searches in PubMed, EMBASE, Ebsco/PsycINFO and Scopus. We identified a total of 4,457 publications and initially screened 2626 based on the Preferred Reporting Items for Systematic Reviews and Meta-Analyses (PRISMA). A total of 13 qualitative studies were retained for the final analysis based on the Joanna Briggs criteria for assessing qualitative studies. The systematic review is registered on PROSPERO with identifier CRD42018081877. Results Supportive social networks, respect for privacy and confidentiality, ready availability, affordability and accessibility of contraceptives, as well as the desire to prevent unintended pregnancy and sexually transmitted infections were the motivators of contraceptive use among young people in sub-Saharan Africa. Despite these motivators, myriad of personal, societal, and health systems-based barriers including myths and misconceptions, known side effects of contraceptives, prohibitive social norms, and negative attitude of health professionals were the major barriers to contraceptive use among young people. Conclusion Sub-Saharan African countries with widespread barriers to contraceptive use among young people may not be able to achieve the Sustainable Development Goal 3.8 target of achieving health for all by the year 2030. Interventions intended to improve contraceptive use need to be intersectoral and multi-layered, and designed to carefully integrate the personal, cultural, organizational and political dimensions of contraception. Copyright:","author":[{"dropping-particle":"","family":"Bain","given":"Luchuo Engelbert","non-dropping-particle":"","parse-names":false,"suffix":""},{"dropping-particle":"","family":"Amu","given":"Hubert","non-dropping-particle":"","parse-names":false,"suffix":""},{"dropping-particle":"","family":"Tarkang","given":"Elvis Enowbeyang","non-dropping-particle":"","parse-names":false,"suffix":""}],"container-title":"PLoS ONE","id":"ITEM-2","issue":"6 June","issued":{"date-parts":[["2021"]]},"page":"1-13","title":"Barriers and motivators of contraceptive use among young people in Sub-Saharan Africa: A systematic review of qualitative studies","type":"article-journal","volume":"16"},"uris":["http://www.mendeley.com/documents/?uuid=6cb14550-1efd-410f-bc9e-8d57d12afb43"]}],"mendeley":{"formattedCitation":"(Bain et al., 2021; D’Souza et al., 2022)","plainTextFormattedCitation":"(Bain et al., 2021; D’Souza et al., 2022)"},"properties":{"noteIndex":0},"schema":"https://github.com/citation-style-language/schema/raw/master/csl-citation.json"}</w:instrText>
      </w:r>
      <w:r w:rsidR="008E4716" w:rsidRPr="0076725B">
        <w:rPr>
          <w:rFonts w:ascii="Times New Roman" w:hAnsi="Times New Roman" w:cs="Times New Roman"/>
          <w:sz w:val="24"/>
          <w:szCs w:val="24"/>
        </w:rPr>
        <w:fldChar w:fldCharType="separate"/>
      </w:r>
      <w:r w:rsidR="008E4716" w:rsidRPr="0076725B">
        <w:rPr>
          <w:rFonts w:ascii="Times New Roman" w:hAnsi="Times New Roman" w:cs="Times New Roman"/>
          <w:noProof/>
          <w:sz w:val="24"/>
          <w:szCs w:val="24"/>
        </w:rPr>
        <w:t>(Bain et al., 2021; D’Souza et al., 2022)</w:t>
      </w:r>
      <w:r w:rsidR="008E4716" w:rsidRPr="0076725B">
        <w:rPr>
          <w:rFonts w:ascii="Times New Roman" w:hAnsi="Times New Roman" w:cs="Times New Roman"/>
          <w:sz w:val="24"/>
          <w:szCs w:val="24"/>
        </w:rPr>
        <w:fldChar w:fldCharType="end"/>
      </w:r>
      <w:r w:rsidRPr="0076725B">
        <w:rPr>
          <w:rFonts w:ascii="Times New Roman" w:hAnsi="Times New Roman" w:cs="Times New Roman"/>
          <w:sz w:val="24"/>
          <w:szCs w:val="24"/>
        </w:rPr>
        <w:t xml:space="preserve">. A study conducted in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in 2021 found that only 28% of women of reproductive age were using modern contraceptive methods, with many citing lack of knowledge and fear of side effects as key barriers </w:t>
      </w:r>
      <w:r w:rsidR="006C33D7" w:rsidRPr="0076725B">
        <w:rPr>
          <w:rFonts w:ascii="Times New Roman" w:hAnsi="Times New Roman" w:cs="Times New Roman"/>
          <w:sz w:val="24"/>
          <w:szCs w:val="24"/>
        </w:rPr>
        <w:fldChar w:fldCharType="begin" w:fldLock="1"/>
      </w:r>
      <w:r w:rsidR="006C33D7" w:rsidRPr="0076725B">
        <w:rPr>
          <w:rFonts w:ascii="Times New Roman" w:hAnsi="Times New Roman" w:cs="Times New Roman"/>
          <w:sz w:val="24"/>
          <w:szCs w:val="24"/>
        </w:rPr>
        <w:instrText>ADDIN CSL_CITATION {"citationItems":[{"id":"ITEM-1","itemData":{"DOI":"10.1177/21582440221134222","ISSN":"21582440","abstract":"Primary health care (PHC) holds great potentials to improve maternal, newborn, and child health (MNCH) outcomes. However, there has been limited documentation of its effects on increasing universal access to maternal, newborn, and child health services in sub-Saharan Africa. Also, not adequately known are the most effective interventions to improve the delivery of PHC services in the region. The objective of this study was to conduct a systematic review of empirical evidence of interventions that improved access and quality of PHC services for maternal, newborn, and child health in sub-Saharan Africa. The protocol was registered on Prospero (Registration number CRD42019126029). Using terms related to primary health care and MNCH, we searched African Journals Online (AJOL), PubMed/Medline, Popline, ScienceDirect, Google Scholar, WHO Repository (IRIS), Directory of Open Access Journals (DOAJ), Cochrane Library, and reference lists for studies published in English between 2000 and 2019. Studies were included in the search if they reported interventions, and strategies implemented to improve quality and access to primary health care for maternal, newborn, and child health in sub-Saharan Africa. A total of 25 studies were included in the review. Effective interventions included financial incentives, task-shifting, community-directed engagements, training of providers, mobile health, cost-sharing, and supportive supervision among others. The result of this review contributes useful insight to guide the reformation, and development of new policies and programs for improving access and quality of primary health care delivery in sub-Saharan Africa, particularly to improve maternal and child health in the region. However, strategies to scale and sustain the successes need to be in place.","author":[{"dropping-particle":"","family":"Okonofua","given":"Friday E.","non-dropping-particle":"","parse-names":false,"suffix":""},{"dropping-particle":"","family":"Ntoimo","given":"Lorretta F.C.","non-dropping-particle":"","parse-names":false,"suffix":""},{"dropping-particle":"","family":"Adejumo","given":"Oluwadamilola A.","non-dropping-particle":"","parse-names":false,"suffix":""},{"dropping-particle":"","family":"Imongan","given":"Wilson","non-dropping-particle":"","parse-names":false,"suffix":""},{"dropping-particle":"","family":"Ogu","given":"Rosemary N.","non-dropping-particle":"","parse-names":false,"suffix":""},{"dropping-particle":"","family":"Anjorin","given":"Seun O.","non-dropping-particle":"","parse-names":false,"suffix":""}],"container-title":"SAGE Open","id":"ITEM-1","issue":"4","issued":{"date-parts":[["2022"]]},"page":"1-19","title":"Assessment of Interventions in Primary Health Care for Improved Maternal, New-born and Child Health in Sub-Saharan Africa: A Systematic Review","type":"article-journal","volume":"12"},"uris":["http://www.mendeley.com/documents/?uuid=becfb5d0-c8b2-45af-9e39-92baf8c2172c"]}],"mendeley":{"formattedCitation":"(Okonofua et al., 2022)","plainTextFormattedCitation":"(Okonofua et al., 2022)","previouslyFormattedCitation":"(Okonofua et al., 2022)"},"properties":{"noteIndex":0},"schema":"https://github.com/citation-style-language/schema/raw/master/csl-citation.json"}</w:instrText>
      </w:r>
      <w:r w:rsidR="006C33D7" w:rsidRPr="0076725B">
        <w:rPr>
          <w:rFonts w:ascii="Times New Roman" w:hAnsi="Times New Roman" w:cs="Times New Roman"/>
          <w:sz w:val="24"/>
          <w:szCs w:val="24"/>
        </w:rPr>
        <w:fldChar w:fldCharType="separate"/>
      </w:r>
      <w:r w:rsidR="006C33D7" w:rsidRPr="0076725B">
        <w:rPr>
          <w:rFonts w:ascii="Times New Roman" w:hAnsi="Times New Roman" w:cs="Times New Roman"/>
          <w:noProof/>
          <w:sz w:val="24"/>
          <w:szCs w:val="24"/>
        </w:rPr>
        <w:t>(Okonofua et al., 2022)</w:t>
      </w:r>
      <w:r w:rsidR="006C33D7" w:rsidRPr="0076725B">
        <w:rPr>
          <w:rFonts w:ascii="Times New Roman" w:hAnsi="Times New Roman" w:cs="Times New Roman"/>
          <w:sz w:val="24"/>
          <w:szCs w:val="24"/>
        </w:rPr>
        <w:fldChar w:fldCharType="end"/>
      </w:r>
      <w:r w:rsidRPr="0076725B">
        <w:rPr>
          <w:rFonts w:ascii="Times New Roman" w:hAnsi="Times New Roman" w:cs="Times New Roman"/>
          <w:sz w:val="24"/>
          <w:szCs w:val="24"/>
        </w:rPr>
        <w:t>. Improving health literacy in this context is crucial for increasing the uptake of family planning services and improving reproductive health outcomes.</w:t>
      </w:r>
    </w:p>
    <w:p w14:paraId="0A510C0A" w14:textId="77777777" w:rsidR="00221BB7" w:rsidRPr="0076725B" w:rsidRDefault="006C33D7" w:rsidP="00221BB7">
      <w:pPr>
        <w:jc w:val="both"/>
        <w:rPr>
          <w:rFonts w:ascii="Times New Roman" w:hAnsi="Times New Roman" w:cs="Times New Roman"/>
          <w:sz w:val="24"/>
          <w:szCs w:val="24"/>
        </w:rPr>
      </w:pPr>
      <w:r w:rsidRPr="0076725B">
        <w:rPr>
          <w:rFonts w:ascii="Times New Roman" w:hAnsi="Times New Roman" w:cs="Times New Roman"/>
          <w:sz w:val="24"/>
          <w:szCs w:val="24"/>
        </w:rPr>
        <w:t xml:space="preserve">Several studies has been conducted in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on family planning such as </w:t>
      </w:r>
      <w:r w:rsidRPr="0076725B">
        <w:rPr>
          <w:rFonts w:ascii="Times New Roman" w:hAnsi="Times New Roman" w:cs="Times New Roman"/>
          <w:sz w:val="24"/>
          <w:szCs w:val="24"/>
        </w:rPr>
        <w:fldChar w:fldCharType="begin" w:fldLock="1"/>
      </w:r>
      <w:r w:rsidR="002E0592" w:rsidRPr="0076725B">
        <w:rPr>
          <w:rFonts w:ascii="Times New Roman" w:hAnsi="Times New Roman" w:cs="Times New Roman"/>
          <w:sz w:val="24"/>
          <w:szCs w:val="24"/>
        </w:rPr>
        <w:instrText>ADDIN CSL_CITATION {"citationItems":[{"id":"ITEM-1","itemData":{"author":[{"dropping-particle":"","family":"Mhina","given":"Juma Almasi","non-dropping-particle":"","parse-names":false,"suffix":""}],"container-title":"South Asian Journal of Social Studies and Economics","id":"ITEM-1","issue":"11","issued":{"date-parts":[["2024"]]},"page":"111-121","title":"Awareness of Family Planning Services among Pregnant Women in Arumeru District , Tanzania : Implications for Public Health Interventions","type":"article-journal","volume":"21"},"uris":["http://www.mendeley.com/documents/?uuid=09b0616d-d0bd-46e9-a1e8-7fe66a1e6585"]},{"id":"ITEM-2","itemData":{"author":[{"dropping-particle":"","family":"Mhina","given":"Juma Almasi","non-dropping-particle":"","parse-names":false,"suffix":""},{"dropping-particle":"","family":"Mmari","given":"Sara","non-dropping-particle":"","parse-names":false,"suffix":""},{"dropping-particle":"","family":"Moh","given":"Juma","non-dropping-particle":"","parse-names":false,"suffix":""},{"dropping-particle":"","family":"Amini","given":"Najma Salehe","non-dropping-particle":"","parse-names":false,"suffix":""},{"dropping-particle":"","family":"Msuya","given":"Zakia K","non-dropping-particle":"","parse-names":false,"suffix":""}],"container-title":"American Journal of Arts and Human","id":"ITEM-2","issue":"1","issued":{"date-parts":[["2025"]]},"page":"1-19","title":"Channels for Promoting Health Literacy on Family Planning Among Pregnant Women in Akheri Ward , Arumeru District","type":"article-journal","volume":"4"},"uris":["http://www.mendeley.com/documents/?uuid=df5fe663-bfbd-494f-a16c-a48622ab804d"]}],"mendeley":{"formattedCitation":"(Mhina, 2024; Mhina et al., 2025)","plainTextFormattedCitation":"(Mhina, 2024; Mhina et al., 2025)","previouslyFormattedCitation":"(Mhina, 2024; Mhina et al., 2025)"},"properties":{"noteIndex":0},"schema":"https://github.com/citation-style-language/schema/raw/master/csl-citation.json"}</w:instrText>
      </w:r>
      <w:r w:rsidRPr="0076725B">
        <w:rPr>
          <w:rFonts w:ascii="Times New Roman" w:hAnsi="Times New Roman" w:cs="Times New Roman"/>
          <w:sz w:val="24"/>
          <w:szCs w:val="24"/>
        </w:rPr>
        <w:fldChar w:fldCharType="separate"/>
      </w:r>
      <w:r w:rsidRPr="0076725B">
        <w:rPr>
          <w:rFonts w:ascii="Times New Roman" w:hAnsi="Times New Roman" w:cs="Times New Roman"/>
          <w:noProof/>
          <w:sz w:val="24"/>
          <w:szCs w:val="24"/>
        </w:rPr>
        <w:t>(Mhina, 2024; Mhina et al., 2025)</w:t>
      </w:r>
      <w:r w:rsidRPr="0076725B">
        <w:rPr>
          <w:rFonts w:ascii="Times New Roman" w:hAnsi="Times New Roman" w:cs="Times New Roman"/>
          <w:sz w:val="24"/>
          <w:szCs w:val="24"/>
        </w:rPr>
        <w:fldChar w:fldCharType="end"/>
      </w:r>
      <w:r w:rsidRPr="0076725B">
        <w:rPr>
          <w:rFonts w:ascii="Times New Roman" w:hAnsi="Times New Roman" w:cs="Times New Roman"/>
          <w:sz w:val="24"/>
          <w:szCs w:val="24"/>
        </w:rPr>
        <w:t>. However, little is known as far as influence of health literacy on the utilization of family planning services</w:t>
      </w:r>
      <w:r w:rsidR="008E4716" w:rsidRPr="0076725B">
        <w:rPr>
          <w:rFonts w:ascii="Times New Roman" w:hAnsi="Times New Roman" w:cs="Times New Roman"/>
          <w:sz w:val="24"/>
          <w:szCs w:val="24"/>
        </w:rPr>
        <w:t xml:space="preserve"> is concern</w:t>
      </w:r>
      <w:r w:rsidRPr="0076725B">
        <w:rPr>
          <w:rFonts w:ascii="Times New Roman" w:hAnsi="Times New Roman" w:cs="Times New Roman"/>
          <w:sz w:val="24"/>
          <w:szCs w:val="24"/>
        </w:rPr>
        <w:t xml:space="preserve">. This study, therefore assessed the influence of health literacy on the utilization of family planning services in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Arusha-Tanzania.</w:t>
      </w:r>
      <w:r w:rsidRPr="0076725B">
        <w:rPr>
          <w:rFonts w:ascii="Times New Roman" w:hAnsi="Times New Roman" w:cs="Times New Roman"/>
        </w:rPr>
        <w:t xml:space="preserve"> </w:t>
      </w:r>
      <w:r w:rsidRPr="0076725B">
        <w:rPr>
          <w:rFonts w:ascii="Times New Roman" w:hAnsi="Times New Roman" w:cs="Times New Roman"/>
          <w:sz w:val="24"/>
          <w:szCs w:val="24"/>
        </w:rPr>
        <w:t xml:space="preserve">Understanding the influence of health literacy on the utilization of family planning services is crucial for improving reproductive health outcomes. Health literacy affects an individual’s ability to access, comprehend, and apply health-related information, which directly impacts their decision-making regarding contraceptive use and reproductive choices. </w:t>
      </w:r>
      <w:r w:rsidRPr="0076725B">
        <w:rPr>
          <w:rFonts w:ascii="Times New Roman" w:hAnsi="Times New Roman" w:cs="Times New Roman"/>
          <w:sz w:val="24"/>
          <w:szCs w:val="24"/>
        </w:rPr>
        <w:lastRenderedPageBreak/>
        <w:t>Low health literacy can lead to misconceptions, fear, and limited awareness of available family planning methods, resulting in lower utilization rates and higher risks of unintended pregnancies. Conversely, higher health literacy empowers individuals, particularly women and youth, to make informed choices, communicate effectively with healthcare providers, and adopt suitable contraceptive methods that align with their needs and cultural contexts. Therefore, promoting health literacy through education and outreach programs can enhance the uptake of family planning services, ultimately contributing to better maternal and child health and overall societal well-being.</w:t>
      </w:r>
    </w:p>
    <w:p w14:paraId="624792A1" w14:textId="77777777" w:rsidR="00221BB7" w:rsidRPr="0076725B" w:rsidRDefault="00E44BBE" w:rsidP="00E44BBE">
      <w:pPr>
        <w:pStyle w:val="ListParagraph"/>
        <w:numPr>
          <w:ilvl w:val="0"/>
          <w:numId w:val="1"/>
        </w:numPr>
        <w:jc w:val="both"/>
        <w:rPr>
          <w:rFonts w:ascii="Times New Roman" w:hAnsi="Times New Roman" w:cs="Times New Roman"/>
          <w:b/>
          <w:sz w:val="24"/>
          <w:szCs w:val="24"/>
        </w:rPr>
      </w:pPr>
      <w:r w:rsidRPr="0076725B">
        <w:rPr>
          <w:rFonts w:ascii="Times New Roman" w:hAnsi="Times New Roman" w:cs="Times New Roman"/>
          <w:b/>
          <w:sz w:val="24"/>
          <w:szCs w:val="24"/>
        </w:rPr>
        <w:t>METHODOLOGY</w:t>
      </w:r>
    </w:p>
    <w:p w14:paraId="6ED110C3" w14:textId="77777777" w:rsidR="00E44BBE" w:rsidRPr="0076725B" w:rsidRDefault="00E44BBE" w:rsidP="00E44BBE">
      <w:pPr>
        <w:spacing w:after="0" w:line="240" w:lineRule="auto"/>
        <w:rPr>
          <w:rFonts w:ascii="Times New Roman" w:hAnsi="Times New Roman" w:cs="Times New Roman"/>
          <w:b/>
          <w:sz w:val="24"/>
          <w:szCs w:val="24"/>
        </w:rPr>
      </w:pPr>
      <w:r w:rsidRPr="0076725B">
        <w:rPr>
          <w:rFonts w:ascii="Times New Roman" w:hAnsi="Times New Roman" w:cs="Times New Roman"/>
          <w:b/>
          <w:sz w:val="24"/>
          <w:szCs w:val="24"/>
        </w:rPr>
        <w:t>2.1</w:t>
      </w:r>
      <w:r w:rsidRPr="0076725B">
        <w:rPr>
          <w:rFonts w:ascii="Times New Roman" w:hAnsi="Times New Roman" w:cs="Times New Roman"/>
          <w:b/>
          <w:sz w:val="24"/>
          <w:szCs w:val="24"/>
        </w:rPr>
        <w:tab/>
        <w:t>Description of the study area</w:t>
      </w:r>
    </w:p>
    <w:p w14:paraId="657D06B8" w14:textId="77777777" w:rsidR="00E44BBE" w:rsidRPr="0076725B" w:rsidRDefault="00E44BBE" w:rsidP="00E44BBE">
      <w:pPr>
        <w:spacing w:after="0" w:line="240" w:lineRule="auto"/>
        <w:jc w:val="both"/>
        <w:rPr>
          <w:rFonts w:ascii="Times New Roman" w:hAnsi="Times New Roman" w:cs="Times New Roman"/>
          <w:sz w:val="24"/>
          <w:szCs w:val="24"/>
        </w:rPr>
      </w:pPr>
      <w:r w:rsidRPr="0076725B">
        <w:rPr>
          <w:rFonts w:ascii="Times New Roman" w:hAnsi="Times New Roman" w:cs="Times New Roman"/>
          <w:sz w:val="24"/>
          <w:szCs w:val="24"/>
        </w:rPr>
        <w:t xml:space="preserve">The research was conducted in the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of the Arusha region in Tanzania's northern </w:t>
      </w:r>
      <w:r w:rsidR="003B556C" w:rsidRPr="0076725B">
        <w:rPr>
          <w:rFonts w:ascii="Times New Roman" w:hAnsi="Times New Roman" w:cs="Times New Roman"/>
          <w:sz w:val="24"/>
          <w:szCs w:val="24"/>
        </w:rPr>
        <w:t>zone</w:t>
      </w:r>
      <w:r w:rsidRPr="0076725B">
        <w:rPr>
          <w:rFonts w:ascii="Times New Roman" w:hAnsi="Times New Roman" w:cs="Times New Roman"/>
          <w:sz w:val="24"/>
          <w:szCs w:val="24"/>
        </w:rPr>
        <w:t>. The district lies in the northeastern part of the Arusha region, bordering the Kilimanjaro Region to the east and the Manyara area to the south.</w:t>
      </w:r>
    </w:p>
    <w:p w14:paraId="0877A0AE" w14:textId="77777777" w:rsidR="00E44BBE" w:rsidRPr="0076725B" w:rsidRDefault="00E44BBE" w:rsidP="00E44BBE">
      <w:pPr>
        <w:spacing w:after="0" w:line="240" w:lineRule="auto"/>
        <w:jc w:val="both"/>
        <w:rPr>
          <w:rFonts w:ascii="Times New Roman" w:hAnsi="Times New Roman" w:cs="Times New Roman"/>
          <w:sz w:val="24"/>
          <w:szCs w:val="24"/>
        </w:rPr>
      </w:pPr>
    </w:p>
    <w:p w14:paraId="705BF2E6" w14:textId="77777777" w:rsidR="003B556C" w:rsidRPr="0076725B" w:rsidRDefault="00E44BBE" w:rsidP="00E44BBE">
      <w:pPr>
        <w:spacing w:after="0" w:line="240" w:lineRule="auto"/>
        <w:jc w:val="both"/>
        <w:rPr>
          <w:rFonts w:ascii="Times New Roman" w:hAnsi="Times New Roman" w:cs="Times New Roman"/>
          <w:sz w:val="24"/>
          <w:szCs w:val="24"/>
        </w:rPr>
      </w:pPr>
      <w:r w:rsidRPr="0076725B">
        <w:rPr>
          <w:rFonts w:ascii="Times New Roman" w:hAnsi="Times New Roman" w:cs="Times New Roman"/>
          <w:sz w:val="24"/>
          <w:szCs w:val="24"/>
        </w:rPr>
        <w:t xml:space="preserve">The distance between </w:t>
      </w:r>
      <w:proofErr w:type="spellStart"/>
      <w:r w:rsidRPr="0076725B">
        <w:rPr>
          <w:rFonts w:ascii="Times New Roman" w:hAnsi="Times New Roman" w:cs="Times New Roman"/>
          <w:sz w:val="24"/>
          <w:szCs w:val="24"/>
        </w:rPr>
        <w:t>Arumeru's</w:t>
      </w:r>
      <w:proofErr w:type="spellEnd"/>
      <w:r w:rsidRPr="0076725B">
        <w:rPr>
          <w:rFonts w:ascii="Times New Roman" w:hAnsi="Times New Roman" w:cs="Times New Roman"/>
          <w:sz w:val="24"/>
          <w:szCs w:val="24"/>
        </w:rPr>
        <w:t xml:space="preserve"> district headquarters and Kilimanjaro International Airport (KIA) is roughly 25 </w:t>
      </w:r>
      <w:proofErr w:type="spellStart"/>
      <w:r w:rsidRPr="0076725B">
        <w:rPr>
          <w:rFonts w:ascii="Times New Roman" w:hAnsi="Times New Roman" w:cs="Times New Roman"/>
          <w:sz w:val="24"/>
          <w:szCs w:val="24"/>
        </w:rPr>
        <w:t>kilometers</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is one of the six districts that comprise the Arusha area. The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occupies around 2,966 square </w:t>
      </w:r>
      <w:proofErr w:type="spellStart"/>
      <w:r w:rsidRPr="0076725B">
        <w:rPr>
          <w:rFonts w:ascii="Times New Roman" w:hAnsi="Times New Roman" w:cs="Times New Roman"/>
          <w:sz w:val="24"/>
          <w:szCs w:val="24"/>
        </w:rPr>
        <w:t>kilometers</w:t>
      </w:r>
      <w:proofErr w:type="spellEnd"/>
      <w:r w:rsidRPr="0076725B">
        <w:rPr>
          <w:rFonts w:ascii="Times New Roman" w:hAnsi="Times New Roman" w:cs="Times New Roman"/>
          <w:sz w:val="24"/>
          <w:szCs w:val="24"/>
        </w:rPr>
        <w:t xml:space="preserve">, or 3.6 of the 82,424 square </w:t>
      </w:r>
      <w:proofErr w:type="spellStart"/>
      <w:r w:rsidRPr="0076725B">
        <w:rPr>
          <w:rFonts w:ascii="Times New Roman" w:hAnsi="Times New Roman" w:cs="Times New Roman"/>
          <w:sz w:val="24"/>
          <w:szCs w:val="24"/>
        </w:rPr>
        <w:t>kilometers</w:t>
      </w:r>
      <w:proofErr w:type="spellEnd"/>
      <w:r w:rsidRPr="0076725B">
        <w:rPr>
          <w:rFonts w:ascii="Times New Roman" w:hAnsi="Times New Roman" w:cs="Times New Roman"/>
          <w:sz w:val="24"/>
          <w:szCs w:val="24"/>
        </w:rPr>
        <w:t xml:space="preserve"> that make up the Arusha region. The district's two parliamentary constituencies are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East and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West. The author states that the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is divided into thirty-seven (37) wards, including: </w:t>
      </w:r>
      <w:proofErr w:type="spellStart"/>
      <w:r w:rsidRPr="0076725B">
        <w:rPr>
          <w:rFonts w:ascii="Times New Roman" w:hAnsi="Times New Roman" w:cs="Times New Roman"/>
          <w:sz w:val="24"/>
          <w:szCs w:val="24"/>
        </w:rPr>
        <w:t>Bangata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Akheri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Bwawani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Ilkiding’a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Kikatiti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Kikwe</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Kimnyaki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King’ori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Kiranyi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Kisongo</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Leguruki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Makiba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Majiyachai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Maroroni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Mateves</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Mbuguni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Mlangarini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Moivo</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Moshono</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Murieti</w:t>
      </w:r>
      <w:proofErr w:type="spellEnd"/>
      <w:r w:rsidRPr="0076725B">
        <w:rPr>
          <w:rFonts w:ascii="Times New Roman" w:hAnsi="Times New Roman" w:cs="Times New Roman"/>
          <w:sz w:val="24"/>
          <w:szCs w:val="24"/>
        </w:rPr>
        <w:t xml:space="preserve">, Musa, </w:t>
      </w:r>
      <w:proofErr w:type="spellStart"/>
      <w:r w:rsidRPr="0076725B">
        <w:rPr>
          <w:rFonts w:ascii="Times New Roman" w:hAnsi="Times New Roman" w:cs="Times New Roman"/>
          <w:sz w:val="24"/>
          <w:szCs w:val="24"/>
        </w:rPr>
        <w:t>Mwandeti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Nduruma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Ngarenanyuki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Oldonyosambu</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Nkoanrua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Nkoaranga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Nkoarisambu</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Oljoro</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Olkokola</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Olturoto</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Olturumeti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Poli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Sing’isi</w:t>
      </w:r>
      <w:proofErr w:type="spellEnd"/>
      <w:r w:rsidRPr="0076725B">
        <w:rPr>
          <w:rFonts w:ascii="Times New Roman" w:hAnsi="Times New Roman" w:cs="Times New Roman"/>
          <w:sz w:val="24"/>
          <w:szCs w:val="24"/>
        </w:rPr>
        <w:t xml:space="preserve">, </w:t>
      </w:r>
      <w:proofErr w:type="spellStart"/>
      <w:r w:rsidRPr="0076725B">
        <w:rPr>
          <w:rFonts w:ascii="Times New Roman" w:hAnsi="Times New Roman" w:cs="Times New Roman"/>
          <w:sz w:val="24"/>
          <w:szCs w:val="24"/>
        </w:rPr>
        <w:t>Sokoni</w:t>
      </w:r>
      <w:proofErr w:type="spellEnd"/>
      <w:r w:rsidRPr="0076725B">
        <w:rPr>
          <w:rFonts w:ascii="Times New Roman" w:hAnsi="Times New Roman" w:cs="Times New Roman"/>
          <w:sz w:val="24"/>
          <w:szCs w:val="24"/>
        </w:rPr>
        <w:t xml:space="preserve"> one, </w:t>
      </w:r>
      <w:proofErr w:type="spellStart"/>
      <w:r w:rsidRPr="0076725B">
        <w:rPr>
          <w:rFonts w:ascii="Times New Roman" w:hAnsi="Times New Roman" w:cs="Times New Roman"/>
          <w:sz w:val="24"/>
          <w:szCs w:val="24"/>
        </w:rPr>
        <w:t>Songoro</w:t>
      </w:r>
      <w:proofErr w:type="spellEnd"/>
      <w:r w:rsidRPr="0076725B">
        <w:rPr>
          <w:rFonts w:ascii="Times New Roman" w:hAnsi="Times New Roman" w:cs="Times New Roman"/>
          <w:sz w:val="24"/>
          <w:szCs w:val="24"/>
        </w:rPr>
        <w:t xml:space="preserve">, and Usa-river. </w:t>
      </w:r>
    </w:p>
    <w:p w14:paraId="12824A88" w14:textId="77777777" w:rsidR="003B556C" w:rsidRPr="0076725B" w:rsidRDefault="003B556C" w:rsidP="00E44BBE">
      <w:pPr>
        <w:spacing w:after="0" w:line="240" w:lineRule="auto"/>
        <w:jc w:val="both"/>
        <w:rPr>
          <w:rFonts w:ascii="Times New Roman" w:hAnsi="Times New Roman" w:cs="Times New Roman"/>
          <w:sz w:val="24"/>
          <w:szCs w:val="24"/>
        </w:rPr>
      </w:pPr>
    </w:p>
    <w:p w14:paraId="2B720951" w14:textId="77777777" w:rsidR="00E44BBE" w:rsidRPr="0076725B" w:rsidRDefault="00E44BBE" w:rsidP="00E44BBE">
      <w:pPr>
        <w:spacing w:after="0" w:line="240" w:lineRule="auto"/>
        <w:jc w:val="both"/>
        <w:rPr>
          <w:rFonts w:ascii="Times New Roman" w:hAnsi="Times New Roman" w:cs="Times New Roman"/>
          <w:sz w:val="24"/>
          <w:szCs w:val="24"/>
        </w:rPr>
      </w:pPr>
      <w:r w:rsidRPr="0076725B">
        <w:rPr>
          <w:rFonts w:ascii="Times New Roman" w:hAnsi="Times New Roman" w:cs="Times New Roman"/>
          <w:sz w:val="24"/>
          <w:szCs w:val="24"/>
        </w:rPr>
        <w:t xml:space="preserve">Among the economic activities conducted in the study region are mining, forestry, beekeeping, fishing, tourism, agriculture, livestock rearing, and industry. Our position in relation to our resources, time constraints, and the characteristics of the population under study made it convenient and straightforward for the researcher to perform this study in </w:t>
      </w:r>
      <w:proofErr w:type="spellStart"/>
      <w:r w:rsidRPr="0076725B">
        <w:rPr>
          <w:rFonts w:ascii="Times New Roman" w:hAnsi="Times New Roman" w:cs="Times New Roman"/>
          <w:sz w:val="24"/>
          <w:szCs w:val="24"/>
        </w:rPr>
        <w:t>Akheri</w:t>
      </w:r>
      <w:proofErr w:type="spellEnd"/>
      <w:r w:rsidRPr="0076725B">
        <w:rPr>
          <w:rFonts w:ascii="Times New Roman" w:hAnsi="Times New Roman" w:cs="Times New Roman"/>
          <w:sz w:val="24"/>
          <w:szCs w:val="24"/>
        </w:rPr>
        <w:t xml:space="preserve"> ward.</w:t>
      </w:r>
    </w:p>
    <w:p w14:paraId="50DC2DF5" w14:textId="77777777" w:rsidR="00E44BBE" w:rsidRPr="0076725B" w:rsidRDefault="00E44BBE" w:rsidP="00E44BBE">
      <w:pPr>
        <w:spacing w:after="0" w:line="240" w:lineRule="auto"/>
        <w:jc w:val="both"/>
        <w:rPr>
          <w:rFonts w:ascii="Times New Roman" w:hAnsi="Times New Roman" w:cs="Times New Roman"/>
          <w:b/>
          <w:sz w:val="24"/>
          <w:szCs w:val="24"/>
        </w:rPr>
      </w:pPr>
      <w:r w:rsidRPr="0076725B">
        <w:rPr>
          <w:rFonts w:ascii="Times New Roman" w:hAnsi="Times New Roman" w:cs="Times New Roman"/>
          <w:b/>
          <w:sz w:val="24"/>
          <w:szCs w:val="24"/>
        </w:rPr>
        <w:t>2.2</w:t>
      </w:r>
      <w:r w:rsidRPr="0076725B">
        <w:rPr>
          <w:rFonts w:ascii="Times New Roman" w:hAnsi="Times New Roman" w:cs="Times New Roman"/>
          <w:b/>
          <w:sz w:val="24"/>
          <w:szCs w:val="24"/>
        </w:rPr>
        <w:tab/>
        <w:t>Target Population</w:t>
      </w:r>
    </w:p>
    <w:p w14:paraId="29DBFF6D" w14:textId="77777777" w:rsidR="00E44BBE" w:rsidRPr="0076725B" w:rsidRDefault="00E44BBE" w:rsidP="00E44BBE">
      <w:pPr>
        <w:spacing w:after="0" w:line="240" w:lineRule="auto"/>
        <w:jc w:val="both"/>
        <w:rPr>
          <w:rFonts w:ascii="Times New Roman" w:hAnsi="Times New Roman" w:cs="Times New Roman"/>
          <w:sz w:val="24"/>
          <w:szCs w:val="24"/>
        </w:rPr>
      </w:pPr>
      <w:r w:rsidRPr="0076725B">
        <w:rPr>
          <w:rFonts w:ascii="Times New Roman" w:hAnsi="Times New Roman" w:cs="Times New Roman"/>
          <w:sz w:val="24"/>
          <w:szCs w:val="24"/>
        </w:rPr>
        <w:t xml:space="preserve">The study's target respondents included expectant mothers, and a key informant was the </w:t>
      </w:r>
      <w:proofErr w:type="spellStart"/>
      <w:r w:rsidRPr="0076725B">
        <w:rPr>
          <w:rFonts w:ascii="Times New Roman" w:hAnsi="Times New Roman" w:cs="Times New Roman"/>
          <w:sz w:val="24"/>
          <w:szCs w:val="24"/>
        </w:rPr>
        <w:t>Arumeru</w:t>
      </w:r>
      <w:proofErr w:type="spellEnd"/>
      <w:r w:rsidRPr="0076725B">
        <w:rPr>
          <w:rFonts w:ascii="Times New Roman" w:hAnsi="Times New Roman" w:cs="Times New Roman"/>
          <w:sz w:val="24"/>
          <w:szCs w:val="24"/>
        </w:rPr>
        <w:t xml:space="preserve"> District Hospital's Reproductive and Child Health Officer (RCH officer). These were the pregnant patients who were registered at the hospital.</w:t>
      </w:r>
    </w:p>
    <w:p w14:paraId="77E2AFE4" w14:textId="77777777" w:rsidR="00E44BBE" w:rsidRPr="0076725B" w:rsidRDefault="00E44BBE" w:rsidP="00E44BBE">
      <w:pPr>
        <w:spacing w:after="0" w:line="240" w:lineRule="auto"/>
        <w:jc w:val="both"/>
        <w:rPr>
          <w:rFonts w:ascii="Times New Roman" w:hAnsi="Times New Roman" w:cs="Times New Roman"/>
          <w:b/>
          <w:sz w:val="24"/>
          <w:szCs w:val="24"/>
        </w:rPr>
      </w:pPr>
      <w:r w:rsidRPr="0076725B">
        <w:rPr>
          <w:rFonts w:ascii="Times New Roman" w:hAnsi="Times New Roman" w:cs="Times New Roman"/>
          <w:b/>
          <w:sz w:val="24"/>
          <w:szCs w:val="24"/>
        </w:rPr>
        <w:t>2.3</w:t>
      </w:r>
      <w:r w:rsidRPr="0076725B">
        <w:rPr>
          <w:rFonts w:ascii="Times New Roman" w:hAnsi="Times New Roman" w:cs="Times New Roman"/>
          <w:b/>
          <w:sz w:val="24"/>
          <w:szCs w:val="24"/>
        </w:rPr>
        <w:tab/>
        <w:t xml:space="preserve">Sample Size </w:t>
      </w:r>
    </w:p>
    <w:p w14:paraId="4E82BFFA" w14:textId="77777777" w:rsidR="00E44BBE" w:rsidRPr="0076725B" w:rsidRDefault="009B6D52" w:rsidP="00E44BBE">
      <w:pPr>
        <w:spacing w:after="0" w:line="240" w:lineRule="auto"/>
        <w:jc w:val="both"/>
        <w:rPr>
          <w:rFonts w:ascii="Times New Roman" w:eastAsia="Calibri" w:hAnsi="Times New Roman" w:cs="Times New Roman"/>
          <w:kern w:val="2"/>
          <w:sz w:val="24"/>
          <w:szCs w:val="24"/>
        </w:rPr>
      </w:pPr>
      <w:r w:rsidRPr="0076725B">
        <w:rPr>
          <w:rFonts w:ascii="Times New Roman" w:eastAsia="Calibri" w:hAnsi="Times New Roman" w:cs="Times New Roman"/>
          <w:kern w:val="2"/>
          <w:sz w:val="24"/>
          <w:szCs w:val="24"/>
        </w:rPr>
        <w:t xml:space="preserve">827 pregnant women were registered in the </w:t>
      </w:r>
      <w:proofErr w:type="spellStart"/>
      <w:r w:rsidRPr="0076725B">
        <w:rPr>
          <w:rFonts w:ascii="Times New Roman" w:eastAsia="Calibri" w:hAnsi="Times New Roman" w:cs="Times New Roman"/>
          <w:kern w:val="2"/>
          <w:sz w:val="24"/>
          <w:szCs w:val="24"/>
        </w:rPr>
        <w:t>Arumeru</w:t>
      </w:r>
      <w:proofErr w:type="spellEnd"/>
      <w:r w:rsidRPr="0076725B">
        <w:rPr>
          <w:rFonts w:ascii="Times New Roman" w:eastAsia="Calibri" w:hAnsi="Times New Roman" w:cs="Times New Roman"/>
          <w:kern w:val="2"/>
          <w:sz w:val="24"/>
          <w:szCs w:val="24"/>
        </w:rPr>
        <w:t xml:space="preserve"> district in 2023, according to the Reproductive and Child Health data from that year. </w:t>
      </w:r>
      <w:r w:rsidRPr="0076725B">
        <w:rPr>
          <w:rFonts w:ascii="Times New Roman" w:eastAsia="Calibri" w:hAnsi="Times New Roman" w:cs="Times New Roman"/>
          <w:kern w:val="2"/>
          <w:sz w:val="24"/>
          <w:szCs w:val="24"/>
          <w:lang w:val="en-US"/>
        </w:rPr>
        <w:t xml:space="preserve">Therefore, using Yamane </w:t>
      </w:r>
      <w:r w:rsidRPr="0076725B">
        <w:rPr>
          <w:rFonts w:ascii="Times New Roman" w:eastAsia="Calibri" w:hAnsi="Times New Roman" w:cs="Times New Roman"/>
          <w:kern w:val="2"/>
          <w:sz w:val="24"/>
          <w:szCs w:val="24"/>
          <w:lang w:val="en-US"/>
        </w:rPr>
        <w:fldChar w:fldCharType="begin" w:fldLock="1"/>
      </w:r>
      <w:r w:rsidRPr="0076725B">
        <w:rPr>
          <w:rFonts w:ascii="Times New Roman" w:eastAsia="Calibri" w:hAnsi="Times New Roman" w:cs="Times New Roman"/>
          <w:kern w:val="2"/>
          <w:sz w:val="24"/>
          <w:szCs w:val="24"/>
          <w:lang w:val="en-US"/>
        </w:rPr>
        <w:instrText>ADDIN CSL_CITATION {"citationItems":[{"id":"ITEM-1","itemData":{"DOI":"10.9734/jsrr/2020/v26i530263","abstract":"Obtaining a representative sample size remains critical to survey researchers because of its implication for cost, time and precision of the sample estimate. However, the difficulty of obtaining a good estimate of population variance coupled with insufficient skills in sampling theory impede the researchers’ ability to obtain an optimum sample in survey research. This paper proposes an adjustment to the margin of error in Yamane’s (1967) formula to make it applicable for use in determining optimum sample size for both continuous and categorical variables at all levels of confidence. A minimum sample size determination table is developed for use by researchers based on the adjusted formula developed in this paper.","author":[{"dropping-particle":"","family":"Yamane","given":"Y","non-dropping-particle":"","parse-names":false,"suffix":""}],"container-title":"Journal of Scientific Research and Reports","id":"ITEM-1","issue":"4","issued":{"date-parts":[["1967"]]},"page":"1-12","title":"Sample Size Determination Formula","type":"article-journal","volume":"3"},"suppress-author":1,"uris":["http://www.mendeley.com/documents/?uuid=6be9551c-032f-4dfe-8e1e-79d2152d649d"]}],"mendeley":{"formattedCitation":"(1967)","plainTextFormattedCitation":"(1967)","previouslyFormattedCitation":"(1967)"},"properties":{"noteIndex":0},"schema":"https://github.com/citation-style-language/schema/raw/master/csl-citation.json"}</w:instrText>
      </w:r>
      <w:r w:rsidRPr="0076725B">
        <w:rPr>
          <w:rFonts w:ascii="Times New Roman" w:eastAsia="Calibri" w:hAnsi="Times New Roman" w:cs="Times New Roman"/>
          <w:kern w:val="2"/>
          <w:sz w:val="24"/>
          <w:szCs w:val="24"/>
          <w:lang w:val="en-US"/>
        </w:rPr>
        <w:fldChar w:fldCharType="separate"/>
      </w:r>
      <w:r w:rsidRPr="0076725B">
        <w:rPr>
          <w:rFonts w:ascii="Times New Roman" w:eastAsia="Calibri" w:hAnsi="Times New Roman" w:cs="Times New Roman"/>
          <w:noProof/>
          <w:kern w:val="2"/>
          <w:sz w:val="24"/>
          <w:szCs w:val="24"/>
          <w:lang w:val="en-US"/>
        </w:rPr>
        <w:t>(1967)</w:t>
      </w:r>
      <w:r w:rsidRPr="0076725B">
        <w:rPr>
          <w:rFonts w:ascii="Times New Roman" w:eastAsia="Calibri" w:hAnsi="Times New Roman" w:cs="Times New Roman"/>
          <w:kern w:val="2"/>
          <w:sz w:val="24"/>
          <w:szCs w:val="24"/>
          <w:lang w:val="en-US"/>
        </w:rPr>
        <w:fldChar w:fldCharType="end"/>
      </w:r>
      <w:r w:rsidR="00E44BBE" w:rsidRPr="0076725B">
        <w:rPr>
          <w:rFonts w:ascii="Times New Roman" w:eastAsia="Calibri" w:hAnsi="Times New Roman" w:cs="Times New Roman"/>
          <w:kern w:val="2"/>
          <w:sz w:val="24"/>
          <w:szCs w:val="24"/>
          <w:lang w:val="en-US"/>
        </w:rPr>
        <w:t xml:space="preserve"> formula a sample size of this study was determined as follows:</w:t>
      </w:r>
    </w:p>
    <w:p w14:paraId="090BC74B"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p>
    <w:p w14:paraId="23E94A2F"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 xml:space="preserve">Mathematically, from the Yamane </w:t>
      </w:r>
      <w:r w:rsidR="009B6D52" w:rsidRPr="0076725B">
        <w:rPr>
          <w:rFonts w:ascii="Times New Roman" w:eastAsia="Calibri" w:hAnsi="Times New Roman" w:cs="Times New Roman"/>
          <w:sz w:val="24"/>
          <w:szCs w:val="24"/>
          <w:lang w:val="en-US"/>
        </w:rPr>
        <w:fldChar w:fldCharType="begin" w:fldLock="1"/>
      </w:r>
      <w:r w:rsidR="00F00FC5" w:rsidRPr="0076725B">
        <w:rPr>
          <w:rFonts w:ascii="Times New Roman" w:eastAsia="Calibri" w:hAnsi="Times New Roman" w:cs="Times New Roman"/>
          <w:sz w:val="24"/>
          <w:szCs w:val="24"/>
          <w:lang w:val="en-US"/>
        </w:rPr>
        <w:instrText>ADDIN CSL_CITATION {"citationItems":[{"id":"ITEM-1","itemData":{"DOI":"10.9734/jsrr/2020/v26i530263","abstract":"Obtaining a representative sample size remains critical to survey researchers because of its implication for cost, time and precision of the sample estimate. However, the difficulty of obtaining a good estimate of population variance coupled with insufficient skills in sampling theory impede the researchers’ ability to obtain an optimum sample in survey research. This paper proposes an adjustment to the margin of error in Yamane’s (1967) formula to make it applicable for use in determining optimum sample size for both continuous and categorical variables at all levels of confidence. A minimum sample size determination table is developed for use by researchers based on the adjusted formula developed in this paper.","author":[{"dropping-particle":"","family":"Yamane","given":"Y","non-dropping-particle":"","parse-names":false,"suffix":""}],"container-title":"Journal of Scientific Research and Reports","id":"ITEM-1","issue":"4","issued":{"date-parts":[["1967"]]},"page":"1-12","title":"Sample Size Determination Formula","type":"article-journal","volume":"3"},"suppress-author":1,"uris":["http://www.mendeley.com/documents/?uuid=6be9551c-032f-4dfe-8e1e-79d2152d649d"]}],"mendeley":{"formattedCitation":"(1967)","plainTextFormattedCitation":"(1967)","previouslyFormattedCitation":"(1967)"},"properties":{"noteIndex":0},"schema":"https://github.com/citation-style-language/schema/raw/master/csl-citation.json"}</w:instrText>
      </w:r>
      <w:r w:rsidR="009B6D52" w:rsidRPr="0076725B">
        <w:rPr>
          <w:rFonts w:ascii="Times New Roman" w:eastAsia="Calibri" w:hAnsi="Times New Roman" w:cs="Times New Roman"/>
          <w:sz w:val="24"/>
          <w:szCs w:val="24"/>
          <w:lang w:val="en-US"/>
        </w:rPr>
        <w:fldChar w:fldCharType="separate"/>
      </w:r>
      <w:r w:rsidR="009B6D52" w:rsidRPr="0076725B">
        <w:rPr>
          <w:rFonts w:ascii="Times New Roman" w:eastAsia="Calibri" w:hAnsi="Times New Roman" w:cs="Times New Roman"/>
          <w:noProof/>
          <w:sz w:val="24"/>
          <w:szCs w:val="24"/>
          <w:lang w:val="en-US"/>
        </w:rPr>
        <w:t>(1967)</w:t>
      </w:r>
      <w:r w:rsidR="009B6D52" w:rsidRPr="0076725B">
        <w:rPr>
          <w:rFonts w:ascii="Times New Roman" w:eastAsia="Calibri" w:hAnsi="Times New Roman" w:cs="Times New Roman"/>
          <w:sz w:val="24"/>
          <w:szCs w:val="24"/>
          <w:lang w:val="en-US"/>
        </w:rPr>
        <w:fldChar w:fldCharType="end"/>
      </w:r>
      <w:r w:rsidRPr="0076725B">
        <w:rPr>
          <w:rFonts w:ascii="Times New Roman" w:eastAsia="Calibri" w:hAnsi="Times New Roman" w:cs="Times New Roman"/>
          <w:sz w:val="24"/>
          <w:szCs w:val="24"/>
          <w:lang w:val="en-US"/>
        </w:rPr>
        <w:t>formulae</w:t>
      </w:r>
    </w:p>
    <w:p w14:paraId="47CFC0EB" w14:textId="77777777" w:rsidR="00E44BBE" w:rsidRPr="0076725B" w:rsidRDefault="00E44BBE" w:rsidP="00E44BBE">
      <w:pPr>
        <w:spacing w:after="0" w:line="240" w:lineRule="auto"/>
        <w:ind w:left="360"/>
        <w:jc w:val="both"/>
        <w:rPr>
          <w:rFonts w:ascii="Times New Roman" w:eastAsia="Calibri" w:hAnsi="Times New Roman" w:cs="Times New Roman"/>
          <w:sz w:val="24"/>
          <w:szCs w:val="24"/>
          <w:lang w:val="en-US"/>
        </w:rPr>
      </w:pPr>
      <m:oMathPara>
        <m:oMathParaPr>
          <m:jc m:val="left"/>
        </m:oMathParaPr>
        <m:oMath>
          <m:r>
            <w:rPr>
              <w:rFonts w:ascii="Cambria Math" w:eastAsia="Calibri" w:hAnsi="Cambria Math" w:cs="Times New Roman"/>
              <w:sz w:val="24"/>
              <w:szCs w:val="24"/>
              <w:lang w:val="en-US"/>
            </w:rPr>
            <m:t>n=</m:t>
          </m:r>
          <m:f>
            <m:fPr>
              <m:ctrlPr>
                <w:rPr>
                  <w:rFonts w:ascii="Cambria Math" w:eastAsia="Calibri" w:hAnsi="Cambria Math" w:cs="Times New Roman"/>
                  <w:i/>
                  <w:sz w:val="24"/>
                  <w:szCs w:val="24"/>
                  <w:lang w:val="en-US"/>
                </w:rPr>
              </m:ctrlPr>
            </m:fPr>
            <m:num>
              <m:r>
                <w:rPr>
                  <w:rFonts w:ascii="Cambria Math" w:eastAsia="Calibri" w:hAnsi="Cambria Math" w:cs="Times New Roman"/>
                  <w:sz w:val="24"/>
                  <w:szCs w:val="24"/>
                  <w:lang w:val="en-US"/>
                </w:rPr>
                <m:t>N</m:t>
              </m:r>
            </m:num>
            <m:den>
              <m:r>
                <w:rPr>
                  <w:rFonts w:ascii="Cambria Math" w:eastAsia="Calibri" w:hAnsi="Cambria Math" w:cs="Times New Roman"/>
                  <w:sz w:val="24"/>
                  <w:szCs w:val="24"/>
                  <w:lang w:val="en-US"/>
                </w:rPr>
                <m:t>1+</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N(e)</m:t>
                  </m:r>
                </m:e>
                <m:sup>
                  <m:r>
                    <w:rPr>
                      <w:rFonts w:ascii="Cambria Math" w:eastAsia="Calibri" w:hAnsi="Cambria Math" w:cs="Times New Roman"/>
                      <w:sz w:val="24"/>
                      <w:szCs w:val="24"/>
                      <w:lang w:val="en-US"/>
                    </w:rPr>
                    <m:t>2</m:t>
                  </m:r>
                </m:sup>
              </m:sSup>
            </m:den>
          </m:f>
        </m:oMath>
      </m:oMathPara>
    </w:p>
    <w:p w14:paraId="0828DB08"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p>
    <w:p w14:paraId="22676559"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 xml:space="preserve">Whereas: </w:t>
      </w:r>
    </w:p>
    <w:p w14:paraId="73A7DDF2"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p>
    <w:p w14:paraId="09FA8C39" w14:textId="77777777" w:rsidR="00E44BBE" w:rsidRPr="0076725B" w:rsidRDefault="00E44BBE" w:rsidP="00E44BBE">
      <w:pPr>
        <w:spacing w:after="0" w:line="240" w:lineRule="auto"/>
        <w:ind w:left="360"/>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 xml:space="preserve">n = samples size, </w:t>
      </w:r>
    </w:p>
    <w:p w14:paraId="6BE20B32" w14:textId="77777777" w:rsidR="00E44BBE" w:rsidRPr="0076725B" w:rsidRDefault="00E44BBE" w:rsidP="00E44BBE">
      <w:pPr>
        <w:spacing w:after="0" w:line="240" w:lineRule="auto"/>
        <w:ind w:left="360"/>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 xml:space="preserve">N = total population, </w:t>
      </w:r>
    </w:p>
    <w:p w14:paraId="59D4689C" w14:textId="77777777" w:rsidR="00E44BBE" w:rsidRPr="0076725B" w:rsidRDefault="00E44BBE" w:rsidP="00E44BBE">
      <w:pPr>
        <w:spacing w:after="0" w:line="240" w:lineRule="auto"/>
        <w:ind w:left="360"/>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e = sampling error</w:t>
      </w:r>
    </w:p>
    <w:p w14:paraId="44BE14CB" w14:textId="77777777" w:rsidR="00E44BBE" w:rsidRPr="0076725B" w:rsidRDefault="00E44BBE" w:rsidP="00E44BBE">
      <w:pPr>
        <w:spacing w:after="0" w:line="240" w:lineRule="auto"/>
        <w:ind w:left="360"/>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Then: N = 827 Total population</w:t>
      </w:r>
    </w:p>
    <w:p w14:paraId="4B308DB5" w14:textId="77777777" w:rsidR="00E44BBE" w:rsidRPr="0076725B" w:rsidRDefault="00E44BBE" w:rsidP="00E44BBE">
      <w:pPr>
        <w:spacing w:after="0" w:line="240" w:lineRule="auto"/>
        <w:ind w:left="360"/>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lastRenderedPageBreak/>
        <w:t xml:space="preserve"> e = 0.05%, </w:t>
      </w:r>
    </w:p>
    <w:p w14:paraId="20B92A0E" w14:textId="77777777" w:rsidR="00E44BBE" w:rsidRPr="0076725B" w:rsidRDefault="00E44BBE" w:rsidP="00E44BBE">
      <w:pPr>
        <w:spacing w:after="0" w:line="240" w:lineRule="auto"/>
        <w:ind w:left="360"/>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 xml:space="preserve"> n =? </w:t>
      </w:r>
    </w:p>
    <w:p w14:paraId="7A8F11A1"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p>
    <w:p w14:paraId="5DA456AE"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 xml:space="preserve">From the formula: </w:t>
      </w:r>
    </w:p>
    <w:p w14:paraId="049E4188"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p>
    <w:p w14:paraId="4644BC99" w14:textId="77777777" w:rsidR="00E44BBE" w:rsidRPr="0076725B" w:rsidRDefault="00E44BBE" w:rsidP="00E44BBE">
      <w:pPr>
        <w:tabs>
          <w:tab w:val="left" w:pos="270"/>
        </w:tabs>
        <w:spacing w:after="0" w:line="240" w:lineRule="auto"/>
        <w:ind w:left="360"/>
        <w:jc w:val="both"/>
        <w:rPr>
          <w:rFonts w:ascii="Times New Roman" w:eastAsia="Calibri" w:hAnsi="Times New Roman" w:cs="Times New Roman"/>
          <w:i/>
          <w:sz w:val="24"/>
          <w:szCs w:val="24"/>
          <w:lang w:val="en-US"/>
        </w:rPr>
      </w:pPr>
      <m:oMathPara>
        <m:oMathParaPr>
          <m:jc m:val="left"/>
        </m:oMathParaPr>
        <m:oMath>
          <m:r>
            <w:rPr>
              <w:rFonts w:ascii="Cambria Math" w:eastAsia="Calibri" w:hAnsi="Cambria Math" w:cs="Times New Roman"/>
              <w:sz w:val="24"/>
              <w:szCs w:val="24"/>
              <w:lang w:val="en-US"/>
            </w:rPr>
            <m:t>n=</m:t>
          </m:r>
          <m:f>
            <m:fPr>
              <m:ctrlPr>
                <w:rPr>
                  <w:rFonts w:ascii="Cambria Math" w:eastAsia="Calibri" w:hAnsi="Cambria Math" w:cs="Times New Roman"/>
                  <w:i/>
                  <w:sz w:val="24"/>
                  <w:szCs w:val="24"/>
                  <w:lang w:val="en-US"/>
                </w:rPr>
              </m:ctrlPr>
            </m:fPr>
            <m:num>
              <m:r>
                <m:rPr>
                  <m:sty m:val="p"/>
                </m:rPr>
                <w:rPr>
                  <w:rFonts w:ascii="Cambria Math" w:eastAsia="Calibri" w:hAnsi="Cambria Math" w:cs="Times New Roman"/>
                  <w:sz w:val="24"/>
                  <w:szCs w:val="24"/>
                  <w:lang w:val="en-US"/>
                </w:rPr>
                <m:t>827</m:t>
              </m:r>
            </m:num>
            <m:den>
              <m:r>
                <w:rPr>
                  <w:rFonts w:ascii="Cambria Math" w:eastAsia="Calibri" w:hAnsi="Cambria Math" w:cs="Times New Roman"/>
                  <w:sz w:val="24"/>
                  <w:szCs w:val="24"/>
                  <w:lang w:val="en-US"/>
                </w:rPr>
                <m:t>1+</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827(0.05)</m:t>
                  </m:r>
                </m:e>
                <m:sup>
                  <m:r>
                    <w:rPr>
                      <w:rFonts w:ascii="Cambria Math" w:eastAsia="Calibri" w:hAnsi="Cambria Math" w:cs="Times New Roman"/>
                      <w:sz w:val="24"/>
                      <w:szCs w:val="24"/>
                      <w:lang w:val="en-US"/>
                    </w:rPr>
                    <m:t>^</m:t>
                  </m:r>
                </m:sup>
              </m:sSup>
              <m:r>
                <w:rPr>
                  <w:rFonts w:ascii="Cambria Math" w:eastAsia="Calibri" w:hAnsi="Cambria Math" w:cs="Times New Roman"/>
                  <w:sz w:val="24"/>
                  <w:szCs w:val="24"/>
                  <w:lang w:val="en-US"/>
                </w:rPr>
                <m:t>2</m:t>
              </m:r>
            </m:den>
          </m:f>
        </m:oMath>
      </m:oMathPara>
    </w:p>
    <w:p w14:paraId="56040A47" w14:textId="77777777" w:rsidR="00E44BBE" w:rsidRPr="0076725B" w:rsidRDefault="00E44BBE" w:rsidP="00E44BBE">
      <w:pPr>
        <w:tabs>
          <w:tab w:val="left" w:pos="270"/>
        </w:tabs>
        <w:spacing w:after="0" w:line="240" w:lineRule="auto"/>
        <w:ind w:left="360"/>
        <w:jc w:val="both"/>
        <w:rPr>
          <w:rFonts w:ascii="Times New Roman" w:eastAsia="Calibri" w:hAnsi="Times New Roman" w:cs="Times New Roman"/>
          <w:i/>
          <w:sz w:val="24"/>
          <w:szCs w:val="24"/>
          <w:lang w:val="en-US"/>
        </w:rPr>
      </w:pPr>
      <w:bookmarkStart w:id="1" w:name="_Hlk142546809"/>
      <m:oMathPara>
        <m:oMathParaPr>
          <m:jc m:val="left"/>
        </m:oMathParaPr>
        <m:oMath>
          <m:r>
            <w:rPr>
              <w:rFonts w:ascii="Cambria Math" w:eastAsia="Calibri" w:hAnsi="Cambria Math" w:cs="Times New Roman"/>
              <w:sz w:val="24"/>
              <w:szCs w:val="24"/>
              <w:lang w:val="en-US"/>
            </w:rPr>
            <m:t>n=</m:t>
          </m:r>
          <w:bookmarkStart w:id="2" w:name="_Hlk142546799"/>
          <m:f>
            <m:fPr>
              <m:ctrlPr>
                <w:rPr>
                  <w:rFonts w:ascii="Cambria Math" w:eastAsia="Calibri" w:hAnsi="Cambria Math" w:cs="Times New Roman"/>
                  <w:i/>
                  <w:sz w:val="24"/>
                  <w:szCs w:val="24"/>
                  <w:lang w:val="en-US"/>
                </w:rPr>
              </m:ctrlPr>
            </m:fPr>
            <m:num>
              <m:r>
                <m:rPr>
                  <m:sty m:val="p"/>
                </m:rPr>
                <w:rPr>
                  <w:rFonts w:ascii="Cambria Math" w:eastAsia="Calibri" w:hAnsi="Cambria Math" w:cs="Times New Roman"/>
                  <w:sz w:val="24"/>
                  <w:szCs w:val="24"/>
                  <w:lang w:val="en-US"/>
                </w:rPr>
                <m:t>827</m:t>
              </m:r>
            </m:num>
            <m:den>
              <m:r>
                <w:rPr>
                  <w:rFonts w:ascii="Cambria Math" w:eastAsia="Calibri" w:hAnsi="Cambria Math" w:cs="Times New Roman"/>
                  <w:sz w:val="24"/>
                  <w:szCs w:val="24"/>
                  <w:lang w:val="en-US"/>
                </w:rPr>
                <m:t>1+</m:t>
              </m:r>
              <m:r>
                <m:rPr>
                  <m:sty m:val="p"/>
                </m:rPr>
                <w:rPr>
                  <w:rFonts w:ascii="Cambria Math" w:eastAsia="Calibri" w:hAnsi="Cambria Math" w:cs="Times New Roman"/>
                  <w:sz w:val="24"/>
                  <w:szCs w:val="24"/>
                  <w:lang w:val="en-US"/>
                </w:rPr>
                <m:t>827</m:t>
              </m:r>
              <m:r>
                <w:rPr>
                  <w:rFonts w:ascii="Cambria Math" w:eastAsia="Calibri" w:hAnsi="Cambria Math" w:cs="Times New Roman"/>
                  <w:sz w:val="24"/>
                  <w:szCs w:val="24"/>
                  <w:lang w:val="en-US"/>
                </w:rPr>
                <m:t>x0.05x0.05</m:t>
              </m:r>
            </m:den>
          </m:f>
        </m:oMath>
      </m:oMathPara>
      <w:bookmarkEnd w:id="1"/>
    </w:p>
    <w:bookmarkEnd w:id="2"/>
    <w:p w14:paraId="740B37AE" w14:textId="77777777" w:rsidR="00E44BBE" w:rsidRPr="0076725B" w:rsidRDefault="00E44BBE" w:rsidP="00E44BBE">
      <w:pPr>
        <w:spacing w:after="0" w:line="240" w:lineRule="auto"/>
        <w:jc w:val="both"/>
        <w:rPr>
          <w:rFonts w:ascii="Times New Roman" w:eastAsiaTheme="minorEastAsia" w:hAnsi="Times New Roman" w:cs="Times New Roman"/>
          <w:sz w:val="24"/>
          <w:szCs w:val="24"/>
          <w:lang w:val="en-US"/>
        </w:rPr>
      </w:pPr>
      <m:oMathPara>
        <m:oMath>
          <m:r>
            <w:rPr>
              <w:rFonts w:ascii="Cambria Math" w:eastAsia="Calibri" w:hAnsi="Cambria Math" w:cs="Times New Roman"/>
              <w:sz w:val="24"/>
              <w:szCs w:val="24"/>
              <w:lang w:val="en-US"/>
            </w:rPr>
            <m:t>n=</m:t>
          </m:r>
          <m:f>
            <m:fPr>
              <m:ctrlPr>
                <w:rPr>
                  <w:rFonts w:ascii="Cambria Math" w:eastAsia="Calibri" w:hAnsi="Cambria Math" w:cs="Times New Roman"/>
                  <w:i/>
                  <w:sz w:val="24"/>
                  <w:szCs w:val="24"/>
                  <w:lang w:val="en-US"/>
                </w:rPr>
              </m:ctrlPr>
            </m:fPr>
            <m:num>
              <m:r>
                <m:rPr>
                  <m:sty m:val="p"/>
                </m:rPr>
                <w:rPr>
                  <w:rFonts w:ascii="Cambria Math" w:eastAsia="Calibri" w:hAnsi="Cambria Math" w:cs="Times New Roman"/>
                  <w:sz w:val="24"/>
                  <w:szCs w:val="24"/>
                  <w:lang w:val="en-US"/>
                </w:rPr>
                <m:t>827</m:t>
              </m:r>
            </m:num>
            <m:den>
              <m:r>
                <w:rPr>
                  <w:rFonts w:ascii="Cambria Math" w:eastAsia="Calibri" w:hAnsi="Cambria Math" w:cs="Times New Roman"/>
                  <w:sz w:val="24"/>
                  <w:szCs w:val="24"/>
                  <w:lang w:val="en-US"/>
                </w:rPr>
                <m:t>1+</m:t>
              </m:r>
              <m:r>
                <m:rPr>
                  <m:sty m:val="p"/>
                </m:rPr>
                <w:rPr>
                  <w:rFonts w:ascii="Cambria Math" w:eastAsia="Calibri" w:hAnsi="Cambria Math" w:cs="Times New Roman"/>
                  <w:sz w:val="24"/>
                  <w:szCs w:val="24"/>
                  <w:lang w:val="en-US"/>
                </w:rPr>
                <m:t>827</m:t>
              </m:r>
              <m:r>
                <w:rPr>
                  <w:rFonts w:ascii="Cambria Math" w:eastAsia="Calibri" w:hAnsi="Cambria Math" w:cs="Times New Roman"/>
                  <w:sz w:val="24"/>
                  <w:szCs w:val="24"/>
                  <w:lang w:val="en-US"/>
                </w:rPr>
                <m:t>x0.0025</m:t>
              </m:r>
            </m:den>
          </m:f>
        </m:oMath>
      </m:oMathPara>
    </w:p>
    <w:p w14:paraId="6D641202" w14:textId="77777777" w:rsidR="00E44BBE" w:rsidRPr="0076725B" w:rsidRDefault="00E44BBE" w:rsidP="00E44BBE">
      <w:pPr>
        <w:tabs>
          <w:tab w:val="left" w:pos="270"/>
        </w:tabs>
        <w:spacing w:after="0" w:line="240" w:lineRule="auto"/>
        <w:ind w:left="360"/>
        <w:jc w:val="both"/>
        <w:rPr>
          <w:rFonts w:ascii="Times New Roman" w:eastAsia="Calibri" w:hAnsi="Times New Roman" w:cs="Times New Roman"/>
          <w:i/>
          <w:sz w:val="24"/>
          <w:szCs w:val="24"/>
          <w:lang w:val="en-US"/>
        </w:rPr>
      </w:pPr>
      <m:oMathPara>
        <m:oMathParaPr>
          <m:jc m:val="left"/>
        </m:oMathParaPr>
        <m:oMath>
          <m:r>
            <w:rPr>
              <w:rFonts w:ascii="Cambria Math" w:eastAsia="Calibri" w:hAnsi="Cambria Math" w:cs="Times New Roman"/>
              <w:sz w:val="24"/>
              <w:szCs w:val="24"/>
              <w:lang w:val="en-US"/>
            </w:rPr>
            <m:t>n=</m:t>
          </m:r>
          <m:f>
            <m:fPr>
              <m:ctrlPr>
                <w:rPr>
                  <w:rFonts w:ascii="Cambria Math" w:eastAsia="Calibri" w:hAnsi="Cambria Math" w:cs="Times New Roman"/>
                  <w:i/>
                  <w:sz w:val="24"/>
                  <w:szCs w:val="24"/>
                  <w:lang w:val="en-US"/>
                </w:rPr>
              </m:ctrlPr>
            </m:fPr>
            <m:num>
              <m:r>
                <m:rPr>
                  <m:sty m:val="p"/>
                </m:rPr>
                <w:rPr>
                  <w:rFonts w:ascii="Cambria Math" w:eastAsia="Calibri" w:hAnsi="Cambria Math" w:cs="Times New Roman"/>
                  <w:sz w:val="24"/>
                  <w:szCs w:val="24"/>
                  <w:lang w:val="en-US"/>
                </w:rPr>
                <m:t>827</m:t>
              </m:r>
            </m:num>
            <m:den>
              <m:r>
                <w:rPr>
                  <w:rFonts w:ascii="Cambria Math" w:eastAsia="Calibri" w:hAnsi="Cambria Math" w:cs="Times New Roman"/>
                  <w:sz w:val="24"/>
                  <w:szCs w:val="24"/>
                  <w:lang w:val="en-US"/>
                </w:rPr>
                <m:t>1+2.0675</m:t>
              </m:r>
            </m:den>
          </m:f>
        </m:oMath>
      </m:oMathPara>
    </w:p>
    <w:p w14:paraId="3313C40C" w14:textId="77777777" w:rsidR="00E44BBE" w:rsidRPr="0076725B" w:rsidRDefault="00E44BBE" w:rsidP="00E44BBE">
      <w:pPr>
        <w:tabs>
          <w:tab w:val="left" w:pos="270"/>
        </w:tabs>
        <w:spacing w:after="0" w:line="240" w:lineRule="auto"/>
        <w:ind w:left="360"/>
        <w:jc w:val="both"/>
        <w:rPr>
          <w:rFonts w:ascii="Times New Roman" w:eastAsia="Calibri" w:hAnsi="Times New Roman" w:cs="Times New Roman"/>
          <w:i/>
          <w:sz w:val="24"/>
          <w:szCs w:val="24"/>
          <w:lang w:val="en-US"/>
        </w:rPr>
      </w:pPr>
      <m:oMathPara>
        <m:oMathParaPr>
          <m:jc m:val="left"/>
        </m:oMathParaPr>
        <m:oMath>
          <m:r>
            <w:rPr>
              <w:rFonts w:ascii="Cambria Math" w:eastAsia="Calibri" w:hAnsi="Cambria Math" w:cs="Times New Roman"/>
              <w:sz w:val="24"/>
              <w:szCs w:val="24"/>
              <w:lang w:val="en-US"/>
            </w:rPr>
            <m:t>n=</m:t>
          </m:r>
          <m:f>
            <m:fPr>
              <m:ctrlPr>
                <w:rPr>
                  <w:rFonts w:ascii="Cambria Math" w:eastAsia="Calibri" w:hAnsi="Cambria Math" w:cs="Times New Roman"/>
                  <w:i/>
                  <w:sz w:val="24"/>
                  <w:szCs w:val="24"/>
                  <w:lang w:val="en-US"/>
                </w:rPr>
              </m:ctrlPr>
            </m:fPr>
            <m:num>
              <m:r>
                <m:rPr>
                  <m:sty m:val="p"/>
                </m:rPr>
                <w:rPr>
                  <w:rFonts w:ascii="Cambria Math" w:eastAsia="Calibri" w:hAnsi="Cambria Math" w:cs="Times New Roman"/>
                  <w:sz w:val="24"/>
                  <w:szCs w:val="24"/>
                  <w:lang w:val="en-US"/>
                </w:rPr>
                <m:t>827</m:t>
              </m:r>
            </m:num>
            <m:den>
              <m:r>
                <w:rPr>
                  <w:rFonts w:ascii="Cambria Math" w:eastAsia="Calibri" w:hAnsi="Cambria Math" w:cs="Times New Roman"/>
                  <w:sz w:val="24"/>
                  <w:szCs w:val="24"/>
                  <w:lang w:val="en-US"/>
                </w:rPr>
                <m:t>3.0675</m:t>
              </m:r>
            </m:den>
          </m:f>
        </m:oMath>
      </m:oMathPara>
    </w:p>
    <w:p w14:paraId="1854DACD" w14:textId="77777777" w:rsidR="00E44BBE" w:rsidRPr="0076725B" w:rsidRDefault="00E44BBE" w:rsidP="00E44BBE">
      <w:pPr>
        <w:tabs>
          <w:tab w:val="left" w:pos="270"/>
        </w:tabs>
        <w:spacing w:after="0" w:line="240" w:lineRule="auto"/>
        <w:ind w:left="360"/>
        <w:jc w:val="both"/>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n= 269</w:t>
      </w:r>
    </w:p>
    <w:p w14:paraId="0A5AA72B" w14:textId="77777777" w:rsidR="00E44BBE" w:rsidRPr="0076725B" w:rsidRDefault="00E44BBE" w:rsidP="00E44BBE">
      <w:pPr>
        <w:tabs>
          <w:tab w:val="left" w:pos="270"/>
        </w:tabs>
        <w:spacing w:after="0" w:line="240" w:lineRule="auto"/>
        <w:ind w:left="360"/>
        <w:jc w:val="both"/>
        <w:rPr>
          <w:rFonts w:ascii="Times New Roman" w:eastAsia="Calibri" w:hAnsi="Times New Roman" w:cs="Times New Roman"/>
          <w:sz w:val="24"/>
          <w:szCs w:val="24"/>
          <w:lang w:val="en-US"/>
        </w:rPr>
      </w:pPr>
      <w:r w:rsidRPr="0076725B">
        <w:rPr>
          <w:rFonts w:ascii="Times New Roman" w:eastAsia="Calibri" w:hAnsi="Times New Roman" w:cs="Times New Roman"/>
          <w:sz w:val="24"/>
          <w:szCs w:val="24"/>
          <w:lang w:val="en-US"/>
        </w:rPr>
        <w:t>n = 269</w:t>
      </w:r>
    </w:p>
    <w:p w14:paraId="52CBD50B" w14:textId="77777777" w:rsidR="00E44BBE" w:rsidRPr="0076725B" w:rsidRDefault="00E44BBE" w:rsidP="00E44BBE">
      <w:pPr>
        <w:spacing w:after="0" w:line="240" w:lineRule="auto"/>
        <w:jc w:val="both"/>
        <w:rPr>
          <w:rFonts w:ascii="Times New Roman" w:eastAsia="Calibri" w:hAnsi="Times New Roman" w:cs="Times New Roman"/>
          <w:sz w:val="24"/>
          <w:szCs w:val="24"/>
          <w:lang w:val="en-US"/>
        </w:rPr>
      </w:pPr>
    </w:p>
    <w:p w14:paraId="70B8D837" w14:textId="77777777" w:rsidR="00E44BBE" w:rsidRPr="0076725B" w:rsidRDefault="00E44BBE" w:rsidP="00E44BBE">
      <w:pPr>
        <w:spacing w:after="0" w:line="240" w:lineRule="auto"/>
        <w:jc w:val="both"/>
        <w:rPr>
          <w:rFonts w:ascii="Times New Roman" w:eastAsia="Calibri" w:hAnsi="Times New Roman" w:cs="Times New Roman"/>
          <w:kern w:val="2"/>
          <w:sz w:val="24"/>
          <w:szCs w:val="24"/>
          <w:lang w:val="en-US"/>
        </w:rPr>
      </w:pPr>
      <w:r w:rsidRPr="0076725B">
        <w:rPr>
          <w:rFonts w:ascii="Times New Roman" w:eastAsia="Calibri" w:hAnsi="Times New Roman" w:cs="Times New Roman"/>
          <w:sz w:val="24"/>
          <w:szCs w:val="24"/>
          <w:lang w:val="en-US"/>
        </w:rPr>
        <w:t>The sample size of this study was 269.</w:t>
      </w:r>
    </w:p>
    <w:p w14:paraId="7E4BB248" w14:textId="77777777" w:rsidR="00E44BBE" w:rsidRPr="0076725B" w:rsidRDefault="00E44BBE" w:rsidP="00E44BBE">
      <w:pPr>
        <w:rPr>
          <w:rFonts w:ascii="Times New Roman" w:hAnsi="Times New Roman" w:cs="Times New Roman"/>
          <w:b/>
          <w:sz w:val="24"/>
          <w:szCs w:val="24"/>
        </w:rPr>
      </w:pPr>
      <w:r w:rsidRPr="0076725B">
        <w:rPr>
          <w:rFonts w:ascii="Times New Roman" w:hAnsi="Times New Roman" w:cs="Times New Roman"/>
          <w:b/>
          <w:sz w:val="24"/>
          <w:szCs w:val="24"/>
        </w:rPr>
        <w:t>2.4</w:t>
      </w:r>
      <w:r w:rsidRPr="0076725B">
        <w:rPr>
          <w:rFonts w:ascii="Times New Roman" w:hAnsi="Times New Roman" w:cs="Times New Roman"/>
          <w:b/>
          <w:sz w:val="24"/>
          <w:szCs w:val="24"/>
        </w:rPr>
        <w:tab/>
        <w:t>Sampling Procedure</w:t>
      </w:r>
    </w:p>
    <w:p w14:paraId="3903818C" w14:textId="77777777" w:rsidR="006D20D7" w:rsidRPr="0076725B" w:rsidRDefault="006D20D7" w:rsidP="006D20D7">
      <w:pPr>
        <w:spacing w:after="0" w:line="240" w:lineRule="auto"/>
        <w:jc w:val="both"/>
        <w:rPr>
          <w:rFonts w:ascii="Times New Roman" w:eastAsia="Times New Roman" w:hAnsi="Times New Roman" w:cs="Times New Roman"/>
          <w:sz w:val="24"/>
          <w:szCs w:val="24"/>
          <w:lang w:eastAsia="en-GB"/>
        </w:rPr>
      </w:pPr>
      <w:r w:rsidRPr="0076725B">
        <w:rPr>
          <w:rFonts w:ascii="Times New Roman" w:eastAsia="Times New Roman" w:hAnsi="Times New Roman" w:cs="Times New Roman"/>
          <w:sz w:val="24"/>
          <w:szCs w:val="24"/>
          <w:lang w:eastAsia="en-GB"/>
        </w:rPr>
        <w:t>The study employed both probability and non-probability approaches. Pregnant women were selected using the probability strategy—more precisely, simple random sampling—in order to calculate the sample size. Using purposive sampling, a non-probability sample technique, the hospital's Reproductive and Child Health Officer (RCH officer) was selected as a key informant.</w:t>
      </w:r>
    </w:p>
    <w:p w14:paraId="568DA868" w14:textId="77777777" w:rsidR="00E44BBE" w:rsidRPr="0076725B" w:rsidRDefault="00E44BBE" w:rsidP="00E44BBE">
      <w:pPr>
        <w:jc w:val="both"/>
        <w:rPr>
          <w:rFonts w:ascii="Times New Roman" w:hAnsi="Times New Roman" w:cs="Times New Roman"/>
          <w:sz w:val="24"/>
          <w:szCs w:val="24"/>
        </w:rPr>
      </w:pPr>
    </w:p>
    <w:p w14:paraId="138281BD" w14:textId="77777777" w:rsidR="00E44BBE" w:rsidRPr="0076725B" w:rsidRDefault="00E44BBE" w:rsidP="00E44BBE">
      <w:pPr>
        <w:jc w:val="both"/>
        <w:rPr>
          <w:rFonts w:ascii="Times New Roman" w:hAnsi="Times New Roman" w:cs="Times New Roman"/>
          <w:b/>
          <w:sz w:val="24"/>
          <w:szCs w:val="24"/>
        </w:rPr>
      </w:pPr>
      <w:r w:rsidRPr="0076725B">
        <w:rPr>
          <w:rFonts w:ascii="Times New Roman" w:hAnsi="Times New Roman" w:cs="Times New Roman"/>
          <w:b/>
          <w:sz w:val="24"/>
          <w:szCs w:val="24"/>
        </w:rPr>
        <w:t>2.5</w:t>
      </w:r>
      <w:r w:rsidRPr="0076725B">
        <w:rPr>
          <w:rFonts w:ascii="Times New Roman" w:hAnsi="Times New Roman" w:cs="Times New Roman"/>
          <w:b/>
          <w:sz w:val="24"/>
          <w:szCs w:val="24"/>
        </w:rPr>
        <w:tab/>
        <w:t>Data Collection Methods</w:t>
      </w:r>
    </w:p>
    <w:p w14:paraId="10B7EEFA" w14:textId="77777777" w:rsidR="00E44BBE" w:rsidRPr="0076725B" w:rsidRDefault="00E44BBE" w:rsidP="00E44BBE">
      <w:pPr>
        <w:jc w:val="both"/>
        <w:rPr>
          <w:rFonts w:ascii="Times New Roman" w:hAnsi="Times New Roman" w:cs="Times New Roman"/>
          <w:sz w:val="24"/>
          <w:szCs w:val="24"/>
        </w:rPr>
      </w:pPr>
      <w:r w:rsidRPr="0076725B">
        <w:rPr>
          <w:rFonts w:ascii="Times New Roman" w:hAnsi="Times New Roman" w:cs="Times New Roman"/>
          <w:sz w:val="24"/>
          <w:szCs w:val="24"/>
        </w:rPr>
        <w:t>Data were collected between February and April 2024 using the following methods:</w:t>
      </w:r>
    </w:p>
    <w:p w14:paraId="7B57B2F3" w14:textId="77777777" w:rsidR="00E44BBE" w:rsidRPr="0076725B" w:rsidRDefault="00E44BBE" w:rsidP="00E44BBE">
      <w:pPr>
        <w:jc w:val="both"/>
        <w:rPr>
          <w:rFonts w:ascii="Times New Roman" w:hAnsi="Times New Roman" w:cs="Times New Roman"/>
          <w:b/>
          <w:sz w:val="24"/>
          <w:szCs w:val="24"/>
        </w:rPr>
      </w:pPr>
      <w:r w:rsidRPr="0076725B">
        <w:rPr>
          <w:rFonts w:ascii="Times New Roman" w:hAnsi="Times New Roman" w:cs="Times New Roman"/>
          <w:b/>
          <w:sz w:val="24"/>
          <w:szCs w:val="24"/>
        </w:rPr>
        <w:t>2.5.1</w:t>
      </w:r>
      <w:r w:rsidRPr="0076725B">
        <w:rPr>
          <w:rFonts w:ascii="Times New Roman" w:hAnsi="Times New Roman" w:cs="Times New Roman"/>
          <w:b/>
          <w:sz w:val="24"/>
          <w:szCs w:val="24"/>
        </w:rPr>
        <w:tab/>
        <w:t>Interview</w:t>
      </w:r>
    </w:p>
    <w:p w14:paraId="6E791514" w14:textId="77777777" w:rsidR="00E44BBE" w:rsidRPr="0076725B" w:rsidRDefault="006D20D7" w:rsidP="00E44BBE">
      <w:pPr>
        <w:jc w:val="both"/>
        <w:rPr>
          <w:rFonts w:ascii="Times New Roman" w:hAnsi="Times New Roman" w:cs="Times New Roman"/>
          <w:sz w:val="24"/>
          <w:szCs w:val="24"/>
        </w:rPr>
      </w:pPr>
      <w:r w:rsidRPr="0076725B">
        <w:rPr>
          <w:rFonts w:ascii="Times New Roman" w:hAnsi="Times New Roman" w:cs="Times New Roman"/>
          <w:sz w:val="24"/>
          <w:szCs w:val="24"/>
        </w:rPr>
        <w:t xml:space="preserve">The study employed an interviewing methodology to collect data from the key informant. The tool's questions were designed to collect data regarding the methods employed to raise pregnant women's health literacy regarding family planning in </w:t>
      </w:r>
      <w:proofErr w:type="spellStart"/>
      <w:r w:rsidRPr="0076725B">
        <w:rPr>
          <w:rFonts w:ascii="Times New Roman" w:hAnsi="Times New Roman" w:cs="Times New Roman"/>
          <w:sz w:val="24"/>
          <w:szCs w:val="24"/>
        </w:rPr>
        <w:t>Akheri</w:t>
      </w:r>
      <w:proofErr w:type="spellEnd"/>
      <w:r w:rsidRPr="0076725B">
        <w:rPr>
          <w:rFonts w:ascii="Times New Roman" w:hAnsi="Times New Roman" w:cs="Times New Roman"/>
          <w:sz w:val="24"/>
          <w:szCs w:val="24"/>
        </w:rPr>
        <w:t xml:space="preserve"> Ward.</w:t>
      </w:r>
      <w:r w:rsidR="00E44BBE" w:rsidRPr="0076725B">
        <w:rPr>
          <w:rFonts w:ascii="Times New Roman" w:hAnsi="Times New Roman" w:cs="Times New Roman"/>
          <w:sz w:val="24"/>
          <w:szCs w:val="24"/>
        </w:rPr>
        <w:t xml:space="preserve"> </w:t>
      </w:r>
    </w:p>
    <w:p w14:paraId="362A8366" w14:textId="77777777" w:rsidR="00E44BBE" w:rsidRPr="0076725B" w:rsidRDefault="00E44BBE" w:rsidP="00E44BBE">
      <w:pPr>
        <w:jc w:val="both"/>
        <w:rPr>
          <w:rFonts w:ascii="Times New Roman" w:hAnsi="Times New Roman" w:cs="Times New Roman"/>
          <w:b/>
          <w:sz w:val="24"/>
          <w:szCs w:val="24"/>
        </w:rPr>
      </w:pPr>
      <w:r w:rsidRPr="0076725B">
        <w:rPr>
          <w:rFonts w:ascii="Times New Roman" w:hAnsi="Times New Roman" w:cs="Times New Roman"/>
          <w:b/>
          <w:sz w:val="24"/>
          <w:szCs w:val="24"/>
        </w:rPr>
        <w:t>2.5.2 Questionnaire</w:t>
      </w:r>
    </w:p>
    <w:p w14:paraId="17FF9F86" w14:textId="77777777" w:rsidR="00E44BBE" w:rsidRPr="0076725B" w:rsidRDefault="006D20D7" w:rsidP="00E44BBE">
      <w:pPr>
        <w:jc w:val="both"/>
        <w:rPr>
          <w:rFonts w:ascii="Times New Roman" w:hAnsi="Times New Roman" w:cs="Times New Roman"/>
          <w:sz w:val="24"/>
          <w:szCs w:val="24"/>
        </w:rPr>
      </w:pPr>
      <w:r w:rsidRPr="0076725B">
        <w:rPr>
          <w:rFonts w:ascii="Times New Roman" w:hAnsi="Times New Roman" w:cs="Times New Roman"/>
          <w:sz w:val="24"/>
          <w:szCs w:val="24"/>
        </w:rPr>
        <w:t>The study used questionnaires to collect data from pregnant women because they provided a rapid, simple, cost-effective, and efficient way to collect a lot of data from a wide sample of respondents. This survey was conducted in-person to improve communication with the respondents and, in turn, the response rate. There were closed-ended questions throughout the poll to gather quantitative data. The respondents were permitted to respond to the closed-ended questions by choosing suitable answers from the list.</w:t>
      </w:r>
    </w:p>
    <w:p w14:paraId="44978563" w14:textId="77777777" w:rsidR="00E44BBE" w:rsidRPr="0076725B" w:rsidRDefault="00E44BBE" w:rsidP="00E44BBE">
      <w:pPr>
        <w:jc w:val="both"/>
        <w:rPr>
          <w:rFonts w:ascii="Times New Roman" w:hAnsi="Times New Roman" w:cs="Times New Roman"/>
          <w:b/>
          <w:sz w:val="24"/>
          <w:szCs w:val="24"/>
        </w:rPr>
      </w:pPr>
      <w:r w:rsidRPr="0076725B">
        <w:rPr>
          <w:rFonts w:ascii="Times New Roman" w:hAnsi="Times New Roman" w:cs="Times New Roman"/>
          <w:b/>
          <w:sz w:val="24"/>
          <w:szCs w:val="24"/>
        </w:rPr>
        <w:t>2.6 Data Analysis</w:t>
      </w:r>
    </w:p>
    <w:p w14:paraId="03E4F92A" w14:textId="77777777" w:rsidR="006D20D7" w:rsidRPr="0076725B" w:rsidRDefault="006D20D7" w:rsidP="006D20D7">
      <w:pPr>
        <w:spacing w:after="0" w:line="240" w:lineRule="auto"/>
        <w:jc w:val="both"/>
        <w:rPr>
          <w:rFonts w:ascii="Times New Roman" w:eastAsia="Times New Roman" w:hAnsi="Times New Roman" w:cs="Times New Roman"/>
          <w:sz w:val="24"/>
          <w:szCs w:val="24"/>
          <w:lang w:eastAsia="en-GB"/>
        </w:rPr>
      </w:pPr>
      <w:r w:rsidRPr="0076725B">
        <w:rPr>
          <w:rFonts w:ascii="Times New Roman" w:eastAsia="Times New Roman" w:hAnsi="Times New Roman" w:cs="Times New Roman"/>
          <w:sz w:val="24"/>
          <w:szCs w:val="24"/>
          <w:lang w:eastAsia="en-GB"/>
        </w:rPr>
        <w:t>Prior to data entry, the information gathered from original sources was meticulously examined and modified to find and fix any mistakes. After that, it was coded, assembled, and examined. Descriptive statistics were used to process quantitative data using programs like the</w:t>
      </w:r>
      <w:r w:rsidR="004D54C9" w:rsidRPr="0076725B">
        <w:rPr>
          <w:rFonts w:ascii="Times New Roman" w:eastAsia="Times New Roman" w:hAnsi="Times New Roman" w:cs="Times New Roman"/>
          <w:sz w:val="24"/>
          <w:szCs w:val="24"/>
          <w:lang w:eastAsia="en-GB"/>
        </w:rPr>
        <w:t xml:space="preserve"> IBM</w:t>
      </w:r>
      <w:r w:rsidRPr="0076725B">
        <w:rPr>
          <w:rFonts w:ascii="Times New Roman" w:eastAsia="Times New Roman" w:hAnsi="Times New Roman" w:cs="Times New Roman"/>
          <w:sz w:val="24"/>
          <w:szCs w:val="24"/>
          <w:lang w:eastAsia="en-GB"/>
        </w:rPr>
        <w:t xml:space="preserve"> Statistical Package for Social Sciences (SPSS)</w:t>
      </w:r>
      <w:r w:rsidR="004D54C9" w:rsidRPr="0076725B">
        <w:rPr>
          <w:rFonts w:ascii="Times New Roman" w:eastAsia="Times New Roman" w:hAnsi="Times New Roman" w:cs="Times New Roman"/>
          <w:sz w:val="24"/>
          <w:szCs w:val="24"/>
          <w:lang w:eastAsia="en-GB"/>
        </w:rPr>
        <w:t xml:space="preserve"> version 23</w:t>
      </w:r>
      <w:r w:rsidRPr="0076725B">
        <w:rPr>
          <w:rFonts w:ascii="Times New Roman" w:eastAsia="Times New Roman" w:hAnsi="Times New Roman" w:cs="Times New Roman"/>
          <w:sz w:val="24"/>
          <w:szCs w:val="24"/>
          <w:lang w:eastAsia="en-GB"/>
        </w:rPr>
        <w:t xml:space="preserve">. Content analysis was used to </w:t>
      </w:r>
      <w:r w:rsidRPr="0076725B">
        <w:rPr>
          <w:rFonts w:ascii="Times New Roman" w:eastAsia="Times New Roman" w:hAnsi="Times New Roman" w:cs="Times New Roman"/>
          <w:sz w:val="24"/>
          <w:szCs w:val="24"/>
          <w:lang w:eastAsia="en-GB"/>
        </w:rPr>
        <w:lastRenderedPageBreak/>
        <w:t>examine the qualitative information provided by key informants. A variety of tables, figures, charts, and narratives were used to convey the results, providing thorough explanation and insightful information.</w:t>
      </w:r>
    </w:p>
    <w:p w14:paraId="02377DB4" w14:textId="77777777" w:rsidR="00E44BBE" w:rsidRPr="0076725B" w:rsidRDefault="00E44BBE" w:rsidP="00E44BBE">
      <w:pPr>
        <w:jc w:val="both"/>
        <w:rPr>
          <w:rFonts w:ascii="Times New Roman" w:hAnsi="Times New Roman" w:cs="Times New Roman"/>
          <w:sz w:val="24"/>
          <w:szCs w:val="24"/>
        </w:rPr>
      </w:pPr>
    </w:p>
    <w:p w14:paraId="25DE13C5" w14:textId="77777777" w:rsidR="00221BB7" w:rsidRPr="0076725B" w:rsidRDefault="00F00FC5" w:rsidP="00F00FC5">
      <w:pPr>
        <w:pStyle w:val="ListParagraph"/>
        <w:numPr>
          <w:ilvl w:val="0"/>
          <w:numId w:val="1"/>
        </w:numPr>
        <w:jc w:val="both"/>
        <w:rPr>
          <w:rFonts w:ascii="Times New Roman" w:hAnsi="Times New Roman" w:cs="Times New Roman"/>
          <w:b/>
          <w:sz w:val="24"/>
          <w:szCs w:val="24"/>
        </w:rPr>
      </w:pPr>
      <w:r w:rsidRPr="0076725B">
        <w:rPr>
          <w:rFonts w:ascii="Times New Roman" w:hAnsi="Times New Roman" w:cs="Times New Roman"/>
          <w:b/>
          <w:sz w:val="24"/>
          <w:szCs w:val="24"/>
        </w:rPr>
        <w:t>RESULTS AND DISCUSSIONS</w:t>
      </w:r>
    </w:p>
    <w:p w14:paraId="53A93AF1" w14:textId="77777777" w:rsidR="00F00FC5" w:rsidRPr="0076725B" w:rsidRDefault="00F00FC5" w:rsidP="00F00FC5">
      <w:pPr>
        <w:jc w:val="both"/>
        <w:rPr>
          <w:rFonts w:ascii="Times New Roman" w:hAnsi="Times New Roman" w:cs="Times New Roman"/>
          <w:b/>
          <w:sz w:val="24"/>
          <w:szCs w:val="24"/>
        </w:rPr>
      </w:pPr>
      <w:r w:rsidRPr="0076725B">
        <w:rPr>
          <w:rFonts w:ascii="Times New Roman" w:hAnsi="Times New Roman" w:cs="Times New Roman"/>
          <w:b/>
          <w:sz w:val="24"/>
          <w:szCs w:val="24"/>
        </w:rPr>
        <w:t>3.1</w:t>
      </w:r>
      <w:r w:rsidRPr="0076725B">
        <w:rPr>
          <w:rFonts w:ascii="Times New Roman" w:hAnsi="Times New Roman" w:cs="Times New Roman"/>
          <w:b/>
          <w:sz w:val="24"/>
          <w:szCs w:val="24"/>
        </w:rPr>
        <w:tab/>
        <w:t>Demographic Characteristics of Respondents</w:t>
      </w:r>
    </w:p>
    <w:p w14:paraId="1E47203F" w14:textId="77777777" w:rsidR="008201EB" w:rsidRPr="0076725B" w:rsidRDefault="00F00FC5" w:rsidP="00F00FC5">
      <w:pPr>
        <w:spacing w:after="0" w:line="240" w:lineRule="auto"/>
        <w:jc w:val="both"/>
        <w:rPr>
          <w:rFonts w:ascii="Times New Roman" w:hAnsi="Times New Roman" w:cs="Times New Roman"/>
          <w:sz w:val="24"/>
          <w:szCs w:val="24"/>
        </w:rPr>
      </w:pPr>
      <w:r w:rsidRPr="0076725B">
        <w:rPr>
          <w:rFonts w:ascii="Times New Roman" w:eastAsia="Times New Roman" w:hAnsi="Times New Roman" w:cs="Times New Roman"/>
          <w:sz w:val="24"/>
          <w:szCs w:val="24"/>
          <w:lang w:eastAsia="en-GB"/>
        </w:rPr>
        <w:t xml:space="preserve">The results in Table 1 show that the ages of the respondents are split into two categories. The age range of the lowest group is over 47 (9.3%) and 42-47 (10%), while the largest group is 24-29 (27.5%), followed by 30-35 (21.9%) and 18-25 (21.6%). This implies that younger respondents (those under 35) make up over 70% of the population surveyed. Family planning education is particularly crucial for this group as the majority of its members are of reproductive age. Younger people might be less opposed to modern family planning services than older groups, but they might also not fully comprehend them </w:t>
      </w:r>
      <w:r w:rsidRPr="0076725B">
        <w:rPr>
          <w:rFonts w:ascii="Times New Roman" w:eastAsia="Times New Roman" w:hAnsi="Times New Roman" w:cs="Times New Roman"/>
          <w:sz w:val="24"/>
          <w:szCs w:val="24"/>
          <w:lang w:eastAsia="en-GB"/>
        </w:rPr>
        <w:fldChar w:fldCharType="begin" w:fldLock="1"/>
      </w:r>
      <w:r w:rsidR="00383373" w:rsidRPr="0076725B">
        <w:rPr>
          <w:rFonts w:ascii="Times New Roman" w:eastAsia="Times New Roman" w:hAnsi="Times New Roman" w:cs="Times New Roman"/>
          <w:sz w:val="24"/>
          <w:szCs w:val="24"/>
          <w:lang w:eastAsia="en-GB"/>
        </w:rPr>
        <w:instrText>ADDIN CSL_CITATION {"citationItems":[{"id":"ITEM-1","itemData":{"DOI":"10.1016/j.srhc.2020.100499","ISSN":"18775764","PMID":"32050123","abstract":"Objectives: Despite the accessibility of modern family planning (FP) methods, unwanted pregnancies remains a serious problem in Tanzania. This study aimed to identify the barriers to the uptake of modern FP methods among female youth reached by the Chaguo la Maisha project in Temeke District, Tanzania. Study design: Qualitative study conducted in March 2017 involving 15 female youths aged 18–24 years. Main outcome measures: Purposive sampling was used to select study participants and sampling followed the principle of data saturation. The study participants were those who received contraceptive counseling from community health mobilizers and agreed to visit a nearby health facility for FP services but did not go for the services. A semi-structured interview guide, translated into Kiswahili language was used. Data were transcribed; analyzed following qualitative content analysis. Major categories and subcategories that hindered visitations were identified. Results: Three categories and their subcategories were identified as hindering FP method uptake. (1) individual perception factors: (a) myths and misconceptions, (b) fear of side effects, (c) fear of the possibility of being pregnant at the time of FP counseling; (2) community perception factors: discouragement from an intimate partner and closest friends; and (3) health facility system factors: unavailability of the preferred method and absence of the trained personnel for the FP method. Conclusions: The main barriers to FP uptake were myths and misconceptions, and fear of side effects. The intimate partner or closest friends were significant decision influencers on contraceptive use, implying that FP campaigns should focus beyond the individual level.","author":[{"dropping-particle":"","family":"Mushy","given":"Stella E.","non-dropping-particle":"","parse-names":false,"suffix":""},{"dropping-particle":"","family":"Tarimo","given":"Edith A.M.","non-dropping-particle":"","parse-names":false,"suffix":""},{"dropping-particle":"","family":"Fredrick Massae","given":"Agnes","non-dropping-particle":"","parse-names":false,"suffix":""},{"dropping-particle":"","family":"Horiuchi","given":"Shigeko","non-dropping-particle":"","parse-names":false,"suffix":""}],"container-title":"Sexual and Reproductive Healthcare","id":"ITEM-1","issue":"6","issued":{"date-parts":[["2020"]]},"page":"1-6","publisher":"Elsevier","title":"Barriers to the uptake of modern family planning methods among female youth of Temeke District in Dar es Salaam, Tanzania: A qualitative study","type":"article-journal","volume":"24"},"uris":["http://www.mendeley.com/documents/?uuid=1e5eac40-345d-456b-9d04-9e1d548f3018"]}],"mendeley":{"formattedCitation":"(Mushy et al., 2020)","plainTextFormattedCitation":"(Mushy et al., 2020)","previouslyFormattedCitation":"(Mushy et al., 2020)"},"properties":{"noteIndex":0},"schema":"https://github.com/citation-style-language/schema/raw/master/csl-citation.json"}</w:instrText>
      </w:r>
      <w:r w:rsidRPr="0076725B">
        <w:rPr>
          <w:rFonts w:ascii="Times New Roman" w:eastAsia="Times New Roman" w:hAnsi="Times New Roman" w:cs="Times New Roman"/>
          <w:sz w:val="24"/>
          <w:szCs w:val="24"/>
          <w:lang w:eastAsia="en-GB"/>
        </w:rPr>
        <w:fldChar w:fldCharType="separate"/>
      </w:r>
      <w:r w:rsidRPr="0076725B">
        <w:rPr>
          <w:rFonts w:ascii="Times New Roman" w:eastAsia="Times New Roman" w:hAnsi="Times New Roman" w:cs="Times New Roman"/>
          <w:noProof/>
          <w:sz w:val="24"/>
          <w:szCs w:val="24"/>
          <w:lang w:eastAsia="en-GB"/>
        </w:rPr>
        <w:t>(Mushy et al., 2020)</w:t>
      </w:r>
      <w:r w:rsidRPr="0076725B">
        <w:rPr>
          <w:rFonts w:ascii="Times New Roman" w:eastAsia="Times New Roman" w:hAnsi="Times New Roman" w:cs="Times New Roman"/>
          <w:sz w:val="24"/>
          <w:szCs w:val="24"/>
          <w:lang w:eastAsia="en-GB"/>
        </w:rPr>
        <w:fldChar w:fldCharType="end"/>
      </w:r>
      <w:r w:rsidRPr="0076725B">
        <w:rPr>
          <w:rFonts w:ascii="Times New Roman" w:eastAsia="Times New Roman" w:hAnsi="Times New Roman" w:cs="Times New Roman"/>
          <w:sz w:val="24"/>
          <w:szCs w:val="24"/>
          <w:lang w:eastAsia="en-GB"/>
        </w:rPr>
        <w:t xml:space="preserve">. </w:t>
      </w:r>
      <w:r w:rsidR="00383373" w:rsidRPr="0076725B">
        <w:rPr>
          <w:rFonts w:ascii="Times New Roman" w:hAnsi="Times New Roman" w:cs="Times New Roman"/>
          <w:sz w:val="24"/>
          <w:szCs w:val="24"/>
        </w:rPr>
        <w:t xml:space="preserve">Priority should be given to targeted education for this age group, but efforts should also include the needs of the older cohort, which may have different tastes or knowledge levels due to generational differences. </w:t>
      </w:r>
    </w:p>
    <w:p w14:paraId="29ACCB8F" w14:textId="77777777" w:rsidR="008201EB" w:rsidRPr="0076725B" w:rsidRDefault="008201EB" w:rsidP="00F00FC5">
      <w:pPr>
        <w:spacing w:after="0" w:line="240" w:lineRule="auto"/>
        <w:jc w:val="both"/>
        <w:rPr>
          <w:rFonts w:ascii="Times New Roman" w:hAnsi="Times New Roman" w:cs="Times New Roman"/>
          <w:sz w:val="24"/>
          <w:szCs w:val="24"/>
        </w:rPr>
      </w:pPr>
    </w:p>
    <w:p w14:paraId="6509E90A" w14:textId="77777777" w:rsidR="00A2403E" w:rsidRPr="0076725B" w:rsidRDefault="00383373" w:rsidP="00F00FC5">
      <w:pPr>
        <w:spacing w:after="0" w:line="240" w:lineRule="auto"/>
        <w:jc w:val="both"/>
        <w:rPr>
          <w:rFonts w:ascii="Times New Roman" w:hAnsi="Times New Roman" w:cs="Times New Roman"/>
          <w:sz w:val="24"/>
          <w:szCs w:val="24"/>
        </w:rPr>
      </w:pPr>
      <w:r w:rsidRPr="0076725B">
        <w:rPr>
          <w:rFonts w:ascii="Times New Roman" w:hAnsi="Times New Roman" w:cs="Times New Roman"/>
          <w:sz w:val="24"/>
          <w:szCs w:val="24"/>
        </w:rPr>
        <w:t>Similarly, Table 1's findings indicate that respondents' educational attainment falls into two categories. While the largest group had secondary education (22.3%) and university-level education (33.5%), the lowest group had primary education (14.5%) and non-formal education (11.9%).</w:t>
      </w:r>
      <w:r w:rsidR="00F00FC5" w:rsidRPr="0076725B">
        <w:rPr>
          <w:rFonts w:ascii="Times New Roman" w:hAnsi="Times New Roman" w:cs="Times New Roman"/>
          <w:sz w:val="24"/>
          <w:szCs w:val="24"/>
        </w:rPr>
        <w:t xml:space="preserve"> </w:t>
      </w:r>
      <w:r w:rsidRPr="0076725B">
        <w:rPr>
          <w:rFonts w:ascii="Times New Roman" w:hAnsi="Times New Roman" w:cs="Times New Roman"/>
          <w:sz w:val="24"/>
          <w:szCs w:val="24"/>
        </w:rPr>
        <w:t>Higher education levels appear to be prevalent in this sample, as over half of the respondents had secondary, postsecondary, or university-level schooling. Given that many respondents may have greater cognitive ability and access to knowledge, this implies that awareness campaigns may be more complex and cover technical aspects of family planning services. However, the fact that 26.4% of respondents had only finished primary or non-formal education implies that those with lower levels of education need more accessible and user-friendly communication tools.</w:t>
      </w:r>
    </w:p>
    <w:p w14:paraId="483E1866" w14:textId="77777777" w:rsidR="00B32B9E" w:rsidRPr="0076725B" w:rsidRDefault="00B32B9E" w:rsidP="00B32B9E">
      <w:pPr>
        <w:jc w:val="both"/>
        <w:rPr>
          <w:rFonts w:ascii="Times New Roman" w:hAnsi="Times New Roman" w:cs="Times New Roman"/>
          <w:b/>
          <w:sz w:val="24"/>
          <w:szCs w:val="24"/>
        </w:rPr>
      </w:pPr>
      <w:r w:rsidRPr="0076725B">
        <w:rPr>
          <w:rFonts w:ascii="Times New Roman" w:hAnsi="Times New Roman" w:cs="Times New Roman"/>
          <w:b/>
          <w:sz w:val="24"/>
          <w:szCs w:val="24"/>
        </w:rPr>
        <w:t>Table 1. Demographic characteristics of respondents</w:t>
      </w: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2410"/>
        <w:gridCol w:w="1559"/>
        <w:gridCol w:w="2551"/>
      </w:tblGrid>
      <w:tr w:rsidR="0076725B" w:rsidRPr="0076725B" w14:paraId="6556D427" w14:textId="77777777" w:rsidTr="005F3988">
        <w:trPr>
          <w:trHeight w:val="20"/>
          <w:jc w:val="center"/>
        </w:trPr>
        <w:tc>
          <w:tcPr>
            <w:tcW w:w="4735" w:type="dxa"/>
            <w:gridSpan w:val="2"/>
            <w:tcBorders>
              <w:top w:val="single" w:sz="4" w:space="0" w:color="auto"/>
              <w:left w:val="nil"/>
              <w:bottom w:val="single" w:sz="4" w:space="0" w:color="auto"/>
              <w:right w:val="nil"/>
            </w:tcBorders>
            <w:hideMark/>
          </w:tcPr>
          <w:p w14:paraId="113ACCE3" w14:textId="77777777" w:rsidR="00B32B9E" w:rsidRPr="0076725B" w:rsidRDefault="00B32B9E" w:rsidP="005F3988">
            <w:pPr>
              <w:rPr>
                <w:rFonts w:ascii="Times New Roman" w:hAnsi="Times New Roman"/>
                <w:b/>
                <w:bCs/>
                <w:sz w:val="20"/>
                <w:szCs w:val="20"/>
              </w:rPr>
            </w:pPr>
            <w:r w:rsidRPr="0076725B">
              <w:rPr>
                <w:rFonts w:ascii="Times New Roman" w:hAnsi="Times New Roman"/>
                <w:b/>
                <w:bCs/>
                <w:sz w:val="20"/>
                <w:szCs w:val="20"/>
              </w:rPr>
              <w:t>Variable (n = 269)</w:t>
            </w:r>
          </w:p>
        </w:tc>
        <w:tc>
          <w:tcPr>
            <w:tcW w:w="1559" w:type="dxa"/>
            <w:tcBorders>
              <w:top w:val="single" w:sz="4" w:space="0" w:color="auto"/>
              <w:left w:val="nil"/>
              <w:bottom w:val="single" w:sz="4" w:space="0" w:color="auto"/>
              <w:right w:val="nil"/>
            </w:tcBorders>
            <w:noWrap/>
            <w:hideMark/>
          </w:tcPr>
          <w:p w14:paraId="17D2CD0D" w14:textId="77777777" w:rsidR="00B32B9E" w:rsidRPr="0076725B" w:rsidRDefault="00B32B9E" w:rsidP="005F3988">
            <w:pPr>
              <w:rPr>
                <w:rFonts w:ascii="Times New Roman" w:hAnsi="Times New Roman"/>
                <w:b/>
                <w:bCs/>
                <w:sz w:val="20"/>
                <w:szCs w:val="20"/>
              </w:rPr>
            </w:pPr>
            <w:r w:rsidRPr="0076725B">
              <w:rPr>
                <w:rFonts w:ascii="Times New Roman" w:hAnsi="Times New Roman"/>
                <w:b/>
                <w:bCs/>
                <w:sz w:val="20"/>
                <w:szCs w:val="20"/>
              </w:rPr>
              <w:t>Frequency</w:t>
            </w:r>
          </w:p>
        </w:tc>
        <w:tc>
          <w:tcPr>
            <w:tcW w:w="2551" w:type="dxa"/>
            <w:tcBorders>
              <w:top w:val="single" w:sz="4" w:space="0" w:color="auto"/>
              <w:left w:val="nil"/>
              <w:bottom w:val="single" w:sz="4" w:space="0" w:color="auto"/>
              <w:right w:val="nil"/>
            </w:tcBorders>
            <w:noWrap/>
            <w:hideMark/>
          </w:tcPr>
          <w:p w14:paraId="0D112220" w14:textId="77777777" w:rsidR="00B32B9E" w:rsidRPr="0076725B" w:rsidRDefault="00B32B9E" w:rsidP="005F3988">
            <w:pPr>
              <w:rPr>
                <w:rFonts w:ascii="Times New Roman" w:hAnsi="Times New Roman"/>
                <w:b/>
                <w:bCs/>
                <w:sz w:val="20"/>
                <w:szCs w:val="20"/>
              </w:rPr>
            </w:pPr>
            <w:r w:rsidRPr="0076725B">
              <w:rPr>
                <w:rFonts w:ascii="Times New Roman" w:hAnsi="Times New Roman"/>
                <w:b/>
                <w:bCs/>
                <w:sz w:val="20"/>
                <w:szCs w:val="20"/>
              </w:rPr>
              <w:t>Per cent</w:t>
            </w:r>
          </w:p>
        </w:tc>
      </w:tr>
      <w:tr w:rsidR="0076725B" w:rsidRPr="0076725B" w14:paraId="7580CA52" w14:textId="77777777" w:rsidTr="005F3988">
        <w:trPr>
          <w:trHeight w:val="20"/>
          <w:jc w:val="center"/>
        </w:trPr>
        <w:tc>
          <w:tcPr>
            <w:tcW w:w="2325" w:type="dxa"/>
            <w:vMerge w:val="restart"/>
            <w:tcBorders>
              <w:top w:val="single" w:sz="4" w:space="0" w:color="auto"/>
              <w:left w:val="nil"/>
              <w:bottom w:val="single" w:sz="4" w:space="0" w:color="auto"/>
              <w:right w:val="nil"/>
            </w:tcBorders>
            <w:hideMark/>
          </w:tcPr>
          <w:p w14:paraId="4F15D4A7" w14:textId="77777777" w:rsidR="00B32B9E" w:rsidRPr="0076725B" w:rsidRDefault="00B32B9E" w:rsidP="005F3988">
            <w:pPr>
              <w:rPr>
                <w:rFonts w:ascii="Times New Roman" w:eastAsia="Calibri" w:hAnsi="Times New Roman"/>
                <w:bCs/>
                <w:sz w:val="20"/>
                <w:szCs w:val="20"/>
              </w:rPr>
            </w:pPr>
            <w:r w:rsidRPr="0076725B">
              <w:rPr>
                <w:rFonts w:ascii="Times New Roman" w:eastAsia="Calibri" w:hAnsi="Times New Roman"/>
                <w:bCs/>
                <w:sz w:val="20"/>
                <w:szCs w:val="20"/>
              </w:rPr>
              <w:t>Age of respondents</w:t>
            </w:r>
          </w:p>
        </w:tc>
        <w:tc>
          <w:tcPr>
            <w:tcW w:w="2410" w:type="dxa"/>
            <w:tcBorders>
              <w:top w:val="single" w:sz="4" w:space="0" w:color="auto"/>
              <w:left w:val="nil"/>
              <w:bottom w:val="nil"/>
              <w:right w:val="nil"/>
            </w:tcBorders>
            <w:noWrap/>
            <w:hideMark/>
          </w:tcPr>
          <w:p w14:paraId="138BE782"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18-25</w:t>
            </w:r>
          </w:p>
        </w:tc>
        <w:tc>
          <w:tcPr>
            <w:tcW w:w="1559" w:type="dxa"/>
            <w:tcBorders>
              <w:top w:val="single" w:sz="4" w:space="0" w:color="auto"/>
              <w:left w:val="nil"/>
              <w:bottom w:val="nil"/>
              <w:right w:val="nil"/>
            </w:tcBorders>
            <w:noWrap/>
            <w:hideMark/>
          </w:tcPr>
          <w:p w14:paraId="793D1BB9"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58</w:t>
            </w:r>
          </w:p>
        </w:tc>
        <w:tc>
          <w:tcPr>
            <w:tcW w:w="2551" w:type="dxa"/>
            <w:tcBorders>
              <w:top w:val="single" w:sz="4" w:space="0" w:color="auto"/>
              <w:left w:val="nil"/>
              <w:bottom w:val="nil"/>
              <w:right w:val="nil"/>
            </w:tcBorders>
            <w:noWrap/>
            <w:hideMark/>
          </w:tcPr>
          <w:p w14:paraId="385D7C92"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21.6</w:t>
            </w:r>
          </w:p>
        </w:tc>
      </w:tr>
      <w:tr w:rsidR="0076725B" w:rsidRPr="0076725B" w14:paraId="07EF5501"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68DEB175"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424AD781"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24-29</w:t>
            </w:r>
          </w:p>
        </w:tc>
        <w:tc>
          <w:tcPr>
            <w:tcW w:w="1559" w:type="dxa"/>
            <w:tcBorders>
              <w:top w:val="nil"/>
              <w:left w:val="nil"/>
              <w:bottom w:val="nil"/>
              <w:right w:val="nil"/>
            </w:tcBorders>
            <w:noWrap/>
            <w:hideMark/>
          </w:tcPr>
          <w:p w14:paraId="4C3A4F52"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74</w:t>
            </w:r>
          </w:p>
        </w:tc>
        <w:tc>
          <w:tcPr>
            <w:tcW w:w="2551" w:type="dxa"/>
            <w:tcBorders>
              <w:top w:val="nil"/>
              <w:left w:val="nil"/>
              <w:bottom w:val="nil"/>
              <w:right w:val="nil"/>
            </w:tcBorders>
            <w:noWrap/>
            <w:hideMark/>
          </w:tcPr>
          <w:p w14:paraId="7401E65C"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27.5</w:t>
            </w:r>
          </w:p>
        </w:tc>
      </w:tr>
      <w:tr w:rsidR="0076725B" w:rsidRPr="0076725B" w14:paraId="430E6E68"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039CCB54"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3130FF54"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30-35</w:t>
            </w:r>
          </w:p>
        </w:tc>
        <w:tc>
          <w:tcPr>
            <w:tcW w:w="1559" w:type="dxa"/>
            <w:tcBorders>
              <w:top w:val="nil"/>
              <w:left w:val="nil"/>
              <w:bottom w:val="nil"/>
              <w:right w:val="nil"/>
            </w:tcBorders>
            <w:noWrap/>
            <w:hideMark/>
          </w:tcPr>
          <w:p w14:paraId="3FBFFAA1"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59</w:t>
            </w:r>
          </w:p>
        </w:tc>
        <w:tc>
          <w:tcPr>
            <w:tcW w:w="2551" w:type="dxa"/>
            <w:tcBorders>
              <w:top w:val="nil"/>
              <w:left w:val="nil"/>
              <w:bottom w:val="nil"/>
              <w:right w:val="nil"/>
            </w:tcBorders>
            <w:noWrap/>
            <w:hideMark/>
          </w:tcPr>
          <w:p w14:paraId="42FEC668"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21.9</w:t>
            </w:r>
          </w:p>
        </w:tc>
      </w:tr>
      <w:tr w:rsidR="0076725B" w:rsidRPr="0076725B" w14:paraId="58F5F03F"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1BAE5178"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0978193A"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36-41</w:t>
            </w:r>
          </w:p>
        </w:tc>
        <w:tc>
          <w:tcPr>
            <w:tcW w:w="1559" w:type="dxa"/>
            <w:tcBorders>
              <w:top w:val="nil"/>
              <w:left w:val="nil"/>
              <w:bottom w:val="nil"/>
              <w:right w:val="nil"/>
            </w:tcBorders>
            <w:noWrap/>
            <w:hideMark/>
          </w:tcPr>
          <w:p w14:paraId="5F6C7520"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26</w:t>
            </w:r>
          </w:p>
        </w:tc>
        <w:tc>
          <w:tcPr>
            <w:tcW w:w="2551" w:type="dxa"/>
            <w:tcBorders>
              <w:top w:val="nil"/>
              <w:left w:val="nil"/>
              <w:bottom w:val="nil"/>
              <w:right w:val="nil"/>
            </w:tcBorders>
            <w:noWrap/>
            <w:hideMark/>
          </w:tcPr>
          <w:p w14:paraId="5ED62929"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9.7</w:t>
            </w:r>
          </w:p>
        </w:tc>
      </w:tr>
      <w:tr w:rsidR="0076725B" w:rsidRPr="0076725B" w14:paraId="0CBB7F6E"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6E0E7F5E"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3D393B39"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42-47</w:t>
            </w:r>
          </w:p>
        </w:tc>
        <w:tc>
          <w:tcPr>
            <w:tcW w:w="1559" w:type="dxa"/>
            <w:tcBorders>
              <w:top w:val="nil"/>
              <w:left w:val="nil"/>
              <w:bottom w:val="nil"/>
              <w:right w:val="nil"/>
            </w:tcBorders>
            <w:noWrap/>
            <w:hideMark/>
          </w:tcPr>
          <w:p w14:paraId="57A1E022"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27</w:t>
            </w:r>
          </w:p>
        </w:tc>
        <w:tc>
          <w:tcPr>
            <w:tcW w:w="2551" w:type="dxa"/>
            <w:tcBorders>
              <w:top w:val="nil"/>
              <w:left w:val="nil"/>
              <w:bottom w:val="nil"/>
              <w:right w:val="nil"/>
            </w:tcBorders>
            <w:noWrap/>
            <w:hideMark/>
          </w:tcPr>
          <w:p w14:paraId="78205DCD"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10</w:t>
            </w:r>
          </w:p>
        </w:tc>
      </w:tr>
      <w:tr w:rsidR="0076725B" w:rsidRPr="0076725B" w14:paraId="756BEE35"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10145F7A"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789F8DDA"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More than 47</w:t>
            </w:r>
          </w:p>
        </w:tc>
        <w:tc>
          <w:tcPr>
            <w:tcW w:w="1559" w:type="dxa"/>
            <w:tcBorders>
              <w:top w:val="nil"/>
              <w:left w:val="nil"/>
              <w:bottom w:val="nil"/>
              <w:right w:val="nil"/>
            </w:tcBorders>
            <w:noWrap/>
            <w:hideMark/>
          </w:tcPr>
          <w:p w14:paraId="1C11EFCA"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25</w:t>
            </w:r>
          </w:p>
        </w:tc>
        <w:tc>
          <w:tcPr>
            <w:tcW w:w="2551" w:type="dxa"/>
            <w:tcBorders>
              <w:top w:val="nil"/>
              <w:left w:val="nil"/>
              <w:bottom w:val="nil"/>
              <w:right w:val="nil"/>
            </w:tcBorders>
            <w:noWrap/>
            <w:hideMark/>
          </w:tcPr>
          <w:p w14:paraId="7728DB24"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9.3</w:t>
            </w:r>
          </w:p>
        </w:tc>
      </w:tr>
      <w:tr w:rsidR="0076725B" w:rsidRPr="0076725B" w14:paraId="52D4DD8D"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489E6A74"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single" w:sz="4" w:space="0" w:color="auto"/>
              <w:right w:val="nil"/>
            </w:tcBorders>
            <w:noWrap/>
            <w:hideMark/>
          </w:tcPr>
          <w:p w14:paraId="0066C015"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Total</w:t>
            </w:r>
          </w:p>
        </w:tc>
        <w:tc>
          <w:tcPr>
            <w:tcW w:w="1559" w:type="dxa"/>
            <w:tcBorders>
              <w:top w:val="nil"/>
              <w:left w:val="nil"/>
              <w:bottom w:val="single" w:sz="4" w:space="0" w:color="auto"/>
              <w:right w:val="nil"/>
            </w:tcBorders>
            <w:noWrap/>
            <w:hideMark/>
          </w:tcPr>
          <w:p w14:paraId="00E3943D"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269</w:t>
            </w:r>
          </w:p>
        </w:tc>
        <w:tc>
          <w:tcPr>
            <w:tcW w:w="2551" w:type="dxa"/>
            <w:tcBorders>
              <w:top w:val="nil"/>
              <w:left w:val="nil"/>
              <w:bottom w:val="single" w:sz="4" w:space="0" w:color="auto"/>
              <w:right w:val="nil"/>
            </w:tcBorders>
            <w:noWrap/>
            <w:hideMark/>
          </w:tcPr>
          <w:p w14:paraId="35BA9AE4"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100</w:t>
            </w:r>
          </w:p>
        </w:tc>
      </w:tr>
      <w:tr w:rsidR="0076725B" w:rsidRPr="0076725B" w14:paraId="128640CB" w14:textId="77777777" w:rsidTr="005F3988">
        <w:trPr>
          <w:trHeight w:val="20"/>
          <w:jc w:val="center"/>
        </w:trPr>
        <w:tc>
          <w:tcPr>
            <w:tcW w:w="2325" w:type="dxa"/>
            <w:vMerge w:val="restart"/>
            <w:tcBorders>
              <w:top w:val="single" w:sz="4" w:space="0" w:color="auto"/>
              <w:left w:val="nil"/>
              <w:bottom w:val="single" w:sz="4" w:space="0" w:color="auto"/>
              <w:right w:val="nil"/>
            </w:tcBorders>
            <w:hideMark/>
          </w:tcPr>
          <w:p w14:paraId="4B445CA3" w14:textId="77777777" w:rsidR="00B32B9E" w:rsidRPr="0076725B" w:rsidRDefault="00B32B9E" w:rsidP="005F3988">
            <w:pPr>
              <w:rPr>
                <w:rFonts w:ascii="Times New Roman" w:eastAsia="Calibri" w:hAnsi="Times New Roman"/>
                <w:bCs/>
                <w:sz w:val="20"/>
                <w:szCs w:val="20"/>
              </w:rPr>
            </w:pPr>
            <w:r w:rsidRPr="0076725B">
              <w:rPr>
                <w:rFonts w:ascii="Times New Roman" w:eastAsia="Calibri" w:hAnsi="Times New Roman"/>
                <w:bCs/>
                <w:sz w:val="20"/>
                <w:szCs w:val="20"/>
              </w:rPr>
              <w:t>Education Level</w:t>
            </w:r>
          </w:p>
        </w:tc>
        <w:tc>
          <w:tcPr>
            <w:tcW w:w="2410" w:type="dxa"/>
            <w:tcBorders>
              <w:top w:val="single" w:sz="4" w:space="0" w:color="auto"/>
              <w:left w:val="nil"/>
              <w:bottom w:val="nil"/>
              <w:right w:val="nil"/>
            </w:tcBorders>
            <w:noWrap/>
            <w:hideMark/>
          </w:tcPr>
          <w:p w14:paraId="18A2C111"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Primary education</w:t>
            </w:r>
          </w:p>
        </w:tc>
        <w:tc>
          <w:tcPr>
            <w:tcW w:w="1559" w:type="dxa"/>
            <w:tcBorders>
              <w:top w:val="single" w:sz="4" w:space="0" w:color="auto"/>
              <w:left w:val="nil"/>
              <w:bottom w:val="nil"/>
              <w:right w:val="nil"/>
            </w:tcBorders>
            <w:noWrap/>
            <w:hideMark/>
          </w:tcPr>
          <w:p w14:paraId="36D57993"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39</w:t>
            </w:r>
          </w:p>
        </w:tc>
        <w:tc>
          <w:tcPr>
            <w:tcW w:w="2551" w:type="dxa"/>
            <w:tcBorders>
              <w:top w:val="single" w:sz="4" w:space="0" w:color="auto"/>
              <w:left w:val="nil"/>
              <w:bottom w:val="nil"/>
              <w:right w:val="nil"/>
            </w:tcBorders>
            <w:noWrap/>
            <w:hideMark/>
          </w:tcPr>
          <w:p w14:paraId="36A5D26C"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14.5</w:t>
            </w:r>
          </w:p>
        </w:tc>
      </w:tr>
      <w:tr w:rsidR="0076725B" w:rsidRPr="0076725B" w14:paraId="712B0C6C"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43707121"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4BB0E078"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Secondary education</w:t>
            </w:r>
          </w:p>
        </w:tc>
        <w:tc>
          <w:tcPr>
            <w:tcW w:w="1559" w:type="dxa"/>
            <w:tcBorders>
              <w:top w:val="nil"/>
              <w:left w:val="nil"/>
              <w:bottom w:val="nil"/>
              <w:right w:val="nil"/>
            </w:tcBorders>
            <w:noWrap/>
            <w:hideMark/>
          </w:tcPr>
          <w:p w14:paraId="5BA0417F"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60</w:t>
            </w:r>
          </w:p>
        </w:tc>
        <w:tc>
          <w:tcPr>
            <w:tcW w:w="2551" w:type="dxa"/>
            <w:tcBorders>
              <w:top w:val="nil"/>
              <w:left w:val="nil"/>
              <w:bottom w:val="nil"/>
              <w:right w:val="nil"/>
            </w:tcBorders>
            <w:noWrap/>
            <w:hideMark/>
          </w:tcPr>
          <w:p w14:paraId="2DFD802D"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22.3</w:t>
            </w:r>
          </w:p>
        </w:tc>
      </w:tr>
      <w:tr w:rsidR="0076725B" w:rsidRPr="0076725B" w14:paraId="0539E156"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1B886F6B"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5C2709CD"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Tertiary</w:t>
            </w:r>
          </w:p>
        </w:tc>
        <w:tc>
          <w:tcPr>
            <w:tcW w:w="1559" w:type="dxa"/>
            <w:tcBorders>
              <w:top w:val="nil"/>
              <w:left w:val="nil"/>
              <w:bottom w:val="nil"/>
              <w:right w:val="nil"/>
            </w:tcBorders>
            <w:noWrap/>
            <w:hideMark/>
          </w:tcPr>
          <w:p w14:paraId="60AFE493"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48</w:t>
            </w:r>
          </w:p>
        </w:tc>
        <w:tc>
          <w:tcPr>
            <w:tcW w:w="2551" w:type="dxa"/>
            <w:tcBorders>
              <w:top w:val="nil"/>
              <w:left w:val="nil"/>
              <w:bottom w:val="nil"/>
              <w:right w:val="nil"/>
            </w:tcBorders>
            <w:noWrap/>
            <w:hideMark/>
          </w:tcPr>
          <w:p w14:paraId="56E0B2D8"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17.8</w:t>
            </w:r>
          </w:p>
        </w:tc>
      </w:tr>
      <w:tr w:rsidR="0076725B" w:rsidRPr="0076725B" w14:paraId="69A7F63A"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1886640E"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76B92F52"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University level</w:t>
            </w:r>
          </w:p>
        </w:tc>
        <w:tc>
          <w:tcPr>
            <w:tcW w:w="1559" w:type="dxa"/>
            <w:tcBorders>
              <w:top w:val="nil"/>
              <w:left w:val="nil"/>
              <w:bottom w:val="nil"/>
              <w:right w:val="nil"/>
            </w:tcBorders>
            <w:noWrap/>
            <w:hideMark/>
          </w:tcPr>
          <w:p w14:paraId="39594C82"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90</w:t>
            </w:r>
          </w:p>
        </w:tc>
        <w:tc>
          <w:tcPr>
            <w:tcW w:w="2551" w:type="dxa"/>
            <w:tcBorders>
              <w:top w:val="nil"/>
              <w:left w:val="nil"/>
              <w:bottom w:val="nil"/>
              <w:right w:val="nil"/>
            </w:tcBorders>
            <w:noWrap/>
            <w:hideMark/>
          </w:tcPr>
          <w:p w14:paraId="31D8EA79"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33.5</w:t>
            </w:r>
          </w:p>
        </w:tc>
      </w:tr>
      <w:tr w:rsidR="0076725B" w:rsidRPr="0076725B" w14:paraId="48935550"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6B9DF9D7"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2686A717"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Non formal education</w:t>
            </w:r>
          </w:p>
        </w:tc>
        <w:tc>
          <w:tcPr>
            <w:tcW w:w="1559" w:type="dxa"/>
            <w:tcBorders>
              <w:top w:val="nil"/>
              <w:left w:val="nil"/>
              <w:bottom w:val="nil"/>
              <w:right w:val="nil"/>
            </w:tcBorders>
            <w:noWrap/>
            <w:hideMark/>
          </w:tcPr>
          <w:p w14:paraId="16C4EC1C"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32</w:t>
            </w:r>
          </w:p>
        </w:tc>
        <w:tc>
          <w:tcPr>
            <w:tcW w:w="2551" w:type="dxa"/>
            <w:tcBorders>
              <w:top w:val="nil"/>
              <w:left w:val="nil"/>
              <w:bottom w:val="nil"/>
              <w:right w:val="nil"/>
            </w:tcBorders>
            <w:noWrap/>
            <w:hideMark/>
          </w:tcPr>
          <w:p w14:paraId="1BA29DFB"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11.9</w:t>
            </w:r>
          </w:p>
        </w:tc>
      </w:tr>
      <w:tr w:rsidR="0076725B" w:rsidRPr="0076725B" w14:paraId="3650E9F7"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573CC191"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single" w:sz="4" w:space="0" w:color="auto"/>
              <w:right w:val="nil"/>
            </w:tcBorders>
            <w:noWrap/>
            <w:hideMark/>
          </w:tcPr>
          <w:p w14:paraId="50DAB9E8"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Total</w:t>
            </w:r>
          </w:p>
        </w:tc>
        <w:tc>
          <w:tcPr>
            <w:tcW w:w="1559" w:type="dxa"/>
            <w:tcBorders>
              <w:top w:val="nil"/>
              <w:left w:val="nil"/>
              <w:bottom w:val="single" w:sz="4" w:space="0" w:color="auto"/>
              <w:right w:val="nil"/>
            </w:tcBorders>
            <w:noWrap/>
            <w:hideMark/>
          </w:tcPr>
          <w:p w14:paraId="721AD823"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269</w:t>
            </w:r>
          </w:p>
        </w:tc>
        <w:tc>
          <w:tcPr>
            <w:tcW w:w="2551" w:type="dxa"/>
            <w:tcBorders>
              <w:top w:val="nil"/>
              <w:left w:val="nil"/>
              <w:bottom w:val="single" w:sz="4" w:space="0" w:color="auto"/>
              <w:right w:val="nil"/>
            </w:tcBorders>
            <w:noWrap/>
            <w:hideMark/>
          </w:tcPr>
          <w:p w14:paraId="0AE2B546"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100</w:t>
            </w:r>
          </w:p>
        </w:tc>
      </w:tr>
      <w:tr w:rsidR="0076725B" w:rsidRPr="0076725B" w14:paraId="714A94B3" w14:textId="77777777" w:rsidTr="005F3988">
        <w:trPr>
          <w:trHeight w:val="20"/>
          <w:jc w:val="center"/>
        </w:trPr>
        <w:tc>
          <w:tcPr>
            <w:tcW w:w="2325" w:type="dxa"/>
            <w:vMerge w:val="restart"/>
            <w:tcBorders>
              <w:top w:val="single" w:sz="4" w:space="0" w:color="auto"/>
              <w:left w:val="nil"/>
              <w:bottom w:val="single" w:sz="4" w:space="0" w:color="auto"/>
              <w:right w:val="nil"/>
            </w:tcBorders>
            <w:hideMark/>
          </w:tcPr>
          <w:p w14:paraId="592C70A9" w14:textId="77777777" w:rsidR="00B32B9E" w:rsidRPr="0076725B" w:rsidRDefault="00B32B9E" w:rsidP="005F3988">
            <w:pPr>
              <w:rPr>
                <w:rFonts w:ascii="Times New Roman" w:eastAsia="Calibri" w:hAnsi="Times New Roman"/>
                <w:bCs/>
                <w:sz w:val="20"/>
                <w:szCs w:val="20"/>
              </w:rPr>
            </w:pPr>
            <w:r w:rsidRPr="0076725B">
              <w:rPr>
                <w:rFonts w:ascii="Times New Roman" w:eastAsia="Calibri" w:hAnsi="Times New Roman"/>
                <w:bCs/>
                <w:sz w:val="20"/>
                <w:szCs w:val="20"/>
              </w:rPr>
              <w:t>Marital status</w:t>
            </w:r>
          </w:p>
        </w:tc>
        <w:tc>
          <w:tcPr>
            <w:tcW w:w="2410" w:type="dxa"/>
            <w:tcBorders>
              <w:top w:val="single" w:sz="4" w:space="0" w:color="auto"/>
              <w:left w:val="nil"/>
              <w:bottom w:val="nil"/>
              <w:right w:val="nil"/>
            </w:tcBorders>
            <w:noWrap/>
            <w:hideMark/>
          </w:tcPr>
          <w:p w14:paraId="18EAEB9F"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Single</w:t>
            </w:r>
          </w:p>
        </w:tc>
        <w:tc>
          <w:tcPr>
            <w:tcW w:w="1559" w:type="dxa"/>
            <w:tcBorders>
              <w:top w:val="single" w:sz="4" w:space="0" w:color="auto"/>
              <w:left w:val="nil"/>
              <w:bottom w:val="nil"/>
              <w:right w:val="nil"/>
            </w:tcBorders>
            <w:noWrap/>
            <w:hideMark/>
          </w:tcPr>
          <w:p w14:paraId="075DFFA4"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108</w:t>
            </w:r>
          </w:p>
        </w:tc>
        <w:tc>
          <w:tcPr>
            <w:tcW w:w="2551" w:type="dxa"/>
            <w:tcBorders>
              <w:top w:val="single" w:sz="4" w:space="0" w:color="auto"/>
              <w:left w:val="nil"/>
              <w:bottom w:val="nil"/>
              <w:right w:val="nil"/>
            </w:tcBorders>
            <w:noWrap/>
            <w:hideMark/>
          </w:tcPr>
          <w:p w14:paraId="3C24F7FE"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40.1</w:t>
            </w:r>
          </w:p>
        </w:tc>
      </w:tr>
      <w:tr w:rsidR="0076725B" w:rsidRPr="0076725B" w14:paraId="3B3F309F"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55379787"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50BD03AA"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Marriage</w:t>
            </w:r>
          </w:p>
        </w:tc>
        <w:tc>
          <w:tcPr>
            <w:tcW w:w="1559" w:type="dxa"/>
            <w:tcBorders>
              <w:top w:val="nil"/>
              <w:left w:val="nil"/>
              <w:bottom w:val="nil"/>
              <w:right w:val="nil"/>
            </w:tcBorders>
            <w:noWrap/>
            <w:hideMark/>
          </w:tcPr>
          <w:p w14:paraId="7E4260A1"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114</w:t>
            </w:r>
          </w:p>
        </w:tc>
        <w:tc>
          <w:tcPr>
            <w:tcW w:w="2551" w:type="dxa"/>
            <w:tcBorders>
              <w:top w:val="nil"/>
              <w:left w:val="nil"/>
              <w:bottom w:val="nil"/>
              <w:right w:val="nil"/>
            </w:tcBorders>
            <w:noWrap/>
            <w:hideMark/>
          </w:tcPr>
          <w:p w14:paraId="5381F274"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42.4</w:t>
            </w:r>
          </w:p>
        </w:tc>
      </w:tr>
      <w:tr w:rsidR="0076725B" w:rsidRPr="0076725B" w14:paraId="4E7C0763"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02390D7F"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61C76A6C"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Divorced</w:t>
            </w:r>
          </w:p>
        </w:tc>
        <w:tc>
          <w:tcPr>
            <w:tcW w:w="1559" w:type="dxa"/>
            <w:tcBorders>
              <w:top w:val="nil"/>
              <w:left w:val="nil"/>
              <w:bottom w:val="nil"/>
              <w:right w:val="nil"/>
            </w:tcBorders>
            <w:noWrap/>
            <w:hideMark/>
          </w:tcPr>
          <w:p w14:paraId="3A4A8E4C"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33</w:t>
            </w:r>
          </w:p>
        </w:tc>
        <w:tc>
          <w:tcPr>
            <w:tcW w:w="2551" w:type="dxa"/>
            <w:tcBorders>
              <w:top w:val="nil"/>
              <w:left w:val="nil"/>
              <w:bottom w:val="nil"/>
              <w:right w:val="nil"/>
            </w:tcBorders>
            <w:noWrap/>
            <w:hideMark/>
          </w:tcPr>
          <w:p w14:paraId="5941DB04"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12.3</w:t>
            </w:r>
          </w:p>
        </w:tc>
      </w:tr>
      <w:tr w:rsidR="0076725B" w:rsidRPr="0076725B" w14:paraId="6CFCEE13"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07344021"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7A8CD953"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Widow</w:t>
            </w:r>
          </w:p>
        </w:tc>
        <w:tc>
          <w:tcPr>
            <w:tcW w:w="1559" w:type="dxa"/>
            <w:tcBorders>
              <w:top w:val="nil"/>
              <w:left w:val="nil"/>
              <w:bottom w:val="nil"/>
              <w:right w:val="nil"/>
            </w:tcBorders>
            <w:noWrap/>
            <w:hideMark/>
          </w:tcPr>
          <w:p w14:paraId="087A2CDB"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14</w:t>
            </w:r>
          </w:p>
        </w:tc>
        <w:tc>
          <w:tcPr>
            <w:tcW w:w="2551" w:type="dxa"/>
            <w:tcBorders>
              <w:top w:val="nil"/>
              <w:left w:val="nil"/>
              <w:bottom w:val="nil"/>
              <w:right w:val="nil"/>
            </w:tcBorders>
            <w:noWrap/>
            <w:hideMark/>
          </w:tcPr>
          <w:p w14:paraId="52179005"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5.2</w:t>
            </w:r>
          </w:p>
        </w:tc>
      </w:tr>
      <w:tr w:rsidR="0076725B" w:rsidRPr="0076725B" w14:paraId="2A256138"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3E463C13"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single" w:sz="4" w:space="0" w:color="auto"/>
              <w:right w:val="nil"/>
            </w:tcBorders>
            <w:noWrap/>
            <w:hideMark/>
          </w:tcPr>
          <w:p w14:paraId="277B7168" w14:textId="77777777" w:rsidR="00B32B9E" w:rsidRPr="0076725B" w:rsidRDefault="00B32B9E" w:rsidP="005F3988">
            <w:pPr>
              <w:rPr>
                <w:rFonts w:ascii="Times New Roman" w:hAnsi="Times New Roman"/>
                <w:sz w:val="20"/>
                <w:szCs w:val="20"/>
              </w:rPr>
            </w:pPr>
            <w:r w:rsidRPr="0076725B">
              <w:rPr>
                <w:rFonts w:ascii="Times New Roman" w:hAnsi="Times New Roman"/>
                <w:kern w:val="2"/>
                <w:sz w:val="20"/>
                <w:szCs w:val="20"/>
              </w:rPr>
              <w:t>Total</w:t>
            </w:r>
          </w:p>
        </w:tc>
        <w:tc>
          <w:tcPr>
            <w:tcW w:w="1559" w:type="dxa"/>
            <w:tcBorders>
              <w:top w:val="nil"/>
              <w:left w:val="nil"/>
              <w:bottom w:val="single" w:sz="4" w:space="0" w:color="auto"/>
              <w:right w:val="nil"/>
            </w:tcBorders>
            <w:noWrap/>
            <w:hideMark/>
          </w:tcPr>
          <w:p w14:paraId="45BA67B7"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269</w:t>
            </w:r>
          </w:p>
        </w:tc>
        <w:tc>
          <w:tcPr>
            <w:tcW w:w="2551" w:type="dxa"/>
            <w:tcBorders>
              <w:top w:val="nil"/>
              <w:left w:val="nil"/>
              <w:bottom w:val="single" w:sz="4" w:space="0" w:color="auto"/>
              <w:right w:val="nil"/>
            </w:tcBorders>
            <w:noWrap/>
            <w:hideMark/>
          </w:tcPr>
          <w:p w14:paraId="1B29B585"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100</w:t>
            </w:r>
          </w:p>
        </w:tc>
      </w:tr>
      <w:tr w:rsidR="0076725B" w:rsidRPr="0076725B" w14:paraId="171C01E8" w14:textId="77777777" w:rsidTr="005F3988">
        <w:trPr>
          <w:trHeight w:val="20"/>
          <w:jc w:val="center"/>
        </w:trPr>
        <w:tc>
          <w:tcPr>
            <w:tcW w:w="2325" w:type="dxa"/>
            <w:vMerge w:val="restart"/>
            <w:tcBorders>
              <w:top w:val="single" w:sz="4" w:space="0" w:color="auto"/>
              <w:left w:val="nil"/>
              <w:bottom w:val="single" w:sz="4" w:space="0" w:color="auto"/>
              <w:right w:val="nil"/>
            </w:tcBorders>
            <w:hideMark/>
          </w:tcPr>
          <w:p w14:paraId="770F7A21" w14:textId="77777777" w:rsidR="00B32B9E" w:rsidRPr="0076725B" w:rsidRDefault="00B32B9E" w:rsidP="005F3988">
            <w:pPr>
              <w:rPr>
                <w:rFonts w:ascii="Times New Roman" w:eastAsia="Calibri" w:hAnsi="Times New Roman"/>
                <w:bCs/>
                <w:sz w:val="20"/>
                <w:szCs w:val="20"/>
              </w:rPr>
            </w:pPr>
            <w:r w:rsidRPr="0076725B">
              <w:rPr>
                <w:rFonts w:ascii="Times New Roman" w:eastAsia="Calibri" w:hAnsi="Times New Roman"/>
                <w:bCs/>
                <w:sz w:val="20"/>
                <w:szCs w:val="20"/>
              </w:rPr>
              <w:t>Occupation</w:t>
            </w:r>
          </w:p>
        </w:tc>
        <w:tc>
          <w:tcPr>
            <w:tcW w:w="2410" w:type="dxa"/>
            <w:tcBorders>
              <w:top w:val="single" w:sz="4" w:space="0" w:color="auto"/>
              <w:left w:val="nil"/>
              <w:bottom w:val="nil"/>
              <w:right w:val="nil"/>
            </w:tcBorders>
            <w:noWrap/>
            <w:hideMark/>
          </w:tcPr>
          <w:p w14:paraId="27CD4D8F"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Farmer</w:t>
            </w:r>
          </w:p>
        </w:tc>
        <w:tc>
          <w:tcPr>
            <w:tcW w:w="1559" w:type="dxa"/>
            <w:tcBorders>
              <w:top w:val="single" w:sz="4" w:space="0" w:color="auto"/>
              <w:left w:val="nil"/>
              <w:bottom w:val="nil"/>
              <w:right w:val="nil"/>
            </w:tcBorders>
            <w:noWrap/>
            <w:hideMark/>
          </w:tcPr>
          <w:p w14:paraId="0A252D4F"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67</w:t>
            </w:r>
          </w:p>
        </w:tc>
        <w:tc>
          <w:tcPr>
            <w:tcW w:w="2551" w:type="dxa"/>
            <w:tcBorders>
              <w:top w:val="single" w:sz="4" w:space="0" w:color="auto"/>
              <w:left w:val="nil"/>
              <w:bottom w:val="nil"/>
              <w:right w:val="nil"/>
            </w:tcBorders>
            <w:noWrap/>
            <w:hideMark/>
          </w:tcPr>
          <w:p w14:paraId="4F47F8AE"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24.9</w:t>
            </w:r>
          </w:p>
        </w:tc>
      </w:tr>
      <w:tr w:rsidR="0076725B" w:rsidRPr="0076725B" w14:paraId="311133F8"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2881DAD4"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18B4BDAD"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Business</w:t>
            </w:r>
          </w:p>
        </w:tc>
        <w:tc>
          <w:tcPr>
            <w:tcW w:w="1559" w:type="dxa"/>
            <w:tcBorders>
              <w:top w:val="nil"/>
              <w:left w:val="nil"/>
              <w:bottom w:val="nil"/>
              <w:right w:val="nil"/>
            </w:tcBorders>
            <w:noWrap/>
            <w:hideMark/>
          </w:tcPr>
          <w:p w14:paraId="68DD5456"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95</w:t>
            </w:r>
          </w:p>
        </w:tc>
        <w:tc>
          <w:tcPr>
            <w:tcW w:w="2551" w:type="dxa"/>
            <w:tcBorders>
              <w:top w:val="nil"/>
              <w:left w:val="nil"/>
              <w:bottom w:val="nil"/>
              <w:right w:val="nil"/>
            </w:tcBorders>
            <w:noWrap/>
            <w:hideMark/>
          </w:tcPr>
          <w:p w14:paraId="0DF953D1"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35.3</w:t>
            </w:r>
          </w:p>
        </w:tc>
      </w:tr>
      <w:tr w:rsidR="0076725B" w:rsidRPr="0076725B" w14:paraId="28C4EDD8"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7C039006"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2FB93BB4"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Employed</w:t>
            </w:r>
          </w:p>
        </w:tc>
        <w:tc>
          <w:tcPr>
            <w:tcW w:w="1559" w:type="dxa"/>
            <w:tcBorders>
              <w:top w:val="nil"/>
              <w:left w:val="nil"/>
              <w:bottom w:val="nil"/>
              <w:right w:val="nil"/>
            </w:tcBorders>
            <w:noWrap/>
            <w:hideMark/>
          </w:tcPr>
          <w:p w14:paraId="7034363D"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62</w:t>
            </w:r>
          </w:p>
        </w:tc>
        <w:tc>
          <w:tcPr>
            <w:tcW w:w="2551" w:type="dxa"/>
            <w:tcBorders>
              <w:top w:val="nil"/>
              <w:left w:val="nil"/>
              <w:bottom w:val="nil"/>
              <w:right w:val="nil"/>
            </w:tcBorders>
            <w:noWrap/>
            <w:hideMark/>
          </w:tcPr>
          <w:p w14:paraId="1E11B7CD"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23</w:t>
            </w:r>
          </w:p>
        </w:tc>
      </w:tr>
      <w:tr w:rsidR="0076725B" w:rsidRPr="0076725B" w14:paraId="662A435C"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25E53E0E"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nil"/>
              <w:right w:val="nil"/>
            </w:tcBorders>
            <w:noWrap/>
            <w:hideMark/>
          </w:tcPr>
          <w:p w14:paraId="668A569B" w14:textId="77777777" w:rsidR="00B32B9E" w:rsidRPr="0076725B" w:rsidRDefault="00B32B9E" w:rsidP="005F3988">
            <w:pPr>
              <w:rPr>
                <w:rFonts w:ascii="Times New Roman" w:hAnsi="Times New Roman"/>
                <w:b/>
                <w:bCs/>
                <w:sz w:val="20"/>
                <w:szCs w:val="20"/>
              </w:rPr>
            </w:pPr>
            <w:r w:rsidRPr="0076725B">
              <w:rPr>
                <w:rFonts w:ascii="Times New Roman" w:hAnsi="Times New Roman"/>
                <w:kern w:val="2"/>
                <w:sz w:val="20"/>
                <w:szCs w:val="20"/>
              </w:rPr>
              <w:t>Others</w:t>
            </w:r>
          </w:p>
        </w:tc>
        <w:tc>
          <w:tcPr>
            <w:tcW w:w="1559" w:type="dxa"/>
            <w:tcBorders>
              <w:top w:val="nil"/>
              <w:left w:val="nil"/>
              <w:bottom w:val="nil"/>
              <w:right w:val="nil"/>
            </w:tcBorders>
            <w:noWrap/>
            <w:hideMark/>
          </w:tcPr>
          <w:p w14:paraId="64296900"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45</w:t>
            </w:r>
          </w:p>
        </w:tc>
        <w:tc>
          <w:tcPr>
            <w:tcW w:w="2551" w:type="dxa"/>
            <w:tcBorders>
              <w:top w:val="nil"/>
              <w:left w:val="nil"/>
              <w:bottom w:val="nil"/>
              <w:right w:val="nil"/>
            </w:tcBorders>
            <w:noWrap/>
            <w:hideMark/>
          </w:tcPr>
          <w:p w14:paraId="23AE0609"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16.7</w:t>
            </w:r>
          </w:p>
        </w:tc>
      </w:tr>
      <w:tr w:rsidR="00B32B9E" w:rsidRPr="0076725B" w14:paraId="685AAA11" w14:textId="77777777" w:rsidTr="005F3988">
        <w:trPr>
          <w:trHeight w:val="20"/>
          <w:jc w:val="center"/>
        </w:trPr>
        <w:tc>
          <w:tcPr>
            <w:tcW w:w="0" w:type="auto"/>
            <w:vMerge/>
            <w:tcBorders>
              <w:top w:val="single" w:sz="4" w:space="0" w:color="auto"/>
              <w:left w:val="nil"/>
              <w:bottom w:val="single" w:sz="4" w:space="0" w:color="auto"/>
              <w:right w:val="nil"/>
            </w:tcBorders>
            <w:vAlign w:val="center"/>
            <w:hideMark/>
          </w:tcPr>
          <w:p w14:paraId="7E67142F" w14:textId="77777777" w:rsidR="00B32B9E" w:rsidRPr="0076725B" w:rsidRDefault="00B32B9E" w:rsidP="005F3988">
            <w:pPr>
              <w:rPr>
                <w:rFonts w:ascii="Times New Roman" w:eastAsia="Calibri" w:hAnsi="Times New Roman"/>
                <w:bCs/>
                <w:sz w:val="20"/>
                <w:szCs w:val="20"/>
              </w:rPr>
            </w:pPr>
          </w:p>
        </w:tc>
        <w:tc>
          <w:tcPr>
            <w:tcW w:w="2410" w:type="dxa"/>
            <w:tcBorders>
              <w:top w:val="nil"/>
              <w:left w:val="nil"/>
              <w:bottom w:val="single" w:sz="4" w:space="0" w:color="auto"/>
              <w:right w:val="nil"/>
            </w:tcBorders>
            <w:noWrap/>
            <w:hideMark/>
          </w:tcPr>
          <w:p w14:paraId="537E4144"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Total</w:t>
            </w:r>
          </w:p>
        </w:tc>
        <w:tc>
          <w:tcPr>
            <w:tcW w:w="1559" w:type="dxa"/>
            <w:tcBorders>
              <w:top w:val="nil"/>
              <w:left w:val="nil"/>
              <w:bottom w:val="single" w:sz="4" w:space="0" w:color="auto"/>
              <w:right w:val="nil"/>
            </w:tcBorders>
            <w:noWrap/>
            <w:hideMark/>
          </w:tcPr>
          <w:p w14:paraId="2D9AA0A6"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269</w:t>
            </w:r>
          </w:p>
        </w:tc>
        <w:tc>
          <w:tcPr>
            <w:tcW w:w="2551" w:type="dxa"/>
            <w:tcBorders>
              <w:top w:val="nil"/>
              <w:left w:val="nil"/>
              <w:bottom w:val="single" w:sz="4" w:space="0" w:color="auto"/>
              <w:right w:val="nil"/>
            </w:tcBorders>
            <w:noWrap/>
            <w:hideMark/>
          </w:tcPr>
          <w:p w14:paraId="2011DD11" w14:textId="77777777" w:rsidR="00B32B9E" w:rsidRPr="0076725B" w:rsidRDefault="00B32B9E" w:rsidP="005F3988">
            <w:pPr>
              <w:rPr>
                <w:rFonts w:ascii="Times New Roman" w:eastAsia="Calibri" w:hAnsi="Times New Roman"/>
                <w:sz w:val="20"/>
                <w:szCs w:val="20"/>
              </w:rPr>
            </w:pPr>
            <w:r w:rsidRPr="0076725B">
              <w:rPr>
                <w:rFonts w:ascii="Times New Roman" w:hAnsi="Times New Roman"/>
                <w:kern w:val="2"/>
                <w:sz w:val="20"/>
                <w:szCs w:val="20"/>
              </w:rPr>
              <w:t>100</w:t>
            </w:r>
          </w:p>
        </w:tc>
      </w:tr>
    </w:tbl>
    <w:p w14:paraId="793B46A8" w14:textId="77777777" w:rsidR="00383373" w:rsidRPr="0076725B" w:rsidRDefault="00383373" w:rsidP="00F00FC5">
      <w:pPr>
        <w:spacing w:after="0" w:line="240" w:lineRule="auto"/>
        <w:jc w:val="both"/>
        <w:rPr>
          <w:rFonts w:ascii="Times New Roman" w:eastAsia="Times New Roman" w:hAnsi="Times New Roman" w:cs="Times New Roman"/>
          <w:sz w:val="24"/>
          <w:szCs w:val="24"/>
          <w:lang w:eastAsia="en-GB"/>
        </w:rPr>
      </w:pPr>
    </w:p>
    <w:p w14:paraId="72129E3A" w14:textId="77777777" w:rsidR="00383373" w:rsidRPr="0076725B" w:rsidRDefault="00383373" w:rsidP="00F00FC5">
      <w:pPr>
        <w:jc w:val="both"/>
        <w:rPr>
          <w:rFonts w:ascii="Times New Roman" w:hAnsi="Times New Roman" w:cs="Times New Roman"/>
          <w:sz w:val="24"/>
          <w:szCs w:val="24"/>
        </w:rPr>
      </w:pPr>
      <w:r w:rsidRPr="0076725B">
        <w:rPr>
          <w:rFonts w:ascii="Times New Roman" w:hAnsi="Times New Roman" w:cs="Times New Roman"/>
          <w:sz w:val="24"/>
          <w:szCs w:val="24"/>
        </w:rPr>
        <w:t>Furthermore, the statistics in Table 1 show that the greatest group of respondents are single (40.1%), followed by married (42.4%), and the smallest group is composed of widows (5.2%) and divorced (12.3%). The virtually equal proportion of married and single respondents shows that family planning information needs to be addressed across a range of lifestyles. While single people could require education on the use of contraception to prevent unintended pregnancies, married people might concentrate more on family planning to limit or space out children.</w:t>
      </w:r>
      <w:r w:rsidR="00F00FC5" w:rsidRPr="0076725B">
        <w:rPr>
          <w:rFonts w:ascii="Times New Roman" w:hAnsi="Times New Roman" w:cs="Times New Roman"/>
          <w:sz w:val="24"/>
          <w:szCs w:val="24"/>
        </w:rPr>
        <w:t xml:space="preserve"> </w:t>
      </w:r>
      <w:r w:rsidRPr="0076725B">
        <w:rPr>
          <w:rFonts w:ascii="Times New Roman" w:hAnsi="Times New Roman" w:cs="Times New Roman"/>
          <w:sz w:val="24"/>
          <w:szCs w:val="24"/>
        </w:rPr>
        <w:t>Since they could have unique needs, such as planning for future relationships or their health after a spouse passes away, divorced and widowed persons shouldn't be overlooked in awareness programs. A lower fraction (16.7%) of respondents depend on other kinds of income, whereas the majority (35.3%) and 24.9% of respondents, respectively, make their living from farming and business. Given that a sizable section of the population works in the business and agricultural sectors, it is crucial to disseminate family planning information through channels that specifically target these industries. While farmers, especially those in rural regions, might be better addressed by focused agricultural initiatives or rural development programs, business professionals might gain from community outreach programs or integration with agricultural extension services.</w:t>
      </w:r>
    </w:p>
    <w:p w14:paraId="4F4D195F" w14:textId="77777777" w:rsidR="00383373" w:rsidRPr="0076725B" w:rsidRDefault="00383373" w:rsidP="00383373">
      <w:pPr>
        <w:jc w:val="both"/>
        <w:rPr>
          <w:rFonts w:ascii="Times New Roman" w:hAnsi="Times New Roman" w:cs="Times New Roman"/>
          <w:sz w:val="24"/>
          <w:szCs w:val="24"/>
        </w:rPr>
      </w:pPr>
      <w:r w:rsidRPr="0076725B">
        <w:rPr>
          <w:rFonts w:ascii="Times New Roman" w:hAnsi="Times New Roman" w:cs="Times New Roman"/>
          <w:sz w:val="24"/>
          <w:szCs w:val="24"/>
        </w:rPr>
        <w:t xml:space="preserve">In a similar vein, urban clinics or workplace health initiatives are more effective in reaching business people. A one-size-fits-all approach to family planning education would be inadequate due to the diverse range of occupational categories </w:t>
      </w:r>
      <w:r w:rsidRPr="0076725B">
        <w:rPr>
          <w:rFonts w:ascii="Times New Roman" w:hAnsi="Times New Roman" w:cs="Times New Roman"/>
          <w:sz w:val="24"/>
          <w:szCs w:val="24"/>
        </w:rPr>
        <w:fldChar w:fldCharType="begin" w:fldLock="1"/>
      </w:r>
      <w:r w:rsidRPr="0076725B">
        <w:rPr>
          <w:rFonts w:ascii="Times New Roman" w:hAnsi="Times New Roman" w:cs="Times New Roman"/>
          <w:sz w:val="24"/>
          <w:szCs w:val="24"/>
        </w:rPr>
        <w:instrText>ADDIN CSL_CITATION {"citationItems":[{"id":"ITEM-1","itemData":{"DOI":"10.1093/humupd/dmad028","ISSN":"14602369","PMID":"38197291","abstract":"BACKGROUND: Family-planning policies have focused on contraceptive approaches to avoid unintended pregnancies, postpone, or terminate pregnancies and mitigate population growth. These policies have contributed to significantly slowing world population growth. Presently, half the countries worldwide exhibit a fertility rate below replacement level. Not including the effects of migration, many countries are predicted to have a population decline of &gt;50% from 2017 to 2100, causing demographic changes with profound societal implications. Policies that optimize chances to have a child when desired increase fertility rates and are gaining interest as a family-building method. Increasingly, countries have implemented child-friendly policies (mainly financial incentives in addition to public funding of fertility treatment in a limited number of countries) to mitigate decreasing national populations. However, the extent of public spending on child benefits varies greatly from country to country. To our knowledge, this International Federation of Fertility Societies (IFFS) consensus document represents the first attempt to describe major disparities in access to fertility care in the context of the global trend of decreasing growth in the world population, based on a narrative review of the existing literature. OBJECTIVE AND RATIONALE: The concept of family building, the process by which individuals or couples create or expand their families, has been largely ignored in family-planning paradigms. Family building encompasses various methods and options for individuals or couples who wish to have children. It can involve biological means, such as natural conception, as well as ART, surrogacy, adoption, and foster care. Family-building acknowledges the diverse ways in which individuals or couples can create their desired family and reflects the understanding that there is no one-size-fits-all approach to building a family. Developing education programs for young adults to increase family-building awareness and prevent infertility is urgently needed. Recommendations are provided and important knowledge gaps identified to provide professionals, the public, and policymakers with a comprehensive understanding of the role of child-friendly policies. SEARCH METHODS: A narrative review of the existing literature was performed by invited global leaders who themselves significantly contributed to this research field. Each section of the review was prepared by two to three ex…","author":[{"dropping-particle":"","family":"Fauser","given":"Bart C.J.M.","non-dropping-particle":"","parse-names":false,"suffix":""},{"dropping-particle":"","family":"Adamson","given":"G. David","non-dropping-particle":"","parse-names":false,"suffix":""},{"dropping-particle":"","family":"Boivin","given":"Jacky","non-dropping-particle":"","parse-names":false,"suffix":""},{"dropping-particle":"","family":"Chambers","given":"Georgina M.","non-dropping-particle":"","parse-names":false,"suffix":""},{"dropping-particle":"","family":"Dyer","given":"Silke","non-dropping-particle":"","parse-names":false,"suffix":""},{"dropping-particle":"","family":"Geyter","given":"Christian","non-dropping-particle":"de","parse-names":false,"suffix":""},{"dropping-particle":"","family":"Inhorn","given":"Marcia C.","non-dropping-particle":"","parse-names":false,"suffix":""},{"dropping-particle":"","family":"Schmidt","given":"Lone","non-dropping-particle":"","parse-names":false,"suffix":""},{"dropping-particle":"","family":"Serour","given":"Gamal I.","non-dropping-particle":"","parse-names":false,"suffix":""},{"dropping-particle":"","family":"Tarlatzis","given":"Basil","non-dropping-particle":"","parse-names":false,"suffix":""},{"dropping-particle":"","family":"Zegers-Hochschild","given":"Fernando","non-dropping-particle":"","parse-names":false,"suffix":""}],"container-title":"Human Reproduction Update","id":"ITEM-1","issue":"2","issued":{"date-parts":[["2024"]]},"page":"153-173","title":"Declining global fertility rates and the implications for family planning and family building: an IFFS consensus document based on a narrative review of the literature","type":"article-journal","volume":"30"},"uris":["http://www.mendeley.com/documents/?uuid=f59e4dc1-afd7-4b7c-b3ba-41e252fac180"]},{"id":"ITEM-2","itemData":{"DOI":"10.1186/s12978-023-01708-7","ISSN":"17424755","PMID":"37990268","abstract":"Contraceptive use has substantial implications for women’s reproductive health, motivating research on the most effective approaches to minimize inequalities in access. When women prefer to limit or delay fertility but are not using contraception, this potentially reflects demand for contraception that is not being satisfied. Current literature emphasizes a nuanced integration of supply and demand factors to better understand this gap. In this research, we examine the interconnectedness of supply and demand factors both conceptually and methodologically by augmenting existing measures of local supply with a demand-side factor—community-level preferences for contraceptive methods. Using novel data from Performance Monitoring for Action (PMA) in seven sub-Saharan African countries, we test whether the available supply of locally preferred methods at nearby service delivery points (SDP) explains variation in women’s uptake of contraception beyond the more typical measure of contraceptive stockouts. Findings from logistic regression analyses (N = 32,282) suggest that demand and supply can be understood as tightly interconnected factors which are directly affected by local social preferences. The odds of women using modern contraception increase significantly when locally preferred methods are available, and this is true even after controlling for the availability of methods in general. The new measure tested in this research centers women and their specific desires in a manner consistent with the promotion of contraceptives as an important human right.","author":[{"dropping-particle":"","family":"Kristiansen","given":"Devon","non-dropping-particle":"","parse-names":false,"suffix":""},{"dropping-particle":"","family":"Boyle","given":"Elizabeth Heger","non-dropping-particle":"","parse-names":false,"suffix":""},{"dropping-particle":"","family":"Svec","given":"Joseph","non-dropping-particle":"","parse-names":false,"suffix":""}],"container-title":"Reproductive Health","id":"ITEM-2","issue":"1","issued":{"date-parts":[["2023"]]},"page":"1-12","publisher":"BioMed Central","title":"The impact of local supply of popular contraceptives on women’s use of family planning: findings from performance-monitoring-for-action in seven sub-Saharan African countries","type":"article-journal","volume":"20"},"uris":["http://www.mendeley.com/documents/?uuid=a041cd48-055e-460e-afed-ebc71448c6b3"]}],"mendeley":{"formattedCitation":"(Fauser et al., 2024; Kristiansen et al., 2023)","plainTextFormattedCitation":"(Fauser et al., 2024; Kristiansen et al., 2023)","previouslyFormattedCitation":"(Fauser et al., 2024; Kristiansen et al., 2023)"},"properties":{"noteIndex":0},"schema":"https://github.com/citation-style-language/schema/raw/master/csl-citation.json"}</w:instrText>
      </w:r>
      <w:r w:rsidRPr="0076725B">
        <w:rPr>
          <w:rFonts w:ascii="Times New Roman" w:hAnsi="Times New Roman" w:cs="Times New Roman"/>
          <w:sz w:val="24"/>
          <w:szCs w:val="24"/>
        </w:rPr>
        <w:fldChar w:fldCharType="separate"/>
      </w:r>
      <w:r w:rsidRPr="0076725B">
        <w:rPr>
          <w:rFonts w:ascii="Times New Roman" w:hAnsi="Times New Roman" w:cs="Times New Roman"/>
          <w:noProof/>
          <w:sz w:val="24"/>
          <w:szCs w:val="24"/>
        </w:rPr>
        <w:t>(Fauser et al., 2024; Kristiansen et al., 2023)</w:t>
      </w:r>
      <w:r w:rsidRPr="0076725B">
        <w:rPr>
          <w:rFonts w:ascii="Times New Roman" w:hAnsi="Times New Roman" w:cs="Times New Roman"/>
          <w:sz w:val="24"/>
          <w:szCs w:val="24"/>
        </w:rPr>
        <w:fldChar w:fldCharType="end"/>
      </w:r>
      <w:r w:rsidRPr="0076725B">
        <w:rPr>
          <w:rFonts w:ascii="Times New Roman" w:hAnsi="Times New Roman" w:cs="Times New Roman"/>
          <w:sz w:val="24"/>
          <w:szCs w:val="24"/>
        </w:rPr>
        <w:t xml:space="preserve">. More relevance and reach will be ensured by promoting health family planning through channels catered to professional lives </w:t>
      </w:r>
      <w:r w:rsidRPr="0076725B">
        <w:rPr>
          <w:rFonts w:ascii="Times New Roman" w:hAnsi="Times New Roman" w:cs="Times New Roman"/>
          <w:sz w:val="24"/>
          <w:szCs w:val="24"/>
        </w:rPr>
        <w:fldChar w:fldCharType="begin" w:fldLock="1"/>
      </w:r>
      <w:r w:rsidR="00427B69" w:rsidRPr="0076725B">
        <w:rPr>
          <w:rFonts w:ascii="Times New Roman" w:hAnsi="Times New Roman" w:cs="Times New Roman"/>
          <w:sz w:val="24"/>
          <w:szCs w:val="24"/>
        </w:rPr>
        <w:instrText>ADDIN CSL_CITATION {"citationItems":[{"id":"ITEM-1","itemData":{"author":[{"dropping-particle":"","family":"Adaki","given":"Andeskebtso Yohanna","non-dropping-particle":"","parse-names":false,"suffix":""},{"dropping-particle":"","family":"Nsofor","given":"Joel Ogoochukwu","non-dropping-particle":"","parse-names":false,"suffix":""}],"container-title":"International Journal of Current Researches in Sciences, Social Sciences and Languages","id":"ITEM-1","issue":"3","issued":{"date-parts":[["2023"]]},"page":"80-88","title":"Uncovering The Barriers Faced by Women in Utilizing Family Planning Services : The Role of Social Stigma in Takum Local Government Area of Taraba State , Nigeria","type":"article-journal","volume":"3"},"uris":["http://www.mendeley.com/documents/?uuid=fdbf7cc9-3165-499f-b526-b91e36d853ae"]},{"id":"ITEM-2","itemData":{"DOI":"10.3389/fdgth.2023.1007687","ISSN":"2673253X","abstract":"Populations in resource-limited communities have low health awareness, low financial literacy levels, and inadequate access to primary healthcare, leading to low adoption of preventive health behaviours, low healthcare-seeking behaviours, and poor health outcomes. Healthcare providers have limited reach and insights, limiting their ability to design relevant products for resource limited settings. Our primary preventive health intervention, called the Saathealth family health interventions, is a scaled digital offering that aims to improve knowledge levels on various health topics, nudge positive behaviour changes, and drive improved health outcomes. This case study presents our learnings and best practices in scaling these digital health interventions in resource-limited settings and maximising their impact. We scaled the Saathealth interventions to cumulatively reach &gt;10 million users across India using a multi-pronged approach: (1) ensuring localization and cultural relevance of the health content delivered through user research; (2) disseminating content using omni-channel approaches, which involved using diverse content types and multiple digital platforms; (3) using iterative product features such as gamification and artificial intelligence-based (AI-based) predictive models; (4) using real-time analytics to adapt the user's digital experience by using interactive content to drive them towards products and services and (5) experiments with sustainability models to yield some early successes. The Saathealth family health mobile app had &gt;25,000 downloads and the intervention reached &gt;873,000 users in India every month through the mobile app, Facebook, and Instagram combined, from the time period of February 2022 to January 2023. We repeatedly observed videos and quizzes to be the most popular content types across all digital channels being used. Our AI-based predictive models helped improve user retention and content consumption, contributing to the sustainability of the mobile apps. In addition to reaching a high number of users across India, our scaling strategies contributed to deepened engagement and improved health-seeking behaviour. We hope these strategies help guide the sustainable and impactful scaling of mobile health interventions in other resource-limited settings.","author":[{"dropping-particle":"","family":"Hazra-Ganju","given":"Aditi","non-dropping-particle":"","parse-names":false,"suffix":""},{"dropping-particle":"","family":"Dlima","given":"Schenelle Dayna","non-dropping-particle":"","parse-names":false,"suffix":""},{"dropping-particle":"","family":"Menezes","given":"Sonia Rebecca","non-dropping-particle":"","parse-names":false,"suffix":""},{"dropping-particle":"","family":"Ganju","given":"Aakash","non-dropping-particle":"","parse-names":false,"suffix":""},{"dropping-particle":"","family":"Mer","given":"Anjali","non-dropping-particle":"","parse-names":false,"suffix":""}],"container-title":"Frontiers in Digital Health","id":"ITEM-2","issue":"August","issued":{"date-parts":[["2023"]]},"page":"1-15","title":"An omni-channel, outcomes-focused approach to scale digital health interventions in resource-limited populations: a case study","type":"article-journal","volume":"5"},"uris":["http://www.mendeley.com/documents/?uuid=8413e0e4-91e7-46f4-92a0-3f211f46f514"]}],"mendeley":{"formattedCitation":"(Adaki &amp; Nsofor, 2023; Hazra-Ganju et al., 2023)","plainTextFormattedCitation":"(Adaki &amp; Nsofor, 2023; Hazra-Ganju et al., 2023)","previouslyFormattedCitation":"(Adaki &amp; Nsofor, 2023; Hazra-Ganju et al., 2023)"},"properties":{"noteIndex":0},"schema":"https://github.com/citation-style-language/schema/raw/master/csl-citation.json"}</w:instrText>
      </w:r>
      <w:r w:rsidRPr="0076725B">
        <w:rPr>
          <w:rFonts w:ascii="Times New Roman" w:hAnsi="Times New Roman" w:cs="Times New Roman"/>
          <w:sz w:val="24"/>
          <w:szCs w:val="24"/>
        </w:rPr>
        <w:fldChar w:fldCharType="separate"/>
      </w:r>
      <w:r w:rsidRPr="0076725B">
        <w:rPr>
          <w:rFonts w:ascii="Times New Roman" w:hAnsi="Times New Roman" w:cs="Times New Roman"/>
          <w:noProof/>
          <w:sz w:val="24"/>
          <w:szCs w:val="24"/>
        </w:rPr>
        <w:t>(Adaki &amp; Nsofor, 2023; Hazra-Ganju et al., 2023)</w:t>
      </w:r>
      <w:r w:rsidRPr="0076725B">
        <w:rPr>
          <w:rFonts w:ascii="Times New Roman" w:hAnsi="Times New Roman" w:cs="Times New Roman"/>
          <w:sz w:val="24"/>
          <w:szCs w:val="24"/>
        </w:rPr>
        <w:fldChar w:fldCharType="end"/>
      </w:r>
      <w:r w:rsidRPr="0076725B">
        <w:rPr>
          <w:rFonts w:ascii="Times New Roman" w:hAnsi="Times New Roman" w:cs="Times New Roman"/>
          <w:sz w:val="24"/>
          <w:szCs w:val="24"/>
        </w:rPr>
        <w:t>.</w:t>
      </w:r>
    </w:p>
    <w:p w14:paraId="5BD3268E" w14:textId="77777777" w:rsidR="00F00FC5" w:rsidRPr="0076725B" w:rsidRDefault="00F00FC5" w:rsidP="00F00FC5">
      <w:pPr>
        <w:jc w:val="both"/>
        <w:rPr>
          <w:rFonts w:ascii="Times New Roman" w:hAnsi="Times New Roman" w:cs="Times New Roman"/>
          <w:sz w:val="24"/>
          <w:szCs w:val="24"/>
        </w:rPr>
      </w:pPr>
    </w:p>
    <w:p w14:paraId="4E7AF5A5" w14:textId="77777777" w:rsidR="00F00FC5" w:rsidRPr="0076725B" w:rsidRDefault="00814B5F" w:rsidP="00F00FC5">
      <w:pPr>
        <w:jc w:val="both"/>
        <w:rPr>
          <w:rFonts w:ascii="Times New Roman" w:hAnsi="Times New Roman" w:cs="Times New Roman"/>
          <w:b/>
          <w:sz w:val="24"/>
          <w:szCs w:val="24"/>
        </w:rPr>
      </w:pPr>
      <w:r w:rsidRPr="0076725B">
        <w:rPr>
          <w:rFonts w:ascii="Times New Roman" w:hAnsi="Times New Roman" w:cs="Times New Roman"/>
          <w:b/>
          <w:sz w:val="24"/>
          <w:szCs w:val="24"/>
        </w:rPr>
        <w:t xml:space="preserve">3.2 </w:t>
      </w:r>
      <w:r w:rsidR="00FD1622" w:rsidRPr="0076725B">
        <w:rPr>
          <w:rFonts w:ascii="Times New Roman" w:hAnsi="Times New Roman" w:cs="Times New Roman"/>
          <w:b/>
          <w:sz w:val="24"/>
          <w:szCs w:val="24"/>
        </w:rPr>
        <w:t xml:space="preserve">Influence </w:t>
      </w:r>
      <w:r w:rsidRPr="0076725B">
        <w:rPr>
          <w:rFonts w:ascii="Times New Roman" w:hAnsi="Times New Roman" w:cs="Times New Roman"/>
          <w:b/>
          <w:sz w:val="24"/>
          <w:szCs w:val="24"/>
        </w:rPr>
        <w:t>of Health Literacy on the Use of Family Planning Services</w:t>
      </w:r>
    </w:p>
    <w:p w14:paraId="5E2E8F89" w14:textId="77777777" w:rsidR="00FD1622" w:rsidRPr="0076725B" w:rsidRDefault="00814B5F" w:rsidP="00FD1622">
      <w:pPr>
        <w:autoSpaceDE w:val="0"/>
        <w:autoSpaceDN w:val="0"/>
        <w:adjustRightInd w:val="0"/>
        <w:spacing w:after="0" w:line="360" w:lineRule="auto"/>
        <w:ind w:right="60"/>
        <w:jc w:val="both"/>
        <w:rPr>
          <w:rFonts w:ascii="Times New Roman" w:hAnsi="Times New Roman" w:cs="Times New Roman"/>
          <w:bCs/>
          <w:sz w:val="24"/>
          <w:szCs w:val="24"/>
        </w:rPr>
      </w:pPr>
      <w:r w:rsidRPr="0076725B">
        <w:rPr>
          <w:rFonts w:ascii="Times New Roman" w:hAnsi="Times New Roman" w:cs="Times New Roman"/>
          <w:bCs/>
          <w:sz w:val="24"/>
          <w:szCs w:val="24"/>
        </w:rPr>
        <w:t>Figure 1 shows that 94.8% of respondents agreed that health literacy influences the use of family planning services, while 5.2% of respondents stated that health literacy has no influence on the use of family planning services</w:t>
      </w:r>
    </w:p>
    <w:p w14:paraId="3B455762" w14:textId="77777777" w:rsidR="00FD1622" w:rsidRDefault="00FD1622" w:rsidP="00FD1622">
      <w:pPr>
        <w:rPr>
          <w:rFonts w:ascii="Times New Roman" w:hAnsi="Times New Roman" w:cs="Times New Roman"/>
          <w:sz w:val="24"/>
          <w:szCs w:val="24"/>
        </w:rPr>
      </w:pPr>
      <w:r w:rsidRPr="00124C4F">
        <w:rPr>
          <w:rFonts w:ascii="Times New Roman" w:hAnsi="Times New Roman" w:cs="Times New Roman"/>
          <w:noProof/>
          <w:lang w:val="en-US"/>
        </w:rPr>
        <w:lastRenderedPageBreak/>
        <w:drawing>
          <wp:inline distT="0" distB="0" distL="0" distR="0" wp14:anchorId="6C80EA97" wp14:editId="28B4877C">
            <wp:extent cx="6063916" cy="3327066"/>
            <wp:effectExtent l="0" t="0" r="1333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B62A18" w14:textId="561C2FAA" w:rsidR="00B35760" w:rsidRDefault="00247CB8" w:rsidP="00E61E26">
      <w:pPr>
        <w:rPr>
          <w:rFonts w:ascii="Times New Roman" w:hAnsi="Times New Roman" w:cs="Times New Roman"/>
          <w:b/>
          <w:sz w:val="24"/>
          <w:szCs w:val="24"/>
        </w:rPr>
      </w:pPr>
      <w:r w:rsidRPr="0057456B">
        <w:rPr>
          <w:rFonts w:ascii="Times New Roman" w:hAnsi="Times New Roman" w:cs="Times New Roman"/>
          <w:sz w:val="24"/>
          <w:szCs w:val="24"/>
        </w:rPr>
        <w:t>Fig 1-</w:t>
      </w:r>
      <w:r w:rsidR="00E61E26" w:rsidRPr="0057456B">
        <w:rPr>
          <w:rFonts w:ascii="Times New Roman" w:hAnsi="Times New Roman" w:cs="Times New Roman"/>
          <w:sz w:val="24"/>
          <w:szCs w:val="24"/>
        </w:rPr>
        <w:t xml:space="preserve"> </w:t>
      </w:r>
      <w:r w:rsidR="00B35760" w:rsidRPr="0057456B">
        <w:rPr>
          <w:rFonts w:ascii="Times New Roman" w:hAnsi="Times New Roman" w:cs="Times New Roman"/>
          <w:b/>
          <w:sz w:val="24"/>
          <w:szCs w:val="24"/>
        </w:rPr>
        <w:t>Influence of Health Literacy on the Use of Family Planning Services</w:t>
      </w:r>
    </w:p>
    <w:p w14:paraId="6E36118E" w14:textId="585EBE44" w:rsidR="00814B5F" w:rsidRPr="0076725B" w:rsidRDefault="00814B5F" w:rsidP="00E61E26">
      <w:pPr>
        <w:rPr>
          <w:rFonts w:ascii="Times New Roman" w:hAnsi="Times New Roman" w:cs="Times New Roman"/>
          <w:sz w:val="24"/>
          <w:szCs w:val="24"/>
        </w:rPr>
      </w:pPr>
      <w:r w:rsidRPr="0076725B">
        <w:rPr>
          <w:rFonts w:ascii="Times New Roman" w:hAnsi="Times New Roman" w:cs="Times New Roman"/>
          <w:sz w:val="24"/>
          <w:szCs w:val="24"/>
        </w:rPr>
        <w:t>Regarding the influence of health literacy on the use of family planning services, the findings indicate that 255 respondents (94.8%) agreed that health literacy plays a significant role in the utilization of family planning services, while 14 respondents (5.2%) stated that health literacy has no influence on family planning use. These findings suggest that health literacy has a substantial impact on the adoption of family planning within the community, particularly among individuals of childbearing age. Providing adequate health literacy can serve as a motivating factor in increasing the upta</w:t>
      </w:r>
      <w:r w:rsidR="002C6185" w:rsidRPr="0076725B">
        <w:rPr>
          <w:rFonts w:ascii="Times New Roman" w:hAnsi="Times New Roman" w:cs="Times New Roman"/>
          <w:sz w:val="24"/>
          <w:szCs w:val="24"/>
        </w:rPr>
        <w:t>ke of family planning services.</w:t>
      </w:r>
    </w:p>
    <w:p w14:paraId="2B4C7550" w14:textId="77777777" w:rsidR="00FD1622" w:rsidRPr="0076725B" w:rsidRDefault="00814B5F" w:rsidP="00814B5F">
      <w:pPr>
        <w:jc w:val="both"/>
        <w:rPr>
          <w:rFonts w:ascii="Times New Roman" w:hAnsi="Times New Roman" w:cs="Times New Roman"/>
          <w:sz w:val="24"/>
          <w:szCs w:val="24"/>
        </w:rPr>
      </w:pPr>
      <w:r w:rsidRPr="0076725B">
        <w:rPr>
          <w:rFonts w:ascii="Times New Roman" w:hAnsi="Times New Roman" w:cs="Times New Roman"/>
          <w:sz w:val="24"/>
          <w:szCs w:val="24"/>
        </w:rPr>
        <w:t xml:space="preserve">A study conducted by </w:t>
      </w:r>
      <w:r w:rsidR="00427B69" w:rsidRPr="0076725B">
        <w:rPr>
          <w:rFonts w:ascii="Times New Roman" w:hAnsi="Times New Roman" w:cs="Times New Roman"/>
          <w:sz w:val="24"/>
          <w:szCs w:val="24"/>
        </w:rPr>
        <w:t xml:space="preserve">Ahmed and Seid </w:t>
      </w:r>
      <w:r w:rsidR="00427B69" w:rsidRPr="0076725B">
        <w:rPr>
          <w:rFonts w:ascii="Times New Roman" w:hAnsi="Times New Roman" w:cs="Times New Roman"/>
          <w:sz w:val="24"/>
          <w:szCs w:val="24"/>
        </w:rPr>
        <w:fldChar w:fldCharType="begin" w:fldLock="1"/>
      </w:r>
      <w:r w:rsidR="003E61D7" w:rsidRPr="0076725B">
        <w:rPr>
          <w:rFonts w:ascii="Times New Roman" w:hAnsi="Times New Roman" w:cs="Times New Roman"/>
          <w:sz w:val="24"/>
          <w:szCs w:val="24"/>
        </w:rPr>
        <w:instrText>ADDIN CSL_CITATION {"citationItems":[{"id":"ITEM-1","itemData":{"DOI":"10.2147/IJWH.S266755","ISSN":"11791411","abstract":"Background: Family planning helps to reduce poverty, increase gender equity, prevent the spread of sexually transmitted infections, and reduce maternal, infant, and childhood mortality. Hence, this study aimed to examine the association between exposure to mass media family planning messages and the utilization of modern contraceptives among urban and rural youth women in Ethiopia. Methods: A comparative cross-sectional study using the 2016 Ethiopia Demographic and Health Survey (EDHS) data set was applied. The data were analyzed with SPSS version 20. Multivariate logistic regression analysis was performed to assess the association between exposure to mass media family planning messages and the utilization of modern contraceptives by controlling confounders. An adjusted odds ratio with a 95% confidence interval was considered to declare a statistically significant association. Results: The total sample was comprised of 6401 women (4061 from rural and 2340 from the urban area). There was no association between women exposed to mass media family planning messages and the utilization of modern contraceptives in rural areas. Surprisingly, this study showed that women exposed to mass media family planning messages in an urban area were less likely to use modern contraception by 62% (AOR: 0.38; 95% CI: 0.21, 0.68). Conclusion: The present study revealed that there was no significant association between women exposed to mass media family planning messages and utilization of modern contraceptives in rural areas. But, women exposed to mass media family planning messages in urban areas were less likely to use modern contraception. The study showed the role of inequalities in modern contraceptive utilization as shaped by structural and intermediary factors including religion, location, household wealth, education, and the number of children. This implies that the use of modern contraceptive use may be more impactful if cultural, geographical, and socioeconomic barriers are addressed.","author":[{"dropping-particle":"","family":"Ahmed","given":"Mohammed","non-dropping-particle":"","parse-names":false,"suffix":""},{"dropping-particle":"","family":"Seid","given":"Abdu","non-dropping-particle":"","parse-names":false,"suffix":""}],"container-title":"International Journal of Women's Health","id":"ITEM-1","issued":{"date-parts":[["2020"]]},"page":"719-729","title":"Association between exposure to mass media family planning messages and utilization of modern contraceptive among urban and rural youth women in ethiopia","type":"article-journal","volume":"12"},"suppress-author":1,"uris":["http://www.mendeley.com/documents/?uuid=83d0092c-b54c-4aae-bb3d-e4020d97ec8d"]}],"mendeley":{"formattedCitation":"(2020)","plainTextFormattedCitation":"(2020)","previouslyFormattedCitation":"(2020)"},"properties":{"noteIndex":0},"schema":"https://github.com/citation-style-language/schema/raw/master/csl-citation.json"}</w:instrText>
      </w:r>
      <w:r w:rsidR="00427B69" w:rsidRPr="0076725B">
        <w:rPr>
          <w:rFonts w:ascii="Times New Roman" w:hAnsi="Times New Roman" w:cs="Times New Roman"/>
          <w:sz w:val="24"/>
          <w:szCs w:val="24"/>
        </w:rPr>
        <w:fldChar w:fldCharType="separate"/>
      </w:r>
      <w:r w:rsidR="00427B69" w:rsidRPr="0076725B">
        <w:rPr>
          <w:rFonts w:ascii="Times New Roman" w:hAnsi="Times New Roman" w:cs="Times New Roman"/>
          <w:noProof/>
          <w:sz w:val="24"/>
          <w:szCs w:val="24"/>
        </w:rPr>
        <w:t>(2020)</w:t>
      </w:r>
      <w:r w:rsidR="00427B69" w:rsidRPr="0076725B">
        <w:rPr>
          <w:rFonts w:ascii="Times New Roman" w:hAnsi="Times New Roman" w:cs="Times New Roman"/>
          <w:sz w:val="24"/>
          <w:szCs w:val="24"/>
        </w:rPr>
        <w:fldChar w:fldCharType="end"/>
      </w:r>
      <w:r w:rsidRPr="0076725B">
        <w:rPr>
          <w:rFonts w:ascii="Times New Roman" w:hAnsi="Times New Roman" w:cs="Times New Roman"/>
          <w:sz w:val="24"/>
          <w:szCs w:val="24"/>
        </w:rPr>
        <w:t xml:space="preserve"> supports these findings, reporting that planned health campaigns consistently yield positive effects. Their study concluded that mass media campaigns significantly influence how health services are utilized. Given the crucial role of media in promoting health and well-being, policymakers should consider strengthening media-driven health literacy initiatives to enhance public awareness and improve the utilization of family planning services.</w:t>
      </w:r>
    </w:p>
    <w:p w14:paraId="2F3D5A4D" w14:textId="77777777" w:rsidR="00EC7A47" w:rsidRPr="0076725B" w:rsidRDefault="00EC7A47" w:rsidP="00EC7A47">
      <w:pPr>
        <w:pStyle w:val="NormalWeb"/>
        <w:jc w:val="both"/>
      </w:pPr>
      <w:r w:rsidRPr="0076725B">
        <w:t>In addition to the quantitative results, qualitative insights from key informant interviews further reinforce the importance of health literacy in the adoption of family planning services. A Reproductive and Child Health (RCH) officer emphasized the critical role of awareness and education in shaping reproductive health decisions:</w:t>
      </w:r>
    </w:p>
    <w:p w14:paraId="5FBE0673" w14:textId="77777777" w:rsidR="00EC7A47" w:rsidRPr="0076725B" w:rsidRDefault="00EC7A47" w:rsidP="00EC7A47">
      <w:pPr>
        <w:pStyle w:val="NormalWeb"/>
        <w:jc w:val="both"/>
        <w:rPr>
          <w:sz w:val="20"/>
          <w:szCs w:val="20"/>
        </w:rPr>
      </w:pPr>
      <w:r w:rsidRPr="0076725B">
        <w:rPr>
          <w:rStyle w:val="Emphasis"/>
          <w:sz w:val="20"/>
          <w:szCs w:val="20"/>
        </w:rPr>
        <w:t>"Many community members, especially women of childbearing age, are more likely to embrace family planning when they receive accurate and comprehensive information. Misinformation and cultural misconceptions often hinder adoption, but when individuals are educated about the benefits, safety, and available options, they feel empowered to make informed choices for their reproductive health."</w:t>
      </w:r>
    </w:p>
    <w:p w14:paraId="180A58C0" w14:textId="77777777" w:rsidR="00EC7A47" w:rsidRPr="0076725B" w:rsidRDefault="00EC7A47" w:rsidP="00EC7A47">
      <w:pPr>
        <w:pStyle w:val="NormalWeb"/>
        <w:jc w:val="both"/>
      </w:pPr>
      <w:r w:rsidRPr="0076725B">
        <w:t xml:space="preserve">These qualitative findings align with the survey results, where the majority (94.8%) of respondents acknowledged the significant influence of health literacy on family planning utilization. The insights suggest that strengthening educational initiatives, particularly through </w:t>
      </w:r>
      <w:r w:rsidRPr="0076725B">
        <w:lastRenderedPageBreak/>
        <w:t>community health programs and outreach efforts, can enhance awareness and ultimately improve the uptake of family planning services.</w:t>
      </w:r>
    </w:p>
    <w:p w14:paraId="5FFB7199" w14:textId="77777777" w:rsidR="00221BB7" w:rsidRPr="0076725B" w:rsidRDefault="00427B69" w:rsidP="00427B69">
      <w:pPr>
        <w:pStyle w:val="ListParagraph"/>
        <w:numPr>
          <w:ilvl w:val="2"/>
          <w:numId w:val="2"/>
        </w:numPr>
        <w:jc w:val="both"/>
        <w:rPr>
          <w:rFonts w:ascii="Times New Roman" w:hAnsi="Times New Roman" w:cs="Times New Roman"/>
          <w:b/>
          <w:sz w:val="24"/>
          <w:szCs w:val="24"/>
        </w:rPr>
      </w:pPr>
      <w:r w:rsidRPr="0076725B">
        <w:rPr>
          <w:rFonts w:ascii="Times New Roman" w:hAnsi="Times New Roman" w:cs="Times New Roman"/>
          <w:b/>
          <w:sz w:val="24"/>
          <w:szCs w:val="24"/>
        </w:rPr>
        <w:t>The extent does health literacy influence the use of family planning services</w:t>
      </w:r>
    </w:p>
    <w:p w14:paraId="4C41EF18" w14:textId="77777777" w:rsidR="003E61D7" w:rsidRPr="0076725B" w:rsidRDefault="003E61D7" w:rsidP="003E61D7">
      <w:pPr>
        <w:tabs>
          <w:tab w:val="left" w:pos="3289"/>
        </w:tabs>
        <w:spacing w:after="0" w:line="240" w:lineRule="auto"/>
        <w:jc w:val="both"/>
        <w:rPr>
          <w:rFonts w:ascii="Times New Roman" w:hAnsi="Times New Roman" w:cs="Times New Roman"/>
          <w:bCs/>
          <w:sz w:val="24"/>
          <w:szCs w:val="24"/>
        </w:rPr>
      </w:pPr>
      <w:r w:rsidRPr="0076725B">
        <w:rPr>
          <w:rFonts w:ascii="Times New Roman" w:hAnsi="Times New Roman" w:cs="Times New Roman"/>
          <w:bCs/>
          <w:sz w:val="24"/>
          <w:szCs w:val="24"/>
        </w:rPr>
        <w:t>Figure 2 illustrates the extent to which health literacy influences the use of family planning services. The findings reveal that 39% of respondents indicated that health literacy has a great influence on the utilization of family planning services, while 29.4% of respondents stated that the influence is at a medium level. Additionally, 28.6% of respondents believed that health literacy has a very great influence on family planning service usage. In contrast, a small proportion of respondents—1.1%—perceived the influence of health literacy to be minimal, whereas only 0.4% of respondents reported that health literacy has no influence at all on family planning service utilization.</w:t>
      </w:r>
    </w:p>
    <w:p w14:paraId="187E56DE" w14:textId="77777777" w:rsidR="003E61D7" w:rsidRPr="0076725B" w:rsidRDefault="003E61D7" w:rsidP="003E61D7">
      <w:pPr>
        <w:tabs>
          <w:tab w:val="left" w:pos="3289"/>
        </w:tabs>
        <w:spacing w:after="0" w:line="240" w:lineRule="auto"/>
        <w:jc w:val="both"/>
        <w:rPr>
          <w:rFonts w:ascii="Times New Roman" w:hAnsi="Times New Roman" w:cs="Times New Roman"/>
          <w:bCs/>
          <w:sz w:val="24"/>
          <w:szCs w:val="24"/>
        </w:rPr>
      </w:pPr>
    </w:p>
    <w:p w14:paraId="41D752BF" w14:textId="77777777" w:rsidR="00427B69" w:rsidRPr="0076725B" w:rsidRDefault="003E61D7" w:rsidP="003E61D7">
      <w:pPr>
        <w:tabs>
          <w:tab w:val="left" w:pos="3289"/>
        </w:tabs>
        <w:spacing w:after="0" w:line="240" w:lineRule="auto"/>
        <w:jc w:val="both"/>
        <w:rPr>
          <w:rFonts w:ascii="Times New Roman" w:hAnsi="Times New Roman" w:cs="Times New Roman"/>
          <w:sz w:val="24"/>
          <w:szCs w:val="24"/>
        </w:rPr>
      </w:pPr>
      <w:r w:rsidRPr="0076725B">
        <w:rPr>
          <w:rFonts w:ascii="Times New Roman" w:hAnsi="Times New Roman" w:cs="Times New Roman"/>
          <w:bCs/>
          <w:sz w:val="24"/>
          <w:szCs w:val="24"/>
        </w:rPr>
        <w:t>These findings suggest that the majority of respondents recognize health literacy as a critical factor in shaping family planning decisions, with a significant portion acknowledging its strong or very strong impact. The relatively low percentage of respondents who perceived little or no influence indicates that awareness and knowledge about reproductive health play a key role in promoting the adoption of family planning services. Strengthening health literacy initiatives, particularly through targeted educational campaigns, may further enhance the effective use of family planning services and improve reproductive health outcomes within the community.</w:t>
      </w:r>
    </w:p>
    <w:p w14:paraId="7C8E49E4" w14:textId="77777777" w:rsidR="00427B69" w:rsidRPr="00124C4F" w:rsidRDefault="00427B69" w:rsidP="00427B69">
      <w:pPr>
        <w:tabs>
          <w:tab w:val="left" w:pos="3289"/>
        </w:tabs>
        <w:spacing w:line="240" w:lineRule="auto"/>
        <w:rPr>
          <w:rFonts w:ascii="Times New Roman" w:hAnsi="Times New Roman" w:cs="Times New Roman"/>
          <w:sz w:val="24"/>
          <w:szCs w:val="24"/>
        </w:rPr>
      </w:pPr>
    </w:p>
    <w:p w14:paraId="79B5AE3B" w14:textId="77777777" w:rsidR="00427B69" w:rsidRPr="00124C4F" w:rsidRDefault="00427B69" w:rsidP="00427B69">
      <w:pPr>
        <w:tabs>
          <w:tab w:val="left" w:pos="3289"/>
        </w:tabs>
        <w:spacing w:line="240" w:lineRule="auto"/>
        <w:rPr>
          <w:rFonts w:ascii="Times New Roman" w:hAnsi="Times New Roman" w:cs="Times New Roman"/>
          <w:sz w:val="24"/>
          <w:szCs w:val="24"/>
        </w:rPr>
      </w:pPr>
      <w:r w:rsidRPr="00124C4F">
        <w:rPr>
          <w:rFonts w:ascii="Times New Roman" w:hAnsi="Times New Roman" w:cs="Times New Roman"/>
          <w:noProof/>
          <w:lang w:val="en-US"/>
        </w:rPr>
        <w:drawing>
          <wp:inline distT="0" distB="0" distL="0" distR="0" wp14:anchorId="30BE77CA" wp14:editId="16064EC3">
            <wp:extent cx="6078220" cy="3532620"/>
            <wp:effectExtent l="0" t="0" r="17780" b="107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AACA65" w14:textId="045815BB" w:rsidR="001071A2" w:rsidRPr="0057456B" w:rsidRDefault="00725983" w:rsidP="00725983">
      <w:pPr>
        <w:jc w:val="both"/>
        <w:rPr>
          <w:rFonts w:ascii="Times New Roman" w:hAnsi="Times New Roman" w:cs="Times New Roman"/>
          <w:b/>
          <w:sz w:val="24"/>
          <w:szCs w:val="24"/>
        </w:rPr>
      </w:pPr>
      <w:r w:rsidRPr="0057456B">
        <w:rPr>
          <w:rFonts w:ascii="Times New Roman" w:hAnsi="Times New Roman" w:cs="Times New Roman"/>
          <w:b/>
          <w:sz w:val="24"/>
          <w:szCs w:val="24"/>
        </w:rPr>
        <w:t>Fig 2-</w:t>
      </w:r>
      <w:r w:rsidR="001071A2" w:rsidRPr="0057456B">
        <w:rPr>
          <w:rFonts w:ascii="Times New Roman" w:hAnsi="Times New Roman" w:cs="Times New Roman"/>
          <w:b/>
          <w:sz w:val="24"/>
          <w:szCs w:val="24"/>
        </w:rPr>
        <w:t>The extent does health literacy influence the use of family planning services</w:t>
      </w:r>
    </w:p>
    <w:p w14:paraId="49E9F7C2" w14:textId="741284EE" w:rsidR="00427B69" w:rsidRPr="00D3485C" w:rsidRDefault="00427B69" w:rsidP="00427B69">
      <w:pPr>
        <w:autoSpaceDE w:val="0"/>
        <w:autoSpaceDN w:val="0"/>
        <w:adjustRightInd w:val="0"/>
        <w:spacing w:after="0" w:line="240" w:lineRule="auto"/>
        <w:jc w:val="both"/>
        <w:rPr>
          <w:rFonts w:ascii="Times New Roman" w:hAnsi="Times New Roman" w:cs="Times New Roman"/>
          <w:b/>
          <w:sz w:val="24"/>
          <w:szCs w:val="24"/>
        </w:rPr>
      </w:pPr>
    </w:p>
    <w:p w14:paraId="2FD29DBA" w14:textId="77777777" w:rsidR="00EC7A47" w:rsidRPr="0076725B" w:rsidRDefault="00EC7A47" w:rsidP="00EC7A47">
      <w:pPr>
        <w:pStyle w:val="NormalWeb"/>
        <w:jc w:val="both"/>
      </w:pPr>
      <w:r w:rsidRPr="0076725B">
        <w:t xml:space="preserve">In addition to the quantitative results, qualitative insights from key informant interviews further underscore the significant role of health literacy in the adoption of family planning services. A </w:t>
      </w:r>
      <w:r w:rsidRPr="0076725B">
        <w:lastRenderedPageBreak/>
        <w:t>Reproductive and Child Health (RCH) officer highlighted the importance of continuous education and awareness campaigns in improving family planning utilization:</w:t>
      </w:r>
    </w:p>
    <w:p w14:paraId="3DF9B0A7" w14:textId="77777777" w:rsidR="00EC7A47" w:rsidRPr="0076725B" w:rsidRDefault="00EC7A47" w:rsidP="00EC7A47">
      <w:pPr>
        <w:pStyle w:val="NormalWeb"/>
        <w:jc w:val="both"/>
      </w:pPr>
      <w:r w:rsidRPr="0076725B">
        <w:rPr>
          <w:rStyle w:val="Emphasis"/>
        </w:rPr>
        <w:t>"In my experience, many individuals hesitate to use family planning services due to myths and misinformation. However, when they receive proper health education, they begin to understand the benefits and feel more confident in making informed reproductive health choices. Our role as healthcare providers is to ensure that accurate information reaches the community, as knowledge truly empowers people to take control of their reproductive health."</w:t>
      </w:r>
    </w:p>
    <w:p w14:paraId="2EFAC678" w14:textId="77777777" w:rsidR="00EC7A47" w:rsidRPr="0076725B" w:rsidRDefault="00EC7A47" w:rsidP="00EC7A47">
      <w:pPr>
        <w:pStyle w:val="NormalWeb"/>
        <w:jc w:val="both"/>
      </w:pPr>
      <w:r w:rsidRPr="0076725B">
        <w:t xml:space="preserve">These qualitative insights align with the survey findings, where a substantial proportion of respondents (39%) recognized health literacy as having a great influence, and 28.6% perceived it as having a very great influence on family planning service usage. The findings suggest that investing in health literacy initiatives, such as community health talks, mass media campaigns, and personalized </w:t>
      </w:r>
      <w:proofErr w:type="spellStart"/>
      <w:r w:rsidRPr="0076725B">
        <w:t>counseling</w:t>
      </w:r>
      <w:proofErr w:type="spellEnd"/>
      <w:r w:rsidRPr="0076725B">
        <w:t>, can further strengthen the uptake of family planning services. Enhancing these efforts may help address misconceptions and encourage more individuals to make informed decisions regarding their reproductive health.</w:t>
      </w:r>
    </w:p>
    <w:p w14:paraId="659CAE3A" w14:textId="77777777" w:rsidR="003E61D7" w:rsidRPr="0076725B" w:rsidRDefault="003E61D7" w:rsidP="003E61D7">
      <w:pPr>
        <w:tabs>
          <w:tab w:val="left" w:pos="3289"/>
        </w:tabs>
        <w:spacing w:line="240" w:lineRule="auto"/>
        <w:jc w:val="both"/>
        <w:rPr>
          <w:rFonts w:ascii="Times New Roman" w:hAnsi="Times New Roman" w:cs="Times New Roman"/>
          <w:sz w:val="24"/>
          <w:szCs w:val="24"/>
        </w:rPr>
      </w:pPr>
      <w:r w:rsidRPr="0076725B">
        <w:rPr>
          <w:rFonts w:ascii="Times New Roman" w:hAnsi="Times New Roman" w:cs="Times New Roman"/>
          <w:sz w:val="24"/>
          <w:szCs w:val="24"/>
        </w:rPr>
        <w:t>Focusing on the extent to which health literacy influences the use of family planning services, the findings indicate that 105 respondents (39%) agreed that health literacy has a great influence in persuading the community to utilize family planning services. Additionally, 79 respondents (29.4%) stated that health literacy has a medium level of influence, while 77 respondents (28.6%) believed that health literacy has a very great influence in encouraging the community to adopt family planning services. Conversely, a small percentage of respondents—3 (1.1%)—perceived the influence of health literacy to be minimal, whereas only 1 respondent (0.4%) stated that health literacy has no influence at all on persuading the community to use family planning services.</w:t>
      </w:r>
    </w:p>
    <w:p w14:paraId="46D4CF98" w14:textId="77777777" w:rsidR="00427B69" w:rsidRPr="0076725B" w:rsidRDefault="003E61D7" w:rsidP="003E61D7">
      <w:pPr>
        <w:tabs>
          <w:tab w:val="left" w:pos="3289"/>
        </w:tabs>
        <w:spacing w:line="240" w:lineRule="auto"/>
        <w:jc w:val="both"/>
        <w:rPr>
          <w:rFonts w:ascii="Times New Roman" w:hAnsi="Times New Roman" w:cs="Times New Roman"/>
          <w:bCs/>
          <w:sz w:val="24"/>
          <w:szCs w:val="24"/>
        </w:rPr>
      </w:pPr>
      <w:r w:rsidRPr="0076725B">
        <w:rPr>
          <w:rFonts w:ascii="Times New Roman" w:hAnsi="Times New Roman" w:cs="Times New Roman"/>
          <w:sz w:val="24"/>
          <w:szCs w:val="24"/>
        </w:rPr>
        <w:t xml:space="preserve">These findings suggest that the majority of respondents recognize health literacy as a significant factor in promoting the adoption of family planning services, with most agreeing that its influence is either great or very great. This highlights the vital role of health literacy in shaping reproductive health </w:t>
      </w:r>
      <w:proofErr w:type="spellStart"/>
      <w:r w:rsidRPr="0076725B">
        <w:rPr>
          <w:rFonts w:ascii="Times New Roman" w:hAnsi="Times New Roman" w:cs="Times New Roman"/>
          <w:sz w:val="24"/>
          <w:szCs w:val="24"/>
        </w:rPr>
        <w:t>behaviors</w:t>
      </w:r>
      <w:proofErr w:type="spellEnd"/>
      <w:r w:rsidRPr="0076725B">
        <w:rPr>
          <w:rFonts w:ascii="Times New Roman" w:hAnsi="Times New Roman" w:cs="Times New Roman"/>
          <w:sz w:val="24"/>
          <w:szCs w:val="24"/>
        </w:rPr>
        <w:t>, particularly in influencing pregnant women and individuals of childbearing age to use family planning services. The relatively small number of respondents who perceived little or no influence further emphasizes the strong correlation between health awareness and the utilization of reproductive health services. Strengthening health literacy programs through targeted education and awareness campaigns may therefore enhance community engagement and improve the uptake of family planning services.</w:t>
      </w:r>
    </w:p>
    <w:p w14:paraId="6D2CE2F7" w14:textId="77777777" w:rsidR="00821DF5" w:rsidRPr="0076725B" w:rsidRDefault="003E61D7" w:rsidP="00427B69">
      <w:pPr>
        <w:spacing w:line="240" w:lineRule="auto"/>
        <w:jc w:val="both"/>
        <w:rPr>
          <w:rFonts w:ascii="Times New Roman" w:hAnsi="Times New Roman" w:cs="Times New Roman"/>
          <w:bCs/>
          <w:sz w:val="24"/>
          <w:szCs w:val="24"/>
        </w:rPr>
      </w:pPr>
      <w:r w:rsidRPr="0076725B">
        <w:rPr>
          <w:rFonts w:ascii="Times New Roman" w:hAnsi="Times New Roman" w:cs="Times New Roman"/>
          <w:bCs/>
          <w:sz w:val="24"/>
          <w:szCs w:val="24"/>
        </w:rPr>
        <w:t xml:space="preserve">A study conducted by </w:t>
      </w:r>
      <w:proofErr w:type="spellStart"/>
      <w:r w:rsidRPr="0076725B">
        <w:rPr>
          <w:rFonts w:ascii="Times New Roman" w:hAnsi="Times New Roman" w:cs="Times New Roman"/>
          <w:bCs/>
          <w:sz w:val="24"/>
          <w:szCs w:val="24"/>
        </w:rPr>
        <w:t>Mgaya</w:t>
      </w:r>
      <w:proofErr w:type="spellEnd"/>
      <w:r w:rsidRPr="0076725B">
        <w:rPr>
          <w:rFonts w:ascii="Times New Roman" w:hAnsi="Times New Roman" w:cs="Times New Roman"/>
          <w:bCs/>
          <w:sz w:val="24"/>
          <w:szCs w:val="24"/>
        </w:rPr>
        <w:t xml:space="preserve">  and </w:t>
      </w:r>
      <w:proofErr w:type="spellStart"/>
      <w:r w:rsidRPr="0076725B">
        <w:rPr>
          <w:rFonts w:ascii="Times New Roman" w:hAnsi="Times New Roman" w:cs="Times New Roman"/>
          <w:bCs/>
          <w:sz w:val="24"/>
          <w:szCs w:val="24"/>
        </w:rPr>
        <w:t>Mgonja</w:t>
      </w:r>
      <w:proofErr w:type="spellEnd"/>
      <w:r w:rsidRPr="0076725B">
        <w:rPr>
          <w:rFonts w:ascii="Times New Roman" w:hAnsi="Times New Roman" w:cs="Times New Roman"/>
          <w:bCs/>
          <w:sz w:val="24"/>
          <w:szCs w:val="24"/>
        </w:rPr>
        <w:t xml:space="preserve"> </w:t>
      </w:r>
      <w:r w:rsidRPr="0076725B">
        <w:rPr>
          <w:rFonts w:ascii="Times New Roman" w:hAnsi="Times New Roman" w:cs="Times New Roman"/>
          <w:bCs/>
          <w:sz w:val="24"/>
          <w:szCs w:val="24"/>
        </w:rPr>
        <w:fldChar w:fldCharType="begin" w:fldLock="1"/>
      </w:r>
      <w:r w:rsidR="00905B5B" w:rsidRPr="0076725B">
        <w:rPr>
          <w:rFonts w:ascii="Times New Roman" w:hAnsi="Times New Roman" w:cs="Times New Roman"/>
          <w:bCs/>
          <w:sz w:val="24"/>
          <w:szCs w:val="24"/>
        </w:rPr>
        <w:instrText>ADDIN CSL_CITATION {"citationItems":[{"id":"ITEM-1","itemData":{"DOI":"10.5296/ire.v11i1.20678","abstract":"A cross-sectional descriptive study was conducted in the Iringa Municipality with 100 women of childbearing age aged 18 to 45 years. Levels of knowledge and awareness of family planning methods were surveyed using a self-administered questionnaire. As a result, it was found that the majority of 94(94%) of the surveyed population said they were well-informed about family planning methods and had good attitudes and awareness of contraceptives. Of the methods presented, male condoms, injections, and implants were familiar and used by the majority of participants. Of the 100 participants, 85(85%) used modern family planning techniques and 71(83.5%) of them reported having used services at a health facility. However, the remaining 15(15%) of respondents indicated that they did not use family planning for religious and cultural reasons. Modern contraceptive technology is available, accessible, and proven to be used. Therefore, more education is needed for communities on the importance of using permanent modern strategies, including sterilization. Getting men involved is also important.","author":[{"dropping-particle":"","family":"Mgaya","given":"Catherine M.","non-dropping-particle":"","parse-names":false,"suffix":""},{"dropping-particle":"","family":"Mgonja","given":"Frida R.","non-dropping-particle":"","parse-names":false,"suffix":""}],"container-title":"International Research in Education","id":"ITEM-1","issue":"1","issued":{"date-parts":[["2023"]]},"page":"1","title":"Assessment of Knowledge, Awareness, and Use of Family Planning Methods Among Residents in Iringa Municipality","type":"article-journal","volume":"11"},"suppress-author":1,"uris":["http://www.mendeley.com/documents/?uuid=7c6bb10e-a4c0-4c7f-a6fb-270ce8801f20"]}],"mendeley":{"formattedCitation":"(2023)","plainTextFormattedCitation":"(2023)","previouslyFormattedCitation":"(2023)"},"properties":{"noteIndex":0},"schema":"https://github.com/citation-style-language/schema/raw/master/csl-citation.json"}</w:instrText>
      </w:r>
      <w:r w:rsidRPr="0076725B">
        <w:rPr>
          <w:rFonts w:ascii="Times New Roman" w:hAnsi="Times New Roman" w:cs="Times New Roman"/>
          <w:bCs/>
          <w:sz w:val="24"/>
          <w:szCs w:val="24"/>
        </w:rPr>
        <w:fldChar w:fldCharType="separate"/>
      </w:r>
      <w:r w:rsidRPr="0076725B">
        <w:rPr>
          <w:rFonts w:ascii="Times New Roman" w:hAnsi="Times New Roman" w:cs="Times New Roman"/>
          <w:bCs/>
          <w:noProof/>
          <w:sz w:val="24"/>
          <w:szCs w:val="24"/>
        </w:rPr>
        <w:t>(2023)</w:t>
      </w:r>
      <w:r w:rsidRPr="0076725B">
        <w:rPr>
          <w:rFonts w:ascii="Times New Roman" w:hAnsi="Times New Roman" w:cs="Times New Roman"/>
          <w:bCs/>
          <w:sz w:val="24"/>
          <w:szCs w:val="24"/>
        </w:rPr>
        <w:fldChar w:fldCharType="end"/>
      </w:r>
      <w:r w:rsidRPr="0076725B">
        <w:rPr>
          <w:rFonts w:ascii="Times New Roman" w:hAnsi="Times New Roman" w:cs="Times New Roman"/>
          <w:bCs/>
          <w:sz w:val="24"/>
          <w:szCs w:val="24"/>
        </w:rPr>
        <w:t xml:space="preserve"> in Iringa, Tanzania supports these findings, emphasizing that health literacy and awareness of family planning methods play a crucial role in influencing the use of family planning services. The study revealed that a significant majority—94 respondents (94%)—reported being well-informed about various family planning methods and demonstrated positive attitudes and awareness regarding contraceptive use. Furthermore, the study highlighted that the perceived usefulness of family planning has increased due to the contribution of health literacy. This suggests that improving knowledge and awareness through targeted educational programs can further enhance the acceptance and utilization of family planning services within communities.</w:t>
      </w:r>
    </w:p>
    <w:p w14:paraId="6E0C1B62" w14:textId="77777777" w:rsidR="00EC7A47" w:rsidRPr="0076725B" w:rsidRDefault="00EC7A47" w:rsidP="00EC7A47">
      <w:pPr>
        <w:pStyle w:val="NormalWeb"/>
        <w:jc w:val="both"/>
      </w:pPr>
      <w:r w:rsidRPr="0076725B">
        <w:rPr>
          <w:rStyle w:val="Strong"/>
          <w:b w:val="0"/>
        </w:rPr>
        <w:t>Beyond the quantitative results</w:t>
      </w:r>
      <w:r w:rsidRPr="0076725B">
        <w:rPr>
          <w:rStyle w:val="Strong"/>
        </w:rPr>
        <w:t>,</w:t>
      </w:r>
      <w:r w:rsidRPr="0076725B">
        <w:t xml:space="preserve"> qualitative insights from key informant interviews further reinforce the significant role of health literacy in the adoption of family planning services. A Reproductive and Child Health (RCH) officer emphasized the need for continuous education and outreach efforts to enhance awareness and encourage informed decision-making:</w:t>
      </w:r>
    </w:p>
    <w:p w14:paraId="61836FF7" w14:textId="77777777" w:rsidR="00EC7A47" w:rsidRPr="0076725B" w:rsidRDefault="00EC7A47" w:rsidP="00EC7A47">
      <w:pPr>
        <w:pStyle w:val="NormalWeb"/>
        <w:jc w:val="both"/>
      </w:pPr>
      <w:r w:rsidRPr="0076725B">
        <w:rPr>
          <w:rStyle w:val="Emphasis"/>
        </w:rPr>
        <w:lastRenderedPageBreak/>
        <w:t xml:space="preserve">"Many individuals, particularly women of childbearing age, are willing to use family planning services but often lack sufficient knowledge about their benefits, safety, and available options. Through targeted health education and </w:t>
      </w:r>
      <w:r w:rsidR="00514D6A" w:rsidRPr="0076725B">
        <w:rPr>
          <w:rStyle w:val="Emphasis"/>
        </w:rPr>
        <w:t>counselling</w:t>
      </w:r>
      <w:r w:rsidRPr="0076725B">
        <w:rPr>
          <w:rStyle w:val="Emphasis"/>
        </w:rPr>
        <w:t>, we have seen a positive shift in attitudes, where more people feel empowered to make informed reproductive health choices. Strengthening health literacy programs is essential in dispelling myths and misconceptions that often hinder the uptake of family planning services."</w:t>
      </w:r>
    </w:p>
    <w:p w14:paraId="0A6B5031" w14:textId="77777777" w:rsidR="00EC7A47" w:rsidRPr="0076725B" w:rsidRDefault="00EC7A47" w:rsidP="00EC7A47">
      <w:pPr>
        <w:pStyle w:val="NormalWeb"/>
        <w:jc w:val="both"/>
      </w:pPr>
      <w:r w:rsidRPr="0076725B">
        <w:t>These qualitative insights align with the survey findings, which indicate that a majority of respondents (39%) believe health literacy has a great influence on family planning adoption, while 28.6% perceive it as having a very great influence. The results highlight the need for sustained health education initiatives, particularly at the community level, to ensure that individuals have access to accurate and reliable information. Strengthening these efforts through mass media campaigns, peer education, and healthcare provider-led sessions may further improve the utilization of family planning services and contribute to better reproductive health outcomes within the community.</w:t>
      </w:r>
    </w:p>
    <w:p w14:paraId="51F02C22" w14:textId="77777777" w:rsidR="00EC7A47" w:rsidRPr="0076725B" w:rsidRDefault="00EC7A47" w:rsidP="00EC7A47">
      <w:pPr>
        <w:pStyle w:val="ListParagraph"/>
        <w:numPr>
          <w:ilvl w:val="0"/>
          <w:numId w:val="1"/>
        </w:numPr>
        <w:spacing w:line="240" w:lineRule="auto"/>
        <w:jc w:val="both"/>
        <w:rPr>
          <w:rFonts w:ascii="Times New Roman" w:hAnsi="Times New Roman" w:cs="Times New Roman"/>
          <w:b/>
          <w:sz w:val="24"/>
          <w:szCs w:val="24"/>
        </w:rPr>
      </w:pPr>
      <w:r w:rsidRPr="0076725B">
        <w:rPr>
          <w:rFonts w:ascii="Times New Roman" w:hAnsi="Times New Roman" w:cs="Times New Roman"/>
          <w:b/>
          <w:sz w:val="24"/>
          <w:szCs w:val="24"/>
        </w:rPr>
        <w:t>Conclusion</w:t>
      </w:r>
    </w:p>
    <w:p w14:paraId="05DA075F" w14:textId="77777777" w:rsidR="00514D6A" w:rsidRPr="0076725B" w:rsidRDefault="00514D6A" w:rsidP="00514D6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6725B">
        <w:rPr>
          <w:rFonts w:ascii="Times New Roman" w:eastAsia="Times New Roman" w:hAnsi="Times New Roman" w:cs="Times New Roman"/>
          <w:sz w:val="24"/>
          <w:szCs w:val="24"/>
          <w:lang w:eastAsia="en-GB"/>
        </w:rPr>
        <w:t>The findings of this study strongly indicate that health literacy plays a crucial role in influencing the utilization of family planning services. A significant majority of respondents (94.8%) agreed that health literacy has a substantial impact on family planning adoption, highlighting the importance of providing accurate and accessible information to individuals of childbearing age. The study also revealed that the extent of health literacy’s influence varies, with 39% of respondents stating that it has a great impact, while 28.6% perceived it as having a very great impact. These results suggest that improving health literacy can significantly enhance family planning uptake by empowering individuals with knowledge, reducing misconceptions, and promoting informed decision-making.</w:t>
      </w:r>
    </w:p>
    <w:p w14:paraId="18597406" w14:textId="77777777" w:rsidR="00514D6A" w:rsidRPr="0076725B" w:rsidRDefault="00514D6A" w:rsidP="00514D6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6725B">
        <w:rPr>
          <w:rFonts w:ascii="Times New Roman" w:eastAsia="Times New Roman" w:hAnsi="Times New Roman" w:cs="Times New Roman"/>
          <w:sz w:val="24"/>
          <w:szCs w:val="24"/>
          <w:lang w:eastAsia="en-GB"/>
        </w:rPr>
        <w:t>Qualitative insights further reinforced these findings, with RCH officers emphasizing the need for continuous education and awareness campaigns to address misinformation and cultural barriers. Health professionals observed that individuals who receive proper health education are more confident in using family planning services. Strengthening health literacy programs through community outreach, media campaigns, and personalized counselling can therefore enhance reproductive health outcomes. Policymakers and healthcare stakeholders should prioritize targeted education strategies to ensure that individuals have access to reliable information, ultimately increasing the effective utilization of family planning services in the community.</w:t>
      </w:r>
    </w:p>
    <w:p w14:paraId="3AC4B99C" w14:textId="77777777" w:rsidR="00EC7A47" w:rsidRPr="0076725B" w:rsidRDefault="00EC7A47" w:rsidP="00EC7A47">
      <w:pPr>
        <w:spacing w:line="240" w:lineRule="auto"/>
        <w:jc w:val="both"/>
        <w:rPr>
          <w:rFonts w:ascii="Times New Roman" w:hAnsi="Times New Roman" w:cs="Times New Roman"/>
          <w:b/>
          <w:sz w:val="24"/>
          <w:szCs w:val="24"/>
        </w:rPr>
      </w:pPr>
    </w:p>
    <w:p w14:paraId="28116EB0" w14:textId="77777777" w:rsidR="00821DF5" w:rsidRPr="00821DF5" w:rsidRDefault="00821DF5">
      <w:pPr>
        <w:rPr>
          <w:rFonts w:ascii="Times New Roman" w:hAnsi="Times New Roman" w:cs="Times New Roman"/>
          <w:b/>
          <w:sz w:val="24"/>
          <w:szCs w:val="24"/>
        </w:rPr>
      </w:pPr>
      <w:r w:rsidRPr="00821DF5">
        <w:rPr>
          <w:rFonts w:ascii="Times New Roman" w:hAnsi="Times New Roman" w:cs="Times New Roman"/>
          <w:b/>
          <w:sz w:val="24"/>
          <w:szCs w:val="24"/>
        </w:rPr>
        <w:br w:type="page"/>
      </w:r>
    </w:p>
    <w:p w14:paraId="3FD027AF" w14:textId="77777777" w:rsidR="00221BB7" w:rsidRPr="00821DF5" w:rsidRDefault="00821DF5" w:rsidP="00821DF5">
      <w:pPr>
        <w:pStyle w:val="ListParagraph"/>
        <w:jc w:val="both"/>
        <w:rPr>
          <w:rFonts w:ascii="Times New Roman" w:hAnsi="Times New Roman" w:cs="Times New Roman"/>
          <w:b/>
          <w:sz w:val="24"/>
          <w:szCs w:val="24"/>
        </w:rPr>
      </w:pPr>
      <w:r w:rsidRPr="00821DF5">
        <w:rPr>
          <w:rFonts w:ascii="Times New Roman" w:hAnsi="Times New Roman" w:cs="Times New Roman"/>
          <w:b/>
          <w:sz w:val="24"/>
          <w:szCs w:val="24"/>
        </w:rPr>
        <w:lastRenderedPageBreak/>
        <w:t>Reference</w:t>
      </w:r>
    </w:p>
    <w:p w14:paraId="2F8F44EF" w14:textId="77777777" w:rsidR="008E4716" w:rsidRPr="00BE0CE4" w:rsidRDefault="00821DF5"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b/>
          <w:sz w:val="24"/>
          <w:szCs w:val="24"/>
        </w:rPr>
        <w:fldChar w:fldCharType="begin" w:fldLock="1"/>
      </w:r>
      <w:r w:rsidRPr="00BE0CE4">
        <w:rPr>
          <w:rFonts w:ascii="Times New Roman" w:hAnsi="Times New Roman" w:cs="Times New Roman"/>
          <w:b/>
          <w:sz w:val="24"/>
          <w:szCs w:val="24"/>
        </w:rPr>
        <w:instrText xml:space="preserve">ADDIN Mendeley Bibliography CSL_BIBLIOGRAPHY </w:instrText>
      </w:r>
      <w:r w:rsidRPr="00BE0CE4">
        <w:rPr>
          <w:rFonts w:ascii="Times New Roman" w:hAnsi="Times New Roman" w:cs="Times New Roman"/>
          <w:b/>
          <w:sz w:val="24"/>
          <w:szCs w:val="24"/>
        </w:rPr>
        <w:fldChar w:fldCharType="separate"/>
      </w:r>
      <w:r w:rsidR="008E4716" w:rsidRPr="00BE0CE4">
        <w:rPr>
          <w:rFonts w:ascii="Times New Roman" w:hAnsi="Times New Roman" w:cs="Times New Roman"/>
          <w:noProof/>
          <w:sz w:val="24"/>
          <w:szCs w:val="24"/>
        </w:rPr>
        <w:t xml:space="preserve">Adaki, A. Y., &amp; Nsofor, J. O. (2023). Uncovering The Barriers Faced by Women in Utilizing Family Planning Services : The Role of Social Stigma in Takum Local Government Area of Taraba State , Nigeria. </w:t>
      </w:r>
      <w:r w:rsidR="008E4716" w:rsidRPr="00BE0CE4">
        <w:rPr>
          <w:rFonts w:ascii="Times New Roman" w:hAnsi="Times New Roman" w:cs="Times New Roman"/>
          <w:i/>
          <w:iCs/>
          <w:noProof/>
          <w:sz w:val="24"/>
          <w:szCs w:val="24"/>
        </w:rPr>
        <w:t>International Journal of Current Researches in Sciences, Social Sciences and Languages</w:t>
      </w:r>
      <w:r w:rsidR="008E4716" w:rsidRPr="00BE0CE4">
        <w:rPr>
          <w:rFonts w:ascii="Times New Roman" w:hAnsi="Times New Roman" w:cs="Times New Roman"/>
          <w:noProof/>
          <w:sz w:val="24"/>
          <w:szCs w:val="24"/>
        </w:rPr>
        <w:t xml:space="preserve">, </w:t>
      </w:r>
      <w:r w:rsidR="008E4716" w:rsidRPr="00BE0CE4">
        <w:rPr>
          <w:rFonts w:ascii="Times New Roman" w:hAnsi="Times New Roman" w:cs="Times New Roman"/>
          <w:i/>
          <w:iCs/>
          <w:noProof/>
          <w:sz w:val="24"/>
          <w:szCs w:val="24"/>
        </w:rPr>
        <w:t>3</w:t>
      </w:r>
      <w:r w:rsidR="008E4716" w:rsidRPr="00BE0CE4">
        <w:rPr>
          <w:rFonts w:ascii="Times New Roman" w:hAnsi="Times New Roman" w:cs="Times New Roman"/>
          <w:noProof/>
          <w:sz w:val="24"/>
          <w:szCs w:val="24"/>
        </w:rPr>
        <w:t>(3), 80–88.</w:t>
      </w:r>
    </w:p>
    <w:p w14:paraId="26544EEE"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Ahmed, M., &amp; Seid, A. (2020). Association between exposure to mass media family planning messages and utilization of modern contraceptive among urban and rural youth women in ethiopia. </w:t>
      </w:r>
      <w:r w:rsidRPr="00BE0CE4">
        <w:rPr>
          <w:rFonts w:ascii="Times New Roman" w:hAnsi="Times New Roman" w:cs="Times New Roman"/>
          <w:i/>
          <w:iCs/>
          <w:noProof/>
          <w:sz w:val="24"/>
          <w:szCs w:val="24"/>
        </w:rPr>
        <w:t>International Journal of Women’s Health</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12</w:t>
      </w:r>
      <w:r w:rsidRPr="00BE0CE4">
        <w:rPr>
          <w:rFonts w:ascii="Times New Roman" w:hAnsi="Times New Roman" w:cs="Times New Roman"/>
          <w:noProof/>
          <w:sz w:val="24"/>
          <w:szCs w:val="24"/>
        </w:rPr>
        <w:t>, 719–729. https://doi.org/10.2147/IJWH.S266755</w:t>
      </w:r>
    </w:p>
    <w:p w14:paraId="0B64CC97"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Aljassim, N., &amp; Ostini, R. (2020). Health literacy in rural and urban populations: A systematic review. </w:t>
      </w:r>
      <w:r w:rsidRPr="00BE0CE4">
        <w:rPr>
          <w:rFonts w:ascii="Times New Roman" w:hAnsi="Times New Roman" w:cs="Times New Roman"/>
          <w:i/>
          <w:iCs/>
          <w:noProof/>
          <w:sz w:val="24"/>
          <w:szCs w:val="24"/>
        </w:rPr>
        <w:t>Patient Education and Counseling</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103</w:t>
      </w:r>
      <w:r w:rsidRPr="00BE0CE4">
        <w:rPr>
          <w:rFonts w:ascii="Times New Roman" w:hAnsi="Times New Roman" w:cs="Times New Roman"/>
          <w:noProof/>
          <w:sz w:val="24"/>
          <w:szCs w:val="24"/>
        </w:rPr>
        <w:t>(10), 2142–2154. https://doi.org/10.1016/j.pec.2020.06.007</w:t>
      </w:r>
    </w:p>
    <w:p w14:paraId="35098550"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Bain, L. E., Amu, H., &amp; Tarkang, E. E. (2021). Barriers and motivators of contraceptive use among young people in Sub-Saharan Africa: A systematic review of qualitative studies. </w:t>
      </w:r>
      <w:r w:rsidRPr="00BE0CE4">
        <w:rPr>
          <w:rFonts w:ascii="Times New Roman" w:hAnsi="Times New Roman" w:cs="Times New Roman"/>
          <w:i/>
          <w:iCs/>
          <w:noProof/>
          <w:sz w:val="24"/>
          <w:szCs w:val="24"/>
        </w:rPr>
        <w:t>PLoS ONE</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16</w:t>
      </w:r>
      <w:r w:rsidRPr="00BE0CE4">
        <w:rPr>
          <w:rFonts w:ascii="Times New Roman" w:hAnsi="Times New Roman" w:cs="Times New Roman"/>
          <w:noProof/>
          <w:sz w:val="24"/>
          <w:szCs w:val="24"/>
        </w:rPr>
        <w:t>(6 June), 1–13. https://doi.org/10.1371/journal.pone.0252745</w:t>
      </w:r>
    </w:p>
    <w:p w14:paraId="494C1A57"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D’Souza, P., Bailey, J. V., Stephenson, J., &amp; Oliver, S. (2022). Factors influencing contraception choice and use globally: a synthesis of systematic reviews. </w:t>
      </w:r>
      <w:r w:rsidRPr="00BE0CE4">
        <w:rPr>
          <w:rFonts w:ascii="Times New Roman" w:hAnsi="Times New Roman" w:cs="Times New Roman"/>
          <w:i/>
          <w:iCs/>
          <w:noProof/>
          <w:sz w:val="24"/>
          <w:szCs w:val="24"/>
        </w:rPr>
        <w:t>European Journal of Contraception and Reproductive Health Care</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27</w:t>
      </w:r>
      <w:r w:rsidRPr="00BE0CE4">
        <w:rPr>
          <w:rFonts w:ascii="Times New Roman" w:hAnsi="Times New Roman" w:cs="Times New Roman"/>
          <w:noProof/>
          <w:sz w:val="24"/>
          <w:szCs w:val="24"/>
        </w:rPr>
        <w:t>(5), 364–372. https://doi.org/10.1080/13625187.2022.2096215</w:t>
      </w:r>
    </w:p>
    <w:p w14:paraId="079B5200"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Fauser, B. C. J. M., Adamson, G. D., Boivin, J., Chambers, G. M., Dyer, S., de Geyter, C., Inhorn, M. C., Schmidt, L., Serour, G. I., Tarlatzis, B., &amp; Zegers-Hochschild, F. (2024). Declining global fertility rates and the implications for family planning and family building: an IFFS consensus document based on a narrative review of the literature. </w:t>
      </w:r>
      <w:r w:rsidRPr="00BE0CE4">
        <w:rPr>
          <w:rFonts w:ascii="Times New Roman" w:hAnsi="Times New Roman" w:cs="Times New Roman"/>
          <w:i/>
          <w:iCs/>
          <w:noProof/>
          <w:sz w:val="24"/>
          <w:szCs w:val="24"/>
        </w:rPr>
        <w:t>Human Reproduction Update</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30</w:t>
      </w:r>
      <w:r w:rsidRPr="00BE0CE4">
        <w:rPr>
          <w:rFonts w:ascii="Times New Roman" w:hAnsi="Times New Roman" w:cs="Times New Roman"/>
          <w:noProof/>
          <w:sz w:val="24"/>
          <w:szCs w:val="24"/>
        </w:rPr>
        <w:t>(2), 153–173. https://doi.org/10.1093/humupd/dmad028</w:t>
      </w:r>
    </w:p>
    <w:p w14:paraId="6CA58E08"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Gahungu, J., Vahdaninia, M., &amp; Regmi, P. R. (2021). The unmet needs for modern family planning methods among postpartum women in Sub-Saharan Africa: a systematic review of the literature. </w:t>
      </w:r>
      <w:r w:rsidRPr="00BE0CE4">
        <w:rPr>
          <w:rFonts w:ascii="Times New Roman" w:hAnsi="Times New Roman" w:cs="Times New Roman"/>
          <w:i/>
          <w:iCs/>
          <w:noProof/>
          <w:sz w:val="24"/>
          <w:szCs w:val="24"/>
        </w:rPr>
        <w:t>Reproductive Health</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18</w:t>
      </w:r>
      <w:r w:rsidRPr="00BE0CE4">
        <w:rPr>
          <w:rFonts w:ascii="Times New Roman" w:hAnsi="Times New Roman" w:cs="Times New Roman"/>
          <w:noProof/>
          <w:sz w:val="24"/>
          <w:szCs w:val="24"/>
        </w:rPr>
        <w:t>(1), 1–15. https://doi.org/10.1186/s12978-021-01089-9</w:t>
      </w:r>
    </w:p>
    <w:p w14:paraId="2646C66A"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Hazra-Ganju, A., Dlima, S. D., Menezes, S. R., Ganju, A., &amp; Mer, A. (2023). An omni-channel, outcomes-focused approach to scale digital health interventions in resource-limited populations: a case study. </w:t>
      </w:r>
      <w:r w:rsidRPr="00BE0CE4">
        <w:rPr>
          <w:rFonts w:ascii="Times New Roman" w:hAnsi="Times New Roman" w:cs="Times New Roman"/>
          <w:i/>
          <w:iCs/>
          <w:noProof/>
          <w:sz w:val="24"/>
          <w:szCs w:val="24"/>
        </w:rPr>
        <w:t>Frontiers in Digital Health</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5</w:t>
      </w:r>
      <w:r w:rsidRPr="00BE0CE4">
        <w:rPr>
          <w:rFonts w:ascii="Times New Roman" w:hAnsi="Times New Roman" w:cs="Times New Roman"/>
          <w:noProof/>
          <w:sz w:val="24"/>
          <w:szCs w:val="24"/>
        </w:rPr>
        <w:t>(August), 1–15. https://doi.org/10.3389/fdgth.2023.1007687</w:t>
      </w:r>
    </w:p>
    <w:p w14:paraId="04368D94"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Heise, L., Greene, M. E., Opper, N., Stavropoulou, M., Harper, C., Nascimento, M., Zewdie, D., Darmstadt, G. L., Greene, M. E., Hawkes, S., Henry, S., Heymann, J., Klugman, J., Levine, R., Raj, A., &amp; Rao Gupta, G. (2019). Gender inequality and restrictive gender norms: framing the challenges to health. </w:t>
      </w:r>
      <w:r w:rsidRPr="00BE0CE4">
        <w:rPr>
          <w:rFonts w:ascii="Times New Roman" w:hAnsi="Times New Roman" w:cs="Times New Roman"/>
          <w:i/>
          <w:iCs/>
          <w:noProof/>
          <w:sz w:val="24"/>
          <w:szCs w:val="24"/>
        </w:rPr>
        <w:t>The Lancet</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393</w:t>
      </w:r>
      <w:r w:rsidRPr="00BE0CE4">
        <w:rPr>
          <w:rFonts w:ascii="Times New Roman" w:hAnsi="Times New Roman" w:cs="Times New Roman"/>
          <w:noProof/>
          <w:sz w:val="24"/>
          <w:szCs w:val="24"/>
        </w:rPr>
        <w:t>(10189), 2440–2454. https://doi.org/10.1016/S0140-6736(19)30652-X</w:t>
      </w:r>
    </w:p>
    <w:p w14:paraId="3BE21BAA"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Kassim, M., &amp; Ndumbaro, F. (2022). Factors affecting family planning literacy among women of childbearing age in the rural Lake zone, Tanzania. </w:t>
      </w:r>
      <w:r w:rsidRPr="00BE0CE4">
        <w:rPr>
          <w:rFonts w:ascii="Times New Roman" w:hAnsi="Times New Roman" w:cs="Times New Roman"/>
          <w:i/>
          <w:iCs/>
          <w:noProof/>
          <w:sz w:val="24"/>
          <w:szCs w:val="24"/>
        </w:rPr>
        <w:t>BMC Public Health</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22</w:t>
      </w:r>
      <w:r w:rsidRPr="00BE0CE4">
        <w:rPr>
          <w:rFonts w:ascii="Times New Roman" w:hAnsi="Times New Roman" w:cs="Times New Roman"/>
          <w:noProof/>
          <w:sz w:val="24"/>
          <w:szCs w:val="24"/>
        </w:rPr>
        <w:t>(1), 1–11. https://doi.org/10.1186/s12889-022-13103-1</w:t>
      </w:r>
    </w:p>
    <w:p w14:paraId="6C4C2BBC"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Kristiansen, D., Boyle, E. H., &amp; Svec, J. (2023). The impact of local supply of popular contraceptives on women’s use of family planning: findings from performance-monitoring-for-action in seven sub-Saharan African countries. </w:t>
      </w:r>
      <w:r w:rsidRPr="00BE0CE4">
        <w:rPr>
          <w:rFonts w:ascii="Times New Roman" w:hAnsi="Times New Roman" w:cs="Times New Roman"/>
          <w:i/>
          <w:iCs/>
          <w:noProof/>
          <w:sz w:val="24"/>
          <w:szCs w:val="24"/>
        </w:rPr>
        <w:t>Reproductive Health</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20</w:t>
      </w:r>
      <w:r w:rsidRPr="00BE0CE4">
        <w:rPr>
          <w:rFonts w:ascii="Times New Roman" w:hAnsi="Times New Roman" w:cs="Times New Roman"/>
          <w:noProof/>
          <w:sz w:val="24"/>
          <w:szCs w:val="24"/>
        </w:rPr>
        <w:t>(1), 1–12. https://doi.org/10.1186/s12978-023-01708-7</w:t>
      </w:r>
    </w:p>
    <w:p w14:paraId="4136C97A"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lastRenderedPageBreak/>
        <w:t xml:space="preserve">Liddelow, C., Mullan, B., &amp; Boyes, M. (2020). Adherence to the oral contraceptive pill: the roles of health literacy and knowledge. </w:t>
      </w:r>
      <w:r w:rsidRPr="00BE0CE4">
        <w:rPr>
          <w:rFonts w:ascii="Times New Roman" w:hAnsi="Times New Roman" w:cs="Times New Roman"/>
          <w:i/>
          <w:iCs/>
          <w:noProof/>
          <w:sz w:val="24"/>
          <w:szCs w:val="24"/>
        </w:rPr>
        <w:t>Health Psychology and Behavioral Medicine</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8</w:t>
      </w:r>
      <w:r w:rsidRPr="00BE0CE4">
        <w:rPr>
          <w:rFonts w:ascii="Times New Roman" w:hAnsi="Times New Roman" w:cs="Times New Roman"/>
          <w:noProof/>
          <w:sz w:val="24"/>
          <w:szCs w:val="24"/>
        </w:rPr>
        <w:t>(1), 587–600. https://doi.org/10.1080/21642850.2020.1850288</w:t>
      </w:r>
    </w:p>
    <w:p w14:paraId="6DDC22A9"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Liu, C., Wang, D., Liu, C., Jiang, J., Wang, X., Chen, H., Ju, X., &amp; Zhang, X. (2020). What is the meaning of health literacy? A systematic review and qualitative synthesis. </w:t>
      </w:r>
      <w:r w:rsidRPr="00BE0CE4">
        <w:rPr>
          <w:rFonts w:ascii="Times New Roman" w:hAnsi="Times New Roman" w:cs="Times New Roman"/>
          <w:i/>
          <w:iCs/>
          <w:noProof/>
          <w:sz w:val="24"/>
          <w:szCs w:val="24"/>
        </w:rPr>
        <w:t>Family Medicine and Community Health</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8</w:t>
      </w:r>
      <w:r w:rsidRPr="00BE0CE4">
        <w:rPr>
          <w:rFonts w:ascii="Times New Roman" w:hAnsi="Times New Roman" w:cs="Times New Roman"/>
          <w:noProof/>
          <w:sz w:val="24"/>
          <w:szCs w:val="24"/>
        </w:rPr>
        <w:t>(2), 1–8. https://doi.org/10.1136/fmch-2020-000351</w:t>
      </w:r>
    </w:p>
    <w:p w14:paraId="312AA954"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Maricic, M., Stojanovic, G., Pazun, V., Stepović, M., Djordjevic, O., Macuzic, I. Z., Milicic, V., Vucic, V., Radevic, S., &amp; Radovanovic, S. (2021). Relationship Between Socio-Demographic Characteristics, Reproductive Health Behaviors, and Health Literacy of Women in Serbia. </w:t>
      </w:r>
      <w:r w:rsidRPr="00BE0CE4">
        <w:rPr>
          <w:rFonts w:ascii="Times New Roman" w:hAnsi="Times New Roman" w:cs="Times New Roman"/>
          <w:i/>
          <w:iCs/>
          <w:noProof/>
          <w:sz w:val="24"/>
          <w:szCs w:val="24"/>
        </w:rPr>
        <w:t>Frontiers in Public Health</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9</w:t>
      </w:r>
      <w:r w:rsidRPr="00BE0CE4">
        <w:rPr>
          <w:rFonts w:ascii="Times New Roman" w:hAnsi="Times New Roman" w:cs="Times New Roman"/>
          <w:noProof/>
          <w:sz w:val="24"/>
          <w:szCs w:val="24"/>
        </w:rPr>
        <w:t>(April), 1–10. https://doi.org/10.3389/fpubh.2021.629051</w:t>
      </w:r>
    </w:p>
    <w:p w14:paraId="4CAEBFC6"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Mgaya, C. M., &amp; Mgonja, F. R. (2023). Assessment of Knowledge, Awareness, and Use of Family Planning Methods Among Residents in Iringa Municipality. </w:t>
      </w:r>
      <w:r w:rsidRPr="00BE0CE4">
        <w:rPr>
          <w:rFonts w:ascii="Times New Roman" w:hAnsi="Times New Roman" w:cs="Times New Roman"/>
          <w:i/>
          <w:iCs/>
          <w:noProof/>
          <w:sz w:val="24"/>
          <w:szCs w:val="24"/>
        </w:rPr>
        <w:t>International Research in Education</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11</w:t>
      </w:r>
      <w:r w:rsidRPr="00BE0CE4">
        <w:rPr>
          <w:rFonts w:ascii="Times New Roman" w:hAnsi="Times New Roman" w:cs="Times New Roman"/>
          <w:noProof/>
          <w:sz w:val="24"/>
          <w:szCs w:val="24"/>
        </w:rPr>
        <w:t>(1), 1. https://doi.org/10.5296/ire.v11i1.20678</w:t>
      </w:r>
    </w:p>
    <w:p w14:paraId="66FFFAF9"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Mhina, J. A. (2024). Awareness of Family Planning Services among Pregnant Women in Arumeru District , Tanzania : Implications for Public Health Interventions. </w:t>
      </w:r>
      <w:r w:rsidRPr="00BE0CE4">
        <w:rPr>
          <w:rFonts w:ascii="Times New Roman" w:hAnsi="Times New Roman" w:cs="Times New Roman"/>
          <w:i/>
          <w:iCs/>
          <w:noProof/>
          <w:sz w:val="24"/>
          <w:szCs w:val="24"/>
        </w:rPr>
        <w:t>South Asian Journal of Social Studies and Economics</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21</w:t>
      </w:r>
      <w:r w:rsidRPr="00BE0CE4">
        <w:rPr>
          <w:rFonts w:ascii="Times New Roman" w:hAnsi="Times New Roman" w:cs="Times New Roman"/>
          <w:noProof/>
          <w:sz w:val="24"/>
          <w:szCs w:val="24"/>
        </w:rPr>
        <w:t>(11), 111–121.</w:t>
      </w:r>
    </w:p>
    <w:p w14:paraId="054C1FD1"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Mhina, J. A., Mmari, S., Moh, J., Amini, N. S., &amp; Msuya, Z. K. (2025). Channels for Promoting Health Literacy on Family Planning Among Pregnant Women in Akheri Ward , Arumeru District. </w:t>
      </w:r>
      <w:r w:rsidRPr="00BE0CE4">
        <w:rPr>
          <w:rFonts w:ascii="Times New Roman" w:hAnsi="Times New Roman" w:cs="Times New Roman"/>
          <w:i/>
          <w:iCs/>
          <w:noProof/>
          <w:sz w:val="24"/>
          <w:szCs w:val="24"/>
        </w:rPr>
        <w:t>American Journal of Arts and Human</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4</w:t>
      </w:r>
      <w:r w:rsidRPr="00BE0CE4">
        <w:rPr>
          <w:rFonts w:ascii="Times New Roman" w:hAnsi="Times New Roman" w:cs="Times New Roman"/>
          <w:noProof/>
          <w:sz w:val="24"/>
          <w:szCs w:val="24"/>
        </w:rPr>
        <w:t>(1), 1–19.</w:t>
      </w:r>
    </w:p>
    <w:p w14:paraId="546D43FB"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Mulatu, T., Sintayehu, Y., Dessie, Y., &amp; Deressa, M. (2020). Modern Family Planning Utilization and Its Associated Factors among Currently Married Women in Rural Eastern Ethiopia: A Community-Based Study. </w:t>
      </w:r>
      <w:r w:rsidRPr="00BE0CE4">
        <w:rPr>
          <w:rFonts w:ascii="Times New Roman" w:hAnsi="Times New Roman" w:cs="Times New Roman"/>
          <w:i/>
          <w:iCs/>
          <w:noProof/>
          <w:sz w:val="24"/>
          <w:szCs w:val="24"/>
        </w:rPr>
        <w:t>BioMed Research International</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2020</w:t>
      </w:r>
      <w:r w:rsidRPr="00BE0CE4">
        <w:rPr>
          <w:rFonts w:ascii="Times New Roman" w:hAnsi="Times New Roman" w:cs="Times New Roman"/>
          <w:noProof/>
          <w:sz w:val="24"/>
          <w:szCs w:val="24"/>
        </w:rPr>
        <w:t>. https://doi.org/10.1155/2020/6096280</w:t>
      </w:r>
    </w:p>
    <w:p w14:paraId="7ED5D0B7"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Mushy, S. E., Tarimo, E. A. M., Fredrick Massae, A., &amp; Horiuchi, S. (2020). Barriers to the uptake of modern family planning methods among female youth of Temeke District in Dar es Salaam, Tanzania: A qualitative study. </w:t>
      </w:r>
      <w:r w:rsidRPr="00BE0CE4">
        <w:rPr>
          <w:rFonts w:ascii="Times New Roman" w:hAnsi="Times New Roman" w:cs="Times New Roman"/>
          <w:i/>
          <w:iCs/>
          <w:noProof/>
          <w:sz w:val="24"/>
          <w:szCs w:val="24"/>
        </w:rPr>
        <w:t>Sexual and Reproductive Healthcare</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24</w:t>
      </w:r>
      <w:r w:rsidRPr="00BE0CE4">
        <w:rPr>
          <w:rFonts w:ascii="Times New Roman" w:hAnsi="Times New Roman" w:cs="Times New Roman"/>
          <w:noProof/>
          <w:sz w:val="24"/>
          <w:szCs w:val="24"/>
        </w:rPr>
        <w:t>(6), 1–6. https://doi.org/10.1016/j.srhc.2020.100499</w:t>
      </w:r>
    </w:p>
    <w:p w14:paraId="6BB50932"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NBS. (2022). </w:t>
      </w:r>
      <w:r w:rsidRPr="00BE0CE4">
        <w:rPr>
          <w:rFonts w:ascii="Times New Roman" w:hAnsi="Times New Roman" w:cs="Times New Roman"/>
          <w:i/>
          <w:iCs/>
          <w:noProof/>
          <w:sz w:val="24"/>
          <w:szCs w:val="24"/>
        </w:rPr>
        <w:t>Tanzania Demographic and Health Survey and Malaria Indicator Survey 2022: Key Indicators Report. National Bureau of Statistics and ICF</w:t>
      </w:r>
      <w:r w:rsidRPr="00BE0CE4">
        <w:rPr>
          <w:rFonts w:ascii="Times New Roman" w:hAnsi="Times New Roman" w:cs="Times New Roman"/>
          <w:noProof/>
          <w:sz w:val="24"/>
          <w:szCs w:val="24"/>
        </w:rPr>
        <w:t>.</w:t>
      </w:r>
    </w:p>
    <w:p w14:paraId="1B2EA1CD"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Ngole, B. E., &amp; Joho, A. A. (2025). Factors Influencing Modern Family Planning Utilization and Barriers in Women of Reproductive Age in the Iringa Region, Tanzania: A Mixed-Methods Study. </w:t>
      </w:r>
      <w:r w:rsidRPr="00BE0CE4">
        <w:rPr>
          <w:rFonts w:ascii="Times New Roman" w:hAnsi="Times New Roman" w:cs="Times New Roman"/>
          <w:i/>
          <w:iCs/>
          <w:noProof/>
          <w:sz w:val="24"/>
          <w:szCs w:val="24"/>
        </w:rPr>
        <w:t>SAGE Open Nursing</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11</w:t>
      </w:r>
      <w:r w:rsidRPr="00BE0CE4">
        <w:rPr>
          <w:rFonts w:ascii="Times New Roman" w:hAnsi="Times New Roman" w:cs="Times New Roman"/>
          <w:noProof/>
          <w:sz w:val="24"/>
          <w:szCs w:val="24"/>
        </w:rPr>
        <w:t>(3), 1–12. https://doi.org/10.1177/23779608251313897</w:t>
      </w:r>
    </w:p>
    <w:p w14:paraId="6701F8D5"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Okonofua, F. E., Ntoimo, L. F. C., Adejumo, O. A., Imongan, W., Ogu, R. N., &amp; Anjorin, S. O. (2022). Assessment of Interventions in Primary Health Care for Improved Maternal, New-born and Child Health in Sub-Saharan Africa: A Systematic Review. </w:t>
      </w:r>
      <w:r w:rsidRPr="00BE0CE4">
        <w:rPr>
          <w:rFonts w:ascii="Times New Roman" w:hAnsi="Times New Roman" w:cs="Times New Roman"/>
          <w:i/>
          <w:iCs/>
          <w:noProof/>
          <w:sz w:val="24"/>
          <w:szCs w:val="24"/>
        </w:rPr>
        <w:t>SAGE Open</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12</w:t>
      </w:r>
      <w:r w:rsidRPr="00BE0CE4">
        <w:rPr>
          <w:rFonts w:ascii="Times New Roman" w:hAnsi="Times New Roman" w:cs="Times New Roman"/>
          <w:noProof/>
          <w:sz w:val="24"/>
          <w:szCs w:val="24"/>
        </w:rPr>
        <w:t>(4), 1–19. https://doi.org/10.1177/21582440221134222</w:t>
      </w:r>
    </w:p>
    <w:p w14:paraId="51B3E888"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Oumer, M., Manaye, A., &amp; Mengistu, Z. (2020). Modern Contraceptive Method Utilization and Associated Factors Among Women of Reproductive Age in Gondar City, Northwest Ethiopia. </w:t>
      </w:r>
      <w:r w:rsidRPr="00BE0CE4">
        <w:rPr>
          <w:rFonts w:ascii="Times New Roman" w:hAnsi="Times New Roman" w:cs="Times New Roman"/>
          <w:i/>
          <w:iCs/>
          <w:noProof/>
          <w:sz w:val="24"/>
          <w:szCs w:val="24"/>
        </w:rPr>
        <w:t>Open Access Journal of Contraception</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Volume 11</w:t>
      </w:r>
      <w:r w:rsidRPr="00BE0CE4">
        <w:rPr>
          <w:rFonts w:ascii="Times New Roman" w:hAnsi="Times New Roman" w:cs="Times New Roman"/>
          <w:noProof/>
          <w:sz w:val="24"/>
          <w:szCs w:val="24"/>
        </w:rPr>
        <w:t>(1), 53–67. https://doi.org/10.2147/oajc.s252970</w:t>
      </w:r>
    </w:p>
    <w:p w14:paraId="7DEC8B7C"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Prasad, N., Mwakatundu, N., Dominico, S., Masako, P., Mongo, W., Mwanshemele, Y., Maro, </w:t>
      </w:r>
      <w:r w:rsidRPr="00BE0CE4">
        <w:rPr>
          <w:rFonts w:ascii="Times New Roman" w:hAnsi="Times New Roman" w:cs="Times New Roman"/>
          <w:noProof/>
          <w:sz w:val="24"/>
          <w:szCs w:val="24"/>
        </w:rPr>
        <w:lastRenderedPageBreak/>
        <w:t xml:space="preserve">G., Subi, L., Chaote, P., Rusibamayila, N., Ruiz, A., Schmidt, K., Kasanga, M. G., Lobis, S., &amp; Serbanescu, F. (2022). Improving Maternal and Reproductive Health in Kigoma, Tanzania: A 13-Year Initiative. </w:t>
      </w:r>
      <w:r w:rsidRPr="00BE0CE4">
        <w:rPr>
          <w:rFonts w:ascii="Times New Roman" w:hAnsi="Times New Roman" w:cs="Times New Roman"/>
          <w:i/>
          <w:iCs/>
          <w:noProof/>
          <w:sz w:val="24"/>
          <w:szCs w:val="24"/>
        </w:rPr>
        <w:t>Global Health Science and Practice</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10</w:t>
      </w:r>
      <w:r w:rsidRPr="00BE0CE4">
        <w:rPr>
          <w:rFonts w:ascii="Times New Roman" w:hAnsi="Times New Roman" w:cs="Times New Roman"/>
          <w:noProof/>
          <w:sz w:val="24"/>
          <w:szCs w:val="24"/>
        </w:rPr>
        <w:t>(2), 1–17. https://doi.org/10.9745/GHSP-D-21-00484</w:t>
      </w:r>
    </w:p>
    <w:p w14:paraId="76B00B54"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Speizer, I. S., Bremner, J., &amp; Farid, S. (2022). Language and Measurement of Contraceptive Need and Making These Indicators More Meaningful for Measuring Fertility Intentions of Women and Girls. </w:t>
      </w:r>
      <w:r w:rsidRPr="00BE0CE4">
        <w:rPr>
          <w:rFonts w:ascii="Times New Roman" w:hAnsi="Times New Roman" w:cs="Times New Roman"/>
          <w:i/>
          <w:iCs/>
          <w:noProof/>
          <w:sz w:val="24"/>
          <w:szCs w:val="24"/>
        </w:rPr>
        <w:t>Global Health Science and Practice</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10</w:t>
      </w:r>
      <w:r w:rsidRPr="00BE0CE4">
        <w:rPr>
          <w:rFonts w:ascii="Times New Roman" w:hAnsi="Times New Roman" w:cs="Times New Roman"/>
          <w:noProof/>
          <w:sz w:val="24"/>
          <w:szCs w:val="24"/>
        </w:rPr>
        <w:t>(1), 1–8. https://doi.org/10.9745/GHSP-D-21-00450</w:t>
      </w:r>
    </w:p>
    <w:p w14:paraId="5AAF9C4F"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Svendsen, M. T., Bak, C. K., Sørensen, K., Pelikan, J., Riddersholm, S. J., Skals, R. K., Mortensen, R. N., Maindal, H. T., Bøggild, H., Nielsen, G., &amp; Torp-Pedersen, C. (2020). Associations of health literacy with socioeconomic position, health risk behavior, and health status: A large national population-based survey among Danish adults. </w:t>
      </w:r>
      <w:r w:rsidRPr="00BE0CE4">
        <w:rPr>
          <w:rFonts w:ascii="Times New Roman" w:hAnsi="Times New Roman" w:cs="Times New Roman"/>
          <w:i/>
          <w:iCs/>
          <w:noProof/>
          <w:sz w:val="24"/>
          <w:szCs w:val="24"/>
        </w:rPr>
        <w:t>BMC Public Health</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20</w:t>
      </w:r>
      <w:r w:rsidRPr="00BE0CE4">
        <w:rPr>
          <w:rFonts w:ascii="Times New Roman" w:hAnsi="Times New Roman" w:cs="Times New Roman"/>
          <w:noProof/>
          <w:sz w:val="24"/>
          <w:szCs w:val="24"/>
        </w:rPr>
        <w:t>(1), 1–12. https://doi.org/10.1186/s12889-020-08498-8</w:t>
      </w:r>
    </w:p>
    <w:p w14:paraId="1E0C7A36"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E0CE4">
        <w:rPr>
          <w:rFonts w:ascii="Times New Roman" w:hAnsi="Times New Roman" w:cs="Times New Roman"/>
          <w:noProof/>
          <w:sz w:val="24"/>
          <w:szCs w:val="24"/>
        </w:rPr>
        <w:t xml:space="preserve">Towongo, M. F., &amp; Kelepile, M. (2024). Prevalence, distribution and factors associated with modern contraceptive use among women of reproductive age in Uganda: evidence from UDHS 2016. </w:t>
      </w:r>
      <w:r w:rsidRPr="00BE0CE4">
        <w:rPr>
          <w:rFonts w:ascii="Times New Roman" w:hAnsi="Times New Roman" w:cs="Times New Roman"/>
          <w:i/>
          <w:iCs/>
          <w:noProof/>
          <w:sz w:val="24"/>
          <w:szCs w:val="24"/>
        </w:rPr>
        <w:t>Contraception and Reproductive Medicine</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9</w:t>
      </w:r>
      <w:r w:rsidRPr="00BE0CE4">
        <w:rPr>
          <w:rFonts w:ascii="Times New Roman" w:hAnsi="Times New Roman" w:cs="Times New Roman"/>
          <w:noProof/>
          <w:sz w:val="24"/>
          <w:szCs w:val="24"/>
        </w:rPr>
        <w:t>(1), 1–17. https://doi.org/10.1186/s40834-024-00288-6</w:t>
      </w:r>
    </w:p>
    <w:p w14:paraId="5FB93897" w14:textId="77777777" w:rsidR="008E4716" w:rsidRPr="00BE0CE4" w:rsidRDefault="008E4716" w:rsidP="00BD6819">
      <w:pPr>
        <w:widowControl w:val="0"/>
        <w:autoSpaceDE w:val="0"/>
        <w:autoSpaceDN w:val="0"/>
        <w:adjustRightInd w:val="0"/>
        <w:spacing w:line="240" w:lineRule="auto"/>
        <w:ind w:left="480" w:hanging="480"/>
        <w:jc w:val="both"/>
        <w:rPr>
          <w:rFonts w:ascii="Times New Roman" w:hAnsi="Times New Roman" w:cs="Times New Roman"/>
          <w:noProof/>
          <w:sz w:val="24"/>
        </w:rPr>
      </w:pPr>
      <w:r w:rsidRPr="00BE0CE4">
        <w:rPr>
          <w:rFonts w:ascii="Times New Roman" w:hAnsi="Times New Roman" w:cs="Times New Roman"/>
          <w:noProof/>
          <w:sz w:val="24"/>
          <w:szCs w:val="24"/>
        </w:rPr>
        <w:t xml:space="preserve">Yamane, Y. (1967). Sample Size Determination Formula. </w:t>
      </w:r>
      <w:r w:rsidRPr="00BE0CE4">
        <w:rPr>
          <w:rFonts w:ascii="Times New Roman" w:hAnsi="Times New Roman" w:cs="Times New Roman"/>
          <w:i/>
          <w:iCs/>
          <w:noProof/>
          <w:sz w:val="24"/>
          <w:szCs w:val="24"/>
        </w:rPr>
        <w:t>Journal of Scientific Research and Reports</w:t>
      </w:r>
      <w:r w:rsidRPr="00BE0CE4">
        <w:rPr>
          <w:rFonts w:ascii="Times New Roman" w:hAnsi="Times New Roman" w:cs="Times New Roman"/>
          <w:noProof/>
          <w:sz w:val="24"/>
          <w:szCs w:val="24"/>
        </w:rPr>
        <w:t xml:space="preserve">, </w:t>
      </w:r>
      <w:r w:rsidRPr="00BE0CE4">
        <w:rPr>
          <w:rFonts w:ascii="Times New Roman" w:hAnsi="Times New Roman" w:cs="Times New Roman"/>
          <w:i/>
          <w:iCs/>
          <w:noProof/>
          <w:sz w:val="24"/>
          <w:szCs w:val="24"/>
        </w:rPr>
        <w:t>3</w:t>
      </w:r>
      <w:r w:rsidRPr="00BE0CE4">
        <w:rPr>
          <w:rFonts w:ascii="Times New Roman" w:hAnsi="Times New Roman" w:cs="Times New Roman"/>
          <w:noProof/>
          <w:sz w:val="24"/>
          <w:szCs w:val="24"/>
        </w:rPr>
        <w:t>(4), 1–12. https://doi.org/10.9734/jsrr/2020/v26i530263</w:t>
      </w:r>
    </w:p>
    <w:p w14:paraId="5FBCE3ED" w14:textId="77777777" w:rsidR="00821DF5" w:rsidRPr="00BE0CE4" w:rsidRDefault="00821DF5" w:rsidP="00BD6819">
      <w:pPr>
        <w:pStyle w:val="ListParagraph"/>
        <w:jc w:val="both"/>
        <w:rPr>
          <w:rFonts w:ascii="Times New Roman" w:hAnsi="Times New Roman" w:cs="Times New Roman"/>
          <w:b/>
          <w:sz w:val="24"/>
          <w:szCs w:val="24"/>
        </w:rPr>
      </w:pPr>
      <w:r w:rsidRPr="00BE0CE4">
        <w:rPr>
          <w:rFonts w:ascii="Times New Roman" w:hAnsi="Times New Roman" w:cs="Times New Roman"/>
          <w:b/>
          <w:sz w:val="24"/>
          <w:szCs w:val="24"/>
        </w:rPr>
        <w:fldChar w:fldCharType="end"/>
      </w:r>
    </w:p>
    <w:sectPr w:rsidR="00821DF5" w:rsidRPr="00BE0CE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1C4F7" w14:textId="77777777" w:rsidR="007F76B7" w:rsidRDefault="007F76B7" w:rsidP="00AF5C72">
      <w:pPr>
        <w:spacing w:after="0" w:line="240" w:lineRule="auto"/>
      </w:pPr>
      <w:r>
        <w:separator/>
      </w:r>
    </w:p>
  </w:endnote>
  <w:endnote w:type="continuationSeparator" w:id="0">
    <w:p w14:paraId="320E37C4" w14:textId="77777777" w:rsidR="007F76B7" w:rsidRDefault="007F76B7" w:rsidP="00AF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683B" w14:textId="77777777" w:rsidR="00ED0B85" w:rsidRDefault="00ED0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466375"/>
      <w:docPartObj>
        <w:docPartGallery w:val="Page Numbers (Bottom of Page)"/>
        <w:docPartUnique/>
      </w:docPartObj>
    </w:sdtPr>
    <w:sdtEndPr>
      <w:rPr>
        <w:noProof/>
      </w:rPr>
    </w:sdtEndPr>
    <w:sdtContent>
      <w:p w14:paraId="59F75CD9" w14:textId="35B3E91B" w:rsidR="00AF5C72" w:rsidRDefault="00AF5C72">
        <w:pPr>
          <w:pStyle w:val="Footer"/>
          <w:jc w:val="center"/>
        </w:pPr>
        <w:r>
          <w:fldChar w:fldCharType="begin"/>
        </w:r>
        <w:r>
          <w:instrText xml:space="preserve"> PAGE   \* MERGEFORMAT </w:instrText>
        </w:r>
        <w:r>
          <w:fldChar w:fldCharType="separate"/>
        </w:r>
        <w:r w:rsidR="00E41F40">
          <w:rPr>
            <w:noProof/>
          </w:rPr>
          <w:t>9</w:t>
        </w:r>
        <w:r>
          <w:rPr>
            <w:noProof/>
          </w:rPr>
          <w:fldChar w:fldCharType="end"/>
        </w:r>
      </w:p>
    </w:sdtContent>
  </w:sdt>
  <w:p w14:paraId="01B1C97A" w14:textId="77777777" w:rsidR="00AF5C72" w:rsidRDefault="00AF5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5795" w14:textId="77777777" w:rsidR="00ED0B85" w:rsidRDefault="00ED0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AA55C" w14:textId="77777777" w:rsidR="007F76B7" w:rsidRDefault="007F76B7" w:rsidP="00AF5C72">
      <w:pPr>
        <w:spacing w:after="0" w:line="240" w:lineRule="auto"/>
      </w:pPr>
      <w:r>
        <w:separator/>
      </w:r>
    </w:p>
  </w:footnote>
  <w:footnote w:type="continuationSeparator" w:id="0">
    <w:p w14:paraId="245C958E" w14:textId="77777777" w:rsidR="007F76B7" w:rsidRDefault="007F76B7" w:rsidP="00AF5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C7D6" w14:textId="008693F6" w:rsidR="00ED0B85" w:rsidRDefault="00ED0B85">
    <w:pPr>
      <w:pStyle w:val="Header"/>
    </w:pPr>
    <w:r>
      <w:rPr>
        <w:noProof/>
      </w:rPr>
      <w:pict w14:anchorId="31896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64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AC8DD" w14:textId="49F8F6CD" w:rsidR="00ED0B85" w:rsidRDefault="00ED0B85">
    <w:pPr>
      <w:pStyle w:val="Header"/>
    </w:pPr>
    <w:r>
      <w:rPr>
        <w:noProof/>
      </w:rPr>
      <w:pict w14:anchorId="00EAC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64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58FB" w14:textId="4E6B28E8" w:rsidR="00ED0B85" w:rsidRDefault="00ED0B85">
    <w:pPr>
      <w:pStyle w:val="Header"/>
    </w:pPr>
    <w:r>
      <w:rPr>
        <w:noProof/>
      </w:rPr>
      <w:pict w14:anchorId="1CDC6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64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11C7"/>
    <w:multiLevelType w:val="multilevel"/>
    <w:tmpl w:val="6056288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D4C2CDE"/>
    <w:multiLevelType w:val="multilevel"/>
    <w:tmpl w:val="0074CCF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ytTA0NrC0NLEwMzdQ0lEKTi0uzszPAykwrAUAdsLeXiwAAAA="/>
  </w:docVars>
  <w:rsids>
    <w:rsidRoot w:val="00D20E16"/>
    <w:rsid w:val="00016DC3"/>
    <w:rsid w:val="001071A2"/>
    <w:rsid w:val="00114E0E"/>
    <w:rsid w:val="001B3CEC"/>
    <w:rsid w:val="001B63A8"/>
    <w:rsid w:val="00221BB7"/>
    <w:rsid w:val="00247CB8"/>
    <w:rsid w:val="00275A4D"/>
    <w:rsid w:val="002C6185"/>
    <w:rsid w:val="002E0592"/>
    <w:rsid w:val="00311C47"/>
    <w:rsid w:val="00383373"/>
    <w:rsid w:val="003A6214"/>
    <w:rsid w:val="003B556C"/>
    <w:rsid w:val="003E61D7"/>
    <w:rsid w:val="00417325"/>
    <w:rsid w:val="004259E9"/>
    <w:rsid w:val="00427B69"/>
    <w:rsid w:val="004D438E"/>
    <w:rsid w:val="004D54C9"/>
    <w:rsid w:val="00514D6A"/>
    <w:rsid w:val="00524005"/>
    <w:rsid w:val="0057456B"/>
    <w:rsid w:val="005C1E43"/>
    <w:rsid w:val="005C3B79"/>
    <w:rsid w:val="005F3988"/>
    <w:rsid w:val="00685B51"/>
    <w:rsid w:val="006C33D7"/>
    <w:rsid w:val="006D20D7"/>
    <w:rsid w:val="00710D59"/>
    <w:rsid w:val="00725983"/>
    <w:rsid w:val="0076725B"/>
    <w:rsid w:val="00785FFE"/>
    <w:rsid w:val="007E0293"/>
    <w:rsid w:val="007F76B7"/>
    <w:rsid w:val="00814B5F"/>
    <w:rsid w:val="008201EB"/>
    <w:rsid w:val="00821DF5"/>
    <w:rsid w:val="00841ADD"/>
    <w:rsid w:val="008E4716"/>
    <w:rsid w:val="00905B5B"/>
    <w:rsid w:val="009303AC"/>
    <w:rsid w:val="009B6D52"/>
    <w:rsid w:val="009D3747"/>
    <w:rsid w:val="00A2403E"/>
    <w:rsid w:val="00A82533"/>
    <w:rsid w:val="00AF5C72"/>
    <w:rsid w:val="00B32B9E"/>
    <w:rsid w:val="00B35760"/>
    <w:rsid w:val="00BD6819"/>
    <w:rsid w:val="00BE0CE4"/>
    <w:rsid w:val="00BF4BB6"/>
    <w:rsid w:val="00C429B3"/>
    <w:rsid w:val="00D20E16"/>
    <w:rsid w:val="00D311B8"/>
    <w:rsid w:val="00D5205A"/>
    <w:rsid w:val="00D92891"/>
    <w:rsid w:val="00DE28FF"/>
    <w:rsid w:val="00E41F40"/>
    <w:rsid w:val="00E44BBE"/>
    <w:rsid w:val="00E61E26"/>
    <w:rsid w:val="00EC7A47"/>
    <w:rsid w:val="00ED0B85"/>
    <w:rsid w:val="00F00FC5"/>
    <w:rsid w:val="00F01BCD"/>
    <w:rsid w:val="00F027E6"/>
    <w:rsid w:val="00F5764B"/>
    <w:rsid w:val="00F73248"/>
    <w:rsid w:val="00FD1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1021ED"/>
  <w15:chartTrackingRefBased/>
  <w15:docId w15:val="{284A261E-09AD-44C5-A3E8-8D272ACC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BB7"/>
    <w:pPr>
      <w:ind w:left="720"/>
      <w:contextualSpacing/>
    </w:pPr>
  </w:style>
  <w:style w:type="table" w:styleId="TableGrid">
    <w:name w:val="Table Grid"/>
    <w:basedOn w:val="TableNormal"/>
    <w:uiPriority w:val="59"/>
    <w:rsid w:val="00F00FC5"/>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7A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C7A47"/>
    <w:rPr>
      <w:i/>
      <w:iCs/>
    </w:rPr>
  </w:style>
  <w:style w:type="character" w:styleId="Strong">
    <w:name w:val="Strong"/>
    <w:basedOn w:val="DefaultParagraphFont"/>
    <w:uiPriority w:val="22"/>
    <w:qFormat/>
    <w:rsid w:val="00EC7A47"/>
    <w:rPr>
      <w:b/>
      <w:bCs/>
    </w:rPr>
  </w:style>
  <w:style w:type="paragraph" w:styleId="Header">
    <w:name w:val="header"/>
    <w:basedOn w:val="Normal"/>
    <w:link w:val="HeaderChar"/>
    <w:uiPriority w:val="99"/>
    <w:unhideWhenUsed/>
    <w:rsid w:val="00AF5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C72"/>
  </w:style>
  <w:style w:type="paragraph" w:styleId="Footer">
    <w:name w:val="footer"/>
    <w:basedOn w:val="Normal"/>
    <w:link w:val="FooterChar"/>
    <w:uiPriority w:val="99"/>
    <w:unhideWhenUsed/>
    <w:rsid w:val="00AF5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C72"/>
  </w:style>
  <w:style w:type="character" w:styleId="Hyperlink">
    <w:name w:val="Hyperlink"/>
    <w:basedOn w:val="DefaultParagraphFont"/>
    <w:uiPriority w:val="99"/>
    <w:unhideWhenUsed/>
    <w:rsid w:val="009D3747"/>
    <w:rPr>
      <w:color w:val="0563C1" w:themeColor="hyperlink"/>
      <w:u w:val="single"/>
    </w:rPr>
  </w:style>
  <w:style w:type="character" w:customStyle="1" w:styleId="UnresolvedMention1">
    <w:name w:val="Unresolved Mention1"/>
    <w:basedOn w:val="DefaultParagraphFont"/>
    <w:uiPriority w:val="99"/>
    <w:semiHidden/>
    <w:unhideWhenUsed/>
    <w:rsid w:val="009D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0606">
      <w:bodyDiv w:val="1"/>
      <w:marLeft w:val="0"/>
      <w:marRight w:val="0"/>
      <w:marTop w:val="0"/>
      <w:marBottom w:val="0"/>
      <w:divBdr>
        <w:top w:val="none" w:sz="0" w:space="0" w:color="auto"/>
        <w:left w:val="none" w:sz="0" w:space="0" w:color="auto"/>
        <w:bottom w:val="none" w:sz="0" w:space="0" w:color="auto"/>
        <w:right w:val="none" w:sz="0" w:space="0" w:color="auto"/>
      </w:divBdr>
    </w:div>
    <w:div w:id="96802132">
      <w:bodyDiv w:val="1"/>
      <w:marLeft w:val="0"/>
      <w:marRight w:val="0"/>
      <w:marTop w:val="0"/>
      <w:marBottom w:val="0"/>
      <w:divBdr>
        <w:top w:val="none" w:sz="0" w:space="0" w:color="auto"/>
        <w:left w:val="none" w:sz="0" w:space="0" w:color="auto"/>
        <w:bottom w:val="none" w:sz="0" w:space="0" w:color="auto"/>
        <w:right w:val="none" w:sz="0" w:space="0" w:color="auto"/>
      </w:divBdr>
    </w:div>
    <w:div w:id="263344878">
      <w:bodyDiv w:val="1"/>
      <w:marLeft w:val="0"/>
      <w:marRight w:val="0"/>
      <w:marTop w:val="0"/>
      <w:marBottom w:val="0"/>
      <w:divBdr>
        <w:top w:val="none" w:sz="0" w:space="0" w:color="auto"/>
        <w:left w:val="none" w:sz="0" w:space="0" w:color="auto"/>
        <w:bottom w:val="none" w:sz="0" w:space="0" w:color="auto"/>
        <w:right w:val="none" w:sz="0" w:space="0" w:color="auto"/>
      </w:divBdr>
    </w:div>
    <w:div w:id="541211614">
      <w:bodyDiv w:val="1"/>
      <w:marLeft w:val="0"/>
      <w:marRight w:val="0"/>
      <w:marTop w:val="0"/>
      <w:marBottom w:val="0"/>
      <w:divBdr>
        <w:top w:val="none" w:sz="0" w:space="0" w:color="auto"/>
        <w:left w:val="none" w:sz="0" w:space="0" w:color="auto"/>
        <w:bottom w:val="none" w:sz="0" w:space="0" w:color="auto"/>
        <w:right w:val="none" w:sz="0" w:space="0" w:color="auto"/>
      </w:divBdr>
    </w:div>
    <w:div w:id="1050616721">
      <w:bodyDiv w:val="1"/>
      <w:marLeft w:val="0"/>
      <w:marRight w:val="0"/>
      <w:marTop w:val="0"/>
      <w:marBottom w:val="0"/>
      <w:divBdr>
        <w:top w:val="none" w:sz="0" w:space="0" w:color="auto"/>
        <w:left w:val="none" w:sz="0" w:space="0" w:color="auto"/>
        <w:bottom w:val="none" w:sz="0" w:space="0" w:color="auto"/>
        <w:right w:val="none" w:sz="0" w:space="0" w:color="auto"/>
      </w:divBdr>
    </w:div>
    <w:div w:id="1455295153">
      <w:bodyDiv w:val="1"/>
      <w:marLeft w:val="0"/>
      <w:marRight w:val="0"/>
      <w:marTop w:val="0"/>
      <w:marBottom w:val="0"/>
      <w:divBdr>
        <w:top w:val="none" w:sz="0" w:space="0" w:color="auto"/>
        <w:left w:val="none" w:sz="0" w:space="0" w:color="auto"/>
        <w:bottom w:val="none" w:sz="0" w:space="0" w:color="auto"/>
        <w:right w:val="none" w:sz="0" w:space="0" w:color="auto"/>
      </w:divBdr>
    </w:div>
    <w:div w:id="1563635323">
      <w:bodyDiv w:val="1"/>
      <w:marLeft w:val="0"/>
      <w:marRight w:val="0"/>
      <w:marTop w:val="0"/>
      <w:marBottom w:val="0"/>
      <w:divBdr>
        <w:top w:val="none" w:sz="0" w:space="0" w:color="auto"/>
        <w:left w:val="none" w:sz="0" w:space="0" w:color="auto"/>
        <w:bottom w:val="none" w:sz="0" w:space="0" w:color="auto"/>
        <w:right w:val="none" w:sz="0" w:space="0" w:color="auto"/>
      </w:divBdr>
    </w:div>
    <w:div w:id="1567298389">
      <w:bodyDiv w:val="1"/>
      <w:marLeft w:val="0"/>
      <w:marRight w:val="0"/>
      <w:marTop w:val="0"/>
      <w:marBottom w:val="0"/>
      <w:divBdr>
        <w:top w:val="none" w:sz="0" w:space="0" w:color="auto"/>
        <w:left w:val="none" w:sz="0" w:space="0" w:color="auto"/>
        <w:bottom w:val="none" w:sz="0" w:space="0" w:color="auto"/>
        <w:right w:val="none" w:sz="0" w:space="0" w:color="auto"/>
      </w:divBdr>
    </w:div>
    <w:div w:id="1579556339">
      <w:bodyDiv w:val="1"/>
      <w:marLeft w:val="0"/>
      <w:marRight w:val="0"/>
      <w:marTop w:val="0"/>
      <w:marBottom w:val="0"/>
      <w:divBdr>
        <w:top w:val="none" w:sz="0" w:space="0" w:color="auto"/>
        <w:left w:val="none" w:sz="0" w:space="0" w:color="auto"/>
        <w:bottom w:val="none" w:sz="0" w:space="0" w:color="auto"/>
        <w:right w:val="none" w:sz="0" w:space="0" w:color="auto"/>
      </w:divBdr>
    </w:div>
    <w:div w:id="1904171312">
      <w:bodyDiv w:val="1"/>
      <w:marLeft w:val="0"/>
      <w:marRight w:val="0"/>
      <w:marTop w:val="0"/>
      <w:marBottom w:val="0"/>
      <w:divBdr>
        <w:top w:val="none" w:sz="0" w:space="0" w:color="auto"/>
        <w:left w:val="none" w:sz="0" w:space="0" w:color="auto"/>
        <w:bottom w:val="none" w:sz="0" w:space="0" w:color="auto"/>
        <w:right w:val="none" w:sz="0" w:space="0" w:color="auto"/>
      </w:divBdr>
    </w:div>
    <w:div w:id="19409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DOES HEALTH LITERACY INFLUENCE THE USE OF FAMILY PLANNING SERVICES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Sheet1!$C$35:$D$35</c:f>
              <c:strCache>
                <c:ptCount val="2"/>
                <c:pt idx="0">
                  <c:v>Yes</c:v>
                </c:pt>
                <c:pt idx="1">
                  <c:v>255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Sheet1!$E$34:$H$34</c:f>
              <c:strCache>
                <c:ptCount val="3"/>
                <c:pt idx="0">
                  <c:v>Frequency</c:v>
                </c:pt>
                <c:pt idx="2">
                  <c:v>Percent</c:v>
                </c:pt>
              </c:strCache>
            </c:strRef>
          </c:cat>
          <c:val>
            <c:numRef>
              <c:f>Sheet1!$E$35:$H$35</c:f>
              <c:numCache>
                <c:formatCode>General</c:formatCode>
                <c:ptCount val="4"/>
                <c:pt idx="1">
                  <c:v>94.8</c:v>
                </c:pt>
              </c:numCache>
            </c:numRef>
          </c:val>
          <c:extLst>
            <c:ext xmlns:c16="http://schemas.microsoft.com/office/drawing/2014/chart" uri="{C3380CC4-5D6E-409C-BE32-E72D297353CC}">
              <c16:uniqueId val="{00000000-79ED-4DFC-8957-0B918B0D9A12}"/>
            </c:ext>
          </c:extLst>
        </c:ser>
        <c:ser>
          <c:idx val="1"/>
          <c:order val="1"/>
          <c:tx>
            <c:strRef>
              <c:f>Sheet1!$C$36:$D$36</c:f>
              <c:strCache>
                <c:ptCount val="2"/>
                <c:pt idx="0">
                  <c:v>No</c:v>
                </c:pt>
                <c:pt idx="1">
                  <c:v>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Sheet1!$E$34:$H$34</c:f>
              <c:strCache>
                <c:ptCount val="3"/>
                <c:pt idx="0">
                  <c:v>Frequency</c:v>
                </c:pt>
                <c:pt idx="2">
                  <c:v>Percent</c:v>
                </c:pt>
              </c:strCache>
            </c:strRef>
          </c:cat>
          <c:val>
            <c:numRef>
              <c:f>Sheet1!$E$36:$H$36</c:f>
              <c:numCache>
                <c:formatCode>General</c:formatCode>
                <c:ptCount val="4"/>
                <c:pt idx="1">
                  <c:v>5.2</c:v>
                </c:pt>
              </c:numCache>
            </c:numRef>
          </c:val>
          <c:extLst>
            <c:ext xmlns:c16="http://schemas.microsoft.com/office/drawing/2014/chart" uri="{C3380CC4-5D6E-409C-BE32-E72D297353CC}">
              <c16:uniqueId val="{00000001-79ED-4DFC-8957-0B918B0D9A12}"/>
            </c:ext>
          </c:extLst>
        </c:ser>
        <c:ser>
          <c:idx val="2"/>
          <c:order val="2"/>
          <c:tx>
            <c:strRef>
              <c:f>Sheet1!$C$37:$D$37</c:f>
              <c:strCache>
                <c:ptCount val="2"/>
                <c:pt idx="0">
                  <c:v>Total</c:v>
                </c:pt>
                <c:pt idx="1">
                  <c:v>269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Sheet1!$E$34:$H$34</c:f>
              <c:strCache>
                <c:ptCount val="3"/>
                <c:pt idx="0">
                  <c:v>Frequency</c:v>
                </c:pt>
                <c:pt idx="2">
                  <c:v>Percent</c:v>
                </c:pt>
              </c:strCache>
            </c:strRef>
          </c:cat>
          <c:val>
            <c:numRef>
              <c:f>Sheet1!$E$37:$H$37</c:f>
              <c:numCache>
                <c:formatCode>General</c:formatCode>
                <c:ptCount val="4"/>
                <c:pt idx="1">
                  <c:v>100</c:v>
                </c:pt>
              </c:numCache>
            </c:numRef>
          </c:val>
          <c:extLst>
            <c:ext xmlns:c16="http://schemas.microsoft.com/office/drawing/2014/chart" uri="{C3380CC4-5D6E-409C-BE32-E72D297353CC}">
              <c16:uniqueId val="{00000002-79ED-4DFC-8957-0B918B0D9A12}"/>
            </c:ext>
          </c:extLst>
        </c:ser>
        <c:dLbls>
          <c:dLblPos val="outEnd"/>
          <c:showLegendKey val="0"/>
          <c:showVal val="1"/>
          <c:showCatName val="0"/>
          <c:showSerName val="0"/>
          <c:showPercent val="0"/>
          <c:showBubbleSize val="0"/>
        </c:dLbls>
        <c:gapWidth val="219"/>
        <c:overlap val="-27"/>
        <c:axId val="283676160"/>
        <c:axId val="283676552"/>
      </c:barChart>
      <c:catAx>
        <c:axId val="28367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76552"/>
        <c:crosses val="autoZero"/>
        <c:auto val="1"/>
        <c:lblAlgn val="ctr"/>
        <c:lblOffset val="100"/>
        <c:noMultiLvlLbl val="0"/>
      </c:catAx>
      <c:valAx>
        <c:axId val="283676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7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r>
              <a:rPr lang="en-US" sz="1400" b="0" i="0" u="none" strike="noStrike" cap="all" normalizeH="0" baseline="0">
                <a:effectLst/>
                <a:latin typeface="Times New Roman" panose="02020603050405020304" pitchFamily="18" charset="0"/>
                <a:cs typeface="Times New Roman" panose="02020603050405020304" pitchFamily="18" charset="0"/>
              </a:rPr>
              <a:t>THE extent does health literacy influence the use of family planning services</a:t>
            </a:r>
            <a:endParaRPr lang="en-US" sz="14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Sheet1!$D$25</c:f>
              <c:strCache>
                <c:ptCount val="1"/>
                <c:pt idx="0">
                  <c:v>Frequency</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Sheet1!$B$26:$C$33</c:f>
              <c:multiLvlStrCache>
                <c:ptCount val="8"/>
                <c:lvl>
                  <c:pt idx="0">
                    <c:v>77</c:v>
                  </c:pt>
                  <c:pt idx="1">
                    <c:v>105</c:v>
                  </c:pt>
                  <c:pt idx="2">
                    <c:v>79</c:v>
                  </c:pt>
                  <c:pt idx="3">
                    <c:v>3</c:v>
                  </c:pt>
                  <c:pt idx="4">
                    <c:v>1</c:v>
                  </c:pt>
                  <c:pt idx="5">
                    <c:v>265</c:v>
                  </c:pt>
                  <c:pt idx="6">
                    <c:v>4</c:v>
                  </c:pt>
                </c:lvl>
                <c:lvl>
                  <c:pt idx="0">
                    <c:v>Very great</c:v>
                  </c:pt>
                  <c:pt idx="1">
                    <c:v>Great</c:v>
                  </c:pt>
                  <c:pt idx="2">
                    <c:v>Medium</c:v>
                  </c:pt>
                  <c:pt idx="3">
                    <c:v>Little</c:v>
                  </c:pt>
                  <c:pt idx="4">
                    <c:v>Not at all</c:v>
                  </c:pt>
                  <c:pt idx="5">
                    <c:v>Total</c:v>
                  </c:pt>
                  <c:pt idx="6">
                    <c:v>System</c:v>
                  </c:pt>
                  <c:pt idx="7">
                    <c:v>Total</c:v>
                  </c:pt>
                </c:lvl>
              </c:multiLvlStrCache>
            </c:multiLvlStrRef>
          </c:cat>
          <c:val>
            <c:numRef>
              <c:f>Sheet1!$D$26:$D$33</c:f>
              <c:numCache>
                <c:formatCode>General</c:formatCode>
                <c:ptCount val="8"/>
                <c:pt idx="7">
                  <c:v>269</c:v>
                </c:pt>
              </c:numCache>
            </c:numRef>
          </c:val>
          <c:extLst>
            <c:ext xmlns:c16="http://schemas.microsoft.com/office/drawing/2014/chart" uri="{C3380CC4-5D6E-409C-BE32-E72D297353CC}">
              <c16:uniqueId val="{00000000-D1C3-458B-A6BB-0D297EA76F94}"/>
            </c:ext>
          </c:extLst>
        </c:ser>
        <c:ser>
          <c:idx val="1"/>
          <c:order val="1"/>
          <c:tx>
            <c:strRef>
              <c:f>Sheet1!$E$25</c:f>
              <c:strCache>
                <c:ptCount val="1"/>
              </c:strCache>
            </c:strRef>
          </c:tx>
          <c:spPr>
            <a:solidFill>
              <a:schemeClr val="accent5"/>
            </a:solidFill>
            <a:ln>
              <a:noFill/>
            </a:ln>
            <a:effectLst/>
            <a:sp3d/>
          </c:spPr>
          <c:invertIfNegative val="0"/>
          <c:dLbls>
            <c:dLbl>
              <c:idx val="0"/>
              <c:layout>
                <c:manualLayout>
                  <c:x val="6.2682824905975574E-3"/>
                  <c:y val="-2.8761459644076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C3-458B-A6BB-0D297EA76F94}"/>
                </c:ext>
              </c:extLst>
            </c:dLbl>
            <c:dLbl>
              <c:idx val="1"/>
              <c:layout>
                <c:manualLayout>
                  <c:x val="6.2682824905975383E-3"/>
                  <c:y val="-2.87614596440770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C3-458B-A6BB-0D297EA76F94}"/>
                </c:ext>
              </c:extLst>
            </c:dLbl>
            <c:dLbl>
              <c:idx val="2"/>
              <c:layout>
                <c:manualLayout>
                  <c:x val="2.0894274968658588E-3"/>
                  <c:y val="-2.8761459644076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C3-458B-A6BB-0D297EA76F94}"/>
                </c:ext>
              </c:extLst>
            </c:dLbl>
            <c:dLbl>
              <c:idx val="3"/>
              <c:layout>
                <c:manualLayout>
                  <c:x val="2.0894274968658588E-3"/>
                  <c:y val="-1.4380729822038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C3-458B-A6BB-0D297EA76F94}"/>
                </c:ext>
              </c:extLst>
            </c:dLbl>
            <c:dLbl>
              <c:idx val="4"/>
              <c:layout>
                <c:manualLayout>
                  <c:x val="8.3577099874634353E-3"/>
                  <c:y val="-1.4380729822038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1C3-458B-A6BB-0D297EA76F94}"/>
                </c:ext>
              </c:extLst>
            </c:dLbl>
            <c:dLbl>
              <c:idx val="5"/>
              <c:layout>
                <c:manualLayout>
                  <c:x val="8.357709987463359E-3"/>
                  <c:y val="-6.47132841991732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C3-458B-A6BB-0D297EA76F94}"/>
                </c:ext>
              </c:extLst>
            </c:dLbl>
            <c:dLbl>
              <c:idx val="6"/>
              <c:layout>
                <c:manualLayout>
                  <c:x val="8.3577099874634353E-3"/>
                  <c:y val="-1.4380729822038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1C3-458B-A6BB-0D297EA76F9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Sheet1!$B$26:$C$33</c:f>
              <c:multiLvlStrCache>
                <c:ptCount val="8"/>
                <c:lvl>
                  <c:pt idx="0">
                    <c:v>77</c:v>
                  </c:pt>
                  <c:pt idx="1">
                    <c:v>105</c:v>
                  </c:pt>
                  <c:pt idx="2">
                    <c:v>79</c:v>
                  </c:pt>
                  <c:pt idx="3">
                    <c:v>3</c:v>
                  </c:pt>
                  <c:pt idx="4">
                    <c:v>1</c:v>
                  </c:pt>
                  <c:pt idx="5">
                    <c:v>265</c:v>
                  </c:pt>
                  <c:pt idx="6">
                    <c:v>4</c:v>
                  </c:pt>
                </c:lvl>
                <c:lvl>
                  <c:pt idx="0">
                    <c:v>Very great</c:v>
                  </c:pt>
                  <c:pt idx="1">
                    <c:v>Great</c:v>
                  </c:pt>
                  <c:pt idx="2">
                    <c:v>Medium</c:v>
                  </c:pt>
                  <c:pt idx="3">
                    <c:v>Little</c:v>
                  </c:pt>
                  <c:pt idx="4">
                    <c:v>Not at all</c:v>
                  </c:pt>
                  <c:pt idx="5">
                    <c:v>Total</c:v>
                  </c:pt>
                  <c:pt idx="6">
                    <c:v>System</c:v>
                  </c:pt>
                  <c:pt idx="7">
                    <c:v>Total</c:v>
                  </c:pt>
                </c:lvl>
              </c:multiLvlStrCache>
            </c:multiLvlStrRef>
          </c:cat>
          <c:val>
            <c:numRef>
              <c:f>Sheet1!$E$26:$E$33</c:f>
              <c:numCache>
                <c:formatCode>General</c:formatCode>
                <c:ptCount val="8"/>
                <c:pt idx="0">
                  <c:v>28.6</c:v>
                </c:pt>
                <c:pt idx="1">
                  <c:v>39</c:v>
                </c:pt>
                <c:pt idx="2">
                  <c:v>29.4</c:v>
                </c:pt>
                <c:pt idx="3">
                  <c:v>1.1000000000000001</c:v>
                </c:pt>
                <c:pt idx="4">
                  <c:v>0.4</c:v>
                </c:pt>
                <c:pt idx="5">
                  <c:v>98.5</c:v>
                </c:pt>
                <c:pt idx="6">
                  <c:v>1.5</c:v>
                </c:pt>
              </c:numCache>
            </c:numRef>
          </c:val>
          <c:extLst>
            <c:ext xmlns:c16="http://schemas.microsoft.com/office/drawing/2014/chart" uri="{C3380CC4-5D6E-409C-BE32-E72D297353CC}">
              <c16:uniqueId val="{00000008-D1C3-458B-A6BB-0D297EA76F94}"/>
            </c:ext>
          </c:extLst>
        </c:ser>
        <c:ser>
          <c:idx val="2"/>
          <c:order val="2"/>
          <c:tx>
            <c:strRef>
              <c:f>Sheet1!$F$25</c:f>
              <c:strCache>
                <c:ptCount val="1"/>
                <c:pt idx="0">
                  <c:v>Percent</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Sheet1!$B$26:$C$33</c:f>
              <c:multiLvlStrCache>
                <c:ptCount val="8"/>
                <c:lvl>
                  <c:pt idx="0">
                    <c:v>77</c:v>
                  </c:pt>
                  <c:pt idx="1">
                    <c:v>105</c:v>
                  </c:pt>
                  <c:pt idx="2">
                    <c:v>79</c:v>
                  </c:pt>
                  <c:pt idx="3">
                    <c:v>3</c:v>
                  </c:pt>
                  <c:pt idx="4">
                    <c:v>1</c:v>
                  </c:pt>
                  <c:pt idx="5">
                    <c:v>265</c:v>
                  </c:pt>
                  <c:pt idx="6">
                    <c:v>4</c:v>
                  </c:pt>
                </c:lvl>
                <c:lvl>
                  <c:pt idx="0">
                    <c:v>Very great</c:v>
                  </c:pt>
                  <c:pt idx="1">
                    <c:v>Great</c:v>
                  </c:pt>
                  <c:pt idx="2">
                    <c:v>Medium</c:v>
                  </c:pt>
                  <c:pt idx="3">
                    <c:v>Little</c:v>
                  </c:pt>
                  <c:pt idx="4">
                    <c:v>Not at all</c:v>
                  </c:pt>
                  <c:pt idx="5">
                    <c:v>Total</c:v>
                  </c:pt>
                  <c:pt idx="6">
                    <c:v>System</c:v>
                  </c:pt>
                  <c:pt idx="7">
                    <c:v>Total</c:v>
                  </c:pt>
                </c:lvl>
              </c:multiLvlStrCache>
            </c:multiLvlStrRef>
          </c:cat>
          <c:val>
            <c:numRef>
              <c:f>Sheet1!$F$26:$F$33</c:f>
              <c:numCache>
                <c:formatCode>General</c:formatCode>
                <c:ptCount val="8"/>
                <c:pt idx="7">
                  <c:v>100</c:v>
                </c:pt>
              </c:numCache>
            </c:numRef>
          </c:val>
          <c:extLst>
            <c:ext xmlns:c16="http://schemas.microsoft.com/office/drawing/2014/chart" uri="{C3380CC4-5D6E-409C-BE32-E72D297353CC}">
              <c16:uniqueId val="{00000009-D1C3-458B-A6BB-0D297EA76F94}"/>
            </c:ext>
          </c:extLst>
        </c:ser>
        <c:ser>
          <c:idx val="3"/>
          <c:order val="3"/>
          <c:tx>
            <c:strRef>
              <c:f>Sheet1!$G$25</c:f>
              <c:strCache>
                <c:ptCount val="1"/>
              </c:strCache>
            </c:strRef>
          </c:tx>
          <c:spPr>
            <a:solidFill>
              <a:schemeClr val="accent6">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Sheet1!$B$26:$C$33</c:f>
              <c:multiLvlStrCache>
                <c:ptCount val="8"/>
                <c:lvl>
                  <c:pt idx="0">
                    <c:v>77</c:v>
                  </c:pt>
                  <c:pt idx="1">
                    <c:v>105</c:v>
                  </c:pt>
                  <c:pt idx="2">
                    <c:v>79</c:v>
                  </c:pt>
                  <c:pt idx="3">
                    <c:v>3</c:v>
                  </c:pt>
                  <c:pt idx="4">
                    <c:v>1</c:v>
                  </c:pt>
                  <c:pt idx="5">
                    <c:v>265</c:v>
                  </c:pt>
                  <c:pt idx="6">
                    <c:v>4</c:v>
                  </c:pt>
                </c:lvl>
                <c:lvl>
                  <c:pt idx="0">
                    <c:v>Very great</c:v>
                  </c:pt>
                  <c:pt idx="1">
                    <c:v>Great</c:v>
                  </c:pt>
                  <c:pt idx="2">
                    <c:v>Medium</c:v>
                  </c:pt>
                  <c:pt idx="3">
                    <c:v>Little</c:v>
                  </c:pt>
                  <c:pt idx="4">
                    <c:v>Not at all</c:v>
                  </c:pt>
                  <c:pt idx="5">
                    <c:v>Total</c:v>
                  </c:pt>
                  <c:pt idx="6">
                    <c:v>System</c:v>
                  </c:pt>
                  <c:pt idx="7">
                    <c:v>Total</c:v>
                  </c:pt>
                </c:lvl>
              </c:multiLvlStrCache>
            </c:multiLvlStrRef>
          </c:cat>
          <c:val>
            <c:numRef>
              <c:f>Sheet1!$G$26:$G$33</c:f>
              <c:numCache>
                <c:formatCode>General</c:formatCode>
                <c:ptCount val="8"/>
              </c:numCache>
            </c:numRef>
          </c:val>
          <c:extLst>
            <c:ext xmlns:c16="http://schemas.microsoft.com/office/drawing/2014/chart" uri="{C3380CC4-5D6E-409C-BE32-E72D297353CC}">
              <c16:uniqueId val="{0000000A-D1C3-458B-A6BB-0D297EA76F94}"/>
            </c:ext>
          </c:extLst>
        </c:ser>
        <c:dLbls>
          <c:showLegendKey val="0"/>
          <c:showVal val="1"/>
          <c:showCatName val="0"/>
          <c:showSerName val="0"/>
          <c:showPercent val="0"/>
          <c:showBubbleSize val="0"/>
        </c:dLbls>
        <c:gapWidth val="79"/>
        <c:shape val="box"/>
        <c:axId val="424822312"/>
        <c:axId val="424821920"/>
        <c:axId val="0"/>
      </c:bar3DChart>
      <c:catAx>
        <c:axId val="424822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24821920"/>
        <c:crosses val="autoZero"/>
        <c:auto val="1"/>
        <c:lblAlgn val="ctr"/>
        <c:lblOffset val="100"/>
        <c:noMultiLvlLbl val="0"/>
      </c:catAx>
      <c:valAx>
        <c:axId val="424821920"/>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8223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2862C-4BBC-4794-8622-86B2CBD5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13</Pages>
  <Words>17885</Words>
  <Characters>101945</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40</cp:revision>
  <dcterms:created xsi:type="dcterms:W3CDTF">2025-03-18T23:40:00Z</dcterms:created>
  <dcterms:modified xsi:type="dcterms:W3CDTF">2025-04-16T10:02:00Z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967eb3ef-4606-322f-8169-ecdd75f61d15</vt:lpwstr>
  </property>
  <property fmtid="{D5CDD505-2E9C-101B-9397-08002B2CF9AE}" pid="24" name="Mendeley Citation Style_1">
    <vt:lpwstr>http://www.zotero.org/styles/apa</vt:lpwstr>
  </property>
</Properties>
</file>