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6AC78F54" w14:textId="19607075" w:rsidR="00D7522C" w:rsidRPr="009C259A" w:rsidRDefault="00215C04" w:rsidP="008575ED">
      <w:pPr>
        <w:pStyle w:val="papertitle"/>
        <w:spacing w:before="5pt" w:beforeAutospacing="1" w:after="5pt" w:afterAutospacing="1"/>
        <w:rPr>
          <w:kern w:val="48"/>
        </w:rPr>
        <w:sectPr w:rsidR="00D7522C" w:rsidRPr="009C259A" w:rsidSect="003B4E04">
          <w:headerReference w:type="even" r:id="rId11"/>
          <w:headerReference w:type="default" r:id="rId12"/>
          <w:footerReference w:type="even" r:id="rId13"/>
          <w:footerReference w:type="default" r:id="rId14"/>
          <w:headerReference w:type="first" r:id="rId15"/>
          <w:footerReference w:type="first" r:id="rId16"/>
          <w:pgSz w:w="595.30pt" w:h="841.90pt" w:code="9"/>
          <w:pgMar w:top="27pt" w:right="44.65pt" w:bottom="72pt" w:left="44.65pt" w:header="36pt" w:footer="36pt" w:gutter="0pt"/>
          <w:cols w:space="36pt"/>
          <w:titlePg/>
          <w:docGrid w:linePitch="360"/>
        </w:sectPr>
      </w:pPr>
      <w:r>
        <w:rPr>
          <w:kern w:val="48"/>
        </w:rPr>
        <w:t xml:space="preserve">From Grid to </w:t>
      </w:r>
      <w:r w:rsidR="000627D8">
        <w:rPr>
          <w:kern w:val="48"/>
        </w:rPr>
        <w:t>R</w:t>
      </w:r>
      <w:r>
        <w:rPr>
          <w:kern w:val="48"/>
        </w:rPr>
        <w:t xml:space="preserve">oad: A </w:t>
      </w:r>
      <w:r w:rsidR="002742F2">
        <w:rPr>
          <w:kern w:val="48"/>
        </w:rPr>
        <w:t>G</w:t>
      </w:r>
      <w:r w:rsidR="00C376B5">
        <w:rPr>
          <w:kern w:val="48"/>
        </w:rPr>
        <w:t>l</w:t>
      </w:r>
      <w:r w:rsidR="002742F2">
        <w:rPr>
          <w:kern w:val="48"/>
        </w:rPr>
        <w:t>obal</w:t>
      </w:r>
      <w:r>
        <w:rPr>
          <w:kern w:val="48"/>
        </w:rPr>
        <w:t xml:space="preserve"> </w:t>
      </w:r>
      <w:r w:rsidR="002742F2">
        <w:rPr>
          <w:kern w:val="48"/>
        </w:rPr>
        <w:t>Asses</w:t>
      </w:r>
      <w:r w:rsidR="005623FC">
        <w:rPr>
          <w:kern w:val="48"/>
        </w:rPr>
        <w:t>s</w:t>
      </w:r>
      <w:r w:rsidR="002742F2">
        <w:rPr>
          <w:kern w:val="48"/>
        </w:rPr>
        <w:t>ment</w:t>
      </w:r>
      <w:r w:rsidR="00476C7C">
        <w:rPr>
          <w:kern w:val="48"/>
        </w:rPr>
        <w:t xml:space="preserve"> of </w:t>
      </w:r>
      <w:r w:rsidR="000627D8">
        <w:rPr>
          <w:kern w:val="48"/>
        </w:rPr>
        <w:t>W</w:t>
      </w:r>
      <w:r w:rsidR="00476C7C">
        <w:rPr>
          <w:kern w:val="48"/>
        </w:rPr>
        <w:t xml:space="preserve">ell-to-Wheel </w:t>
      </w:r>
      <w:r w:rsidR="000627D8">
        <w:rPr>
          <w:kern w:val="48"/>
        </w:rPr>
        <w:t>E</w:t>
      </w:r>
      <w:r w:rsidR="00476C7C">
        <w:rPr>
          <w:kern w:val="48"/>
        </w:rPr>
        <w:t>fficiency for Electric Vehicles</w:t>
      </w:r>
    </w:p>
    <w:p w14:paraId="4CBA2D3E" w14:textId="77777777" w:rsidR="008C3CDE" w:rsidRPr="009153B2" w:rsidRDefault="008C3CDE" w:rsidP="009153B2">
      <w:pPr>
        <w:pStyle w:val="Author"/>
        <w:spacing w:before="0pt" w:after="0pt"/>
        <w:rPr>
          <w:sz w:val="14"/>
          <w:szCs w:val="14"/>
        </w:rPr>
      </w:pPr>
    </w:p>
    <w:p w14:paraId="0D5A49FD" w14:textId="77777777" w:rsidR="00FB2B09" w:rsidRPr="00C51E83" w:rsidRDefault="000A3038" w:rsidP="00FB2B09">
      <w:pPr>
        <w:pStyle w:val="Author"/>
        <w:spacing w:before="0pt" w:after="0pt"/>
        <w:rPr>
          <w:sz w:val="12"/>
          <w:szCs w:val="12"/>
        </w:rPr>
      </w:pPr>
      <w:r w:rsidRPr="00C51E83">
        <w:br w:type="column"/>
      </w:r>
    </w:p>
    <w:p w14:paraId="6938472F" w14:textId="0A65B959" w:rsidR="0057582C" w:rsidRPr="00A710D8" w:rsidRDefault="00DB20FE" w:rsidP="00020E32">
      <w:pPr>
        <w:pStyle w:val="Author"/>
        <w:spacing w:before="0pt" w:after="0pt"/>
        <w:rPr>
          <w:i/>
          <w:sz w:val="18"/>
          <w:szCs w:val="18"/>
        </w:rPr>
      </w:pPr>
      <w:r>
        <w:rPr>
          <w:i/>
          <w:sz w:val="18"/>
          <w:szCs w:val="18"/>
        </w:rPr>
        <w:t xml:space="preserve"> </w:t>
      </w:r>
    </w:p>
    <w:p w14:paraId="44B6C5C9" w14:textId="74E613B5" w:rsidR="008C3CDE" w:rsidRDefault="00A632FE" w:rsidP="005C302B">
      <w:pPr>
        <w:pStyle w:val="Author"/>
        <w:spacing w:before="0pt" w:after="0pt"/>
        <w:jc w:val="both"/>
        <w:rPr>
          <w:sz w:val="12"/>
          <w:szCs w:val="12"/>
        </w:rPr>
      </w:pPr>
      <w:r>
        <w:br w:type="column"/>
      </w:r>
    </w:p>
    <w:p w14:paraId="6DED51EF" w14:textId="77777777" w:rsidR="00A81782" w:rsidRPr="00B7226D" w:rsidRDefault="00A81782" w:rsidP="0012503D">
      <w:pPr>
        <w:pStyle w:val="Author"/>
        <w:spacing w:before="0pt" w:after="0pt"/>
        <w:rPr>
          <w:sz w:val="18"/>
          <w:szCs w:val="18"/>
        </w:rPr>
      </w:pPr>
    </w:p>
    <w:p w14:paraId="4B45C9A8" w14:textId="1CE8882A" w:rsidR="00A81782" w:rsidRPr="00B7226D" w:rsidRDefault="00A81782" w:rsidP="0012503D">
      <w:pPr>
        <w:pStyle w:val="Author"/>
        <w:spacing w:before="0pt" w:after="0pt"/>
        <w:rPr>
          <w:sz w:val="18"/>
          <w:szCs w:val="18"/>
        </w:rPr>
        <w:sectPr w:rsidR="00A81782" w:rsidRPr="00B7226D" w:rsidSect="0098544F">
          <w:type w:val="continuous"/>
          <w:pgSz w:w="595.30pt" w:h="841.90pt" w:code="9"/>
          <w:pgMar w:top="22.50pt" w:right="44.65pt" w:bottom="72pt" w:left="44.65pt" w:header="36pt" w:footer="36pt" w:gutter="0pt"/>
          <w:cols w:num="3" w:space="2.70pt"/>
          <w:docGrid w:linePitch="360"/>
        </w:sectPr>
      </w:pPr>
    </w:p>
    <w:p w14:paraId="6158C6CC" w14:textId="07CA051B" w:rsidR="00DB4C6B" w:rsidRDefault="009303D9" w:rsidP="00FF2770">
      <w:pPr>
        <w:pStyle w:val="Abstract"/>
      </w:pPr>
      <w:r w:rsidRPr="009C259A">
        <w:rPr>
          <w:i/>
          <w:iCs/>
        </w:rPr>
        <w:t>Abstract</w:t>
      </w:r>
      <w:r w:rsidRPr="009C259A">
        <w:t>—</w:t>
      </w:r>
      <w:r w:rsidR="00DB4C6B">
        <w:t xml:space="preserve">Over the past few decades global warming and its effects on the environment has gained a lot of attention. Many studies have determined that keeping the </w:t>
      </w:r>
      <w:r w:rsidR="002742F2">
        <w:t xml:space="preserve">increase in </w:t>
      </w:r>
      <w:r w:rsidR="00DB4C6B">
        <w:t xml:space="preserve">global temperature below 1.5 degrees Celsius is key to avoid irreversible damage to the environment. This is particularly </w:t>
      </w:r>
      <w:r w:rsidR="002742F2">
        <w:t>challenging</w:t>
      </w:r>
      <w:r w:rsidR="00DB4C6B">
        <w:t xml:space="preserve"> for the auto industry as it </w:t>
      </w:r>
      <w:r w:rsidR="002742F2">
        <w:t>relies</w:t>
      </w:r>
      <w:r w:rsidR="00DB4C6B">
        <w:t xml:space="preserve"> on fossil fuel combustion as a source of energy to enable transportation. With this goal of keeping rise in global temperatures down, several automotive OEMs have adopted </w:t>
      </w:r>
      <w:r w:rsidR="002742F2">
        <w:t>modern technologies</w:t>
      </w:r>
      <w:r w:rsidR="00DB4C6B">
        <w:t xml:space="preserve"> like hybrid electric vehicles, plug in hybrid electric vehicles, fuel cell batteries and battery electric vehicles to combat climate change. Among most these technologies, the common theme is to move away from using any direct fossil fuel combustion and rely on electricity from the grid to power propulsion. Although this is beneficial for reducing the </w:t>
      </w:r>
      <w:r w:rsidR="002742F2">
        <w:t>number</w:t>
      </w:r>
      <w:r w:rsidR="00DB4C6B">
        <w:t xml:space="preserve"> of direct emissions from automotive sector, it can increase the emissions from energy sector because </w:t>
      </w:r>
      <w:r w:rsidR="00B70156">
        <w:t xml:space="preserve">the grid needs to produce more energy to charge these vehicles. </w:t>
      </w:r>
      <w:r w:rsidR="002742F2">
        <w:t>H</w:t>
      </w:r>
      <w:r w:rsidR="00B70156">
        <w:t>owever</w:t>
      </w:r>
      <w:r w:rsidR="002742F2">
        <w:t>, this additional demand</w:t>
      </w:r>
      <w:r w:rsidR="00B70156">
        <w:t xml:space="preserve"> can be </w:t>
      </w:r>
      <w:r w:rsidR="002742F2">
        <w:t>met</w:t>
      </w:r>
      <w:r w:rsidR="00B70156">
        <w:t xml:space="preserve"> via </w:t>
      </w:r>
      <w:r w:rsidR="002742F2">
        <w:t>electricity</w:t>
      </w:r>
      <w:r w:rsidR="00B70156">
        <w:t xml:space="preserve"> production from renewable sources or non-renewable sources. Therefore, to get an accurate analysis of the impact of these alternative technologies, it becomes critical to analyze the efficiency, energy consumption and C</w:t>
      </w:r>
      <w:r w:rsidR="002742F2">
        <w:t>O</w:t>
      </w:r>
      <w:r w:rsidR="002742F2">
        <w:rPr>
          <w:vertAlign w:val="subscript"/>
        </w:rPr>
        <w:t>2</w:t>
      </w:r>
      <w:r w:rsidR="00B70156">
        <w:t xml:space="preserve"> emissions from the source of energy to the stage where the energy is converted to useful work. </w:t>
      </w:r>
    </w:p>
    <w:p w14:paraId="7B7FC248" w14:textId="0164981C" w:rsidR="00B70156" w:rsidRDefault="00B70156" w:rsidP="00FF2770">
      <w:pPr>
        <w:pStyle w:val="Abstract"/>
      </w:pPr>
      <w:r>
        <w:t>This study focuses on the estimation of a comprehensive efficiency metric for electric vehicles that considers the efficiency of all stages of energy consumption that form a part of the lifecycle of the electric vehicles. This metric is also known as the wells-to-wheel efficiency of the vehicle</w:t>
      </w:r>
      <w:r w:rsidR="002742F2">
        <w:t>.</w:t>
      </w:r>
      <w:r>
        <w:t xml:space="preserve"> </w:t>
      </w:r>
      <w:r w:rsidR="002742F2">
        <w:t>I</w:t>
      </w:r>
      <w:r>
        <w:t xml:space="preserve">n addition to computing this efficiency, this study also analyses the variation in wells-to-wheels efficiency </w:t>
      </w:r>
      <w:r w:rsidR="002742F2">
        <w:t xml:space="preserve">in </w:t>
      </w:r>
      <w:r w:rsidR="00C376B5">
        <w:t>various parts</w:t>
      </w:r>
      <w:r w:rsidR="002742F2">
        <w:t xml:space="preserve"> of the world</w:t>
      </w:r>
      <w:r w:rsidR="009169E5">
        <w:t xml:space="preserve"> as each region relies on a different composition of sources to generate electricity</w:t>
      </w:r>
      <w:r w:rsidR="002742F2">
        <w:t xml:space="preserve">. </w:t>
      </w:r>
    </w:p>
    <w:p w14:paraId="6138919C" w14:textId="4F5A3981" w:rsidR="007D663F" w:rsidRPr="009C259A" w:rsidRDefault="007D663F" w:rsidP="007D663F">
      <w:pPr>
        <w:pStyle w:val="Keywords"/>
      </w:pPr>
      <w:r w:rsidRPr="009C259A">
        <w:t>Keywords—</w:t>
      </w:r>
      <w:r>
        <w:t>Electric vehicles (EV), Hybrid electric vehicles (HEVs), efficiency, well-to-wheels efficiency (WTW), global warming, sustainable transport.</w:t>
      </w:r>
    </w:p>
    <w:p w14:paraId="20C89949" w14:textId="77777777" w:rsidR="00DB4C6B" w:rsidRDefault="00DB4C6B" w:rsidP="00FF2770">
      <w:pPr>
        <w:pStyle w:val="Abstract"/>
      </w:pPr>
    </w:p>
    <w:p w14:paraId="1A8F0EC3" w14:textId="4F910823" w:rsidR="009303D9" w:rsidRPr="009C259A" w:rsidRDefault="00EA194A" w:rsidP="00B47794">
      <w:pPr>
        <w:pStyle w:val="Heading1"/>
      </w:pPr>
      <w:bookmarkStart w:id="0" w:name="_Ref179318101"/>
      <w:r>
        <w:t>Introduction</w:t>
      </w:r>
      <w:bookmarkEnd w:id="0"/>
    </w:p>
    <w:p w14:paraId="0315083F" w14:textId="7CFC55B2" w:rsidR="002E5FD7" w:rsidRDefault="002E5FD7" w:rsidP="00EA574C">
      <w:pPr>
        <w:pStyle w:val="BodyText"/>
      </w:pPr>
      <w:bookmarkStart w:id="1" w:name="_Hlk179714868"/>
      <w:r>
        <w:t xml:space="preserve">Global warming is one of the key challenges faced by mankind today. Several studies show that keeping the global rise in temperatures under </w:t>
      </w:r>
      <w:r w:rsidRPr="008C3DA8">
        <w:t>1.5°C</w:t>
      </w:r>
      <w:r>
        <w:t xml:space="preserve">, is critical to avoid any irreversible damage to the environment </w:t>
      </w:r>
      <w:r>
        <w:fldChar w:fldCharType="begin"/>
      </w:r>
      <w:r>
        <w:instrText xml:space="preserve"> REF _Ref183016675 \n \h </w:instrText>
      </w:r>
      <w:r>
        <w:fldChar w:fldCharType="separate"/>
      </w:r>
      <w:r>
        <w:t>[1]</w:t>
      </w:r>
      <w:r>
        <w:fldChar w:fldCharType="end"/>
      </w:r>
      <w:r>
        <w:t xml:space="preserve">. Although contributions to global warming by different sectors vary, industrial sector, agriculture and transportation sectors are few of the primary contributors to global warming. Transportation alone contributes about 19.2% of the greenhouse gases emitted into the atmosphere </w:t>
      </w:r>
      <w:r>
        <w:fldChar w:fldCharType="begin"/>
      </w:r>
      <w:r>
        <w:instrText xml:space="preserve"> REF _Ref183016763 \n \h </w:instrText>
      </w:r>
      <w:r>
        <w:fldChar w:fldCharType="separate"/>
      </w:r>
      <w:r>
        <w:t>[2]</w:t>
      </w:r>
      <w:r>
        <w:fldChar w:fldCharType="end"/>
      </w:r>
      <w:r>
        <w:t xml:space="preserve">. To reduce these emissions, several automotive OEMs have stepped up to develop technologies that are environmentally friendly or made significant progress towards improving the efficiency of existing technologies to reduce total amount of greenhouse gas emissions. One example of the latter is the development of hybrid electric vehicles. Today, hybrid electric vehicles have almost twice the efficiency of comparable class of </w:t>
      </w:r>
      <w:r>
        <w:t>internal combustion vehicles</w:t>
      </w:r>
      <w:r w:rsidR="0022014B">
        <w:t xml:space="preserve"> </w:t>
      </w:r>
      <w:r w:rsidR="0022014B">
        <w:fldChar w:fldCharType="begin"/>
      </w:r>
      <w:r w:rsidR="0022014B">
        <w:instrText xml:space="preserve"> REF _Ref194271596 \r \h </w:instrText>
      </w:r>
      <w:r w:rsidR="0022014B">
        <w:fldChar w:fldCharType="separate"/>
      </w:r>
      <w:r w:rsidR="0022014B">
        <w:t>[3]</w:t>
      </w:r>
      <w:r w:rsidR="0022014B">
        <w:fldChar w:fldCharType="end"/>
      </w:r>
      <w:r w:rsidR="0022014B">
        <w:t xml:space="preserve">. While enabling significant reduction in greenhouse gas emissions, hybrid electric vehicles also paved the way for the development of plug in hybrid electric vehicles and battery electric vehicles, all of which, along </w:t>
      </w:r>
      <w:r w:rsidR="009169E5">
        <w:t xml:space="preserve">with </w:t>
      </w:r>
      <w:r w:rsidR="0022014B">
        <w:t xml:space="preserve">hybrid electric vehicles are in production today. </w:t>
      </w:r>
      <w:r w:rsidR="00C233F9">
        <w:t xml:space="preserve">Plug in hybrids and electric vehicles take the reduction in greenhouse gases one step above hybrid electric vehicles. While enabling the use of greener sources of energy (such as renewables) in the form of electricity, plug in hybrids and electric vehicles also improve upon the efficiency of energy conversion from electricity to vehicle propulsion by almost a factor of two over hybrid electric vehicles </w:t>
      </w:r>
      <w:r w:rsidR="00C233F9">
        <w:fldChar w:fldCharType="begin"/>
      </w:r>
      <w:r w:rsidR="00C233F9">
        <w:instrText xml:space="preserve"> REF _Ref194272009 \r \h </w:instrText>
      </w:r>
      <w:r w:rsidR="00C233F9">
        <w:fldChar w:fldCharType="separate"/>
      </w:r>
      <w:r w:rsidR="00C233F9">
        <w:t>[4]</w:t>
      </w:r>
      <w:r w:rsidR="00C233F9">
        <w:fldChar w:fldCharType="end"/>
      </w:r>
      <w:r w:rsidR="00C233F9">
        <w:t xml:space="preserve">. </w:t>
      </w:r>
    </w:p>
    <w:p w14:paraId="375C5B38" w14:textId="5044BA3D" w:rsidR="00E614AF" w:rsidRDefault="00E614AF" w:rsidP="00004E6D">
      <w:pPr>
        <w:pStyle w:val="BodyText"/>
        <w:jc w:val="start"/>
      </w:pPr>
      <w:r>
        <w:t>Owing to these advantages, several automotive OEMs have invested significantly in the development and manufacture of electric vehicles. Traditional automotive OEMs like Ford, GM, Stellantis etc. already have a significant portfolio of electric vehicles, while few other automotive OEMs focus on selling electric vehicles exclusively (for e.g. Tesla and Rivian). Although electric vehicles are usually more expensive than an equivalent hybrid vehicle, plug in hybrid or internal combustion vehicle, it has been proven that over the lifetime of the usage of electric vehicle</w:t>
      </w:r>
      <w:r w:rsidR="005D33B2">
        <w:t>s</w:t>
      </w:r>
      <w:r>
        <w:t>, the costs incurred would be lower</w:t>
      </w:r>
      <w:r w:rsidR="005D33B2">
        <w:t xml:space="preserve"> compared to internal combustion vehicles. </w:t>
      </w:r>
      <w:r>
        <w:t xml:space="preserve">This is </w:t>
      </w:r>
      <w:r w:rsidR="005D33B2">
        <w:t>especially</w:t>
      </w:r>
      <w:r>
        <w:t xml:space="preserve"> surprising considering that t</w:t>
      </w:r>
      <w:r w:rsidRPr="00E614AF">
        <w:t>he cost of 33.7 kWh of electricity, equivalent to one gallon of gas, would be approximately $5.00 to $5.71 based on a national average electricity rate of around 16 cents per kWh</w:t>
      </w:r>
      <w:r>
        <w:t>.</w:t>
      </w:r>
      <w:r w:rsidR="00680301">
        <w:t xml:space="preserve"> However, the lower cost of operating electric vehicle can be explained as the electric vehicle is much more efficient at converting the input source of energy (electricity) into useful work as compared to internal combustion vehicle. Typical electric vehicles convert about 85-90% of input energy input useful </w:t>
      </w:r>
      <w:r w:rsidR="00680301">
        <w:fldChar w:fldCharType="begin"/>
      </w:r>
      <w:r w:rsidR="00680301">
        <w:instrText xml:space="preserve"> REF _Ref194273126 \r \h </w:instrText>
      </w:r>
      <w:r w:rsidR="00680301">
        <w:fldChar w:fldCharType="separate"/>
      </w:r>
      <w:r w:rsidR="00680301">
        <w:t>[5]</w:t>
      </w:r>
      <w:r w:rsidR="00680301">
        <w:fldChar w:fldCharType="end"/>
      </w:r>
      <w:r w:rsidR="00680301">
        <w:t xml:space="preserve"> work while internal combustion engines convert only about 30% of input energy into useful work </w:t>
      </w:r>
      <w:r w:rsidR="00680301">
        <w:fldChar w:fldCharType="begin"/>
      </w:r>
      <w:r w:rsidR="00680301">
        <w:instrText xml:space="preserve"> REF _Ref190289239 \r \h </w:instrText>
      </w:r>
      <w:r w:rsidR="00680301">
        <w:fldChar w:fldCharType="separate"/>
      </w:r>
      <w:r w:rsidR="00680301">
        <w:t>[6]</w:t>
      </w:r>
      <w:r w:rsidR="00680301">
        <w:fldChar w:fldCharType="end"/>
      </w:r>
      <w:r w:rsidR="00680301">
        <w:t xml:space="preserve">. Thus </w:t>
      </w:r>
      <w:r w:rsidR="00FE58E7">
        <w:t xml:space="preserve">the efficiency of energy conversion is about three times higher in electric vehicles and thus using an electricity of 11.2 kWh of electricity (which costs about $1.90) will yield the same amount of useful work as using 1 gallon of gasoline (which costs about 3.00$ on average). This difference in the cost of operation far outweighs the initial high cost of acquisition of electric vehicles. Additionally, electric vehicles also have </w:t>
      </w:r>
      <w:r w:rsidR="009D2C52">
        <w:t>lower maintenance costs owing to the use of less</w:t>
      </w:r>
      <w:r w:rsidR="00A61837">
        <w:t xml:space="preserve"> number of</w:t>
      </w:r>
      <w:r w:rsidR="009D2C52">
        <w:t xml:space="preserve"> moving parts as compared to internal combustion vehicles</w:t>
      </w:r>
      <w:r w:rsidR="00A61837">
        <w:t xml:space="preserve"> and the use of regenerative braking which reduces brake pad wear</w:t>
      </w:r>
      <w:r w:rsidR="009D2C52">
        <w:t>.</w:t>
      </w:r>
    </w:p>
    <w:p w14:paraId="27700BDF" w14:textId="59D416F9" w:rsidR="002E5FD7" w:rsidRDefault="00A61837" w:rsidP="00EA574C">
      <w:pPr>
        <w:pStyle w:val="BodyText"/>
      </w:pPr>
      <w:r>
        <w:t xml:space="preserve">Although most electric vehicle </w:t>
      </w:r>
      <w:r w:rsidR="00E8689F">
        <w:t>owners</w:t>
      </w:r>
      <w:r>
        <w:t xml:space="preserve"> use grid power to charge the vehicle, </w:t>
      </w:r>
      <w:r w:rsidR="000373C0">
        <w:t>there are significant benefits to be seen when</w:t>
      </w:r>
      <w:r>
        <w:t xml:space="preserve"> using renewable energy sources to charge the electric vehicle. Recent studies have shown that renewable sources of energy are now significantly less expensive to capture as compared to tradition nonrenewable sources of power</w:t>
      </w:r>
      <w:r w:rsidR="000373C0">
        <w:t xml:space="preserve"> </w:t>
      </w:r>
      <w:r>
        <w:fldChar w:fldCharType="begin"/>
      </w:r>
      <w:r>
        <w:instrText xml:space="preserve"> REF _Ref194853925 \r \h </w:instrText>
      </w:r>
      <w:r>
        <w:fldChar w:fldCharType="separate"/>
      </w:r>
      <w:r>
        <w:t>[7]</w:t>
      </w:r>
      <w:r>
        <w:fldChar w:fldCharType="end"/>
      </w:r>
      <w:r>
        <w:t xml:space="preserve">. This  renewable source of power can either be withdrawn from the grid which is powered by a renewable energy mix or direct production of renewable energy by </w:t>
      </w:r>
      <w:r w:rsidR="000373C0">
        <w:t>electric vehicle owners</w:t>
      </w:r>
      <w:r>
        <w:t xml:space="preserve"> </w:t>
      </w:r>
      <w:r>
        <w:lastRenderedPageBreak/>
        <w:t>using roof top mounted solar or household wind turbines. The latter implementation of in house renewable energy capture also has an advantage of using the car battery as a sink to absorb the variations in rate of energy production from renewables. The huge battery present in electric vehicles can act as additional storage when the energy production is at a surplus and can power the home when the energy production is less than what’s required by household utilities</w:t>
      </w:r>
      <w:r w:rsidR="000373C0">
        <w:t xml:space="preserve"> </w:t>
      </w:r>
      <w:r w:rsidR="000373C0">
        <w:fldChar w:fldCharType="begin"/>
      </w:r>
      <w:r w:rsidR="000373C0">
        <w:instrText xml:space="preserve"> REF _Ref194854450 \r \h </w:instrText>
      </w:r>
      <w:r w:rsidR="000373C0">
        <w:fldChar w:fldCharType="separate"/>
      </w:r>
      <w:r w:rsidR="000373C0">
        <w:t>[8]</w:t>
      </w:r>
      <w:r w:rsidR="000373C0">
        <w:fldChar w:fldCharType="end"/>
      </w:r>
      <w:r w:rsidR="000373C0">
        <w:t>.</w:t>
      </w:r>
    </w:p>
    <w:p w14:paraId="756673FD" w14:textId="18CE4F28" w:rsidR="000373C0" w:rsidRDefault="000373C0" w:rsidP="00EA574C">
      <w:pPr>
        <w:pStyle w:val="BodyText"/>
      </w:pPr>
      <w:r>
        <w:t xml:space="preserve">Electric vehicles are not the only </w:t>
      </w:r>
      <w:r w:rsidR="00596B65">
        <w:t>means</w:t>
      </w:r>
      <w:r>
        <w:t xml:space="preserve"> of transportation that are currently enabling a cleaner future. There are several </w:t>
      </w:r>
      <w:r w:rsidR="00596B65">
        <w:t>technologies</w:t>
      </w:r>
      <w:r>
        <w:t xml:space="preserve"> like mild hybrids </w:t>
      </w:r>
      <w:r>
        <w:fldChar w:fldCharType="begin"/>
      </w:r>
      <w:r>
        <w:instrText xml:space="preserve"> REF _Ref190289239 \r \h </w:instrText>
      </w:r>
      <w:r>
        <w:fldChar w:fldCharType="separate"/>
      </w:r>
      <w:r>
        <w:t>[6]</w:t>
      </w:r>
      <w:r>
        <w:fldChar w:fldCharType="end"/>
      </w:r>
      <w:r>
        <w:t xml:space="preserve"> and plug in hybrids </w:t>
      </w:r>
      <w:r>
        <w:fldChar w:fldCharType="begin"/>
      </w:r>
      <w:r>
        <w:instrText xml:space="preserve"> REF _Ref194854657 \r \h </w:instrText>
      </w:r>
      <w:r>
        <w:fldChar w:fldCharType="separate"/>
      </w:r>
      <w:r>
        <w:t>[9]</w:t>
      </w:r>
      <w:r>
        <w:fldChar w:fldCharType="end"/>
      </w:r>
      <w:r>
        <w:t xml:space="preserve"> that </w:t>
      </w:r>
      <w:r w:rsidR="00596B65">
        <w:t>preceded</w:t>
      </w:r>
      <w:r>
        <w:t xml:space="preserve"> electric vehicles and are being used in significant numbers today.  The past few years also saw the development of several new technologies such as electric vertical takeoff and landing aircrafts </w:t>
      </w:r>
      <w:r>
        <w:fldChar w:fldCharType="begin"/>
      </w:r>
      <w:r>
        <w:instrText xml:space="preserve"> REF _Ref194854829 \r \h </w:instrText>
      </w:r>
      <w:r>
        <w:fldChar w:fldCharType="separate"/>
      </w:r>
      <w:r>
        <w:t>[10]</w:t>
      </w:r>
      <w:r>
        <w:fldChar w:fldCharType="end"/>
      </w:r>
      <w:r>
        <w:t xml:space="preserve"> </w:t>
      </w:r>
      <w:r>
        <w:fldChar w:fldCharType="begin"/>
      </w:r>
      <w:r>
        <w:instrText xml:space="preserve"> REF _Ref194854831 \r \h </w:instrText>
      </w:r>
      <w:r>
        <w:fldChar w:fldCharType="separate"/>
      </w:r>
      <w:r>
        <w:t>[11]</w:t>
      </w:r>
      <w:r>
        <w:fldChar w:fldCharType="end"/>
      </w:r>
      <w:r>
        <w:t xml:space="preserve"> </w:t>
      </w:r>
      <w:r>
        <w:fldChar w:fldCharType="begin"/>
      </w:r>
      <w:r>
        <w:instrText xml:space="preserve"> REF _Ref194854833 \r \h </w:instrText>
      </w:r>
      <w:r>
        <w:fldChar w:fldCharType="separate"/>
      </w:r>
      <w:r>
        <w:t>[12]</w:t>
      </w:r>
      <w:r>
        <w:fldChar w:fldCharType="end"/>
      </w:r>
      <w:r>
        <w:t xml:space="preserve">, that have a potential to make personal point to point transport possible without the </w:t>
      </w:r>
      <w:r w:rsidR="00596B65">
        <w:t xml:space="preserve">need for a runway to land and the problems associated with it such as airport crowding </w:t>
      </w:r>
      <w:r w:rsidR="00596B65">
        <w:fldChar w:fldCharType="begin"/>
      </w:r>
      <w:r w:rsidR="00596B65">
        <w:instrText xml:space="preserve"> REF _Ref194854985 \r \h </w:instrText>
      </w:r>
      <w:r w:rsidR="00596B65">
        <w:fldChar w:fldCharType="separate"/>
      </w:r>
      <w:r w:rsidR="00596B65">
        <w:t>[13]</w:t>
      </w:r>
      <w:r w:rsidR="00596B65">
        <w:fldChar w:fldCharType="end"/>
      </w:r>
      <w:r w:rsidR="00596B65">
        <w:t>. However, electric vehicles are more mature than these new technologies while operating on a cleaner fuel as compared to older technologies, thereby placing them at the forefront of the fight against climate change.</w:t>
      </w:r>
    </w:p>
    <w:p w14:paraId="5E2C0F32" w14:textId="1BF6354A" w:rsidR="00E07471" w:rsidRDefault="00E07471" w:rsidP="00E07471">
      <w:pPr>
        <w:pStyle w:val="Heading1"/>
      </w:pPr>
      <w:r>
        <w:t>Prior Literature</w:t>
      </w:r>
    </w:p>
    <w:p w14:paraId="3F79369A" w14:textId="2024A1F4" w:rsidR="00E07471" w:rsidRDefault="00E07471" w:rsidP="00E07471">
      <w:r>
        <w:t>There is plenty of research material on efficiency of electric vehicles and other alternative technologies like hybrids and plug in hybrids. Although, the amount of literature on a more comprehensive well to wheels efficiency is scarce. The computation of well to wheels efficiency of electric vehicles is important because it considers the energy losses at each stage of the life cycle and thus has the potential to expose stages of the lifecycle which are less efficient. It</w:t>
      </w:r>
      <w:r w:rsidR="00C376B5">
        <w:t xml:space="preserve"> i</w:t>
      </w:r>
      <w:r>
        <w:t>s a common misconception that electric vehicles are extremely efficient as the conversion efficiency from battery power to the actual mechanical power that moves the vehicle is very high. Although this is true, it misses out on a key context that the overall efficiency of the vehicle starts at the source of the power which in the case of the electric vehicle is electricity. When the cost of producing electricity is considered, it becomes obvious that there are many stages where energy is lost to inefficiencies and thus the</w:t>
      </w:r>
      <w:r w:rsidR="00E8689F">
        <w:t xml:space="preserve"> overall</w:t>
      </w:r>
      <w:r>
        <w:t xml:space="preserve"> efficiency of electric vehicle is not as high as </w:t>
      </w:r>
      <w:r w:rsidR="00E8689F">
        <w:t>the conversion efficiency of the electric motors</w:t>
      </w:r>
      <w:r>
        <w:t xml:space="preserve">. </w:t>
      </w:r>
    </w:p>
    <w:p w14:paraId="17F54D8B" w14:textId="6703D1D2" w:rsidR="00E07471" w:rsidRDefault="00E07471" w:rsidP="00E07471">
      <w:r>
        <w:t xml:space="preserve">Chinthoju et al. </w:t>
      </w:r>
      <w:r>
        <w:fldChar w:fldCharType="begin"/>
      </w:r>
      <w:r>
        <w:instrText xml:space="preserve"> REF _Ref194854657 \r \h </w:instrText>
      </w:r>
      <w:r>
        <w:fldChar w:fldCharType="separate"/>
      </w:r>
      <w:r>
        <w:t>[9]</w:t>
      </w:r>
      <w:r>
        <w:fldChar w:fldCharType="end"/>
      </w:r>
      <w:r>
        <w:t xml:space="preserve"> </w:t>
      </w:r>
      <w:r>
        <w:fldChar w:fldCharType="begin"/>
      </w:r>
      <w:r>
        <w:instrText xml:space="preserve"> REF _Ref190289239 \r \h </w:instrText>
      </w:r>
      <w:r>
        <w:fldChar w:fldCharType="separate"/>
      </w:r>
      <w:r>
        <w:t>[6]</w:t>
      </w:r>
      <w:r>
        <w:fldChar w:fldCharType="end"/>
      </w:r>
      <w:r>
        <w:t xml:space="preserve"> are studies that precede this literature and they demonstrate the method of computing well to wheels efficiency of mild hybrid electric vehicles and plug in hybrid electric vehicles. The methods used in these studies list key energy consuming stages such as manufacturing of the vehicle, sourcing of the fuel and operation of the vehicle while also not ignoring stages such as maintenance and end of life processing</w:t>
      </w:r>
      <w:r w:rsidR="00972936">
        <w:t xml:space="preserve">. </w:t>
      </w:r>
      <w:r w:rsidR="00E8689F">
        <w:t>The approach that will be presented in the current study will also be similar but with more focus inefficiencies at the source. Electricity in different parts of the world is sourced from different sources of energy and even the composition that make</w:t>
      </w:r>
      <w:r w:rsidR="000A6E06">
        <w:t>s</w:t>
      </w:r>
      <w:r w:rsidR="00E8689F">
        <w:t xml:space="preserve"> up the energy sources vary widely across regions. The preceding studies do not take this into consideration and only use an average figure (pertaining to electricity generation in the US), however the next few sections will demonstrate a detailed analysis which enables computing the well to wheel efficiency for different parts of the world (given the source composition)</w:t>
      </w:r>
      <w:r w:rsidR="000A6E06">
        <w:t>.</w:t>
      </w:r>
    </w:p>
    <w:p w14:paraId="68547432" w14:textId="58A6C48C" w:rsidR="00972936" w:rsidRDefault="0079165B" w:rsidP="00E07471">
      <w:r w:rsidRPr="0079165B">
        <w:t>Rodrigues et al</w:t>
      </w:r>
      <w:r>
        <w:t xml:space="preserve"> </w:t>
      </w:r>
      <w:r>
        <w:fldChar w:fldCharType="begin"/>
      </w:r>
      <w:r>
        <w:instrText xml:space="preserve"> REF _Ref194875827 \r \h </w:instrText>
      </w:r>
      <w:r>
        <w:fldChar w:fldCharType="separate"/>
      </w:r>
      <w:r>
        <w:t>[14]</w:t>
      </w:r>
      <w:r>
        <w:fldChar w:fldCharType="end"/>
      </w:r>
      <w:r>
        <w:t xml:space="preserve"> demonstrates the computation of well to wheels efficiency of electric vehicle and compares it to traditional internal combustion vehicles including different analysis for gasoline powered vs diesel powered vehicles. This study splits the well to wheel efficiency computation into well to tank (WTT) and tank to wheels (TTW) efficiencies and combines to arrive at a net well to wheels efficiency figure. Although this is a popular method to compute well to wheels efficiency, in most studies, the energy consumption due to maintenance and end of life activities for these vehicles are ignored. This study concludes that the well to wheels efficiency of battery electric vehicles depends heavily on the source of energy being used to charge the vehicle</w:t>
      </w:r>
      <w:r w:rsidR="000A6E06">
        <w:t>, which will analyzed in more depth in the current study</w:t>
      </w:r>
      <w:r>
        <w:t>. It concludes that battery electric vehicles charged by electricity from renewable energy sources have the highest well to wheels efficiency.</w:t>
      </w:r>
    </w:p>
    <w:p w14:paraId="006949D5" w14:textId="7CF153C1" w:rsidR="0079165B" w:rsidRDefault="009A1115" w:rsidP="00E07471">
      <w:r>
        <w:t>Li</w:t>
      </w:r>
      <w:r w:rsidR="0079165B">
        <w:t xml:space="preserve"> et al. </w:t>
      </w:r>
      <w:r w:rsidR="0079165B">
        <w:fldChar w:fldCharType="begin"/>
      </w:r>
      <w:r w:rsidR="0079165B">
        <w:instrText xml:space="preserve"> REF _Ref194876402 \r \h </w:instrText>
      </w:r>
      <w:r w:rsidR="0079165B">
        <w:fldChar w:fldCharType="separate"/>
      </w:r>
      <w:r w:rsidR="0079165B">
        <w:t>[15]</w:t>
      </w:r>
      <w:r w:rsidR="0079165B">
        <w:fldChar w:fldCharType="end"/>
      </w:r>
      <w:r w:rsidR="0079165B">
        <w:t>, compares the well to wheel efficiency of electric vehicles with that of fuel</w:t>
      </w:r>
      <w:r>
        <w:t xml:space="preserve"> cell electric vehicles. Fuel cell vehicles are another promising alternative to traditional internal combustion vehicles, where the fuel is decomposed produce electricity which can be used to power the vehicle. This study proves that fuel cell electric vehicles are more efficient than battery electric vehicles. However, fuel cell vehicles are not yet mature enough to be a feasible means of transportation, owing to the difficulty in storing hydrogen. Hydrogen has a very low density to be stored in gaseous form and storing it in liquid form requires very low temperatures which make the infrastructure setup to fill up hydrogen very expensive </w:t>
      </w:r>
      <w:r>
        <w:fldChar w:fldCharType="begin"/>
      </w:r>
      <w:r>
        <w:instrText xml:space="preserve"> REF _Ref194876861 \r \h </w:instrText>
      </w:r>
      <w:r>
        <w:fldChar w:fldCharType="separate"/>
      </w:r>
      <w:r>
        <w:t>[16]</w:t>
      </w:r>
      <w:r>
        <w:fldChar w:fldCharType="end"/>
      </w:r>
      <w:r>
        <w:t>.</w:t>
      </w:r>
    </w:p>
    <w:p w14:paraId="1FF1E29A" w14:textId="1DFDB13B" w:rsidR="0079165B" w:rsidRDefault="009D2C63" w:rsidP="00E07471">
      <w:r>
        <w:t xml:space="preserve">Liu et al. </w:t>
      </w:r>
      <w:r>
        <w:fldChar w:fldCharType="begin"/>
      </w:r>
      <w:r>
        <w:instrText xml:space="preserve"> REF _Ref194877276 \r \h </w:instrText>
      </w:r>
      <w:r>
        <w:fldChar w:fldCharType="separate"/>
      </w:r>
      <w:r>
        <w:t>[17]</w:t>
      </w:r>
      <w:r>
        <w:fldChar w:fldCharType="end"/>
      </w:r>
      <w:r>
        <w:t xml:space="preserve">, demonstrate the well to wheel efficiency of electric medium and heavy duty trucks. Although the current study only focuses on passenger vehicles, the importance of electrifying commercial transportation cannot be understated as they account for about 20% of the total emissions due to transportation </w:t>
      </w:r>
      <w:r>
        <w:fldChar w:fldCharType="begin"/>
      </w:r>
      <w:r>
        <w:instrText xml:space="preserve"> REF _Ref194877435 \r \h </w:instrText>
      </w:r>
      <w:r>
        <w:fldChar w:fldCharType="separate"/>
      </w:r>
      <w:r>
        <w:t>[18]</w:t>
      </w:r>
      <w:r>
        <w:fldChar w:fldCharType="end"/>
      </w:r>
      <w:r>
        <w:t>. This is because commercial transportation have high utilization rates and higher power requirements although they are low in number as compared to passenger cars. This study shows that p</w:t>
      </w:r>
      <w:r w:rsidRPr="009D2C63">
        <w:t xml:space="preserve">lug-in battery electric vehicles </w:t>
      </w:r>
      <w:r>
        <w:t>have a higher efficiency than conventional trucks while also reducing on emission of greenhouse gases such as nitrogen oxides and volatile organic compounds.</w:t>
      </w:r>
    </w:p>
    <w:p w14:paraId="078FCF16" w14:textId="4260E0F8" w:rsidR="00061380" w:rsidRDefault="00061380" w:rsidP="00061380">
      <w:r>
        <w:t xml:space="preserve">Saini et al. </w:t>
      </w:r>
      <w:r>
        <w:fldChar w:fldCharType="begin"/>
      </w:r>
      <w:r>
        <w:instrText xml:space="preserve"> REF _Ref195343640 \r \h </w:instrText>
      </w:r>
      <w:r>
        <w:fldChar w:fldCharType="separate"/>
      </w:r>
      <w:r>
        <w:t>[19]</w:t>
      </w:r>
      <w:r>
        <w:fldChar w:fldCharType="end"/>
      </w:r>
      <w:r>
        <w:t>, demonstrate the computation of well to wheels efficiency of electric vehicles in Indian market. As will be shown later, the well to wheel efficiency of electric (or even plug in hybrid electric vehicles) depends heavily on the source of electricity generation. A strong renewable mix in the electricity supply would mean a higher well to wheel efficiency. This is owing to the fact that renewable energy does not have the burden of high recurring costs to procure the energy source or fuel. Instead a high initial investment and a low maintenance cost is all that is need to capture and convert the energy into electricity.</w:t>
      </w:r>
    </w:p>
    <w:p w14:paraId="5D53EDF4" w14:textId="2859CD1A" w:rsidR="00061380" w:rsidRDefault="00061380" w:rsidP="00061380">
      <w:pPr>
        <w:pStyle w:val="Heading1"/>
      </w:pPr>
      <w:r>
        <w:t>Methodology:</w:t>
      </w:r>
    </w:p>
    <w:p w14:paraId="6479E21E" w14:textId="77777777" w:rsidR="002051E9" w:rsidRDefault="002051E9" w:rsidP="00061380">
      <w:r>
        <w:t xml:space="preserve">The computation of well to wheels efficiency involves computing the total energy supplied to the wheels and dividing that by the total energy expenditure and the energy content of the sources. The total energy expenditure involves computing the energy consumed or lost during the following stages  </w:t>
      </w:r>
    </w:p>
    <w:p w14:paraId="0BD5DE12" w14:textId="0B26C0BE" w:rsidR="002051E9" w:rsidRDefault="002051E9" w:rsidP="002051E9">
      <w:pPr>
        <w:pStyle w:val="ListParagraph"/>
        <w:numPr>
          <w:ilvl w:val="0"/>
          <w:numId w:val="35"/>
        </w:numPr>
      </w:pPr>
      <w:r>
        <w:t>Energy consumed to generate the electricity</w:t>
      </w:r>
    </w:p>
    <w:p w14:paraId="021912DF" w14:textId="06EA8B6A" w:rsidR="002051E9" w:rsidRDefault="002051E9" w:rsidP="002051E9">
      <w:pPr>
        <w:pStyle w:val="ListParagraph"/>
        <w:numPr>
          <w:ilvl w:val="0"/>
          <w:numId w:val="35"/>
        </w:numPr>
      </w:pPr>
      <w:r>
        <w:t>Energy consumed to transport the electricity</w:t>
      </w:r>
    </w:p>
    <w:p w14:paraId="62633831" w14:textId="62198BE3" w:rsidR="002051E9" w:rsidRDefault="002051E9" w:rsidP="00CA0A2A">
      <w:pPr>
        <w:pStyle w:val="ListParagraph"/>
        <w:numPr>
          <w:ilvl w:val="0"/>
          <w:numId w:val="35"/>
        </w:numPr>
      </w:pPr>
      <w:r>
        <w:t>Energy lost in conversion to mechanical energy</w:t>
      </w:r>
    </w:p>
    <w:p w14:paraId="3F5E0CF0" w14:textId="09484E9D" w:rsidR="0022709F" w:rsidRDefault="0022709F" w:rsidP="00CA0A2A">
      <w:pPr>
        <w:pStyle w:val="ListParagraph"/>
        <w:numPr>
          <w:ilvl w:val="0"/>
          <w:numId w:val="35"/>
        </w:numPr>
      </w:pPr>
      <w:r>
        <w:lastRenderedPageBreak/>
        <w:t>Energy consumed in manufacturing of the vehicle</w:t>
      </w:r>
    </w:p>
    <w:p w14:paraId="03A2995F" w14:textId="30CF7D79" w:rsidR="002051E9" w:rsidRDefault="002051E9" w:rsidP="002051E9">
      <w:pPr>
        <w:pStyle w:val="ListParagraph"/>
        <w:numPr>
          <w:ilvl w:val="0"/>
          <w:numId w:val="35"/>
        </w:numPr>
      </w:pPr>
      <w:bookmarkStart w:id="2" w:name="_Hlk195359869"/>
      <w:r>
        <w:t>Energy consumed in maintenance of the vehicle</w:t>
      </w:r>
    </w:p>
    <w:bookmarkEnd w:id="2"/>
    <w:p w14:paraId="513A564D" w14:textId="16B8CF2B" w:rsidR="002051E9" w:rsidRDefault="002051E9" w:rsidP="002051E9">
      <w:pPr>
        <w:pStyle w:val="Heading2"/>
      </w:pPr>
      <w:r w:rsidRPr="002051E9">
        <w:t>Energy consumed to generate the electricity</w:t>
      </w:r>
    </w:p>
    <w:p w14:paraId="2EB5FD0C" w14:textId="6856167B" w:rsidR="00061380" w:rsidRPr="00061380" w:rsidRDefault="00061380" w:rsidP="00061380">
      <w:r>
        <w:t xml:space="preserve">It is critical to get an accurate estimation of this </w:t>
      </w:r>
      <w:r w:rsidR="00AB1B5F">
        <w:t>stage</w:t>
      </w:r>
      <w:r>
        <w:t xml:space="preserve"> of energy consumption/losses to arrive at a reasonably accurate estimate of well to wheels efficiency. </w:t>
      </w:r>
      <w:r w:rsidR="000B46FE">
        <w:t xml:space="preserve">This computation is challenging because the energy production has a different composition in different parts of the world. Therefore the methodology followed in this study focuses </w:t>
      </w:r>
      <w:r w:rsidR="000A6E06">
        <w:t>predominantly</w:t>
      </w:r>
      <w:r w:rsidR="000B46FE">
        <w:t xml:space="preserve"> on the cost of energy production using different sources and then computes a cost of energy for the overall mix based on the energy generation statistics for different regions.</w:t>
      </w:r>
    </w:p>
    <w:p w14:paraId="0D168367" w14:textId="7620908F" w:rsidR="009D2C63" w:rsidRDefault="00B055D3" w:rsidP="00E07471">
      <w:r>
        <w:t xml:space="preserve">In the US, the top contributors for electricity generation are natural gas, coal, nuclear, wind and hydropower (as shown in the table below). </w:t>
      </w:r>
    </w:p>
    <w:p w14:paraId="1220B6AF" w14:textId="5A8988A8" w:rsidR="00B055D3" w:rsidRDefault="00B055D3" w:rsidP="00691CA2">
      <w:pPr>
        <w:pStyle w:val="Caption"/>
      </w:pPr>
      <w:r>
        <w:t xml:space="preserve">Table </w:t>
      </w:r>
      <w:r w:rsidR="00E268D0">
        <w:fldChar w:fldCharType="begin"/>
      </w:r>
      <w:r w:rsidR="00E268D0">
        <w:instrText xml:space="preserve"> SEQ Table \* ARABIC </w:instrText>
      </w:r>
      <w:r w:rsidR="00E268D0">
        <w:fldChar w:fldCharType="separate"/>
      </w:r>
      <w:r w:rsidR="00157B56">
        <w:rPr>
          <w:noProof/>
        </w:rPr>
        <w:t>1</w:t>
      </w:r>
      <w:r w:rsidR="00E268D0">
        <w:rPr>
          <w:noProof/>
        </w:rPr>
        <w:fldChar w:fldCharType="end"/>
      </w:r>
      <w:r>
        <w:t xml:space="preserve">: </w:t>
      </w:r>
      <w:r w:rsidRPr="006A5275">
        <w:t>U.S. utility-scale electricity generation by source, amount, and share of total in 2023</w:t>
      </w:r>
      <w:r>
        <w:t xml:space="preserve"> (</w:t>
      </w:r>
      <w:r w:rsidRPr="00B055D3">
        <w:t>Data source: U.S. Energy Information Administration, Electric Power Monthly, February 2024; preliminary data</w:t>
      </w:r>
      <w:r>
        <w:t>)</w:t>
      </w:r>
      <w:r w:rsidR="00691CA2">
        <w:t xml:space="preserve"> </w:t>
      </w:r>
      <w:r w:rsidR="00691CA2">
        <w:fldChar w:fldCharType="begin"/>
      </w:r>
      <w:r w:rsidR="00691CA2">
        <w:instrText xml:space="preserve"> REF _Ref191204229 \r \h </w:instrText>
      </w:r>
      <w:r w:rsidR="00691CA2">
        <w:fldChar w:fldCharType="separate"/>
      </w:r>
      <w:r w:rsidR="00691CA2">
        <w:t>[20]</w:t>
      </w:r>
      <w:r w:rsidR="00691CA2">
        <w:fldChar w:fldCharType="end"/>
      </w:r>
    </w:p>
    <w:p w14:paraId="4DBE04D9" w14:textId="2E948A55" w:rsidR="00B055D3" w:rsidRPr="00E07471" w:rsidRDefault="00B055D3" w:rsidP="00E07471">
      <w:r>
        <w:rPr>
          <w:noProof/>
        </w:rPr>
        <w:drawing>
          <wp:inline distT="0" distB="0" distL="0" distR="0" wp14:anchorId="138BB2BA" wp14:editId="71556ABA">
            <wp:extent cx="3089910" cy="2710815"/>
            <wp:effectExtent l="0" t="0" r="0" b="0"/>
            <wp:docPr id="348811882"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48811882" name=""/>
                    <pic:cNvPicPr/>
                  </pic:nvPicPr>
                  <pic:blipFill>
                    <a:blip r:embed="rId17"/>
                    <a:stretch>
                      <a:fillRect/>
                    </a:stretch>
                  </pic:blipFill>
                  <pic:spPr>
                    <a:xfrm>
                      <a:off x="0" y="0"/>
                      <a:ext cx="3089910" cy="2710815"/>
                    </a:xfrm>
                    <a:prstGeom prst="rect">
                      <a:avLst/>
                    </a:prstGeom>
                  </pic:spPr>
                </pic:pic>
              </a:graphicData>
            </a:graphic>
          </wp:inline>
        </w:drawing>
      </w:r>
    </w:p>
    <w:p w14:paraId="2CD75FFA" w14:textId="77777777" w:rsidR="000373C0" w:rsidRDefault="000373C0" w:rsidP="00EA574C">
      <w:pPr>
        <w:pStyle w:val="BodyText"/>
      </w:pPr>
    </w:p>
    <w:p w14:paraId="45FB142A" w14:textId="31C95826" w:rsidR="00B055D3" w:rsidRDefault="00691CA2" w:rsidP="00EA574C">
      <w:pPr>
        <w:pStyle w:val="BodyText"/>
      </w:pPr>
      <w:r>
        <w:t>While in Europe, the energy generation sources are Nuclear (22.9%), wind (17.6%), Natural gas (16.8%), Coal (12.3%), Hydropower (11.8%) and Solar (9.1%), as is shown in the figure below.</w:t>
      </w:r>
    </w:p>
    <w:p w14:paraId="1CDB5F24" w14:textId="77777777" w:rsidR="00691CA2" w:rsidRDefault="00691CA2" w:rsidP="00691CA2">
      <w:pPr>
        <w:pStyle w:val="BodyText"/>
        <w:keepNext/>
      </w:pPr>
      <w:r>
        <w:rPr>
          <w:noProof/>
        </w:rPr>
        <w:drawing>
          <wp:inline distT="0" distB="0" distL="0" distR="0" wp14:anchorId="3F1143BB" wp14:editId="1928D53D">
            <wp:extent cx="3089910" cy="1503680"/>
            <wp:effectExtent l="0" t="0" r="0" b="1270"/>
            <wp:docPr id="134358166"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34358166" name=""/>
                    <pic:cNvPicPr/>
                  </pic:nvPicPr>
                  <pic:blipFill>
                    <a:blip r:embed="rId18"/>
                    <a:stretch>
                      <a:fillRect/>
                    </a:stretch>
                  </pic:blipFill>
                  <pic:spPr>
                    <a:xfrm>
                      <a:off x="0" y="0"/>
                      <a:ext cx="3089910" cy="1503680"/>
                    </a:xfrm>
                    <a:prstGeom prst="rect">
                      <a:avLst/>
                    </a:prstGeom>
                  </pic:spPr>
                </pic:pic>
              </a:graphicData>
            </a:graphic>
          </wp:inline>
        </w:drawing>
      </w:r>
    </w:p>
    <w:p w14:paraId="1441FD42" w14:textId="1B1F0AFB" w:rsidR="00691CA2" w:rsidRDefault="00691CA2" w:rsidP="00691CA2">
      <w:pPr>
        <w:pStyle w:val="Caption"/>
      </w:pPr>
      <w:r>
        <w:t xml:space="preserve">Figure </w:t>
      </w:r>
      <w:r w:rsidR="00E268D0">
        <w:fldChar w:fldCharType="begin"/>
      </w:r>
      <w:r w:rsidR="00E268D0">
        <w:instrText xml:space="preserve"> SEQ Figure \* ARABIC </w:instrText>
      </w:r>
      <w:r w:rsidR="00E268D0">
        <w:fldChar w:fldCharType="separate"/>
      </w:r>
      <w:r>
        <w:rPr>
          <w:noProof/>
        </w:rPr>
        <w:t>1</w:t>
      </w:r>
      <w:r w:rsidR="00E268D0">
        <w:rPr>
          <w:noProof/>
        </w:rPr>
        <w:fldChar w:fldCharType="end"/>
      </w:r>
      <w:r>
        <w:t xml:space="preserve">: </w:t>
      </w:r>
      <w:r w:rsidRPr="00764E66">
        <w:t>Share of EU electricity generation, by source (%)</w:t>
      </w:r>
      <w:r>
        <w:t xml:space="preserve"> </w:t>
      </w:r>
      <w:r>
        <w:fldChar w:fldCharType="begin"/>
      </w:r>
      <w:r>
        <w:instrText xml:space="preserve"> REF _Ref195346146 \r \h </w:instrText>
      </w:r>
      <w:r>
        <w:fldChar w:fldCharType="separate"/>
      </w:r>
      <w:r>
        <w:t>[21]</w:t>
      </w:r>
      <w:r>
        <w:fldChar w:fldCharType="end"/>
      </w:r>
    </w:p>
    <w:p w14:paraId="5836C062" w14:textId="3EF6A34A" w:rsidR="0095461C" w:rsidRDefault="0095461C" w:rsidP="00EA574C">
      <w:pPr>
        <w:pStyle w:val="BodyText"/>
      </w:pPr>
      <w:r>
        <w:t xml:space="preserve">In Australia, Coal contributed 46%, natural gas contributed 17% and rest is generated by renewables including </w:t>
      </w:r>
      <w:r w:rsidRPr="0095461C">
        <w:t>solar (16%), wind (12%) and hydro (6%)</w:t>
      </w:r>
      <w:r w:rsidR="00530721">
        <w:t xml:space="preserve"> in 2023</w:t>
      </w:r>
      <w:r>
        <w:t xml:space="preserve"> </w:t>
      </w:r>
      <w:r>
        <w:fldChar w:fldCharType="begin"/>
      </w:r>
      <w:r>
        <w:instrText xml:space="preserve"> REF _Ref195370863 \r \h </w:instrText>
      </w:r>
      <w:r>
        <w:fldChar w:fldCharType="separate"/>
      </w:r>
      <w:r>
        <w:t>[38]</w:t>
      </w:r>
      <w:r>
        <w:fldChar w:fldCharType="end"/>
      </w:r>
      <w:r>
        <w:t>.</w:t>
      </w:r>
    </w:p>
    <w:p w14:paraId="254C40CD" w14:textId="5AED1A14" w:rsidR="00530721" w:rsidRDefault="00530721" w:rsidP="00EA574C">
      <w:pPr>
        <w:pStyle w:val="BodyText"/>
      </w:pPr>
      <w:r>
        <w:t xml:space="preserve">While in India, Coal power accounted for 74.3% of electricity generation, hydropower contributed 7.6%, natural gas contributed 2.6%, nuclear contributed 2.5% and solar contributed 5.8% in 2023 </w:t>
      </w:r>
      <w:r>
        <w:fldChar w:fldCharType="begin"/>
      </w:r>
      <w:r>
        <w:instrText xml:space="preserve"> REF _Ref195371122 \r \h </w:instrText>
      </w:r>
      <w:r>
        <w:fldChar w:fldCharType="separate"/>
      </w:r>
      <w:r>
        <w:t>[39]</w:t>
      </w:r>
      <w:r>
        <w:fldChar w:fldCharType="end"/>
      </w:r>
      <w:r>
        <w:t>.</w:t>
      </w:r>
    </w:p>
    <w:p w14:paraId="560B8FA3" w14:textId="2BBC47FB" w:rsidR="0095461C" w:rsidRDefault="00530721" w:rsidP="000A6E06">
      <w:pPr>
        <w:pStyle w:val="BodyText"/>
      </w:pPr>
      <w:r>
        <w:t>China produced most of its electricity in 2023 from Coal power which contributed to 60.5% of electricity generated, while hydropower contributed 13.2% ,gas contributed 3% and nuclear contributed 4.6%</w:t>
      </w:r>
    </w:p>
    <w:p w14:paraId="35F93EE7" w14:textId="56BE28F9" w:rsidR="00491E33" w:rsidRDefault="00491E33" w:rsidP="00EA574C">
      <w:pPr>
        <w:pStyle w:val="BodyText"/>
      </w:pPr>
      <w:r>
        <w:t>Using these statistics, computing the energy consumption requirement for the following sources would give us a better understanding of total energy consumed in the electricity generation process.</w:t>
      </w:r>
    </w:p>
    <w:p w14:paraId="22CD4FE1" w14:textId="4375CABF" w:rsidR="00FE3DAA" w:rsidRDefault="00491E33" w:rsidP="00491E33">
      <w:pPr>
        <w:pStyle w:val="BodyText"/>
        <w:numPr>
          <w:ilvl w:val="0"/>
          <w:numId w:val="34"/>
        </w:numPr>
      </w:pPr>
      <w:r>
        <w:t xml:space="preserve"> Natural Gas</w:t>
      </w:r>
    </w:p>
    <w:p w14:paraId="44CE30D6" w14:textId="4EA0560B" w:rsidR="00491E33" w:rsidRDefault="00491E33" w:rsidP="00491E33">
      <w:pPr>
        <w:pStyle w:val="BodyText"/>
        <w:numPr>
          <w:ilvl w:val="0"/>
          <w:numId w:val="34"/>
        </w:numPr>
      </w:pPr>
      <w:r>
        <w:t>Coal</w:t>
      </w:r>
    </w:p>
    <w:p w14:paraId="5EB1C9A0" w14:textId="4F8D4484" w:rsidR="00491E33" w:rsidRDefault="00491E33" w:rsidP="00491E33">
      <w:pPr>
        <w:pStyle w:val="BodyText"/>
        <w:numPr>
          <w:ilvl w:val="0"/>
          <w:numId w:val="34"/>
        </w:numPr>
      </w:pPr>
      <w:r>
        <w:t>Nuclear</w:t>
      </w:r>
    </w:p>
    <w:p w14:paraId="0045F96F" w14:textId="27108289" w:rsidR="00491E33" w:rsidRDefault="00215DE9" w:rsidP="00491E33">
      <w:pPr>
        <w:pStyle w:val="BodyText"/>
        <w:numPr>
          <w:ilvl w:val="0"/>
          <w:numId w:val="34"/>
        </w:numPr>
      </w:pPr>
      <w:r>
        <w:t>Renewables</w:t>
      </w:r>
    </w:p>
    <w:p w14:paraId="78945D8C" w14:textId="7C009589" w:rsidR="00491E33" w:rsidRDefault="00DA2A69" w:rsidP="00491E33">
      <w:pPr>
        <w:pStyle w:val="BodyText"/>
      </w:pPr>
      <w:r>
        <w:t xml:space="preserve">Renewables includes sources such as solar, wind and hydropower. These sources are classified as renewables </w:t>
      </w:r>
      <w:r w:rsidR="000A6E06">
        <w:t>because</w:t>
      </w:r>
      <w:r>
        <w:t xml:space="preserve"> these sources of energy are constantly replenished and do not run out on human timescales.</w:t>
      </w:r>
    </w:p>
    <w:p w14:paraId="16CFEE04" w14:textId="64960C5F" w:rsidR="00491E33" w:rsidRDefault="00491E33" w:rsidP="002051E9">
      <w:pPr>
        <w:pStyle w:val="Heading3"/>
      </w:pPr>
      <w:r>
        <w:t>Natural Gas</w:t>
      </w:r>
    </w:p>
    <w:p w14:paraId="4910D165" w14:textId="77777777" w:rsidR="00215DE9" w:rsidRDefault="00D830D9" w:rsidP="00D830D9">
      <w:r>
        <w:t xml:space="preserve">Natural gas power plants make up a majority of the electricity produced in the US.  The efficiency of natural gas power plants is in between 48-55% </w:t>
      </w:r>
      <w:r>
        <w:fldChar w:fldCharType="begin"/>
      </w:r>
      <w:r>
        <w:instrText xml:space="preserve"> REF _Ref195350795 \r \h </w:instrText>
      </w:r>
      <w:r>
        <w:fldChar w:fldCharType="separate"/>
      </w:r>
      <w:r>
        <w:t>[22]</w:t>
      </w:r>
      <w:r>
        <w:fldChar w:fldCharType="end"/>
      </w:r>
      <w:r>
        <w:t xml:space="preserve">, </w:t>
      </w:r>
      <w:r>
        <w:fldChar w:fldCharType="begin"/>
      </w:r>
      <w:r>
        <w:instrText xml:space="preserve"> REF _Ref195350797 \r \h </w:instrText>
      </w:r>
      <w:r>
        <w:fldChar w:fldCharType="separate"/>
      </w:r>
      <w:r>
        <w:t>[23]</w:t>
      </w:r>
      <w:r>
        <w:fldChar w:fldCharType="end"/>
      </w:r>
      <w:r>
        <w:t xml:space="preserve">, </w:t>
      </w:r>
      <w:r>
        <w:fldChar w:fldCharType="begin"/>
      </w:r>
      <w:r>
        <w:instrText xml:space="preserve"> REF _Ref195350798 \r \h </w:instrText>
      </w:r>
      <w:r>
        <w:fldChar w:fldCharType="separate"/>
      </w:r>
      <w:r>
        <w:t>[24]</w:t>
      </w:r>
      <w:r>
        <w:fldChar w:fldCharType="end"/>
      </w:r>
      <w:r>
        <w:t xml:space="preserve">. </w:t>
      </w:r>
    </w:p>
    <w:p w14:paraId="5254A22A" w14:textId="77777777" w:rsidR="00215DE9" w:rsidRDefault="00215DE9" w:rsidP="00D830D9"/>
    <w:p w14:paraId="5A2DEB16" w14:textId="67347269" w:rsidR="00215DE9" w:rsidRPr="00EF3F03" w:rsidRDefault="00E268D0" w:rsidP="00215DE9">
      <w:pPr>
        <w:pStyle w:val="BodyText"/>
        <w:rPr>
          <w:lang w:val="en-US"/>
        </w:rPr>
      </w:pPr>
      <m:oMathPara>
        <m:oMath>
          <m:eqArr>
            <m:eqArrPr>
              <m:maxDist m:val="1"/>
              <m:ctrlPr>
                <w:rPr>
                  <w:rFonts w:ascii="Cambria Math" w:hAnsi="Cambria Math"/>
                  <w:i/>
                  <w:lang w:val="en-US"/>
                </w:rPr>
              </m:ctrlPr>
            </m:eqArrPr>
            <m:e>
              <m:r>
                <w:rPr>
                  <w:rFonts w:ascii="Cambria Math" w:hAnsi="Cambria Math"/>
                  <w:lang w:val="en-US"/>
                </w:rPr>
                <m:t>η</m:t>
              </m:r>
              <m:r>
                <w:rPr>
                  <w:rFonts w:ascii="Cambria Math" w:hAnsi="Cambria Math"/>
                  <w:lang w:val="en-US"/>
                </w:rPr>
                <m:t>=</m:t>
              </m:r>
              <m:f>
                <m:fPr>
                  <m:ctrlPr>
                    <w:rPr>
                      <w:rFonts w:ascii="Cambria Math" w:hAnsi="Cambria Math"/>
                      <w:i/>
                      <w:lang w:val="en-US"/>
                    </w:rPr>
                  </m:ctrlPr>
                </m:fPr>
                <m:num>
                  <m:r>
                    <w:rPr>
                      <w:rFonts w:ascii="Cambria Math" w:hAnsi="Cambria Math"/>
                      <w:lang w:val="en-US"/>
                    </w:rPr>
                    <m:t>output</m:t>
                  </m:r>
                  <m:r>
                    <w:rPr>
                      <w:rFonts w:ascii="Cambria Math" w:hAnsi="Cambria Math"/>
                      <w:lang w:val="en-US"/>
                    </w:rPr>
                    <m:t xml:space="preserve"> </m:t>
                  </m:r>
                  <m:r>
                    <w:rPr>
                      <w:rFonts w:ascii="Cambria Math" w:hAnsi="Cambria Math"/>
                      <w:lang w:val="en-US"/>
                    </w:rPr>
                    <m:t>energy</m:t>
                  </m:r>
                </m:num>
                <m:den>
                  <m:r>
                    <w:rPr>
                      <w:rFonts w:ascii="Cambria Math" w:hAnsi="Cambria Math"/>
                      <w:lang w:val="en-US"/>
                    </w:rPr>
                    <m:t>input</m:t>
                  </m:r>
                  <m:r>
                    <w:rPr>
                      <w:rFonts w:ascii="Cambria Math" w:hAnsi="Cambria Math"/>
                      <w:lang w:val="en-US"/>
                    </w:rPr>
                    <m:t xml:space="preserve"> </m:t>
                  </m:r>
                  <m:r>
                    <w:rPr>
                      <w:rFonts w:ascii="Cambria Math" w:hAnsi="Cambria Math"/>
                      <w:lang w:val="en-US"/>
                    </w:rPr>
                    <m:t>energy</m:t>
                  </m:r>
                </m:den>
              </m:f>
              <m:ctrlPr>
                <w:rPr>
                  <w:rFonts w:ascii="Cambria Math" w:eastAsia="Cambria Math" w:hAnsi="Cambria Math" w:cs="Cambria Math"/>
                  <w:i/>
                </w:rPr>
              </m:ctrlPr>
            </m:e>
            <m:e>
              <m:r>
                <w:rPr>
                  <w:rFonts w:ascii="Cambria Math" w:hAnsi="Cambria Math"/>
                  <w:lang w:val="en-US"/>
                </w:rPr>
                <m:t>input</m:t>
              </m:r>
              <m:r>
                <w:rPr>
                  <w:rFonts w:ascii="Cambria Math" w:hAnsi="Cambria Math"/>
                  <w:lang w:val="en-US"/>
                </w:rPr>
                <m:t xml:space="preserve"> </m:t>
              </m:r>
              <m:r>
                <w:rPr>
                  <w:rFonts w:ascii="Cambria Math" w:hAnsi="Cambria Math"/>
                  <w:lang w:val="en-US"/>
                </w:rPr>
                <m:t>energy</m:t>
              </m:r>
              <m:r>
                <w:rPr>
                  <w:rFonts w:ascii="Cambria Math" w:hAnsi="Cambria Math"/>
                  <w:lang w:val="en-US"/>
                </w:rPr>
                <m:t>=</m:t>
              </m:r>
              <m:f>
                <m:fPr>
                  <m:ctrlPr>
                    <w:rPr>
                      <w:rFonts w:ascii="Cambria Math" w:hAnsi="Cambria Math"/>
                      <w:i/>
                      <w:lang w:val="en-US"/>
                    </w:rPr>
                  </m:ctrlPr>
                </m:fPr>
                <m:num>
                  <m:r>
                    <w:rPr>
                      <w:rFonts w:ascii="Cambria Math" w:hAnsi="Cambria Math"/>
                      <w:lang w:val="en-US"/>
                    </w:rPr>
                    <m:t>output</m:t>
                  </m:r>
                  <m:r>
                    <w:rPr>
                      <w:rFonts w:ascii="Cambria Math" w:hAnsi="Cambria Math"/>
                      <w:lang w:val="en-US"/>
                    </w:rPr>
                    <m:t xml:space="preserve"> </m:t>
                  </m:r>
                  <m:r>
                    <w:rPr>
                      <w:rFonts w:ascii="Cambria Math" w:hAnsi="Cambria Math"/>
                      <w:lang w:val="en-US"/>
                    </w:rPr>
                    <m:t>energy</m:t>
                  </m:r>
                </m:num>
                <m:den>
                  <m:r>
                    <w:rPr>
                      <w:rFonts w:ascii="Cambria Math" w:hAnsi="Cambria Math"/>
                      <w:lang w:val="en-US"/>
                    </w:rPr>
                    <m:t>η</m:t>
                  </m:r>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e>
              </m:d>
            </m:e>
          </m:eqArr>
        </m:oMath>
      </m:oMathPara>
    </w:p>
    <w:p w14:paraId="5016578B" w14:textId="458C416E" w:rsidR="00D830D9" w:rsidRDefault="00D830D9" w:rsidP="00D830D9">
      <w:r>
        <w:t>This means that to generate 1kWh of energy, the input energy is about 2kWh (considering an average efficiency of 50%</w:t>
      </w:r>
      <w:r w:rsidR="00215DE9">
        <w:t xml:space="preserve"> and using the relationship in (</w:t>
      </w:r>
      <w:r w:rsidR="000A6E06">
        <w:t>1</w:t>
      </w:r>
      <w:r w:rsidR="00215DE9">
        <w:t>)</w:t>
      </w:r>
      <w:r>
        <w:t xml:space="preserve">). This 2kWh of energy input also includes the energy required to mine the fuel , transport it and </w:t>
      </w:r>
      <w:r w:rsidR="008E6CEA">
        <w:t>the energy content of the fuel itself.</w:t>
      </w:r>
    </w:p>
    <w:p w14:paraId="6ED62A67" w14:textId="28A4F0D5" w:rsidR="008E6CEA" w:rsidRDefault="008E6CEA" w:rsidP="002051E9">
      <w:pPr>
        <w:pStyle w:val="Heading3"/>
      </w:pPr>
      <w:r>
        <w:t>Coal</w:t>
      </w:r>
    </w:p>
    <w:p w14:paraId="5A75E2FC" w14:textId="03465293" w:rsidR="008E6CEA" w:rsidRDefault="008E6CEA" w:rsidP="008E6CEA">
      <w:r>
        <w:t xml:space="preserve">Coal is another key source of fuel used to generate electricity. Coal is inherently very energy dense and is abundant in lot of countries, making it an affordable source of energy. However, since the process of generating energy involves burning the fuel, the emissions from combustion of coal can contribute to </w:t>
      </w:r>
      <w:r w:rsidR="002742F2">
        <w:t>greenhouse</w:t>
      </w:r>
      <w:r>
        <w:t xml:space="preserve"> gas effect. </w:t>
      </w:r>
    </w:p>
    <w:p w14:paraId="0B0F3CD7" w14:textId="41571AE6" w:rsidR="008E6CEA" w:rsidRDefault="008E6CEA" w:rsidP="008E6CEA">
      <w:r>
        <w:t xml:space="preserve">The efficiency of traditional coal power plants is in between 42% to 46% </w:t>
      </w:r>
      <w:r>
        <w:fldChar w:fldCharType="begin"/>
      </w:r>
      <w:r>
        <w:instrText xml:space="preserve"> REF _Ref195351562 \r \h </w:instrText>
      </w:r>
      <w:r>
        <w:fldChar w:fldCharType="separate"/>
      </w:r>
      <w:r>
        <w:t>[25]</w:t>
      </w:r>
      <w:r>
        <w:fldChar w:fldCharType="end"/>
      </w:r>
      <w:r>
        <w:fldChar w:fldCharType="begin"/>
      </w:r>
      <w:r>
        <w:instrText xml:space="preserve"> REF _Ref195351563 \r \h </w:instrText>
      </w:r>
      <w:r>
        <w:fldChar w:fldCharType="separate"/>
      </w:r>
      <w:r>
        <w:t>[26]</w:t>
      </w:r>
      <w:r>
        <w:fldChar w:fldCharType="end"/>
      </w:r>
      <w:r>
        <w:t xml:space="preserve">. This efficiency is </w:t>
      </w:r>
      <w:r w:rsidR="00AB1B5F">
        <w:t>higher</w:t>
      </w:r>
      <w:r>
        <w:t xml:space="preserve"> in </w:t>
      </w:r>
      <w:r w:rsidR="00AB1B5F">
        <w:t>modern</w:t>
      </w:r>
      <w:r>
        <w:t xml:space="preserve"> plants which use </w:t>
      </w:r>
      <w:r w:rsidR="00AB1B5F">
        <w:t xml:space="preserve">advanced </w:t>
      </w:r>
      <w:r>
        <w:t xml:space="preserve">technologies such as super critical carbon dioxide cycles that can increase the efficiency to 51% </w:t>
      </w:r>
      <w:r>
        <w:fldChar w:fldCharType="begin"/>
      </w:r>
      <w:r>
        <w:instrText xml:space="preserve"> REF _Ref195351586 \r \h </w:instrText>
      </w:r>
      <w:r>
        <w:fldChar w:fldCharType="separate"/>
      </w:r>
      <w:r>
        <w:t>[27]</w:t>
      </w:r>
      <w:r>
        <w:fldChar w:fldCharType="end"/>
      </w:r>
      <w:r>
        <w:t xml:space="preserve">. There are also a few plants that implement a carbon capture technology that in turn reduce the efficiency of the power plant by 10% due to the energy spent in capture and compression processes </w:t>
      </w:r>
      <w:r>
        <w:fldChar w:fldCharType="begin"/>
      </w:r>
      <w:r>
        <w:instrText xml:space="preserve"> REF _Ref195351608 \r \h </w:instrText>
      </w:r>
      <w:r>
        <w:fldChar w:fldCharType="separate"/>
      </w:r>
      <w:r>
        <w:t>[28]</w:t>
      </w:r>
      <w:r>
        <w:fldChar w:fldCharType="end"/>
      </w:r>
      <w:r>
        <w:t>.</w:t>
      </w:r>
      <w:r w:rsidR="008438BE">
        <w:t xml:space="preserve"> Thus, considering an average efficiency of 45%, the energy input to generate 1kWh of energy is about 2.22kWh</w:t>
      </w:r>
      <w:r w:rsidR="000A6E06">
        <w:t xml:space="preserve"> from </w:t>
      </w:r>
      <m:oMath>
        <m:d>
          <m:dPr>
            <m:ctrlPr>
              <w:rPr>
                <w:rFonts w:ascii="Cambria Math" w:hAnsi="Cambria Math"/>
                <w:i/>
                <w:lang w:val="en-US"/>
              </w:rPr>
            </m:ctrlPr>
          </m:dPr>
          <m:e>
            <m:r>
              <w:rPr>
                <w:rFonts w:ascii="Cambria Math" w:hAnsi="Cambria Math"/>
                <w:lang w:val="en-US"/>
              </w:rPr>
              <m:t>1</m:t>
            </m:r>
          </m:e>
        </m:d>
      </m:oMath>
      <w:r w:rsidR="000A6E06">
        <w:t xml:space="preserve"> </w:t>
      </w:r>
      <w:r w:rsidR="008438BE">
        <w:t>.</w:t>
      </w:r>
    </w:p>
    <w:p w14:paraId="7980D18B" w14:textId="735D387B" w:rsidR="008438BE" w:rsidRDefault="008438BE" w:rsidP="002051E9">
      <w:pPr>
        <w:pStyle w:val="Heading3"/>
      </w:pPr>
      <w:r>
        <w:t>Nuclear:</w:t>
      </w:r>
    </w:p>
    <w:p w14:paraId="670EAE68" w14:textId="6A40AE89" w:rsidR="008438BE" w:rsidRDefault="008438BE" w:rsidP="008438BE">
      <w:r>
        <w:t xml:space="preserve">Nuclear power plants operate in a similar fashion to coal and natural gas power plants. Nuclear fuel is broken down via </w:t>
      </w:r>
      <w:r>
        <w:lastRenderedPageBreak/>
        <w:t>fission which generates heat and this heat is used to power a steam cycle similar to coal and natural gas power plants and thus electricity is generated. Although the methodology is similar, there are vast differences in the environmental impacts. Since fission does not involve combustion, there are no biproducts that are released into the atmosphere and thereby nuclear plants do not contribute to greenhouse effect. However, handling the nuclear fuel and disposal of nuclear waste (biproduct of nuclear power plants) is a unique challenge that</w:t>
      </w:r>
      <w:r w:rsidR="00AB1B5F">
        <w:t xml:space="preserve"> only</w:t>
      </w:r>
      <w:r>
        <w:t xml:space="preserve"> nuclear power plants face. </w:t>
      </w:r>
    </w:p>
    <w:p w14:paraId="4AE4AD56" w14:textId="7DE212A8" w:rsidR="008438BE" w:rsidRDefault="008438BE" w:rsidP="008438BE">
      <w:r>
        <w:t xml:space="preserve">There are several nuclear power plant designs each with a different efficiency of power conversion. </w:t>
      </w:r>
      <w:r w:rsidR="00CD6873" w:rsidRPr="00CD6873">
        <w:t>For instance, Boiling Water Reactors (BWR) have an efficiency of 32%, which can be increased to 33% with advanced designs. Pressurized Water Reactors (PWR) can improve from 33% to 36.5% with enhancements like gas burners and reheating. Small Modular Reactors (SMR) show potential for higher efficiencies, reaching up to 45% when combined with technologies like Combined Cycle Gas Turbines (CCGT)</w:t>
      </w:r>
      <w:r w:rsidR="00CD6873">
        <w:fldChar w:fldCharType="begin"/>
      </w:r>
      <w:r w:rsidR="00CD6873">
        <w:instrText xml:space="preserve"> REF _Ref195352442 \r \h </w:instrText>
      </w:r>
      <w:r w:rsidR="00CD6873">
        <w:fldChar w:fldCharType="separate"/>
      </w:r>
      <w:r w:rsidR="00CD6873">
        <w:t>[29]</w:t>
      </w:r>
      <w:r w:rsidR="00CD6873">
        <w:fldChar w:fldCharType="end"/>
      </w:r>
      <w:r w:rsidR="00CD6873">
        <w:t>.</w:t>
      </w:r>
    </w:p>
    <w:p w14:paraId="4FD95A32" w14:textId="62DB2C1E" w:rsidR="00CD6873" w:rsidRPr="008438BE" w:rsidRDefault="00CD6873" w:rsidP="008438BE">
      <w:r>
        <w:t xml:space="preserve">Considering an average efficiency of </w:t>
      </w:r>
      <w:r w:rsidR="00215DE9">
        <w:t>35%, the input energy required to generate 1kWh of energy is about 2.85kWh</w:t>
      </w:r>
      <w:r w:rsidR="000A6E06">
        <w:t xml:space="preserve"> from </w:t>
      </w:r>
      <m:oMath>
        <m:d>
          <m:dPr>
            <m:ctrlPr>
              <w:rPr>
                <w:rFonts w:ascii="Cambria Math" w:hAnsi="Cambria Math"/>
                <w:i/>
                <w:lang w:val="en-US"/>
              </w:rPr>
            </m:ctrlPr>
          </m:dPr>
          <m:e>
            <m:r>
              <w:rPr>
                <w:rFonts w:ascii="Cambria Math" w:hAnsi="Cambria Math"/>
                <w:lang w:val="en-US"/>
              </w:rPr>
              <m:t>1</m:t>
            </m:r>
          </m:e>
        </m:d>
      </m:oMath>
      <w:r w:rsidR="00215DE9">
        <w:t>.</w:t>
      </w:r>
    </w:p>
    <w:p w14:paraId="3D0C354A" w14:textId="28914A3F" w:rsidR="002E5FD7" w:rsidRDefault="00215DE9" w:rsidP="002051E9">
      <w:pPr>
        <w:pStyle w:val="Heading3"/>
      </w:pPr>
      <w:r>
        <w:t>Renewables</w:t>
      </w:r>
    </w:p>
    <w:p w14:paraId="14F2AD3F" w14:textId="57B339FB" w:rsidR="00215DE9" w:rsidRDefault="00215DE9" w:rsidP="00215DE9">
      <w:r>
        <w:t>The electricity generation from electricity is different from fossil fuels or nuclear power generation in that it does not involve a recurring cost for procuring the fuel. Thus the input energy is basically free and any energy consumption happens in the form of maintenance which is miniscule for the purposes of this study. Hence, the energy consumed in the generation phase of renewables is assumed to be negligible.</w:t>
      </w:r>
      <w:r w:rsidR="000A6E06">
        <w:t xml:space="preserve"> Note that the energy consumed for maintenance of renewables is ignored here because the maintenance energy is </w:t>
      </w:r>
      <w:r w:rsidR="00AB1B5F">
        <w:t>relatively</w:t>
      </w:r>
      <w:r w:rsidR="000A6E06">
        <w:t xml:space="preserve"> low as compared to the overall energy produced in  this stage. When it comes to maintenance of the vehicle itself, the energy required is not negligible and thus is considered in later part of this study.</w:t>
      </w:r>
      <w:r>
        <w:t xml:space="preserve"> </w:t>
      </w:r>
      <w:r w:rsidR="00AB1B5F">
        <w:t>Similarly</w:t>
      </w:r>
      <w:r>
        <w:t>, there is a cost incurred to transport the electricity to the grid in the form of transmission losses. Since this is a component that’s common to all the forms of energy generation.</w:t>
      </w:r>
    </w:p>
    <w:p w14:paraId="18C9FF46" w14:textId="70FC3451" w:rsidR="00215DE9" w:rsidRDefault="00215DE9" w:rsidP="00215DE9">
      <w:r>
        <w:t>Now that we have the input energy estimate for all the form of electricity generation, we can now compute the overall energy input required to generate one kWh of electricity. To compute this quantity for a generic mix of electricity generation sources we can assume th</w:t>
      </w:r>
      <w:r w:rsidR="00011A2C">
        <w:t>e following composition</w:t>
      </w:r>
    </w:p>
    <w:tbl>
      <w:tblPr>
        <w:tblStyle w:val="TableGrid"/>
        <w:tblW w:w="0pt" w:type="dxa"/>
        <w:tblLook w:firstRow="1" w:lastRow="0" w:firstColumn="1" w:lastColumn="0" w:noHBand="0" w:noVBand="1"/>
      </w:tblPr>
      <w:tblGrid>
        <w:gridCol w:w="1618"/>
        <w:gridCol w:w="1619"/>
        <w:gridCol w:w="1619"/>
      </w:tblGrid>
      <w:tr w:rsidR="00011A2C" w14:paraId="348A7984" w14:textId="77777777" w:rsidTr="00011A2C">
        <w:tc>
          <w:tcPr>
            <w:tcW w:w="80.90pt" w:type="dxa"/>
          </w:tcPr>
          <w:p w14:paraId="58325808" w14:textId="3BFE28DF" w:rsidR="00011A2C" w:rsidRDefault="00011A2C" w:rsidP="00215DE9">
            <w:pPr>
              <w:ind w:firstLine="0pt"/>
            </w:pPr>
            <w:r>
              <w:t>Energy source</w:t>
            </w:r>
          </w:p>
        </w:tc>
        <w:tc>
          <w:tcPr>
            <w:tcW w:w="80.95pt" w:type="dxa"/>
          </w:tcPr>
          <w:p w14:paraId="1E680E90" w14:textId="04EA1046" w:rsidR="00011A2C" w:rsidRDefault="00011A2C" w:rsidP="00215DE9">
            <w:pPr>
              <w:ind w:firstLine="0pt"/>
            </w:pPr>
            <w:r>
              <w:t>Percentage composition</w:t>
            </w:r>
          </w:p>
        </w:tc>
        <w:tc>
          <w:tcPr>
            <w:tcW w:w="80.95pt" w:type="dxa"/>
          </w:tcPr>
          <w:p w14:paraId="1903741F" w14:textId="4D097CA5" w:rsidR="00011A2C" w:rsidRDefault="00011A2C" w:rsidP="00215DE9">
            <w:pPr>
              <w:ind w:firstLine="0pt"/>
            </w:pPr>
            <w:r>
              <w:t>Input energy to generate 1kWh of energy</w:t>
            </w:r>
          </w:p>
        </w:tc>
      </w:tr>
      <w:tr w:rsidR="00011A2C" w14:paraId="4EB00322" w14:textId="77777777" w:rsidTr="00011A2C">
        <w:tc>
          <w:tcPr>
            <w:tcW w:w="80.90pt" w:type="dxa"/>
          </w:tcPr>
          <w:p w14:paraId="3F6495E5" w14:textId="3CC879AD" w:rsidR="00011A2C" w:rsidRDefault="00011A2C" w:rsidP="00215DE9">
            <w:pPr>
              <w:ind w:firstLine="0pt"/>
            </w:pPr>
            <w:r>
              <w:t>Natural gas</w:t>
            </w:r>
          </w:p>
        </w:tc>
        <w:tc>
          <w:tcPr>
            <w:tcW w:w="80.95pt" w:type="dxa"/>
          </w:tcPr>
          <w:p w14:paraId="10D73CF9" w14:textId="2CC79630" w:rsidR="00011A2C" w:rsidRDefault="00011A2C" w:rsidP="00215DE9">
            <w:pPr>
              <w:ind w:firstLine="0pt"/>
            </w:pPr>
            <m:oMathPara>
              <m:oMath>
                <m:r>
                  <w:rPr>
                    <w:rFonts w:ascii="Cambria Math" w:hAnsi="Cambria Math"/>
                  </w:rPr>
                  <m:t>n</m:t>
                </m:r>
              </m:oMath>
            </m:oMathPara>
          </w:p>
        </w:tc>
        <w:tc>
          <w:tcPr>
            <w:tcW w:w="80.95pt" w:type="dxa"/>
          </w:tcPr>
          <w:p w14:paraId="2C4ADA93" w14:textId="386F159F" w:rsidR="00011A2C" w:rsidRDefault="00011A2C" w:rsidP="00215DE9">
            <w:pPr>
              <w:ind w:firstLine="0pt"/>
            </w:pPr>
            <w:r>
              <w:t>2 kWh</w:t>
            </w:r>
          </w:p>
        </w:tc>
      </w:tr>
      <w:tr w:rsidR="00011A2C" w14:paraId="7B7D15FA" w14:textId="77777777" w:rsidTr="00011A2C">
        <w:tc>
          <w:tcPr>
            <w:tcW w:w="80.90pt" w:type="dxa"/>
          </w:tcPr>
          <w:p w14:paraId="5174FF00" w14:textId="370EE377" w:rsidR="00011A2C" w:rsidRDefault="00011A2C" w:rsidP="00215DE9">
            <w:pPr>
              <w:ind w:firstLine="0pt"/>
            </w:pPr>
            <w:r>
              <w:t>Coal</w:t>
            </w:r>
          </w:p>
        </w:tc>
        <w:tc>
          <w:tcPr>
            <w:tcW w:w="80.95pt" w:type="dxa"/>
          </w:tcPr>
          <w:p w14:paraId="10678010" w14:textId="18163517" w:rsidR="00011A2C" w:rsidRDefault="00011A2C" w:rsidP="00215DE9">
            <w:pPr>
              <w:ind w:firstLine="0pt"/>
            </w:pPr>
            <m:oMathPara>
              <m:oMath>
                <m:r>
                  <w:rPr>
                    <w:rFonts w:ascii="Cambria Math" w:hAnsi="Cambria Math"/>
                  </w:rPr>
                  <m:t>c</m:t>
                </m:r>
              </m:oMath>
            </m:oMathPara>
          </w:p>
        </w:tc>
        <w:tc>
          <w:tcPr>
            <w:tcW w:w="80.95pt" w:type="dxa"/>
          </w:tcPr>
          <w:p w14:paraId="6DA8B037" w14:textId="0127B167" w:rsidR="00011A2C" w:rsidRDefault="00011A2C" w:rsidP="00215DE9">
            <w:pPr>
              <w:ind w:firstLine="0pt"/>
            </w:pPr>
            <w:r>
              <w:t>2.22 kWh</w:t>
            </w:r>
          </w:p>
        </w:tc>
      </w:tr>
      <w:tr w:rsidR="00011A2C" w14:paraId="25D299ED" w14:textId="77777777" w:rsidTr="00011A2C">
        <w:tc>
          <w:tcPr>
            <w:tcW w:w="80.90pt" w:type="dxa"/>
          </w:tcPr>
          <w:p w14:paraId="08C11C86" w14:textId="466AE71C" w:rsidR="00011A2C" w:rsidRDefault="00011A2C" w:rsidP="00215DE9">
            <w:pPr>
              <w:ind w:firstLine="0pt"/>
            </w:pPr>
            <w:r>
              <w:t>Nuclear</w:t>
            </w:r>
          </w:p>
        </w:tc>
        <w:tc>
          <w:tcPr>
            <w:tcW w:w="80.95pt" w:type="dxa"/>
          </w:tcPr>
          <w:p w14:paraId="736FE82A" w14:textId="55519F1B" w:rsidR="00011A2C" w:rsidRDefault="00011A2C" w:rsidP="00215DE9">
            <w:pPr>
              <w:ind w:firstLine="0pt"/>
            </w:pPr>
            <m:oMathPara>
              <m:oMath>
                <m:r>
                  <w:rPr>
                    <w:rFonts w:ascii="Cambria Math" w:hAnsi="Cambria Math"/>
                  </w:rPr>
                  <m:t xml:space="preserve">ϕ </m:t>
                </m:r>
              </m:oMath>
            </m:oMathPara>
          </w:p>
        </w:tc>
        <w:tc>
          <w:tcPr>
            <w:tcW w:w="80.95pt" w:type="dxa"/>
          </w:tcPr>
          <w:p w14:paraId="272A88E6" w14:textId="6797E6DC" w:rsidR="00011A2C" w:rsidRDefault="00011A2C" w:rsidP="00215DE9">
            <w:pPr>
              <w:ind w:firstLine="0pt"/>
            </w:pPr>
            <w:r>
              <w:t>2.85 kWh</w:t>
            </w:r>
          </w:p>
        </w:tc>
      </w:tr>
      <w:tr w:rsidR="00011A2C" w14:paraId="4133F62D" w14:textId="77777777" w:rsidTr="00011A2C">
        <w:tc>
          <w:tcPr>
            <w:tcW w:w="80.90pt" w:type="dxa"/>
          </w:tcPr>
          <w:p w14:paraId="1B67DFAF" w14:textId="27148573" w:rsidR="00011A2C" w:rsidRDefault="00011A2C" w:rsidP="00215DE9">
            <w:pPr>
              <w:ind w:firstLine="0pt"/>
            </w:pPr>
            <w:r>
              <w:t>Renewables</w:t>
            </w:r>
          </w:p>
        </w:tc>
        <w:tc>
          <w:tcPr>
            <w:tcW w:w="80.95pt" w:type="dxa"/>
          </w:tcPr>
          <w:p w14:paraId="7AFCF418" w14:textId="2349B20A" w:rsidR="00011A2C" w:rsidRDefault="00011A2C" w:rsidP="00215DE9">
            <w:pPr>
              <w:ind w:firstLine="0pt"/>
            </w:pPr>
            <m:oMathPara>
              <m:oMath>
                <m:r>
                  <w:rPr>
                    <w:rFonts w:ascii="Cambria Math" w:hAnsi="Cambria Math"/>
                  </w:rPr>
                  <m:t>r</m:t>
                </m:r>
              </m:oMath>
            </m:oMathPara>
          </w:p>
        </w:tc>
        <w:tc>
          <w:tcPr>
            <w:tcW w:w="80.95pt" w:type="dxa"/>
          </w:tcPr>
          <w:p w14:paraId="552D2D69" w14:textId="61A956AD" w:rsidR="00011A2C" w:rsidRDefault="00011A2C" w:rsidP="00215DE9">
            <w:pPr>
              <w:ind w:firstLine="0pt"/>
            </w:pPr>
            <w:r>
              <w:t>~0 kWh</w:t>
            </w:r>
          </w:p>
        </w:tc>
      </w:tr>
    </w:tbl>
    <w:p w14:paraId="61ED284D" w14:textId="77777777" w:rsidR="00011A2C" w:rsidRDefault="00011A2C" w:rsidP="00215DE9"/>
    <w:p w14:paraId="34C1815D" w14:textId="5951C485" w:rsidR="00011A2C" w:rsidRDefault="00011A2C" w:rsidP="00215DE9">
      <w:r>
        <w:t xml:space="preserve">Using the percentage composition and the energy required to generate 1kWh of energy from the table above, the energy required to generate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output</m:t>
            </m:r>
          </m:sub>
        </m:sSub>
      </m:oMath>
      <w:r>
        <w:t xml:space="preserve"> of energy from the assumed composition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total</m:t>
            </m:r>
          </m:sub>
        </m:sSub>
        <m:r>
          <w:rPr>
            <w:rFonts w:ascii="Cambria Math" w:hAnsi="Cambria Math"/>
            <w:lang w:val="en-US"/>
          </w:rPr>
          <m:t>)</m:t>
        </m:r>
      </m:oMath>
      <w:r>
        <w:t xml:space="preserve"> is as follows</w:t>
      </w:r>
    </w:p>
    <w:p w14:paraId="6A5F8E13" w14:textId="77777777" w:rsidR="00011A2C" w:rsidRDefault="00011A2C" w:rsidP="00215DE9"/>
    <w:p w14:paraId="242A22CE" w14:textId="132C5954" w:rsidR="00011A2C" w:rsidRPr="00011A2C" w:rsidRDefault="00E268D0" w:rsidP="00011A2C">
      <w:pPr>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total</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2</m:t>
                  </m:r>
                  <m:r>
                    <w:rPr>
                      <w:rFonts w:ascii="Cambria Math" w:hAnsi="Cambria Math"/>
                      <w:lang w:val="en-US"/>
                    </w:rPr>
                    <m:t>η</m:t>
                  </m:r>
                  <m:r>
                    <w:rPr>
                      <w:rFonts w:ascii="Cambria Math" w:hAnsi="Cambria Math"/>
                      <w:lang w:val="en-US"/>
                    </w:rPr>
                    <m:t>+2.22</m:t>
                  </m:r>
                  <m:r>
                    <w:rPr>
                      <w:rFonts w:ascii="Cambria Math" w:hAnsi="Cambria Math"/>
                      <w:lang w:val="en-US"/>
                    </w:rPr>
                    <m:t>c</m:t>
                  </m:r>
                  <m:r>
                    <w:rPr>
                      <w:rFonts w:ascii="Cambria Math" w:hAnsi="Cambria Math"/>
                      <w:lang w:val="en-US"/>
                    </w:rPr>
                    <m:t>+2.85</m:t>
                  </m:r>
                  <m:r>
                    <w:rPr>
                      <w:rFonts w:ascii="Cambria Math" w:hAnsi="Cambria Math"/>
                      <w:lang w:val="en-US"/>
                    </w:rPr>
                    <m:t>ϕ</m:t>
                  </m:r>
                  <m:r>
                    <w:rPr>
                      <w:rFonts w:ascii="Cambria Math" w:hAnsi="Cambria Math"/>
                      <w:lang w:val="en-US"/>
                    </w:rPr>
                    <m:t>+0</m:t>
                  </m:r>
                  <m:r>
                    <w:rPr>
                      <w:rFonts w:ascii="Cambria Math" w:hAnsi="Cambria Math"/>
                      <w:lang w:val="en-US"/>
                    </w:rPr>
                    <m:t>r</m:t>
                  </m:r>
                  <m:r>
                    <w:rPr>
                      <w:rFonts w:ascii="Cambria Math" w:hAnsi="Cambria Math"/>
                      <w:lang w:val="en-US"/>
                    </w:rPr>
                    <m:t xml:space="preserve"> </m:t>
                  </m:r>
                </m:e>
              </m:d>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output</m:t>
                  </m:r>
                </m:sub>
              </m:sSub>
            </m:e>
          </m:eqArr>
        </m:oMath>
      </m:oMathPara>
    </w:p>
    <w:p w14:paraId="72BCCBD6" w14:textId="77777777" w:rsidR="00011A2C" w:rsidRDefault="00011A2C" w:rsidP="00011A2C">
      <w:pPr>
        <w:ind w:firstLine="0pt"/>
      </w:pPr>
    </w:p>
    <w:p w14:paraId="4DA41D42" w14:textId="67D0F9D9" w:rsidR="00011A2C" w:rsidRPr="00011A2C" w:rsidRDefault="00E268D0" w:rsidP="00215DE9">
      <w:pPr>
        <w:rPr>
          <w:lang w:val="en-US"/>
        </w:rPr>
      </w:pPr>
      <m:oMathPara>
        <m:oMath>
          <m:eqArr>
            <m:eqArrPr>
              <m:maxDist m:val="1"/>
              <m:ctrlPr>
                <w:rPr>
                  <w:rFonts w:ascii="Cambria Math" w:hAnsi="Cambria Math"/>
                  <w:i/>
                  <w:lang w:val="en-US"/>
                </w:rPr>
              </m:ctrlPr>
            </m:eqArrPr>
            <m:e>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total</m:t>
                  </m:r>
                </m:sub>
              </m:sSub>
              <m:r>
                <w:rPr>
                  <w:rFonts w:ascii="Cambria Math" w:hAnsi="Cambria Math"/>
                  <w:lang w:val="en-US"/>
                </w:rPr>
                <m:t>=(2</m:t>
              </m:r>
              <m:r>
                <w:rPr>
                  <w:rFonts w:ascii="Cambria Math" w:hAnsi="Cambria Math"/>
                  <w:lang w:val="en-US"/>
                </w:rPr>
                <m:t>η</m:t>
              </m:r>
              <m:r>
                <w:rPr>
                  <w:rFonts w:ascii="Cambria Math" w:hAnsi="Cambria Math"/>
                  <w:lang w:val="en-US"/>
                </w:rPr>
                <m:t>+2.22</m:t>
              </m:r>
              <m:r>
                <w:rPr>
                  <w:rFonts w:ascii="Cambria Math" w:hAnsi="Cambria Math"/>
                  <w:lang w:val="en-US"/>
                </w:rPr>
                <m:t>c</m:t>
              </m:r>
              <m:r>
                <w:rPr>
                  <w:rFonts w:ascii="Cambria Math" w:hAnsi="Cambria Math"/>
                  <w:lang w:val="en-US"/>
                </w:rPr>
                <m:t>+2.85</m:t>
              </m:r>
              <m:r>
                <w:rPr>
                  <w:rFonts w:ascii="Cambria Math" w:hAnsi="Cambria Math"/>
                  <w:lang w:val="en-US"/>
                </w:rPr>
                <m:t>ϕ</m:t>
              </m:r>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output</m:t>
                  </m:r>
                </m:sub>
              </m:sSub>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2</m:t>
                  </m:r>
                </m:e>
              </m:d>
            </m:e>
          </m:eqArr>
        </m:oMath>
      </m:oMathPara>
    </w:p>
    <w:p w14:paraId="12CFBE79" w14:textId="5E451FB2" w:rsidR="00011A2C" w:rsidRDefault="002051E9" w:rsidP="00215DE9">
      <w:pPr>
        <w:rPr>
          <w:lang w:val="en-US"/>
        </w:rPr>
      </w:pPr>
      <w:r>
        <w:rPr>
          <w:lang w:val="en-US"/>
        </w:rPr>
        <w:t>The next stage of energy transfer involves transporting the generated electricity to consumers.</w:t>
      </w:r>
    </w:p>
    <w:p w14:paraId="6D211081" w14:textId="77777777" w:rsidR="002051E9" w:rsidRDefault="002051E9" w:rsidP="002051E9">
      <w:pPr>
        <w:pStyle w:val="Heading2"/>
        <w:rPr>
          <w:lang w:val="en-US"/>
        </w:rPr>
      </w:pPr>
      <w:r w:rsidRPr="002051E9">
        <w:rPr>
          <w:lang w:val="en-US"/>
        </w:rPr>
        <w:t>Energy consumed to transport the electricity</w:t>
      </w:r>
    </w:p>
    <w:p w14:paraId="692195AC" w14:textId="0767C740" w:rsidR="002051E9" w:rsidRDefault="00145F8B" w:rsidP="002051E9">
      <w:pPr>
        <w:rPr>
          <w:lang w:val="en-US"/>
        </w:rPr>
      </w:pPr>
      <w:r>
        <w:rPr>
          <w:lang w:val="en-US"/>
        </w:rPr>
        <w:t xml:space="preserve">Transporting the electricity is an inevitable expenditure </w:t>
      </w:r>
      <w:r w:rsidR="002742F2">
        <w:rPr>
          <w:lang w:val="en-US"/>
        </w:rPr>
        <w:t>since</w:t>
      </w:r>
      <w:r>
        <w:rPr>
          <w:lang w:val="en-US"/>
        </w:rPr>
        <w:t xml:space="preserve"> </w:t>
      </w:r>
      <w:r w:rsidR="007A503B">
        <w:rPr>
          <w:lang w:val="en-US"/>
        </w:rPr>
        <w:t xml:space="preserve">energy is generated at concentrated locations which can be in most cases far away from energy consumers. The distribution of generated energy is </w:t>
      </w:r>
      <w:r w:rsidR="002742F2">
        <w:rPr>
          <w:lang w:val="en-US"/>
        </w:rPr>
        <w:t>managed</w:t>
      </w:r>
      <w:r w:rsidR="007A503B">
        <w:rPr>
          <w:lang w:val="en-US"/>
        </w:rPr>
        <w:t xml:space="preserve"> by the electric grid which also plays the role of balancing the loads and frequency of electricity supply that goes out to the consumers. According to the </w:t>
      </w:r>
      <w:r w:rsidR="007A503B" w:rsidRPr="007A503B">
        <w:rPr>
          <w:lang w:val="en-US"/>
        </w:rPr>
        <w:t>U.S. Energy Information Administration (EIA)</w:t>
      </w:r>
      <w:r w:rsidR="007A503B">
        <w:rPr>
          <w:lang w:val="en-US"/>
        </w:rPr>
        <w:t xml:space="preserve">, the </w:t>
      </w:r>
      <w:r w:rsidR="007A503B" w:rsidRPr="007A503B">
        <w:rPr>
          <w:lang w:val="en-US"/>
        </w:rPr>
        <w:t>annual electricity transmission and distribution (T&amp;D) losses averaged about 5% of the electricity distributed and transmitted in the US between 2018 to 2022</w:t>
      </w:r>
      <w:r w:rsidR="007A503B">
        <w:rPr>
          <w:lang w:val="en-US"/>
        </w:rPr>
        <w:t xml:space="preserve"> </w:t>
      </w:r>
      <w:r w:rsidR="007A503B">
        <w:rPr>
          <w:lang w:val="en-US"/>
        </w:rPr>
        <w:fldChar w:fldCharType="begin"/>
      </w:r>
      <w:r w:rsidR="007A503B">
        <w:rPr>
          <w:lang w:val="en-US"/>
        </w:rPr>
        <w:instrText xml:space="preserve"> REF _Ref191208280 \r \h </w:instrText>
      </w:r>
      <w:r w:rsidR="007A503B">
        <w:rPr>
          <w:lang w:val="en-US"/>
        </w:rPr>
      </w:r>
      <w:r w:rsidR="007A503B">
        <w:rPr>
          <w:lang w:val="en-US"/>
        </w:rPr>
        <w:fldChar w:fldCharType="separate"/>
      </w:r>
      <w:r w:rsidR="007A503B">
        <w:rPr>
          <w:lang w:val="en-US"/>
        </w:rPr>
        <w:t>[30]</w:t>
      </w:r>
      <w:r w:rsidR="007A503B">
        <w:rPr>
          <w:lang w:val="en-US"/>
        </w:rPr>
        <w:fldChar w:fldCharType="end"/>
      </w:r>
      <w:r w:rsidR="007A503B">
        <w:rPr>
          <w:lang w:val="en-US"/>
        </w:rPr>
        <w:t xml:space="preserve">. </w:t>
      </w:r>
      <w:r w:rsidR="002742F2">
        <w:rPr>
          <w:lang w:val="en-US"/>
        </w:rPr>
        <w:t>Thus,</w:t>
      </w:r>
      <w:r w:rsidR="007A503B">
        <w:rPr>
          <w:lang w:val="en-US"/>
        </w:rPr>
        <w:t xml:space="preserve"> for every 1kWh of energy distributed, the input energy must be 1.05kWh. </w:t>
      </w:r>
      <w:r w:rsidR="002742F2">
        <w:rPr>
          <w:lang w:val="en-US"/>
        </w:rPr>
        <w:t>Therefore,</w:t>
      </w:r>
      <w:r w:rsidR="007A503B">
        <w:rPr>
          <w:lang w:val="en-US"/>
        </w:rPr>
        <w:t xml:space="preserve"> the following relationship holds between the input and output energy for this </w:t>
      </w:r>
      <w:r w:rsidR="002742F2">
        <w:rPr>
          <w:lang w:val="en-US"/>
        </w:rPr>
        <w:t>stage.</w:t>
      </w:r>
    </w:p>
    <w:p w14:paraId="4BB3F7BB" w14:textId="5233B034" w:rsidR="007A503B" w:rsidRPr="007A503B" w:rsidRDefault="00E268D0" w:rsidP="007A503B">
      <w:pPr>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transport</m:t>
                  </m:r>
                </m:sub>
              </m:sSub>
              <m:r>
                <w:rPr>
                  <w:rFonts w:ascii="Cambria Math" w:hAnsi="Cambria Math"/>
                  <w:lang w:val="en-US"/>
                </w:rPr>
                <m:t xml:space="preserve">=1.05 </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output</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3</m:t>
                  </m:r>
                </m:e>
              </m:d>
            </m:e>
          </m:eqArr>
        </m:oMath>
      </m:oMathPara>
    </w:p>
    <w:p w14:paraId="6A8C4545" w14:textId="77777777" w:rsidR="007A503B" w:rsidRDefault="007A503B" w:rsidP="007A503B">
      <w:pPr>
        <w:pStyle w:val="Heading2"/>
        <w:rPr>
          <w:lang w:val="en-US"/>
        </w:rPr>
      </w:pPr>
      <w:r w:rsidRPr="007A503B">
        <w:rPr>
          <w:lang w:val="en-US"/>
        </w:rPr>
        <w:t>Energy lost in conversion to mechanical energy</w:t>
      </w:r>
    </w:p>
    <w:p w14:paraId="2B3B4699" w14:textId="28BC5CF3" w:rsidR="00B455C6" w:rsidRDefault="00B455C6" w:rsidP="00B455C6">
      <w:pPr>
        <w:rPr>
          <w:lang w:val="en-US"/>
        </w:rPr>
      </w:pPr>
      <w:r>
        <w:rPr>
          <w:lang w:val="en-US"/>
        </w:rPr>
        <w:t xml:space="preserve">Modern electric cars have </w:t>
      </w:r>
      <w:r w:rsidR="002742F2">
        <w:rPr>
          <w:lang w:val="en-US"/>
        </w:rPr>
        <w:t>an extremely high</w:t>
      </w:r>
      <w:r>
        <w:rPr>
          <w:lang w:val="en-US"/>
        </w:rPr>
        <w:t xml:space="preserve"> efficiency of </w:t>
      </w:r>
      <w:r w:rsidR="00AB1B5F">
        <w:rPr>
          <w:lang w:val="en-US"/>
        </w:rPr>
        <w:t xml:space="preserve">energy </w:t>
      </w:r>
      <w:r>
        <w:rPr>
          <w:lang w:val="en-US"/>
        </w:rPr>
        <w:t xml:space="preserve">conversion. This is also one of the main advantages of electric cars over traditional internal combustion engines. Electric </w:t>
      </w:r>
      <w:r w:rsidR="002742F2">
        <w:rPr>
          <w:lang w:val="en-US"/>
        </w:rPr>
        <w:t>cars</w:t>
      </w:r>
      <w:r>
        <w:rPr>
          <w:lang w:val="en-US"/>
        </w:rPr>
        <w:t xml:space="preserve"> use electric motor to convert electricity into mechanical power which has an efficiency of about 85% </w:t>
      </w:r>
      <w:r>
        <w:rPr>
          <w:lang w:val="en-US"/>
        </w:rPr>
        <w:fldChar w:fldCharType="begin"/>
      </w:r>
      <w:r>
        <w:rPr>
          <w:lang w:val="en-US"/>
        </w:rPr>
        <w:instrText xml:space="preserve"> REF _Ref191213262 \r \h </w:instrText>
      </w:r>
      <w:r>
        <w:rPr>
          <w:lang w:val="en-US"/>
        </w:rPr>
      </w:r>
      <w:r>
        <w:rPr>
          <w:lang w:val="en-US"/>
        </w:rPr>
        <w:fldChar w:fldCharType="separate"/>
      </w:r>
      <w:r>
        <w:rPr>
          <w:lang w:val="en-US"/>
        </w:rPr>
        <w:t>[31]</w:t>
      </w:r>
      <w:r>
        <w:rPr>
          <w:lang w:val="en-US"/>
        </w:rPr>
        <w:fldChar w:fldCharType="end"/>
      </w:r>
      <w:r>
        <w:rPr>
          <w:lang w:val="en-US"/>
        </w:rPr>
        <w:t xml:space="preserve">. This is significantly higher than internal combustion engines which have an average efficiency of </w:t>
      </w:r>
      <w:r w:rsidR="000A6E06">
        <w:rPr>
          <w:lang w:val="en-US"/>
        </w:rPr>
        <w:t xml:space="preserve">conversion of </w:t>
      </w:r>
      <w:r>
        <w:rPr>
          <w:lang w:val="en-US"/>
        </w:rPr>
        <w:t xml:space="preserve">about 30% </w:t>
      </w:r>
      <w:r>
        <w:rPr>
          <w:lang w:val="en-US"/>
        </w:rPr>
        <w:fldChar w:fldCharType="begin"/>
      </w:r>
      <w:r>
        <w:rPr>
          <w:lang w:val="en-US"/>
        </w:rPr>
        <w:instrText xml:space="preserve"> REF _Ref195359991 \r \h </w:instrText>
      </w:r>
      <w:r>
        <w:rPr>
          <w:lang w:val="en-US"/>
        </w:rPr>
      </w:r>
      <w:r>
        <w:rPr>
          <w:lang w:val="en-US"/>
        </w:rPr>
        <w:fldChar w:fldCharType="separate"/>
      </w:r>
      <w:r>
        <w:rPr>
          <w:lang w:val="en-US"/>
        </w:rPr>
        <w:t>[32]</w:t>
      </w:r>
      <w:r>
        <w:rPr>
          <w:lang w:val="en-US"/>
        </w:rPr>
        <w:fldChar w:fldCharType="end"/>
      </w:r>
      <w:r>
        <w:rPr>
          <w:lang w:val="en-US"/>
        </w:rPr>
        <w:fldChar w:fldCharType="begin"/>
      </w:r>
      <w:r>
        <w:rPr>
          <w:lang w:val="en-US"/>
        </w:rPr>
        <w:instrText xml:space="preserve"> REF _Ref190289239 \r \h </w:instrText>
      </w:r>
      <w:r>
        <w:rPr>
          <w:lang w:val="en-US"/>
        </w:rPr>
      </w:r>
      <w:r>
        <w:rPr>
          <w:lang w:val="en-US"/>
        </w:rPr>
        <w:fldChar w:fldCharType="end"/>
      </w:r>
      <w:r>
        <w:rPr>
          <w:lang w:val="en-US"/>
        </w:rPr>
        <w:t xml:space="preserve">. </w:t>
      </w:r>
      <w:r w:rsidR="002742F2">
        <w:rPr>
          <w:lang w:val="en-US"/>
        </w:rPr>
        <w:t>Thus,</w:t>
      </w:r>
      <w:r>
        <w:rPr>
          <w:lang w:val="en-US"/>
        </w:rPr>
        <w:t xml:space="preserve"> the following equation can be used to relate the energy input and output for this stage of energy </w:t>
      </w:r>
      <w:r w:rsidR="002742F2">
        <w:rPr>
          <w:lang w:val="en-US"/>
        </w:rPr>
        <w:t>conversion.</w:t>
      </w:r>
    </w:p>
    <w:p w14:paraId="65C37DB3" w14:textId="70887685" w:rsidR="00B455C6" w:rsidRPr="00B455C6" w:rsidRDefault="00E268D0" w:rsidP="00B455C6">
      <w:pPr>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propulsion</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output</m:t>
                      </m:r>
                    </m:sub>
                  </m:sSub>
                </m:num>
                <m:den>
                  <m:r>
                    <w:rPr>
                      <w:rFonts w:ascii="Cambria Math" w:hAnsi="Cambria Math"/>
                      <w:lang w:val="en-US"/>
                    </w:rPr>
                    <m:t>0.85</m:t>
                  </m:r>
                </m:den>
              </m:f>
              <m:r>
                <w:rPr>
                  <w:rFonts w:ascii="Cambria Math" w:hAnsi="Cambria Math"/>
                  <w:lang w:val="en-US"/>
                </w:rPr>
                <m:t>=1.17×</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output</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4</m:t>
                  </m:r>
                </m:e>
              </m:d>
            </m:e>
          </m:eqArr>
        </m:oMath>
      </m:oMathPara>
    </w:p>
    <w:p w14:paraId="501C8BD9" w14:textId="261B372C" w:rsidR="00B455C6" w:rsidRDefault="00B455C6" w:rsidP="00B455C6">
      <w:pPr>
        <w:pStyle w:val="Heading2"/>
        <w:rPr>
          <w:lang w:val="en-US"/>
        </w:rPr>
      </w:pPr>
      <w:r w:rsidRPr="00B455C6">
        <w:rPr>
          <w:lang w:val="en-US"/>
        </w:rPr>
        <w:t xml:space="preserve">Energy consumed in </w:t>
      </w:r>
      <w:r>
        <w:rPr>
          <w:lang w:val="en-US"/>
        </w:rPr>
        <w:t>manufacturing</w:t>
      </w:r>
      <w:r w:rsidRPr="00B455C6">
        <w:rPr>
          <w:lang w:val="en-US"/>
        </w:rPr>
        <w:t xml:space="preserve"> of the vehicle</w:t>
      </w:r>
    </w:p>
    <w:p w14:paraId="34AFA31F" w14:textId="2954E2EF" w:rsidR="0090771F" w:rsidRDefault="0090771F" w:rsidP="0090771F">
      <w:pPr>
        <w:rPr>
          <w:lang w:val="en-US"/>
        </w:rPr>
      </w:pPr>
      <w:r>
        <w:rPr>
          <w:lang w:val="en-US"/>
        </w:rPr>
        <w:t xml:space="preserve">Manufacturing of electric vehicles is an energy intensive process and consumes more energy than comparable internal combustion of hybrid electric vehicle due to the presence of a massive battery pack. The process of manufacturing a battery pack involves mining of the required rare earth metals such as Lithium and Cobalt and then refining them and packing them into battery cells which are then assembled to make a battery pack. Each of </w:t>
      </w:r>
      <w:proofErr w:type="gramStart"/>
      <w:r>
        <w:rPr>
          <w:lang w:val="en-US"/>
        </w:rPr>
        <w:t>these process</w:t>
      </w:r>
      <w:proofErr w:type="gramEnd"/>
      <w:r>
        <w:rPr>
          <w:lang w:val="en-US"/>
        </w:rPr>
        <w:t xml:space="preserve"> involve high energy consumption as compared to an internal combustion vehicle that has an engine instead of a battery pack </w:t>
      </w:r>
      <w:r w:rsidR="00AB1B5F">
        <w:rPr>
          <w:lang w:val="en-US"/>
        </w:rPr>
        <w:t>and</w:t>
      </w:r>
      <w:r>
        <w:rPr>
          <w:lang w:val="en-US"/>
        </w:rPr>
        <w:t xml:space="preserve"> only requires metal forming of widely abundant metals such as steel and assembly to</w:t>
      </w:r>
      <w:r w:rsidR="00AB1B5F">
        <w:rPr>
          <w:lang w:val="en-US"/>
        </w:rPr>
        <w:t xml:space="preserve"> build</w:t>
      </w:r>
      <w:r>
        <w:rPr>
          <w:lang w:val="en-US"/>
        </w:rPr>
        <w:t xml:space="preserve"> an engine</w:t>
      </w:r>
      <w:r w:rsidR="00AB1B5F">
        <w:rPr>
          <w:lang w:val="en-US"/>
        </w:rPr>
        <w:t xml:space="preserve"> </w:t>
      </w:r>
      <w:r>
        <w:rPr>
          <w:lang w:val="en-US"/>
        </w:rPr>
        <w:fldChar w:fldCharType="begin"/>
      </w:r>
      <w:r>
        <w:rPr>
          <w:lang w:val="en-US"/>
        </w:rPr>
        <w:instrText xml:space="preserve"> REF _Ref195360608 \r \h </w:instrText>
      </w:r>
      <w:r>
        <w:rPr>
          <w:lang w:val="en-US"/>
        </w:rPr>
      </w:r>
      <w:r>
        <w:rPr>
          <w:lang w:val="en-US"/>
        </w:rPr>
        <w:fldChar w:fldCharType="separate"/>
      </w:r>
      <w:r>
        <w:rPr>
          <w:lang w:val="en-US"/>
        </w:rPr>
        <w:t>[33]</w:t>
      </w:r>
      <w:r>
        <w:rPr>
          <w:lang w:val="en-US"/>
        </w:rPr>
        <w:fldChar w:fldCharType="end"/>
      </w:r>
      <w:r>
        <w:rPr>
          <w:lang w:val="en-US"/>
        </w:rPr>
        <w:t xml:space="preserve">. And unlike battery packs that </w:t>
      </w:r>
      <w:proofErr w:type="gramStart"/>
      <w:r>
        <w:rPr>
          <w:lang w:val="en-US"/>
        </w:rPr>
        <w:t>loose</w:t>
      </w:r>
      <w:proofErr w:type="gramEnd"/>
      <w:r>
        <w:rPr>
          <w:lang w:val="en-US"/>
        </w:rPr>
        <w:t xml:space="preserve"> capacity over time, engines can also last longer if regular maintenance procedures such as oil changes are </w:t>
      </w:r>
      <w:r w:rsidR="00C376B5">
        <w:rPr>
          <w:lang w:val="en-US"/>
        </w:rPr>
        <w:t>performed</w:t>
      </w:r>
      <w:r>
        <w:rPr>
          <w:lang w:val="en-US"/>
        </w:rPr>
        <w:t xml:space="preserve">. </w:t>
      </w:r>
      <w:r w:rsidR="002742F2">
        <w:rPr>
          <w:lang w:val="en-US"/>
        </w:rPr>
        <w:t>Thus,</w:t>
      </w:r>
      <w:r>
        <w:rPr>
          <w:lang w:val="en-US"/>
        </w:rPr>
        <w:t xml:space="preserve"> internal combustion vehicles have the upper hand when it comes to energy consumption for manufacturing the vehicle.</w:t>
      </w:r>
    </w:p>
    <w:p w14:paraId="7DD27A7C" w14:textId="47B5C4B1" w:rsidR="0022709F" w:rsidRDefault="0022709F" w:rsidP="0022709F">
      <w:pPr>
        <w:pStyle w:val="Caption"/>
      </w:pPr>
      <w:r>
        <w:t xml:space="preserve">Table </w:t>
      </w:r>
      <w:r w:rsidR="00E268D0">
        <w:fldChar w:fldCharType="begin"/>
      </w:r>
      <w:r w:rsidR="00E268D0">
        <w:instrText xml:space="preserve"> SEQ Table \* ARABIC </w:instrText>
      </w:r>
      <w:r w:rsidR="00E268D0">
        <w:fldChar w:fldCharType="separate"/>
      </w:r>
      <w:r w:rsidR="00157B56">
        <w:rPr>
          <w:noProof/>
        </w:rPr>
        <w:t>2</w:t>
      </w:r>
      <w:r w:rsidR="00E268D0">
        <w:rPr>
          <w:noProof/>
        </w:rPr>
        <w:fldChar w:fldCharType="end"/>
      </w:r>
      <w:r>
        <w:t xml:space="preserve">: </w:t>
      </w:r>
      <w:r w:rsidRPr="001F374B">
        <w:t xml:space="preserve"> Energy consumption and CO2 emissions for different processes that form a part of vehicle manufacturing</w:t>
      </w:r>
      <w:r>
        <w:t xml:space="preserve"> </w:t>
      </w:r>
      <w:r>
        <w:fldChar w:fldCharType="begin"/>
      </w:r>
      <w:r>
        <w:instrText xml:space="preserve"> REF _Ref195363098 \r \h </w:instrText>
      </w:r>
      <w:r>
        <w:fldChar w:fldCharType="separate"/>
      </w:r>
      <w:r>
        <w:t>[34]</w:t>
      </w:r>
      <w:r>
        <w:fldChar w:fldCharType="end"/>
      </w:r>
    </w:p>
    <w:tbl>
      <w:tblPr>
        <w:tblStyle w:val="TableGrid"/>
        <w:tblW w:w="242.8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1618"/>
        <w:gridCol w:w="1619"/>
        <w:gridCol w:w="1619"/>
      </w:tblGrid>
      <w:tr w:rsidR="0022709F" w14:paraId="4AEDDB45" w14:textId="77777777" w:rsidTr="00DE12BB">
        <w:tc>
          <w:tcPr>
            <w:tcW w:w="80.90pt" w:type="dxa"/>
            <w:tcBorders>
              <w:top w:val="single" w:sz="4" w:space="0" w:color="auto"/>
              <w:bottom w:val="single" w:sz="4" w:space="0" w:color="auto"/>
            </w:tcBorders>
          </w:tcPr>
          <w:p w14:paraId="24C6FDA6" w14:textId="77777777" w:rsidR="0022709F" w:rsidRDefault="0022709F" w:rsidP="00DE12BB">
            <w:pPr>
              <w:ind w:firstLine="0pt"/>
              <w:jc w:val="center"/>
            </w:pPr>
            <w:r>
              <w:t>Manufacturing Process</w:t>
            </w:r>
          </w:p>
        </w:tc>
        <w:tc>
          <w:tcPr>
            <w:tcW w:w="80.95pt" w:type="dxa"/>
            <w:tcBorders>
              <w:top w:val="single" w:sz="4" w:space="0" w:color="auto"/>
              <w:bottom w:val="single" w:sz="4" w:space="0" w:color="auto"/>
            </w:tcBorders>
          </w:tcPr>
          <w:p w14:paraId="00FD82B4" w14:textId="77777777" w:rsidR="0022709F" w:rsidRDefault="0022709F" w:rsidP="00DE12BB">
            <w:pPr>
              <w:ind w:firstLine="0pt"/>
              <w:jc w:val="center"/>
            </w:pPr>
            <w:r>
              <w:t>Energy (MJ)</w:t>
            </w:r>
          </w:p>
        </w:tc>
        <w:tc>
          <w:tcPr>
            <w:tcW w:w="80.95pt" w:type="dxa"/>
            <w:tcBorders>
              <w:top w:val="single" w:sz="4" w:space="0" w:color="auto"/>
              <w:bottom w:val="single" w:sz="4" w:space="0" w:color="auto"/>
            </w:tcBorders>
          </w:tcPr>
          <w:p w14:paraId="188BEC1D" w14:textId="77777777" w:rsidR="0022709F" w:rsidRDefault="0022709F" w:rsidP="00DE12BB">
            <w:pPr>
              <w:ind w:firstLine="0pt"/>
              <w:jc w:val="center"/>
            </w:pPr>
            <w:r>
              <w:t>CO2 (kg)</w:t>
            </w:r>
          </w:p>
        </w:tc>
      </w:tr>
      <w:tr w:rsidR="0022709F" w14:paraId="5AAB500C" w14:textId="77777777" w:rsidTr="00DE12BB">
        <w:tc>
          <w:tcPr>
            <w:tcW w:w="80.90pt" w:type="dxa"/>
            <w:tcBorders>
              <w:top w:val="single" w:sz="4" w:space="0" w:color="auto"/>
            </w:tcBorders>
          </w:tcPr>
          <w:p w14:paraId="2201B707" w14:textId="77777777" w:rsidR="0022709F" w:rsidRDefault="0022709F" w:rsidP="00DE12BB">
            <w:pPr>
              <w:ind w:firstLine="0pt"/>
              <w:jc w:val="center"/>
            </w:pPr>
            <w:r>
              <w:lastRenderedPageBreak/>
              <w:t>Material transformation</w:t>
            </w:r>
          </w:p>
        </w:tc>
        <w:tc>
          <w:tcPr>
            <w:tcW w:w="80.95pt" w:type="dxa"/>
            <w:tcBorders>
              <w:top w:val="single" w:sz="4" w:space="0" w:color="auto"/>
            </w:tcBorders>
          </w:tcPr>
          <w:p w14:paraId="36D75851" w14:textId="77777777" w:rsidR="0022709F" w:rsidRDefault="0022709F" w:rsidP="00DE12BB">
            <w:pPr>
              <w:ind w:firstLine="0pt"/>
              <w:jc w:val="center"/>
            </w:pPr>
            <w:r>
              <w:t>19,340</w:t>
            </w:r>
          </w:p>
        </w:tc>
        <w:tc>
          <w:tcPr>
            <w:tcW w:w="80.95pt" w:type="dxa"/>
            <w:tcBorders>
              <w:top w:val="single" w:sz="4" w:space="0" w:color="auto"/>
            </w:tcBorders>
          </w:tcPr>
          <w:p w14:paraId="7E63EDEB" w14:textId="77777777" w:rsidR="0022709F" w:rsidRDefault="0022709F" w:rsidP="00DE12BB">
            <w:pPr>
              <w:ind w:firstLine="0pt"/>
              <w:jc w:val="center"/>
            </w:pPr>
            <w:r>
              <w:t>1,065</w:t>
            </w:r>
          </w:p>
        </w:tc>
      </w:tr>
      <w:tr w:rsidR="0022709F" w14:paraId="091C17F2" w14:textId="77777777" w:rsidTr="00DE12BB">
        <w:tc>
          <w:tcPr>
            <w:tcW w:w="80.90pt" w:type="dxa"/>
          </w:tcPr>
          <w:p w14:paraId="792AC9FA" w14:textId="77777777" w:rsidR="0022709F" w:rsidRDefault="0022709F" w:rsidP="00DE12BB">
            <w:pPr>
              <w:ind w:firstLine="0pt"/>
              <w:jc w:val="center"/>
            </w:pPr>
            <w:r>
              <w:t>Machining</w:t>
            </w:r>
          </w:p>
        </w:tc>
        <w:tc>
          <w:tcPr>
            <w:tcW w:w="80.95pt" w:type="dxa"/>
          </w:tcPr>
          <w:p w14:paraId="7993720E" w14:textId="77777777" w:rsidR="0022709F" w:rsidRDefault="0022709F" w:rsidP="00DE12BB">
            <w:pPr>
              <w:ind w:firstLine="0pt"/>
              <w:jc w:val="center"/>
            </w:pPr>
            <w:r>
              <w:t>982</w:t>
            </w:r>
          </w:p>
        </w:tc>
        <w:tc>
          <w:tcPr>
            <w:tcW w:w="80.95pt" w:type="dxa"/>
          </w:tcPr>
          <w:p w14:paraId="288B7534" w14:textId="77777777" w:rsidR="0022709F" w:rsidRDefault="0022709F" w:rsidP="00DE12BB">
            <w:pPr>
              <w:ind w:firstLine="0pt"/>
              <w:jc w:val="center"/>
            </w:pPr>
            <w:r>
              <w:t>56</w:t>
            </w:r>
          </w:p>
        </w:tc>
      </w:tr>
      <w:tr w:rsidR="0022709F" w14:paraId="3CC28D79" w14:textId="77777777" w:rsidTr="00DE12BB">
        <w:tc>
          <w:tcPr>
            <w:tcW w:w="80.90pt" w:type="dxa"/>
          </w:tcPr>
          <w:p w14:paraId="15CF6067" w14:textId="77777777" w:rsidR="0022709F" w:rsidRDefault="0022709F" w:rsidP="00DE12BB">
            <w:pPr>
              <w:ind w:firstLine="0pt"/>
              <w:jc w:val="center"/>
            </w:pPr>
            <w:r>
              <w:t>Vehicle Painting</w:t>
            </w:r>
          </w:p>
        </w:tc>
        <w:tc>
          <w:tcPr>
            <w:tcW w:w="80.95pt" w:type="dxa"/>
          </w:tcPr>
          <w:p w14:paraId="4FB21FD1" w14:textId="77777777" w:rsidR="0022709F" w:rsidRDefault="0022709F" w:rsidP="00DE12BB">
            <w:pPr>
              <w:ind w:firstLine="0pt"/>
              <w:jc w:val="center"/>
            </w:pPr>
            <w:r>
              <w:t>4,167</w:t>
            </w:r>
          </w:p>
        </w:tc>
        <w:tc>
          <w:tcPr>
            <w:tcW w:w="80.95pt" w:type="dxa"/>
          </w:tcPr>
          <w:p w14:paraId="7F7B6AF1" w14:textId="77777777" w:rsidR="0022709F" w:rsidRDefault="0022709F" w:rsidP="00DE12BB">
            <w:pPr>
              <w:ind w:firstLine="0pt"/>
              <w:jc w:val="center"/>
            </w:pPr>
            <w:r>
              <w:t>268</w:t>
            </w:r>
          </w:p>
        </w:tc>
      </w:tr>
      <w:tr w:rsidR="0022709F" w14:paraId="2C1E6C6F" w14:textId="77777777" w:rsidTr="00DE12BB">
        <w:tc>
          <w:tcPr>
            <w:tcW w:w="80.90pt" w:type="dxa"/>
          </w:tcPr>
          <w:p w14:paraId="0EBA206B" w14:textId="77777777" w:rsidR="0022709F" w:rsidRDefault="0022709F" w:rsidP="00DE12BB">
            <w:pPr>
              <w:ind w:firstLine="0pt"/>
              <w:jc w:val="center"/>
            </w:pPr>
            <w:r>
              <w:t>HVAC &amp; lighting</w:t>
            </w:r>
          </w:p>
        </w:tc>
        <w:tc>
          <w:tcPr>
            <w:tcW w:w="80.95pt" w:type="dxa"/>
          </w:tcPr>
          <w:p w14:paraId="157A6AF6" w14:textId="77777777" w:rsidR="0022709F" w:rsidRDefault="0022709F" w:rsidP="00DE12BB">
            <w:pPr>
              <w:ind w:firstLine="0pt"/>
              <w:jc w:val="center"/>
            </w:pPr>
            <w:r>
              <w:t>3,335</w:t>
            </w:r>
          </w:p>
        </w:tc>
        <w:tc>
          <w:tcPr>
            <w:tcW w:w="80.95pt" w:type="dxa"/>
          </w:tcPr>
          <w:p w14:paraId="14661ACA" w14:textId="77777777" w:rsidR="0022709F" w:rsidRDefault="0022709F" w:rsidP="00DE12BB">
            <w:pPr>
              <w:ind w:firstLine="0pt"/>
              <w:jc w:val="center"/>
            </w:pPr>
            <w:r>
              <w:t>225</w:t>
            </w:r>
          </w:p>
        </w:tc>
      </w:tr>
      <w:tr w:rsidR="0022709F" w14:paraId="56D9BB0E" w14:textId="77777777" w:rsidTr="00DE12BB">
        <w:tc>
          <w:tcPr>
            <w:tcW w:w="80.90pt" w:type="dxa"/>
          </w:tcPr>
          <w:p w14:paraId="2632A8E1" w14:textId="77777777" w:rsidR="0022709F" w:rsidRDefault="0022709F" w:rsidP="00DE12BB">
            <w:pPr>
              <w:ind w:firstLine="0pt"/>
              <w:jc w:val="center"/>
            </w:pPr>
            <w:r>
              <w:t>Heating</w:t>
            </w:r>
          </w:p>
        </w:tc>
        <w:tc>
          <w:tcPr>
            <w:tcW w:w="80.95pt" w:type="dxa"/>
          </w:tcPr>
          <w:p w14:paraId="00858F51" w14:textId="77777777" w:rsidR="0022709F" w:rsidRDefault="0022709F" w:rsidP="00DE12BB">
            <w:pPr>
              <w:ind w:firstLine="0pt"/>
              <w:jc w:val="center"/>
            </w:pPr>
            <w:r>
              <w:t>3,110</w:t>
            </w:r>
          </w:p>
        </w:tc>
        <w:tc>
          <w:tcPr>
            <w:tcW w:w="80.95pt" w:type="dxa"/>
          </w:tcPr>
          <w:p w14:paraId="1ED7C628" w14:textId="77777777" w:rsidR="0022709F" w:rsidRDefault="0022709F" w:rsidP="00DE12BB">
            <w:pPr>
              <w:ind w:firstLine="0pt"/>
              <w:jc w:val="center"/>
            </w:pPr>
            <w:r>
              <w:t>195</w:t>
            </w:r>
          </w:p>
        </w:tc>
      </w:tr>
      <w:tr w:rsidR="0022709F" w14:paraId="12DB7E5A" w14:textId="77777777" w:rsidTr="00DE12BB">
        <w:tc>
          <w:tcPr>
            <w:tcW w:w="80.90pt" w:type="dxa"/>
          </w:tcPr>
          <w:p w14:paraId="79E9FB36" w14:textId="77777777" w:rsidR="0022709F" w:rsidRDefault="0022709F" w:rsidP="00DE12BB">
            <w:pPr>
              <w:ind w:firstLine="0pt"/>
              <w:jc w:val="center"/>
            </w:pPr>
            <w:r>
              <w:t>Material handling</w:t>
            </w:r>
          </w:p>
        </w:tc>
        <w:tc>
          <w:tcPr>
            <w:tcW w:w="80.95pt" w:type="dxa"/>
          </w:tcPr>
          <w:p w14:paraId="20573729" w14:textId="77777777" w:rsidR="0022709F" w:rsidRDefault="0022709F" w:rsidP="00DE12BB">
            <w:pPr>
              <w:ind w:firstLine="0pt"/>
              <w:jc w:val="center"/>
            </w:pPr>
            <w:r>
              <w:t>690</w:t>
            </w:r>
          </w:p>
        </w:tc>
        <w:tc>
          <w:tcPr>
            <w:tcW w:w="80.95pt" w:type="dxa"/>
          </w:tcPr>
          <w:p w14:paraId="4CEBF324" w14:textId="77777777" w:rsidR="0022709F" w:rsidRDefault="0022709F" w:rsidP="00DE12BB">
            <w:pPr>
              <w:ind w:firstLine="0pt"/>
              <w:jc w:val="center"/>
            </w:pPr>
            <w:r>
              <w:t>46</w:t>
            </w:r>
          </w:p>
        </w:tc>
      </w:tr>
      <w:tr w:rsidR="0022709F" w14:paraId="75D93848" w14:textId="77777777" w:rsidTr="00DE12BB">
        <w:tc>
          <w:tcPr>
            <w:tcW w:w="80.90pt" w:type="dxa"/>
          </w:tcPr>
          <w:p w14:paraId="098B071C" w14:textId="77777777" w:rsidR="0022709F" w:rsidRDefault="0022709F" w:rsidP="00DE12BB">
            <w:pPr>
              <w:ind w:firstLine="0pt"/>
              <w:jc w:val="center"/>
            </w:pPr>
            <w:r>
              <w:t>Welding</w:t>
            </w:r>
          </w:p>
        </w:tc>
        <w:tc>
          <w:tcPr>
            <w:tcW w:w="80.95pt" w:type="dxa"/>
          </w:tcPr>
          <w:p w14:paraId="359C6A6E" w14:textId="77777777" w:rsidR="0022709F" w:rsidRDefault="0022709F" w:rsidP="00DE12BB">
            <w:pPr>
              <w:ind w:firstLine="0pt"/>
              <w:jc w:val="center"/>
            </w:pPr>
            <w:r>
              <w:t>920</w:t>
            </w:r>
          </w:p>
        </w:tc>
        <w:tc>
          <w:tcPr>
            <w:tcW w:w="80.95pt" w:type="dxa"/>
          </w:tcPr>
          <w:p w14:paraId="4CABCCB6" w14:textId="77777777" w:rsidR="0022709F" w:rsidRDefault="0022709F" w:rsidP="00DE12BB">
            <w:pPr>
              <w:ind w:firstLine="0pt"/>
              <w:jc w:val="center"/>
            </w:pPr>
            <w:r>
              <w:t>62</w:t>
            </w:r>
          </w:p>
        </w:tc>
      </w:tr>
      <w:tr w:rsidR="0022709F" w14:paraId="586B0587" w14:textId="77777777" w:rsidTr="00DE12BB">
        <w:tc>
          <w:tcPr>
            <w:tcW w:w="80.90pt" w:type="dxa"/>
          </w:tcPr>
          <w:p w14:paraId="29511E04" w14:textId="77777777" w:rsidR="0022709F" w:rsidRDefault="0022709F" w:rsidP="00DE12BB">
            <w:pPr>
              <w:ind w:firstLine="0pt"/>
              <w:jc w:val="center"/>
            </w:pPr>
            <w:r>
              <w:t>Compressed air</w:t>
            </w:r>
          </w:p>
        </w:tc>
        <w:tc>
          <w:tcPr>
            <w:tcW w:w="80.95pt" w:type="dxa"/>
          </w:tcPr>
          <w:p w14:paraId="27F93CAC" w14:textId="77777777" w:rsidR="0022709F" w:rsidRDefault="0022709F" w:rsidP="00DE12BB">
            <w:pPr>
              <w:ind w:firstLine="0pt"/>
              <w:jc w:val="center"/>
            </w:pPr>
            <w:r>
              <w:t>1,380</w:t>
            </w:r>
          </w:p>
        </w:tc>
        <w:tc>
          <w:tcPr>
            <w:tcW w:w="80.95pt" w:type="dxa"/>
          </w:tcPr>
          <w:p w14:paraId="1F995553" w14:textId="77777777" w:rsidR="0022709F" w:rsidRDefault="0022709F" w:rsidP="00DE12BB">
            <w:pPr>
              <w:ind w:firstLine="0pt"/>
              <w:jc w:val="center"/>
            </w:pPr>
            <w:r>
              <w:t>93</w:t>
            </w:r>
          </w:p>
        </w:tc>
      </w:tr>
      <w:tr w:rsidR="0022709F" w14:paraId="2AB9F592" w14:textId="77777777" w:rsidTr="00DE12BB">
        <w:tc>
          <w:tcPr>
            <w:tcW w:w="80.90pt" w:type="dxa"/>
          </w:tcPr>
          <w:p w14:paraId="1CBFE49C" w14:textId="77777777" w:rsidR="0022709F" w:rsidRDefault="0022709F" w:rsidP="00DE12BB">
            <w:pPr>
              <w:ind w:firstLine="0pt"/>
              <w:jc w:val="center"/>
            </w:pPr>
          </w:p>
        </w:tc>
        <w:tc>
          <w:tcPr>
            <w:tcW w:w="80.95pt" w:type="dxa"/>
          </w:tcPr>
          <w:p w14:paraId="08B202FA" w14:textId="77777777" w:rsidR="0022709F" w:rsidRDefault="0022709F" w:rsidP="00DE12BB">
            <w:pPr>
              <w:ind w:firstLine="0pt"/>
              <w:jc w:val="center"/>
            </w:pPr>
          </w:p>
        </w:tc>
        <w:tc>
          <w:tcPr>
            <w:tcW w:w="80.95pt" w:type="dxa"/>
          </w:tcPr>
          <w:p w14:paraId="3028DD2E" w14:textId="77777777" w:rsidR="0022709F" w:rsidRDefault="0022709F" w:rsidP="00DE12BB">
            <w:pPr>
              <w:ind w:firstLine="0pt"/>
              <w:jc w:val="center"/>
            </w:pPr>
          </w:p>
        </w:tc>
      </w:tr>
      <w:tr w:rsidR="0022709F" w14:paraId="14944B41" w14:textId="77777777" w:rsidTr="00DE12BB">
        <w:tc>
          <w:tcPr>
            <w:tcW w:w="80.90pt" w:type="dxa"/>
            <w:tcBorders>
              <w:bottom w:val="single" w:sz="4" w:space="0" w:color="auto"/>
            </w:tcBorders>
          </w:tcPr>
          <w:p w14:paraId="3B0E9CEF" w14:textId="77777777" w:rsidR="0022709F" w:rsidRDefault="0022709F" w:rsidP="00DE12BB">
            <w:pPr>
              <w:ind w:firstLine="0pt"/>
              <w:jc w:val="center"/>
            </w:pPr>
            <w:r>
              <w:t>Total</w:t>
            </w:r>
          </w:p>
        </w:tc>
        <w:tc>
          <w:tcPr>
            <w:tcW w:w="80.95pt" w:type="dxa"/>
            <w:tcBorders>
              <w:bottom w:val="single" w:sz="4" w:space="0" w:color="auto"/>
            </w:tcBorders>
          </w:tcPr>
          <w:p w14:paraId="3AA74DD3" w14:textId="77777777" w:rsidR="0022709F" w:rsidRDefault="0022709F" w:rsidP="00DE12BB">
            <w:pPr>
              <w:ind w:firstLine="0pt"/>
              <w:jc w:val="center"/>
            </w:pPr>
            <w:r>
              <w:t>33,924</w:t>
            </w:r>
          </w:p>
        </w:tc>
        <w:tc>
          <w:tcPr>
            <w:tcW w:w="80.95pt" w:type="dxa"/>
            <w:tcBorders>
              <w:bottom w:val="single" w:sz="4" w:space="0" w:color="auto"/>
            </w:tcBorders>
          </w:tcPr>
          <w:p w14:paraId="3F6158B1" w14:textId="77777777" w:rsidR="0022709F" w:rsidRDefault="0022709F" w:rsidP="00DE12BB">
            <w:pPr>
              <w:ind w:firstLine="0pt"/>
              <w:jc w:val="center"/>
            </w:pPr>
            <w:r>
              <w:t>2,013</w:t>
            </w:r>
          </w:p>
        </w:tc>
      </w:tr>
    </w:tbl>
    <w:p w14:paraId="1D0BFEAA" w14:textId="77777777" w:rsidR="00AB1B5F" w:rsidRDefault="00AB1B5F" w:rsidP="00B455C6">
      <w:pPr>
        <w:rPr>
          <w:lang w:val="en-US"/>
        </w:rPr>
      </w:pPr>
    </w:p>
    <w:p w14:paraId="1811B1A1" w14:textId="225474A7" w:rsidR="00B455C6" w:rsidRPr="00B455C6" w:rsidRDefault="0022709F" w:rsidP="00B455C6">
      <w:pPr>
        <w:rPr>
          <w:lang w:val="en-US"/>
        </w:rPr>
      </w:pPr>
      <w:r>
        <w:rPr>
          <w:lang w:val="en-US"/>
        </w:rPr>
        <w:t xml:space="preserve">The above table shows the total energy consumed in the processes involving the manufacturing of an internal combustion vehicle (33,924MJ). For an electric vehicle however, the energy cost of manufacturing battery and motors must be added to this figure. Burnham et al. computes the energy cost of manufacturing an electric vehicle as 12,657MJ </w:t>
      </w:r>
      <w:r>
        <w:fldChar w:fldCharType="begin"/>
      </w:r>
      <w:r>
        <w:instrText xml:space="preserve"> REF _Ref195363442 \r \h </w:instrText>
      </w:r>
      <w:r>
        <w:fldChar w:fldCharType="separate"/>
      </w:r>
      <w:r>
        <w:t>[35]</w:t>
      </w:r>
      <w:r>
        <w:fldChar w:fldCharType="end"/>
      </w:r>
      <w:r>
        <w:t xml:space="preserve">. This brings the total cost of manufacturing an electric vehicle to 46,581MJ. </w:t>
      </w:r>
    </w:p>
    <w:p w14:paraId="277F2CC5" w14:textId="77777777" w:rsidR="0022709F" w:rsidRDefault="0022709F" w:rsidP="0022709F">
      <w:pPr>
        <w:pStyle w:val="Heading2"/>
        <w:rPr>
          <w:lang w:val="en-US"/>
        </w:rPr>
      </w:pPr>
      <w:r w:rsidRPr="0022709F">
        <w:rPr>
          <w:lang w:val="en-US"/>
        </w:rPr>
        <w:t>Energy consumed in maintenance of the vehicle</w:t>
      </w:r>
    </w:p>
    <w:p w14:paraId="4E810D87" w14:textId="289637E5" w:rsidR="0022709F" w:rsidRDefault="0022709F" w:rsidP="0022709F">
      <w:pPr>
        <w:rPr>
          <w:lang w:val="en-US"/>
        </w:rPr>
      </w:pPr>
      <w:r>
        <w:rPr>
          <w:lang w:val="en-US"/>
        </w:rPr>
        <w:t xml:space="preserve">Maintenance is another key area where electric vehicles have an advantage over traditional internal combustion engine vehicle or even hybrid electric vehicles. Since electric vehicle do not </w:t>
      </w:r>
      <w:r w:rsidR="00995387">
        <w:rPr>
          <w:lang w:val="en-US"/>
        </w:rPr>
        <w:t xml:space="preserve">require regular oil changes, the energy expended in such activities is eliminated. Additionally, electric vehicle </w:t>
      </w:r>
      <w:r w:rsidR="002742F2">
        <w:rPr>
          <w:lang w:val="en-US"/>
        </w:rPr>
        <w:t>relies</w:t>
      </w:r>
      <w:r w:rsidR="00995387">
        <w:rPr>
          <w:lang w:val="en-US"/>
        </w:rPr>
        <w:t xml:space="preserve"> on regenerative braking for reducing the speed of the vehicle instead of relying hydraulic brakes that wear down over time. </w:t>
      </w:r>
      <w:r w:rsidR="002742F2">
        <w:rPr>
          <w:lang w:val="en-US"/>
        </w:rPr>
        <w:t>Thus,</w:t>
      </w:r>
      <w:r w:rsidR="00995387">
        <w:rPr>
          <w:lang w:val="en-US"/>
        </w:rPr>
        <w:t xml:space="preserve"> electric vehicles require less brake pad replacements over their lifetime as compared to internal combustion engine vehicles.</w:t>
      </w:r>
    </w:p>
    <w:p w14:paraId="22FD1B4F" w14:textId="603ECD6F" w:rsidR="00995387" w:rsidRDefault="00995387" w:rsidP="0022709F">
      <w:pPr>
        <w:rPr>
          <w:lang w:val="en-US"/>
        </w:rPr>
      </w:pPr>
      <w:r>
        <w:rPr>
          <w:lang w:val="en-US"/>
        </w:rPr>
        <w:t>However, battery packs in electric vehicles gradually loose capacity over charging cycles. The only remedy for this loss of electric range is to replace the entire battery pack which can be an additional burden that</w:t>
      </w:r>
      <w:r w:rsidR="00942DEA">
        <w:rPr>
          <w:lang w:val="en-US"/>
        </w:rPr>
        <w:t xml:space="preserve"> few</w:t>
      </w:r>
      <w:r>
        <w:rPr>
          <w:lang w:val="en-US"/>
        </w:rPr>
        <w:t xml:space="preserve"> electric vehicle owners need to face. </w:t>
      </w:r>
      <w:r w:rsidR="002742F2">
        <w:rPr>
          <w:lang w:val="en-US"/>
        </w:rPr>
        <w:t>According to</w:t>
      </w:r>
      <w:r w:rsidR="00942DEA">
        <w:rPr>
          <w:lang w:val="en-US"/>
        </w:rPr>
        <w:t xml:space="preserve"> EV news issue </w:t>
      </w:r>
      <w:r w:rsidR="00942DEA">
        <w:rPr>
          <w:lang w:val="en-US"/>
        </w:rPr>
        <w:fldChar w:fldCharType="begin"/>
      </w:r>
      <w:r w:rsidR="00942DEA">
        <w:rPr>
          <w:lang w:val="en-US"/>
        </w:rPr>
        <w:instrText xml:space="preserve"> REF _Ref195364233 \r \h </w:instrText>
      </w:r>
      <w:r w:rsidR="00942DEA">
        <w:rPr>
          <w:lang w:val="en-US"/>
        </w:rPr>
      </w:r>
      <w:r w:rsidR="00942DEA">
        <w:rPr>
          <w:lang w:val="en-US"/>
        </w:rPr>
        <w:fldChar w:fldCharType="separate"/>
      </w:r>
      <w:r w:rsidR="00942DEA">
        <w:rPr>
          <w:lang w:val="en-US"/>
        </w:rPr>
        <w:t>[36]</w:t>
      </w:r>
      <w:r w:rsidR="00942DEA">
        <w:rPr>
          <w:lang w:val="en-US"/>
        </w:rPr>
        <w:fldChar w:fldCharType="end"/>
      </w:r>
      <w:r w:rsidR="00942DEA">
        <w:rPr>
          <w:lang w:val="en-US"/>
        </w:rPr>
        <w:t xml:space="preserve">, only 2.5% of EVs have their battery replaced over 20,000EVs examined. </w:t>
      </w:r>
      <w:r w:rsidR="002742F2">
        <w:rPr>
          <w:lang w:val="en-US"/>
        </w:rPr>
        <w:t>Thus,</w:t>
      </w:r>
      <w:r w:rsidR="005363A0">
        <w:rPr>
          <w:lang w:val="en-US"/>
        </w:rPr>
        <w:t xml:space="preserve"> we can assume an energy consumption of 2.5% of energy required to manufacture a battery and include this in the computation of energy consumed for maintenance.</w:t>
      </w:r>
    </w:p>
    <w:p w14:paraId="37B48A76" w14:textId="2430B2F3" w:rsidR="00EC0519" w:rsidRPr="00EC0519" w:rsidRDefault="00E268D0" w:rsidP="00EC0519">
      <w:pPr>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maintenance</m:t>
                  </m:r>
                </m:sub>
              </m:sSub>
              <m:r>
                <w:rPr>
                  <w:rFonts w:ascii="Cambria Math" w:hAnsi="Cambria Math"/>
                  <w:lang w:val="en-US"/>
                </w:rPr>
                <m:t>=2.5%×12,657</m:t>
              </m:r>
              <m:r>
                <w:rPr>
                  <w:rFonts w:ascii="Cambria Math" w:hAnsi="Cambria Math"/>
                  <w:lang w:val="en-US"/>
                </w:rPr>
                <m:t>MJ</m:t>
              </m:r>
              <m:r>
                <w:rPr>
                  <w:rFonts w:ascii="Cambria Math" w:hAnsi="Cambria Math"/>
                  <w:lang w:val="en-US"/>
                </w:rPr>
                <m:t>=316</m:t>
              </m:r>
              <m:r>
                <w:rPr>
                  <w:rFonts w:ascii="Cambria Math" w:hAnsi="Cambria Math"/>
                  <w:lang w:val="en-US"/>
                </w:rPr>
                <m:t>MJ</m:t>
              </m:r>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5</m:t>
                  </m:r>
                </m:e>
              </m:d>
            </m:e>
          </m:eqArr>
        </m:oMath>
      </m:oMathPara>
    </w:p>
    <w:p w14:paraId="5121CD79" w14:textId="12DF986A" w:rsidR="00AB1B5F" w:rsidRPr="0022709F" w:rsidRDefault="00C376B5" w:rsidP="0022709F">
      <w:pPr>
        <w:rPr>
          <w:lang w:val="en-US"/>
        </w:rPr>
      </w:pPr>
      <w:r>
        <w:rPr>
          <w:lang w:val="en-US"/>
        </w:rPr>
        <w:t>Thus,</w:t>
      </w:r>
      <w:r w:rsidR="00AB1B5F">
        <w:rPr>
          <w:lang w:val="en-US"/>
        </w:rPr>
        <w:t xml:space="preserve"> we can see that even considering the battery pack replacements for EVs, the cost maintenance is </w:t>
      </w:r>
      <w:r>
        <w:rPr>
          <w:lang w:val="en-US"/>
        </w:rPr>
        <w:t>lower</w:t>
      </w:r>
      <w:r w:rsidR="00AB1B5F">
        <w:rPr>
          <w:lang w:val="en-US"/>
        </w:rPr>
        <w:t xml:space="preserve"> compared to traditional vehicles.</w:t>
      </w:r>
    </w:p>
    <w:p w14:paraId="08567430" w14:textId="77777777" w:rsidR="002051E9" w:rsidRDefault="002051E9" w:rsidP="005363A0">
      <w:pPr>
        <w:pStyle w:val="Heading2"/>
        <w:numPr>
          <w:ilvl w:val="0"/>
          <w:numId w:val="0"/>
        </w:numPr>
        <w:ind w:start="14.40pt" w:hanging="14.40pt"/>
        <w:rPr>
          <w:lang w:val="en-US"/>
        </w:rPr>
      </w:pPr>
    </w:p>
    <w:p w14:paraId="323BA06E" w14:textId="0C299B6E" w:rsidR="005363A0" w:rsidRDefault="005363A0" w:rsidP="005363A0">
      <w:pPr>
        <w:pStyle w:val="Heading1"/>
        <w:rPr>
          <w:lang w:val="en-US"/>
        </w:rPr>
      </w:pPr>
      <w:r>
        <w:rPr>
          <w:lang w:val="en-US"/>
        </w:rPr>
        <w:t>Results</w:t>
      </w:r>
    </w:p>
    <w:p w14:paraId="34C82978" w14:textId="7C9B59AA" w:rsidR="005363A0" w:rsidRDefault="005363A0" w:rsidP="005363A0">
      <w:pPr>
        <w:rPr>
          <w:lang w:val="en-US"/>
        </w:rPr>
      </w:pPr>
      <w:r>
        <w:rPr>
          <w:lang w:val="en-US"/>
        </w:rPr>
        <w:t xml:space="preserve">To compute the overall energy consumed during the lifetime of </w:t>
      </w:r>
      <w:r w:rsidR="005D0467">
        <w:rPr>
          <w:lang w:val="en-US"/>
        </w:rPr>
        <w:t>operating an electric vehicle</w:t>
      </w:r>
      <w:r>
        <w:rPr>
          <w:lang w:val="en-US"/>
        </w:rPr>
        <w:t xml:space="preserve">, we can assume a lifetime average mileage of 200,000 miles. As observed in the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propulsion</m:t>
            </m:r>
          </m:sub>
        </m:sSub>
      </m:oMath>
      <w:r>
        <w:rPr>
          <w:lang w:val="en-US"/>
        </w:rPr>
        <w:t xml:space="preserve"> computation, most EVs are highly efficient at energy conversion from electrical to mechanical over internal </w:t>
      </w:r>
      <w:r>
        <w:rPr>
          <w:lang w:val="en-US"/>
        </w:rPr>
        <w:t xml:space="preserve">combustion engine vehicle. This is also evident in the fact that most EVs have an average </w:t>
      </w:r>
      <w:proofErr w:type="gramStart"/>
      <w:r>
        <w:rPr>
          <w:lang w:val="en-US"/>
        </w:rPr>
        <w:t>real world</w:t>
      </w:r>
      <w:proofErr w:type="gramEnd"/>
      <w:r>
        <w:rPr>
          <w:lang w:val="en-US"/>
        </w:rPr>
        <w:t xml:space="preserve"> energy consumption of 4.76miles/kWh </w:t>
      </w:r>
      <w:r>
        <w:rPr>
          <w:lang w:val="en-US"/>
        </w:rPr>
        <w:fldChar w:fldCharType="begin"/>
      </w:r>
      <w:r>
        <w:rPr>
          <w:lang w:val="en-US"/>
        </w:rPr>
        <w:instrText xml:space="preserve"> REF _Ref195364738 \r \h </w:instrText>
      </w:r>
      <w:r>
        <w:rPr>
          <w:lang w:val="en-US"/>
        </w:rPr>
      </w:r>
      <w:r>
        <w:rPr>
          <w:lang w:val="en-US"/>
        </w:rPr>
        <w:fldChar w:fldCharType="separate"/>
      </w:r>
      <w:r>
        <w:rPr>
          <w:lang w:val="en-US"/>
        </w:rPr>
        <w:t>[37]</w:t>
      </w:r>
      <w:r>
        <w:rPr>
          <w:lang w:val="en-US"/>
        </w:rPr>
        <w:fldChar w:fldCharType="end"/>
      </w:r>
      <w:r>
        <w:rPr>
          <w:lang w:val="en-US"/>
        </w:rPr>
        <w:t xml:space="preserve">. </w:t>
      </w:r>
      <w:r w:rsidR="002742F2">
        <w:rPr>
          <w:lang w:val="en-US"/>
        </w:rPr>
        <w:t>Thus,</w:t>
      </w:r>
      <w:r>
        <w:rPr>
          <w:lang w:val="en-US"/>
        </w:rPr>
        <w:t xml:space="preserve"> for a lifetime mileage of 200,000 miles, an EV </w:t>
      </w:r>
      <w:r w:rsidR="002742F2">
        <w:rPr>
          <w:lang w:val="en-US"/>
        </w:rPr>
        <w:t>consumes.</w:t>
      </w:r>
      <w:r>
        <w:rPr>
          <w:lang w:val="en-US"/>
        </w:rPr>
        <w:t xml:space="preserve"> </w:t>
      </w:r>
    </w:p>
    <w:p w14:paraId="4C3866C5" w14:textId="2ACB7E1E" w:rsidR="00EC0519" w:rsidRPr="00EC0519" w:rsidRDefault="00E268D0" w:rsidP="00EC0519">
      <w:pPr>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m:t>
                  </m:r>
                  <m:r>
                    <w:rPr>
                      <w:rFonts w:ascii="Cambria Math" w:hAnsi="Cambria Math"/>
                      <w:lang w:val="en-US"/>
                    </w:rPr>
                    <m:t>h</m:t>
                  </m:r>
                  <m:r>
                    <w:rPr>
                      <w:rFonts w:ascii="Cambria Math" w:hAnsi="Cambria Math"/>
                      <w:lang w:val="en-US"/>
                    </w:rPr>
                    <m:t>arge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200,000</m:t>
                  </m:r>
                  <m:r>
                    <w:rPr>
                      <w:rFonts w:ascii="Cambria Math" w:hAnsi="Cambria Math"/>
                      <w:lang w:val="en-US"/>
                    </w:rPr>
                    <m:t>miles</m:t>
                  </m:r>
                </m:num>
                <m:den>
                  <m:f>
                    <m:fPr>
                      <m:ctrlPr>
                        <w:rPr>
                          <w:rFonts w:ascii="Cambria Math" w:hAnsi="Cambria Math"/>
                          <w:i/>
                          <w:lang w:val="en-US"/>
                        </w:rPr>
                      </m:ctrlPr>
                    </m:fPr>
                    <m:num>
                      <m:r>
                        <w:rPr>
                          <w:rFonts w:ascii="Cambria Math" w:hAnsi="Cambria Math"/>
                          <w:lang w:val="en-US"/>
                        </w:rPr>
                        <m:t>4.76</m:t>
                      </m:r>
                      <m:r>
                        <w:rPr>
                          <w:rFonts w:ascii="Cambria Math" w:hAnsi="Cambria Math"/>
                          <w:lang w:val="en-US"/>
                        </w:rPr>
                        <m:t>miles</m:t>
                      </m:r>
                    </m:num>
                    <m:den>
                      <m:r>
                        <w:rPr>
                          <w:rFonts w:ascii="Cambria Math" w:hAnsi="Cambria Math"/>
                          <w:lang w:val="en-US"/>
                        </w:rPr>
                        <m:t>kW</m:t>
                      </m:r>
                      <m:r>
                        <w:rPr>
                          <w:rFonts w:ascii="Cambria Math" w:hAnsi="Cambria Math"/>
                          <w:lang w:val="en-US"/>
                        </w:rPr>
                        <m:t>h</m:t>
                      </m:r>
                    </m:den>
                  </m:f>
                </m:den>
              </m:f>
              <m:r>
                <w:rPr>
                  <w:rFonts w:ascii="Cambria Math" w:hAnsi="Cambria Math"/>
                  <w:lang w:val="en-US"/>
                </w:rPr>
                <m:t>=42,017</m:t>
              </m:r>
              <m:r>
                <w:rPr>
                  <w:rFonts w:ascii="Cambria Math" w:hAnsi="Cambria Math"/>
                  <w:lang w:val="en-US"/>
                </w:rPr>
                <m:t>kW</m:t>
              </m:r>
              <m:r>
                <w:rPr>
                  <w:rFonts w:ascii="Cambria Math" w:hAnsi="Cambria Math"/>
                  <w:lang w:val="en-US"/>
                </w:rPr>
                <m:t>h</m:t>
              </m:r>
              <m:r>
                <w:rPr>
                  <w:rFonts w:ascii="Cambria Math" w:hAnsi="Cambria Math"/>
                  <w:lang w:val="en-US"/>
                </w:rPr>
                <m:t>#</m:t>
              </m:r>
              <m:d>
                <m:dPr>
                  <m:ctrlPr>
                    <w:rPr>
                      <w:rFonts w:ascii="Cambria Math" w:hAnsi="Cambria Math"/>
                      <w:i/>
                      <w:lang w:val="en-US"/>
                    </w:rPr>
                  </m:ctrlPr>
                </m:dPr>
                <m:e>
                  <m:r>
                    <w:rPr>
                      <w:rFonts w:ascii="Cambria Math" w:hAnsi="Cambria Math"/>
                      <w:lang w:val="en-US"/>
                    </w:rPr>
                    <m:t>6</m:t>
                  </m:r>
                </m:e>
              </m:d>
            </m:e>
          </m:eqArr>
        </m:oMath>
      </m:oMathPara>
    </w:p>
    <w:p w14:paraId="49B20C2B" w14:textId="40FDE202" w:rsidR="00011A2C" w:rsidRDefault="005363A0" w:rsidP="00215DE9">
      <w:r>
        <w:t xml:space="preserve">This </w:t>
      </w:r>
      <m:oMath>
        <m:sSub>
          <m:sSubPr>
            <m:ctrlPr>
              <w:rPr>
                <w:rFonts w:ascii="Cambria Math" w:hAnsi="Cambria Math"/>
                <w:i/>
              </w:rPr>
            </m:ctrlPr>
          </m:sSubPr>
          <m:e>
            <m:r>
              <w:rPr>
                <w:rFonts w:ascii="Cambria Math" w:hAnsi="Cambria Math"/>
              </w:rPr>
              <m:t>E</m:t>
            </m:r>
          </m:e>
          <m:sub>
            <m:r>
              <w:rPr>
                <w:rFonts w:ascii="Cambria Math" w:hAnsi="Cambria Math"/>
              </w:rPr>
              <m:t>charge</m:t>
            </m:r>
          </m:sub>
        </m:sSub>
      </m:oMath>
      <w:r>
        <w:t xml:space="preserve"> is the energy input to the electric vehicle. To compute the overall energy consumed to generate </w:t>
      </w:r>
      <m:oMath>
        <m:sSub>
          <m:sSubPr>
            <m:ctrlPr>
              <w:rPr>
                <w:rFonts w:ascii="Cambria Math" w:hAnsi="Cambria Math"/>
                <w:i/>
              </w:rPr>
            </m:ctrlPr>
          </m:sSubPr>
          <m:e>
            <m:r>
              <w:rPr>
                <w:rFonts w:ascii="Cambria Math" w:hAnsi="Cambria Math"/>
              </w:rPr>
              <m:t>E</m:t>
            </m:r>
          </m:e>
          <m:sub>
            <m:r>
              <w:rPr>
                <w:rFonts w:ascii="Cambria Math" w:hAnsi="Cambria Math"/>
              </w:rPr>
              <m:t>charge</m:t>
            </m:r>
          </m:sub>
        </m:sSub>
      </m:oMath>
      <w:r>
        <w:t xml:space="preserve"> amount of electricity at the power outlet, </w:t>
      </w:r>
      <w:r w:rsidR="008B59B7">
        <w:t>we can use the efficiency computations performed earlier to backpropagate the input energy required until the source of energy.</w:t>
      </w:r>
    </w:p>
    <w:p w14:paraId="675B2228" w14:textId="444201DD" w:rsidR="008B59B7" w:rsidRDefault="008B59B7" w:rsidP="008B59B7">
      <w:pPr>
        <w:rPr>
          <w:lang w:val="en-US"/>
        </w:rPr>
      </w:pPr>
      <w:r>
        <w:rPr>
          <w:lang w:val="en-US"/>
        </w:rPr>
        <w:t xml:space="preserve">The first step of this is to find the energy required to produce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charge</m:t>
            </m:r>
          </m:sub>
        </m:sSub>
      </m:oMath>
      <w:r>
        <w:rPr>
          <w:lang w:val="en-US"/>
        </w:rPr>
        <w:t xml:space="preserve"> of output at the start of electricity </w:t>
      </w:r>
      <w:r w:rsidR="002742F2">
        <w:rPr>
          <w:lang w:val="en-US"/>
        </w:rPr>
        <w:t>transmission.</w:t>
      </w:r>
    </w:p>
    <w:p w14:paraId="1E8820B2" w14:textId="77777777" w:rsidR="008B59B7" w:rsidRPr="008B59B7" w:rsidRDefault="008B59B7" w:rsidP="00215DE9">
      <w:pPr>
        <w:rPr>
          <w:lang w:val="en-US"/>
        </w:rPr>
      </w:pPr>
    </w:p>
    <w:p w14:paraId="4447EE4C" w14:textId="168DBACB" w:rsidR="00EC0519" w:rsidRPr="00EC0519" w:rsidRDefault="00E268D0" w:rsidP="00EC0519">
      <m:oMathPara>
        <m:oMath>
          <m:eqArr>
            <m:eqArrPr>
              <m:maxDist m:val="1"/>
              <m:ctrlPr>
                <w:rPr>
                  <w:rFonts w:ascii="Cambria Math" w:hAnsi="Cambria Math"/>
                  <w:i/>
                  <w:lang w:val="en-US"/>
                </w:rPr>
              </m:ctrlPr>
            </m:eqArrPr>
            <m:e>
              <m:sSub>
                <m:sSubPr>
                  <m:ctrlPr>
                    <w:rPr>
                      <w:rFonts w:ascii="Cambria Math" w:hAnsi="Cambria Math"/>
                      <w:i/>
                    </w:rPr>
                  </m:ctrlPr>
                </m:sSubPr>
                <m:e>
                  <m:r>
                    <w:rPr>
                      <w:rFonts w:ascii="Cambria Math" w:hAnsi="Cambria Math"/>
                    </w:rPr>
                    <m:t>E</m:t>
                  </m:r>
                </m:e>
                <m:sub>
                  <m:r>
                    <w:rPr>
                      <w:rFonts w:ascii="Cambria Math" w:hAnsi="Cambria Math"/>
                    </w:rPr>
                    <m:t>transport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c</m:t>
                  </m:r>
                  <m:r>
                    <w:rPr>
                      <w:rFonts w:ascii="Cambria Math" w:hAnsi="Cambria Math"/>
                    </w:rPr>
                    <m:t>h</m:t>
                  </m:r>
                  <m:r>
                    <w:rPr>
                      <w:rFonts w:ascii="Cambria Math" w:hAnsi="Cambria Math"/>
                    </w:rPr>
                    <m:t>arge</m:t>
                  </m:r>
                </m:sub>
              </m:sSub>
              <m:r>
                <w:rPr>
                  <w:rFonts w:ascii="Cambria Math" w:hAnsi="Cambria Math"/>
                </w:rPr>
                <m:t>× 1.05 #</m:t>
              </m:r>
              <m:d>
                <m:dPr>
                  <m:ctrlPr>
                    <w:rPr>
                      <w:rFonts w:ascii="Cambria Math" w:hAnsi="Cambria Math"/>
                      <w:i/>
                      <w:lang w:val="en-US"/>
                    </w:rPr>
                  </m:ctrlPr>
                </m:dPr>
                <m:e>
                  <m:r>
                    <w:rPr>
                      <w:rFonts w:ascii="Cambria Math" w:hAnsi="Cambria Math"/>
                      <w:lang w:val="en-US"/>
                    </w:rPr>
                    <m:t>7</m:t>
                  </m:r>
                </m:e>
              </m:d>
              <m:ctrlPr>
                <w:rPr>
                  <w:rFonts w:ascii="Cambria Math" w:hAnsi="Cambria Math"/>
                  <w:i/>
                </w:rPr>
              </m:ctrlPr>
            </m:e>
          </m:eqArr>
        </m:oMath>
      </m:oMathPara>
    </w:p>
    <w:p w14:paraId="7BF05F67" w14:textId="0BEFFD26" w:rsidR="008B59B7" w:rsidRDefault="008B59B7" w:rsidP="00215DE9">
      <w:r>
        <w:t xml:space="preserve">In the next step, we include the </w:t>
      </w:r>
      <w:r w:rsidR="002742F2">
        <w:t>efficiency</w:t>
      </w:r>
      <w:r>
        <w:t xml:space="preserve"> of electricity generation</w:t>
      </w:r>
    </w:p>
    <w:p w14:paraId="37B2F8D1" w14:textId="45C2DF3B" w:rsidR="008B59B7" w:rsidRPr="008B59B7" w:rsidRDefault="00E268D0" w:rsidP="00215DE9">
      <w:pPr>
        <w:rPr>
          <w:lang w:val="en-US"/>
        </w:rPr>
      </w:pPr>
      <m:oMathPara>
        <m:oMath>
          <m:sSub>
            <m:sSubPr>
              <m:ctrlPr>
                <w:rPr>
                  <w:rFonts w:ascii="Cambria Math" w:hAnsi="Cambria Math"/>
                  <w:i/>
                </w:rPr>
              </m:ctrlPr>
            </m:sSubPr>
            <m:e>
              <m:r>
                <w:rPr>
                  <w:rFonts w:ascii="Cambria Math" w:hAnsi="Cambria Math"/>
                </w:rPr>
                <m:t>E</m:t>
              </m:r>
            </m:e>
            <m:sub>
              <m:r>
                <w:rPr>
                  <w:rFonts w:ascii="Cambria Math" w:hAnsi="Cambria Math"/>
                </w:rPr>
                <m:t>total</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transport</m:t>
              </m:r>
            </m:sub>
          </m:sSub>
          <m:r>
            <w:rPr>
              <w:rFonts w:ascii="Cambria Math" w:hAnsi="Cambria Math"/>
            </w:rPr>
            <m:t>×</m:t>
          </m:r>
          <m:r>
            <w:rPr>
              <w:rFonts w:ascii="Cambria Math" w:hAnsi="Cambria Math"/>
              <w:lang w:val="en-US"/>
            </w:rPr>
            <m:t>(2</m:t>
          </m:r>
          <m:r>
            <w:rPr>
              <w:rFonts w:ascii="Cambria Math" w:hAnsi="Cambria Math"/>
              <w:lang w:val="en-US"/>
            </w:rPr>
            <m:t>η</m:t>
          </m:r>
          <m:r>
            <w:rPr>
              <w:rFonts w:ascii="Cambria Math" w:hAnsi="Cambria Math"/>
              <w:lang w:val="en-US"/>
            </w:rPr>
            <m:t>+2.22</m:t>
          </m:r>
          <m:r>
            <w:rPr>
              <w:rFonts w:ascii="Cambria Math" w:hAnsi="Cambria Math"/>
              <w:lang w:val="en-US"/>
            </w:rPr>
            <m:t>c</m:t>
          </m:r>
          <m:r>
            <w:rPr>
              <w:rFonts w:ascii="Cambria Math" w:hAnsi="Cambria Math"/>
              <w:lang w:val="en-US"/>
            </w:rPr>
            <m:t>+2.85</m:t>
          </m:r>
          <m:r>
            <w:rPr>
              <w:rFonts w:ascii="Cambria Math" w:hAnsi="Cambria Math"/>
              <w:lang w:val="en-US"/>
            </w:rPr>
            <m:t>ϕ</m:t>
          </m:r>
          <m:r>
            <w:rPr>
              <w:rFonts w:ascii="Cambria Math" w:hAnsi="Cambria Math"/>
              <w:lang w:val="en-US"/>
            </w:rPr>
            <m:t>)</m:t>
          </m:r>
        </m:oMath>
      </m:oMathPara>
    </w:p>
    <w:p w14:paraId="60950D22" w14:textId="77777777" w:rsidR="008B59B7" w:rsidRPr="008B59B7" w:rsidRDefault="008B59B7" w:rsidP="00215DE9">
      <w:pPr>
        <w:rPr>
          <w:lang w:val="en-US"/>
        </w:rPr>
      </w:pPr>
      <m:oMathPara>
        <m:oMath>
          <m:r>
            <w:rPr>
              <w:rFonts w:ascii="Cambria Math" w:hAnsi="Cambria Math"/>
            </w:rPr>
            <m:t>=1.05×</m:t>
          </m:r>
          <m:d>
            <m:dPr>
              <m:ctrlPr>
                <w:rPr>
                  <w:rFonts w:ascii="Cambria Math" w:hAnsi="Cambria Math"/>
                  <w:i/>
                  <w:lang w:val="en-US"/>
                </w:rPr>
              </m:ctrlPr>
            </m:dPr>
            <m:e>
              <m:r>
                <w:rPr>
                  <w:rFonts w:ascii="Cambria Math" w:hAnsi="Cambria Math"/>
                  <w:lang w:val="en-US"/>
                </w:rPr>
                <m:t>2η+2.22c+2.85ϕ</m:t>
              </m:r>
            </m:e>
          </m:d>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charge</m:t>
              </m:r>
            </m:sub>
          </m:sSub>
        </m:oMath>
      </m:oMathPara>
    </w:p>
    <w:p w14:paraId="7A59B55E" w14:textId="5E8FE031" w:rsidR="00EC0519" w:rsidRPr="00EC0519" w:rsidRDefault="00E268D0" w:rsidP="00EC0519">
      <w:pPr>
        <w:rPr>
          <w:lang w:val="en-US"/>
        </w:rPr>
      </w:pPr>
      <m:oMathPara>
        <m:oMath>
          <m:eqArr>
            <m:eqArrPr>
              <m:maxDist m:val="1"/>
              <m:ctrlPr>
                <w:rPr>
                  <w:rFonts w:ascii="Cambria Math" w:hAnsi="Cambria Math"/>
                  <w:i/>
                  <w:lang w:val="en-US"/>
                </w:rPr>
              </m:ctrlPr>
            </m:eqArrPr>
            <m:e>
              <m:r>
                <w:rPr>
                  <w:rFonts w:ascii="Cambria Math" w:hAnsi="Cambria Math"/>
                  <w:lang w:val="en-US"/>
                </w:rPr>
                <m:t>=44,117</m:t>
              </m:r>
              <m:d>
                <m:dPr>
                  <m:ctrlPr>
                    <w:rPr>
                      <w:rFonts w:ascii="Cambria Math" w:hAnsi="Cambria Math"/>
                      <w:i/>
                      <w:lang w:val="en-US"/>
                    </w:rPr>
                  </m:ctrlPr>
                </m:dPr>
                <m:e>
                  <m:r>
                    <w:rPr>
                      <w:rFonts w:ascii="Cambria Math" w:hAnsi="Cambria Math"/>
                      <w:lang w:val="en-US"/>
                    </w:rPr>
                    <m:t>2</m:t>
                  </m:r>
                  <m:r>
                    <w:rPr>
                      <w:rFonts w:ascii="Cambria Math" w:hAnsi="Cambria Math"/>
                      <w:lang w:val="en-US"/>
                    </w:rPr>
                    <m:t>η</m:t>
                  </m:r>
                  <m:r>
                    <w:rPr>
                      <w:rFonts w:ascii="Cambria Math" w:hAnsi="Cambria Math"/>
                      <w:lang w:val="en-US"/>
                    </w:rPr>
                    <m:t>+2.22</m:t>
                  </m:r>
                  <m:r>
                    <w:rPr>
                      <w:rFonts w:ascii="Cambria Math" w:hAnsi="Cambria Math"/>
                      <w:lang w:val="en-US"/>
                    </w:rPr>
                    <m:t>c</m:t>
                  </m:r>
                  <m:r>
                    <w:rPr>
                      <w:rFonts w:ascii="Cambria Math" w:hAnsi="Cambria Math"/>
                      <w:lang w:val="en-US"/>
                    </w:rPr>
                    <m:t>+2.85</m:t>
                  </m:r>
                  <m:r>
                    <w:rPr>
                      <w:rFonts w:ascii="Cambria Math" w:hAnsi="Cambria Math"/>
                      <w:lang w:val="en-US"/>
                    </w:rPr>
                    <m:t>ϕ</m:t>
                  </m:r>
                </m:e>
              </m:d>
              <m:r>
                <w:rPr>
                  <w:rFonts w:ascii="Cambria Math" w:hAnsi="Cambria Math"/>
                  <w:lang w:val="en-US"/>
                </w:rPr>
                <m:t>kW</m:t>
              </m:r>
              <m:r>
                <w:rPr>
                  <w:rFonts w:ascii="Cambria Math" w:hAnsi="Cambria Math"/>
                  <w:lang w:val="en-US"/>
                </w:rPr>
                <m:t>h</m:t>
              </m:r>
              <m:r>
                <w:rPr>
                  <w:rFonts w:ascii="Cambria Math" w:hAnsi="Cambria Math"/>
                  <w:lang w:val="en-US"/>
                </w:rPr>
                <m:t>#</m:t>
              </m:r>
              <m:d>
                <m:dPr>
                  <m:ctrlPr>
                    <w:rPr>
                      <w:rFonts w:ascii="Cambria Math" w:hAnsi="Cambria Math"/>
                      <w:i/>
                      <w:lang w:val="en-US"/>
                    </w:rPr>
                  </m:ctrlPr>
                </m:dPr>
                <m:e>
                  <m:r>
                    <w:rPr>
                      <w:rFonts w:ascii="Cambria Math" w:hAnsi="Cambria Math"/>
                      <w:lang w:val="en-US"/>
                    </w:rPr>
                    <m:t>8</m:t>
                  </m:r>
                </m:e>
              </m:d>
            </m:e>
          </m:eqArr>
        </m:oMath>
      </m:oMathPara>
    </w:p>
    <w:p w14:paraId="26F8F440" w14:textId="66ED4E3C" w:rsidR="008B59B7" w:rsidRDefault="008B59B7" w:rsidP="00215DE9">
      <w:pPr>
        <w:rPr>
          <w:lang w:val="en-US"/>
        </w:rPr>
      </w:pPr>
      <w:r>
        <w:rPr>
          <w:lang w:val="en-US"/>
        </w:rPr>
        <w:t xml:space="preserve">This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total</m:t>
            </m:r>
          </m:sub>
        </m:sSub>
      </m:oMath>
      <w:r>
        <w:rPr>
          <w:lang w:val="en-US"/>
        </w:rPr>
        <w:t xml:space="preserve"> represents </w:t>
      </w:r>
      <w:r w:rsidR="0057497A">
        <w:rPr>
          <w:lang w:val="en-US"/>
        </w:rPr>
        <w:t>the total energy consumed in generating the electricity required to charge an electric vehicle over its lifetime.</w:t>
      </w:r>
    </w:p>
    <w:p w14:paraId="67399D1D" w14:textId="76E0B508" w:rsidR="0057497A" w:rsidRDefault="0057497A" w:rsidP="00215DE9">
      <w:pPr>
        <w:rPr>
          <w:lang w:val="en-US"/>
        </w:rPr>
      </w:pPr>
      <w:r>
        <w:rPr>
          <w:lang w:val="en-US"/>
        </w:rPr>
        <w:t xml:space="preserve">To compute the total energy consumed in the operation of the electric vehicle over its lifetime, the energy consumption of manufacturing and maintenance can be added to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total</m:t>
            </m:r>
          </m:sub>
        </m:sSub>
      </m:oMath>
      <w:r>
        <w:rPr>
          <w:lang w:val="en-US"/>
        </w:rPr>
        <w:t>. This results in,</w:t>
      </w:r>
    </w:p>
    <w:p w14:paraId="52A3DEDD" w14:textId="108D38E8" w:rsidR="0057497A" w:rsidRPr="0057497A" w:rsidRDefault="00E268D0" w:rsidP="00215DE9">
      <m:oMathPara>
        <m:oMath>
          <m:sSub>
            <m:sSubPr>
              <m:ctrlPr>
                <w:rPr>
                  <w:rFonts w:ascii="Cambria Math" w:hAnsi="Cambria Math"/>
                  <w:i/>
                </w:rPr>
              </m:ctrlPr>
            </m:sSubPr>
            <m:e>
              <m:r>
                <w:rPr>
                  <w:rFonts w:ascii="Cambria Math" w:hAnsi="Cambria Math"/>
                </w:rPr>
                <m:t>E</m:t>
              </m:r>
            </m:e>
            <m:sub>
              <m:r>
                <w:rPr>
                  <w:rFonts w:ascii="Cambria Math" w:hAnsi="Cambria Math"/>
                </w:rPr>
                <m:t>consumption</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input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manufacturing</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maintenance</m:t>
              </m:r>
            </m:sub>
          </m:sSub>
        </m:oMath>
      </m:oMathPara>
    </w:p>
    <w:p w14:paraId="5975C225" w14:textId="1218C0B4" w:rsidR="00EC0519" w:rsidRPr="00EC0519" w:rsidRDefault="00E268D0" w:rsidP="00EC0519">
      <m:oMathPara>
        <m:oMath>
          <m:eqArr>
            <m:eqArrPr>
              <m:maxDist m:val="1"/>
              <m:ctrlPr>
                <w:rPr>
                  <w:rFonts w:ascii="Cambria Math" w:hAnsi="Cambria Math"/>
                  <w:i/>
                  <w:lang w:val="en-US"/>
                </w:rPr>
              </m:ctrlPr>
            </m:eqArrPr>
            <m:e>
              <m:r>
                <w:rPr>
                  <w:rFonts w:ascii="Cambria Math" w:hAnsi="Cambria Math"/>
                </w:rPr>
                <m:t>=</m:t>
              </m:r>
              <m:r>
                <w:rPr>
                  <w:rFonts w:ascii="Cambria Math" w:hAnsi="Cambria Math"/>
                  <w:lang w:val="en-US"/>
                </w:rPr>
                <m:t>44,117</m:t>
              </m:r>
              <m:d>
                <m:dPr>
                  <m:ctrlPr>
                    <w:rPr>
                      <w:rFonts w:ascii="Cambria Math" w:hAnsi="Cambria Math"/>
                      <w:i/>
                      <w:lang w:val="en-US"/>
                    </w:rPr>
                  </m:ctrlPr>
                </m:dPr>
                <m:e>
                  <m:r>
                    <w:rPr>
                      <w:rFonts w:ascii="Cambria Math" w:hAnsi="Cambria Math"/>
                      <w:lang w:val="en-US"/>
                    </w:rPr>
                    <m:t>2</m:t>
                  </m:r>
                  <m:r>
                    <w:rPr>
                      <w:rFonts w:ascii="Cambria Math" w:hAnsi="Cambria Math"/>
                      <w:lang w:val="en-US"/>
                    </w:rPr>
                    <m:t>η</m:t>
                  </m:r>
                  <m:r>
                    <w:rPr>
                      <w:rFonts w:ascii="Cambria Math" w:hAnsi="Cambria Math"/>
                      <w:lang w:val="en-US"/>
                    </w:rPr>
                    <m:t>+2.2</m:t>
                  </m:r>
                  <m:r>
                    <w:rPr>
                      <w:rFonts w:ascii="Cambria Math" w:hAnsi="Cambria Math"/>
                      <w:lang w:val="en-US"/>
                    </w:rPr>
                    <m:t>2</m:t>
                  </m:r>
                  <m:r>
                    <w:rPr>
                      <w:rFonts w:ascii="Cambria Math" w:hAnsi="Cambria Math"/>
                      <w:lang w:val="en-US"/>
                    </w:rPr>
                    <m:t>c</m:t>
                  </m:r>
                  <m:r>
                    <w:rPr>
                      <w:rFonts w:ascii="Cambria Math" w:hAnsi="Cambria Math"/>
                      <w:lang w:val="en-US"/>
                    </w:rPr>
                    <m:t>+2.85</m:t>
                  </m:r>
                  <m:r>
                    <w:rPr>
                      <w:rFonts w:ascii="Cambria Math" w:hAnsi="Cambria Math"/>
                      <w:lang w:val="en-US"/>
                    </w:rPr>
                    <m:t>ϕ</m:t>
                  </m:r>
                </m:e>
              </m:d>
              <m:r>
                <w:rPr>
                  <w:rFonts w:ascii="Cambria Math" w:hAnsi="Cambria Math"/>
                  <w:lang w:val="en-US"/>
                </w:rPr>
                <m:t>kW</m:t>
              </m:r>
              <m:r>
                <w:rPr>
                  <w:rFonts w:ascii="Cambria Math" w:hAnsi="Cambria Math"/>
                  <w:lang w:val="en-US"/>
                </w:rPr>
                <m:t>h</m:t>
              </m:r>
              <m:r>
                <w:rPr>
                  <w:rFonts w:ascii="Cambria Math" w:hAnsi="Cambria Math"/>
                  <w:lang w:val="en-US"/>
                </w:rPr>
                <m:t>+</m:t>
              </m:r>
              <m:ctrlPr>
                <w:rPr>
                  <w:rFonts w:ascii="Cambria Math" w:eastAsia="Cambria Math" w:hAnsi="Cambria Math" w:cs="Cambria Math"/>
                  <w:i/>
                </w:rPr>
              </m:ctrlPr>
            </m:e>
            <m:e>
              <m:r>
                <m:rPr>
                  <m:sty m:val="p"/>
                </m:rPr>
                <w:rPr>
                  <w:rFonts w:ascii="Cambria Math" w:hAnsi="Cambria Math"/>
                </w:rPr>
                <m:t>46,581MJ</m:t>
              </m:r>
              <m:r>
                <m:rPr>
                  <m:sty m:val="p"/>
                </m:rPr>
                <w:rPr>
                  <w:rFonts w:ascii="Cambria Math"/>
                </w:rPr>
                <m:t>+</m:t>
              </m:r>
              <m:r>
                <w:rPr>
                  <w:rFonts w:ascii="Cambria Math" w:hAnsi="Cambria Math"/>
                  <w:lang w:val="en-US"/>
                </w:rPr>
                <m:t>316</m:t>
              </m:r>
              <m:r>
                <w:rPr>
                  <w:rFonts w:ascii="Cambria Math" w:hAnsi="Cambria Math"/>
                  <w:lang w:val="en-US"/>
                </w:rPr>
                <m:t>MJ</m:t>
              </m:r>
              <m:r>
                <w:rPr>
                  <w:rFonts w:ascii="Cambria Math" w:hAnsi="Cambria Math"/>
                  <w:lang w:val="en-US"/>
                </w:rPr>
                <m:t xml:space="preserve"> </m:t>
              </m:r>
              <m:r>
                <w:rPr>
                  <w:rFonts w:ascii="Cambria Math" w:hAnsi="Cambria Math"/>
                </w:rPr>
                <m:t>#</m:t>
              </m:r>
              <m:d>
                <m:dPr>
                  <m:ctrlPr>
                    <w:rPr>
                      <w:rFonts w:ascii="Cambria Math" w:hAnsi="Cambria Math"/>
                      <w:i/>
                      <w:lang w:val="en-US"/>
                    </w:rPr>
                  </m:ctrlPr>
                </m:dPr>
                <m:e>
                  <m:r>
                    <w:rPr>
                      <w:rFonts w:ascii="Cambria Math" w:hAnsi="Cambria Math"/>
                      <w:lang w:val="en-US"/>
                    </w:rPr>
                    <m:t>9</m:t>
                  </m:r>
                </m:e>
              </m:d>
              <m:ctrlPr>
                <w:rPr>
                  <w:rFonts w:ascii="Cambria Math" w:hAnsi="Cambria Math"/>
                  <w:i/>
                </w:rPr>
              </m:ctrlPr>
            </m:e>
          </m:eqArr>
        </m:oMath>
      </m:oMathPara>
    </w:p>
    <w:p w14:paraId="08121EF4" w14:textId="5A3F3F30" w:rsidR="0057497A" w:rsidRDefault="0057497A" w:rsidP="0057497A">
      <w:pPr>
        <w:rPr>
          <w:lang w:val="en-US"/>
        </w:rPr>
      </w:pPr>
      <w:r>
        <w:rPr>
          <w:lang w:val="en-US"/>
        </w:rPr>
        <w:t xml:space="preserve">Using a conversion factor of </w:t>
      </w:r>
      <w:r w:rsidRPr="0057497A">
        <w:rPr>
          <w:lang w:val="en-US"/>
        </w:rPr>
        <w:t>1 MJ=0.2778 kWh</w:t>
      </w:r>
      <w:r>
        <w:rPr>
          <w:lang w:val="en-US"/>
        </w:rPr>
        <w:t>,</w:t>
      </w:r>
    </w:p>
    <w:p w14:paraId="7C2F48CD" w14:textId="43BBAB13" w:rsidR="0057497A" w:rsidRPr="0057497A" w:rsidRDefault="00E268D0" w:rsidP="00EC0519">
      <w:pPr>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consumption</m:t>
                  </m:r>
                </m:sub>
              </m:sSub>
              <m:r>
                <w:rPr>
                  <w:rFonts w:ascii="Cambria Math" w:hAnsi="Cambria Math"/>
                  <w:lang w:val="en-US"/>
                </w:rPr>
                <m:t>= 44,117</m:t>
              </m:r>
              <m:d>
                <m:dPr>
                  <m:ctrlPr>
                    <w:rPr>
                      <w:rFonts w:ascii="Cambria Math" w:hAnsi="Cambria Math"/>
                      <w:i/>
                      <w:lang w:val="en-US"/>
                    </w:rPr>
                  </m:ctrlPr>
                </m:dPr>
                <m:e>
                  <m:r>
                    <w:rPr>
                      <w:rFonts w:ascii="Cambria Math" w:hAnsi="Cambria Math"/>
                      <w:lang w:val="en-US"/>
                    </w:rPr>
                    <m:t>2</m:t>
                  </m:r>
                  <m:r>
                    <w:rPr>
                      <w:rFonts w:ascii="Cambria Math" w:hAnsi="Cambria Math"/>
                      <w:lang w:val="en-US"/>
                    </w:rPr>
                    <m:t>η</m:t>
                  </m:r>
                  <m:r>
                    <w:rPr>
                      <w:rFonts w:ascii="Cambria Math" w:hAnsi="Cambria Math"/>
                      <w:lang w:val="en-US"/>
                    </w:rPr>
                    <m:t>+2.22</m:t>
                  </m:r>
                  <m:r>
                    <w:rPr>
                      <w:rFonts w:ascii="Cambria Math" w:hAnsi="Cambria Math"/>
                      <w:lang w:val="en-US"/>
                    </w:rPr>
                    <m:t>c</m:t>
                  </m:r>
                  <m:r>
                    <w:rPr>
                      <w:rFonts w:ascii="Cambria Math" w:hAnsi="Cambria Math"/>
                      <w:lang w:val="en-US"/>
                    </w:rPr>
                    <m:t>+2.85</m:t>
                  </m:r>
                  <m:r>
                    <w:rPr>
                      <w:rFonts w:ascii="Cambria Math" w:hAnsi="Cambria Math"/>
                      <w:lang w:val="en-US"/>
                    </w:rPr>
                    <m:t>ϕ</m:t>
                  </m:r>
                </m:e>
              </m:d>
              <m:r>
                <w:rPr>
                  <w:rFonts w:ascii="Cambria Math" w:hAnsi="Cambria Math"/>
                  <w:lang w:val="en-US"/>
                </w:rPr>
                <m:t>+</m:t>
              </m:r>
              <m:ctrlPr>
                <w:rPr>
                  <w:rFonts w:ascii="Cambria Math" w:eastAsia="Cambria Math" w:hAnsi="Cambria Math" w:cs="Cambria Math"/>
                  <w:i/>
                </w:rPr>
              </m:ctrlPr>
            </m:e>
            <m:e>
              <m:r>
                <w:rPr>
                  <w:rFonts w:ascii="Cambria Math" w:hAnsi="Cambria Math"/>
                  <w:lang w:val="en-US"/>
                </w:rPr>
                <m:t xml:space="preserve">13,028 </m:t>
              </m:r>
              <m:r>
                <w:rPr>
                  <w:rFonts w:ascii="Cambria Math" w:hAnsi="Cambria Math"/>
                  <w:lang w:val="en-US"/>
                </w:rPr>
                <m:t>kW</m:t>
              </m:r>
              <m:r>
                <w:rPr>
                  <w:rFonts w:ascii="Cambria Math" w:hAnsi="Cambria Math"/>
                  <w:lang w:val="en-US"/>
                </w:rPr>
                <m:t>h</m:t>
              </m:r>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10</m:t>
                  </m:r>
                </m:e>
              </m:d>
            </m:e>
          </m:eqArr>
          <m:r>
            <w:rPr>
              <w:rFonts w:ascii="Cambria Math" w:hAnsi="Cambria Math"/>
              <w:lang w:val="en-US"/>
            </w:rPr>
            <m:t xml:space="preserve"> </m:t>
          </m:r>
        </m:oMath>
      </m:oMathPara>
    </w:p>
    <w:p w14:paraId="090B110F" w14:textId="61102910" w:rsidR="0057497A" w:rsidRDefault="0057497A" w:rsidP="0057497A">
      <w:pPr>
        <w:rPr>
          <w:lang w:val="en-US"/>
        </w:rPr>
      </w:pPr>
      <w:r>
        <w:rPr>
          <w:lang w:val="en-US"/>
        </w:rPr>
        <w:t xml:space="preserve">Shifting the focus to energy output, the EV has an average mileage of 200,000 miles over its lifetime, during which it consumes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charge</m:t>
            </m:r>
          </m:sub>
        </m:sSub>
      </m:oMath>
      <w:r>
        <w:rPr>
          <w:lang w:val="en-US"/>
        </w:rPr>
        <w:t xml:space="preserve"> amount of electricity. Thus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charge</m:t>
            </m:r>
          </m:sub>
        </m:sSub>
      </m:oMath>
      <w:r>
        <w:rPr>
          <w:lang w:val="en-US"/>
        </w:rPr>
        <w:t xml:space="preserve"> is the energy input to the electric vehicle and the corresponding energy output can be computed by assuming an 85% efficiency of </w:t>
      </w:r>
      <w:r w:rsidR="002742F2">
        <w:rPr>
          <w:lang w:val="en-US"/>
        </w:rPr>
        <w:t>conversion.</w:t>
      </w:r>
    </w:p>
    <w:p w14:paraId="35931F2D" w14:textId="69B52E6A" w:rsidR="0057497A" w:rsidRPr="0057497A" w:rsidRDefault="00E268D0" w:rsidP="0057497A">
      <w:pPr>
        <w:rPr>
          <w:lang w:val="en-US"/>
        </w:rPr>
      </w:pPr>
      <m:oMathPara>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w</m:t>
              </m:r>
              <m:r>
                <w:rPr>
                  <w:rFonts w:ascii="Cambria Math" w:hAnsi="Cambria Math"/>
                  <w:lang w:val="en-US"/>
                </w:rPr>
                <m:t>h</m:t>
              </m:r>
              <m:r>
                <w:rPr>
                  <w:rFonts w:ascii="Cambria Math" w:hAnsi="Cambria Math"/>
                  <w:lang w:val="en-US"/>
                </w:rPr>
                <m:t>eels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m:t>
              </m:r>
              <m:r>
                <w:rPr>
                  <w:rFonts w:ascii="Cambria Math" w:hAnsi="Cambria Math"/>
                  <w:lang w:val="en-US"/>
                </w:rPr>
                <m:t>h</m:t>
              </m:r>
              <m:r>
                <w:rPr>
                  <w:rFonts w:ascii="Cambria Math" w:hAnsi="Cambria Math"/>
                  <w:lang w:val="en-US"/>
                </w:rPr>
                <m:t>arge</m:t>
              </m:r>
            </m:sub>
          </m:sSub>
          <m:r>
            <w:rPr>
              <w:rFonts w:ascii="Cambria Math" w:hAnsi="Cambria Math"/>
              <w:lang w:val="en-US"/>
            </w:rPr>
            <m:t>×0.85</m:t>
          </m:r>
        </m:oMath>
      </m:oMathPara>
    </w:p>
    <w:p w14:paraId="37CA5618" w14:textId="6855B0B5" w:rsidR="00EC0519" w:rsidRPr="00EC0519" w:rsidRDefault="00E268D0" w:rsidP="00EC0519">
      <w:pPr>
        <w:rPr>
          <w:lang w:val="en-US"/>
        </w:rPr>
      </w:pPr>
      <m:oMathPara>
        <m:oMath>
          <m:eqArr>
            <m:eqArrPr>
              <m:maxDist m:val="1"/>
              <m:ctrlPr>
                <w:rPr>
                  <w:rFonts w:ascii="Cambria Math" w:hAnsi="Cambria Math"/>
                  <w:i/>
                  <w:lang w:val="en-US"/>
                </w:rPr>
              </m:ctrlPr>
            </m:eqArrPr>
            <m:e>
              <m:r>
                <w:rPr>
                  <w:rFonts w:ascii="Cambria Math" w:hAnsi="Cambria Math"/>
                  <w:lang w:val="en-US"/>
                </w:rPr>
                <m:t>=42,017</m:t>
              </m:r>
              <m:r>
                <w:rPr>
                  <w:rFonts w:ascii="Cambria Math" w:hAnsi="Cambria Math"/>
                  <w:lang w:val="en-US"/>
                </w:rPr>
                <m:t>kW</m:t>
              </m:r>
              <m:r>
                <w:rPr>
                  <w:rFonts w:ascii="Cambria Math" w:hAnsi="Cambria Math"/>
                  <w:lang w:val="en-US"/>
                </w:rPr>
                <m:t>h</m:t>
              </m:r>
              <m:r>
                <w:rPr>
                  <w:rFonts w:ascii="Cambria Math" w:hAnsi="Cambria Math"/>
                  <w:lang w:val="en-US"/>
                </w:rPr>
                <m:t>×0.85=35,714</m:t>
              </m:r>
              <m:r>
                <w:rPr>
                  <w:rFonts w:ascii="Cambria Math" w:hAnsi="Cambria Math"/>
                  <w:lang w:val="en-US"/>
                </w:rPr>
                <m:t>kW</m:t>
              </m:r>
              <m:r>
                <w:rPr>
                  <w:rFonts w:ascii="Cambria Math" w:hAnsi="Cambria Math"/>
                  <w:lang w:val="en-US"/>
                </w:rPr>
                <m:t>h</m:t>
              </m:r>
              <m:r>
                <w:rPr>
                  <w:rFonts w:ascii="Cambria Math" w:hAnsi="Cambria Math"/>
                  <w:lang w:val="en-US"/>
                </w:rPr>
                <m:t>#</m:t>
              </m:r>
              <m:d>
                <m:dPr>
                  <m:ctrlPr>
                    <w:rPr>
                      <w:rFonts w:ascii="Cambria Math" w:hAnsi="Cambria Math"/>
                      <w:i/>
                      <w:lang w:val="en-US"/>
                    </w:rPr>
                  </m:ctrlPr>
                </m:dPr>
                <m:e>
                  <m:r>
                    <w:rPr>
                      <w:rFonts w:ascii="Cambria Math" w:hAnsi="Cambria Math"/>
                      <w:lang w:val="en-US"/>
                    </w:rPr>
                    <m:t>11</m:t>
                  </m:r>
                </m:e>
              </m:d>
            </m:e>
          </m:eqArr>
        </m:oMath>
      </m:oMathPara>
    </w:p>
    <w:p w14:paraId="6B427F5F" w14:textId="635452EF" w:rsidR="0057497A" w:rsidRDefault="0057497A" w:rsidP="0057497A">
      <w:pPr>
        <w:rPr>
          <w:lang w:val="en-US"/>
        </w:rPr>
      </w:pPr>
      <w:r>
        <w:rPr>
          <w:lang w:val="en-US"/>
        </w:rPr>
        <w:t xml:space="preserve">Finally, the overall well to wheels efficiency can be computed as </w:t>
      </w:r>
    </w:p>
    <w:p w14:paraId="5EEA08F2" w14:textId="2D8F4E93" w:rsidR="0057497A" w:rsidRPr="0057497A" w:rsidRDefault="00E268D0" w:rsidP="00215DE9">
      <w:pPr>
        <w:rPr>
          <w:lang w:val="en-US"/>
        </w:rPr>
      </w:pPr>
      <m:oMathPara>
        <m:oMath>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well</m:t>
              </m:r>
              <m:r>
                <w:rPr>
                  <w:rFonts w:ascii="Cambria Math" w:hAnsi="Cambria Math"/>
                  <w:lang w:val="en-US"/>
                </w:rPr>
                <m:t>-</m:t>
              </m:r>
              <m:r>
                <w:rPr>
                  <w:rFonts w:ascii="Cambria Math" w:hAnsi="Cambria Math"/>
                  <w:lang w:val="en-US"/>
                </w:rPr>
                <m:t>to</m:t>
              </m:r>
              <m:r>
                <w:rPr>
                  <w:rFonts w:ascii="Cambria Math" w:hAnsi="Cambria Math"/>
                  <w:lang w:val="en-US"/>
                </w:rPr>
                <m:t>-</m:t>
              </m:r>
              <m:r>
                <w:rPr>
                  <w:rFonts w:ascii="Cambria Math" w:hAnsi="Cambria Math"/>
                  <w:lang w:val="en-US"/>
                </w:rPr>
                <m:t>w</m:t>
              </m:r>
              <m:r>
                <w:rPr>
                  <w:rFonts w:ascii="Cambria Math" w:hAnsi="Cambria Math"/>
                  <w:lang w:val="en-US"/>
                </w:rPr>
                <m:t>h</m:t>
              </m:r>
              <m:r>
                <w:rPr>
                  <w:rFonts w:ascii="Cambria Math" w:hAnsi="Cambria Math"/>
                  <w:lang w:val="en-US"/>
                </w:rPr>
                <m:t>eels</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w</m:t>
                  </m:r>
                  <m:r>
                    <w:rPr>
                      <w:rFonts w:ascii="Cambria Math" w:hAnsi="Cambria Math"/>
                      <w:lang w:val="en-US"/>
                    </w:rPr>
                    <m:t>h</m:t>
                  </m:r>
                  <m:r>
                    <w:rPr>
                      <w:rFonts w:ascii="Cambria Math" w:hAnsi="Cambria Math"/>
                      <w:lang w:val="en-US"/>
                    </w:rPr>
                    <m:t>eels</m:t>
                  </m:r>
                </m:sub>
              </m:sSub>
            </m:num>
            <m:den>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consumption</m:t>
                  </m:r>
                </m:sub>
              </m:sSub>
            </m:den>
          </m:f>
        </m:oMath>
      </m:oMathPara>
    </w:p>
    <w:p w14:paraId="7F74A543" w14:textId="38F4F553" w:rsidR="00EC0519" w:rsidRPr="00EC0519" w:rsidRDefault="00E268D0" w:rsidP="00EC0519">
      <m:oMathPara>
        <m:oMath>
          <m:eqArr>
            <m:eqArrPr>
              <m:maxDist m:val="1"/>
              <m:ctrlPr>
                <w:rPr>
                  <w:rFonts w:ascii="Cambria Math" w:hAnsi="Cambria Math"/>
                  <w:i/>
                  <w:lang w:val="en-US"/>
                </w:rPr>
              </m:ctrlPr>
            </m:eqArrPr>
            <m:e>
              <m:r>
                <w:rPr>
                  <w:rFonts w:ascii="Cambria Math" w:hAnsi="Cambria Math"/>
                </w:rPr>
                <m:t>=</m:t>
              </m:r>
              <m:f>
                <m:fPr>
                  <m:ctrlPr>
                    <w:rPr>
                      <w:rFonts w:ascii="Cambria Math" w:hAnsi="Cambria Math"/>
                      <w:i/>
                    </w:rPr>
                  </m:ctrlPr>
                </m:fPr>
                <m:num>
                  <m:r>
                    <w:rPr>
                      <w:rFonts w:ascii="Cambria Math" w:hAnsi="Cambria Math"/>
                    </w:rPr>
                    <m:t>35,714</m:t>
                  </m:r>
                  <m:r>
                    <w:rPr>
                      <w:rFonts w:ascii="Cambria Math" w:hAnsi="Cambria Math"/>
                    </w:rPr>
                    <m:t>kW</m:t>
                  </m:r>
                  <m:r>
                    <w:rPr>
                      <w:rFonts w:ascii="Cambria Math" w:hAnsi="Cambria Math"/>
                    </w:rPr>
                    <m:t>h</m:t>
                  </m:r>
                </m:num>
                <m:den>
                  <m:r>
                    <w:rPr>
                      <w:rFonts w:ascii="Cambria Math" w:hAnsi="Cambria Math"/>
                      <w:lang w:val="en-US"/>
                    </w:rPr>
                    <m:t>44,117</m:t>
                  </m:r>
                  <m:d>
                    <m:dPr>
                      <m:ctrlPr>
                        <w:rPr>
                          <w:rFonts w:ascii="Cambria Math" w:hAnsi="Cambria Math"/>
                          <w:i/>
                          <w:lang w:val="en-US"/>
                        </w:rPr>
                      </m:ctrlPr>
                    </m:dPr>
                    <m:e>
                      <m:r>
                        <w:rPr>
                          <w:rFonts w:ascii="Cambria Math" w:hAnsi="Cambria Math"/>
                          <w:lang w:val="en-US"/>
                        </w:rPr>
                        <m:t>2</m:t>
                      </m:r>
                      <m:r>
                        <w:rPr>
                          <w:rFonts w:ascii="Cambria Math" w:hAnsi="Cambria Math"/>
                          <w:lang w:val="en-US"/>
                        </w:rPr>
                        <m:t>η</m:t>
                      </m:r>
                      <m:r>
                        <w:rPr>
                          <w:rFonts w:ascii="Cambria Math" w:hAnsi="Cambria Math"/>
                          <w:lang w:val="en-US"/>
                        </w:rPr>
                        <m:t>+2.22</m:t>
                      </m:r>
                      <m:r>
                        <w:rPr>
                          <w:rFonts w:ascii="Cambria Math" w:hAnsi="Cambria Math"/>
                          <w:lang w:val="en-US"/>
                        </w:rPr>
                        <m:t>c</m:t>
                      </m:r>
                      <m:r>
                        <w:rPr>
                          <w:rFonts w:ascii="Cambria Math" w:hAnsi="Cambria Math"/>
                          <w:lang w:val="en-US"/>
                        </w:rPr>
                        <m:t>+2.85</m:t>
                      </m:r>
                      <m:r>
                        <w:rPr>
                          <w:rFonts w:ascii="Cambria Math" w:hAnsi="Cambria Math"/>
                          <w:lang w:val="en-US"/>
                        </w:rPr>
                        <m:t>ϕ</m:t>
                      </m:r>
                    </m:e>
                  </m:d>
                  <m:r>
                    <w:rPr>
                      <w:rFonts w:ascii="Cambria Math" w:hAnsi="Cambria Math"/>
                      <w:lang w:val="en-US"/>
                    </w:rPr>
                    <m:t xml:space="preserve">+13,028 </m:t>
                  </m:r>
                  <m:r>
                    <w:rPr>
                      <w:rFonts w:ascii="Cambria Math" w:hAnsi="Cambria Math"/>
                      <w:lang w:val="en-US"/>
                    </w:rPr>
                    <m:t>kW</m:t>
                  </m:r>
                  <m:r>
                    <w:rPr>
                      <w:rFonts w:ascii="Cambria Math" w:hAnsi="Cambria Math"/>
                      <w:lang w:val="en-US"/>
                    </w:rPr>
                    <m:t>h</m:t>
                  </m:r>
                </m:den>
              </m:f>
              <m:r>
                <w:rPr>
                  <w:rFonts w:ascii="Cambria Math" w:hAnsi="Cambria Math"/>
                </w:rPr>
                <m:t>#</m:t>
              </m:r>
              <m:d>
                <m:dPr>
                  <m:ctrlPr>
                    <w:rPr>
                      <w:rFonts w:ascii="Cambria Math" w:hAnsi="Cambria Math"/>
                      <w:i/>
                      <w:lang w:val="en-US"/>
                    </w:rPr>
                  </m:ctrlPr>
                </m:dPr>
                <m:e>
                  <m:r>
                    <w:rPr>
                      <w:rFonts w:ascii="Cambria Math" w:hAnsi="Cambria Math"/>
                      <w:lang w:val="en-US"/>
                    </w:rPr>
                    <m:t>12</m:t>
                  </m:r>
                </m:e>
              </m:d>
              <m:ctrlPr>
                <w:rPr>
                  <w:rFonts w:ascii="Cambria Math" w:hAnsi="Cambria Math"/>
                  <w:i/>
                </w:rPr>
              </m:ctrlPr>
            </m:e>
          </m:eqArr>
        </m:oMath>
      </m:oMathPara>
    </w:p>
    <w:p w14:paraId="23E3EB48" w14:textId="483BB0B8" w:rsidR="00DA2A69" w:rsidRDefault="00DA2A69" w:rsidP="00215DE9">
      <w:r>
        <w:lastRenderedPageBreak/>
        <w:t xml:space="preserve">Using the above equation, the well to wheels efficiency of an electric vehicle can be easily computed for any composition of energy sources. </w:t>
      </w:r>
    </w:p>
    <w:p w14:paraId="1074D9B5" w14:textId="18FE0E57" w:rsidR="00DA2A69" w:rsidRDefault="00DA2A69" w:rsidP="00215DE9">
      <w:r>
        <w:t>The below table uses this relationship and the statistics presented earlier regarding the energy source composition for different regions of the world to compute the well to wheels efficiency of operating electric vehicles in different parts of the world.</w:t>
      </w:r>
    </w:p>
    <w:p w14:paraId="4F68194E" w14:textId="29A0C6DD" w:rsidR="00157B56" w:rsidRDefault="00157B56" w:rsidP="00157B56">
      <w:pPr>
        <w:pStyle w:val="Caption"/>
      </w:pPr>
      <w:bookmarkStart w:id="3" w:name="_Ref195377408"/>
      <w:r>
        <w:t xml:space="preserve">Table </w:t>
      </w:r>
      <w:r w:rsidR="00E268D0">
        <w:fldChar w:fldCharType="begin"/>
      </w:r>
      <w:r w:rsidR="00E268D0">
        <w:instrText xml:space="preserve"> SEQ Table \* ARABIC </w:instrText>
      </w:r>
      <w:r w:rsidR="00E268D0">
        <w:fldChar w:fldCharType="separate"/>
      </w:r>
      <w:r>
        <w:rPr>
          <w:noProof/>
        </w:rPr>
        <w:t>3</w:t>
      </w:r>
      <w:r w:rsidR="00E268D0">
        <w:rPr>
          <w:noProof/>
        </w:rPr>
        <w:fldChar w:fldCharType="end"/>
      </w:r>
      <w:bookmarkEnd w:id="3"/>
      <w:r>
        <w:t xml:space="preserve">: Well to wheel efficiency of electric vehicles in </w:t>
      </w:r>
      <w:r w:rsidR="002742F2">
        <w:t>various parts</w:t>
      </w:r>
      <w:r>
        <w:t xml:space="preserve"> of the world</w:t>
      </w:r>
    </w:p>
    <w:tbl>
      <w:tblPr>
        <w:tblStyle w:val="TableGrid"/>
        <w:tblW w:w="243.3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1233"/>
        <w:gridCol w:w="844"/>
        <w:gridCol w:w="761"/>
        <w:gridCol w:w="842"/>
        <w:gridCol w:w="1186"/>
      </w:tblGrid>
      <w:tr w:rsidR="0095461C" w14:paraId="1804DCEB" w14:textId="6DBB85D3" w:rsidTr="0095461C">
        <w:tc>
          <w:tcPr>
            <w:tcW w:w="61.65pt" w:type="dxa"/>
            <w:tcBorders>
              <w:top w:val="single" w:sz="4" w:space="0" w:color="auto"/>
              <w:bottom w:val="single" w:sz="4" w:space="0" w:color="auto"/>
            </w:tcBorders>
          </w:tcPr>
          <w:p w14:paraId="22E93673" w14:textId="291FDB45" w:rsidR="00DA2A69" w:rsidRDefault="00DA2A69" w:rsidP="00DE12BB">
            <w:pPr>
              <w:ind w:firstLine="0pt"/>
              <w:jc w:val="center"/>
            </w:pPr>
            <w:r>
              <w:t>Regions</w:t>
            </w:r>
          </w:p>
        </w:tc>
        <w:tc>
          <w:tcPr>
            <w:tcW w:w="42.20pt" w:type="dxa"/>
            <w:tcBorders>
              <w:top w:val="single" w:sz="4" w:space="0" w:color="auto"/>
              <w:bottom w:val="single" w:sz="4" w:space="0" w:color="auto"/>
            </w:tcBorders>
          </w:tcPr>
          <w:p w14:paraId="67DA9BA3" w14:textId="43C7FB9B" w:rsidR="00DA2A69" w:rsidRDefault="0095461C" w:rsidP="00DE12BB">
            <w:pPr>
              <w:ind w:firstLine="0pt"/>
              <w:jc w:val="center"/>
            </w:pPr>
            <w:r>
              <w:t>Natural gas</w:t>
            </w:r>
          </w:p>
        </w:tc>
        <w:tc>
          <w:tcPr>
            <w:tcW w:w="38.05pt" w:type="dxa"/>
            <w:tcBorders>
              <w:top w:val="single" w:sz="4" w:space="0" w:color="auto"/>
              <w:bottom w:val="single" w:sz="4" w:space="0" w:color="auto"/>
            </w:tcBorders>
          </w:tcPr>
          <w:p w14:paraId="4891AF74" w14:textId="7CDFBA88" w:rsidR="00DA2A69" w:rsidRDefault="0095461C" w:rsidP="00DE12BB">
            <w:pPr>
              <w:ind w:firstLine="0pt"/>
              <w:jc w:val="center"/>
            </w:pPr>
            <w:r>
              <w:t>Coal</w:t>
            </w:r>
          </w:p>
        </w:tc>
        <w:tc>
          <w:tcPr>
            <w:tcW w:w="42.10pt" w:type="dxa"/>
            <w:tcBorders>
              <w:top w:val="single" w:sz="4" w:space="0" w:color="auto"/>
              <w:bottom w:val="single" w:sz="4" w:space="0" w:color="auto"/>
            </w:tcBorders>
          </w:tcPr>
          <w:p w14:paraId="6145F560" w14:textId="1B867217" w:rsidR="00DA2A69" w:rsidRDefault="0095461C" w:rsidP="00DE12BB">
            <w:pPr>
              <w:ind w:firstLine="0pt"/>
              <w:jc w:val="center"/>
            </w:pPr>
            <w:r>
              <w:t>Nuclear</w:t>
            </w:r>
          </w:p>
        </w:tc>
        <w:tc>
          <w:tcPr>
            <w:tcW w:w="59.30pt" w:type="dxa"/>
            <w:tcBorders>
              <w:top w:val="single" w:sz="4" w:space="0" w:color="auto"/>
              <w:bottom w:val="single" w:sz="4" w:space="0" w:color="auto"/>
            </w:tcBorders>
          </w:tcPr>
          <w:p w14:paraId="4E09E032" w14:textId="6B1AA51A" w:rsidR="00DA2A69" w:rsidRDefault="00E268D0" w:rsidP="0095461C">
            <w:pPr>
              <w:ind w:firstLine="0pt"/>
            </w:pPr>
            <m:oMathPara>
              <m:oMath>
                <m:sSub>
                  <m:sSubPr>
                    <m:ctrlPr>
                      <w:rPr>
                        <w:rFonts w:ascii="Cambria Math" w:hAnsi="Cambria Math"/>
                        <w:i/>
                        <w:sz w:val="16"/>
                        <w:szCs w:val="16"/>
                        <w:lang w:val="en-US"/>
                      </w:rPr>
                    </m:ctrlPr>
                  </m:sSubPr>
                  <m:e>
                    <m:r>
                      <w:rPr>
                        <w:rFonts w:ascii="Cambria Math" w:hAnsi="Cambria Math"/>
                        <w:sz w:val="16"/>
                        <w:szCs w:val="16"/>
                        <w:lang w:val="en-US"/>
                      </w:rPr>
                      <m:t>η</m:t>
                    </m:r>
                  </m:e>
                  <m:sub>
                    <m:r>
                      <w:rPr>
                        <w:rFonts w:ascii="Cambria Math" w:hAnsi="Cambria Math"/>
                        <w:sz w:val="16"/>
                        <w:szCs w:val="16"/>
                        <w:lang w:val="en-US"/>
                      </w:rPr>
                      <m:t>well</m:t>
                    </m:r>
                    <m:r>
                      <w:rPr>
                        <w:rFonts w:ascii="Cambria Math" w:hAnsi="Cambria Math"/>
                        <w:sz w:val="16"/>
                        <w:szCs w:val="16"/>
                        <w:lang w:val="en-US"/>
                      </w:rPr>
                      <m:t>-</m:t>
                    </m:r>
                    <m:r>
                      <w:rPr>
                        <w:rFonts w:ascii="Cambria Math" w:hAnsi="Cambria Math"/>
                        <w:sz w:val="16"/>
                        <w:szCs w:val="16"/>
                        <w:lang w:val="en-US"/>
                      </w:rPr>
                      <m:t>to</m:t>
                    </m:r>
                    <m:r>
                      <w:rPr>
                        <w:rFonts w:ascii="Cambria Math" w:hAnsi="Cambria Math"/>
                        <w:sz w:val="16"/>
                        <w:szCs w:val="16"/>
                        <w:lang w:val="en-US"/>
                      </w:rPr>
                      <m:t>-</m:t>
                    </m:r>
                    <m:r>
                      <w:rPr>
                        <w:rFonts w:ascii="Cambria Math" w:hAnsi="Cambria Math"/>
                        <w:sz w:val="16"/>
                        <w:szCs w:val="16"/>
                        <w:lang w:val="en-US"/>
                      </w:rPr>
                      <m:t>w</m:t>
                    </m:r>
                    <m:r>
                      <w:rPr>
                        <w:rFonts w:ascii="Cambria Math" w:hAnsi="Cambria Math"/>
                        <w:sz w:val="16"/>
                        <w:szCs w:val="16"/>
                        <w:lang w:val="en-US"/>
                      </w:rPr>
                      <m:t>h</m:t>
                    </m:r>
                    <m:r>
                      <w:rPr>
                        <w:rFonts w:ascii="Cambria Math" w:hAnsi="Cambria Math"/>
                        <w:sz w:val="16"/>
                        <w:szCs w:val="16"/>
                        <w:lang w:val="en-US"/>
                      </w:rPr>
                      <m:t>eels</m:t>
                    </m:r>
                  </m:sub>
                </m:sSub>
              </m:oMath>
            </m:oMathPara>
          </w:p>
        </w:tc>
      </w:tr>
      <w:tr w:rsidR="0095461C" w14:paraId="63AD36FD" w14:textId="057CD728" w:rsidTr="0095461C">
        <w:tc>
          <w:tcPr>
            <w:tcW w:w="61.65pt" w:type="dxa"/>
          </w:tcPr>
          <w:p w14:paraId="1F2A020F" w14:textId="75BF9375" w:rsidR="00DA2A69" w:rsidRDefault="0095461C" w:rsidP="0095461C">
            <w:pPr>
              <w:ind w:firstLine="0pt"/>
              <w:jc w:val="center"/>
            </w:pPr>
            <w:r>
              <w:t>US</w:t>
            </w:r>
          </w:p>
        </w:tc>
        <w:tc>
          <w:tcPr>
            <w:tcW w:w="42.20pt" w:type="dxa"/>
          </w:tcPr>
          <w:p w14:paraId="299DB312" w14:textId="7CB2D0DD" w:rsidR="00DA2A69" w:rsidRDefault="0095461C" w:rsidP="0095461C">
            <w:pPr>
              <w:ind w:firstLine="0pt"/>
              <w:jc w:val="center"/>
            </w:pPr>
            <w:r>
              <w:t>43.1%</w:t>
            </w:r>
          </w:p>
        </w:tc>
        <w:tc>
          <w:tcPr>
            <w:tcW w:w="38.05pt" w:type="dxa"/>
          </w:tcPr>
          <w:p w14:paraId="21EB872B" w14:textId="209484AE" w:rsidR="00DA2A69" w:rsidRDefault="0095461C" w:rsidP="0095461C">
            <w:pPr>
              <w:ind w:firstLine="0pt"/>
              <w:jc w:val="center"/>
            </w:pPr>
            <w:r>
              <w:t>16.2%</w:t>
            </w:r>
          </w:p>
        </w:tc>
        <w:tc>
          <w:tcPr>
            <w:tcW w:w="42.10pt" w:type="dxa"/>
          </w:tcPr>
          <w:p w14:paraId="09E1F00B" w14:textId="6F9775F1" w:rsidR="00DA2A69" w:rsidRDefault="0095461C" w:rsidP="0095461C">
            <w:pPr>
              <w:ind w:firstLine="0pt"/>
              <w:jc w:val="center"/>
            </w:pPr>
            <w:r>
              <w:t>18.6%</w:t>
            </w:r>
          </w:p>
        </w:tc>
        <w:tc>
          <w:tcPr>
            <w:tcW w:w="59.30pt" w:type="dxa"/>
          </w:tcPr>
          <w:p w14:paraId="2156D52D" w14:textId="74A7EDBB" w:rsidR="00DA2A69" w:rsidRDefault="00157B56" w:rsidP="0095461C">
            <w:pPr>
              <w:ind w:firstLine="0pt"/>
              <w:jc w:val="center"/>
            </w:pPr>
            <w:r>
              <w:t>39.54%</w:t>
            </w:r>
          </w:p>
        </w:tc>
      </w:tr>
      <w:tr w:rsidR="0095461C" w14:paraId="7880080D" w14:textId="1B3CE94E" w:rsidTr="0095461C">
        <w:tc>
          <w:tcPr>
            <w:tcW w:w="61.65pt" w:type="dxa"/>
          </w:tcPr>
          <w:p w14:paraId="072374DC" w14:textId="57E87210" w:rsidR="00DA2A69" w:rsidRDefault="0095461C" w:rsidP="0095461C">
            <w:pPr>
              <w:ind w:firstLine="0pt"/>
              <w:jc w:val="center"/>
            </w:pPr>
            <w:r>
              <w:t>Europe</w:t>
            </w:r>
          </w:p>
        </w:tc>
        <w:tc>
          <w:tcPr>
            <w:tcW w:w="42.20pt" w:type="dxa"/>
          </w:tcPr>
          <w:p w14:paraId="7646D371" w14:textId="4FC0FBDA" w:rsidR="00DA2A69" w:rsidRDefault="0095461C" w:rsidP="0095461C">
            <w:pPr>
              <w:ind w:firstLine="0pt"/>
              <w:jc w:val="center"/>
            </w:pPr>
            <w:r>
              <w:t>16.8%</w:t>
            </w:r>
          </w:p>
        </w:tc>
        <w:tc>
          <w:tcPr>
            <w:tcW w:w="38.05pt" w:type="dxa"/>
          </w:tcPr>
          <w:p w14:paraId="162A86BF" w14:textId="060552A9" w:rsidR="00DA2A69" w:rsidRDefault="0095461C" w:rsidP="0095461C">
            <w:pPr>
              <w:ind w:firstLine="0pt"/>
              <w:jc w:val="center"/>
            </w:pPr>
            <w:r>
              <w:t>12.3%</w:t>
            </w:r>
          </w:p>
        </w:tc>
        <w:tc>
          <w:tcPr>
            <w:tcW w:w="42.10pt" w:type="dxa"/>
          </w:tcPr>
          <w:p w14:paraId="324BAB2E" w14:textId="31FDC5BB" w:rsidR="00DA2A69" w:rsidRDefault="0095461C" w:rsidP="0095461C">
            <w:pPr>
              <w:ind w:firstLine="0pt"/>
              <w:jc w:val="center"/>
            </w:pPr>
            <w:r>
              <w:t>22.9%</w:t>
            </w:r>
          </w:p>
        </w:tc>
        <w:tc>
          <w:tcPr>
            <w:tcW w:w="59.30pt" w:type="dxa"/>
          </w:tcPr>
          <w:p w14:paraId="0ACF1388" w14:textId="45E4D3BD" w:rsidR="00DA2A69" w:rsidRDefault="00157B56" w:rsidP="0095461C">
            <w:pPr>
              <w:ind w:firstLine="0pt"/>
              <w:jc w:val="center"/>
            </w:pPr>
            <w:r>
              <w:t>51.99%</w:t>
            </w:r>
          </w:p>
        </w:tc>
      </w:tr>
      <w:tr w:rsidR="00530721" w14:paraId="3BE8D03C" w14:textId="77777777" w:rsidTr="0095461C">
        <w:tc>
          <w:tcPr>
            <w:tcW w:w="61.65pt" w:type="dxa"/>
          </w:tcPr>
          <w:p w14:paraId="3471480D" w14:textId="7BFB500F" w:rsidR="00530721" w:rsidRDefault="00530721" w:rsidP="0095461C">
            <w:pPr>
              <w:ind w:firstLine="0pt"/>
              <w:jc w:val="center"/>
            </w:pPr>
            <w:r>
              <w:t>Australia</w:t>
            </w:r>
          </w:p>
        </w:tc>
        <w:tc>
          <w:tcPr>
            <w:tcW w:w="42.20pt" w:type="dxa"/>
          </w:tcPr>
          <w:p w14:paraId="78E5F229" w14:textId="6D5FAB65" w:rsidR="00530721" w:rsidRDefault="00530721" w:rsidP="0095461C">
            <w:pPr>
              <w:ind w:firstLine="0pt"/>
              <w:jc w:val="center"/>
            </w:pPr>
            <w:r>
              <w:t>17%</w:t>
            </w:r>
          </w:p>
        </w:tc>
        <w:tc>
          <w:tcPr>
            <w:tcW w:w="38.05pt" w:type="dxa"/>
          </w:tcPr>
          <w:p w14:paraId="28880E20" w14:textId="34D3E3D3" w:rsidR="00530721" w:rsidRDefault="00530721" w:rsidP="0095461C">
            <w:pPr>
              <w:ind w:firstLine="0pt"/>
              <w:jc w:val="center"/>
            </w:pPr>
            <w:r>
              <w:t>46%</w:t>
            </w:r>
          </w:p>
        </w:tc>
        <w:tc>
          <w:tcPr>
            <w:tcW w:w="42.10pt" w:type="dxa"/>
          </w:tcPr>
          <w:p w14:paraId="0692A597" w14:textId="57C6E091" w:rsidR="00530721" w:rsidRDefault="00530721" w:rsidP="0095461C">
            <w:pPr>
              <w:ind w:firstLine="0pt"/>
              <w:jc w:val="center"/>
            </w:pPr>
            <w:r>
              <w:t>0%</w:t>
            </w:r>
          </w:p>
        </w:tc>
        <w:tc>
          <w:tcPr>
            <w:tcW w:w="59.30pt" w:type="dxa"/>
          </w:tcPr>
          <w:p w14:paraId="42E73BAA" w14:textId="532C8E4E" w:rsidR="00530721" w:rsidRDefault="00157B56" w:rsidP="0095461C">
            <w:pPr>
              <w:ind w:firstLine="0pt"/>
              <w:jc w:val="center"/>
            </w:pPr>
            <w:r>
              <w:t>48.88%</w:t>
            </w:r>
          </w:p>
        </w:tc>
      </w:tr>
      <w:tr w:rsidR="0095461C" w14:paraId="07C8BA42" w14:textId="77777777" w:rsidTr="0095461C">
        <w:tc>
          <w:tcPr>
            <w:tcW w:w="61.65pt" w:type="dxa"/>
          </w:tcPr>
          <w:p w14:paraId="75CD003E" w14:textId="6FDE29A9" w:rsidR="0095461C" w:rsidRDefault="0095461C" w:rsidP="0095461C">
            <w:pPr>
              <w:ind w:firstLine="0pt"/>
              <w:jc w:val="center"/>
            </w:pPr>
            <w:r>
              <w:t>India</w:t>
            </w:r>
          </w:p>
        </w:tc>
        <w:tc>
          <w:tcPr>
            <w:tcW w:w="42.20pt" w:type="dxa"/>
          </w:tcPr>
          <w:p w14:paraId="548F482E" w14:textId="311869A1" w:rsidR="0095461C" w:rsidRDefault="00530721" w:rsidP="0095461C">
            <w:pPr>
              <w:ind w:firstLine="0pt"/>
              <w:jc w:val="center"/>
            </w:pPr>
            <w:r>
              <w:t>2.6%</w:t>
            </w:r>
          </w:p>
        </w:tc>
        <w:tc>
          <w:tcPr>
            <w:tcW w:w="38.05pt" w:type="dxa"/>
          </w:tcPr>
          <w:p w14:paraId="17D0EEA5" w14:textId="233B272F" w:rsidR="0095461C" w:rsidRDefault="00530721" w:rsidP="0095461C">
            <w:pPr>
              <w:ind w:firstLine="0pt"/>
              <w:jc w:val="center"/>
            </w:pPr>
            <w:r>
              <w:t>74.3%</w:t>
            </w:r>
          </w:p>
        </w:tc>
        <w:tc>
          <w:tcPr>
            <w:tcW w:w="42.10pt" w:type="dxa"/>
          </w:tcPr>
          <w:p w14:paraId="455FF2ED" w14:textId="5C7171CE" w:rsidR="0095461C" w:rsidRDefault="00530721" w:rsidP="0095461C">
            <w:pPr>
              <w:ind w:firstLine="0pt"/>
              <w:jc w:val="center"/>
            </w:pPr>
            <w:r>
              <w:t>2.5%</w:t>
            </w:r>
          </w:p>
        </w:tc>
        <w:tc>
          <w:tcPr>
            <w:tcW w:w="59.30pt" w:type="dxa"/>
          </w:tcPr>
          <w:p w14:paraId="0CF756C7" w14:textId="0F6A5397" w:rsidR="0095461C" w:rsidRDefault="00157B56" w:rsidP="0095461C">
            <w:pPr>
              <w:ind w:firstLine="0pt"/>
              <w:jc w:val="center"/>
            </w:pPr>
            <w:r>
              <w:t>39.14%</w:t>
            </w:r>
          </w:p>
        </w:tc>
      </w:tr>
      <w:tr w:rsidR="0095461C" w14:paraId="370F0B48" w14:textId="46688E58" w:rsidTr="0095461C">
        <w:tc>
          <w:tcPr>
            <w:tcW w:w="61.65pt" w:type="dxa"/>
            <w:tcBorders>
              <w:bottom w:val="single" w:sz="4" w:space="0" w:color="auto"/>
            </w:tcBorders>
          </w:tcPr>
          <w:p w14:paraId="77823E06" w14:textId="108B9ACB" w:rsidR="00DA2A69" w:rsidRDefault="0095461C" w:rsidP="0095461C">
            <w:pPr>
              <w:ind w:firstLine="0pt"/>
              <w:jc w:val="center"/>
            </w:pPr>
            <w:r>
              <w:t>China</w:t>
            </w:r>
          </w:p>
        </w:tc>
        <w:tc>
          <w:tcPr>
            <w:tcW w:w="42.20pt" w:type="dxa"/>
            <w:tcBorders>
              <w:bottom w:val="single" w:sz="4" w:space="0" w:color="auto"/>
            </w:tcBorders>
          </w:tcPr>
          <w:p w14:paraId="5A925288" w14:textId="233E88FF" w:rsidR="00DA2A69" w:rsidRDefault="00530721" w:rsidP="0095461C">
            <w:pPr>
              <w:ind w:firstLine="0pt"/>
              <w:jc w:val="center"/>
            </w:pPr>
            <w:r>
              <w:t>3%</w:t>
            </w:r>
          </w:p>
        </w:tc>
        <w:tc>
          <w:tcPr>
            <w:tcW w:w="38.05pt" w:type="dxa"/>
            <w:tcBorders>
              <w:bottom w:val="single" w:sz="4" w:space="0" w:color="auto"/>
            </w:tcBorders>
          </w:tcPr>
          <w:p w14:paraId="3A750A0B" w14:textId="38A8493A" w:rsidR="00DA2A69" w:rsidRDefault="00530721" w:rsidP="0095461C">
            <w:pPr>
              <w:ind w:firstLine="0pt"/>
              <w:jc w:val="center"/>
            </w:pPr>
            <w:r>
              <w:t>60.5%</w:t>
            </w:r>
          </w:p>
        </w:tc>
        <w:tc>
          <w:tcPr>
            <w:tcW w:w="42.10pt" w:type="dxa"/>
            <w:tcBorders>
              <w:bottom w:val="single" w:sz="4" w:space="0" w:color="auto"/>
            </w:tcBorders>
          </w:tcPr>
          <w:p w14:paraId="62F95E33" w14:textId="7BA6B046" w:rsidR="00DA2A69" w:rsidRDefault="00530721" w:rsidP="0095461C">
            <w:pPr>
              <w:ind w:firstLine="0pt"/>
              <w:jc w:val="center"/>
            </w:pPr>
            <w:r>
              <w:t>4.6%</w:t>
            </w:r>
          </w:p>
        </w:tc>
        <w:tc>
          <w:tcPr>
            <w:tcW w:w="59.30pt" w:type="dxa"/>
            <w:tcBorders>
              <w:bottom w:val="single" w:sz="4" w:space="0" w:color="auto"/>
            </w:tcBorders>
          </w:tcPr>
          <w:p w14:paraId="34299638" w14:textId="4D03A398" w:rsidR="00DA2A69" w:rsidRDefault="00157B56" w:rsidP="0095461C">
            <w:pPr>
              <w:ind w:firstLine="0pt"/>
              <w:jc w:val="center"/>
            </w:pPr>
            <w:r>
              <w:t>44.24%</w:t>
            </w:r>
          </w:p>
        </w:tc>
      </w:tr>
    </w:tbl>
    <w:p w14:paraId="6F1013CE" w14:textId="77777777" w:rsidR="00DA2A69" w:rsidRDefault="00DA2A69" w:rsidP="00215DE9"/>
    <w:p w14:paraId="031E9FE3" w14:textId="0379C22D" w:rsidR="00157B56" w:rsidRDefault="00253DEA" w:rsidP="00253DEA">
      <w:pPr>
        <w:pStyle w:val="Heading1"/>
      </w:pPr>
      <w:r>
        <w:t>Conclusion</w:t>
      </w:r>
    </w:p>
    <w:p w14:paraId="336AF195" w14:textId="1C36430B" w:rsidR="00253DEA" w:rsidRDefault="00253DEA" w:rsidP="00253DEA">
      <w:r>
        <w:t xml:space="preserve">In this study, a detailed computation of well to wheel efficiency of electric vehicles is presented in a generic form that can accept different energy source mix for electricity. The results in </w:t>
      </w:r>
      <w:r>
        <w:fldChar w:fldCharType="begin"/>
      </w:r>
      <w:r>
        <w:instrText xml:space="preserve"> REF _Ref195377408 \h </w:instrText>
      </w:r>
      <w:r>
        <w:fldChar w:fldCharType="separate"/>
      </w:r>
      <w:r>
        <w:t xml:space="preserve">Table </w:t>
      </w:r>
      <w:r>
        <w:rPr>
          <w:noProof/>
        </w:rPr>
        <w:t>3</w:t>
      </w:r>
      <w:r>
        <w:fldChar w:fldCharType="end"/>
      </w:r>
      <w:r>
        <w:t xml:space="preserve">, validate what is already known that a higher renewable energy mix can lead to better well to wheels efficiency. </w:t>
      </w:r>
      <w:r w:rsidR="00EC0519">
        <w:t xml:space="preserve">This is also clearly evident in the fact that Europe, which has the highest renewable energy based power generation, realizes the best well to wheels efficiency of ~52%. </w:t>
      </w:r>
      <w:r>
        <w:t xml:space="preserve">This can be inferred from the fact that the recurring cost for the capture of energy for renewable energy is negligible while in the case of non-renewables like nuclear or fossil fuels, the amount of energy expended to procure the fuel is very high. By avoid this energy cost entirely, the total input energy or the energy consumption is reduced massively when electricity is sourced from renewable energy. </w:t>
      </w:r>
    </w:p>
    <w:p w14:paraId="4EFF4334" w14:textId="5EC2D666" w:rsidR="00610CC6" w:rsidRDefault="00316653" w:rsidP="00610CC6">
      <w:r>
        <w:t>These results also highlight that electric vehicle</w:t>
      </w:r>
      <w:r w:rsidR="00EC0519">
        <w:t>s</w:t>
      </w:r>
      <w:r>
        <w:t xml:space="preserve"> are more efficient than comparable internal combustion engine vehicles, hybrid electric vehicles and plug in hybrid electric vehicles. And this is independent of region of operation. Even in the case of complete </w:t>
      </w:r>
      <w:r w:rsidR="002742F2">
        <w:t>nonrenewable</w:t>
      </w:r>
      <w:r>
        <w:t xml:space="preserve"> energy mix, this would be the case because the efficiency of converting heat from combustion of fuel is higher in concentrated power generation plants as compared to internal combustion engines. This is because power plants can deploy advanced technologies like waste heat recovery and they also operate at a higher temperature and compression ratio</w:t>
      </w:r>
      <w:r w:rsidR="00572A27">
        <w:t xml:space="preserve"> [</w:t>
      </w:r>
      <w:r w:rsidR="00572A27">
        <w:fldChar w:fldCharType="begin"/>
      </w:r>
      <w:r w:rsidR="00572A27">
        <w:instrText xml:space="preserve"> PAGEREF _Ref195379272 \h </w:instrText>
      </w:r>
      <w:r w:rsidR="00572A27">
        <w:fldChar w:fldCharType="separate"/>
      </w:r>
      <w:r w:rsidR="00572A27">
        <w:rPr>
          <w:noProof/>
        </w:rPr>
        <w:t>7</w:t>
      </w:r>
      <w:r w:rsidR="00572A27">
        <w:fldChar w:fldCharType="end"/>
      </w:r>
      <w:r w:rsidR="00572A27">
        <w:t>]</w:t>
      </w:r>
      <w:r>
        <w:t xml:space="preserve"> as compared to internal combustion engine operation</w:t>
      </w:r>
      <w:r w:rsidR="00EC0519">
        <w:t>, making them highly efficient</w:t>
      </w:r>
      <w:r>
        <w:t>.</w:t>
      </w:r>
      <w:r w:rsidR="00EC0519">
        <w:t xml:space="preserve"> While localized conversion of heat to mechanical energy in an internal combustion engine (which has to satisfy added restrictions like a weight limit, cost limits etc.) is not capable of achieving such high efficiencies.</w:t>
      </w:r>
      <w:r>
        <w:t xml:space="preserve"> </w:t>
      </w:r>
      <w:r w:rsidR="00572A27">
        <w:t xml:space="preserve">This is also demonstrated in the computations presented in the earlier works </w:t>
      </w:r>
      <w:r w:rsidR="00610CC6">
        <w:t>preceding</w:t>
      </w:r>
      <w:r w:rsidR="00572A27">
        <w:t xml:space="preserve"> this study, where the well to wheels efficiency of hybrids and plug in hybrids is shown to be under </w:t>
      </w:r>
      <w:r w:rsidR="00610CC6">
        <w:t>27%. Thus electric vehicles have at least a 44% higher well to wheels efficiency than their traditional counterparts.</w:t>
      </w:r>
    </w:p>
    <w:p w14:paraId="1179A5B5" w14:textId="32417B4C" w:rsidR="00050EB9" w:rsidRDefault="00050EB9" w:rsidP="00610CC6">
      <w:r>
        <w:t xml:space="preserve">To conclude, this study </w:t>
      </w:r>
      <w:r w:rsidR="00747C35">
        <w:t>along with</w:t>
      </w:r>
      <w:r>
        <w:t xml:space="preserve"> the preceding studies </w:t>
      </w:r>
      <w:r>
        <w:fldChar w:fldCharType="begin"/>
      </w:r>
      <w:r>
        <w:instrText xml:space="preserve"> REF _Ref190289239 \r \h </w:instrText>
      </w:r>
      <w:r>
        <w:fldChar w:fldCharType="separate"/>
      </w:r>
      <w:r>
        <w:t>[6]</w:t>
      </w:r>
      <w:r>
        <w:fldChar w:fldCharType="end"/>
      </w:r>
      <w:r>
        <w:t>&amp;</w:t>
      </w:r>
      <w:r>
        <w:fldChar w:fldCharType="begin"/>
      </w:r>
      <w:r>
        <w:instrText xml:space="preserve"> REF _Ref194854657 \r \h </w:instrText>
      </w:r>
      <w:r>
        <w:fldChar w:fldCharType="separate"/>
      </w:r>
      <w:r>
        <w:t>[9]</w:t>
      </w:r>
      <w:r>
        <w:fldChar w:fldCharType="end"/>
      </w:r>
      <w:r>
        <w:t xml:space="preserve"> present a comprehensive analysis of well to wheels </w:t>
      </w:r>
      <w:r>
        <w:t>efficiency f</w:t>
      </w:r>
      <w:r w:rsidR="00747C35">
        <w:t>or</w:t>
      </w:r>
      <w:r>
        <w:t xml:space="preserve"> battery electric vehicles, mild hybrids and plug in hybrids. These results will be used in future studies to generate case studies that explain the advantages of using one vehicle architecture over the other while considering the lifetime costs and environmental impact of owning any of these vehicles.</w:t>
      </w:r>
    </w:p>
    <w:bookmarkEnd w:id="1"/>
    <w:p w14:paraId="15CB1E13" w14:textId="7A504429" w:rsidR="009303D9" w:rsidRPr="009C259A" w:rsidRDefault="009303D9" w:rsidP="00B47794">
      <w:pPr>
        <w:pStyle w:val="Heading5"/>
      </w:pPr>
      <w:r w:rsidRPr="009C259A">
        <w:t>References</w:t>
      </w:r>
    </w:p>
    <w:p w14:paraId="699895E4" w14:textId="6E79DB40" w:rsidR="001C2D5D" w:rsidRDefault="001C2D5D" w:rsidP="0004781E">
      <w:pPr>
        <w:pStyle w:val="references"/>
        <w:ind w:start="17.70pt" w:hanging="17.70pt"/>
      </w:pPr>
      <w:bookmarkStart w:id="4" w:name="_Ref183016675"/>
      <w:bookmarkStart w:id="5" w:name="_Ref182166317"/>
      <w:r w:rsidRPr="001C2D5D">
        <w:rPr>
          <w:lang w:val="fr-FR"/>
        </w:rPr>
        <w:t xml:space="preserve">Masson-Delmotte, Valérie, et al. </w:t>
      </w:r>
      <w:r w:rsidRPr="001C2D5D">
        <w:t>"Global warming of 1.5 C." An IPCC Special Report on the impacts of global warming of 1 (2019): 93-174.</w:t>
      </w:r>
      <w:bookmarkEnd w:id="4"/>
    </w:p>
    <w:p w14:paraId="6847D44A" w14:textId="28BEAD56" w:rsidR="005427EA" w:rsidRDefault="005427EA" w:rsidP="0004781E">
      <w:pPr>
        <w:pStyle w:val="references"/>
        <w:ind w:start="17.70pt" w:hanging="17.70pt"/>
      </w:pPr>
      <w:bookmarkStart w:id="6" w:name="_Ref183016763"/>
      <w:r w:rsidRPr="005427EA">
        <w:t>Abraham, Sarin, et al. "Impact on climate change due to transportation sector–research prospective." Procedia engineering 38 (2012): 3869-3879.</w:t>
      </w:r>
      <w:bookmarkEnd w:id="6"/>
    </w:p>
    <w:p w14:paraId="5E150315" w14:textId="4B7609F5" w:rsidR="0022014B" w:rsidRDefault="0022014B" w:rsidP="0004781E">
      <w:pPr>
        <w:pStyle w:val="references"/>
        <w:ind w:start="17.70pt" w:hanging="17.70pt"/>
      </w:pPr>
      <w:bookmarkStart w:id="7" w:name="_Ref194271596"/>
      <w:r w:rsidRPr="0022014B">
        <w:t xml:space="preserve">Yuhan Huang et al. "Fuel consumption and emissions performance under real driving: Comparison between hybrid and conventional vehicles.." The Science of the total environment, 659 (2019): 275-282 . </w:t>
      </w:r>
      <w:hyperlink r:id="rId19" w:history="1">
        <w:r w:rsidR="00C233F9" w:rsidRPr="0004201F">
          <w:rPr>
            <w:rStyle w:val="Hyperlink"/>
          </w:rPr>
          <w:t>https://doi.org/10.1016/j.scitotenv.2018.12.349</w:t>
        </w:r>
      </w:hyperlink>
      <w:r w:rsidRPr="0022014B">
        <w:t>.</w:t>
      </w:r>
      <w:bookmarkEnd w:id="7"/>
    </w:p>
    <w:p w14:paraId="041F07A7" w14:textId="6A150572" w:rsidR="00680301" w:rsidRDefault="00C233F9" w:rsidP="00680301">
      <w:pPr>
        <w:pStyle w:val="references"/>
        <w:ind w:start="17.70pt" w:hanging="17.70pt"/>
      </w:pPr>
      <w:bookmarkStart w:id="8" w:name="_Ref194272009"/>
      <w:r w:rsidRPr="00C233F9">
        <w:t xml:space="preserve">František Synák et al. "Assessing the Energy Efficiency of an Electric Car." Communications, 23 (2020). </w:t>
      </w:r>
      <w:hyperlink r:id="rId20" w:history="1">
        <w:r w:rsidR="00680301" w:rsidRPr="0004201F">
          <w:rPr>
            <w:rStyle w:val="Hyperlink"/>
          </w:rPr>
          <w:t>https://doi.org/10.26552/com.c.2021.1.a1-a13</w:t>
        </w:r>
      </w:hyperlink>
      <w:r w:rsidRPr="00C233F9">
        <w:t>.</w:t>
      </w:r>
      <w:bookmarkStart w:id="9" w:name="_Ref191248435"/>
      <w:bookmarkEnd w:id="5"/>
      <w:bookmarkEnd w:id="8"/>
    </w:p>
    <w:p w14:paraId="497A4E8A" w14:textId="77777777" w:rsidR="00680301" w:rsidRDefault="00680301" w:rsidP="00680301">
      <w:pPr>
        <w:pStyle w:val="references"/>
        <w:ind w:start="17.70pt" w:hanging="17.70pt"/>
      </w:pPr>
      <w:bookmarkStart w:id="10" w:name="_Ref194273126"/>
      <w:r w:rsidRPr="00680301">
        <w:rPr>
          <w:lang w:eastAsia="zh-CN"/>
        </w:rPr>
        <w:t>Sweeting, W., Hutchinson, A., &amp; Savage, S. (2011). Factors affecting electric vehicle energy consumption. International Journal of Sustainable Engineering, 4, 192 - 201. https://doi.org/10.1080/19397038.2011.592956</w:t>
      </w:r>
      <w:bookmarkEnd w:id="9"/>
      <w:bookmarkEnd w:id="10"/>
    </w:p>
    <w:p w14:paraId="675CD323" w14:textId="77777777" w:rsidR="00680301" w:rsidRDefault="00680301" w:rsidP="00680301">
      <w:pPr>
        <w:pStyle w:val="references"/>
        <w:rPr>
          <w:lang w:eastAsia="zh-CN"/>
        </w:rPr>
      </w:pPr>
      <w:bookmarkStart w:id="11" w:name="_Ref190289239"/>
      <w:r w:rsidRPr="003661BC">
        <w:rPr>
          <w:lang w:eastAsia="zh-CN"/>
        </w:rPr>
        <w:t>Chinthoju, Prajwal Kumar, and Raksha Sreenath Vashishta. 2025. “</w:t>
      </w:r>
      <w:r>
        <w:rPr>
          <w:lang w:eastAsia="zh-CN"/>
        </w:rPr>
        <w:t xml:space="preserve">well-to-wheels  </w:t>
      </w:r>
      <w:r w:rsidRPr="003661BC">
        <w:rPr>
          <w:lang w:eastAsia="zh-CN"/>
        </w:rPr>
        <w:t xml:space="preserve">Efficiency and Energy Consumption Analysis for Mild Hybrid Electric Vehicles”. Journal of Engineering Research and Reports 27 (2):216-27. </w:t>
      </w:r>
      <w:hyperlink r:id="rId21" w:history="1">
        <w:r w:rsidRPr="00221412">
          <w:rPr>
            <w:rStyle w:val="Hyperlink"/>
            <w:lang w:eastAsia="zh-CN"/>
          </w:rPr>
          <w:t>https://doi.org/10.9734/jerr/2025/v27i21406</w:t>
        </w:r>
      </w:hyperlink>
      <w:r w:rsidRPr="003661BC">
        <w:rPr>
          <w:lang w:eastAsia="zh-CN"/>
        </w:rPr>
        <w:t>.</w:t>
      </w:r>
      <w:bookmarkEnd w:id="11"/>
    </w:p>
    <w:p w14:paraId="43668C68" w14:textId="4EAA8E74" w:rsidR="00680301" w:rsidRDefault="00A61837" w:rsidP="00680301">
      <w:pPr>
        <w:pStyle w:val="references"/>
        <w:ind w:start="17.70pt" w:hanging="17.70pt"/>
      </w:pPr>
      <w:bookmarkStart w:id="12" w:name="_Ref194853925"/>
      <w:r w:rsidRPr="00A61837">
        <w:t>Beijia Huang et al. "Life cycle cost analysis of solar energy via environmental externality monetization.." The Science of the total environment (2022): 158910 . https://doi.org/10.1016/j.scitotenv.2022.158910.</w:t>
      </w:r>
      <w:bookmarkEnd w:id="12"/>
    </w:p>
    <w:p w14:paraId="440EEAB3" w14:textId="02AA10C3" w:rsidR="00680301" w:rsidRDefault="000373C0" w:rsidP="00680301">
      <w:pPr>
        <w:pStyle w:val="references"/>
        <w:ind w:start="17.70pt" w:hanging="17.70pt"/>
      </w:pPr>
      <w:bookmarkStart w:id="13" w:name="_Ref194854450"/>
      <w:r w:rsidRPr="000373C0">
        <w:t>Sanjay Khan et al. "Building integrated photovoltaics powered electric vehicle charging with energy storage for residential building: Design, simulation, and assessment." Journal of Energy Storage (2023). https://doi.org/10.1016/j.est.2023.107050.</w:t>
      </w:r>
      <w:bookmarkEnd w:id="13"/>
    </w:p>
    <w:p w14:paraId="625B460E" w14:textId="7D20B3C3" w:rsidR="00680301" w:rsidRDefault="000373C0" w:rsidP="00680301">
      <w:pPr>
        <w:pStyle w:val="references"/>
        <w:ind w:start="17.70pt" w:hanging="17.70pt"/>
      </w:pPr>
      <w:bookmarkStart w:id="14" w:name="_Ref194854657"/>
      <w:r w:rsidRPr="000373C0">
        <w:t>Chinthoju, Prajwal Kumar, Raksha Sreenath Vashishta, and Ravi Jagirdar. "Well-to-Wheels Efficiency Analysis for Plug-in Hybrid Electricvehicles." Journal of Engineering Research and Reports 27.3 (2025): 328-340.</w:t>
      </w:r>
      <w:bookmarkEnd w:id="14"/>
    </w:p>
    <w:p w14:paraId="7FFBBD95" w14:textId="5A58CFF6" w:rsidR="00680301" w:rsidRDefault="000373C0" w:rsidP="00680301">
      <w:pPr>
        <w:pStyle w:val="references"/>
        <w:ind w:start="17.70pt" w:hanging="17.70pt"/>
      </w:pPr>
      <w:bookmarkStart w:id="15" w:name="_Ref194854829"/>
      <w:r w:rsidRPr="000373C0">
        <w:t>Chinthoju, Prajwal Kumar. Optimal design of eVTOLs for urban mobility using analytical target cascading (ATC). Diss. University of Illinois at Urbana-Champaign, 2022.</w:t>
      </w:r>
      <w:bookmarkEnd w:id="15"/>
    </w:p>
    <w:p w14:paraId="0F04DE26" w14:textId="1FFC49F3" w:rsidR="00680301" w:rsidRDefault="000373C0" w:rsidP="00680301">
      <w:pPr>
        <w:pStyle w:val="references"/>
        <w:ind w:start="17.70pt" w:hanging="17.70pt"/>
      </w:pPr>
      <w:bookmarkStart w:id="16" w:name="_Ref194854831"/>
      <w:r w:rsidRPr="000373C0">
        <w:t>Chinthoju, Prajwal, et al. "Optimal Design of eVTOLs for Urban Mobility using Analytical Target Cascading (ATC)." AIAA SCITECH 2024 Forum. 2024.</w:t>
      </w:r>
      <w:bookmarkEnd w:id="16"/>
    </w:p>
    <w:p w14:paraId="1E0FC35B" w14:textId="0F21A044" w:rsidR="000373C0" w:rsidRDefault="000373C0" w:rsidP="00680301">
      <w:pPr>
        <w:pStyle w:val="references"/>
        <w:ind w:start="17.70pt" w:hanging="17.70pt"/>
      </w:pPr>
      <w:bookmarkStart w:id="17" w:name="_Ref194854833"/>
      <w:r w:rsidRPr="000373C0">
        <w:t>Chinthoju, Prajwal Kumar. "Cost Per Flight Analysis Of Tilt-Wing Evtols For Urban Mobility." International Journal of Applied Engineering and Technology 6.4 (2025): 110-120.</w:t>
      </w:r>
      <w:bookmarkEnd w:id="17"/>
    </w:p>
    <w:p w14:paraId="332E7BCA" w14:textId="1CB03C65" w:rsidR="00680301" w:rsidRDefault="00596B65" w:rsidP="00680301">
      <w:pPr>
        <w:pStyle w:val="references"/>
        <w:ind w:start="17.70pt" w:hanging="17.70pt"/>
      </w:pPr>
      <w:bookmarkStart w:id="18" w:name="_Ref194854985"/>
      <w:r w:rsidRPr="00596B65">
        <w:t>Jagirdar, Ravi, Prajwal Kumar Chinthoju, and Raksha Sreenath Vashishta. "MATHEMATICAL MODELING FOR AI-POWERED CURBSIDE MANAGEMENT AT AIRPORTS." Journal of Public Transportation 4.1 (2025): 60-73.</w:t>
      </w:r>
      <w:bookmarkEnd w:id="18"/>
    </w:p>
    <w:p w14:paraId="0314F708" w14:textId="603DE4DD" w:rsidR="00596B65" w:rsidRDefault="0079165B" w:rsidP="00680301">
      <w:pPr>
        <w:pStyle w:val="references"/>
        <w:ind w:start="17.70pt" w:hanging="17.70pt"/>
      </w:pPr>
      <w:bookmarkStart w:id="19" w:name="_Ref194875827"/>
      <w:r w:rsidRPr="0079165B">
        <w:rPr>
          <w:lang w:val="pt-BR"/>
        </w:rPr>
        <w:t xml:space="preserve">João Pedro Da Silva Rodrigues et al. </w:t>
      </w:r>
      <w:r w:rsidRPr="0079165B">
        <w:t>"Comparison of Well-to-Wheel energy efficiency between combustion vehicles and electric vehicles.." 2022 International Conference on Electrical, Computer and Energy Technologies (ICECET) (2022): 1-4. https://doi.org/10.1109/ICECET55527.2022.9872658.</w:t>
      </w:r>
      <w:bookmarkEnd w:id="19"/>
    </w:p>
    <w:p w14:paraId="32E66E8D" w14:textId="35E46FC6" w:rsidR="0079165B" w:rsidRDefault="009A1115" w:rsidP="00680301">
      <w:pPr>
        <w:pStyle w:val="references"/>
        <w:ind w:start="17.70pt" w:hanging="17.70pt"/>
      </w:pPr>
      <w:r w:rsidRPr="009A1115">
        <w:t>Mengyu Li et al. "A comparative assessment of battery and fuel cell electric vehicles using a well-to-wheel analysis." Energy, 94 (2016): 693-704. https://doi.org/10.1016/J.ENERGY.2015.11.023.</w:t>
      </w:r>
    </w:p>
    <w:p w14:paraId="25AFB3D2" w14:textId="053A160D" w:rsidR="0079165B" w:rsidRDefault="009A1115" w:rsidP="00680301">
      <w:pPr>
        <w:pStyle w:val="references"/>
        <w:ind w:start="17.70pt" w:hanging="17.70pt"/>
      </w:pPr>
      <w:bookmarkStart w:id="20" w:name="_Ref194876861"/>
      <w:r w:rsidRPr="009A1115">
        <w:t>Q. Hassan et al. "Hydrogen Fuel Cell Vehicles: Opportunities and Challenges." Sustainability (2023). https://doi.org/10.3390/su151511501.</w:t>
      </w:r>
      <w:bookmarkEnd w:id="20"/>
    </w:p>
    <w:p w14:paraId="6572C6B3" w14:textId="2E465797" w:rsidR="0079165B" w:rsidRDefault="009D2C63" w:rsidP="00680301">
      <w:pPr>
        <w:pStyle w:val="references"/>
        <w:ind w:start="17.70pt" w:hanging="17.70pt"/>
      </w:pPr>
      <w:bookmarkStart w:id="21" w:name="_Ref194877276"/>
      <w:r w:rsidRPr="009D2C63">
        <w:t>Xinyu Liu et al. "Well-to-Wheels Analysis of Zero-Emission Plug-In Battery Electric Vehicle Technology for Medium- and Heavy-Duty Trucks.." Environmental science &amp; technology (2020). https://doi.org/10.1021/acs.est.0c02931.</w:t>
      </w:r>
      <w:bookmarkEnd w:id="21"/>
    </w:p>
    <w:p w14:paraId="7ABE390E" w14:textId="17FCD75A" w:rsidR="0079165B" w:rsidRDefault="009D2C63" w:rsidP="00680301">
      <w:pPr>
        <w:pStyle w:val="references"/>
        <w:ind w:start="17.70pt" w:hanging="17.70pt"/>
      </w:pPr>
      <w:bookmarkStart w:id="22" w:name="_Ref194877435"/>
      <w:r w:rsidRPr="009D2C63">
        <w:rPr>
          <w:lang w:val="fr-FR"/>
        </w:rPr>
        <w:t xml:space="preserve">David C. Quiros et al. </w:t>
      </w:r>
      <w:r w:rsidRPr="009D2C63">
        <w:t xml:space="preserve">"Greenhouse gas emissions from heavy-duty natural gas, hybrid, and conventional diesel on-road trucks during </w:t>
      </w:r>
      <w:r w:rsidRPr="009D2C63">
        <w:lastRenderedPageBreak/>
        <w:t>freight transport." Atmospheric Environment, 168 (2017): 36-45. https://doi.org/10.1016/J.ATMOSENV.2017.08.066.</w:t>
      </w:r>
      <w:bookmarkEnd w:id="22"/>
    </w:p>
    <w:p w14:paraId="0585A9F1" w14:textId="1C079364" w:rsidR="0079165B" w:rsidRDefault="00061380" w:rsidP="00680301">
      <w:pPr>
        <w:pStyle w:val="references"/>
        <w:ind w:start="17.70pt" w:hanging="17.70pt"/>
      </w:pPr>
      <w:bookmarkStart w:id="23" w:name="_Ref195343640"/>
      <w:r w:rsidRPr="00061380">
        <w:t>Harshit Saini et al. "Well-to-wheel performance of internal combustion engine vehicles and electric vehicles – study for future Indian market." Energy Sources, Part A: Recovery, Utilization, and Environmental Effects, 45 (2023): 2089 - 2111. https://doi.org/10.1080/15567036.2023.2182844.</w:t>
      </w:r>
      <w:bookmarkEnd w:id="23"/>
    </w:p>
    <w:p w14:paraId="4025CDB2" w14:textId="68A0E0EE" w:rsidR="00B055D3" w:rsidRDefault="00B055D3" w:rsidP="00B055D3">
      <w:pPr>
        <w:pStyle w:val="references"/>
        <w:rPr>
          <w:lang w:eastAsia="zh-CN"/>
        </w:rPr>
      </w:pPr>
      <w:bookmarkStart w:id="24" w:name="_Ref191204229"/>
      <w:r>
        <w:rPr>
          <w:lang w:eastAsia="zh-CN"/>
        </w:rPr>
        <w:t>US</w:t>
      </w:r>
      <w:r w:rsidRPr="00E949C9">
        <w:rPr>
          <w:lang w:eastAsia="zh-CN"/>
        </w:rPr>
        <w:t xml:space="preserve"> </w:t>
      </w:r>
      <w:r>
        <w:rPr>
          <w:lang w:eastAsia="zh-CN"/>
        </w:rPr>
        <w:t>E</w:t>
      </w:r>
      <w:r w:rsidRPr="00E949C9">
        <w:rPr>
          <w:lang w:eastAsia="zh-CN"/>
        </w:rPr>
        <w:t xml:space="preserve">nergy </w:t>
      </w:r>
      <w:r>
        <w:rPr>
          <w:lang w:eastAsia="zh-CN"/>
        </w:rPr>
        <w:t>I</w:t>
      </w:r>
      <w:r w:rsidRPr="00E949C9">
        <w:rPr>
          <w:lang w:eastAsia="zh-CN"/>
        </w:rPr>
        <w:t xml:space="preserve">nformation </w:t>
      </w:r>
      <w:r>
        <w:rPr>
          <w:lang w:eastAsia="zh-CN"/>
        </w:rPr>
        <w:t>A</w:t>
      </w:r>
      <w:r w:rsidRPr="00E949C9">
        <w:rPr>
          <w:lang w:eastAsia="zh-CN"/>
        </w:rPr>
        <w:t>dministration</w:t>
      </w:r>
      <w:r>
        <w:rPr>
          <w:lang w:eastAsia="zh-CN"/>
        </w:rPr>
        <w:t>:</w:t>
      </w:r>
      <w:r w:rsidRPr="00E949C9">
        <w:rPr>
          <w:lang w:eastAsia="zh-CN"/>
        </w:rPr>
        <w:t xml:space="preserve"> Electric Power Monthly</w:t>
      </w:r>
      <w:r>
        <w:rPr>
          <w:lang w:eastAsia="zh-CN"/>
        </w:rPr>
        <w:t>, Feb 2024 issue,</w:t>
      </w:r>
      <w:r w:rsidRPr="00ED3A69">
        <w:t xml:space="preserve"> </w:t>
      </w:r>
      <w:hyperlink r:id="rId22" w:history="1">
        <w:r w:rsidRPr="00221412">
          <w:rPr>
            <w:rStyle w:val="Hyperlink"/>
            <w:lang w:eastAsia="zh-CN"/>
          </w:rPr>
          <w:t>https://www.eia.gov/electricity/monthly/</w:t>
        </w:r>
      </w:hyperlink>
      <w:bookmarkEnd w:id="24"/>
      <w:r>
        <w:rPr>
          <w:lang w:eastAsia="zh-CN"/>
        </w:rPr>
        <w:t xml:space="preserve"> </w:t>
      </w:r>
    </w:p>
    <w:p w14:paraId="6CF4FFDB" w14:textId="13D92D51" w:rsidR="0079165B" w:rsidRDefault="00691CA2" w:rsidP="00680301">
      <w:pPr>
        <w:pStyle w:val="references"/>
        <w:ind w:start="17.70pt" w:hanging="17.70pt"/>
      </w:pPr>
      <w:bookmarkStart w:id="25" w:name="_Ref195346146"/>
      <w:r w:rsidRPr="00691CA2">
        <w:t>European Electricity Review 2024</w:t>
      </w:r>
      <w:r>
        <w:t xml:space="preserve">, Ember, </w:t>
      </w:r>
      <w:hyperlink r:id="rId23" w:history="1">
        <w:r w:rsidRPr="00E40D68">
          <w:rPr>
            <w:rStyle w:val="Hyperlink"/>
          </w:rPr>
          <w:t>https://ember-energy.org/latest-insights/european-electricity-review-2024/</w:t>
        </w:r>
      </w:hyperlink>
      <w:bookmarkEnd w:id="25"/>
      <w:r>
        <w:t xml:space="preserve"> </w:t>
      </w:r>
    </w:p>
    <w:p w14:paraId="6F2F4D4C" w14:textId="60A351D3" w:rsidR="0079165B" w:rsidRDefault="00D830D9" w:rsidP="00680301">
      <w:pPr>
        <w:pStyle w:val="references"/>
        <w:ind w:start="17.70pt" w:hanging="17.70pt"/>
      </w:pPr>
      <w:bookmarkStart w:id="26" w:name="_Ref195350795"/>
      <w:r w:rsidRPr="00D830D9">
        <w:t>Y. Xiang et al. "Study on the configuration of bottom cycle in natural gas combined cycle power plants integrated with oxy-fuel combustion." Applied Energy, 212 (2018): 465-477. https://doi.org/10.1016/J.APENERGY.2017.12.049.</w:t>
      </w:r>
      <w:bookmarkEnd w:id="26"/>
    </w:p>
    <w:p w14:paraId="503859B6" w14:textId="41964ADA" w:rsidR="0079165B" w:rsidRDefault="00D830D9" w:rsidP="00680301">
      <w:pPr>
        <w:pStyle w:val="references"/>
        <w:ind w:start="17.70pt" w:hanging="17.70pt"/>
      </w:pPr>
      <w:bookmarkStart w:id="27" w:name="_Ref195350797"/>
      <w:r w:rsidRPr="00D830D9">
        <w:t>J. Amann et al. "Natural gas combined cycle power plant modified into an O2/CO2 cycle for CO2 capture." Energy Conversion and Management, 50 (2009): 510-521. https://doi.org/10.1016/J.ENCONMAN.2008.11.012.</w:t>
      </w:r>
      <w:bookmarkEnd w:id="27"/>
    </w:p>
    <w:p w14:paraId="2F647A28" w14:textId="253F0884" w:rsidR="0079165B" w:rsidRDefault="00D830D9" w:rsidP="00680301">
      <w:pPr>
        <w:pStyle w:val="references"/>
        <w:ind w:start="17.70pt" w:hanging="17.70pt"/>
      </w:pPr>
      <w:bookmarkStart w:id="28" w:name="_Ref195350798"/>
      <w:r w:rsidRPr="00D830D9">
        <w:t>Ting Lei et al. "A novel post-combustion CO2 capture process for natural gas combined cycle power plant based on waste energy utilization and absorption heat transformer." Energy (2025). https://doi.org/10.1016/j.energy.2025.134491.</w:t>
      </w:r>
      <w:bookmarkEnd w:id="28"/>
    </w:p>
    <w:p w14:paraId="24EB47DA" w14:textId="654A48A0" w:rsidR="0079165B" w:rsidRDefault="008E6CEA" w:rsidP="00680301">
      <w:pPr>
        <w:pStyle w:val="references"/>
        <w:ind w:start="17.70pt" w:hanging="17.70pt"/>
      </w:pPr>
      <w:bookmarkStart w:id="29" w:name="_Ref195351562"/>
      <w:r w:rsidRPr="008E6CEA">
        <w:t>Hao Zhang et al. "Efficiency improvement for coal-fired power plants by H2/O2 combustion: Performance analysis and economic evaluation." Journal of Energy Storage (2024). https://doi.org/10.1016/j.est.2024.111615.</w:t>
      </w:r>
      <w:bookmarkEnd w:id="29"/>
    </w:p>
    <w:p w14:paraId="6372F259" w14:textId="40C664CA" w:rsidR="0079165B" w:rsidRDefault="008E6CEA" w:rsidP="00680301">
      <w:pPr>
        <w:pStyle w:val="references"/>
        <w:ind w:start="17.70pt" w:hanging="17.70pt"/>
      </w:pPr>
      <w:bookmarkStart w:id="30" w:name="_Ref195351563"/>
      <w:r w:rsidRPr="008E6CEA">
        <w:t>C. Fu et al. "Thermal efficiency of coal-fired power plants: From theoretical to practical assessments." Energy Conversion and Management, 105 (2015): 530-544. https://doi.org/10.1016/J.ENCONMAN.2015.08.019.</w:t>
      </w:r>
      <w:bookmarkEnd w:id="30"/>
    </w:p>
    <w:p w14:paraId="591EFEF2" w14:textId="5532F727" w:rsidR="0079165B" w:rsidRDefault="008E6CEA" w:rsidP="00680301">
      <w:pPr>
        <w:pStyle w:val="references"/>
        <w:ind w:start="17.70pt" w:hanging="17.70pt"/>
      </w:pPr>
      <w:bookmarkStart w:id="31" w:name="_Ref195351586"/>
      <w:r w:rsidRPr="008E6CEA">
        <w:t>ZhaoFu Wang et al. "The roadmap towards the efficiency limit for supercritical carbon dioxide coal fired power plant." Energy Conversion and Management (2022). https://doi.org/10.1016/j.enconman.2022.116166.</w:t>
      </w:r>
      <w:bookmarkEnd w:id="31"/>
    </w:p>
    <w:p w14:paraId="23F9AB7A" w14:textId="5C4AEE5B" w:rsidR="0079165B" w:rsidRDefault="008E6CEA" w:rsidP="00680301">
      <w:pPr>
        <w:pStyle w:val="references"/>
        <w:ind w:start="17.70pt" w:hanging="17.70pt"/>
      </w:pPr>
      <w:bookmarkStart w:id="32" w:name="_Ref195351608"/>
      <w:r w:rsidRPr="008E6CEA">
        <w:t>K. Goto et al. "A review of efficiency penalty in a coal-fired power plant with post-combustion CO2 capture." Applied Energy, 111 (2013): 710-720. https://doi.org/10.1016/J.APENERGY.2013.05.020.</w:t>
      </w:r>
      <w:bookmarkEnd w:id="32"/>
    </w:p>
    <w:p w14:paraId="376A84F8" w14:textId="6875E7B9" w:rsidR="0079165B" w:rsidRDefault="00CD6873" w:rsidP="00680301">
      <w:pPr>
        <w:pStyle w:val="references"/>
        <w:ind w:start="17.70pt" w:hanging="17.70pt"/>
      </w:pPr>
      <w:bookmarkStart w:id="33" w:name="_Ref195352442"/>
      <w:r w:rsidRPr="00CD6873">
        <w:t>M. Abedin et al. "Efficiency analysis of nuclear power plants: A comprehensive review." World Journal of Advanced Research and Reviews (2023). https://doi.org/10.30574/wjarr.2023.19.2.1553.</w:t>
      </w:r>
      <w:bookmarkEnd w:id="33"/>
    </w:p>
    <w:p w14:paraId="708B41F9" w14:textId="77777777" w:rsidR="007A503B" w:rsidRDefault="007A503B" w:rsidP="007A503B">
      <w:pPr>
        <w:pStyle w:val="references"/>
        <w:rPr>
          <w:lang w:eastAsia="zh-CN"/>
        </w:rPr>
      </w:pPr>
      <w:bookmarkStart w:id="34" w:name="_Ref191208280"/>
      <w:r w:rsidRPr="0009424A">
        <w:rPr>
          <w:lang w:eastAsia="zh-CN"/>
        </w:rPr>
        <w:t>U.S. Energy Information Administration (EIA), Monthly Energy Review (April 2024), Tables 7.1, 7.2a, 7.3a, 7.6, and A6; and EIA, Form EIA-923, "Power Plant Operations Report."</w:t>
      </w:r>
      <w:bookmarkEnd w:id="34"/>
    </w:p>
    <w:p w14:paraId="4D0CD6E7" w14:textId="77777777" w:rsidR="00B455C6" w:rsidRDefault="00B455C6" w:rsidP="00B455C6">
      <w:pPr>
        <w:pStyle w:val="references"/>
        <w:rPr>
          <w:lang w:eastAsia="zh-CN"/>
        </w:rPr>
      </w:pPr>
      <w:bookmarkStart w:id="35" w:name="_Ref191213262"/>
      <w:r w:rsidRPr="00D1350F">
        <w:rPr>
          <w:lang w:eastAsia="zh-CN"/>
        </w:rPr>
        <w:t>Sweeting, W., Hutchinson, A., &amp; Savage, S. (2011). Factors affecting electric vehicle energy consumption. International Journal of Sustainable Engineering, 4, 192 - 201. https://doi.org/10.1080/19397038.2011.592956.</w:t>
      </w:r>
      <w:bookmarkEnd w:id="35"/>
    </w:p>
    <w:p w14:paraId="0B05DBF3" w14:textId="334FE713" w:rsidR="0079165B" w:rsidRDefault="00B455C6" w:rsidP="00680301">
      <w:pPr>
        <w:pStyle w:val="references"/>
        <w:ind w:start="17.70pt" w:hanging="17.70pt"/>
      </w:pPr>
      <w:bookmarkStart w:id="36" w:name="_Ref195359991"/>
      <w:r w:rsidRPr="00B455C6">
        <w:t>František Synák et al. "Assessing the Energy Efficiency of an Electric Car." Communications, 23 (2020). https://doi.org/10.26552/com.c.2021.1.a1-a13.</w:t>
      </w:r>
      <w:bookmarkEnd w:id="36"/>
    </w:p>
    <w:p w14:paraId="23DC8DB4" w14:textId="2FD808A5" w:rsidR="0079165B" w:rsidRDefault="0090771F" w:rsidP="00680301">
      <w:pPr>
        <w:pStyle w:val="references"/>
        <w:ind w:start="17.70pt" w:hanging="17.70pt"/>
      </w:pPr>
      <w:bookmarkStart w:id="37" w:name="_Ref195360608"/>
      <w:r w:rsidRPr="0090771F">
        <w:t>Zhichao Liu et al. "Life Cycle Assessment–based Comparative Evaluation of Originally Manufactured and Remanufactured Diesel Engines." Journal of Industrial Ecology, 18 (2014). https://doi.org/10.1111/jiec.12137.</w:t>
      </w:r>
      <w:bookmarkEnd w:id="37"/>
    </w:p>
    <w:p w14:paraId="3A6E8AB7" w14:textId="77777777" w:rsidR="0022709F" w:rsidRDefault="0022709F" w:rsidP="0022709F">
      <w:pPr>
        <w:pStyle w:val="references"/>
        <w:ind w:start="17.70pt" w:hanging="17.70pt"/>
      </w:pPr>
      <w:bookmarkStart w:id="38" w:name="_Ref195363098"/>
      <w:r w:rsidRPr="003874BD">
        <w:t>Sullivan, John Lorenzo, Andrew Burnham, and Michael Wang. Energy-consumption and carbon-emission analysis of vehicle and component manufacturing. No. ANL/ESD/10-6. Argonne National Lab.(ANL), Argonne, IL (United States), 2010.</w:t>
      </w:r>
      <w:bookmarkEnd w:id="38"/>
    </w:p>
    <w:p w14:paraId="0E712426" w14:textId="293E219B" w:rsidR="0079165B" w:rsidRDefault="0022709F" w:rsidP="00680301">
      <w:pPr>
        <w:pStyle w:val="references"/>
        <w:ind w:start="17.70pt" w:hanging="17.70pt"/>
      </w:pPr>
      <w:bookmarkStart w:id="39" w:name="_Ref195363442"/>
      <w:r w:rsidRPr="0022709F">
        <w:tab/>
        <w:t>Burnham, A., Wang, M., and Wu, Y., 2006, Development and Applications of GREET 2.7 – The Transportation Vehicle-Cycle Model, ANL/ESD/06-5, Center for Transportation Research, Argonne National Laboratory, Argonne, IL</w:t>
      </w:r>
      <w:bookmarkEnd w:id="39"/>
    </w:p>
    <w:p w14:paraId="64DA6016" w14:textId="0CFCC838" w:rsidR="0079165B" w:rsidRDefault="00995387" w:rsidP="00680301">
      <w:pPr>
        <w:pStyle w:val="references"/>
        <w:ind w:start="17.70pt" w:hanging="17.70pt"/>
      </w:pPr>
      <w:bookmarkStart w:id="40" w:name="_Ref195364233"/>
      <w:r w:rsidRPr="00995387">
        <w:t>Only 2.5% Of EV’s Have Battery Replaced</w:t>
      </w:r>
      <w:r>
        <w:t xml:space="preserve">, EV news, July 2024 </w:t>
      </w:r>
      <w:hyperlink r:id="rId24" w:history="1">
        <w:r w:rsidR="001877F2" w:rsidRPr="00E40D68">
          <w:rPr>
            <w:rStyle w:val="Hyperlink"/>
          </w:rPr>
          <w:t>https://www.evchargingcablestore.com/ev-news/only-2-5-of-evs-have-battery-replaced</w:t>
        </w:r>
      </w:hyperlink>
      <w:bookmarkEnd w:id="40"/>
      <w:r w:rsidR="001877F2">
        <w:t xml:space="preserve"> </w:t>
      </w:r>
    </w:p>
    <w:p w14:paraId="61AEE214" w14:textId="2F5914F9" w:rsidR="0079165B" w:rsidRDefault="005363A0" w:rsidP="00680301">
      <w:pPr>
        <w:pStyle w:val="references"/>
        <w:ind w:start="17.70pt" w:hanging="17.70pt"/>
      </w:pPr>
      <w:bookmarkStart w:id="41" w:name="_Ref195364738"/>
      <w:r w:rsidRPr="005363A0">
        <w:t>Martin Weiss et al. "Energy Consumption of Electric Vehicles in Europe." Sustainability (2024). https://doi.org/10.3390/su16177529.</w:t>
      </w:r>
      <w:bookmarkEnd w:id="41"/>
    </w:p>
    <w:p w14:paraId="39DE45B4" w14:textId="33E607ED" w:rsidR="0079165B" w:rsidRDefault="0095461C" w:rsidP="00680301">
      <w:pPr>
        <w:pStyle w:val="references"/>
        <w:ind w:start="17.70pt" w:hanging="17.70pt"/>
      </w:pPr>
      <w:bookmarkStart w:id="42" w:name="_Ref195370863"/>
      <w:r>
        <w:t xml:space="preserve">Australian Government - Energy Generation Statistics, Department of Climate change, Energy, the Environment and Water. </w:t>
      </w:r>
      <w:hyperlink r:id="rId25" w:history="1">
        <w:r w:rsidRPr="009C759F">
          <w:rPr>
            <w:rStyle w:val="Hyperlink"/>
          </w:rPr>
          <w:t>https://www.energy.gov.au/energy-data/australian-energy-statistics/electricity-generation</w:t>
        </w:r>
      </w:hyperlink>
      <w:bookmarkEnd w:id="42"/>
      <w:r>
        <w:t xml:space="preserve"> </w:t>
      </w:r>
    </w:p>
    <w:p w14:paraId="54980CBC" w14:textId="2CB79F87" w:rsidR="0079165B" w:rsidRDefault="00530721" w:rsidP="00680301">
      <w:pPr>
        <w:pStyle w:val="references"/>
        <w:ind w:start="17.70pt" w:hanging="17.70pt"/>
      </w:pPr>
      <w:bookmarkStart w:id="43" w:name="_Ref195371122"/>
      <w:bookmarkStart w:id="44" w:name="_Hlk195371259"/>
      <w:r w:rsidRPr="00530721">
        <w:t>Yearly electricity data, Ember</w:t>
      </w:r>
      <w:r>
        <w:t xml:space="preserve">, </w:t>
      </w:r>
      <w:hyperlink r:id="rId26" w:history="1">
        <w:r w:rsidRPr="009C759F">
          <w:rPr>
            <w:rStyle w:val="Hyperlink"/>
          </w:rPr>
          <w:t>https://ember-energy.org/countries-and-regions/india/</w:t>
        </w:r>
      </w:hyperlink>
      <w:bookmarkEnd w:id="43"/>
      <w:r>
        <w:t xml:space="preserve"> </w:t>
      </w:r>
    </w:p>
    <w:bookmarkEnd w:id="44"/>
    <w:p w14:paraId="3470EC19" w14:textId="311F6A0E" w:rsidR="00530721" w:rsidRPr="00530721" w:rsidRDefault="00530721" w:rsidP="00530721">
      <w:pPr>
        <w:pStyle w:val="references"/>
      </w:pPr>
      <w:r w:rsidRPr="00530721">
        <w:t xml:space="preserve">Yearly electricity data, Ember, </w:t>
      </w:r>
      <w:hyperlink r:id="rId27" w:history="1">
        <w:r w:rsidRPr="009C759F">
          <w:rPr>
            <w:rStyle w:val="Hyperlink"/>
          </w:rPr>
          <w:t>https://ember-energy.org/countries-and-regions/china/</w:t>
        </w:r>
      </w:hyperlink>
      <w:r>
        <w:t xml:space="preserve"> </w:t>
      </w:r>
      <w:r w:rsidRPr="00530721">
        <w:t xml:space="preserve"> </w:t>
      </w:r>
    </w:p>
    <w:p w14:paraId="43E9F49C" w14:textId="395B62E6" w:rsidR="00680301" w:rsidRPr="00641730" w:rsidRDefault="00572A27" w:rsidP="00641730">
      <w:pPr>
        <w:pStyle w:val="references"/>
        <w:ind w:start="17.70pt" w:hanging="17.70pt"/>
        <w:rPr>
          <w:lang w:val="fr-FR"/>
        </w:rPr>
        <w:sectPr w:rsidR="00680301" w:rsidRPr="00641730" w:rsidSect="00C866BD">
          <w:type w:val="continuous"/>
          <w:pgSz w:w="595.30pt" w:h="841.90pt" w:code="9"/>
          <w:pgMar w:top="54pt" w:right="45.35pt" w:bottom="85.50pt" w:left="45.35pt" w:header="36pt" w:footer="36pt" w:gutter="0pt"/>
          <w:cols w:num="2" w:space="18pt"/>
          <w:docGrid w:linePitch="360"/>
        </w:sectPr>
      </w:pPr>
      <w:bookmarkStart w:id="45" w:name="_Ref195379272"/>
      <w:r w:rsidRPr="00572A27">
        <w:t xml:space="preserve">M. Campisi et al. "The power of a critical heat engine." </w:t>
      </w:r>
      <w:r w:rsidRPr="00572A27">
        <w:rPr>
          <w:lang w:val="fr-FR"/>
        </w:rPr>
        <w:t>Nature Communications, 7 (2016). https://doi.org/10.1038/ncomms11895.</w:t>
      </w:r>
      <w:bookmarkEnd w:id="45"/>
    </w:p>
    <w:p w14:paraId="0EA80FAD" w14:textId="3DE82A27" w:rsidR="003366C0" w:rsidRPr="004A41E1" w:rsidRDefault="003366C0">
      <w:pPr>
        <w:pStyle w:val="Heading2"/>
        <w:numPr>
          <w:ilvl w:val="0"/>
          <w:numId w:val="0"/>
        </w:numPr>
      </w:pPr>
    </w:p>
    <w:sectPr w:rsidR="003366C0" w:rsidRPr="004A41E1"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0A6541EE" w14:textId="77777777" w:rsidR="00E268D0" w:rsidRDefault="00E268D0" w:rsidP="00B47794">
      <w:r>
        <w:separator/>
      </w:r>
    </w:p>
  </w:endnote>
  <w:endnote w:type="continuationSeparator" w:id="0">
    <w:p w14:paraId="10DFF3F4" w14:textId="77777777" w:rsidR="00E268D0" w:rsidRDefault="00E268D0" w:rsidP="00B47794">
      <w:r>
        <w:continuationSeparator/>
      </w:r>
    </w:p>
  </w:endnote>
  <w:endnote w:type="continuationNotice" w:id="1">
    <w:p w14:paraId="2E4EDAF4" w14:textId="77777777" w:rsidR="00E268D0" w:rsidRDefault="00E268D0">
      <w:pPr>
        <w:spacing w:after="0pt" w:line="12pt" w:lineRule="auto"/>
      </w:pP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3"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Math">
    <w:panose1 w:val="02040503050406030204"/>
    <w:charset w:characterSet="iso-8859-1"/>
    <w:family w:val="roman"/>
    <w:pitch w:val="variable"/>
    <w:sig w:usb0="E00006FF" w:usb1="420024FF" w:usb2="02000000" w:usb3="00000000" w:csb0="0000019F" w:csb1="00000000"/>
  </w:font>
  <w:font w:name="DengXian">
    <w:altName w:val="等线"/>
    <w:panose1 w:val="02010600030101010101"/>
    <w:charset w:characterSet="GBK"/>
    <w:family w:val="auto"/>
    <w:pitch w:val="variable"/>
    <w:sig w:usb0="A00002BF" w:usb1="38CF7CFA" w:usb2="00000016" w:usb3="00000000" w:csb0="0004000F" w:csb1="00000000"/>
  </w:font>
  <w:font w:name="DengXian Light">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A0002AEF" w:usb1="4000207B" w:usb2="00000000" w:usb3="00000000" w:csb0="000001FF" w:csb1="00000000"/>
  </w:font>
  <w:font w:name="Calibri">
    <w:panose1 w:val="020F0502020204030204"/>
    <w:charset w:characterSet="iso-8859-1"/>
    <w:family w:val="swiss"/>
    <w:pitch w:val="variable"/>
    <w:sig w:usb0="E1002AFF" w:usb1="4000ACFF"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6389DC54" w14:textId="77777777" w:rsidR="00C8152C" w:rsidRDefault="00C8152C">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4F28A3A2" w14:textId="77777777" w:rsidR="00C8152C" w:rsidRDefault="00C8152C">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445D1733" w14:textId="77777777" w:rsidR="00C8152C" w:rsidRDefault="00C8152C">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3FC2B9E1" w14:textId="77777777" w:rsidR="00E268D0" w:rsidRDefault="00E268D0" w:rsidP="00B47794">
      <w:r>
        <w:separator/>
      </w:r>
    </w:p>
  </w:footnote>
  <w:footnote w:type="continuationSeparator" w:id="0">
    <w:p w14:paraId="3C963E40" w14:textId="77777777" w:rsidR="00E268D0" w:rsidRDefault="00E268D0" w:rsidP="00B47794">
      <w:r>
        <w:continuationSeparator/>
      </w:r>
    </w:p>
  </w:footnote>
  <w:footnote w:type="continuationNotice" w:id="1">
    <w:p w14:paraId="06750223" w14:textId="77777777" w:rsidR="00E268D0" w:rsidRDefault="00E268D0">
      <w:pPr>
        <w:spacing w:after="0pt" w:line="12pt" w:lineRule="auto"/>
      </w:pP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0123418E" w14:textId="38209406" w:rsidR="00C8152C" w:rsidRDefault="00C8152C">
    <w:pPr>
      <w:pStyle w:val="Header"/>
    </w:pPr>
    <w:r>
      <w:rPr>
        <w:noProof/>
      </w:rPr>
      <mc:AlternateContent>
        <mc:Choice Requires="v">
          <w:pict w14:anchorId="4B488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965141" o:spid="_x0000_s2050" type="#_x0000_t136" style="position:absolute;left:0;text-align:left;margin-left:0;margin-top:0;width:642.05pt;height:71.3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mc:Choice>
        <mc:Fallback>
          <w:drawing>
            <wp:anchor distT="0" distB="0" distL="114300" distR="114300" simplePos="0" relativeHeight="251659264" behindDoc="1" locked="0" layoutInCell="0" allowOverlap="1" wp14:anchorId="34C03919" wp14:editId="4AE0F3F7">
              <wp:simplePos x="0" y="0"/>
              <wp:positionH relativeFrom="margin">
                <wp:align>center</wp:align>
              </wp:positionH>
              <wp:positionV relativeFrom="margin">
                <wp:align>center</wp:align>
              </wp:positionV>
              <wp:extent cx="8154035" cy="905510"/>
              <wp:effectExtent l="0" t="2676525" r="0" b="2494915"/>
              <wp:wrapNone/>
              <wp:docPr id="1" name="PowerPlusWaterMarkObject1841965141"/>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8154035" cy="90551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3F6B3E81" w14:textId="77777777" w:rsidR="00F23144" w:rsidRDefault="00F23144" w:rsidP="00F23144">
                          <w:pPr>
                            <w:pStyle w:val="Abstract"/>
                            <w:spacing w:before="0pt" w:beforeAutospacing="0" w:after="0pt" w:afterAutospacing="0"/>
                            <w:jc w:val="center"/>
                          </w:pPr>
                          <w:r>
                            <w:rPr>
                              <w:color w:val="C0C0C0"/>
                              <w:sz w:val="72"/>
                              <w:szCs w:val="72"/>
                              <w14:textFill>
                                <w14:solidFill>
                                  <w14:srgbClr w14:val="C0C0C0">
                                    <w14:alpha w14:val="50000"/>
                                  </w14:srgbClr>
                                </w14:solidFill>
                              </w14:textFill>
                            </w:rPr>
                            <w:t>UNDER PEER REVIEW</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6E558866" w14:textId="7C00860B" w:rsidR="00C8152C" w:rsidRDefault="00C8152C">
    <w:pPr>
      <w:pStyle w:val="Header"/>
    </w:pPr>
    <w:r>
      <w:rPr>
        <w:noProof/>
      </w:rPr>
      <mc:AlternateContent>
        <mc:Choice Requires="v">
          <w:pict w14:anchorId="71E1B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965142" o:spid="_x0000_s2051" type="#_x0000_t136" style="position:absolute;left:0;text-align:left;margin-left:0;margin-top:0;width:642.05pt;height:71.3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mc:Choice>
        <mc:Fallback>
          <w:drawing>
            <wp:anchor distT="0" distB="0" distL="114300" distR="114300" simplePos="0" relativeHeight="251660288" behindDoc="1" locked="0" layoutInCell="0" allowOverlap="1" wp14:anchorId="60D4B511" wp14:editId="429786F9">
              <wp:simplePos x="0" y="0"/>
              <wp:positionH relativeFrom="margin">
                <wp:align>center</wp:align>
              </wp:positionH>
              <wp:positionV relativeFrom="margin">
                <wp:align>center</wp:align>
              </wp:positionV>
              <wp:extent cx="8154035" cy="905510"/>
              <wp:effectExtent l="0" t="2676525" r="0" b="2494915"/>
              <wp:wrapNone/>
              <wp:docPr id="1" name="PowerPlusWaterMarkObject1841965142"/>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8154035" cy="90551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351B20AE" w14:textId="77777777" w:rsidR="00F23144" w:rsidRDefault="00F23144" w:rsidP="00F23144">
                          <w:pPr>
                            <w:pStyle w:val="Abstract"/>
                            <w:spacing w:before="0pt" w:beforeAutospacing="0" w:after="0pt" w:afterAutospacing="0"/>
                            <w:jc w:val="center"/>
                          </w:pPr>
                          <w:r>
                            <w:rPr>
                              <w:color w:val="C0C0C0"/>
                              <w:sz w:val="72"/>
                              <w:szCs w:val="72"/>
                              <w14:textFill>
                                <w14:solidFill>
                                  <w14:srgbClr w14:val="C0C0C0">
                                    <w14:alpha w14:val="50000"/>
                                  </w14:srgbClr>
                                </w14:solidFill>
                              </w14:textFill>
                            </w:rPr>
                            <w:t>UNDER PEER REVIEW</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3D979F00" w14:textId="78F47559" w:rsidR="00C8152C" w:rsidRDefault="00C8152C">
    <w:pPr>
      <w:pStyle w:val="Header"/>
    </w:pPr>
    <w:r>
      <w:rPr>
        <w:noProof/>
      </w:rPr>
      <mc:AlternateContent>
        <mc:Choice Requires="v">
          <w:pict w14:anchorId="2B33B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965140" o:spid="_x0000_s2049" type="#_x0000_t136" style="position:absolute;left:0;text-align:left;margin-left:0;margin-top:0;width:642.05pt;height:71.3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mc:Choice>
        <mc:Fallback>
          <w:drawing>
            <wp:anchor distT="0" distB="0" distL="114300" distR="114300" simplePos="0" relativeHeight="251658240" behindDoc="1" locked="0" layoutInCell="0" allowOverlap="1" wp14:anchorId="4F1FC8F0" wp14:editId="34ED41BE">
              <wp:simplePos x="0" y="0"/>
              <wp:positionH relativeFrom="margin">
                <wp:align>center</wp:align>
              </wp:positionH>
              <wp:positionV relativeFrom="margin">
                <wp:align>center</wp:align>
              </wp:positionV>
              <wp:extent cx="8154035" cy="905510"/>
              <wp:effectExtent l="0" t="2676525" r="0" b="2494915"/>
              <wp:wrapNone/>
              <wp:docPr id="1" name="PowerPlusWaterMarkObject1841965140"/>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8154035" cy="90551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0B981C5D" w14:textId="77777777" w:rsidR="00F23144" w:rsidRDefault="00F23144" w:rsidP="00F23144">
                          <w:pPr>
                            <w:pStyle w:val="Abstract"/>
                            <w:spacing w:before="0pt" w:beforeAutospacing="0" w:after="0pt" w:afterAutospacing="0"/>
                            <w:jc w:val="center"/>
                          </w:pPr>
                          <w:r>
                            <w:rPr>
                              <w:color w:val="C0C0C0"/>
                              <w:sz w:val="72"/>
                              <w:szCs w:val="72"/>
                              <w14:textFill>
                                <w14:solidFill>
                                  <w14:srgbClr w14:val="C0C0C0">
                                    <w14:alpha w14:val="50000"/>
                                  </w14:srgbClr>
                                </w14:solidFill>
                              </w14:textFill>
                            </w:rPr>
                            <w:t>UNDER PEER REVIEW</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FD262F46"/>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E46469B0"/>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30349B5E"/>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0BCE247A"/>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32B48462"/>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C8004E02"/>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E8EB290"/>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DA8CB452"/>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A160E26"/>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4AA2B010"/>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B9C0B8F"/>
    <w:multiLevelType w:val="hybridMultilevel"/>
    <w:tmpl w:val="52D2A13E"/>
    <w:lvl w:ilvl="0" w:tplc="EEE8F764">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12"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3" w15:restartNumberingAfterBreak="0">
    <w:nsid w:val="206E5872"/>
    <w:multiLevelType w:val="hybridMultilevel"/>
    <w:tmpl w:val="A4FCDE6E"/>
    <w:lvl w:ilvl="0" w:tplc="04090001">
      <w:start w:val="1"/>
      <w:numFmt w:val="bullet"/>
      <w:lvlText w:val=""/>
      <w:lvlJc w:val="start"/>
      <w:pPr>
        <w:ind w:start="50.40pt" w:hanging="18pt"/>
      </w:pPr>
      <w:rPr>
        <w:rFonts w:ascii="Symbol" w:hAnsi="Symbol" w:hint="default"/>
      </w:rPr>
    </w:lvl>
    <w:lvl w:ilvl="1" w:tplc="04090003" w:tentative="1">
      <w:start w:val="1"/>
      <w:numFmt w:val="bullet"/>
      <w:lvlText w:val="o"/>
      <w:lvlJc w:val="start"/>
      <w:pPr>
        <w:ind w:start="86.40pt" w:hanging="18pt"/>
      </w:pPr>
      <w:rPr>
        <w:rFonts w:ascii="Courier New" w:hAnsi="Courier New" w:cs="Courier New" w:hint="default"/>
      </w:rPr>
    </w:lvl>
    <w:lvl w:ilvl="2" w:tplc="04090005" w:tentative="1">
      <w:start w:val="1"/>
      <w:numFmt w:val="bullet"/>
      <w:lvlText w:val=""/>
      <w:lvlJc w:val="start"/>
      <w:pPr>
        <w:ind w:start="122.40pt" w:hanging="18pt"/>
      </w:pPr>
      <w:rPr>
        <w:rFonts w:ascii="Wingdings" w:hAnsi="Wingdings" w:hint="default"/>
      </w:rPr>
    </w:lvl>
    <w:lvl w:ilvl="3" w:tplc="04090001" w:tentative="1">
      <w:start w:val="1"/>
      <w:numFmt w:val="bullet"/>
      <w:lvlText w:val=""/>
      <w:lvlJc w:val="start"/>
      <w:pPr>
        <w:ind w:start="158.40pt" w:hanging="18pt"/>
      </w:pPr>
      <w:rPr>
        <w:rFonts w:ascii="Symbol" w:hAnsi="Symbol" w:hint="default"/>
      </w:rPr>
    </w:lvl>
    <w:lvl w:ilvl="4" w:tplc="04090003" w:tentative="1">
      <w:start w:val="1"/>
      <w:numFmt w:val="bullet"/>
      <w:lvlText w:val="o"/>
      <w:lvlJc w:val="start"/>
      <w:pPr>
        <w:ind w:start="194.40pt" w:hanging="18pt"/>
      </w:pPr>
      <w:rPr>
        <w:rFonts w:ascii="Courier New" w:hAnsi="Courier New" w:cs="Courier New" w:hint="default"/>
      </w:rPr>
    </w:lvl>
    <w:lvl w:ilvl="5" w:tplc="04090005" w:tentative="1">
      <w:start w:val="1"/>
      <w:numFmt w:val="bullet"/>
      <w:lvlText w:val=""/>
      <w:lvlJc w:val="start"/>
      <w:pPr>
        <w:ind w:start="230.40pt" w:hanging="18pt"/>
      </w:pPr>
      <w:rPr>
        <w:rFonts w:ascii="Wingdings" w:hAnsi="Wingdings" w:hint="default"/>
      </w:rPr>
    </w:lvl>
    <w:lvl w:ilvl="6" w:tplc="04090001" w:tentative="1">
      <w:start w:val="1"/>
      <w:numFmt w:val="bullet"/>
      <w:lvlText w:val=""/>
      <w:lvlJc w:val="start"/>
      <w:pPr>
        <w:ind w:start="266.40pt" w:hanging="18pt"/>
      </w:pPr>
      <w:rPr>
        <w:rFonts w:ascii="Symbol" w:hAnsi="Symbol" w:hint="default"/>
      </w:rPr>
    </w:lvl>
    <w:lvl w:ilvl="7" w:tplc="04090003" w:tentative="1">
      <w:start w:val="1"/>
      <w:numFmt w:val="bullet"/>
      <w:lvlText w:val="o"/>
      <w:lvlJc w:val="start"/>
      <w:pPr>
        <w:ind w:start="302.40pt" w:hanging="18pt"/>
      </w:pPr>
      <w:rPr>
        <w:rFonts w:ascii="Courier New" w:hAnsi="Courier New" w:cs="Courier New" w:hint="default"/>
      </w:rPr>
    </w:lvl>
    <w:lvl w:ilvl="8" w:tplc="04090005" w:tentative="1">
      <w:start w:val="1"/>
      <w:numFmt w:val="bullet"/>
      <w:lvlText w:val=""/>
      <w:lvlJc w:val="start"/>
      <w:pPr>
        <w:ind w:start="338.40pt" w:hanging="18pt"/>
      </w:pPr>
      <w:rPr>
        <w:rFonts w:ascii="Wingdings" w:hAnsi="Wingdings" w:hint="default"/>
      </w:rPr>
    </w:lvl>
  </w:abstractNum>
  <w:abstractNum w:abstractNumId="14"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212F4EB5"/>
    <w:multiLevelType w:val="hybridMultilevel"/>
    <w:tmpl w:val="F4ECBDC4"/>
    <w:lvl w:ilvl="0" w:tplc="3806B8BE">
      <w:start w:val="1"/>
      <w:numFmt w:val="decimal"/>
      <w:lvlText w:val="%1."/>
      <w:lvlJc w:val="start"/>
      <w:pPr>
        <w:ind w:start="32.40pt" w:hanging="18pt"/>
      </w:pPr>
      <w:rPr>
        <w:rFonts w:hint="default"/>
      </w:rPr>
    </w:lvl>
    <w:lvl w:ilvl="1" w:tplc="04090019">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16"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7" w15:restartNumberingAfterBreak="0">
    <w:nsid w:val="2C7E1811"/>
    <w:multiLevelType w:val="hybridMultilevel"/>
    <w:tmpl w:val="AAA4D508"/>
    <w:lvl w:ilvl="0" w:tplc="9FAABD66">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18" w15:restartNumberingAfterBreak="0">
    <w:nsid w:val="35F654C3"/>
    <w:multiLevelType w:val="hybridMultilevel"/>
    <w:tmpl w:val="1DC69E52"/>
    <w:lvl w:ilvl="0" w:tplc="8BF8377C">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19"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20"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21" w15:restartNumberingAfterBreak="0">
    <w:nsid w:val="3DD425DC"/>
    <w:multiLevelType w:val="hybridMultilevel"/>
    <w:tmpl w:val="43C69550"/>
    <w:lvl w:ilvl="0" w:tplc="EEE4215C">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22" w15:restartNumberingAfterBreak="0">
    <w:nsid w:val="3FC64132"/>
    <w:multiLevelType w:val="hybridMultilevel"/>
    <w:tmpl w:val="0F187798"/>
    <w:lvl w:ilvl="0" w:tplc="28DCFFE2">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23"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4"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5"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6" w15:restartNumberingAfterBreak="0">
    <w:nsid w:val="67771734"/>
    <w:multiLevelType w:val="hybridMultilevel"/>
    <w:tmpl w:val="15A019FE"/>
    <w:lvl w:ilvl="0" w:tplc="A2E6FAEE">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27"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8"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9" w15:restartNumberingAfterBreak="0">
    <w:nsid w:val="6DFD50A4"/>
    <w:multiLevelType w:val="hybridMultilevel"/>
    <w:tmpl w:val="F6EAFFBC"/>
    <w:lvl w:ilvl="0" w:tplc="36CA4AB8">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30" w15:restartNumberingAfterBreak="0">
    <w:nsid w:val="74E410C8"/>
    <w:multiLevelType w:val="hybridMultilevel"/>
    <w:tmpl w:val="BB728B94"/>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1" w15:restartNumberingAfterBreak="0">
    <w:nsid w:val="7D126DFE"/>
    <w:multiLevelType w:val="hybridMultilevel"/>
    <w:tmpl w:val="D720775C"/>
    <w:lvl w:ilvl="0" w:tplc="0409000F">
      <w:start w:val="1"/>
      <w:numFmt w:val="decimal"/>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num w:numId="1">
    <w:abstractNumId w:val="19"/>
  </w:num>
  <w:num w:numId="2">
    <w:abstractNumId w:val="27"/>
  </w:num>
  <w:num w:numId="3">
    <w:abstractNumId w:val="16"/>
  </w:num>
  <w:num w:numId="4">
    <w:abstractNumId w:val="23"/>
  </w:num>
  <w:num w:numId="5">
    <w:abstractNumId w:val="23"/>
  </w:num>
  <w:num w:numId="6">
    <w:abstractNumId w:val="23"/>
  </w:num>
  <w:num w:numId="7">
    <w:abstractNumId w:val="23"/>
  </w:num>
  <w:num w:numId="8">
    <w:abstractNumId w:val="25"/>
  </w:num>
  <w:num w:numId="9">
    <w:abstractNumId w:val="28"/>
  </w:num>
  <w:num w:numId="10">
    <w:abstractNumId w:val="20"/>
  </w:num>
  <w:num w:numId="11">
    <w:abstractNumId w:val="14"/>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4"/>
  </w:num>
  <w:num w:numId="25">
    <w:abstractNumId w:val="29"/>
  </w:num>
  <w:num w:numId="26">
    <w:abstractNumId w:val="13"/>
  </w:num>
  <w:num w:numId="27">
    <w:abstractNumId w:val="30"/>
  </w:num>
  <w:num w:numId="28">
    <w:abstractNumId w:val="11"/>
  </w:num>
  <w:num w:numId="29">
    <w:abstractNumId w:val="22"/>
  </w:num>
  <w:num w:numId="30">
    <w:abstractNumId w:val="26"/>
  </w:num>
  <w:num w:numId="31">
    <w:abstractNumId w:val="15"/>
  </w:num>
  <w:num w:numId="32">
    <w:abstractNumId w:val="21"/>
  </w:num>
  <w:num w:numId="33">
    <w:abstractNumId w:val="31"/>
  </w:num>
  <w:num w:numId="34">
    <w:abstractNumId w:val="18"/>
  </w:num>
  <w:num w:numId="35">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embedSystemFonts/>
  <w:proofState w:spelling="clean" w:grammar="clean"/>
  <w:defaultTabStop w:val="36pt"/>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05A5"/>
    <w:rsid w:val="00000BC0"/>
    <w:rsid w:val="0000149F"/>
    <w:rsid w:val="00001C40"/>
    <w:rsid w:val="00002A11"/>
    <w:rsid w:val="00002B58"/>
    <w:rsid w:val="00002F8C"/>
    <w:rsid w:val="00003182"/>
    <w:rsid w:val="00003F0F"/>
    <w:rsid w:val="00004B2D"/>
    <w:rsid w:val="00004E6D"/>
    <w:rsid w:val="00005937"/>
    <w:rsid w:val="000059CF"/>
    <w:rsid w:val="000069E9"/>
    <w:rsid w:val="00006CB5"/>
    <w:rsid w:val="000072E6"/>
    <w:rsid w:val="00007305"/>
    <w:rsid w:val="0000737A"/>
    <w:rsid w:val="000101D1"/>
    <w:rsid w:val="000105DC"/>
    <w:rsid w:val="000106A3"/>
    <w:rsid w:val="000107F8"/>
    <w:rsid w:val="00010CF5"/>
    <w:rsid w:val="00010ED9"/>
    <w:rsid w:val="0001114B"/>
    <w:rsid w:val="000117FE"/>
    <w:rsid w:val="00011A2C"/>
    <w:rsid w:val="00011C7D"/>
    <w:rsid w:val="00012FEF"/>
    <w:rsid w:val="000139CB"/>
    <w:rsid w:val="00013D2A"/>
    <w:rsid w:val="0001494D"/>
    <w:rsid w:val="00015345"/>
    <w:rsid w:val="000155EB"/>
    <w:rsid w:val="0002058A"/>
    <w:rsid w:val="00020922"/>
    <w:rsid w:val="00020E32"/>
    <w:rsid w:val="00021964"/>
    <w:rsid w:val="00021A30"/>
    <w:rsid w:val="00023368"/>
    <w:rsid w:val="00024361"/>
    <w:rsid w:val="00025190"/>
    <w:rsid w:val="000252C0"/>
    <w:rsid w:val="000254B0"/>
    <w:rsid w:val="0002570C"/>
    <w:rsid w:val="000264F1"/>
    <w:rsid w:val="0002674D"/>
    <w:rsid w:val="000304D5"/>
    <w:rsid w:val="000306BF"/>
    <w:rsid w:val="00030C39"/>
    <w:rsid w:val="00031682"/>
    <w:rsid w:val="00034853"/>
    <w:rsid w:val="00034948"/>
    <w:rsid w:val="0003585D"/>
    <w:rsid w:val="00035F3A"/>
    <w:rsid w:val="00036751"/>
    <w:rsid w:val="000370F8"/>
    <w:rsid w:val="000373C0"/>
    <w:rsid w:val="00037A8E"/>
    <w:rsid w:val="00037BC5"/>
    <w:rsid w:val="00040898"/>
    <w:rsid w:val="00040DBB"/>
    <w:rsid w:val="0004173A"/>
    <w:rsid w:val="00042B2F"/>
    <w:rsid w:val="000440E7"/>
    <w:rsid w:val="00045536"/>
    <w:rsid w:val="00046432"/>
    <w:rsid w:val="000465FA"/>
    <w:rsid w:val="00046F45"/>
    <w:rsid w:val="000474B4"/>
    <w:rsid w:val="00047754"/>
    <w:rsid w:val="0004781E"/>
    <w:rsid w:val="000501DD"/>
    <w:rsid w:val="00050599"/>
    <w:rsid w:val="0005071B"/>
    <w:rsid w:val="00050EB9"/>
    <w:rsid w:val="00051C54"/>
    <w:rsid w:val="000521E6"/>
    <w:rsid w:val="000522CF"/>
    <w:rsid w:val="00053076"/>
    <w:rsid w:val="00056C2C"/>
    <w:rsid w:val="00056E46"/>
    <w:rsid w:val="000606C8"/>
    <w:rsid w:val="00061380"/>
    <w:rsid w:val="00061D0C"/>
    <w:rsid w:val="0006261E"/>
    <w:rsid w:val="000627D8"/>
    <w:rsid w:val="00063A50"/>
    <w:rsid w:val="00065B13"/>
    <w:rsid w:val="00065E6A"/>
    <w:rsid w:val="000662DB"/>
    <w:rsid w:val="00066ACE"/>
    <w:rsid w:val="000673CF"/>
    <w:rsid w:val="000702F0"/>
    <w:rsid w:val="00070579"/>
    <w:rsid w:val="000710D2"/>
    <w:rsid w:val="00071588"/>
    <w:rsid w:val="00072096"/>
    <w:rsid w:val="000744E4"/>
    <w:rsid w:val="0007477D"/>
    <w:rsid w:val="00075392"/>
    <w:rsid w:val="0007641B"/>
    <w:rsid w:val="000801D6"/>
    <w:rsid w:val="00081858"/>
    <w:rsid w:val="0008424E"/>
    <w:rsid w:val="00085264"/>
    <w:rsid w:val="000852E1"/>
    <w:rsid w:val="00085CD0"/>
    <w:rsid w:val="00085D0F"/>
    <w:rsid w:val="0008758A"/>
    <w:rsid w:val="00087FDA"/>
    <w:rsid w:val="0009020B"/>
    <w:rsid w:val="00090302"/>
    <w:rsid w:val="000903FA"/>
    <w:rsid w:val="000914E4"/>
    <w:rsid w:val="00091845"/>
    <w:rsid w:val="00091B92"/>
    <w:rsid w:val="00092564"/>
    <w:rsid w:val="000931C5"/>
    <w:rsid w:val="00093E79"/>
    <w:rsid w:val="0009424A"/>
    <w:rsid w:val="0009479E"/>
    <w:rsid w:val="00094EFE"/>
    <w:rsid w:val="00094F5B"/>
    <w:rsid w:val="00095688"/>
    <w:rsid w:val="00095EF1"/>
    <w:rsid w:val="0009616C"/>
    <w:rsid w:val="00096341"/>
    <w:rsid w:val="00096968"/>
    <w:rsid w:val="00096A4A"/>
    <w:rsid w:val="000975F9"/>
    <w:rsid w:val="00097AB7"/>
    <w:rsid w:val="000A03FD"/>
    <w:rsid w:val="000A05EE"/>
    <w:rsid w:val="000A236D"/>
    <w:rsid w:val="000A2A18"/>
    <w:rsid w:val="000A2D8E"/>
    <w:rsid w:val="000A3038"/>
    <w:rsid w:val="000A465E"/>
    <w:rsid w:val="000A6E06"/>
    <w:rsid w:val="000A706A"/>
    <w:rsid w:val="000A718B"/>
    <w:rsid w:val="000B0B22"/>
    <w:rsid w:val="000B0EB1"/>
    <w:rsid w:val="000B4000"/>
    <w:rsid w:val="000B4370"/>
    <w:rsid w:val="000B4381"/>
    <w:rsid w:val="000B4594"/>
    <w:rsid w:val="000B46DD"/>
    <w:rsid w:val="000B46FE"/>
    <w:rsid w:val="000B4AB9"/>
    <w:rsid w:val="000B4AEA"/>
    <w:rsid w:val="000B509D"/>
    <w:rsid w:val="000B5F8B"/>
    <w:rsid w:val="000B7F6E"/>
    <w:rsid w:val="000C006D"/>
    <w:rsid w:val="000C02C6"/>
    <w:rsid w:val="000C1E68"/>
    <w:rsid w:val="000C2E2D"/>
    <w:rsid w:val="000C31B9"/>
    <w:rsid w:val="000C3EBC"/>
    <w:rsid w:val="000C4438"/>
    <w:rsid w:val="000C577D"/>
    <w:rsid w:val="000C58B3"/>
    <w:rsid w:val="000C5E9A"/>
    <w:rsid w:val="000C6B7D"/>
    <w:rsid w:val="000C71E8"/>
    <w:rsid w:val="000C721E"/>
    <w:rsid w:val="000C766F"/>
    <w:rsid w:val="000D0080"/>
    <w:rsid w:val="000D1633"/>
    <w:rsid w:val="000D174B"/>
    <w:rsid w:val="000D1B2A"/>
    <w:rsid w:val="000D35D0"/>
    <w:rsid w:val="000D36F9"/>
    <w:rsid w:val="000D3812"/>
    <w:rsid w:val="000D4354"/>
    <w:rsid w:val="000D4552"/>
    <w:rsid w:val="000D4B52"/>
    <w:rsid w:val="000D4BEF"/>
    <w:rsid w:val="000D52B8"/>
    <w:rsid w:val="000D57CD"/>
    <w:rsid w:val="000D5E61"/>
    <w:rsid w:val="000D6519"/>
    <w:rsid w:val="000D6BAF"/>
    <w:rsid w:val="000D6E74"/>
    <w:rsid w:val="000D7919"/>
    <w:rsid w:val="000D7E3B"/>
    <w:rsid w:val="000E02A7"/>
    <w:rsid w:val="000E0EB9"/>
    <w:rsid w:val="000E1AE9"/>
    <w:rsid w:val="000E1CB0"/>
    <w:rsid w:val="000E25E6"/>
    <w:rsid w:val="000E29F7"/>
    <w:rsid w:val="000E3350"/>
    <w:rsid w:val="000E36E3"/>
    <w:rsid w:val="000E4350"/>
    <w:rsid w:val="000E52B6"/>
    <w:rsid w:val="000E5CCB"/>
    <w:rsid w:val="000E5F91"/>
    <w:rsid w:val="000E6283"/>
    <w:rsid w:val="000F08FF"/>
    <w:rsid w:val="000F09AC"/>
    <w:rsid w:val="000F0AD9"/>
    <w:rsid w:val="000F2331"/>
    <w:rsid w:val="000F2850"/>
    <w:rsid w:val="000F339B"/>
    <w:rsid w:val="000F3E9C"/>
    <w:rsid w:val="000F42EC"/>
    <w:rsid w:val="000F50C4"/>
    <w:rsid w:val="000F50D1"/>
    <w:rsid w:val="000F5108"/>
    <w:rsid w:val="000F64D5"/>
    <w:rsid w:val="000F64DB"/>
    <w:rsid w:val="000F6697"/>
    <w:rsid w:val="000F76B3"/>
    <w:rsid w:val="000F79A0"/>
    <w:rsid w:val="000F7D12"/>
    <w:rsid w:val="00101A74"/>
    <w:rsid w:val="00101FD2"/>
    <w:rsid w:val="001035E6"/>
    <w:rsid w:val="00103966"/>
    <w:rsid w:val="00103AC6"/>
    <w:rsid w:val="001049B9"/>
    <w:rsid w:val="00104B29"/>
    <w:rsid w:val="0010526E"/>
    <w:rsid w:val="00105F3C"/>
    <w:rsid w:val="00106472"/>
    <w:rsid w:val="001064F5"/>
    <w:rsid w:val="001065A7"/>
    <w:rsid w:val="00110770"/>
    <w:rsid w:val="00110D8E"/>
    <w:rsid w:val="0011139A"/>
    <w:rsid w:val="00111FF4"/>
    <w:rsid w:val="00113866"/>
    <w:rsid w:val="0011486F"/>
    <w:rsid w:val="001151D1"/>
    <w:rsid w:val="00116F52"/>
    <w:rsid w:val="00117026"/>
    <w:rsid w:val="00117045"/>
    <w:rsid w:val="00117868"/>
    <w:rsid w:val="00117CD1"/>
    <w:rsid w:val="00117FBC"/>
    <w:rsid w:val="001224B3"/>
    <w:rsid w:val="00122DD4"/>
    <w:rsid w:val="00123431"/>
    <w:rsid w:val="0012395D"/>
    <w:rsid w:val="001245FC"/>
    <w:rsid w:val="00124AFB"/>
    <w:rsid w:val="0012503D"/>
    <w:rsid w:val="00125E34"/>
    <w:rsid w:val="00126105"/>
    <w:rsid w:val="001261B3"/>
    <w:rsid w:val="00130B23"/>
    <w:rsid w:val="00131094"/>
    <w:rsid w:val="001332E0"/>
    <w:rsid w:val="00133AB1"/>
    <w:rsid w:val="00133F91"/>
    <w:rsid w:val="0013430C"/>
    <w:rsid w:val="00134620"/>
    <w:rsid w:val="00136782"/>
    <w:rsid w:val="001369F1"/>
    <w:rsid w:val="00136DEB"/>
    <w:rsid w:val="0013776A"/>
    <w:rsid w:val="00137A05"/>
    <w:rsid w:val="00140422"/>
    <w:rsid w:val="00140A5C"/>
    <w:rsid w:val="00140AB0"/>
    <w:rsid w:val="00141CAA"/>
    <w:rsid w:val="00143630"/>
    <w:rsid w:val="00144497"/>
    <w:rsid w:val="001445D8"/>
    <w:rsid w:val="001447DE"/>
    <w:rsid w:val="001447F6"/>
    <w:rsid w:val="00144D52"/>
    <w:rsid w:val="00145F8B"/>
    <w:rsid w:val="0015011F"/>
    <w:rsid w:val="00150136"/>
    <w:rsid w:val="001518E9"/>
    <w:rsid w:val="001526A1"/>
    <w:rsid w:val="00153028"/>
    <w:rsid w:val="001537A1"/>
    <w:rsid w:val="00153B4D"/>
    <w:rsid w:val="00153FA4"/>
    <w:rsid w:val="00154462"/>
    <w:rsid w:val="001545F4"/>
    <w:rsid w:val="001559B3"/>
    <w:rsid w:val="001579D9"/>
    <w:rsid w:val="00157B56"/>
    <w:rsid w:val="00157BC2"/>
    <w:rsid w:val="00157D95"/>
    <w:rsid w:val="00160501"/>
    <w:rsid w:val="00161045"/>
    <w:rsid w:val="00161447"/>
    <w:rsid w:val="001619A6"/>
    <w:rsid w:val="0016219D"/>
    <w:rsid w:val="0016376B"/>
    <w:rsid w:val="00164B43"/>
    <w:rsid w:val="00165548"/>
    <w:rsid w:val="00165B2C"/>
    <w:rsid w:val="00166943"/>
    <w:rsid w:val="0016776B"/>
    <w:rsid w:val="00167A48"/>
    <w:rsid w:val="001718CE"/>
    <w:rsid w:val="0017374D"/>
    <w:rsid w:val="001737CE"/>
    <w:rsid w:val="001746A2"/>
    <w:rsid w:val="00174C45"/>
    <w:rsid w:val="00175917"/>
    <w:rsid w:val="001775B3"/>
    <w:rsid w:val="00177980"/>
    <w:rsid w:val="00180627"/>
    <w:rsid w:val="0018199C"/>
    <w:rsid w:val="001824B1"/>
    <w:rsid w:val="00182ABC"/>
    <w:rsid w:val="00182D05"/>
    <w:rsid w:val="001840EF"/>
    <w:rsid w:val="001861C8"/>
    <w:rsid w:val="001875A0"/>
    <w:rsid w:val="001877F2"/>
    <w:rsid w:val="00187970"/>
    <w:rsid w:val="00190C47"/>
    <w:rsid w:val="0019104A"/>
    <w:rsid w:val="001916B1"/>
    <w:rsid w:val="00191849"/>
    <w:rsid w:val="00193D5B"/>
    <w:rsid w:val="00195170"/>
    <w:rsid w:val="00196973"/>
    <w:rsid w:val="0019715A"/>
    <w:rsid w:val="0019749F"/>
    <w:rsid w:val="00197CDD"/>
    <w:rsid w:val="001A0474"/>
    <w:rsid w:val="001A13B8"/>
    <w:rsid w:val="001A163D"/>
    <w:rsid w:val="001A19C0"/>
    <w:rsid w:val="001A294F"/>
    <w:rsid w:val="001A2EFD"/>
    <w:rsid w:val="001A303D"/>
    <w:rsid w:val="001A3B3D"/>
    <w:rsid w:val="001A6BDA"/>
    <w:rsid w:val="001A6D6E"/>
    <w:rsid w:val="001A70D9"/>
    <w:rsid w:val="001A796D"/>
    <w:rsid w:val="001B0FF9"/>
    <w:rsid w:val="001B2D2D"/>
    <w:rsid w:val="001B59F2"/>
    <w:rsid w:val="001B5BD3"/>
    <w:rsid w:val="001B6569"/>
    <w:rsid w:val="001B67DC"/>
    <w:rsid w:val="001B7F9C"/>
    <w:rsid w:val="001C00EC"/>
    <w:rsid w:val="001C0974"/>
    <w:rsid w:val="001C141C"/>
    <w:rsid w:val="001C2D5D"/>
    <w:rsid w:val="001C3302"/>
    <w:rsid w:val="001C3B61"/>
    <w:rsid w:val="001C6BA2"/>
    <w:rsid w:val="001C7215"/>
    <w:rsid w:val="001C76D0"/>
    <w:rsid w:val="001D035E"/>
    <w:rsid w:val="001D064D"/>
    <w:rsid w:val="001D2E93"/>
    <w:rsid w:val="001D3970"/>
    <w:rsid w:val="001D40A0"/>
    <w:rsid w:val="001D47C2"/>
    <w:rsid w:val="001D7ACA"/>
    <w:rsid w:val="001E1352"/>
    <w:rsid w:val="001E1814"/>
    <w:rsid w:val="001E1DDD"/>
    <w:rsid w:val="001E2566"/>
    <w:rsid w:val="001E316D"/>
    <w:rsid w:val="001E4B92"/>
    <w:rsid w:val="001E5203"/>
    <w:rsid w:val="001E7158"/>
    <w:rsid w:val="001E7F99"/>
    <w:rsid w:val="001F091F"/>
    <w:rsid w:val="001F19D3"/>
    <w:rsid w:val="001F3784"/>
    <w:rsid w:val="001F415E"/>
    <w:rsid w:val="001F48D6"/>
    <w:rsid w:val="001F53D4"/>
    <w:rsid w:val="001F6786"/>
    <w:rsid w:val="001F68DF"/>
    <w:rsid w:val="001F6E62"/>
    <w:rsid w:val="00200535"/>
    <w:rsid w:val="002006E2"/>
    <w:rsid w:val="0020084D"/>
    <w:rsid w:val="00200E2E"/>
    <w:rsid w:val="00201570"/>
    <w:rsid w:val="002019C9"/>
    <w:rsid w:val="0020323B"/>
    <w:rsid w:val="002037D7"/>
    <w:rsid w:val="00203F6F"/>
    <w:rsid w:val="0020435A"/>
    <w:rsid w:val="00204954"/>
    <w:rsid w:val="00204AFB"/>
    <w:rsid w:val="002051E9"/>
    <w:rsid w:val="002056B9"/>
    <w:rsid w:val="00206674"/>
    <w:rsid w:val="002068A3"/>
    <w:rsid w:val="002071A7"/>
    <w:rsid w:val="00207513"/>
    <w:rsid w:val="00210241"/>
    <w:rsid w:val="002104FF"/>
    <w:rsid w:val="002107F3"/>
    <w:rsid w:val="002113D8"/>
    <w:rsid w:val="002125CB"/>
    <w:rsid w:val="00212ED0"/>
    <w:rsid w:val="00213350"/>
    <w:rsid w:val="002142BA"/>
    <w:rsid w:val="00214E26"/>
    <w:rsid w:val="00215C04"/>
    <w:rsid w:val="00215DE9"/>
    <w:rsid w:val="00216AC8"/>
    <w:rsid w:val="00216F2C"/>
    <w:rsid w:val="00217D1C"/>
    <w:rsid w:val="00217DE3"/>
    <w:rsid w:val="0022014B"/>
    <w:rsid w:val="00221045"/>
    <w:rsid w:val="00221371"/>
    <w:rsid w:val="002213C6"/>
    <w:rsid w:val="00221C1B"/>
    <w:rsid w:val="002222EA"/>
    <w:rsid w:val="002227F7"/>
    <w:rsid w:val="00222E9A"/>
    <w:rsid w:val="002230B9"/>
    <w:rsid w:val="00223887"/>
    <w:rsid w:val="00223E47"/>
    <w:rsid w:val="00223E55"/>
    <w:rsid w:val="00223FAC"/>
    <w:rsid w:val="002254A9"/>
    <w:rsid w:val="00226374"/>
    <w:rsid w:val="00226BAE"/>
    <w:rsid w:val="0022709F"/>
    <w:rsid w:val="00231F72"/>
    <w:rsid w:val="00231F9D"/>
    <w:rsid w:val="00232782"/>
    <w:rsid w:val="002327FD"/>
    <w:rsid w:val="00233D97"/>
    <w:rsid w:val="002347A2"/>
    <w:rsid w:val="00236076"/>
    <w:rsid w:val="00236D82"/>
    <w:rsid w:val="00236E64"/>
    <w:rsid w:val="00237BFD"/>
    <w:rsid w:val="002400A9"/>
    <w:rsid w:val="00240E1D"/>
    <w:rsid w:val="00241914"/>
    <w:rsid w:val="002422E9"/>
    <w:rsid w:val="002425CE"/>
    <w:rsid w:val="00243285"/>
    <w:rsid w:val="0024347B"/>
    <w:rsid w:val="002436D4"/>
    <w:rsid w:val="002437F3"/>
    <w:rsid w:val="00243B34"/>
    <w:rsid w:val="0024558E"/>
    <w:rsid w:val="00247094"/>
    <w:rsid w:val="0024770A"/>
    <w:rsid w:val="00250250"/>
    <w:rsid w:val="0025074F"/>
    <w:rsid w:val="00250778"/>
    <w:rsid w:val="00250965"/>
    <w:rsid w:val="00250C1E"/>
    <w:rsid w:val="00252457"/>
    <w:rsid w:val="00252460"/>
    <w:rsid w:val="0025251B"/>
    <w:rsid w:val="00252960"/>
    <w:rsid w:val="00253CE8"/>
    <w:rsid w:val="00253DEA"/>
    <w:rsid w:val="00254643"/>
    <w:rsid w:val="0025485B"/>
    <w:rsid w:val="00254FE8"/>
    <w:rsid w:val="0025508D"/>
    <w:rsid w:val="00255407"/>
    <w:rsid w:val="0025540F"/>
    <w:rsid w:val="002554DE"/>
    <w:rsid w:val="0025556A"/>
    <w:rsid w:val="0025683F"/>
    <w:rsid w:val="002571C6"/>
    <w:rsid w:val="00260FD4"/>
    <w:rsid w:val="00263249"/>
    <w:rsid w:val="002641E3"/>
    <w:rsid w:val="00264811"/>
    <w:rsid w:val="00264856"/>
    <w:rsid w:val="0026510A"/>
    <w:rsid w:val="002655DA"/>
    <w:rsid w:val="0026565B"/>
    <w:rsid w:val="00265A29"/>
    <w:rsid w:val="00266100"/>
    <w:rsid w:val="00266414"/>
    <w:rsid w:val="00267175"/>
    <w:rsid w:val="002677FF"/>
    <w:rsid w:val="002715B4"/>
    <w:rsid w:val="00272200"/>
    <w:rsid w:val="0027270C"/>
    <w:rsid w:val="0027294E"/>
    <w:rsid w:val="00272E0D"/>
    <w:rsid w:val="00273586"/>
    <w:rsid w:val="002742F2"/>
    <w:rsid w:val="00275633"/>
    <w:rsid w:val="00275C75"/>
    <w:rsid w:val="00276011"/>
    <w:rsid w:val="002800D1"/>
    <w:rsid w:val="00280624"/>
    <w:rsid w:val="00280D59"/>
    <w:rsid w:val="002814E7"/>
    <w:rsid w:val="00281F46"/>
    <w:rsid w:val="00282AFD"/>
    <w:rsid w:val="002832E6"/>
    <w:rsid w:val="0028359B"/>
    <w:rsid w:val="002838B0"/>
    <w:rsid w:val="00284397"/>
    <w:rsid w:val="00284856"/>
    <w:rsid w:val="00284985"/>
    <w:rsid w:val="00284D14"/>
    <w:rsid w:val="002850E3"/>
    <w:rsid w:val="002854E7"/>
    <w:rsid w:val="00286B60"/>
    <w:rsid w:val="00286BC3"/>
    <w:rsid w:val="00286C11"/>
    <w:rsid w:val="002874C5"/>
    <w:rsid w:val="00287804"/>
    <w:rsid w:val="002879C6"/>
    <w:rsid w:val="00290A58"/>
    <w:rsid w:val="002912A6"/>
    <w:rsid w:val="0029148B"/>
    <w:rsid w:val="002919A1"/>
    <w:rsid w:val="00292659"/>
    <w:rsid w:val="00293C99"/>
    <w:rsid w:val="0029519B"/>
    <w:rsid w:val="0029536F"/>
    <w:rsid w:val="002956F3"/>
    <w:rsid w:val="00295EE0"/>
    <w:rsid w:val="0029624D"/>
    <w:rsid w:val="002969F0"/>
    <w:rsid w:val="00297E8F"/>
    <w:rsid w:val="002A1047"/>
    <w:rsid w:val="002A1A11"/>
    <w:rsid w:val="002A3533"/>
    <w:rsid w:val="002A3A87"/>
    <w:rsid w:val="002A497C"/>
    <w:rsid w:val="002A4B84"/>
    <w:rsid w:val="002B2523"/>
    <w:rsid w:val="002B315D"/>
    <w:rsid w:val="002B6323"/>
    <w:rsid w:val="002C015C"/>
    <w:rsid w:val="002C126D"/>
    <w:rsid w:val="002C2493"/>
    <w:rsid w:val="002C3004"/>
    <w:rsid w:val="002C3358"/>
    <w:rsid w:val="002C581E"/>
    <w:rsid w:val="002C599C"/>
    <w:rsid w:val="002C791D"/>
    <w:rsid w:val="002C7FC0"/>
    <w:rsid w:val="002D0CB9"/>
    <w:rsid w:val="002D1591"/>
    <w:rsid w:val="002D3239"/>
    <w:rsid w:val="002D389E"/>
    <w:rsid w:val="002D5679"/>
    <w:rsid w:val="002D6CD7"/>
    <w:rsid w:val="002D78ED"/>
    <w:rsid w:val="002E0660"/>
    <w:rsid w:val="002E0930"/>
    <w:rsid w:val="002E09B1"/>
    <w:rsid w:val="002E1A1C"/>
    <w:rsid w:val="002E1A51"/>
    <w:rsid w:val="002E2602"/>
    <w:rsid w:val="002E3604"/>
    <w:rsid w:val="002E485D"/>
    <w:rsid w:val="002E5627"/>
    <w:rsid w:val="002E5FD7"/>
    <w:rsid w:val="002E6065"/>
    <w:rsid w:val="002E60F5"/>
    <w:rsid w:val="002E64AA"/>
    <w:rsid w:val="002E77DD"/>
    <w:rsid w:val="002E78B0"/>
    <w:rsid w:val="002E7B43"/>
    <w:rsid w:val="002E7CBA"/>
    <w:rsid w:val="002F0A6B"/>
    <w:rsid w:val="002F0DEF"/>
    <w:rsid w:val="002F1330"/>
    <w:rsid w:val="002F14BA"/>
    <w:rsid w:val="002F15EE"/>
    <w:rsid w:val="002F1DBA"/>
    <w:rsid w:val="002F29E7"/>
    <w:rsid w:val="002F307F"/>
    <w:rsid w:val="002F527D"/>
    <w:rsid w:val="002F5DED"/>
    <w:rsid w:val="002F61DD"/>
    <w:rsid w:val="002F7111"/>
    <w:rsid w:val="002F785E"/>
    <w:rsid w:val="00300340"/>
    <w:rsid w:val="0030090A"/>
    <w:rsid w:val="0030494B"/>
    <w:rsid w:val="003052E4"/>
    <w:rsid w:val="00305FA3"/>
    <w:rsid w:val="00307F38"/>
    <w:rsid w:val="003102FF"/>
    <w:rsid w:val="003110B9"/>
    <w:rsid w:val="00313A15"/>
    <w:rsid w:val="00315D1B"/>
    <w:rsid w:val="00316653"/>
    <w:rsid w:val="003172FD"/>
    <w:rsid w:val="00317A1A"/>
    <w:rsid w:val="00320250"/>
    <w:rsid w:val="00320746"/>
    <w:rsid w:val="00320F12"/>
    <w:rsid w:val="00321038"/>
    <w:rsid w:val="003216A0"/>
    <w:rsid w:val="00322768"/>
    <w:rsid w:val="00322EBE"/>
    <w:rsid w:val="00322F37"/>
    <w:rsid w:val="00323558"/>
    <w:rsid w:val="00323BE1"/>
    <w:rsid w:val="00324FF6"/>
    <w:rsid w:val="0032502D"/>
    <w:rsid w:val="00325603"/>
    <w:rsid w:val="00327782"/>
    <w:rsid w:val="00327DB5"/>
    <w:rsid w:val="003305FC"/>
    <w:rsid w:val="003314FB"/>
    <w:rsid w:val="00332006"/>
    <w:rsid w:val="00332918"/>
    <w:rsid w:val="00332C29"/>
    <w:rsid w:val="00332EB6"/>
    <w:rsid w:val="003341E4"/>
    <w:rsid w:val="003351F2"/>
    <w:rsid w:val="003355E3"/>
    <w:rsid w:val="003366C0"/>
    <w:rsid w:val="00337E54"/>
    <w:rsid w:val="0034014F"/>
    <w:rsid w:val="003405C4"/>
    <w:rsid w:val="00340AA5"/>
    <w:rsid w:val="00341492"/>
    <w:rsid w:val="00341632"/>
    <w:rsid w:val="00342048"/>
    <w:rsid w:val="003425A4"/>
    <w:rsid w:val="00342CF2"/>
    <w:rsid w:val="003465C7"/>
    <w:rsid w:val="0034678E"/>
    <w:rsid w:val="00347B44"/>
    <w:rsid w:val="00347C1E"/>
    <w:rsid w:val="00350080"/>
    <w:rsid w:val="003502BC"/>
    <w:rsid w:val="00350716"/>
    <w:rsid w:val="00351440"/>
    <w:rsid w:val="00352C8A"/>
    <w:rsid w:val="0035369B"/>
    <w:rsid w:val="00354108"/>
    <w:rsid w:val="0035468F"/>
    <w:rsid w:val="003549F2"/>
    <w:rsid w:val="00354A9D"/>
    <w:rsid w:val="00354FCF"/>
    <w:rsid w:val="00355459"/>
    <w:rsid w:val="00355F70"/>
    <w:rsid w:val="0035639D"/>
    <w:rsid w:val="00356C84"/>
    <w:rsid w:val="00356D0A"/>
    <w:rsid w:val="003577FA"/>
    <w:rsid w:val="00357C3F"/>
    <w:rsid w:val="0036081E"/>
    <w:rsid w:val="003609F2"/>
    <w:rsid w:val="003627DD"/>
    <w:rsid w:val="0036569D"/>
    <w:rsid w:val="003661BC"/>
    <w:rsid w:val="00366886"/>
    <w:rsid w:val="00370483"/>
    <w:rsid w:val="00373599"/>
    <w:rsid w:val="003745D5"/>
    <w:rsid w:val="003764B4"/>
    <w:rsid w:val="0037671A"/>
    <w:rsid w:val="003773FA"/>
    <w:rsid w:val="003774F8"/>
    <w:rsid w:val="00377545"/>
    <w:rsid w:val="00380042"/>
    <w:rsid w:val="003803CA"/>
    <w:rsid w:val="00380A40"/>
    <w:rsid w:val="00380C1D"/>
    <w:rsid w:val="003830EE"/>
    <w:rsid w:val="00383A57"/>
    <w:rsid w:val="0038546A"/>
    <w:rsid w:val="00385CA4"/>
    <w:rsid w:val="003874BD"/>
    <w:rsid w:val="003878AB"/>
    <w:rsid w:val="003908D1"/>
    <w:rsid w:val="0039124C"/>
    <w:rsid w:val="00391728"/>
    <w:rsid w:val="0039196C"/>
    <w:rsid w:val="00391BF6"/>
    <w:rsid w:val="00392CEB"/>
    <w:rsid w:val="003937ED"/>
    <w:rsid w:val="00394233"/>
    <w:rsid w:val="00394609"/>
    <w:rsid w:val="00395223"/>
    <w:rsid w:val="003952B8"/>
    <w:rsid w:val="00395C36"/>
    <w:rsid w:val="00395D3A"/>
    <w:rsid w:val="00397225"/>
    <w:rsid w:val="003A0979"/>
    <w:rsid w:val="003A19E2"/>
    <w:rsid w:val="003A22F8"/>
    <w:rsid w:val="003A3826"/>
    <w:rsid w:val="003A3C70"/>
    <w:rsid w:val="003A449F"/>
    <w:rsid w:val="003A4D9B"/>
    <w:rsid w:val="003A50D7"/>
    <w:rsid w:val="003A5281"/>
    <w:rsid w:val="003A5F3E"/>
    <w:rsid w:val="003A63C8"/>
    <w:rsid w:val="003A7D10"/>
    <w:rsid w:val="003B096C"/>
    <w:rsid w:val="003B0A82"/>
    <w:rsid w:val="003B1552"/>
    <w:rsid w:val="003B2B40"/>
    <w:rsid w:val="003B3212"/>
    <w:rsid w:val="003B35BA"/>
    <w:rsid w:val="003B35D2"/>
    <w:rsid w:val="003B4000"/>
    <w:rsid w:val="003B4653"/>
    <w:rsid w:val="003B4E04"/>
    <w:rsid w:val="003B4FB3"/>
    <w:rsid w:val="003B5C80"/>
    <w:rsid w:val="003B5FE2"/>
    <w:rsid w:val="003B6894"/>
    <w:rsid w:val="003B6A62"/>
    <w:rsid w:val="003B761D"/>
    <w:rsid w:val="003B7CF0"/>
    <w:rsid w:val="003C12EB"/>
    <w:rsid w:val="003C1D2F"/>
    <w:rsid w:val="003C20FA"/>
    <w:rsid w:val="003C2F98"/>
    <w:rsid w:val="003C30D8"/>
    <w:rsid w:val="003C4229"/>
    <w:rsid w:val="003C58CB"/>
    <w:rsid w:val="003C7C41"/>
    <w:rsid w:val="003D1AC3"/>
    <w:rsid w:val="003D2160"/>
    <w:rsid w:val="003D2DED"/>
    <w:rsid w:val="003D3945"/>
    <w:rsid w:val="003D471A"/>
    <w:rsid w:val="003D486F"/>
    <w:rsid w:val="003D4ECF"/>
    <w:rsid w:val="003D57D8"/>
    <w:rsid w:val="003D602F"/>
    <w:rsid w:val="003D6946"/>
    <w:rsid w:val="003D6DF5"/>
    <w:rsid w:val="003E0D18"/>
    <w:rsid w:val="003E0FB7"/>
    <w:rsid w:val="003E15DE"/>
    <w:rsid w:val="003E1F08"/>
    <w:rsid w:val="003E26E4"/>
    <w:rsid w:val="003E2CDF"/>
    <w:rsid w:val="003E2EAF"/>
    <w:rsid w:val="003E39BA"/>
    <w:rsid w:val="003E46D2"/>
    <w:rsid w:val="003E479E"/>
    <w:rsid w:val="003E52B1"/>
    <w:rsid w:val="003E67D8"/>
    <w:rsid w:val="003E7BEB"/>
    <w:rsid w:val="003E7CA9"/>
    <w:rsid w:val="003F04C3"/>
    <w:rsid w:val="003F2181"/>
    <w:rsid w:val="003F2766"/>
    <w:rsid w:val="003F541E"/>
    <w:rsid w:val="003F5737"/>
    <w:rsid w:val="003F5A08"/>
    <w:rsid w:val="003F6C2B"/>
    <w:rsid w:val="003F7400"/>
    <w:rsid w:val="0040159E"/>
    <w:rsid w:val="00401DA3"/>
    <w:rsid w:val="00402641"/>
    <w:rsid w:val="004035B7"/>
    <w:rsid w:val="00403956"/>
    <w:rsid w:val="00404031"/>
    <w:rsid w:val="0040478F"/>
    <w:rsid w:val="00405891"/>
    <w:rsid w:val="00405C25"/>
    <w:rsid w:val="004063F2"/>
    <w:rsid w:val="00406629"/>
    <w:rsid w:val="004077E7"/>
    <w:rsid w:val="004107FB"/>
    <w:rsid w:val="004110DB"/>
    <w:rsid w:val="00411339"/>
    <w:rsid w:val="00412337"/>
    <w:rsid w:val="00412383"/>
    <w:rsid w:val="00412DEA"/>
    <w:rsid w:val="00415583"/>
    <w:rsid w:val="00416DB2"/>
    <w:rsid w:val="00416F15"/>
    <w:rsid w:val="00420716"/>
    <w:rsid w:val="00421D6E"/>
    <w:rsid w:val="00423910"/>
    <w:rsid w:val="00424094"/>
    <w:rsid w:val="00424294"/>
    <w:rsid w:val="00424B2C"/>
    <w:rsid w:val="00425007"/>
    <w:rsid w:val="00425581"/>
    <w:rsid w:val="00426ECD"/>
    <w:rsid w:val="004307E2"/>
    <w:rsid w:val="00430B64"/>
    <w:rsid w:val="00430F5C"/>
    <w:rsid w:val="00431D20"/>
    <w:rsid w:val="004325FB"/>
    <w:rsid w:val="004326D6"/>
    <w:rsid w:val="00432BCE"/>
    <w:rsid w:val="00433009"/>
    <w:rsid w:val="0043383A"/>
    <w:rsid w:val="00434817"/>
    <w:rsid w:val="00435F5D"/>
    <w:rsid w:val="00437AB4"/>
    <w:rsid w:val="00440B4C"/>
    <w:rsid w:val="00440E80"/>
    <w:rsid w:val="00441182"/>
    <w:rsid w:val="004412E9"/>
    <w:rsid w:val="0044156E"/>
    <w:rsid w:val="00441575"/>
    <w:rsid w:val="004432BA"/>
    <w:rsid w:val="0044407E"/>
    <w:rsid w:val="00445483"/>
    <w:rsid w:val="004466F2"/>
    <w:rsid w:val="004469B6"/>
    <w:rsid w:val="00447BB9"/>
    <w:rsid w:val="0045255E"/>
    <w:rsid w:val="004528ED"/>
    <w:rsid w:val="00453977"/>
    <w:rsid w:val="004541DD"/>
    <w:rsid w:val="00454421"/>
    <w:rsid w:val="004548A9"/>
    <w:rsid w:val="00455EEF"/>
    <w:rsid w:val="00455FAE"/>
    <w:rsid w:val="00456667"/>
    <w:rsid w:val="0045799E"/>
    <w:rsid w:val="00457A46"/>
    <w:rsid w:val="00460037"/>
    <w:rsid w:val="004602BA"/>
    <w:rsid w:val="0046031D"/>
    <w:rsid w:val="00460444"/>
    <w:rsid w:val="0046241B"/>
    <w:rsid w:val="004627D1"/>
    <w:rsid w:val="00462C44"/>
    <w:rsid w:val="004646F2"/>
    <w:rsid w:val="004652B2"/>
    <w:rsid w:val="004659D1"/>
    <w:rsid w:val="00465F88"/>
    <w:rsid w:val="0046692A"/>
    <w:rsid w:val="004669C2"/>
    <w:rsid w:val="00466AB6"/>
    <w:rsid w:val="00467D79"/>
    <w:rsid w:val="004704F3"/>
    <w:rsid w:val="00470798"/>
    <w:rsid w:val="00471D37"/>
    <w:rsid w:val="004730D1"/>
    <w:rsid w:val="004730EC"/>
    <w:rsid w:val="00473AC9"/>
    <w:rsid w:val="00475B7E"/>
    <w:rsid w:val="00475B84"/>
    <w:rsid w:val="00475EF3"/>
    <w:rsid w:val="0047658D"/>
    <w:rsid w:val="00476C7C"/>
    <w:rsid w:val="004774DC"/>
    <w:rsid w:val="00477D50"/>
    <w:rsid w:val="004811DA"/>
    <w:rsid w:val="004817BA"/>
    <w:rsid w:val="00482142"/>
    <w:rsid w:val="00482308"/>
    <w:rsid w:val="0048334B"/>
    <w:rsid w:val="00483A9C"/>
    <w:rsid w:val="00483A9F"/>
    <w:rsid w:val="004844AF"/>
    <w:rsid w:val="004847B1"/>
    <w:rsid w:val="00484BB1"/>
    <w:rsid w:val="00485715"/>
    <w:rsid w:val="00485BD5"/>
    <w:rsid w:val="0048745D"/>
    <w:rsid w:val="00487D1E"/>
    <w:rsid w:val="00487E1D"/>
    <w:rsid w:val="00487F23"/>
    <w:rsid w:val="004908C9"/>
    <w:rsid w:val="00490ACB"/>
    <w:rsid w:val="00491E33"/>
    <w:rsid w:val="00494119"/>
    <w:rsid w:val="0049454D"/>
    <w:rsid w:val="00495427"/>
    <w:rsid w:val="00495B7F"/>
    <w:rsid w:val="00496549"/>
    <w:rsid w:val="00496A03"/>
    <w:rsid w:val="00496DD1"/>
    <w:rsid w:val="00496EAB"/>
    <w:rsid w:val="0049735B"/>
    <w:rsid w:val="004977E1"/>
    <w:rsid w:val="00497D44"/>
    <w:rsid w:val="004A058B"/>
    <w:rsid w:val="004A20FC"/>
    <w:rsid w:val="004A2453"/>
    <w:rsid w:val="004A29A0"/>
    <w:rsid w:val="004A2D9C"/>
    <w:rsid w:val="004A3262"/>
    <w:rsid w:val="004A326B"/>
    <w:rsid w:val="004A3590"/>
    <w:rsid w:val="004A3E43"/>
    <w:rsid w:val="004A3FD5"/>
    <w:rsid w:val="004A41E1"/>
    <w:rsid w:val="004A4557"/>
    <w:rsid w:val="004A5590"/>
    <w:rsid w:val="004A5FE8"/>
    <w:rsid w:val="004A679A"/>
    <w:rsid w:val="004A67B5"/>
    <w:rsid w:val="004A6F50"/>
    <w:rsid w:val="004B1D19"/>
    <w:rsid w:val="004B3E58"/>
    <w:rsid w:val="004B4ED6"/>
    <w:rsid w:val="004B4F29"/>
    <w:rsid w:val="004B511C"/>
    <w:rsid w:val="004B5252"/>
    <w:rsid w:val="004B59C5"/>
    <w:rsid w:val="004B6161"/>
    <w:rsid w:val="004B6665"/>
    <w:rsid w:val="004B6B6F"/>
    <w:rsid w:val="004B6E2C"/>
    <w:rsid w:val="004B6F34"/>
    <w:rsid w:val="004C0B5D"/>
    <w:rsid w:val="004C0E98"/>
    <w:rsid w:val="004C23D5"/>
    <w:rsid w:val="004C27A3"/>
    <w:rsid w:val="004C34AA"/>
    <w:rsid w:val="004C39A5"/>
    <w:rsid w:val="004C3B91"/>
    <w:rsid w:val="004C46C3"/>
    <w:rsid w:val="004C5078"/>
    <w:rsid w:val="004C50A1"/>
    <w:rsid w:val="004C5C3D"/>
    <w:rsid w:val="004C6A89"/>
    <w:rsid w:val="004C6AA0"/>
    <w:rsid w:val="004C78D5"/>
    <w:rsid w:val="004C7A17"/>
    <w:rsid w:val="004D02E3"/>
    <w:rsid w:val="004D0EE6"/>
    <w:rsid w:val="004D132D"/>
    <w:rsid w:val="004D195C"/>
    <w:rsid w:val="004D257D"/>
    <w:rsid w:val="004D2595"/>
    <w:rsid w:val="004D27C3"/>
    <w:rsid w:val="004D2EFD"/>
    <w:rsid w:val="004D424E"/>
    <w:rsid w:val="004D4259"/>
    <w:rsid w:val="004D48EE"/>
    <w:rsid w:val="004D5257"/>
    <w:rsid w:val="004D53E5"/>
    <w:rsid w:val="004D5417"/>
    <w:rsid w:val="004D5D93"/>
    <w:rsid w:val="004D5DE0"/>
    <w:rsid w:val="004D6127"/>
    <w:rsid w:val="004D72B5"/>
    <w:rsid w:val="004D72CA"/>
    <w:rsid w:val="004D7A39"/>
    <w:rsid w:val="004E01DA"/>
    <w:rsid w:val="004E0ACA"/>
    <w:rsid w:val="004E0ECC"/>
    <w:rsid w:val="004E0F3C"/>
    <w:rsid w:val="004E375A"/>
    <w:rsid w:val="004E3BD5"/>
    <w:rsid w:val="004E7165"/>
    <w:rsid w:val="004E7E00"/>
    <w:rsid w:val="004F01BE"/>
    <w:rsid w:val="004F073F"/>
    <w:rsid w:val="004F149F"/>
    <w:rsid w:val="004F1599"/>
    <w:rsid w:val="004F1B1F"/>
    <w:rsid w:val="004F1E95"/>
    <w:rsid w:val="004F2103"/>
    <w:rsid w:val="004F2533"/>
    <w:rsid w:val="004F25A0"/>
    <w:rsid w:val="004F27D2"/>
    <w:rsid w:val="004F28D5"/>
    <w:rsid w:val="004F2A26"/>
    <w:rsid w:val="004F3514"/>
    <w:rsid w:val="004F3A4C"/>
    <w:rsid w:val="004F49CF"/>
    <w:rsid w:val="004F602A"/>
    <w:rsid w:val="004F6B47"/>
    <w:rsid w:val="004F7940"/>
    <w:rsid w:val="004F7F89"/>
    <w:rsid w:val="00500296"/>
    <w:rsid w:val="00501663"/>
    <w:rsid w:val="00501FF3"/>
    <w:rsid w:val="0050313B"/>
    <w:rsid w:val="00503A3B"/>
    <w:rsid w:val="00503BE0"/>
    <w:rsid w:val="00504464"/>
    <w:rsid w:val="0050540A"/>
    <w:rsid w:val="005067CE"/>
    <w:rsid w:val="005073D8"/>
    <w:rsid w:val="005113D3"/>
    <w:rsid w:val="00513EFD"/>
    <w:rsid w:val="005142EA"/>
    <w:rsid w:val="005148F8"/>
    <w:rsid w:val="00516623"/>
    <w:rsid w:val="005166E7"/>
    <w:rsid w:val="0051692E"/>
    <w:rsid w:val="0052003B"/>
    <w:rsid w:val="005206DD"/>
    <w:rsid w:val="00521409"/>
    <w:rsid w:val="00521715"/>
    <w:rsid w:val="0052224F"/>
    <w:rsid w:val="005227EB"/>
    <w:rsid w:val="00522A2E"/>
    <w:rsid w:val="00523286"/>
    <w:rsid w:val="00526241"/>
    <w:rsid w:val="00530721"/>
    <w:rsid w:val="00530962"/>
    <w:rsid w:val="00530BDE"/>
    <w:rsid w:val="00532438"/>
    <w:rsid w:val="00532D4E"/>
    <w:rsid w:val="005330E3"/>
    <w:rsid w:val="005347E3"/>
    <w:rsid w:val="0053568A"/>
    <w:rsid w:val="005363A0"/>
    <w:rsid w:val="00541C8D"/>
    <w:rsid w:val="005427EA"/>
    <w:rsid w:val="00542A16"/>
    <w:rsid w:val="0054568C"/>
    <w:rsid w:val="00545C59"/>
    <w:rsid w:val="00547E92"/>
    <w:rsid w:val="00550EEA"/>
    <w:rsid w:val="005510F7"/>
    <w:rsid w:val="005511ED"/>
    <w:rsid w:val="005512DD"/>
    <w:rsid w:val="00551B7F"/>
    <w:rsid w:val="0055529D"/>
    <w:rsid w:val="005565ED"/>
    <w:rsid w:val="005569EC"/>
    <w:rsid w:val="00557B6D"/>
    <w:rsid w:val="0056006F"/>
    <w:rsid w:val="005607CB"/>
    <w:rsid w:val="00560EF2"/>
    <w:rsid w:val="005611F4"/>
    <w:rsid w:val="005618D1"/>
    <w:rsid w:val="005623FC"/>
    <w:rsid w:val="0056250C"/>
    <w:rsid w:val="005626AE"/>
    <w:rsid w:val="005629AB"/>
    <w:rsid w:val="00563532"/>
    <w:rsid w:val="00564386"/>
    <w:rsid w:val="00564E65"/>
    <w:rsid w:val="005653BF"/>
    <w:rsid w:val="0056610F"/>
    <w:rsid w:val="005662D4"/>
    <w:rsid w:val="00567156"/>
    <w:rsid w:val="005674C4"/>
    <w:rsid w:val="005704CB"/>
    <w:rsid w:val="00572803"/>
    <w:rsid w:val="00572A27"/>
    <w:rsid w:val="005733B7"/>
    <w:rsid w:val="0057497A"/>
    <w:rsid w:val="0057532F"/>
    <w:rsid w:val="0057582C"/>
    <w:rsid w:val="00575A23"/>
    <w:rsid w:val="00575BCA"/>
    <w:rsid w:val="00575BD3"/>
    <w:rsid w:val="005761AF"/>
    <w:rsid w:val="005766BD"/>
    <w:rsid w:val="00576E42"/>
    <w:rsid w:val="005771AE"/>
    <w:rsid w:val="00577396"/>
    <w:rsid w:val="005777E4"/>
    <w:rsid w:val="00581452"/>
    <w:rsid w:val="00581B4F"/>
    <w:rsid w:val="00581BB8"/>
    <w:rsid w:val="00582C8E"/>
    <w:rsid w:val="00582CEA"/>
    <w:rsid w:val="0058308E"/>
    <w:rsid w:val="00584F61"/>
    <w:rsid w:val="00586117"/>
    <w:rsid w:val="00590D35"/>
    <w:rsid w:val="00591AEE"/>
    <w:rsid w:val="00592926"/>
    <w:rsid w:val="005950E6"/>
    <w:rsid w:val="00596690"/>
    <w:rsid w:val="00596B65"/>
    <w:rsid w:val="005A08CD"/>
    <w:rsid w:val="005A1380"/>
    <w:rsid w:val="005A1389"/>
    <w:rsid w:val="005A3170"/>
    <w:rsid w:val="005A33A3"/>
    <w:rsid w:val="005A3C40"/>
    <w:rsid w:val="005A4A3D"/>
    <w:rsid w:val="005A4AC7"/>
    <w:rsid w:val="005A4B59"/>
    <w:rsid w:val="005A761C"/>
    <w:rsid w:val="005A7FCA"/>
    <w:rsid w:val="005B0344"/>
    <w:rsid w:val="005B06F4"/>
    <w:rsid w:val="005B08AD"/>
    <w:rsid w:val="005B203C"/>
    <w:rsid w:val="005B3047"/>
    <w:rsid w:val="005B41D2"/>
    <w:rsid w:val="005B474A"/>
    <w:rsid w:val="005B520E"/>
    <w:rsid w:val="005B585E"/>
    <w:rsid w:val="005B674D"/>
    <w:rsid w:val="005B7944"/>
    <w:rsid w:val="005B7D70"/>
    <w:rsid w:val="005C1A69"/>
    <w:rsid w:val="005C302B"/>
    <w:rsid w:val="005C3226"/>
    <w:rsid w:val="005C3E54"/>
    <w:rsid w:val="005C5A3E"/>
    <w:rsid w:val="005C6643"/>
    <w:rsid w:val="005C6FA3"/>
    <w:rsid w:val="005C7D00"/>
    <w:rsid w:val="005D0467"/>
    <w:rsid w:val="005D116C"/>
    <w:rsid w:val="005D2572"/>
    <w:rsid w:val="005D2F59"/>
    <w:rsid w:val="005D3171"/>
    <w:rsid w:val="005D33B2"/>
    <w:rsid w:val="005D356A"/>
    <w:rsid w:val="005D6209"/>
    <w:rsid w:val="005D626A"/>
    <w:rsid w:val="005D69E8"/>
    <w:rsid w:val="005D70B7"/>
    <w:rsid w:val="005E037B"/>
    <w:rsid w:val="005E0569"/>
    <w:rsid w:val="005E15E6"/>
    <w:rsid w:val="005E191B"/>
    <w:rsid w:val="005E217C"/>
    <w:rsid w:val="005E22DA"/>
    <w:rsid w:val="005E2800"/>
    <w:rsid w:val="005E379C"/>
    <w:rsid w:val="005E39DF"/>
    <w:rsid w:val="005E47D5"/>
    <w:rsid w:val="005E5120"/>
    <w:rsid w:val="005E518C"/>
    <w:rsid w:val="005E6579"/>
    <w:rsid w:val="005E68D5"/>
    <w:rsid w:val="005F090A"/>
    <w:rsid w:val="005F1711"/>
    <w:rsid w:val="005F1BA2"/>
    <w:rsid w:val="005F21BF"/>
    <w:rsid w:val="005F2413"/>
    <w:rsid w:val="005F24FC"/>
    <w:rsid w:val="005F27D6"/>
    <w:rsid w:val="005F31CC"/>
    <w:rsid w:val="005F41D8"/>
    <w:rsid w:val="005F4778"/>
    <w:rsid w:val="005F52D5"/>
    <w:rsid w:val="005F7193"/>
    <w:rsid w:val="005F72B7"/>
    <w:rsid w:val="005F7300"/>
    <w:rsid w:val="00603631"/>
    <w:rsid w:val="0060384F"/>
    <w:rsid w:val="00603AC2"/>
    <w:rsid w:val="00604291"/>
    <w:rsid w:val="00605254"/>
    <w:rsid w:val="00605632"/>
    <w:rsid w:val="006056DE"/>
    <w:rsid w:val="00605825"/>
    <w:rsid w:val="00606882"/>
    <w:rsid w:val="006073A2"/>
    <w:rsid w:val="00607F64"/>
    <w:rsid w:val="00610CC6"/>
    <w:rsid w:val="00610D41"/>
    <w:rsid w:val="00612294"/>
    <w:rsid w:val="006126AE"/>
    <w:rsid w:val="00612C7F"/>
    <w:rsid w:val="006137EF"/>
    <w:rsid w:val="00613B3C"/>
    <w:rsid w:val="00614701"/>
    <w:rsid w:val="00614769"/>
    <w:rsid w:val="0061511C"/>
    <w:rsid w:val="00616BD7"/>
    <w:rsid w:val="00617BA8"/>
    <w:rsid w:val="00620136"/>
    <w:rsid w:val="00620714"/>
    <w:rsid w:val="006208A3"/>
    <w:rsid w:val="006215D2"/>
    <w:rsid w:val="0062243C"/>
    <w:rsid w:val="00623EFB"/>
    <w:rsid w:val="006244CC"/>
    <w:rsid w:val="0062583E"/>
    <w:rsid w:val="00626516"/>
    <w:rsid w:val="00627321"/>
    <w:rsid w:val="006279C8"/>
    <w:rsid w:val="00631D4A"/>
    <w:rsid w:val="00631F43"/>
    <w:rsid w:val="006326BC"/>
    <w:rsid w:val="00632D39"/>
    <w:rsid w:val="006332AA"/>
    <w:rsid w:val="00633616"/>
    <w:rsid w:val="006346C8"/>
    <w:rsid w:val="00634BF3"/>
    <w:rsid w:val="00634F14"/>
    <w:rsid w:val="006350E5"/>
    <w:rsid w:val="00635132"/>
    <w:rsid w:val="00635474"/>
    <w:rsid w:val="00635546"/>
    <w:rsid w:val="00635616"/>
    <w:rsid w:val="00635C9D"/>
    <w:rsid w:val="00641730"/>
    <w:rsid w:val="00641F1F"/>
    <w:rsid w:val="0064207B"/>
    <w:rsid w:val="00642417"/>
    <w:rsid w:val="00642D21"/>
    <w:rsid w:val="006444C8"/>
    <w:rsid w:val="00644BF9"/>
    <w:rsid w:val="00645939"/>
    <w:rsid w:val="00645D22"/>
    <w:rsid w:val="006460F3"/>
    <w:rsid w:val="0064672B"/>
    <w:rsid w:val="00646AE2"/>
    <w:rsid w:val="00647858"/>
    <w:rsid w:val="006503E6"/>
    <w:rsid w:val="0065090C"/>
    <w:rsid w:val="00651095"/>
    <w:rsid w:val="00651A08"/>
    <w:rsid w:val="00651C57"/>
    <w:rsid w:val="006520B9"/>
    <w:rsid w:val="00652274"/>
    <w:rsid w:val="00652C36"/>
    <w:rsid w:val="0065304D"/>
    <w:rsid w:val="00653469"/>
    <w:rsid w:val="00653582"/>
    <w:rsid w:val="00653709"/>
    <w:rsid w:val="00654022"/>
    <w:rsid w:val="00654204"/>
    <w:rsid w:val="0065644E"/>
    <w:rsid w:val="006573BA"/>
    <w:rsid w:val="00657DE5"/>
    <w:rsid w:val="00660021"/>
    <w:rsid w:val="006604ED"/>
    <w:rsid w:val="006606DC"/>
    <w:rsid w:val="0066081E"/>
    <w:rsid w:val="0066245D"/>
    <w:rsid w:val="00663DF1"/>
    <w:rsid w:val="0066431E"/>
    <w:rsid w:val="0066447D"/>
    <w:rsid w:val="00664535"/>
    <w:rsid w:val="006653CE"/>
    <w:rsid w:val="00670188"/>
    <w:rsid w:val="006703C3"/>
    <w:rsid w:val="00670434"/>
    <w:rsid w:val="00670833"/>
    <w:rsid w:val="0067086A"/>
    <w:rsid w:val="00670E07"/>
    <w:rsid w:val="006713D8"/>
    <w:rsid w:val="00672990"/>
    <w:rsid w:val="00673A1E"/>
    <w:rsid w:val="00674126"/>
    <w:rsid w:val="00674823"/>
    <w:rsid w:val="00675933"/>
    <w:rsid w:val="0067661B"/>
    <w:rsid w:val="00676F98"/>
    <w:rsid w:val="00676FCD"/>
    <w:rsid w:val="00677177"/>
    <w:rsid w:val="0067775D"/>
    <w:rsid w:val="006801CB"/>
    <w:rsid w:val="00680301"/>
    <w:rsid w:val="00680B9B"/>
    <w:rsid w:val="006814D3"/>
    <w:rsid w:val="00681F5E"/>
    <w:rsid w:val="006827D5"/>
    <w:rsid w:val="00683986"/>
    <w:rsid w:val="00684961"/>
    <w:rsid w:val="00684ADD"/>
    <w:rsid w:val="00684FD1"/>
    <w:rsid w:val="0068576B"/>
    <w:rsid w:val="00686B62"/>
    <w:rsid w:val="00686D33"/>
    <w:rsid w:val="006915B5"/>
    <w:rsid w:val="00691741"/>
    <w:rsid w:val="006918B2"/>
    <w:rsid w:val="00691971"/>
    <w:rsid w:val="00691CA2"/>
    <w:rsid w:val="00691D2F"/>
    <w:rsid w:val="006925F5"/>
    <w:rsid w:val="00692CDB"/>
    <w:rsid w:val="006932B9"/>
    <w:rsid w:val="00693771"/>
    <w:rsid w:val="00694FC3"/>
    <w:rsid w:val="00697A88"/>
    <w:rsid w:val="00697AE5"/>
    <w:rsid w:val="006A0C3D"/>
    <w:rsid w:val="006A430B"/>
    <w:rsid w:val="006A450E"/>
    <w:rsid w:val="006A5146"/>
    <w:rsid w:val="006A54E4"/>
    <w:rsid w:val="006A5B4A"/>
    <w:rsid w:val="006A6118"/>
    <w:rsid w:val="006A660B"/>
    <w:rsid w:val="006A7B49"/>
    <w:rsid w:val="006B2639"/>
    <w:rsid w:val="006B2BC4"/>
    <w:rsid w:val="006B3102"/>
    <w:rsid w:val="006B3B53"/>
    <w:rsid w:val="006B3CF4"/>
    <w:rsid w:val="006B415C"/>
    <w:rsid w:val="006B4A60"/>
    <w:rsid w:val="006B555A"/>
    <w:rsid w:val="006B6B66"/>
    <w:rsid w:val="006B7173"/>
    <w:rsid w:val="006C0046"/>
    <w:rsid w:val="006C0C3E"/>
    <w:rsid w:val="006C0EA2"/>
    <w:rsid w:val="006C1DC7"/>
    <w:rsid w:val="006C2DAD"/>
    <w:rsid w:val="006C2F84"/>
    <w:rsid w:val="006C33C4"/>
    <w:rsid w:val="006C3720"/>
    <w:rsid w:val="006C412B"/>
    <w:rsid w:val="006C436C"/>
    <w:rsid w:val="006C4603"/>
    <w:rsid w:val="006C65D7"/>
    <w:rsid w:val="006C7B44"/>
    <w:rsid w:val="006D01D3"/>
    <w:rsid w:val="006D08CC"/>
    <w:rsid w:val="006D17AF"/>
    <w:rsid w:val="006D215D"/>
    <w:rsid w:val="006D26C4"/>
    <w:rsid w:val="006D2E23"/>
    <w:rsid w:val="006D315E"/>
    <w:rsid w:val="006D365B"/>
    <w:rsid w:val="006D4F24"/>
    <w:rsid w:val="006D5358"/>
    <w:rsid w:val="006D54F6"/>
    <w:rsid w:val="006D60E4"/>
    <w:rsid w:val="006D70D5"/>
    <w:rsid w:val="006D7239"/>
    <w:rsid w:val="006E0622"/>
    <w:rsid w:val="006E069B"/>
    <w:rsid w:val="006E0F74"/>
    <w:rsid w:val="006E1C73"/>
    <w:rsid w:val="006E2A32"/>
    <w:rsid w:val="006E57F0"/>
    <w:rsid w:val="006E57F6"/>
    <w:rsid w:val="006E5882"/>
    <w:rsid w:val="006E6CBC"/>
    <w:rsid w:val="006E7071"/>
    <w:rsid w:val="006E7379"/>
    <w:rsid w:val="006F012F"/>
    <w:rsid w:val="006F158B"/>
    <w:rsid w:val="006F2200"/>
    <w:rsid w:val="006F2438"/>
    <w:rsid w:val="006F34F1"/>
    <w:rsid w:val="006F41E7"/>
    <w:rsid w:val="006F4288"/>
    <w:rsid w:val="006F5854"/>
    <w:rsid w:val="006F60F0"/>
    <w:rsid w:val="006F6364"/>
    <w:rsid w:val="006F69B4"/>
    <w:rsid w:val="006F6D3D"/>
    <w:rsid w:val="006F7DEF"/>
    <w:rsid w:val="007012A0"/>
    <w:rsid w:val="007025DF"/>
    <w:rsid w:val="00704673"/>
    <w:rsid w:val="007046AB"/>
    <w:rsid w:val="00705846"/>
    <w:rsid w:val="0070686E"/>
    <w:rsid w:val="007071B0"/>
    <w:rsid w:val="00707E97"/>
    <w:rsid w:val="0071020A"/>
    <w:rsid w:val="00710AE9"/>
    <w:rsid w:val="007113D6"/>
    <w:rsid w:val="007115B2"/>
    <w:rsid w:val="00711BA6"/>
    <w:rsid w:val="00712B8F"/>
    <w:rsid w:val="00712DEF"/>
    <w:rsid w:val="0071385D"/>
    <w:rsid w:val="00713A2E"/>
    <w:rsid w:val="007142F8"/>
    <w:rsid w:val="0071430D"/>
    <w:rsid w:val="007152CC"/>
    <w:rsid w:val="00715BEA"/>
    <w:rsid w:val="0071768D"/>
    <w:rsid w:val="00717FCA"/>
    <w:rsid w:val="007200AE"/>
    <w:rsid w:val="00720505"/>
    <w:rsid w:val="00721300"/>
    <w:rsid w:val="00721A49"/>
    <w:rsid w:val="00722D7C"/>
    <w:rsid w:val="007231AD"/>
    <w:rsid w:val="00724F7A"/>
    <w:rsid w:val="0072524A"/>
    <w:rsid w:val="00725351"/>
    <w:rsid w:val="00725A65"/>
    <w:rsid w:val="00725AD8"/>
    <w:rsid w:val="00725F82"/>
    <w:rsid w:val="00726254"/>
    <w:rsid w:val="00731727"/>
    <w:rsid w:val="0073174D"/>
    <w:rsid w:val="00731B57"/>
    <w:rsid w:val="0073205A"/>
    <w:rsid w:val="00732FDA"/>
    <w:rsid w:val="00733258"/>
    <w:rsid w:val="0073332E"/>
    <w:rsid w:val="00733C30"/>
    <w:rsid w:val="00734113"/>
    <w:rsid w:val="00734B12"/>
    <w:rsid w:val="007352CF"/>
    <w:rsid w:val="007355CE"/>
    <w:rsid w:val="0073564E"/>
    <w:rsid w:val="00737283"/>
    <w:rsid w:val="007377BC"/>
    <w:rsid w:val="00740828"/>
    <w:rsid w:val="00740C17"/>
    <w:rsid w:val="00740EEA"/>
    <w:rsid w:val="007417E8"/>
    <w:rsid w:val="0074194B"/>
    <w:rsid w:val="007438D8"/>
    <w:rsid w:val="007448DC"/>
    <w:rsid w:val="0074543E"/>
    <w:rsid w:val="0074553E"/>
    <w:rsid w:val="00746407"/>
    <w:rsid w:val="00746773"/>
    <w:rsid w:val="0074697D"/>
    <w:rsid w:val="007476D0"/>
    <w:rsid w:val="00747C35"/>
    <w:rsid w:val="00750618"/>
    <w:rsid w:val="00750E44"/>
    <w:rsid w:val="00750F45"/>
    <w:rsid w:val="007512CD"/>
    <w:rsid w:val="007522E1"/>
    <w:rsid w:val="00752C78"/>
    <w:rsid w:val="00752CC8"/>
    <w:rsid w:val="00753470"/>
    <w:rsid w:val="00753CB2"/>
    <w:rsid w:val="00753D44"/>
    <w:rsid w:val="00753FA5"/>
    <w:rsid w:val="00755960"/>
    <w:rsid w:val="00756313"/>
    <w:rsid w:val="00756F28"/>
    <w:rsid w:val="007572C9"/>
    <w:rsid w:val="0076064C"/>
    <w:rsid w:val="00760E85"/>
    <w:rsid w:val="00764CC7"/>
    <w:rsid w:val="00764DF2"/>
    <w:rsid w:val="007657D2"/>
    <w:rsid w:val="00765962"/>
    <w:rsid w:val="0076606B"/>
    <w:rsid w:val="00766F85"/>
    <w:rsid w:val="00774294"/>
    <w:rsid w:val="007745F3"/>
    <w:rsid w:val="00774608"/>
    <w:rsid w:val="007757B4"/>
    <w:rsid w:val="007772BC"/>
    <w:rsid w:val="007772C5"/>
    <w:rsid w:val="0077770B"/>
    <w:rsid w:val="007778EB"/>
    <w:rsid w:val="007801E2"/>
    <w:rsid w:val="00780382"/>
    <w:rsid w:val="00780B35"/>
    <w:rsid w:val="0078148C"/>
    <w:rsid w:val="007838A6"/>
    <w:rsid w:val="00784B85"/>
    <w:rsid w:val="00785394"/>
    <w:rsid w:val="00786332"/>
    <w:rsid w:val="0079165B"/>
    <w:rsid w:val="0079224B"/>
    <w:rsid w:val="00792B81"/>
    <w:rsid w:val="007937D2"/>
    <w:rsid w:val="00794804"/>
    <w:rsid w:val="00794F0C"/>
    <w:rsid w:val="00795EB9"/>
    <w:rsid w:val="0079644D"/>
    <w:rsid w:val="007967D1"/>
    <w:rsid w:val="00796BD1"/>
    <w:rsid w:val="00796C36"/>
    <w:rsid w:val="007973F8"/>
    <w:rsid w:val="007978C6"/>
    <w:rsid w:val="007A0C1F"/>
    <w:rsid w:val="007A1690"/>
    <w:rsid w:val="007A3D85"/>
    <w:rsid w:val="007A4309"/>
    <w:rsid w:val="007A503B"/>
    <w:rsid w:val="007A5379"/>
    <w:rsid w:val="007A6F14"/>
    <w:rsid w:val="007A7712"/>
    <w:rsid w:val="007A7F3F"/>
    <w:rsid w:val="007A7FEB"/>
    <w:rsid w:val="007B0ED8"/>
    <w:rsid w:val="007B0F62"/>
    <w:rsid w:val="007B115C"/>
    <w:rsid w:val="007B184E"/>
    <w:rsid w:val="007B18C3"/>
    <w:rsid w:val="007B1BD6"/>
    <w:rsid w:val="007B3331"/>
    <w:rsid w:val="007B33F1"/>
    <w:rsid w:val="007B4CAA"/>
    <w:rsid w:val="007B633B"/>
    <w:rsid w:val="007B68FA"/>
    <w:rsid w:val="007B6DDA"/>
    <w:rsid w:val="007B6F90"/>
    <w:rsid w:val="007C0308"/>
    <w:rsid w:val="007C08D6"/>
    <w:rsid w:val="007C2D7E"/>
    <w:rsid w:val="007C2FF2"/>
    <w:rsid w:val="007C3101"/>
    <w:rsid w:val="007C35C3"/>
    <w:rsid w:val="007C3742"/>
    <w:rsid w:val="007C3ABC"/>
    <w:rsid w:val="007C3AD0"/>
    <w:rsid w:val="007C55D8"/>
    <w:rsid w:val="007C63C5"/>
    <w:rsid w:val="007C6A55"/>
    <w:rsid w:val="007C6F08"/>
    <w:rsid w:val="007C7B45"/>
    <w:rsid w:val="007C7F2A"/>
    <w:rsid w:val="007D0EB8"/>
    <w:rsid w:val="007D19F0"/>
    <w:rsid w:val="007D1B30"/>
    <w:rsid w:val="007D1C14"/>
    <w:rsid w:val="007D2045"/>
    <w:rsid w:val="007D210F"/>
    <w:rsid w:val="007D22C8"/>
    <w:rsid w:val="007D3403"/>
    <w:rsid w:val="007D3419"/>
    <w:rsid w:val="007D3AC5"/>
    <w:rsid w:val="007D4B28"/>
    <w:rsid w:val="007D4E84"/>
    <w:rsid w:val="007D52F5"/>
    <w:rsid w:val="007D5C72"/>
    <w:rsid w:val="007D6232"/>
    <w:rsid w:val="007D663F"/>
    <w:rsid w:val="007D66BC"/>
    <w:rsid w:val="007D7977"/>
    <w:rsid w:val="007E09E0"/>
    <w:rsid w:val="007E0A31"/>
    <w:rsid w:val="007E15E6"/>
    <w:rsid w:val="007E1AFF"/>
    <w:rsid w:val="007E1B76"/>
    <w:rsid w:val="007E1CBA"/>
    <w:rsid w:val="007E20ED"/>
    <w:rsid w:val="007E2916"/>
    <w:rsid w:val="007E2BC9"/>
    <w:rsid w:val="007E2D38"/>
    <w:rsid w:val="007E32BA"/>
    <w:rsid w:val="007E3606"/>
    <w:rsid w:val="007E3D81"/>
    <w:rsid w:val="007E417B"/>
    <w:rsid w:val="007E58AB"/>
    <w:rsid w:val="007E6358"/>
    <w:rsid w:val="007E6826"/>
    <w:rsid w:val="007F08D7"/>
    <w:rsid w:val="007F0DAE"/>
    <w:rsid w:val="007F0F1C"/>
    <w:rsid w:val="007F11B7"/>
    <w:rsid w:val="007F1224"/>
    <w:rsid w:val="007F13F5"/>
    <w:rsid w:val="007F1546"/>
    <w:rsid w:val="007F1F99"/>
    <w:rsid w:val="007F2185"/>
    <w:rsid w:val="007F2B1D"/>
    <w:rsid w:val="007F364B"/>
    <w:rsid w:val="007F6437"/>
    <w:rsid w:val="007F768F"/>
    <w:rsid w:val="007F7890"/>
    <w:rsid w:val="007F7E54"/>
    <w:rsid w:val="008000CF"/>
    <w:rsid w:val="00801A07"/>
    <w:rsid w:val="00801BAB"/>
    <w:rsid w:val="008024C0"/>
    <w:rsid w:val="0080343D"/>
    <w:rsid w:val="0080395F"/>
    <w:rsid w:val="00803DB6"/>
    <w:rsid w:val="008052BD"/>
    <w:rsid w:val="00805D6C"/>
    <w:rsid w:val="00806ABD"/>
    <w:rsid w:val="0080791D"/>
    <w:rsid w:val="00807B65"/>
    <w:rsid w:val="00807C16"/>
    <w:rsid w:val="0081010D"/>
    <w:rsid w:val="0081041E"/>
    <w:rsid w:val="008109E5"/>
    <w:rsid w:val="00810E26"/>
    <w:rsid w:val="00812F35"/>
    <w:rsid w:val="00813BDD"/>
    <w:rsid w:val="00814411"/>
    <w:rsid w:val="00815739"/>
    <w:rsid w:val="00816184"/>
    <w:rsid w:val="008162DD"/>
    <w:rsid w:val="00816DB8"/>
    <w:rsid w:val="008171E2"/>
    <w:rsid w:val="008205B5"/>
    <w:rsid w:val="00820646"/>
    <w:rsid w:val="00820692"/>
    <w:rsid w:val="00820E85"/>
    <w:rsid w:val="00821332"/>
    <w:rsid w:val="0082177F"/>
    <w:rsid w:val="008223DE"/>
    <w:rsid w:val="00823025"/>
    <w:rsid w:val="00823114"/>
    <w:rsid w:val="00823C4D"/>
    <w:rsid w:val="0082428E"/>
    <w:rsid w:val="0082537E"/>
    <w:rsid w:val="008253A4"/>
    <w:rsid w:val="0082579A"/>
    <w:rsid w:val="00825A3A"/>
    <w:rsid w:val="00825E7D"/>
    <w:rsid w:val="008271B3"/>
    <w:rsid w:val="00830917"/>
    <w:rsid w:val="00831262"/>
    <w:rsid w:val="00835037"/>
    <w:rsid w:val="00835EE3"/>
    <w:rsid w:val="00836367"/>
    <w:rsid w:val="0083673A"/>
    <w:rsid w:val="00836C97"/>
    <w:rsid w:val="00836F2C"/>
    <w:rsid w:val="00837F58"/>
    <w:rsid w:val="00840893"/>
    <w:rsid w:val="00840C46"/>
    <w:rsid w:val="00841712"/>
    <w:rsid w:val="00843553"/>
    <w:rsid w:val="008438BE"/>
    <w:rsid w:val="00843B16"/>
    <w:rsid w:val="00844E73"/>
    <w:rsid w:val="00844FE7"/>
    <w:rsid w:val="0084562C"/>
    <w:rsid w:val="00845DDC"/>
    <w:rsid w:val="00846446"/>
    <w:rsid w:val="00846D01"/>
    <w:rsid w:val="008473F9"/>
    <w:rsid w:val="00850579"/>
    <w:rsid w:val="008512CB"/>
    <w:rsid w:val="00853048"/>
    <w:rsid w:val="00853169"/>
    <w:rsid w:val="008534DD"/>
    <w:rsid w:val="00853AE1"/>
    <w:rsid w:val="00853CBC"/>
    <w:rsid w:val="00854588"/>
    <w:rsid w:val="0085646E"/>
    <w:rsid w:val="008573A2"/>
    <w:rsid w:val="008575ED"/>
    <w:rsid w:val="00857B6E"/>
    <w:rsid w:val="00857E72"/>
    <w:rsid w:val="00860679"/>
    <w:rsid w:val="008606A5"/>
    <w:rsid w:val="0086148E"/>
    <w:rsid w:val="008616A8"/>
    <w:rsid w:val="00861925"/>
    <w:rsid w:val="00861CC4"/>
    <w:rsid w:val="00862FCB"/>
    <w:rsid w:val="008635F6"/>
    <w:rsid w:val="00863BF6"/>
    <w:rsid w:val="008646B5"/>
    <w:rsid w:val="008646D5"/>
    <w:rsid w:val="00865659"/>
    <w:rsid w:val="00865B3D"/>
    <w:rsid w:val="00865E22"/>
    <w:rsid w:val="00865FA8"/>
    <w:rsid w:val="00866304"/>
    <w:rsid w:val="00867E0A"/>
    <w:rsid w:val="00867EC7"/>
    <w:rsid w:val="008700A4"/>
    <w:rsid w:val="00870A90"/>
    <w:rsid w:val="0087126D"/>
    <w:rsid w:val="00871A87"/>
    <w:rsid w:val="00872B35"/>
    <w:rsid w:val="00873228"/>
    <w:rsid w:val="008732A1"/>
    <w:rsid w:val="00873603"/>
    <w:rsid w:val="00873B7C"/>
    <w:rsid w:val="00874446"/>
    <w:rsid w:val="00874606"/>
    <w:rsid w:val="00874CC4"/>
    <w:rsid w:val="00874DE4"/>
    <w:rsid w:val="008753D8"/>
    <w:rsid w:val="00875CD1"/>
    <w:rsid w:val="008763FE"/>
    <w:rsid w:val="0087647B"/>
    <w:rsid w:val="00876F38"/>
    <w:rsid w:val="00877351"/>
    <w:rsid w:val="0088019E"/>
    <w:rsid w:val="008802EA"/>
    <w:rsid w:val="00881070"/>
    <w:rsid w:val="008817A3"/>
    <w:rsid w:val="00881CDB"/>
    <w:rsid w:val="008826A7"/>
    <w:rsid w:val="00882E3D"/>
    <w:rsid w:val="0088322E"/>
    <w:rsid w:val="00883EE8"/>
    <w:rsid w:val="00884D9A"/>
    <w:rsid w:val="008853B0"/>
    <w:rsid w:val="00885DDF"/>
    <w:rsid w:val="00885E20"/>
    <w:rsid w:val="0088661A"/>
    <w:rsid w:val="00886717"/>
    <w:rsid w:val="00887C9F"/>
    <w:rsid w:val="00887F2E"/>
    <w:rsid w:val="00890A9E"/>
    <w:rsid w:val="00890D91"/>
    <w:rsid w:val="00891053"/>
    <w:rsid w:val="0089192B"/>
    <w:rsid w:val="00891930"/>
    <w:rsid w:val="0089199F"/>
    <w:rsid w:val="00893D2B"/>
    <w:rsid w:val="00894554"/>
    <w:rsid w:val="00894B06"/>
    <w:rsid w:val="00895AB5"/>
    <w:rsid w:val="008962DD"/>
    <w:rsid w:val="00896504"/>
    <w:rsid w:val="0089680A"/>
    <w:rsid w:val="00896CA5"/>
    <w:rsid w:val="00897302"/>
    <w:rsid w:val="008A1017"/>
    <w:rsid w:val="008A21B0"/>
    <w:rsid w:val="008A226A"/>
    <w:rsid w:val="008A2AE9"/>
    <w:rsid w:val="008A2C7D"/>
    <w:rsid w:val="008A3A7A"/>
    <w:rsid w:val="008A3CEA"/>
    <w:rsid w:val="008A4656"/>
    <w:rsid w:val="008A5746"/>
    <w:rsid w:val="008A64C1"/>
    <w:rsid w:val="008A64ED"/>
    <w:rsid w:val="008A6C38"/>
    <w:rsid w:val="008A72B3"/>
    <w:rsid w:val="008A7445"/>
    <w:rsid w:val="008A7CF8"/>
    <w:rsid w:val="008B0367"/>
    <w:rsid w:val="008B129F"/>
    <w:rsid w:val="008B18F7"/>
    <w:rsid w:val="008B19C7"/>
    <w:rsid w:val="008B1A66"/>
    <w:rsid w:val="008B1AE3"/>
    <w:rsid w:val="008B2CDE"/>
    <w:rsid w:val="008B2FDA"/>
    <w:rsid w:val="008B3C04"/>
    <w:rsid w:val="008B4BB2"/>
    <w:rsid w:val="008B4BD4"/>
    <w:rsid w:val="008B59B7"/>
    <w:rsid w:val="008B6303"/>
    <w:rsid w:val="008B6524"/>
    <w:rsid w:val="008B6767"/>
    <w:rsid w:val="008B73D7"/>
    <w:rsid w:val="008B778E"/>
    <w:rsid w:val="008B7D64"/>
    <w:rsid w:val="008C0847"/>
    <w:rsid w:val="008C0A07"/>
    <w:rsid w:val="008C0D94"/>
    <w:rsid w:val="008C1581"/>
    <w:rsid w:val="008C23C1"/>
    <w:rsid w:val="008C2BBD"/>
    <w:rsid w:val="008C2CFA"/>
    <w:rsid w:val="008C2ED0"/>
    <w:rsid w:val="008C3489"/>
    <w:rsid w:val="008C3C24"/>
    <w:rsid w:val="008C3CDE"/>
    <w:rsid w:val="008C3DA8"/>
    <w:rsid w:val="008C3DAE"/>
    <w:rsid w:val="008C3F32"/>
    <w:rsid w:val="008C3F86"/>
    <w:rsid w:val="008C41D1"/>
    <w:rsid w:val="008C4B23"/>
    <w:rsid w:val="008C5D3F"/>
    <w:rsid w:val="008C5E55"/>
    <w:rsid w:val="008C6DFB"/>
    <w:rsid w:val="008C6EB2"/>
    <w:rsid w:val="008C6F1D"/>
    <w:rsid w:val="008C79F3"/>
    <w:rsid w:val="008C7A27"/>
    <w:rsid w:val="008D078A"/>
    <w:rsid w:val="008D1653"/>
    <w:rsid w:val="008D1D08"/>
    <w:rsid w:val="008D31CE"/>
    <w:rsid w:val="008D3DB2"/>
    <w:rsid w:val="008D3F72"/>
    <w:rsid w:val="008D6F98"/>
    <w:rsid w:val="008D7149"/>
    <w:rsid w:val="008E302A"/>
    <w:rsid w:val="008E30B9"/>
    <w:rsid w:val="008E3141"/>
    <w:rsid w:val="008E5885"/>
    <w:rsid w:val="008E58FA"/>
    <w:rsid w:val="008E5D18"/>
    <w:rsid w:val="008E6429"/>
    <w:rsid w:val="008E6CEA"/>
    <w:rsid w:val="008F010C"/>
    <w:rsid w:val="008F0459"/>
    <w:rsid w:val="008F2A27"/>
    <w:rsid w:val="008F2C7E"/>
    <w:rsid w:val="008F2D8F"/>
    <w:rsid w:val="008F2FAC"/>
    <w:rsid w:val="008F4217"/>
    <w:rsid w:val="008F5171"/>
    <w:rsid w:val="008F5BDF"/>
    <w:rsid w:val="008F6853"/>
    <w:rsid w:val="008F6CC5"/>
    <w:rsid w:val="008F6E2C"/>
    <w:rsid w:val="008F7043"/>
    <w:rsid w:val="008F7265"/>
    <w:rsid w:val="008F75E3"/>
    <w:rsid w:val="008F7CEC"/>
    <w:rsid w:val="009003E7"/>
    <w:rsid w:val="00900F8A"/>
    <w:rsid w:val="009022BF"/>
    <w:rsid w:val="00903043"/>
    <w:rsid w:val="009038A5"/>
    <w:rsid w:val="00904B3F"/>
    <w:rsid w:val="00904F37"/>
    <w:rsid w:val="009053B4"/>
    <w:rsid w:val="00905585"/>
    <w:rsid w:val="0090622F"/>
    <w:rsid w:val="00907460"/>
    <w:rsid w:val="0090771F"/>
    <w:rsid w:val="00907AB9"/>
    <w:rsid w:val="00910FF2"/>
    <w:rsid w:val="00911079"/>
    <w:rsid w:val="00912396"/>
    <w:rsid w:val="009140AA"/>
    <w:rsid w:val="0091460F"/>
    <w:rsid w:val="00915054"/>
    <w:rsid w:val="00915277"/>
    <w:rsid w:val="009153B2"/>
    <w:rsid w:val="00915CF5"/>
    <w:rsid w:val="009169E5"/>
    <w:rsid w:val="0092006F"/>
    <w:rsid w:val="009211CD"/>
    <w:rsid w:val="0092187E"/>
    <w:rsid w:val="0092248B"/>
    <w:rsid w:val="00922ACC"/>
    <w:rsid w:val="00922C43"/>
    <w:rsid w:val="0092489F"/>
    <w:rsid w:val="00924BF3"/>
    <w:rsid w:val="00925A32"/>
    <w:rsid w:val="00926A05"/>
    <w:rsid w:val="00926B7E"/>
    <w:rsid w:val="00926FF0"/>
    <w:rsid w:val="00927629"/>
    <w:rsid w:val="00927984"/>
    <w:rsid w:val="00927E39"/>
    <w:rsid w:val="009301B5"/>
    <w:rsid w:val="009303D9"/>
    <w:rsid w:val="0093073B"/>
    <w:rsid w:val="00931B6A"/>
    <w:rsid w:val="00931CE0"/>
    <w:rsid w:val="00933B4E"/>
    <w:rsid w:val="00933C64"/>
    <w:rsid w:val="00934A88"/>
    <w:rsid w:val="00934B87"/>
    <w:rsid w:val="00935307"/>
    <w:rsid w:val="009354A2"/>
    <w:rsid w:val="00935FC3"/>
    <w:rsid w:val="009365E7"/>
    <w:rsid w:val="00936891"/>
    <w:rsid w:val="00936CDA"/>
    <w:rsid w:val="00937100"/>
    <w:rsid w:val="00937AEA"/>
    <w:rsid w:val="00940A68"/>
    <w:rsid w:val="00940AFF"/>
    <w:rsid w:val="009414A6"/>
    <w:rsid w:val="00941821"/>
    <w:rsid w:val="00941947"/>
    <w:rsid w:val="00942DEA"/>
    <w:rsid w:val="009432B3"/>
    <w:rsid w:val="009439DD"/>
    <w:rsid w:val="00946706"/>
    <w:rsid w:val="00947D86"/>
    <w:rsid w:val="00950020"/>
    <w:rsid w:val="00950762"/>
    <w:rsid w:val="009518C8"/>
    <w:rsid w:val="00951B65"/>
    <w:rsid w:val="00951DD8"/>
    <w:rsid w:val="009524BC"/>
    <w:rsid w:val="00952C42"/>
    <w:rsid w:val="00952C76"/>
    <w:rsid w:val="0095461C"/>
    <w:rsid w:val="009549F8"/>
    <w:rsid w:val="00955D4A"/>
    <w:rsid w:val="009563FD"/>
    <w:rsid w:val="009566C7"/>
    <w:rsid w:val="00957C49"/>
    <w:rsid w:val="00960291"/>
    <w:rsid w:val="00961838"/>
    <w:rsid w:val="00962565"/>
    <w:rsid w:val="0096355A"/>
    <w:rsid w:val="00964011"/>
    <w:rsid w:val="00964458"/>
    <w:rsid w:val="00964637"/>
    <w:rsid w:val="009646E5"/>
    <w:rsid w:val="009647C3"/>
    <w:rsid w:val="0096482A"/>
    <w:rsid w:val="0096507A"/>
    <w:rsid w:val="00965911"/>
    <w:rsid w:val="009664DD"/>
    <w:rsid w:val="009667C1"/>
    <w:rsid w:val="009667EF"/>
    <w:rsid w:val="0096716F"/>
    <w:rsid w:val="00970937"/>
    <w:rsid w:val="00970B97"/>
    <w:rsid w:val="00970D63"/>
    <w:rsid w:val="00971F31"/>
    <w:rsid w:val="00972123"/>
    <w:rsid w:val="00972203"/>
    <w:rsid w:val="00972936"/>
    <w:rsid w:val="00972E87"/>
    <w:rsid w:val="00972E9B"/>
    <w:rsid w:val="00973D2C"/>
    <w:rsid w:val="00975962"/>
    <w:rsid w:val="00975D72"/>
    <w:rsid w:val="009761D8"/>
    <w:rsid w:val="0097639A"/>
    <w:rsid w:val="0097698C"/>
    <w:rsid w:val="00977EC8"/>
    <w:rsid w:val="0098058B"/>
    <w:rsid w:val="00981775"/>
    <w:rsid w:val="00982F11"/>
    <w:rsid w:val="00983765"/>
    <w:rsid w:val="009837C9"/>
    <w:rsid w:val="0098473E"/>
    <w:rsid w:val="009847AA"/>
    <w:rsid w:val="00984F79"/>
    <w:rsid w:val="0098544F"/>
    <w:rsid w:val="009871DA"/>
    <w:rsid w:val="00987A4D"/>
    <w:rsid w:val="009908C6"/>
    <w:rsid w:val="00991935"/>
    <w:rsid w:val="00991C33"/>
    <w:rsid w:val="0099273C"/>
    <w:rsid w:val="0099342E"/>
    <w:rsid w:val="00993E33"/>
    <w:rsid w:val="00994363"/>
    <w:rsid w:val="00994367"/>
    <w:rsid w:val="00995387"/>
    <w:rsid w:val="00996583"/>
    <w:rsid w:val="00997AD2"/>
    <w:rsid w:val="00997E65"/>
    <w:rsid w:val="009A052E"/>
    <w:rsid w:val="009A0735"/>
    <w:rsid w:val="009A0E91"/>
    <w:rsid w:val="009A1115"/>
    <w:rsid w:val="009A1673"/>
    <w:rsid w:val="009A20AE"/>
    <w:rsid w:val="009A21F1"/>
    <w:rsid w:val="009A2381"/>
    <w:rsid w:val="009A2D8A"/>
    <w:rsid w:val="009A2F2D"/>
    <w:rsid w:val="009A55B7"/>
    <w:rsid w:val="009A7028"/>
    <w:rsid w:val="009A743B"/>
    <w:rsid w:val="009A7774"/>
    <w:rsid w:val="009B074C"/>
    <w:rsid w:val="009B0A62"/>
    <w:rsid w:val="009B2301"/>
    <w:rsid w:val="009B25D6"/>
    <w:rsid w:val="009B30CD"/>
    <w:rsid w:val="009B30D5"/>
    <w:rsid w:val="009B4180"/>
    <w:rsid w:val="009B4D53"/>
    <w:rsid w:val="009B5045"/>
    <w:rsid w:val="009B581C"/>
    <w:rsid w:val="009B5B18"/>
    <w:rsid w:val="009B5D4E"/>
    <w:rsid w:val="009B6248"/>
    <w:rsid w:val="009B682B"/>
    <w:rsid w:val="009B6AAD"/>
    <w:rsid w:val="009B7C9E"/>
    <w:rsid w:val="009C0723"/>
    <w:rsid w:val="009C2137"/>
    <w:rsid w:val="009C23E2"/>
    <w:rsid w:val="009C259A"/>
    <w:rsid w:val="009C2678"/>
    <w:rsid w:val="009C27D6"/>
    <w:rsid w:val="009C2D70"/>
    <w:rsid w:val="009C3037"/>
    <w:rsid w:val="009C38FA"/>
    <w:rsid w:val="009C39F8"/>
    <w:rsid w:val="009C5878"/>
    <w:rsid w:val="009C5D0A"/>
    <w:rsid w:val="009C671E"/>
    <w:rsid w:val="009C6EDB"/>
    <w:rsid w:val="009C6F3A"/>
    <w:rsid w:val="009D1962"/>
    <w:rsid w:val="009D276F"/>
    <w:rsid w:val="009D2C52"/>
    <w:rsid w:val="009D2C63"/>
    <w:rsid w:val="009D2EF2"/>
    <w:rsid w:val="009D30E2"/>
    <w:rsid w:val="009D33CE"/>
    <w:rsid w:val="009D3D1F"/>
    <w:rsid w:val="009D3E95"/>
    <w:rsid w:val="009D4108"/>
    <w:rsid w:val="009D431F"/>
    <w:rsid w:val="009D498A"/>
    <w:rsid w:val="009D5794"/>
    <w:rsid w:val="009D592F"/>
    <w:rsid w:val="009D5C64"/>
    <w:rsid w:val="009D694E"/>
    <w:rsid w:val="009D7D90"/>
    <w:rsid w:val="009E0732"/>
    <w:rsid w:val="009E4357"/>
    <w:rsid w:val="009E4528"/>
    <w:rsid w:val="009E4EB7"/>
    <w:rsid w:val="009E6326"/>
    <w:rsid w:val="009E6852"/>
    <w:rsid w:val="009E6B47"/>
    <w:rsid w:val="009E7808"/>
    <w:rsid w:val="009E782A"/>
    <w:rsid w:val="009E78C0"/>
    <w:rsid w:val="009E7A31"/>
    <w:rsid w:val="009F0F9C"/>
    <w:rsid w:val="009F190A"/>
    <w:rsid w:val="009F1A3F"/>
    <w:rsid w:val="009F1AE2"/>
    <w:rsid w:val="009F1D79"/>
    <w:rsid w:val="009F1F68"/>
    <w:rsid w:val="009F34C6"/>
    <w:rsid w:val="009F36DB"/>
    <w:rsid w:val="009F3BD8"/>
    <w:rsid w:val="009F40AB"/>
    <w:rsid w:val="009F4550"/>
    <w:rsid w:val="009F46F6"/>
    <w:rsid w:val="009F53F4"/>
    <w:rsid w:val="009F597D"/>
    <w:rsid w:val="009F5B27"/>
    <w:rsid w:val="009F7372"/>
    <w:rsid w:val="00A0063E"/>
    <w:rsid w:val="00A0111C"/>
    <w:rsid w:val="00A01CF4"/>
    <w:rsid w:val="00A02414"/>
    <w:rsid w:val="00A02456"/>
    <w:rsid w:val="00A028CD"/>
    <w:rsid w:val="00A02E24"/>
    <w:rsid w:val="00A0454B"/>
    <w:rsid w:val="00A059B3"/>
    <w:rsid w:val="00A05D67"/>
    <w:rsid w:val="00A06A14"/>
    <w:rsid w:val="00A06A2B"/>
    <w:rsid w:val="00A06D91"/>
    <w:rsid w:val="00A073D9"/>
    <w:rsid w:val="00A077D4"/>
    <w:rsid w:val="00A0792D"/>
    <w:rsid w:val="00A07A98"/>
    <w:rsid w:val="00A105A3"/>
    <w:rsid w:val="00A1079B"/>
    <w:rsid w:val="00A10C38"/>
    <w:rsid w:val="00A10FF4"/>
    <w:rsid w:val="00A113CF"/>
    <w:rsid w:val="00A125D8"/>
    <w:rsid w:val="00A12B4D"/>
    <w:rsid w:val="00A13CA6"/>
    <w:rsid w:val="00A1572F"/>
    <w:rsid w:val="00A1662D"/>
    <w:rsid w:val="00A168CF"/>
    <w:rsid w:val="00A1695C"/>
    <w:rsid w:val="00A16BC6"/>
    <w:rsid w:val="00A16DE7"/>
    <w:rsid w:val="00A17B1D"/>
    <w:rsid w:val="00A17E95"/>
    <w:rsid w:val="00A2006C"/>
    <w:rsid w:val="00A20C7F"/>
    <w:rsid w:val="00A20EC2"/>
    <w:rsid w:val="00A21F6D"/>
    <w:rsid w:val="00A22F01"/>
    <w:rsid w:val="00A231F1"/>
    <w:rsid w:val="00A23756"/>
    <w:rsid w:val="00A237F2"/>
    <w:rsid w:val="00A2477F"/>
    <w:rsid w:val="00A24EE1"/>
    <w:rsid w:val="00A25B88"/>
    <w:rsid w:val="00A2604C"/>
    <w:rsid w:val="00A2621F"/>
    <w:rsid w:val="00A27820"/>
    <w:rsid w:val="00A27CF2"/>
    <w:rsid w:val="00A30E63"/>
    <w:rsid w:val="00A3159F"/>
    <w:rsid w:val="00A3445F"/>
    <w:rsid w:val="00A349CA"/>
    <w:rsid w:val="00A355A5"/>
    <w:rsid w:val="00A36021"/>
    <w:rsid w:val="00A36C52"/>
    <w:rsid w:val="00A371AA"/>
    <w:rsid w:val="00A37396"/>
    <w:rsid w:val="00A3765E"/>
    <w:rsid w:val="00A37D57"/>
    <w:rsid w:val="00A403F0"/>
    <w:rsid w:val="00A405FB"/>
    <w:rsid w:val="00A411BC"/>
    <w:rsid w:val="00A44021"/>
    <w:rsid w:val="00A442B5"/>
    <w:rsid w:val="00A44701"/>
    <w:rsid w:val="00A45DA6"/>
    <w:rsid w:val="00A4605D"/>
    <w:rsid w:val="00A46460"/>
    <w:rsid w:val="00A474FC"/>
    <w:rsid w:val="00A500EC"/>
    <w:rsid w:val="00A50FCB"/>
    <w:rsid w:val="00A515CC"/>
    <w:rsid w:val="00A5348A"/>
    <w:rsid w:val="00A539BD"/>
    <w:rsid w:val="00A5533E"/>
    <w:rsid w:val="00A570F8"/>
    <w:rsid w:val="00A57470"/>
    <w:rsid w:val="00A579D6"/>
    <w:rsid w:val="00A6125E"/>
    <w:rsid w:val="00A61431"/>
    <w:rsid w:val="00A61837"/>
    <w:rsid w:val="00A61FAF"/>
    <w:rsid w:val="00A62033"/>
    <w:rsid w:val="00A62967"/>
    <w:rsid w:val="00A632FE"/>
    <w:rsid w:val="00A63370"/>
    <w:rsid w:val="00A63DBD"/>
    <w:rsid w:val="00A64216"/>
    <w:rsid w:val="00A64E1F"/>
    <w:rsid w:val="00A65BEC"/>
    <w:rsid w:val="00A65C07"/>
    <w:rsid w:val="00A65EDA"/>
    <w:rsid w:val="00A66937"/>
    <w:rsid w:val="00A678CF"/>
    <w:rsid w:val="00A67D52"/>
    <w:rsid w:val="00A710D8"/>
    <w:rsid w:val="00A72DAC"/>
    <w:rsid w:val="00A74562"/>
    <w:rsid w:val="00A7456B"/>
    <w:rsid w:val="00A7489C"/>
    <w:rsid w:val="00A74AC2"/>
    <w:rsid w:val="00A756BC"/>
    <w:rsid w:val="00A75A26"/>
    <w:rsid w:val="00A75B65"/>
    <w:rsid w:val="00A765E4"/>
    <w:rsid w:val="00A76CC9"/>
    <w:rsid w:val="00A8035A"/>
    <w:rsid w:val="00A8043F"/>
    <w:rsid w:val="00A80C40"/>
    <w:rsid w:val="00A81782"/>
    <w:rsid w:val="00A81E63"/>
    <w:rsid w:val="00A827CA"/>
    <w:rsid w:val="00A83998"/>
    <w:rsid w:val="00A84612"/>
    <w:rsid w:val="00A85169"/>
    <w:rsid w:val="00A86412"/>
    <w:rsid w:val="00A869D8"/>
    <w:rsid w:val="00A87649"/>
    <w:rsid w:val="00A87B01"/>
    <w:rsid w:val="00A9053C"/>
    <w:rsid w:val="00A90C52"/>
    <w:rsid w:val="00A92DC0"/>
    <w:rsid w:val="00A9359D"/>
    <w:rsid w:val="00A93C6F"/>
    <w:rsid w:val="00A9435C"/>
    <w:rsid w:val="00A953A2"/>
    <w:rsid w:val="00A95D5F"/>
    <w:rsid w:val="00A97AB8"/>
    <w:rsid w:val="00AA0BDD"/>
    <w:rsid w:val="00AA0DB7"/>
    <w:rsid w:val="00AA19B0"/>
    <w:rsid w:val="00AA24E4"/>
    <w:rsid w:val="00AA31EE"/>
    <w:rsid w:val="00AA359E"/>
    <w:rsid w:val="00AA3A2E"/>
    <w:rsid w:val="00AA3C4A"/>
    <w:rsid w:val="00AA45FB"/>
    <w:rsid w:val="00AA575F"/>
    <w:rsid w:val="00AA7764"/>
    <w:rsid w:val="00AA79E7"/>
    <w:rsid w:val="00AB0AF3"/>
    <w:rsid w:val="00AB0DED"/>
    <w:rsid w:val="00AB1798"/>
    <w:rsid w:val="00AB1B5F"/>
    <w:rsid w:val="00AB28DF"/>
    <w:rsid w:val="00AB2CA2"/>
    <w:rsid w:val="00AB2EAB"/>
    <w:rsid w:val="00AB3808"/>
    <w:rsid w:val="00AB3F8D"/>
    <w:rsid w:val="00AB47E2"/>
    <w:rsid w:val="00AB567B"/>
    <w:rsid w:val="00AB6497"/>
    <w:rsid w:val="00AB7FEE"/>
    <w:rsid w:val="00AC06D9"/>
    <w:rsid w:val="00AC1ABE"/>
    <w:rsid w:val="00AC1D09"/>
    <w:rsid w:val="00AC4090"/>
    <w:rsid w:val="00AC449B"/>
    <w:rsid w:val="00AC48D3"/>
    <w:rsid w:val="00AC57B8"/>
    <w:rsid w:val="00AC61F9"/>
    <w:rsid w:val="00AC6DE7"/>
    <w:rsid w:val="00AC6E95"/>
    <w:rsid w:val="00AD1E73"/>
    <w:rsid w:val="00AD20EC"/>
    <w:rsid w:val="00AD2B24"/>
    <w:rsid w:val="00AD2F13"/>
    <w:rsid w:val="00AD45C8"/>
    <w:rsid w:val="00AD4FC0"/>
    <w:rsid w:val="00AD59D1"/>
    <w:rsid w:val="00AD6199"/>
    <w:rsid w:val="00AD65D4"/>
    <w:rsid w:val="00AD6E93"/>
    <w:rsid w:val="00AE1F80"/>
    <w:rsid w:val="00AE2F42"/>
    <w:rsid w:val="00AE3233"/>
    <w:rsid w:val="00AE3409"/>
    <w:rsid w:val="00AE3F4C"/>
    <w:rsid w:val="00AE45C9"/>
    <w:rsid w:val="00AE6001"/>
    <w:rsid w:val="00AE64C4"/>
    <w:rsid w:val="00AE6FD0"/>
    <w:rsid w:val="00AF0593"/>
    <w:rsid w:val="00AF145C"/>
    <w:rsid w:val="00AF3337"/>
    <w:rsid w:val="00AF437E"/>
    <w:rsid w:val="00AF5AA5"/>
    <w:rsid w:val="00AF6722"/>
    <w:rsid w:val="00AF6EBE"/>
    <w:rsid w:val="00AF755A"/>
    <w:rsid w:val="00B012E2"/>
    <w:rsid w:val="00B015E8"/>
    <w:rsid w:val="00B01CBC"/>
    <w:rsid w:val="00B026C6"/>
    <w:rsid w:val="00B02F6F"/>
    <w:rsid w:val="00B0339A"/>
    <w:rsid w:val="00B055D3"/>
    <w:rsid w:val="00B056B3"/>
    <w:rsid w:val="00B0588C"/>
    <w:rsid w:val="00B06854"/>
    <w:rsid w:val="00B077A6"/>
    <w:rsid w:val="00B078B4"/>
    <w:rsid w:val="00B10089"/>
    <w:rsid w:val="00B10B3F"/>
    <w:rsid w:val="00B11A60"/>
    <w:rsid w:val="00B12201"/>
    <w:rsid w:val="00B125D5"/>
    <w:rsid w:val="00B12759"/>
    <w:rsid w:val="00B12C7E"/>
    <w:rsid w:val="00B15A03"/>
    <w:rsid w:val="00B15AC5"/>
    <w:rsid w:val="00B16379"/>
    <w:rsid w:val="00B173F8"/>
    <w:rsid w:val="00B177F7"/>
    <w:rsid w:val="00B20E7F"/>
    <w:rsid w:val="00B210E7"/>
    <w:rsid w:val="00B21710"/>
    <w:rsid w:val="00B22339"/>
    <w:rsid w:val="00B22613"/>
    <w:rsid w:val="00B230AA"/>
    <w:rsid w:val="00B23219"/>
    <w:rsid w:val="00B23694"/>
    <w:rsid w:val="00B23AB2"/>
    <w:rsid w:val="00B24807"/>
    <w:rsid w:val="00B24F3A"/>
    <w:rsid w:val="00B250AC"/>
    <w:rsid w:val="00B25D12"/>
    <w:rsid w:val="00B26566"/>
    <w:rsid w:val="00B26CEF"/>
    <w:rsid w:val="00B26F48"/>
    <w:rsid w:val="00B273C9"/>
    <w:rsid w:val="00B278A9"/>
    <w:rsid w:val="00B27929"/>
    <w:rsid w:val="00B31E18"/>
    <w:rsid w:val="00B32936"/>
    <w:rsid w:val="00B33055"/>
    <w:rsid w:val="00B33856"/>
    <w:rsid w:val="00B33B8A"/>
    <w:rsid w:val="00B34029"/>
    <w:rsid w:val="00B34298"/>
    <w:rsid w:val="00B368FF"/>
    <w:rsid w:val="00B371F0"/>
    <w:rsid w:val="00B37200"/>
    <w:rsid w:val="00B37235"/>
    <w:rsid w:val="00B37AA4"/>
    <w:rsid w:val="00B413EA"/>
    <w:rsid w:val="00B4156A"/>
    <w:rsid w:val="00B41691"/>
    <w:rsid w:val="00B4283A"/>
    <w:rsid w:val="00B42BA7"/>
    <w:rsid w:val="00B42C9A"/>
    <w:rsid w:val="00B43B8C"/>
    <w:rsid w:val="00B4421D"/>
    <w:rsid w:val="00B44484"/>
    <w:rsid w:val="00B44A76"/>
    <w:rsid w:val="00B4534A"/>
    <w:rsid w:val="00B455C6"/>
    <w:rsid w:val="00B4584B"/>
    <w:rsid w:val="00B47794"/>
    <w:rsid w:val="00B47BCE"/>
    <w:rsid w:val="00B50279"/>
    <w:rsid w:val="00B507BA"/>
    <w:rsid w:val="00B50F2B"/>
    <w:rsid w:val="00B51A85"/>
    <w:rsid w:val="00B524CD"/>
    <w:rsid w:val="00B526E8"/>
    <w:rsid w:val="00B52D71"/>
    <w:rsid w:val="00B53BCE"/>
    <w:rsid w:val="00B54719"/>
    <w:rsid w:val="00B56884"/>
    <w:rsid w:val="00B57D18"/>
    <w:rsid w:val="00B6050E"/>
    <w:rsid w:val="00B63A73"/>
    <w:rsid w:val="00B63BB8"/>
    <w:rsid w:val="00B63D9E"/>
    <w:rsid w:val="00B6409B"/>
    <w:rsid w:val="00B643C8"/>
    <w:rsid w:val="00B64A3C"/>
    <w:rsid w:val="00B64C2B"/>
    <w:rsid w:val="00B658E9"/>
    <w:rsid w:val="00B65A71"/>
    <w:rsid w:val="00B66C22"/>
    <w:rsid w:val="00B66F5D"/>
    <w:rsid w:val="00B679FA"/>
    <w:rsid w:val="00B67D3A"/>
    <w:rsid w:val="00B70156"/>
    <w:rsid w:val="00B70BB8"/>
    <w:rsid w:val="00B70E35"/>
    <w:rsid w:val="00B7226D"/>
    <w:rsid w:val="00B722DC"/>
    <w:rsid w:val="00B73903"/>
    <w:rsid w:val="00B740F7"/>
    <w:rsid w:val="00B74EC5"/>
    <w:rsid w:val="00B75327"/>
    <w:rsid w:val="00B7629B"/>
    <w:rsid w:val="00B768D1"/>
    <w:rsid w:val="00B769DE"/>
    <w:rsid w:val="00B76C36"/>
    <w:rsid w:val="00B80F62"/>
    <w:rsid w:val="00B80FD9"/>
    <w:rsid w:val="00B822CF"/>
    <w:rsid w:val="00B825EC"/>
    <w:rsid w:val="00B8377B"/>
    <w:rsid w:val="00B84200"/>
    <w:rsid w:val="00B847C7"/>
    <w:rsid w:val="00B84AA3"/>
    <w:rsid w:val="00B85447"/>
    <w:rsid w:val="00B85D31"/>
    <w:rsid w:val="00B85FA1"/>
    <w:rsid w:val="00B86774"/>
    <w:rsid w:val="00B86D87"/>
    <w:rsid w:val="00B87FFD"/>
    <w:rsid w:val="00B90BB9"/>
    <w:rsid w:val="00B92851"/>
    <w:rsid w:val="00B92963"/>
    <w:rsid w:val="00B9468F"/>
    <w:rsid w:val="00B94691"/>
    <w:rsid w:val="00B94A22"/>
    <w:rsid w:val="00B94F67"/>
    <w:rsid w:val="00B954D0"/>
    <w:rsid w:val="00B95669"/>
    <w:rsid w:val="00B96771"/>
    <w:rsid w:val="00B976C9"/>
    <w:rsid w:val="00B97D59"/>
    <w:rsid w:val="00BA1025"/>
    <w:rsid w:val="00BA127D"/>
    <w:rsid w:val="00BA24EF"/>
    <w:rsid w:val="00BA4DD9"/>
    <w:rsid w:val="00BA4F7B"/>
    <w:rsid w:val="00BA5067"/>
    <w:rsid w:val="00BA53F5"/>
    <w:rsid w:val="00BA7FDF"/>
    <w:rsid w:val="00BB00AA"/>
    <w:rsid w:val="00BB0BE1"/>
    <w:rsid w:val="00BB2231"/>
    <w:rsid w:val="00BB2900"/>
    <w:rsid w:val="00BB3661"/>
    <w:rsid w:val="00BB5F26"/>
    <w:rsid w:val="00BB6500"/>
    <w:rsid w:val="00BB6CD4"/>
    <w:rsid w:val="00BB7DE3"/>
    <w:rsid w:val="00BC1E4A"/>
    <w:rsid w:val="00BC2108"/>
    <w:rsid w:val="00BC29AF"/>
    <w:rsid w:val="00BC2AD3"/>
    <w:rsid w:val="00BC339F"/>
    <w:rsid w:val="00BC3420"/>
    <w:rsid w:val="00BC6A4B"/>
    <w:rsid w:val="00BC7AAB"/>
    <w:rsid w:val="00BD00F4"/>
    <w:rsid w:val="00BD0389"/>
    <w:rsid w:val="00BD0AD6"/>
    <w:rsid w:val="00BD0EAA"/>
    <w:rsid w:val="00BD0F26"/>
    <w:rsid w:val="00BD1768"/>
    <w:rsid w:val="00BD19C6"/>
    <w:rsid w:val="00BD2D01"/>
    <w:rsid w:val="00BD41A1"/>
    <w:rsid w:val="00BD45CE"/>
    <w:rsid w:val="00BD551D"/>
    <w:rsid w:val="00BD5962"/>
    <w:rsid w:val="00BD5FF4"/>
    <w:rsid w:val="00BD61A4"/>
    <w:rsid w:val="00BD670B"/>
    <w:rsid w:val="00BD6ADF"/>
    <w:rsid w:val="00BE0365"/>
    <w:rsid w:val="00BE17A6"/>
    <w:rsid w:val="00BE2186"/>
    <w:rsid w:val="00BE32C8"/>
    <w:rsid w:val="00BE377C"/>
    <w:rsid w:val="00BE3849"/>
    <w:rsid w:val="00BE4232"/>
    <w:rsid w:val="00BE726D"/>
    <w:rsid w:val="00BE7D3C"/>
    <w:rsid w:val="00BF0565"/>
    <w:rsid w:val="00BF066E"/>
    <w:rsid w:val="00BF0D60"/>
    <w:rsid w:val="00BF14C2"/>
    <w:rsid w:val="00BF193B"/>
    <w:rsid w:val="00BF19F9"/>
    <w:rsid w:val="00BF1DCC"/>
    <w:rsid w:val="00BF2D62"/>
    <w:rsid w:val="00BF2E7E"/>
    <w:rsid w:val="00BF3C8C"/>
    <w:rsid w:val="00BF4F56"/>
    <w:rsid w:val="00BF5E5B"/>
    <w:rsid w:val="00BF5FF6"/>
    <w:rsid w:val="00BF693F"/>
    <w:rsid w:val="00C007E9"/>
    <w:rsid w:val="00C00911"/>
    <w:rsid w:val="00C009A8"/>
    <w:rsid w:val="00C0207F"/>
    <w:rsid w:val="00C030A7"/>
    <w:rsid w:val="00C035C9"/>
    <w:rsid w:val="00C03C9D"/>
    <w:rsid w:val="00C04016"/>
    <w:rsid w:val="00C04E76"/>
    <w:rsid w:val="00C05DE3"/>
    <w:rsid w:val="00C0622A"/>
    <w:rsid w:val="00C079C3"/>
    <w:rsid w:val="00C1036B"/>
    <w:rsid w:val="00C10AF3"/>
    <w:rsid w:val="00C12A10"/>
    <w:rsid w:val="00C12F3E"/>
    <w:rsid w:val="00C13A32"/>
    <w:rsid w:val="00C14671"/>
    <w:rsid w:val="00C14A83"/>
    <w:rsid w:val="00C14B18"/>
    <w:rsid w:val="00C14F6A"/>
    <w:rsid w:val="00C156C6"/>
    <w:rsid w:val="00C15BA4"/>
    <w:rsid w:val="00C1607B"/>
    <w:rsid w:val="00C16117"/>
    <w:rsid w:val="00C16309"/>
    <w:rsid w:val="00C16880"/>
    <w:rsid w:val="00C17CAB"/>
    <w:rsid w:val="00C2086E"/>
    <w:rsid w:val="00C20F6E"/>
    <w:rsid w:val="00C213BB"/>
    <w:rsid w:val="00C2184C"/>
    <w:rsid w:val="00C21B1B"/>
    <w:rsid w:val="00C221B1"/>
    <w:rsid w:val="00C22E24"/>
    <w:rsid w:val="00C2326D"/>
    <w:rsid w:val="00C233F9"/>
    <w:rsid w:val="00C23DD2"/>
    <w:rsid w:val="00C249C5"/>
    <w:rsid w:val="00C24C09"/>
    <w:rsid w:val="00C24E0B"/>
    <w:rsid w:val="00C252BE"/>
    <w:rsid w:val="00C2632B"/>
    <w:rsid w:val="00C26CEB"/>
    <w:rsid w:val="00C275B0"/>
    <w:rsid w:val="00C3075A"/>
    <w:rsid w:val="00C31835"/>
    <w:rsid w:val="00C329BA"/>
    <w:rsid w:val="00C32C9A"/>
    <w:rsid w:val="00C340C1"/>
    <w:rsid w:val="00C3441E"/>
    <w:rsid w:val="00C3443B"/>
    <w:rsid w:val="00C358D7"/>
    <w:rsid w:val="00C35B34"/>
    <w:rsid w:val="00C35DE5"/>
    <w:rsid w:val="00C36719"/>
    <w:rsid w:val="00C36C6E"/>
    <w:rsid w:val="00C36EA0"/>
    <w:rsid w:val="00C37111"/>
    <w:rsid w:val="00C37621"/>
    <w:rsid w:val="00C376B5"/>
    <w:rsid w:val="00C37A76"/>
    <w:rsid w:val="00C37ACC"/>
    <w:rsid w:val="00C37CF6"/>
    <w:rsid w:val="00C404B4"/>
    <w:rsid w:val="00C40A45"/>
    <w:rsid w:val="00C41090"/>
    <w:rsid w:val="00C419ED"/>
    <w:rsid w:val="00C41B67"/>
    <w:rsid w:val="00C43567"/>
    <w:rsid w:val="00C43D9F"/>
    <w:rsid w:val="00C442DF"/>
    <w:rsid w:val="00C452D5"/>
    <w:rsid w:val="00C46836"/>
    <w:rsid w:val="00C46AD3"/>
    <w:rsid w:val="00C47851"/>
    <w:rsid w:val="00C47AC2"/>
    <w:rsid w:val="00C50DBD"/>
    <w:rsid w:val="00C50E66"/>
    <w:rsid w:val="00C5117C"/>
    <w:rsid w:val="00C51978"/>
    <w:rsid w:val="00C51E83"/>
    <w:rsid w:val="00C52650"/>
    <w:rsid w:val="00C526BF"/>
    <w:rsid w:val="00C536EF"/>
    <w:rsid w:val="00C53B52"/>
    <w:rsid w:val="00C54200"/>
    <w:rsid w:val="00C55536"/>
    <w:rsid w:val="00C55716"/>
    <w:rsid w:val="00C5684C"/>
    <w:rsid w:val="00C578CF"/>
    <w:rsid w:val="00C57C26"/>
    <w:rsid w:val="00C60212"/>
    <w:rsid w:val="00C60BB9"/>
    <w:rsid w:val="00C60ED0"/>
    <w:rsid w:val="00C619C9"/>
    <w:rsid w:val="00C62DAF"/>
    <w:rsid w:val="00C62DCD"/>
    <w:rsid w:val="00C62E3D"/>
    <w:rsid w:val="00C6384F"/>
    <w:rsid w:val="00C63F1E"/>
    <w:rsid w:val="00C64CD7"/>
    <w:rsid w:val="00C65E07"/>
    <w:rsid w:val="00C65FFB"/>
    <w:rsid w:val="00C663C9"/>
    <w:rsid w:val="00C72157"/>
    <w:rsid w:val="00C7286D"/>
    <w:rsid w:val="00C734F6"/>
    <w:rsid w:val="00C73E11"/>
    <w:rsid w:val="00C74951"/>
    <w:rsid w:val="00C74EAD"/>
    <w:rsid w:val="00C75FBD"/>
    <w:rsid w:val="00C76D40"/>
    <w:rsid w:val="00C7750F"/>
    <w:rsid w:val="00C77550"/>
    <w:rsid w:val="00C77783"/>
    <w:rsid w:val="00C77F1A"/>
    <w:rsid w:val="00C8040C"/>
    <w:rsid w:val="00C80ADE"/>
    <w:rsid w:val="00C8152C"/>
    <w:rsid w:val="00C82269"/>
    <w:rsid w:val="00C83620"/>
    <w:rsid w:val="00C83FFB"/>
    <w:rsid w:val="00C847A0"/>
    <w:rsid w:val="00C84815"/>
    <w:rsid w:val="00C84DF9"/>
    <w:rsid w:val="00C85586"/>
    <w:rsid w:val="00C86544"/>
    <w:rsid w:val="00C866BD"/>
    <w:rsid w:val="00C868CB"/>
    <w:rsid w:val="00C86D08"/>
    <w:rsid w:val="00C903C9"/>
    <w:rsid w:val="00C90602"/>
    <w:rsid w:val="00C913CC"/>
    <w:rsid w:val="00C9150D"/>
    <w:rsid w:val="00C919A4"/>
    <w:rsid w:val="00C929B4"/>
    <w:rsid w:val="00C93723"/>
    <w:rsid w:val="00C93853"/>
    <w:rsid w:val="00C95071"/>
    <w:rsid w:val="00C953E4"/>
    <w:rsid w:val="00C9554C"/>
    <w:rsid w:val="00C960CC"/>
    <w:rsid w:val="00C9661B"/>
    <w:rsid w:val="00C97C6E"/>
    <w:rsid w:val="00CA0592"/>
    <w:rsid w:val="00CA0C57"/>
    <w:rsid w:val="00CA1EA3"/>
    <w:rsid w:val="00CA28B8"/>
    <w:rsid w:val="00CA4392"/>
    <w:rsid w:val="00CA4472"/>
    <w:rsid w:val="00CA52EE"/>
    <w:rsid w:val="00CA5375"/>
    <w:rsid w:val="00CA5E51"/>
    <w:rsid w:val="00CA619E"/>
    <w:rsid w:val="00CA685E"/>
    <w:rsid w:val="00CB09E8"/>
    <w:rsid w:val="00CB0A19"/>
    <w:rsid w:val="00CB1074"/>
    <w:rsid w:val="00CB364F"/>
    <w:rsid w:val="00CB6979"/>
    <w:rsid w:val="00CB6C6A"/>
    <w:rsid w:val="00CB7D51"/>
    <w:rsid w:val="00CC0147"/>
    <w:rsid w:val="00CC17F9"/>
    <w:rsid w:val="00CC1CF7"/>
    <w:rsid w:val="00CC336E"/>
    <w:rsid w:val="00CC393F"/>
    <w:rsid w:val="00CC6764"/>
    <w:rsid w:val="00CC6A40"/>
    <w:rsid w:val="00CD0D56"/>
    <w:rsid w:val="00CD10D0"/>
    <w:rsid w:val="00CD217C"/>
    <w:rsid w:val="00CD2324"/>
    <w:rsid w:val="00CD344F"/>
    <w:rsid w:val="00CD4959"/>
    <w:rsid w:val="00CD4A3C"/>
    <w:rsid w:val="00CD5436"/>
    <w:rsid w:val="00CD58B2"/>
    <w:rsid w:val="00CD66EB"/>
    <w:rsid w:val="00CD6873"/>
    <w:rsid w:val="00CD6BA2"/>
    <w:rsid w:val="00CD722D"/>
    <w:rsid w:val="00CE1B84"/>
    <w:rsid w:val="00CE2561"/>
    <w:rsid w:val="00CE3B54"/>
    <w:rsid w:val="00CF3FF5"/>
    <w:rsid w:val="00CF4B58"/>
    <w:rsid w:val="00CF5567"/>
    <w:rsid w:val="00CF5E13"/>
    <w:rsid w:val="00CF610C"/>
    <w:rsid w:val="00CF7BAD"/>
    <w:rsid w:val="00D01220"/>
    <w:rsid w:val="00D01324"/>
    <w:rsid w:val="00D014B7"/>
    <w:rsid w:val="00D022F9"/>
    <w:rsid w:val="00D02E6F"/>
    <w:rsid w:val="00D033BE"/>
    <w:rsid w:val="00D03C08"/>
    <w:rsid w:val="00D0415B"/>
    <w:rsid w:val="00D04E76"/>
    <w:rsid w:val="00D0550F"/>
    <w:rsid w:val="00D06F92"/>
    <w:rsid w:val="00D0741F"/>
    <w:rsid w:val="00D07454"/>
    <w:rsid w:val="00D079C6"/>
    <w:rsid w:val="00D10506"/>
    <w:rsid w:val="00D12AB9"/>
    <w:rsid w:val="00D12DB8"/>
    <w:rsid w:val="00D132F3"/>
    <w:rsid w:val="00D1350F"/>
    <w:rsid w:val="00D13B97"/>
    <w:rsid w:val="00D16AB1"/>
    <w:rsid w:val="00D16BE5"/>
    <w:rsid w:val="00D2020E"/>
    <w:rsid w:val="00D210D2"/>
    <w:rsid w:val="00D2176E"/>
    <w:rsid w:val="00D217A2"/>
    <w:rsid w:val="00D219CC"/>
    <w:rsid w:val="00D21CC3"/>
    <w:rsid w:val="00D230CC"/>
    <w:rsid w:val="00D2360C"/>
    <w:rsid w:val="00D24696"/>
    <w:rsid w:val="00D24730"/>
    <w:rsid w:val="00D24D84"/>
    <w:rsid w:val="00D25B50"/>
    <w:rsid w:val="00D2655C"/>
    <w:rsid w:val="00D267B1"/>
    <w:rsid w:val="00D272AE"/>
    <w:rsid w:val="00D27B94"/>
    <w:rsid w:val="00D302B5"/>
    <w:rsid w:val="00D3049C"/>
    <w:rsid w:val="00D30A7E"/>
    <w:rsid w:val="00D30A99"/>
    <w:rsid w:val="00D30F74"/>
    <w:rsid w:val="00D30F9D"/>
    <w:rsid w:val="00D30FA0"/>
    <w:rsid w:val="00D3146E"/>
    <w:rsid w:val="00D316D7"/>
    <w:rsid w:val="00D318F9"/>
    <w:rsid w:val="00D31F0E"/>
    <w:rsid w:val="00D322EE"/>
    <w:rsid w:val="00D32C39"/>
    <w:rsid w:val="00D33216"/>
    <w:rsid w:val="00D34290"/>
    <w:rsid w:val="00D3462D"/>
    <w:rsid w:val="00D35071"/>
    <w:rsid w:val="00D360A4"/>
    <w:rsid w:val="00D40755"/>
    <w:rsid w:val="00D429F9"/>
    <w:rsid w:val="00D43CEA"/>
    <w:rsid w:val="00D43F41"/>
    <w:rsid w:val="00D4443F"/>
    <w:rsid w:val="00D44882"/>
    <w:rsid w:val="00D472F3"/>
    <w:rsid w:val="00D47B3F"/>
    <w:rsid w:val="00D501C9"/>
    <w:rsid w:val="00D5115C"/>
    <w:rsid w:val="00D52AC2"/>
    <w:rsid w:val="00D53E36"/>
    <w:rsid w:val="00D5497A"/>
    <w:rsid w:val="00D55320"/>
    <w:rsid w:val="00D556C7"/>
    <w:rsid w:val="00D575D8"/>
    <w:rsid w:val="00D62231"/>
    <w:rsid w:val="00D6269A"/>
    <w:rsid w:val="00D6282D"/>
    <w:rsid w:val="00D632BE"/>
    <w:rsid w:val="00D633E9"/>
    <w:rsid w:val="00D6402A"/>
    <w:rsid w:val="00D64398"/>
    <w:rsid w:val="00D64A70"/>
    <w:rsid w:val="00D64DD2"/>
    <w:rsid w:val="00D65144"/>
    <w:rsid w:val="00D65195"/>
    <w:rsid w:val="00D651B1"/>
    <w:rsid w:val="00D6595E"/>
    <w:rsid w:val="00D65DDC"/>
    <w:rsid w:val="00D6603A"/>
    <w:rsid w:val="00D67478"/>
    <w:rsid w:val="00D67869"/>
    <w:rsid w:val="00D67AD7"/>
    <w:rsid w:val="00D67C92"/>
    <w:rsid w:val="00D70E0B"/>
    <w:rsid w:val="00D71017"/>
    <w:rsid w:val="00D71AAB"/>
    <w:rsid w:val="00D72CDE"/>
    <w:rsid w:val="00D72D06"/>
    <w:rsid w:val="00D731E8"/>
    <w:rsid w:val="00D75116"/>
    <w:rsid w:val="00D7522C"/>
    <w:rsid w:val="00D7536F"/>
    <w:rsid w:val="00D76668"/>
    <w:rsid w:val="00D771F8"/>
    <w:rsid w:val="00D77C60"/>
    <w:rsid w:val="00D80D81"/>
    <w:rsid w:val="00D81186"/>
    <w:rsid w:val="00D830D9"/>
    <w:rsid w:val="00D83870"/>
    <w:rsid w:val="00D84919"/>
    <w:rsid w:val="00D877D7"/>
    <w:rsid w:val="00D87D4C"/>
    <w:rsid w:val="00D90382"/>
    <w:rsid w:val="00D918E1"/>
    <w:rsid w:val="00D91F1B"/>
    <w:rsid w:val="00D964DC"/>
    <w:rsid w:val="00D971C9"/>
    <w:rsid w:val="00D976BC"/>
    <w:rsid w:val="00D97B7E"/>
    <w:rsid w:val="00D97E54"/>
    <w:rsid w:val="00DA014E"/>
    <w:rsid w:val="00DA01A2"/>
    <w:rsid w:val="00DA03EF"/>
    <w:rsid w:val="00DA0A67"/>
    <w:rsid w:val="00DA0F96"/>
    <w:rsid w:val="00DA158E"/>
    <w:rsid w:val="00DA2A69"/>
    <w:rsid w:val="00DA59DF"/>
    <w:rsid w:val="00DA5B2B"/>
    <w:rsid w:val="00DA6966"/>
    <w:rsid w:val="00DA6CD1"/>
    <w:rsid w:val="00DB1892"/>
    <w:rsid w:val="00DB1A14"/>
    <w:rsid w:val="00DB20FE"/>
    <w:rsid w:val="00DB2924"/>
    <w:rsid w:val="00DB2A7D"/>
    <w:rsid w:val="00DB3ADC"/>
    <w:rsid w:val="00DB4190"/>
    <w:rsid w:val="00DB457A"/>
    <w:rsid w:val="00DB4934"/>
    <w:rsid w:val="00DB4C6B"/>
    <w:rsid w:val="00DB537D"/>
    <w:rsid w:val="00DB7106"/>
    <w:rsid w:val="00DC2A08"/>
    <w:rsid w:val="00DC4D82"/>
    <w:rsid w:val="00DC5319"/>
    <w:rsid w:val="00DC5F8C"/>
    <w:rsid w:val="00DC7693"/>
    <w:rsid w:val="00DD0590"/>
    <w:rsid w:val="00DD1097"/>
    <w:rsid w:val="00DD22C5"/>
    <w:rsid w:val="00DD2DEA"/>
    <w:rsid w:val="00DD35B9"/>
    <w:rsid w:val="00DD3E7B"/>
    <w:rsid w:val="00DD49AD"/>
    <w:rsid w:val="00DD6587"/>
    <w:rsid w:val="00DD6BC0"/>
    <w:rsid w:val="00DD70E3"/>
    <w:rsid w:val="00DE17E5"/>
    <w:rsid w:val="00DE2E14"/>
    <w:rsid w:val="00DE311E"/>
    <w:rsid w:val="00DE348A"/>
    <w:rsid w:val="00DE34CF"/>
    <w:rsid w:val="00DE4A1E"/>
    <w:rsid w:val="00DE52D7"/>
    <w:rsid w:val="00DE55E8"/>
    <w:rsid w:val="00DE5757"/>
    <w:rsid w:val="00DE6531"/>
    <w:rsid w:val="00DE6A1E"/>
    <w:rsid w:val="00DE6B17"/>
    <w:rsid w:val="00DE7336"/>
    <w:rsid w:val="00DF26A9"/>
    <w:rsid w:val="00DF747E"/>
    <w:rsid w:val="00E00080"/>
    <w:rsid w:val="00E0095A"/>
    <w:rsid w:val="00E01215"/>
    <w:rsid w:val="00E02D0B"/>
    <w:rsid w:val="00E033B5"/>
    <w:rsid w:val="00E07383"/>
    <w:rsid w:val="00E07471"/>
    <w:rsid w:val="00E07898"/>
    <w:rsid w:val="00E078A4"/>
    <w:rsid w:val="00E07A86"/>
    <w:rsid w:val="00E10B67"/>
    <w:rsid w:val="00E10C6F"/>
    <w:rsid w:val="00E113FF"/>
    <w:rsid w:val="00E11742"/>
    <w:rsid w:val="00E12A93"/>
    <w:rsid w:val="00E12E8C"/>
    <w:rsid w:val="00E1384C"/>
    <w:rsid w:val="00E13AEB"/>
    <w:rsid w:val="00E1416E"/>
    <w:rsid w:val="00E148CF"/>
    <w:rsid w:val="00E14BED"/>
    <w:rsid w:val="00E1584B"/>
    <w:rsid w:val="00E16183"/>
    <w:rsid w:val="00E164E8"/>
    <w:rsid w:val="00E165BC"/>
    <w:rsid w:val="00E1698E"/>
    <w:rsid w:val="00E16F37"/>
    <w:rsid w:val="00E17F33"/>
    <w:rsid w:val="00E204AA"/>
    <w:rsid w:val="00E21E12"/>
    <w:rsid w:val="00E2287D"/>
    <w:rsid w:val="00E22E11"/>
    <w:rsid w:val="00E23084"/>
    <w:rsid w:val="00E232A2"/>
    <w:rsid w:val="00E2422A"/>
    <w:rsid w:val="00E25215"/>
    <w:rsid w:val="00E2547A"/>
    <w:rsid w:val="00E259FC"/>
    <w:rsid w:val="00E25FCC"/>
    <w:rsid w:val="00E26618"/>
    <w:rsid w:val="00E268D0"/>
    <w:rsid w:val="00E27A35"/>
    <w:rsid w:val="00E30307"/>
    <w:rsid w:val="00E30378"/>
    <w:rsid w:val="00E306A5"/>
    <w:rsid w:val="00E31593"/>
    <w:rsid w:val="00E3177C"/>
    <w:rsid w:val="00E320EF"/>
    <w:rsid w:val="00E3262F"/>
    <w:rsid w:val="00E33294"/>
    <w:rsid w:val="00E36C37"/>
    <w:rsid w:val="00E4112E"/>
    <w:rsid w:val="00E4130E"/>
    <w:rsid w:val="00E418D0"/>
    <w:rsid w:val="00E434C6"/>
    <w:rsid w:val="00E43862"/>
    <w:rsid w:val="00E44AB3"/>
    <w:rsid w:val="00E45140"/>
    <w:rsid w:val="00E4549E"/>
    <w:rsid w:val="00E4581F"/>
    <w:rsid w:val="00E463A9"/>
    <w:rsid w:val="00E46A8A"/>
    <w:rsid w:val="00E50080"/>
    <w:rsid w:val="00E50326"/>
    <w:rsid w:val="00E50679"/>
    <w:rsid w:val="00E50A38"/>
    <w:rsid w:val="00E50B5B"/>
    <w:rsid w:val="00E51146"/>
    <w:rsid w:val="00E51660"/>
    <w:rsid w:val="00E529C5"/>
    <w:rsid w:val="00E5410B"/>
    <w:rsid w:val="00E54E38"/>
    <w:rsid w:val="00E55626"/>
    <w:rsid w:val="00E556AB"/>
    <w:rsid w:val="00E55B09"/>
    <w:rsid w:val="00E56148"/>
    <w:rsid w:val="00E561CB"/>
    <w:rsid w:val="00E56818"/>
    <w:rsid w:val="00E57614"/>
    <w:rsid w:val="00E578F7"/>
    <w:rsid w:val="00E602FD"/>
    <w:rsid w:val="00E614AF"/>
    <w:rsid w:val="00E6171B"/>
    <w:rsid w:val="00E61E12"/>
    <w:rsid w:val="00E62945"/>
    <w:rsid w:val="00E62DDE"/>
    <w:rsid w:val="00E6439B"/>
    <w:rsid w:val="00E644FE"/>
    <w:rsid w:val="00E65E90"/>
    <w:rsid w:val="00E65EC0"/>
    <w:rsid w:val="00E667D7"/>
    <w:rsid w:val="00E67715"/>
    <w:rsid w:val="00E67839"/>
    <w:rsid w:val="00E67F42"/>
    <w:rsid w:val="00E70956"/>
    <w:rsid w:val="00E715AD"/>
    <w:rsid w:val="00E7181F"/>
    <w:rsid w:val="00E71C2E"/>
    <w:rsid w:val="00E72F59"/>
    <w:rsid w:val="00E740BD"/>
    <w:rsid w:val="00E75686"/>
    <w:rsid w:val="00E756BC"/>
    <w:rsid w:val="00E7596C"/>
    <w:rsid w:val="00E75F36"/>
    <w:rsid w:val="00E76634"/>
    <w:rsid w:val="00E76CAD"/>
    <w:rsid w:val="00E77C18"/>
    <w:rsid w:val="00E812FD"/>
    <w:rsid w:val="00E817CE"/>
    <w:rsid w:val="00E81A9D"/>
    <w:rsid w:val="00E821D7"/>
    <w:rsid w:val="00E8268C"/>
    <w:rsid w:val="00E82FA5"/>
    <w:rsid w:val="00E8301F"/>
    <w:rsid w:val="00E8363A"/>
    <w:rsid w:val="00E83A03"/>
    <w:rsid w:val="00E849B2"/>
    <w:rsid w:val="00E8689F"/>
    <w:rsid w:val="00E878F2"/>
    <w:rsid w:val="00E90149"/>
    <w:rsid w:val="00E90251"/>
    <w:rsid w:val="00E92E00"/>
    <w:rsid w:val="00E92E72"/>
    <w:rsid w:val="00E92FC3"/>
    <w:rsid w:val="00E93F89"/>
    <w:rsid w:val="00E944B0"/>
    <w:rsid w:val="00E9498A"/>
    <w:rsid w:val="00E949C9"/>
    <w:rsid w:val="00E951F7"/>
    <w:rsid w:val="00E95FE9"/>
    <w:rsid w:val="00E967E3"/>
    <w:rsid w:val="00E97E32"/>
    <w:rsid w:val="00EA194A"/>
    <w:rsid w:val="00EA1A41"/>
    <w:rsid w:val="00EA1DC4"/>
    <w:rsid w:val="00EA253F"/>
    <w:rsid w:val="00EA2AA7"/>
    <w:rsid w:val="00EA2B28"/>
    <w:rsid w:val="00EA3560"/>
    <w:rsid w:val="00EA3DBD"/>
    <w:rsid w:val="00EA3EA2"/>
    <w:rsid w:val="00EA4662"/>
    <w:rsid w:val="00EA574C"/>
    <w:rsid w:val="00EA5A13"/>
    <w:rsid w:val="00EA6161"/>
    <w:rsid w:val="00EA736D"/>
    <w:rsid w:val="00EA7F32"/>
    <w:rsid w:val="00EB0B2E"/>
    <w:rsid w:val="00EB0D92"/>
    <w:rsid w:val="00EB17BD"/>
    <w:rsid w:val="00EB389E"/>
    <w:rsid w:val="00EB3B0A"/>
    <w:rsid w:val="00EB4D5E"/>
    <w:rsid w:val="00EB5191"/>
    <w:rsid w:val="00EB670C"/>
    <w:rsid w:val="00EB679D"/>
    <w:rsid w:val="00EB6CFF"/>
    <w:rsid w:val="00EB70C6"/>
    <w:rsid w:val="00EB7D10"/>
    <w:rsid w:val="00EC00A0"/>
    <w:rsid w:val="00EC0433"/>
    <w:rsid w:val="00EC04AA"/>
    <w:rsid w:val="00EC0519"/>
    <w:rsid w:val="00EC12E8"/>
    <w:rsid w:val="00EC12E9"/>
    <w:rsid w:val="00EC1376"/>
    <w:rsid w:val="00EC15A8"/>
    <w:rsid w:val="00EC23DD"/>
    <w:rsid w:val="00EC3D6B"/>
    <w:rsid w:val="00EC44DC"/>
    <w:rsid w:val="00EC4CDA"/>
    <w:rsid w:val="00EC52C0"/>
    <w:rsid w:val="00EC52C1"/>
    <w:rsid w:val="00EC5499"/>
    <w:rsid w:val="00EC56A2"/>
    <w:rsid w:val="00EC6A83"/>
    <w:rsid w:val="00EC6E25"/>
    <w:rsid w:val="00ED0149"/>
    <w:rsid w:val="00ED0685"/>
    <w:rsid w:val="00ED1A69"/>
    <w:rsid w:val="00ED1AF5"/>
    <w:rsid w:val="00ED399C"/>
    <w:rsid w:val="00ED3A69"/>
    <w:rsid w:val="00ED417B"/>
    <w:rsid w:val="00ED4DE6"/>
    <w:rsid w:val="00ED5373"/>
    <w:rsid w:val="00ED5903"/>
    <w:rsid w:val="00ED5E93"/>
    <w:rsid w:val="00ED6264"/>
    <w:rsid w:val="00ED781C"/>
    <w:rsid w:val="00ED7F61"/>
    <w:rsid w:val="00EE0C22"/>
    <w:rsid w:val="00EE32E6"/>
    <w:rsid w:val="00EE3656"/>
    <w:rsid w:val="00EE4987"/>
    <w:rsid w:val="00EE61BC"/>
    <w:rsid w:val="00EE6A2A"/>
    <w:rsid w:val="00EE6F64"/>
    <w:rsid w:val="00EE79D3"/>
    <w:rsid w:val="00EE7F86"/>
    <w:rsid w:val="00EF1364"/>
    <w:rsid w:val="00EF2AD7"/>
    <w:rsid w:val="00EF3F03"/>
    <w:rsid w:val="00EF3F44"/>
    <w:rsid w:val="00EF4799"/>
    <w:rsid w:val="00EF613C"/>
    <w:rsid w:val="00EF67E3"/>
    <w:rsid w:val="00EF72F0"/>
    <w:rsid w:val="00EF7DE3"/>
    <w:rsid w:val="00EF7E27"/>
    <w:rsid w:val="00F002A6"/>
    <w:rsid w:val="00F003B4"/>
    <w:rsid w:val="00F00952"/>
    <w:rsid w:val="00F03103"/>
    <w:rsid w:val="00F03D4C"/>
    <w:rsid w:val="00F051B9"/>
    <w:rsid w:val="00F05245"/>
    <w:rsid w:val="00F068FB"/>
    <w:rsid w:val="00F07727"/>
    <w:rsid w:val="00F10213"/>
    <w:rsid w:val="00F10A57"/>
    <w:rsid w:val="00F12802"/>
    <w:rsid w:val="00F12F76"/>
    <w:rsid w:val="00F130FE"/>
    <w:rsid w:val="00F1367D"/>
    <w:rsid w:val="00F13827"/>
    <w:rsid w:val="00F1442D"/>
    <w:rsid w:val="00F14E62"/>
    <w:rsid w:val="00F1538E"/>
    <w:rsid w:val="00F169E4"/>
    <w:rsid w:val="00F16E46"/>
    <w:rsid w:val="00F17968"/>
    <w:rsid w:val="00F21A3F"/>
    <w:rsid w:val="00F21B1B"/>
    <w:rsid w:val="00F2270D"/>
    <w:rsid w:val="00F22C82"/>
    <w:rsid w:val="00F24194"/>
    <w:rsid w:val="00F24B40"/>
    <w:rsid w:val="00F24C51"/>
    <w:rsid w:val="00F25A41"/>
    <w:rsid w:val="00F261B9"/>
    <w:rsid w:val="00F265A2"/>
    <w:rsid w:val="00F271DE"/>
    <w:rsid w:val="00F2747C"/>
    <w:rsid w:val="00F27945"/>
    <w:rsid w:val="00F30D56"/>
    <w:rsid w:val="00F31107"/>
    <w:rsid w:val="00F31BA5"/>
    <w:rsid w:val="00F32E47"/>
    <w:rsid w:val="00F33905"/>
    <w:rsid w:val="00F34055"/>
    <w:rsid w:val="00F34177"/>
    <w:rsid w:val="00F3450F"/>
    <w:rsid w:val="00F35321"/>
    <w:rsid w:val="00F3581B"/>
    <w:rsid w:val="00F35B9B"/>
    <w:rsid w:val="00F36607"/>
    <w:rsid w:val="00F36A13"/>
    <w:rsid w:val="00F36BAE"/>
    <w:rsid w:val="00F373A5"/>
    <w:rsid w:val="00F374D8"/>
    <w:rsid w:val="00F3759D"/>
    <w:rsid w:val="00F3774B"/>
    <w:rsid w:val="00F379F4"/>
    <w:rsid w:val="00F407AA"/>
    <w:rsid w:val="00F4106A"/>
    <w:rsid w:val="00F4143C"/>
    <w:rsid w:val="00F41B05"/>
    <w:rsid w:val="00F41BDA"/>
    <w:rsid w:val="00F4225C"/>
    <w:rsid w:val="00F423ED"/>
    <w:rsid w:val="00F42A9C"/>
    <w:rsid w:val="00F43A5C"/>
    <w:rsid w:val="00F43B56"/>
    <w:rsid w:val="00F44186"/>
    <w:rsid w:val="00F44F3A"/>
    <w:rsid w:val="00F45365"/>
    <w:rsid w:val="00F45F9A"/>
    <w:rsid w:val="00F47776"/>
    <w:rsid w:val="00F500B6"/>
    <w:rsid w:val="00F5075E"/>
    <w:rsid w:val="00F50AA9"/>
    <w:rsid w:val="00F51232"/>
    <w:rsid w:val="00F51CB0"/>
    <w:rsid w:val="00F545FC"/>
    <w:rsid w:val="00F548B1"/>
    <w:rsid w:val="00F55A37"/>
    <w:rsid w:val="00F55FBE"/>
    <w:rsid w:val="00F56305"/>
    <w:rsid w:val="00F564BB"/>
    <w:rsid w:val="00F567CA"/>
    <w:rsid w:val="00F56D96"/>
    <w:rsid w:val="00F57AEF"/>
    <w:rsid w:val="00F57F7C"/>
    <w:rsid w:val="00F6140B"/>
    <w:rsid w:val="00F618FA"/>
    <w:rsid w:val="00F61999"/>
    <w:rsid w:val="00F61C00"/>
    <w:rsid w:val="00F627DA"/>
    <w:rsid w:val="00F63B5C"/>
    <w:rsid w:val="00F6461C"/>
    <w:rsid w:val="00F64D07"/>
    <w:rsid w:val="00F64F2B"/>
    <w:rsid w:val="00F64F50"/>
    <w:rsid w:val="00F659A8"/>
    <w:rsid w:val="00F65A38"/>
    <w:rsid w:val="00F66FD7"/>
    <w:rsid w:val="00F6720D"/>
    <w:rsid w:val="00F6736B"/>
    <w:rsid w:val="00F67569"/>
    <w:rsid w:val="00F67A70"/>
    <w:rsid w:val="00F716D0"/>
    <w:rsid w:val="00F7288F"/>
    <w:rsid w:val="00F72BD4"/>
    <w:rsid w:val="00F7343F"/>
    <w:rsid w:val="00F74254"/>
    <w:rsid w:val="00F754AC"/>
    <w:rsid w:val="00F75DFD"/>
    <w:rsid w:val="00F760D4"/>
    <w:rsid w:val="00F7619C"/>
    <w:rsid w:val="00F76359"/>
    <w:rsid w:val="00F80246"/>
    <w:rsid w:val="00F80282"/>
    <w:rsid w:val="00F80AA5"/>
    <w:rsid w:val="00F80BCA"/>
    <w:rsid w:val="00F82854"/>
    <w:rsid w:val="00F82D4C"/>
    <w:rsid w:val="00F847A6"/>
    <w:rsid w:val="00F853AE"/>
    <w:rsid w:val="00F853C4"/>
    <w:rsid w:val="00F85F20"/>
    <w:rsid w:val="00F8721C"/>
    <w:rsid w:val="00F87350"/>
    <w:rsid w:val="00F876CD"/>
    <w:rsid w:val="00F87E54"/>
    <w:rsid w:val="00F9095A"/>
    <w:rsid w:val="00F90A8E"/>
    <w:rsid w:val="00F90C71"/>
    <w:rsid w:val="00F90EE0"/>
    <w:rsid w:val="00F914DD"/>
    <w:rsid w:val="00F91F33"/>
    <w:rsid w:val="00F92561"/>
    <w:rsid w:val="00F938D2"/>
    <w:rsid w:val="00F93F81"/>
    <w:rsid w:val="00F9441B"/>
    <w:rsid w:val="00F945F0"/>
    <w:rsid w:val="00F9471A"/>
    <w:rsid w:val="00F948CB"/>
    <w:rsid w:val="00F964E8"/>
    <w:rsid w:val="00F96503"/>
    <w:rsid w:val="00F96C14"/>
    <w:rsid w:val="00FA03A5"/>
    <w:rsid w:val="00FA173F"/>
    <w:rsid w:val="00FA1A63"/>
    <w:rsid w:val="00FA440B"/>
    <w:rsid w:val="00FA4C32"/>
    <w:rsid w:val="00FA619C"/>
    <w:rsid w:val="00FB0306"/>
    <w:rsid w:val="00FB1BBA"/>
    <w:rsid w:val="00FB2B09"/>
    <w:rsid w:val="00FB30D1"/>
    <w:rsid w:val="00FB46F9"/>
    <w:rsid w:val="00FB5963"/>
    <w:rsid w:val="00FB5DBF"/>
    <w:rsid w:val="00FB5FDE"/>
    <w:rsid w:val="00FB70A7"/>
    <w:rsid w:val="00FB71BA"/>
    <w:rsid w:val="00FB7EDE"/>
    <w:rsid w:val="00FC0ABB"/>
    <w:rsid w:val="00FC0DF6"/>
    <w:rsid w:val="00FC367E"/>
    <w:rsid w:val="00FC3E08"/>
    <w:rsid w:val="00FC4650"/>
    <w:rsid w:val="00FC4B23"/>
    <w:rsid w:val="00FC53A0"/>
    <w:rsid w:val="00FC6165"/>
    <w:rsid w:val="00FC6471"/>
    <w:rsid w:val="00FC68A4"/>
    <w:rsid w:val="00FD06AB"/>
    <w:rsid w:val="00FD0912"/>
    <w:rsid w:val="00FD17CE"/>
    <w:rsid w:val="00FD20BD"/>
    <w:rsid w:val="00FD214D"/>
    <w:rsid w:val="00FD2B6B"/>
    <w:rsid w:val="00FD2CEF"/>
    <w:rsid w:val="00FD36C1"/>
    <w:rsid w:val="00FD3C5E"/>
    <w:rsid w:val="00FD57B2"/>
    <w:rsid w:val="00FD6121"/>
    <w:rsid w:val="00FD7CD7"/>
    <w:rsid w:val="00FD7DD6"/>
    <w:rsid w:val="00FD7EC9"/>
    <w:rsid w:val="00FE3147"/>
    <w:rsid w:val="00FE3DAA"/>
    <w:rsid w:val="00FE5449"/>
    <w:rsid w:val="00FE58E7"/>
    <w:rsid w:val="00FE6FB7"/>
    <w:rsid w:val="00FE7114"/>
    <w:rsid w:val="00FF010D"/>
    <w:rsid w:val="00FF02AA"/>
    <w:rsid w:val="00FF0983"/>
    <w:rsid w:val="00FF22FF"/>
    <w:rsid w:val="00FF24D0"/>
    <w:rsid w:val="00FF2770"/>
    <w:rsid w:val="00FF2A6B"/>
    <w:rsid w:val="00FF3090"/>
    <w:rsid w:val="00FF3733"/>
    <w:rsid w:val="00FF4F72"/>
    <w:rsid w:val="00FF571B"/>
    <w:rsid w:val="00FF7C0E"/>
    <w:rsid w:val="00FF7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88898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7794"/>
    <w:pPr>
      <w:tabs>
        <w:tab w:val="start" w:pos="14.40pt"/>
      </w:tabs>
      <w:spacing w:after="6pt" w:line="11.40pt" w:lineRule="auto"/>
      <w:ind w:firstLine="14.40pt"/>
      <w:jc w:val="both"/>
    </w:pPr>
    <w:rPr>
      <w:spacing w:val="-1"/>
      <w:lang w:val="x-none" w:eastAsia="x-none"/>
    </w:r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Caption">
    <w:name w:val="caption"/>
    <w:basedOn w:val="Normal"/>
    <w:next w:val="Normal"/>
    <w:autoRedefine/>
    <w:unhideWhenUsed/>
    <w:qFormat/>
    <w:rsid w:val="00691CA2"/>
    <w:pPr>
      <w:keepNext/>
      <w:spacing w:after="10pt"/>
      <w:ind w:firstLine="0pt"/>
      <w:jc w:val="center"/>
    </w:pPr>
    <w:rPr>
      <w:rFonts w:ascii="Cambria Math" w:hAnsi="Cambria Math"/>
      <w:iCs/>
      <w:sz w:val="14"/>
      <w:szCs w:val="14"/>
      <w:lang w:val="en-US"/>
    </w:rPr>
  </w:style>
  <w:style w:type="paragraph" w:styleId="EndnoteText">
    <w:name w:val="endnote text"/>
    <w:basedOn w:val="Normal"/>
    <w:link w:val="EndnoteTextChar"/>
    <w:rsid w:val="006E2A32"/>
  </w:style>
  <w:style w:type="character" w:customStyle="1" w:styleId="EndnoteTextChar">
    <w:name w:val="Endnote Text Char"/>
    <w:basedOn w:val="DefaultParagraphFont"/>
    <w:link w:val="EndnoteText"/>
    <w:rsid w:val="006E2A32"/>
  </w:style>
  <w:style w:type="character" w:styleId="EndnoteReference">
    <w:name w:val="endnote reference"/>
    <w:basedOn w:val="DefaultParagraphFont"/>
    <w:rsid w:val="006E2A32"/>
    <w:rPr>
      <w:vertAlign w:val="superscript"/>
    </w:rPr>
  </w:style>
  <w:style w:type="paragraph" w:customStyle="1" w:styleId="noraml">
    <w:name w:val="noraml"/>
    <w:basedOn w:val="BodyText"/>
    <w:link w:val="noramlChar"/>
    <w:qFormat/>
    <w:rsid w:val="00843B16"/>
    <w:rPr>
      <w:lang w:val="en-US"/>
    </w:rPr>
  </w:style>
  <w:style w:type="character" w:customStyle="1" w:styleId="noramlChar">
    <w:name w:val="noraml Char"/>
    <w:basedOn w:val="BodyTextChar"/>
    <w:link w:val="noraml"/>
    <w:rsid w:val="00843B16"/>
    <w:rPr>
      <w:spacing w:val="-1"/>
      <w:lang w:val="x-none" w:eastAsia="x-none"/>
    </w:rPr>
  </w:style>
  <w:style w:type="character" w:styleId="PlaceholderText">
    <w:name w:val="Placeholder Text"/>
    <w:basedOn w:val="DefaultParagraphFont"/>
    <w:uiPriority w:val="99"/>
    <w:semiHidden/>
    <w:rsid w:val="00456667"/>
    <w:rPr>
      <w:color w:val="666666"/>
    </w:rPr>
  </w:style>
  <w:style w:type="paragraph" w:styleId="ListParagraph">
    <w:name w:val="List Paragraph"/>
    <w:basedOn w:val="Normal"/>
    <w:uiPriority w:val="34"/>
    <w:qFormat/>
    <w:rsid w:val="004C6AA0"/>
    <w:pPr>
      <w:ind w:start="36pt"/>
      <w:contextualSpacing/>
    </w:pPr>
  </w:style>
  <w:style w:type="table" w:styleId="TableGrid">
    <w:name w:val="Table Grid"/>
    <w:basedOn w:val="TableNormal"/>
    <w:rsid w:val="00E556A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Revision">
    <w:name w:val="Revision"/>
    <w:hidden/>
    <w:uiPriority w:val="99"/>
    <w:semiHidden/>
    <w:rsid w:val="00994363"/>
    <w:rPr>
      <w:spacing w:val="-1"/>
      <w:lang w:val="x-none" w:eastAsia="x-none"/>
    </w:rPr>
  </w:style>
  <w:style w:type="paragraph" w:styleId="NormalWeb">
    <w:name w:val="Normal (Web)"/>
    <w:basedOn w:val="Normal"/>
    <w:uiPriority w:val="99"/>
    <w:unhideWhenUsed/>
    <w:rsid w:val="00F6140B"/>
    <w:pPr>
      <w:tabs>
        <w:tab w:val="clear" w:pos="14.40pt"/>
      </w:tabs>
      <w:spacing w:before="5pt" w:beforeAutospacing="1" w:after="5pt" w:afterAutospacing="1" w:line="12pt" w:lineRule="auto"/>
      <w:ind w:firstLine="0pt"/>
      <w:jc w:val="start"/>
    </w:pPr>
    <w:rPr>
      <w:rFonts w:eastAsia="Times New Roman"/>
      <w:spacing w:val="0"/>
      <w:sz w:val="24"/>
      <w:szCs w:val="24"/>
      <w:lang w:val="en-US" w:eastAsia="zh-CN"/>
    </w:rPr>
  </w:style>
  <w:style w:type="character" w:styleId="Hyperlink">
    <w:name w:val="Hyperlink"/>
    <w:basedOn w:val="DefaultParagraphFont"/>
    <w:rsid w:val="00ED6264"/>
    <w:rPr>
      <w:color w:val="0563C1" w:themeColor="hyperlink"/>
      <w:u w:val="single"/>
    </w:rPr>
  </w:style>
  <w:style w:type="character" w:styleId="UnresolvedMention">
    <w:name w:val="Unresolved Mention"/>
    <w:basedOn w:val="DefaultParagraphFont"/>
    <w:uiPriority w:val="99"/>
    <w:semiHidden/>
    <w:unhideWhenUsed/>
    <w:rsid w:val="00ED6264"/>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9340536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05441332">
          <w:marLeft w:val="0pt"/>
          <w:marRight w:val="0pt"/>
          <w:marTop w:val="0pt"/>
          <w:marBottom w:val="0pt"/>
          <w:divBdr>
            <w:top w:val="none" w:sz="0" w:space="0" w:color="auto"/>
            <w:left w:val="none" w:sz="0" w:space="0" w:color="auto"/>
            <w:bottom w:val="none" w:sz="0" w:space="0" w:color="auto"/>
            <w:right w:val="none" w:sz="0" w:space="0" w:color="auto"/>
          </w:divBdr>
          <w:divsChild>
            <w:div w:id="99353277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96953902">
      <w:bodyDiv w:val="1"/>
      <w:marLeft w:val="0pt"/>
      <w:marRight w:val="0pt"/>
      <w:marTop w:val="0pt"/>
      <w:marBottom w:val="0pt"/>
      <w:divBdr>
        <w:top w:val="none" w:sz="0" w:space="0" w:color="auto"/>
        <w:left w:val="none" w:sz="0" w:space="0" w:color="auto"/>
        <w:bottom w:val="none" w:sz="0" w:space="0" w:color="auto"/>
        <w:right w:val="none" w:sz="0" w:space="0" w:color="auto"/>
      </w:divBdr>
    </w:div>
    <w:div w:id="10769887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14046778">
          <w:marLeft w:val="0pt"/>
          <w:marRight w:val="0pt"/>
          <w:marTop w:val="0pt"/>
          <w:marBottom w:val="0pt"/>
          <w:divBdr>
            <w:top w:val="none" w:sz="0" w:space="0" w:color="auto"/>
            <w:left w:val="none" w:sz="0" w:space="0" w:color="auto"/>
            <w:bottom w:val="none" w:sz="0" w:space="0" w:color="auto"/>
            <w:right w:val="none" w:sz="0" w:space="0" w:color="auto"/>
          </w:divBdr>
          <w:divsChild>
            <w:div w:id="77655853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50216271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111439735">
          <w:marLeft w:val="0pt"/>
          <w:marRight w:val="0pt"/>
          <w:marTop w:val="0pt"/>
          <w:marBottom w:val="0pt"/>
          <w:divBdr>
            <w:top w:val="single" w:sz="2" w:space="0" w:color="DEE0E3"/>
            <w:left w:val="single" w:sz="2" w:space="2" w:color="DEE0E3"/>
            <w:bottom w:val="single" w:sz="2" w:space="0" w:color="DEE0E3"/>
            <w:right w:val="single" w:sz="2" w:space="0" w:color="DEE0E3"/>
          </w:divBdr>
          <w:divsChild>
            <w:div w:id="1089932107">
              <w:marLeft w:val="0pt"/>
              <w:marRight w:val="0pt"/>
              <w:marTop w:val="0pt"/>
              <w:marBottom w:val="0pt"/>
              <w:divBdr>
                <w:top w:val="single" w:sz="2" w:space="0" w:color="DEE0E3"/>
                <w:left w:val="single" w:sz="2" w:space="0" w:color="DEE0E3"/>
                <w:bottom w:val="single" w:sz="2" w:space="0" w:color="DEE0E3"/>
                <w:right w:val="single" w:sz="2" w:space="0" w:color="DEE0E3"/>
              </w:divBdr>
              <w:divsChild>
                <w:div w:id="31418444">
                  <w:marLeft w:val="0pt"/>
                  <w:marRight w:val="0pt"/>
                  <w:marTop w:val="0pt"/>
                  <w:marBottom w:val="0pt"/>
                  <w:divBdr>
                    <w:top w:val="single" w:sz="2" w:space="0" w:color="DEE0E3"/>
                    <w:left w:val="single" w:sz="2" w:space="0" w:color="DEE0E3"/>
                    <w:bottom w:val="single" w:sz="2" w:space="0" w:color="DEE0E3"/>
                    <w:right w:val="single" w:sz="2" w:space="0" w:color="DEE0E3"/>
                  </w:divBdr>
                  <w:divsChild>
                    <w:div w:id="148719381">
                      <w:marLeft w:val="0pt"/>
                      <w:marRight w:val="0pt"/>
                      <w:marTop w:val="0pt"/>
                      <w:marBottom w:val="0pt"/>
                      <w:divBdr>
                        <w:top w:val="single" w:sz="6" w:space="0" w:color="auto"/>
                        <w:left w:val="single" w:sz="2" w:space="0" w:color="DEE0E3"/>
                        <w:bottom w:val="single" w:sz="2" w:space="0" w:color="DEE0E3"/>
                        <w:right w:val="single" w:sz="2" w:space="0" w:color="DEE0E3"/>
                      </w:divBdr>
                      <w:divsChild>
                        <w:div w:id="1837109186">
                          <w:marLeft w:val="0pt"/>
                          <w:marRight w:val="0pt"/>
                          <w:marTop w:val="0pt"/>
                          <w:marBottom w:val="0pt"/>
                          <w:divBdr>
                            <w:top w:val="single" w:sz="2" w:space="0" w:color="DEE0E3"/>
                            <w:left w:val="single" w:sz="2" w:space="0" w:color="DEE0E3"/>
                            <w:bottom w:val="single" w:sz="2" w:space="0" w:color="DEE0E3"/>
                            <w:right w:val="single" w:sz="2" w:space="0" w:color="DEE0E3"/>
                          </w:divBdr>
                          <w:divsChild>
                            <w:div w:id="1091656486">
                              <w:marLeft w:val="0pt"/>
                              <w:marRight w:val="0pt"/>
                              <w:marTop w:val="0pt"/>
                              <w:marBottom w:val="0pt"/>
                              <w:divBdr>
                                <w:top w:val="single" w:sz="2" w:space="0" w:color="DEE0E3"/>
                                <w:left w:val="single" w:sz="2" w:space="0" w:color="DEE0E3"/>
                                <w:bottom w:val="single" w:sz="2" w:space="0" w:color="DEE0E3"/>
                                <w:right w:val="single" w:sz="2" w:space="0" w:color="DEE0E3"/>
                              </w:divBdr>
                              <w:divsChild>
                                <w:div w:id="1818913006">
                                  <w:marLeft w:val="0pt"/>
                                  <w:marRight w:val="0pt"/>
                                  <w:marTop w:val="0pt"/>
                                  <w:marBottom w:val="0pt"/>
                                  <w:divBdr>
                                    <w:top w:val="single" w:sz="2" w:space="0" w:color="DEE0E3"/>
                                    <w:left w:val="single" w:sz="2" w:space="0" w:color="DEE0E3"/>
                                    <w:bottom w:val="single" w:sz="6" w:space="0" w:color="auto"/>
                                    <w:right w:val="single" w:sz="2" w:space="0" w:color="DEE0E3"/>
                                  </w:divBdr>
                                </w:div>
                                <w:div w:id="703409634">
                                  <w:marLeft w:val="0pt"/>
                                  <w:marRight w:val="0pt"/>
                                  <w:marTop w:val="0pt"/>
                                  <w:marBottom w:val="0pt"/>
                                  <w:divBdr>
                                    <w:top w:val="single" w:sz="2" w:space="0" w:color="DEE0E3"/>
                                    <w:left w:val="single" w:sz="2" w:space="0" w:color="DEE0E3"/>
                                    <w:bottom w:val="single" w:sz="6" w:space="0" w:color="auto"/>
                                    <w:right w:val="single" w:sz="2" w:space="0" w:color="DEE0E3"/>
                                  </w:divBdr>
                                </w:div>
                              </w:divsChild>
                            </w:div>
                          </w:divsChild>
                        </w:div>
                      </w:divsChild>
                    </w:div>
                  </w:divsChild>
                </w:div>
              </w:divsChild>
            </w:div>
          </w:divsChild>
        </w:div>
      </w:divsChild>
    </w:div>
    <w:div w:id="52359940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7166405">
          <w:marLeft w:val="0pt"/>
          <w:marRight w:val="0pt"/>
          <w:marTop w:val="0pt"/>
          <w:marBottom w:val="0pt"/>
          <w:divBdr>
            <w:top w:val="none" w:sz="0" w:space="0" w:color="auto"/>
            <w:left w:val="none" w:sz="0" w:space="0" w:color="auto"/>
            <w:bottom w:val="none" w:sz="0" w:space="0" w:color="auto"/>
            <w:right w:val="none" w:sz="0" w:space="0" w:color="auto"/>
          </w:divBdr>
        </w:div>
      </w:divsChild>
    </w:div>
    <w:div w:id="585919423">
      <w:bodyDiv w:val="1"/>
      <w:marLeft w:val="0pt"/>
      <w:marRight w:val="0pt"/>
      <w:marTop w:val="0pt"/>
      <w:marBottom w:val="0pt"/>
      <w:divBdr>
        <w:top w:val="none" w:sz="0" w:space="0" w:color="auto"/>
        <w:left w:val="none" w:sz="0" w:space="0" w:color="auto"/>
        <w:bottom w:val="none" w:sz="0" w:space="0" w:color="auto"/>
        <w:right w:val="none" w:sz="0" w:space="0" w:color="auto"/>
      </w:divBdr>
    </w:div>
    <w:div w:id="624700892">
      <w:bodyDiv w:val="1"/>
      <w:marLeft w:val="0pt"/>
      <w:marRight w:val="0pt"/>
      <w:marTop w:val="0pt"/>
      <w:marBottom w:val="0pt"/>
      <w:divBdr>
        <w:top w:val="none" w:sz="0" w:space="0" w:color="auto"/>
        <w:left w:val="none" w:sz="0" w:space="0" w:color="auto"/>
        <w:bottom w:val="none" w:sz="0" w:space="0" w:color="auto"/>
        <w:right w:val="none" w:sz="0" w:space="0" w:color="auto"/>
      </w:divBdr>
    </w:div>
    <w:div w:id="686711897">
      <w:bodyDiv w:val="1"/>
      <w:marLeft w:val="0pt"/>
      <w:marRight w:val="0pt"/>
      <w:marTop w:val="0pt"/>
      <w:marBottom w:val="0pt"/>
      <w:divBdr>
        <w:top w:val="none" w:sz="0" w:space="0" w:color="auto"/>
        <w:left w:val="none" w:sz="0" w:space="0" w:color="auto"/>
        <w:bottom w:val="none" w:sz="0" w:space="0" w:color="auto"/>
        <w:right w:val="none" w:sz="0" w:space="0" w:color="auto"/>
      </w:divBdr>
    </w:div>
    <w:div w:id="73520312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48881999">
          <w:marLeft w:val="0pt"/>
          <w:marRight w:val="0pt"/>
          <w:marTop w:val="0pt"/>
          <w:marBottom w:val="0pt"/>
          <w:divBdr>
            <w:top w:val="none" w:sz="0" w:space="0" w:color="auto"/>
            <w:left w:val="none" w:sz="0" w:space="0" w:color="auto"/>
            <w:bottom w:val="none" w:sz="0" w:space="0" w:color="auto"/>
            <w:right w:val="none" w:sz="0" w:space="0" w:color="auto"/>
          </w:divBdr>
          <w:divsChild>
            <w:div w:id="10539677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781152099">
      <w:bodyDiv w:val="1"/>
      <w:marLeft w:val="0pt"/>
      <w:marRight w:val="0pt"/>
      <w:marTop w:val="0pt"/>
      <w:marBottom w:val="0pt"/>
      <w:divBdr>
        <w:top w:val="none" w:sz="0" w:space="0" w:color="auto"/>
        <w:left w:val="none" w:sz="0" w:space="0" w:color="auto"/>
        <w:bottom w:val="none" w:sz="0" w:space="0" w:color="auto"/>
        <w:right w:val="none" w:sz="0" w:space="0" w:color="auto"/>
      </w:divBdr>
    </w:div>
    <w:div w:id="87322779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49017505">
          <w:marLeft w:val="0pt"/>
          <w:marRight w:val="0pt"/>
          <w:marTop w:val="0pt"/>
          <w:marBottom w:val="0pt"/>
          <w:divBdr>
            <w:top w:val="none" w:sz="0" w:space="0" w:color="auto"/>
            <w:left w:val="none" w:sz="0" w:space="0" w:color="auto"/>
            <w:bottom w:val="none" w:sz="0" w:space="0" w:color="auto"/>
            <w:right w:val="none" w:sz="0" w:space="0" w:color="auto"/>
          </w:divBdr>
          <w:divsChild>
            <w:div w:id="1288700322">
              <w:marLeft w:val="0pt"/>
              <w:marRight w:val="0pt"/>
              <w:marTop w:val="0pt"/>
              <w:marBottom w:val="0pt"/>
              <w:divBdr>
                <w:top w:val="none" w:sz="0" w:space="0" w:color="auto"/>
                <w:left w:val="none" w:sz="0" w:space="0" w:color="auto"/>
                <w:bottom w:val="none" w:sz="0" w:space="0" w:color="auto"/>
                <w:right w:val="none" w:sz="0" w:space="0" w:color="auto"/>
              </w:divBdr>
              <w:divsChild>
                <w:div w:id="1550336684">
                  <w:marLeft w:val="0pt"/>
                  <w:marRight w:val="0pt"/>
                  <w:marTop w:val="0pt"/>
                  <w:marBottom w:val="0pt"/>
                  <w:divBdr>
                    <w:top w:val="none" w:sz="0" w:space="0" w:color="auto"/>
                    <w:left w:val="none" w:sz="0" w:space="0" w:color="auto"/>
                    <w:bottom w:val="none" w:sz="0" w:space="0" w:color="auto"/>
                    <w:right w:val="none" w:sz="0" w:space="0" w:color="auto"/>
                  </w:divBdr>
                  <w:divsChild>
                    <w:div w:id="1446149368">
                      <w:marLeft w:val="0pt"/>
                      <w:marRight w:val="0pt"/>
                      <w:marTop w:val="0pt"/>
                      <w:marBottom w:val="0pt"/>
                      <w:divBdr>
                        <w:top w:val="none" w:sz="0" w:space="0" w:color="auto"/>
                        <w:left w:val="none" w:sz="0" w:space="0" w:color="auto"/>
                        <w:bottom w:val="none" w:sz="0" w:space="0" w:color="auto"/>
                        <w:right w:val="none" w:sz="0" w:space="0" w:color="auto"/>
                      </w:divBdr>
                      <w:divsChild>
                        <w:div w:id="1156995094">
                          <w:marLeft w:val="0pt"/>
                          <w:marRight w:val="0pt"/>
                          <w:marTop w:val="0pt"/>
                          <w:marBottom w:val="0pt"/>
                          <w:divBdr>
                            <w:top w:val="none" w:sz="0" w:space="0" w:color="auto"/>
                            <w:left w:val="none" w:sz="0" w:space="0" w:color="auto"/>
                            <w:bottom w:val="none" w:sz="0" w:space="0" w:color="auto"/>
                            <w:right w:val="none" w:sz="0" w:space="0" w:color="auto"/>
                          </w:divBdr>
                          <w:divsChild>
                            <w:div w:id="226494606">
                              <w:marLeft w:val="-12pt"/>
                              <w:marRight w:val="-6pt"/>
                              <w:marTop w:val="0pt"/>
                              <w:marBottom w:val="0pt"/>
                              <w:divBdr>
                                <w:top w:val="none" w:sz="0" w:space="0" w:color="auto"/>
                                <w:left w:val="none" w:sz="0" w:space="0" w:color="auto"/>
                                <w:bottom w:val="none" w:sz="0" w:space="0" w:color="auto"/>
                                <w:right w:val="none" w:sz="0" w:space="0" w:color="auto"/>
                              </w:divBdr>
                              <w:divsChild>
                                <w:div w:id="1650406477">
                                  <w:marLeft w:val="0pt"/>
                                  <w:marRight w:val="0pt"/>
                                  <w:marTop w:val="0pt"/>
                                  <w:marBottom w:val="3pt"/>
                                  <w:divBdr>
                                    <w:top w:val="none" w:sz="0" w:space="0" w:color="auto"/>
                                    <w:left w:val="none" w:sz="0" w:space="0" w:color="auto"/>
                                    <w:bottom w:val="none" w:sz="0" w:space="0" w:color="auto"/>
                                    <w:right w:val="none" w:sz="0" w:space="0" w:color="auto"/>
                                  </w:divBdr>
                                  <w:divsChild>
                                    <w:div w:id="2024159242">
                                      <w:marLeft w:val="0pt"/>
                                      <w:marRight w:val="0pt"/>
                                      <w:marTop w:val="0pt"/>
                                      <w:marBottom w:val="0pt"/>
                                      <w:divBdr>
                                        <w:top w:val="none" w:sz="0" w:space="0" w:color="auto"/>
                                        <w:left w:val="none" w:sz="0" w:space="0" w:color="auto"/>
                                        <w:bottom w:val="none" w:sz="0" w:space="0" w:color="auto"/>
                                        <w:right w:val="none" w:sz="0" w:space="0" w:color="auto"/>
                                      </w:divBdr>
                                      <w:divsChild>
                                        <w:div w:id="335807274">
                                          <w:marLeft w:val="0pt"/>
                                          <w:marRight w:val="0pt"/>
                                          <w:marTop w:val="0pt"/>
                                          <w:marBottom w:val="0pt"/>
                                          <w:divBdr>
                                            <w:top w:val="none" w:sz="0" w:space="0" w:color="auto"/>
                                            <w:left w:val="none" w:sz="0" w:space="0" w:color="auto"/>
                                            <w:bottom w:val="none" w:sz="0" w:space="0" w:color="auto"/>
                                            <w:right w:val="none" w:sz="0" w:space="0" w:color="auto"/>
                                          </w:divBdr>
                                          <w:divsChild>
                                            <w:div w:id="1388067858">
                                              <w:marLeft w:val="0pt"/>
                                              <w:marRight w:val="0pt"/>
                                              <w:marTop w:val="0pt"/>
                                              <w:marBottom w:val="0pt"/>
                                              <w:divBdr>
                                                <w:top w:val="none" w:sz="0" w:space="0" w:color="auto"/>
                                                <w:left w:val="none" w:sz="0" w:space="0" w:color="auto"/>
                                                <w:bottom w:val="none" w:sz="0" w:space="0" w:color="auto"/>
                                                <w:right w:val="none" w:sz="0" w:space="0" w:color="auto"/>
                                              </w:divBdr>
                                              <w:divsChild>
                                                <w:div w:id="20227745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955663">
          <w:marLeft w:val="0pt"/>
          <w:marRight w:val="0pt"/>
          <w:marTop w:val="0pt"/>
          <w:marBottom w:val="0pt"/>
          <w:divBdr>
            <w:top w:val="none" w:sz="0" w:space="0" w:color="auto"/>
            <w:left w:val="none" w:sz="0" w:space="0" w:color="auto"/>
            <w:bottom w:val="none" w:sz="0" w:space="0" w:color="auto"/>
            <w:right w:val="none" w:sz="0" w:space="0" w:color="auto"/>
          </w:divBdr>
          <w:divsChild>
            <w:div w:id="225528213">
              <w:marLeft w:val="0pt"/>
              <w:marRight w:val="0pt"/>
              <w:marTop w:val="0pt"/>
              <w:marBottom w:val="0pt"/>
              <w:divBdr>
                <w:top w:val="none" w:sz="0" w:space="0" w:color="auto"/>
                <w:left w:val="none" w:sz="0" w:space="0" w:color="auto"/>
                <w:bottom w:val="none" w:sz="0" w:space="0" w:color="auto"/>
                <w:right w:val="none" w:sz="0" w:space="0" w:color="auto"/>
              </w:divBdr>
              <w:divsChild>
                <w:div w:id="962538366">
                  <w:marLeft w:val="0pt"/>
                  <w:marRight w:val="0pt"/>
                  <w:marTop w:val="0pt"/>
                  <w:marBottom w:val="0pt"/>
                  <w:divBdr>
                    <w:top w:val="none" w:sz="0" w:space="0" w:color="auto"/>
                    <w:left w:val="none" w:sz="0" w:space="0" w:color="auto"/>
                    <w:bottom w:val="none" w:sz="0" w:space="0" w:color="auto"/>
                    <w:right w:val="none" w:sz="0" w:space="0" w:color="auto"/>
                  </w:divBdr>
                  <w:divsChild>
                    <w:div w:id="98959808">
                      <w:marLeft w:val="0pt"/>
                      <w:marRight w:val="0pt"/>
                      <w:marTop w:val="0pt"/>
                      <w:marBottom w:val="0pt"/>
                      <w:divBdr>
                        <w:top w:val="none" w:sz="0" w:space="0" w:color="auto"/>
                        <w:left w:val="none" w:sz="0" w:space="0" w:color="auto"/>
                        <w:bottom w:val="none" w:sz="0" w:space="0" w:color="auto"/>
                        <w:right w:val="none" w:sz="0" w:space="0" w:color="auto"/>
                      </w:divBdr>
                      <w:divsChild>
                        <w:div w:id="420183238">
                          <w:marLeft w:val="0pt"/>
                          <w:marRight w:val="0pt"/>
                          <w:marTop w:val="0pt"/>
                          <w:marBottom w:val="0pt"/>
                          <w:divBdr>
                            <w:top w:val="none" w:sz="0" w:space="0" w:color="auto"/>
                            <w:left w:val="none" w:sz="0" w:space="0" w:color="auto"/>
                            <w:bottom w:val="none" w:sz="0" w:space="0" w:color="auto"/>
                            <w:right w:val="none" w:sz="0" w:space="0" w:color="auto"/>
                          </w:divBdr>
                          <w:divsChild>
                            <w:div w:id="1882668339">
                              <w:marLeft w:val="0pt"/>
                              <w:marRight w:val="6pt"/>
                              <w:marTop w:val="0pt"/>
                              <w:marBottom w:val="0pt"/>
                              <w:divBdr>
                                <w:top w:val="none" w:sz="0" w:space="0" w:color="auto"/>
                                <w:left w:val="none" w:sz="0" w:space="0" w:color="auto"/>
                                <w:bottom w:val="none" w:sz="0" w:space="0" w:color="auto"/>
                                <w:right w:val="none" w:sz="0" w:space="0" w:color="auto"/>
                              </w:divBdr>
                              <w:divsChild>
                                <w:div w:id="597299774">
                                  <w:marLeft w:val="-15pt"/>
                                  <w:marRight w:val="0pt"/>
                                  <w:marTop w:val="0pt"/>
                                  <w:marBottom w:val="0pt"/>
                                  <w:divBdr>
                                    <w:top w:val="none" w:sz="0" w:space="0" w:color="auto"/>
                                    <w:left w:val="none" w:sz="0" w:space="0" w:color="auto"/>
                                    <w:bottom w:val="none" w:sz="0" w:space="0" w:color="auto"/>
                                    <w:right w:val="none" w:sz="0" w:space="0" w:color="auto"/>
                                  </w:divBdr>
                                </w:div>
                              </w:divsChild>
                            </w:div>
                            <w:div w:id="1501265019">
                              <w:marLeft w:val="-12pt"/>
                              <w:marRight w:val="-6pt"/>
                              <w:marTop w:val="0pt"/>
                              <w:marBottom w:val="0pt"/>
                              <w:divBdr>
                                <w:top w:val="none" w:sz="0" w:space="0" w:color="auto"/>
                                <w:left w:val="none" w:sz="0" w:space="0" w:color="auto"/>
                                <w:bottom w:val="none" w:sz="0" w:space="0" w:color="auto"/>
                                <w:right w:val="none" w:sz="0" w:space="0" w:color="auto"/>
                              </w:divBdr>
                              <w:divsChild>
                                <w:div w:id="457573458">
                                  <w:marLeft w:val="0pt"/>
                                  <w:marRight w:val="0pt"/>
                                  <w:marTop w:val="0pt"/>
                                  <w:marBottom w:val="3pt"/>
                                  <w:divBdr>
                                    <w:top w:val="none" w:sz="0" w:space="0" w:color="auto"/>
                                    <w:left w:val="none" w:sz="0" w:space="0" w:color="auto"/>
                                    <w:bottom w:val="none" w:sz="0" w:space="0" w:color="auto"/>
                                    <w:right w:val="none" w:sz="0" w:space="0" w:color="auto"/>
                                  </w:divBdr>
                                  <w:divsChild>
                                    <w:div w:id="1957364360">
                                      <w:marLeft w:val="0pt"/>
                                      <w:marRight w:val="0pt"/>
                                      <w:marTop w:val="0pt"/>
                                      <w:marBottom w:val="0pt"/>
                                      <w:divBdr>
                                        <w:top w:val="none" w:sz="0" w:space="0" w:color="auto"/>
                                        <w:left w:val="none" w:sz="0" w:space="0" w:color="auto"/>
                                        <w:bottom w:val="none" w:sz="0" w:space="0" w:color="auto"/>
                                        <w:right w:val="none" w:sz="0" w:space="0" w:color="auto"/>
                                      </w:divBdr>
                                      <w:divsChild>
                                        <w:div w:id="1298224857">
                                          <w:marLeft w:val="0pt"/>
                                          <w:marRight w:val="0pt"/>
                                          <w:marTop w:val="0pt"/>
                                          <w:marBottom w:val="0pt"/>
                                          <w:divBdr>
                                            <w:top w:val="none" w:sz="0" w:space="0" w:color="auto"/>
                                            <w:left w:val="none" w:sz="0" w:space="0" w:color="auto"/>
                                            <w:bottom w:val="none" w:sz="0" w:space="0" w:color="auto"/>
                                            <w:right w:val="none" w:sz="0" w:space="0" w:color="auto"/>
                                          </w:divBdr>
                                          <w:divsChild>
                                            <w:div w:id="1364014179">
                                              <w:marLeft w:val="0pt"/>
                                              <w:marRight w:val="0pt"/>
                                              <w:marTop w:val="0pt"/>
                                              <w:marBottom w:val="0pt"/>
                                              <w:divBdr>
                                                <w:top w:val="none" w:sz="0" w:space="0" w:color="auto"/>
                                                <w:left w:val="none" w:sz="0" w:space="0" w:color="auto"/>
                                                <w:bottom w:val="none" w:sz="0" w:space="0" w:color="auto"/>
                                                <w:right w:val="none" w:sz="0" w:space="0" w:color="auto"/>
                                              </w:divBdr>
                                              <w:divsChild>
                                                <w:div w:id="204570848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748635">
                          <w:marLeft w:val="0pt"/>
                          <w:marRight w:val="0pt"/>
                          <w:marTop w:val="0pt"/>
                          <w:marBottom w:val="0pt"/>
                          <w:divBdr>
                            <w:top w:val="none" w:sz="0" w:space="0" w:color="auto"/>
                            <w:left w:val="none" w:sz="0" w:space="0" w:color="auto"/>
                            <w:bottom w:val="none" w:sz="0" w:space="0" w:color="auto"/>
                            <w:right w:val="none" w:sz="0" w:space="0" w:color="auto"/>
                          </w:divBdr>
                          <w:divsChild>
                            <w:div w:id="1764110118">
                              <w:marLeft w:val="6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476996524">
          <w:marLeft w:val="0pt"/>
          <w:marRight w:val="0pt"/>
          <w:marTop w:val="0pt"/>
          <w:marBottom w:val="0pt"/>
          <w:divBdr>
            <w:top w:val="none" w:sz="0" w:space="0" w:color="auto"/>
            <w:left w:val="none" w:sz="0" w:space="0" w:color="auto"/>
            <w:bottom w:val="none" w:sz="0" w:space="0" w:color="auto"/>
            <w:right w:val="none" w:sz="0" w:space="0" w:color="auto"/>
          </w:divBdr>
          <w:divsChild>
            <w:div w:id="855996288">
              <w:marLeft w:val="0pt"/>
              <w:marRight w:val="0pt"/>
              <w:marTop w:val="0pt"/>
              <w:marBottom w:val="0pt"/>
              <w:divBdr>
                <w:top w:val="none" w:sz="0" w:space="0" w:color="auto"/>
                <w:left w:val="none" w:sz="0" w:space="0" w:color="auto"/>
                <w:bottom w:val="none" w:sz="0" w:space="0" w:color="auto"/>
                <w:right w:val="none" w:sz="0" w:space="0" w:color="auto"/>
              </w:divBdr>
              <w:divsChild>
                <w:div w:id="1884630187">
                  <w:marLeft w:val="0pt"/>
                  <w:marRight w:val="0pt"/>
                  <w:marTop w:val="0pt"/>
                  <w:marBottom w:val="0pt"/>
                  <w:divBdr>
                    <w:top w:val="none" w:sz="0" w:space="0" w:color="auto"/>
                    <w:left w:val="none" w:sz="0" w:space="0" w:color="auto"/>
                    <w:bottom w:val="none" w:sz="0" w:space="0" w:color="auto"/>
                    <w:right w:val="none" w:sz="0" w:space="0" w:color="auto"/>
                  </w:divBdr>
                  <w:divsChild>
                    <w:div w:id="262735749">
                      <w:marLeft w:val="0pt"/>
                      <w:marRight w:val="0pt"/>
                      <w:marTop w:val="0pt"/>
                      <w:marBottom w:val="0pt"/>
                      <w:divBdr>
                        <w:top w:val="none" w:sz="0" w:space="0" w:color="auto"/>
                        <w:left w:val="none" w:sz="0" w:space="0" w:color="auto"/>
                        <w:bottom w:val="none" w:sz="0" w:space="0" w:color="auto"/>
                        <w:right w:val="none" w:sz="0" w:space="0" w:color="auto"/>
                      </w:divBdr>
                      <w:divsChild>
                        <w:div w:id="142742123">
                          <w:marLeft w:val="0pt"/>
                          <w:marRight w:val="0pt"/>
                          <w:marTop w:val="0pt"/>
                          <w:marBottom w:val="0pt"/>
                          <w:divBdr>
                            <w:top w:val="none" w:sz="0" w:space="0" w:color="auto"/>
                            <w:left w:val="none" w:sz="0" w:space="0" w:color="auto"/>
                            <w:bottom w:val="none" w:sz="0" w:space="0" w:color="auto"/>
                            <w:right w:val="none" w:sz="0" w:space="0" w:color="auto"/>
                          </w:divBdr>
                          <w:divsChild>
                            <w:div w:id="1171749460">
                              <w:marLeft w:val="0pt"/>
                              <w:marRight w:val="6pt"/>
                              <w:marTop w:val="0pt"/>
                              <w:marBottom w:val="0pt"/>
                              <w:divBdr>
                                <w:top w:val="none" w:sz="0" w:space="0" w:color="auto"/>
                                <w:left w:val="none" w:sz="0" w:space="0" w:color="auto"/>
                                <w:bottom w:val="none" w:sz="0" w:space="0" w:color="auto"/>
                                <w:right w:val="none" w:sz="0" w:space="0" w:color="auto"/>
                              </w:divBdr>
                              <w:divsChild>
                                <w:div w:id="2106076372">
                                  <w:marLeft w:val="-15pt"/>
                                  <w:marRight w:val="0pt"/>
                                  <w:marTop w:val="0pt"/>
                                  <w:marBottom w:val="0pt"/>
                                  <w:divBdr>
                                    <w:top w:val="none" w:sz="0" w:space="0" w:color="auto"/>
                                    <w:left w:val="none" w:sz="0" w:space="0" w:color="auto"/>
                                    <w:bottom w:val="none" w:sz="0" w:space="0" w:color="auto"/>
                                    <w:right w:val="none" w:sz="0" w:space="0" w:color="auto"/>
                                  </w:divBdr>
                                </w:div>
                              </w:divsChild>
                            </w:div>
                            <w:div w:id="1220021926">
                              <w:marLeft w:val="-12pt"/>
                              <w:marRight w:val="-6pt"/>
                              <w:marTop w:val="0pt"/>
                              <w:marBottom w:val="0pt"/>
                              <w:divBdr>
                                <w:top w:val="none" w:sz="0" w:space="0" w:color="auto"/>
                                <w:left w:val="none" w:sz="0" w:space="0" w:color="auto"/>
                                <w:bottom w:val="none" w:sz="0" w:space="0" w:color="auto"/>
                                <w:right w:val="none" w:sz="0" w:space="0" w:color="auto"/>
                              </w:divBdr>
                              <w:divsChild>
                                <w:div w:id="777525368">
                                  <w:marLeft w:val="0pt"/>
                                  <w:marRight w:val="0pt"/>
                                  <w:marTop w:val="0pt"/>
                                  <w:marBottom w:val="3pt"/>
                                  <w:divBdr>
                                    <w:top w:val="none" w:sz="0" w:space="0" w:color="auto"/>
                                    <w:left w:val="none" w:sz="0" w:space="0" w:color="auto"/>
                                    <w:bottom w:val="none" w:sz="0" w:space="0" w:color="auto"/>
                                    <w:right w:val="none" w:sz="0" w:space="0" w:color="auto"/>
                                  </w:divBdr>
                                  <w:divsChild>
                                    <w:div w:id="1247884867">
                                      <w:marLeft w:val="0pt"/>
                                      <w:marRight w:val="0pt"/>
                                      <w:marTop w:val="0pt"/>
                                      <w:marBottom w:val="0pt"/>
                                      <w:divBdr>
                                        <w:top w:val="none" w:sz="0" w:space="0" w:color="auto"/>
                                        <w:left w:val="none" w:sz="0" w:space="0" w:color="auto"/>
                                        <w:bottom w:val="none" w:sz="0" w:space="0" w:color="auto"/>
                                        <w:right w:val="none" w:sz="0" w:space="0" w:color="auto"/>
                                      </w:divBdr>
                                      <w:divsChild>
                                        <w:div w:id="568805126">
                                          <w:marLeft w:val="0pt"/>
                                          <w:marRight w:val="0pt"/>
                                          <w:marTop w:val="0pt"/>
                                          <w:marBottom w:val="0pt"/>
                                          <w:divBdr>
                                            <w:top w:val="none" w:sz="0" w:space="0" w:color="auto"/>
                                            <w:left w:val="none" w:sz="0" w:space="0" w:color="auto"/>
                                            <w:bottom w:val="none" w:sz="0" w:space="0" w:color="auto"/>
                                            <w:right w:val="none" w:sz="0" w:space="0" w:color="auto"/>
                                          </w:divBdr>
                                          <w:divsChild>
                                            <w:div w:id="1697659118">
                                              <w:marLeft w:val="0pt"/>
                                              <w:marRight w:val="0pt"/>
                                              <w:marTop w:val="0pt"/>
                                              <w:marBottom w:val="0pt"/>
                                              <w:divBdr>
                                                <w:top w:val="none" w:sz="0" w:space="0" w:color="auto"/>
                                                <w:left w:val="none" w:sz="0" w:space="0" w:color="auto"/>
                                                <w:bottom w:val="none" w:sz="0" w:space="0" w:color="auto"/>
                                                <w:right w:val="none" w:sz="0" w:space="0" w:color="auto"/>
                                              </w:divBdr>
                                              <w:divsChild>
                                                <w:div w:id="782614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230767">
          <w:marLeft w:val="0pt"/>
          <w:marRight w:val="0pt"/>
          <w:marTop w:val="0pt"/>
          <w:marBottom w:val="0pt"/>
          <w:divBdr>
            <w:top w:val="none" w:sz="0" w:space="0" w:color="auto"/>
            <w:left w:val="none" w:sz="0" w:space="0" w:color="auto"/>
            <w:bottom w:val="none" w:sz="0" w:space="0" w:color="auto"/>
            <w:right w:val="none" w:sz="0" w:space="0" w:color="auto"/>
          </w:divBdr>
          <w:divsChild>
            <w:div w:id="398673830">
              <w:marLeft w:val="0pt"/>
              <w:marRight w:val="0pt"/>
              <w:marTop w:val="0pt"/>
              <w:marBottom w:val="12pt"/>
              <w:divBdr>
                <w:top w:val="none" w:sz="0" w:space="0" w:color="auto"/>
                <w:left w:val="none" w:sz="0" w:space="0" w:color="auto"/>
                <w:bottom w:val="none" w:sz="0" w:space="0" w:color="auto"/>
                <w:right w:val="none" w:sz="0" w:space="0" w:color="auto"/>
              </w:divBdr>
              <w:divsChild>
                <w:div w:id="1202399272">
                  <w:marLeft w:val="0pt"/>
                  <w:marRight w:val="0pt"/>
                  <w:marTop w:val="0pt"/>
                  <w:marBottom w:val="0pt"/>
                  <w:divBdr>
                    <w:top w:val="none" w:sz="0" w:space="0" w:color="auto"/>
                    <w:left w:val="none" w:sz="0" w:space="0" w:color="auto"/>
                    <w:bottom w:val="none" w:sz="0" w:space="0" w:color="auto"/>
                    <w:right w:val="none" w:sz="0" w:space="0" w:color="auto"/>
                  </w:divBdr>
                  <w:divsChild>
                    <w:div w:id="1836874966">
                      <w:marLeft w:val="0pt"/>
                      <w:marRight w:val="0pt"/>
                      <w:marTop w:val="0pt"/>
                      <w:marBottom w:val="0pt"/>
                      <w:divBdr>
                        <w:top w:val="none" w:sz="0" w:space="0" w:color="auto"/>
                        <w:left w:val="none" w:sz="0" w:space="0" w:color="auto"/>
                        <w:bottom w:val="none" w:sz="0" w:space="0" w:color="auto"/>
                        <w:right w:val="none" w:sz="0" w:space="0" w:color="auto"/>
                      </w:divBdr>
                      <w:divsChild>
                        <w:div w:id="1360277637">
                          <w:marLeft w:val="0pt"/>
                          <w:marRight w:val="0pt"/>
                          <w:marTop w:val="0pt"/>
                          <w:marBottom w:val="0pt"/>
                          <w:divBdr>
                            <w:top w:val="none" w:sz="0" w:space="0" w:color="auto"/>
                            <w:left w:val="none" w:sz="0" w:space="0" w:color="auto"/>
                            <w:bottom w:val="none" w:sz="0" w:space="0" w:color="auto"/>
                            <w:right w:val="none" w:sz="0" w:space="0" w:color="auto"/>
                          </w:divBdr>
                          <w:divsChild>
                            <w:div w:id="1893299864">
                              <w:marLeft w:val="0pt"/>
                              <w:marRight w:val="6pt"/>
                              <w:marTop w:val="0pt"/>
                              <w:marBottom w:val="0pt"/>
                              <w:divBdr>
                                <w:top w:val="none" w:sz="0" w:space="0" w:color="auto"/>
                                <w:left w:val="none" w:sz="0" w:space="0" w:color="auto"/>
                                <w:bottom w:val="none" w:sz="0" w:space="0" w:color="auto"/>
                                <w:right w:val="none" w:sz="0" w:space="0" w:color="auto"/>
                              </w:divBdr>
                              <w:divsChild>
                                <w:div w:id="1571841020">
                                  <w:marLeft w:val="-15pt"/>
                                  <w:marRight w:val="0pt"/>
                                  <w:marTop w:val="0pt"/>
                                  <w:marBottom w:val="0pt"/>
                                  <w:divBdr>
                                    <w:top w:val="none" w:sz="0" w:space="0" w:color="auto"/>
                                    <w:left w:val="none" w:sz="0" w:space="0" w:color="auto"/>
                                    <w:bottom w:val="none" w:sz="0" w:space="0" w:color="auto"/>
                                    <w:right w:val="none" w:sz="0" w:space="0" w:color="auto"/>
                                  </w:divBdr>
                                </w:div>
                              </w:divsChild>
                            </w:div>
                            <w:div w:id="1528131350">
                              <w:marLeft w:val="-12pt"/>
                              <w:marRight w:val="-6pt"/>
                              <w:marTop w:val="0pt"/>
                              <w:marBottom w:val="0pt"/>
                              <w:divBdr>
                                <w:top w:val="none" w:sz="0" w:space="0" w:color="auto"/>
                                <w:left w:val="none" w:sz="0" w:space="0" w:color="auto"/>
                                <w:bottom w:val="none" w:sz="0" w:space="0" w:color="auto"/>
                                <w:right w:val="none" w:sz="0" w:space="0" w:color="auto"/>
                              </w:divBdr>
                              <w:divsChild>
                                <w:div w:id="437025326">
                                  <w:marLeft w:val="0pt"/>
                                  <w:marRight w:val="0pt"/>
                                  <w:marTop w:val="0pt"/>
                                  <w:marBottom w:val="3pt"/>
                                  <w:divBdr>
                                    <w:top w:val="none" w:sz="0" w:space="0" w:color="auto"/>
                                    <w:left w:val="none" w:sz="0" w:space="0" w:color="auto"/>
                                    <w:bottom w:val="none" w:sz="0" w:space="0" w:color="auto"/>
                                    <w:right w:val="none" w:sz="0" w:space="0" w:color="auto"/>
                                  </w:divBdr>
                                  <w:divsChild>
                                    <w:div w:id="357505717">
                                      <w:marLeft w:val="0pt"/>
                                      <w:marRight w:val="0pt"/>
                                      <w:marTop w:val="0pt"/>
                                      <w:marBottom w:val="0pt"/>
                                      <w:divBdr>
                                        <w:top w:val="none" w:sz="0" w:space="0" w:color="auto"/>
                                        <w:left w:val="none" w:sz="0" w:space="0" w:color="auto"/>
                                        <w:bottom w:val="none" w:sz="0" w:space="0" w:color="auto"/>
                                        <w:right w:val="none" w:sz="0" w:space="0" w:color="auto"/>
                                      </w:divBdr>
                                      <w:divsChild>
                                        <w:div w:id="155075015">
                                          <w:marLeft w:val="0pt"/>
                                          <w:marRight w:val="0pt"/>
                                          <w:marTop w:val="0pt"/>
                                          <w:marBottom w:val="0pt"/>
                                          <w:divBdr>
                                            <w:top w:val="none" w:sz="0" w:space="0" w:color="auto"/>
                                            <w:left w:val="none" w:sz="0" w:space="0" w:color="auto"/>
                                            <w:bottom w:val="none" w:sz="0" w:space="0" w:color="auto"/>
                                            <w:right w:val="none" w:sz="0" w:space="0" w:color="auto"/>
                                          </w:divBdr>
                                          <w:divsChild>
                                            <w:div w:id="1236168312">
                                              <w:marLeft w:val="0pt"/>
                                              <w:marRight w:val="0pt"/>
                                              <w:marTop w:val="0pt"/>
                                              <w:marBottom w:val="0pt"/>
                                              <w:divBdr>
                                                <w:top w:val="none" w:sz="0" w:space="0" w:color="auto"/>
                                                <w:left w:val="none" w:sz="0" w:space="0" w:color="auto"/>
                                                <w:bottom w:val="none" w:sz="0" w:space="0" w:color="auto"/>
                                                <w:right w:val="none" w:sz="0" w:space="0" w:color="auto"/>
                                              </w:divBdr>
                                              <w:divsChild>
                                                <w:div w:id="12088316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8920673">
      <w:bodyDiv w:val="1"/>
      <w:marLeft w:val="0pt"/>
      <w:marRight w:val="0pt"/>
      <w:marTop w:val="0pt"/>
      <w:marBottom w:val="0pt"/>
      <w:divBdr>
        <w:top w:val="none" w:sz="0" w:space="0" w:color="auto"/>
        <w:left w:val="none" w:sz="0" w:space="0" w:color="auto"/>
        <w:bottom w:val="none" w:sz="0" w:space="0" w:color="auto"/>
        <w:right w:val="none" w:sz="0" w:space="0" w:color="auto"/>
      </w:divBdr>
    </w:div>
    <w:div w:id="1037702523">
      <w:bodyDiv w:val="1"/>
      <w:marLeft w:val="0pt"/>
      <w:marRight w:val="0pt"/>
      <w:marTop w:val="0pt"/>
      <w:marBottom w:val="0pt"/>
      <w:divBdr>
        <w:top w:val="none" w:sz="0" w:space="0" w:color="auto"/>
        <w:left w:val="none" w:sz="0" w:space="0" w:color="auto"/>
        <w:bottom w:val="none" w:sz="0" w:space="0" w:color="auto"/>
        <w:right w:val="none" w:sz="0" w:space="0" w:color="auto"/>
      </w:divBdr>
    </w:div>
    <w:div w:id="111556211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55006927">
          <w:marLeft w:val="0pt"/>
          <w:marRight w:val="0pt"/>
          <w:marTop w:val="0pt"/>
          <w:marBottom w:val="0pt"/>
          <w:divBdr>
            <w:top w:val="none" w:sz="0" w:space="0" w:color="auto"/>
            <w:left w:val="none" w:sz="0" w:space="0" w:color="auto"/>
            <w:bottom w:val="none" w:sz="0" w:space="0" w:color="auto"/>
            <w:right w:val="none" w:sz="0" w:space="0" w:color="auto"/>
          </w:divBdr>
        </w:div>
      </w:divsChild>
    </w:div>
    <w:div w:id="1136072352">
      <w:bodyDiv w:val="1"/>
      <w:marLeft w:val="0pt"/>
      <w:marRight w:val="0pt"/>
      <w:marTop w:val="0pt"/>
      <w:marBottom w:val="0pt"/>
      <w:divBdr>
        <w:top w:val="none" w:sz="0" w:space="0" w:color="auto"/>
        <w:left w:val="none" w:sz="0" w:space="0" w:color="auto"/>
        <w:bottom w:val="none" w:sz="0" w:space="0" w:color="auto"/>
        <w:right w:val="none" w:sz="0" w:space="0" w:color="auto"/>
      </w:divBdr>
    </w:div>
    <w:div w:id="1166088532">
      <w:bodyDiv w:val="1"/>
      <w:marLeft w:val="0pt"/>
      <w:marRight w:val="0pt"/>
      <w:marTop w:val="0pt"/>
      <w:marBottom w:val="0pt"/>
      <w:divBdr>
        <w:top w:val="none" w:sz="0" w:space="0" w:color="auto"/>
        <w:left w:val="none" w:sz="0" w:space="0" w:color="auto"/>
        <w:bottom w:val="none" w:sz="0" w:space="0" w:color="auto"/>
        <w:right w:val="none" w:sz="0" w:space="0" w:color="auto"/>
      </w:divBdr>
    </w:div>
    <w:div w:id="1180043166">
      <w:bodyDiv w:val="1"/>
      <w:marLeft w:val="0pt"/>
      <w:marRight w:val="0pt"/>
      <w:marTop w:val="0pt"/>
      <w:marBottom w:val="0pt"/>
      <w:divBdr>
        <w:top w:val="none" w:sz="0" w:space="0" w:color="auto"/>
        <w:left w:val="none" w:sz="0" w:space="0" w:color="auto"/>
        <w:bottom w:val="none" w:sz="0" w:space="0" w:color="auto"/>
        <w:right w:val="none" w:sz="0" w:space="0" w:color="auto"/>
      </w:divBdr>
    </w:div>
    <w:div w:id="119099163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61410522">
          <w:marLeft w:val="0pt"/>
          <w:marRight w:val="0pt"/>
          <w:marTop w:val="0pt"/>
          <w:marBottom w:val="0pt"/>
          <w:divBdr>
            <w:top w:val="none" w:sz="0" w:space="0" w:color="auto"/>
            <w:left w:val="none" w:sz="0" w:space="0" w:color="auto"/>
            <w:bottom w:val="none" w:sz="0" w:space="0" w:color="auto"/>
            <w:right w:val="none" w:sz="0" w:space="0" w:color="auto"/>
          </w:divBdr>
          <w:divsChild>
            <w:div w:id="5688071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409618719">
      <w:bodyDiv w:val="1"/>
      <w:marLeft w:val="0pt"/>
      <w:marRight w:val="0pt"/>
      <w:marTop w:val="0pt"/>
      <w:marBottom w:val="0pt"/>
      <w:divBdr>
        <w:top w:val="none" w:sz="0" w:space="0" w:color="auto"/>
        <w:left w:val="none" w:sz="0" w:space="0" w:color="auto"/>
        <w:bottom w:val="none" w:sz="0" w:space="0" w:color="auto"/>
        <w:right w:val="none" w:sz="0" w:space="0" w:color="auto"/>
      </w:divBdr>
    </w:div>
    <w:div w:id="1459488950">
      <w:bodyDiv w:val="1"/>
      <w:marLeft w:val="0pt"/>
      <w:marRight w:val="0pt"/>
      <w:marTop w:val="0pt"/>
      <w:marBottom w:val="0pt"/>
      <w:divBdr>
        <w:top w:val="none" w:sz="0" w:space="0" w:color="auto"/>
        <w:left w:val="none" w:sz="0" w:space="0" w:color="auto"/>
        <w:bottom w:val="none" w:sz="0" w:space="0" w:color="auto"/>
        <w:right w:val="none" w:sz="0" w:space="0" w:color="auto"/>
      </w:divBdr>
    </w:div>
    <w:div w:id="1511219567">
      <w:bodyDiv w:val="1"/>
      <w:marLeft w:val="0pt"/>
      <w:marRight w:val="0pt"/>
      <w:marTop w:val="0pt"/>
      <w:marBottom w:val="0pt"/>
      <w:divBdr>
        <w:top w:val="none" w:sz="0" w:space="0" w:color="auto"/>
        <w:left w:val="none" w:sz="0" w:space="0" w:color="auto"/>
        <w:bottom w:val="none" w:sz="0" w:space="0" w:color="auto"/>
        <w:right w:val="none" w:sz="0" w:space="0" w:color="auto"/>
      </w:divBdr>
    </w:div>
    <w:div w:id="1512375576">
      <w:bodyDiv w:val="1"/>
      <w:marLeft w:val="0pt"/>
      <w:marRight w:val="0pt"/>
      <w:marTop w:val="0pt"/>
      <w:marBottom w:val="0pt"/>
      <w:divBdr>
        <w:top w:val="none" w:sz="0" w:space="0" w:color="auto"/>
        <w:left w:val="none" w:sz="0" w:space="0" w:color="auto"/>
        <w:bottom w:val="none" w:sz="0" w:space="0" w:color="auto"/>
        <w:right w:val="none" w:sz="0" w:space="0" w:color="auto"/>
      </w:divBdr>
    </w:div>
    <w:div w:id="1772970892">
      <w:bodyDiv w:val="1"/>
      <w:marLeft w:val="0pt"/>
      <w:marRight w:val="0pt"/>
      <w:marTop w:val="0pt"/>
      <w:marBottom w:val="0pt"/>
      <w:divBdr>
        <w:top w:val="none" w:sz="0" w:space="0" w:color="auto"/>
        <w:left w:val="none" w:sz="0" w:space="0" w:color="auto"/>
        <w:bottom w:val="none" w:sz="0" w:space="0" w:color="auto"/>
        <w:right w:val="none" w:sz="0" w:space="0" w:color="auto"/>
      </w:divBdr>
    </w:div>
    <w:div w:id="1786271166">
      <w:bodyDiv w:val="1"/>
      <w:marLeft w:val="0pt"/>
      <w:marRight w:val="0pt"/>
      <w:marTop w:val="0pt"/>
      <w:marBottom w:val="0pt"/>
      <w:divBdr>
        <w:top w:val="none" w:sz="0" w:space="0" w:color="auto"/>
        <w:left w:val="none" w:sz="0" w:space="0" w:color="auto"/>
        <w:bottom w:val="none" w:sz="0" w:space="0" w:color="auto"/>
        <w:right w:val="none" w:sz="0" w:space="0" w:color="auto"/>
      </w:divBdr>
    </w:div>
    <w:div w:id="1794402544">
      <w:bodyDiv w:val="1"/>
      <w:marLeft w:val="0pt"/>
      <w:marRight w:val="0pt"/>
      <w:marTop w:val="0pt"/>
      <w:marBottom w:val="0pt"/>
      <w:divBdr>
        <w:top w:val="none" w:sz="0" w:space="0" w:color="auto"/>
        <w:left w:val="none" w:sz="0" w:space="0" w:color="auto"/>
        <w:bottom w:val="none" w:sz="0" w:space="0" w:color="auto"/>
        <w:right w:val="none" w:sz="0" w:space="0" w:color="auto"/>
      </w:divBdr>
    </w:div>
    <w:div w:id="1890455754">
      <w:bodyDiv w:val="1"/>
      <w:marLeft w:val="0pt"/>
      <w:marRight w:val="0pt"/>
      <w:marTop w:val="0pt"/>
      <w:marBottom w:val="0pt"/>
      <w:divBdr>
        <w:top w:val="none" w:sz="0" w:space="0" w:color="auto"/>
        <w:left w:val="none" w:sz="0" w:space="0" w:color="auto"/>
        <w:bottom w:val="none" w:sz="0" w:space="0" w:color="auto"/>
        <w:right w:val="none" w:sz="0" w:space="0" w:color="auto"/>
      </w:divBdr>
    </w:div>
    <w:div w:id="1909875701">
      <w:bodyDiv w:val="1"/>
      <w:marLeft w:val="0pt"/>
      <w:marRight w:val="0pt"/>
      <w:marTop w:val="0pt"/>
      <w:marBottom w:val="0pt"/>
      <w:divBdr>
        <w:top w:val="none" w:sz="0" w:space="0" w:color="auto"/>
        <w:left w:val="none" w:sz="0" w:space="0" w:color="auto"/>
        <w:bottom w:val="none" w:sz="0" w:space="0" w:color="auto"/>
        <w:right w:val="none" w:sz="0" w:space="0" w:color="auto"/>
      </w:divBdr>
    </w:div>
    <w:div w:id="206864772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oter" Target="footer1.xml"/><Relationship Id="rId18" Type="http://purl.oclc.org/ooxml/officeDocument/relationships/image" Target="media/image2.png"/><Relationship Id="rId26" Type="http://purl.oclc.org/ooxml/officeDocument/relationships/hyperlink" Target="https://ember-energy.org/countries-and-regions/india/" TargetMode="External"/><Relationship Id="rId3" Type="http://purl.oclc.org/ooxml/officeDocument/relationships/customXml" Target="../customXml/item3.xml"/><Relationship Id="rId21" Type="http://purl.oclc.org/ooxml/officeDocument/relationships/hyperlink" Target="https://doi.org/10.9734/jerr/2025/v27i21406" TargetMode="External"/><Relationship Id="rId7" Type="http://purl.oclc.org/ooxml/officeDocument/relationships/settings" Target="settings.xml"/><Relationship Id="rId12" Type="http://purl.oclc.org/ooxml/officeDocument/relationships/header" Target="header2.xml"/><Relationship Id="rId17" Type="http://purl.oclc.org/ooxml/officeDocument/relationships/image" Target="media/image1.png"/><Relationship Id="rId25" Type="http://purl.oclc.org/ooxml/officeDocument/relationships/hyperlink" Target="https://www.energy.gov.au/energy-data/australian-energy-statistics/electricity-generation" TargetMode="External"/><Relationship Id="rId2" Type="http://purl.oclc.org/ooxml/officeDocument/relationships/customXml" Target="../customXml/item2.xml"/><Relationship Id="rId16" Type="http://purl.oclc.org/ooxml/officeDocument/relationships/footer" Target="footer3.xml"/><Relationship Id="rId20" Type="http://purl.oclc.org/ooxml/officeDocument/relationships/hyperlink" Target="https://doi.org/10.26552/com.c.2021.1.a1-a13" TargetMode="External"/><Relationship Id="rId29" Type="http://purl.oclc.org/ooxml/officeDocument/relationships/theme" Target="theme/theme1.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24" Type="http://purl.oclc.org/ooxml/officeDocument/relationships/hyperlink" Target="https://www.evchargingcablestore.com/ev-news/only-2-5-of-evs-have-battery-replaced" TargetMode="External"/><Relationship Id="rId5" Type="http://purl.oclc.org/ooxml/officeDocument/relationships/numbering" Target="numbering.xml"/><Relationship Id="rId15" Type="http://purl.oclc.org/ooxml/officeDocument/relationships/header" Target="header3.xml"/><Relationship Id="rId23" Type="http://purl.oclc.org/ooxml/officeDocument/relationships/hyperlink" Target="https://ember-energy.org/latest-insights/european-electricity-review-2024/" TargetMode="External"/><Relationship Id="rId28" Type="http://purl.oclc.org/ooxml/officeDocument/relationships/fontTable" Target="fontTable.xml"/><Relationship Id="rId10" Type="http://purl.oclc.org/ooxml/officeDocument/relationships/endnotes" Target="endnotes.xml"/><Relationship Id="rId19" Type="http://purl.oclc.org/ooxml/officeDocument/relationships/hyperlink" Target="https://doi.org/10.1016/j.scitotenv.2018.12.349" TargetMode="External"/><Relationship Id="rId4" Type="http://purl.oclc.org/ooxml/officeDocument/relationships/customXml" Target="../customXml/item4.xml"/><Relationship Id="rId9" Type="http://purl.oclc.org/ooxml/officeDocument/relationships/footnotes" Target="footnotes.xml"/><Relationship Id="rId14" Type="http://purl.oclc.org/ooxml/officeDocument/relationships/footer" Target="footer2.xml"/><Relationship Id="rId22" Type="http://purl.oclc.org/ooxml/officeDocument/relationships/hyperlink" Target="https://www.eia.gov/electricity/monthly/" TargetMode="External"/><Relationship Id="rId27" Type="http://purl.oclc.org/ooxml/officeDocument/relationships/hyperlink" Target="https://ember-energy.org/countries-and-regions/china/"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2b70efe-325c-40b5-a3bb-4a6fc6e844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440DFD60C7004AAAE7250BC805502B" ma:contentTypeVersion="14" ma:contentTypeDescription="Create a new document." ma:contentTypeScope="" ma:versionID="4f77d020d4c0254b0a6bd77d5e0c2d6b">
  <xsd:schema xmlns:xsd="http://www.w3.org/2001/XMLSchema" xmlns:xs="http://www.w3.org/2001/XMLSchema" xmlns:p="http://schemas.microsoft.com/office/2006/metadata/properties" xmlns:ns3="12b70efe-325c-40b5-a3bb-4a6fc6e84424" xmlns:ns4="fcaf3440-f1b1-442d-9d00-c756b6e79593" targetNamespace="http://schemas.microsoft.com/office/2006/metadata/properties" ma:root="true" ma:fieldsID="76c124f1e0170d9f05516e8b4c371cc9" ns3:_="" ns4:_="">
    <xsd:import namespace="12b70efe-325c-40b5-a3bb-4a6fc6e84424"/>
    <xsd:import namespace="fcaf3440-f1b1-442d-9d00-c756b6e79593"/>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70efe-325c-40b5-a3bb-4a6fc6e8442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f3440-f1b1-442d-9d00-c756b6e7959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Version="6">
  <b:Source>
    <b:Tag>Placeholder1</b:Tag>
    <b:SourceType>JournalArticle</b:SourceType>
    <b:Guid>{B333F19C-41E8-492E-8AA9-A103454FAF89}</b:Guid>
    <b:RefOrder>1</b:RefOrder>
  </b:Source>
</b:Sources>
</file>

<file path=customXml/itemProps1.xml><?xml version="1.0" encoding="utf-8"?>
<ds:datastoreItem xmlns:ds="http://purl.oclc.org/ooxml/officeDocument/customXml" ds:itemID="{4F296DA7-09D1-4B0B-9E06-166D8FF97B55}">
  <ds:schemaRefs>
    <ds:schemaRef ds:uri="http://schemas.microsoft.com/office/2006/metadata/properties"/>
    <ds:schemaRef ds:uri="http://schemas.microsoft.com/office/infopath/2007/PartnerControls"/>
    <ds:schemaRef ds:uri="12b70efe-325c-40b5-a3bb-4a6fc6e84424"/>
  </ds:schemaRefs>
</ds:datastoreItem>
</file>

<file path=customXml/itemProps2.xml><?xml version="1.0" encoding="utf-8"?>
<ds:datastoreItem xmlns:ds="http://purl.oclc.org/ooxml/officeDocument/customXml" ds:itemID="{E0F283F2-B7CC-4C9B-AF7B-9834420CA1AD}">
  <ds:schemaRefs>
    <ds:schemaRef ds:uri="http://schemas.microsoft.com/sharepoint/v3/contenttype/forms"/>
  </ds:schemaRefs>
</ds:datastoreItem>
</file>

<file path=customXml/itemProps3.xml><?xml version="1.0" encoding="utf-8"?>
<ds:datastoreItem xmlns:ds="http://purl.oclc.org/ooxml/officeDocument/customXml" ds:itemID="{69F19724-32AA-484E-AED4-CF7BE484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70efe-325c-40b5-a3bb-4a6fc6e84424"/>
    <ds:schemaRef ds:uri="fcaf3440-f1b1-442d-9d00-c756b6e79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purl.oclc.org/ooxml/officeDocument/customXml" ds:itemID="{DA7FBE7D-00C6-40B2-A28E-E61C9C6B0FC9}">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5</TotalTime>
  <Pages>7</Pages>
  <Words>6075</Words>
  <Characters>34633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SDI 1084</cp:lastModifiedBy>
  <cp:revision>2992</cp:revision>
  <cp:lastPrinted>2025-01-24T07:42:00Z</cp:lastPrinted>
  <dcterms:created xsi:type="dcterms:W3CDTF">2024-10-09T02:37:00Z</dcterms:created>
  <dcterms:modified xsi:type="dcterms:W3CDTF">2025-04-14T12:16:00Z</dcterms:modified>
</cp:coreProperties>
</file>

<file path=docProps/custom.xml><?xml version="1.0" encoding="utf-8"?>
<Properties xmlns="http://purl.oclc.org/ooxml/officeDocument/customProperties" xmlns:vt="http://purl.oclc.org/ooxml/officeDocument/docPropsVTypes">
  <property fmtid="{D5CDD505-2E9C-101B-9397-08002B2CF9AE}" pid="2" name="MSIP_Label_37edc1c9-378e-46d2-aabb-de5286b8cba1_Enabled">
    <vt:lpwstr>true</vt:lpwstr>
  </property>
  <property fmtid="{D5CDD505-2E9C-101B-9397-08002B2CF9AE}" pid="3" name="MSIP_Label_37edc1c9-378e-46d2-aabb-de5286b8cba1_SetDate">
    <vt:lpwstr>2024-10-08T04:26:46Z</vt:lpwstr>
  </property>
  <property fmtid="{D5CDD505-2E9C-101B-9397-08002B2CF9AE}" pid="4" name="MSIP_Label_37edc1c9-378e-46d2-aabb-de5286b8cba1_Method">
    <vt:lpwstr>Privileged</vt:lpwstr>
  </property>
  <property fmtid="{D5CDD505-2E9C-101B-9397-08002B2CF9AE}" pid="5" name="MSIP_Label_37edc1c9-378e-46d2-aabb-de5286b8cba1_Name">
    <vt:lpwstr>Public</vt:lpwstr>
  </property>
  <property fmtid="{D5CDD505-2E9C-101B-9397-08002B2CF9AE}" pid="6" name="MSIP_Label_37edc1c9-378e-46d2-aabb-de5286b8cba1_SiteId">
    <vt:lpwstr>6b1311e5-123f-49db-acdf-8847c2d00bed</vt:lpwstr>
  </property>
  <property fmtid="{D5CDD505-2E9C-101B-9397-08002B2CF9AE}" pid="7" name="MSIP_Label_37edc1c9-378e-46d2-aabb-de5286b8cba1_ActionId">
    <vt:lpwstr>2263807a-42f9-4a90-8bab-a44e78b4ebc4</vt:lpwstr>
  </property>
  <property fmtid="{D5CDD505-2E9C-101B-9397-08002B2CF9AE}" pid="8" name="MSIP_Label_37edc1c9-378e-46d2-aabb-de5286b8cba1_ContentBits">
    <vt:lpwstr>0</vt:lpwstr>
  </property>
  <property fmtid="{D5CDD505-2E9C-101B-9397-08002B2CF9AE}" pid="9" name="ContentTypeId">
    <vt:lpwstr>0x010100A5440DFD60C7004AAAE7250BC805502B</vt:lpwstr>
  </property>
</Properties>
</file>