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C373" w14:textId="77777777" w:rsidR="00462C0C" w:rsidRDefault="00462C0C">
      <w:pPr>
        <w:pStyle w:val="Title"/>
        <w:spacing w:after="0"/>
        <w:jc w:val="both"/>
        <w:rPr>
          <w:rFonts w:ascii="Arial" w:hAnsi="Arial" w:cs="Arial"/>
        </w:rPr>
      </w:pPr>
    </w:p>
    <w:p w14:paraId="6174DCCE" w14:textId="77777777" w:rsidR="00462C0C" w:rsidRDefault="007E0319">
      <w:pPr>
        <w:pStyle w:val="Author"/>
        <w:spacing w:line="240" w:lineRule="auto"/>
        <w:rPr>
          <w:rFonts w:ascii="Arial" w:hAnsi="Arial" w:cs="Arial"/>
          <w:bCs/>
          <w:iCs/>
          <w:kern w:val="28"/>
          <w:sz w:val="36"/>
          <w:lang w:val="en-GB"/>
        </w:rPr>
      </w:pPr>
      <w:r>
        <w:rPr>
          <w:rFonts w:ascii="Arial" w:hAnsi="Arial" w:cs="Arial"/>
          <w:bCs/>
          <w:iCs/>
          <w:kern w:val="28"/>
          <w:sz w:val="36"/>
          <w:lang w:val="en-GB"/>
        </w:rPr>
        <w:t>APPLICATION OF WATER ALTERNATING GAS INJECTION (WAG) FOR OIL RECOVERY IN THE NIGER DELTA</w:t>
      </w:r>
    </w:p>
    <w:p w14:paraId="5B47B65B" w14:textId="77777777" w:rsidR="00462C0C" w:rsidRDefault="007E0319">
      <w:pPr>
        <w:pStyle w:val="Author"/>
        <w:spacing w:line="240" w:lineRule="auto"/>
        <w:rPr>
          <w:rFonts w:ascii="Arial" w:hAnsi="Arial" w:cs="Arial"/>
          <w:bCs/>
          <w:iCs/>
          <w:kern w:val="28"/>
          <w:sz w:val="36"/>
        </w:rPr>
      </w:pPr>
      <w:r>
        <w:rPr>
          <w:rFonts w:ascii="Arial" w:hAnsi="Arial" w:cs="Arial"/>
          <w:bCs/>
          <w:iCs/>
          <w:kern w:val="28"/>
          <w:sz w:val="36"/>
        </w:rPr>
        <w:t xml:space="preserve"> </w:t>
      </w:r>
    </w:p>
    <w:p w14:paraId="692BB3FF" w14:textId="77777777" w:rsidR="00462C0C" w:rsidRDefault="00462C0C">
      <w:pPr>
        <w:pStyle w:val="Author"/>
        <w:spacing w:line="240" w:lineRule="auto"/>
        <w:jc w:val="both"/>
        <w:rPr>
          <w:rFonts w:ascii="Arial" w:hAnsi="Arial" w:cs="Arial"/>
          <w:sz w:val="36"/>
        </w:rPr>
      </w:pPr>
    </w:p>
    <w:p w14:paraId="1EDBE658" w14:textId="77777777" w:rsidR="00462C0C" w:rsidRDefault="00462C0C">
      <w:pPr>
        <w:pStyle w:val="Affiliation"/>
        <w:spacing w:after="0" w:line="240" w:lineRule="auto"/>
        <w:jc w:val="both"/>
        <w:rPr>
          <w:rFonts w:ascii="Arial" w:hAnsi="Arial" w:cs="Arial"/>
        </w:rPr>
      </w:pPr>
    </w:p>
    <w:p w14:paraId="752075B6" w14:textId="77777777" w:rsidR="00462C0C" w:rsidRDefault="007E0319">
      <w:pPr>
        <w:pStyle w:val="Copyright"/>
        <w:spacing w:after="0" w:line="240" w:lineRule="auto"/>
        <w:jc w:val="both"/>
        <w:rPr>
          <w:rFonts w:ascii="Arial" w:hAnsi="Arial" w:cs="Arial"/>
        </w:rPr>
        <w:sectPr w:rsidR="00462C0C" w:rsidSect="0086421A">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240C55E8" wp14:editId="08487AA1">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22FA43C0"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7950CCB6" w14:textId="77777777" w:rsidR="00462C0C" w:rsidRDefault="007E0319">
      <w:pPr>
        <w:pStyle w:val="AbstHead"/>
        <w:spacing w:after="0"/>
        <w:jc w:val="both"/>
        <w:rPr>
          <w:rFonts w:ascii="Arial" w:hAnsi="Arial" w:cs="Arial"/>
        </w:rPr>
      </w:pPr>
      <w:r>
        <w:rPr>
          <w:rFonts w:ascii="Arial" w:hAnsi="Arial" w:cs="Arial"/>
        </w:rPr>
        <w:t xml:space="preserve">ABSTRACT </w:t>
      </w:r>
    </w:p>
    <w:p w14:paraId="2BCA5D3A" w14:textId="77777777" w:rsidR="00462C0C" w:rsidRDefault="00462C0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62C0C" w14:paraId="4CCF0890" w14:textId="77777777">
        <w:tc>
          <w:tcPr>
            <w:tcW w:w="9576" w:type="dxa"/>
            <w:shd w:val="clear" w:color="auto" w:fill="F2F2F2"/>
          </w:tcPr>
          <w:p w14:paraId="0D673E55" w14:textId="77777777" w:rsidR="00462C0C" w:rsidRDefault="007E0319">
            <w:pPr>
              <w:pStyle w:val="Body"/>
              <w:spacing w:after="0"/>
              <w:rPr>
                <w:rFonts w:ascii="Arial" w:eastAsia="Calibri" w:hAnsi="Arial" w:cs="Arial"/>
                <w:szCs w:val="22"/>
              </w:rPr>
            </w:pPr>
            <w:r>
              <w:rPr>
                <w:rFonts w:ascii="Arial" w:eastAsia="Calibri" w:hAnsi="Arial" w:cs="Arial"/>
                <w:szCs w:val="22"/>
              </w:rPr>
              <w:t xml:space="preserve">It is widely known that after using </w:t>
            </w:r>
            <w:r>
              <w:rPr>
                <w:rFonts w:ascii="Arial" w:eastAsia="Calibri" w:hAnsi="Arial" w:cs="Arial"/>
                <w:szCs w:val="22"/>
              </w:rPr>
              <w:t xml:space="preserve">the </w:t>
            </w:r>
            <w:r>
              <w:rPr>
                <w:rFonts w:ascii="Arial" w:eastAsia="Calibri" w:hAnsi="Arial" w:cs="Arial"/>
                <w:szCs w:val="22"/>
                <w:lang w:val="en-GB"/>
              </w:rPr>
              <w:t>primary</w:t>
            </w:r>
            <w:r>
              <w:rPr>
                <w:rFonts w:ascii="Arial" w:eastAsia="Calibri" w:hAnsi="Arial" w:cs="Arial"/>
                <w:szCs w:val="22"/>
              </w:rPr>
              <w:t xml:space="preserve"> and secondary recovery methods, a sizable volume of oil called residual oil saturation (Sor) is </w:t>
            </w:r>
            <w:r>
              <w:rPr>
                <w:rFonts w:ascii="Arial" w:eastAsia="Calibri" w:hAnsi="Arial" w:cs="Arial"/>
                <w:szCs w:val="22"/>
                <w:lang w:val="en-GB"/>
              </w:rPr>
              <w:t>often</w:t>
            </w:r>
            <w:r>
              <w:rPr>
                <w:rFonts w:ascii="Arial" w:eastAsia="Calibri" w:hAnsi="Arial" w:cs="Arial"/>
                <w:szCs w:val="22"/>
              </w:rPr>
              <w:t xml:space="preserve"> left in the reservoir. </w:t>
            </w:r>
            <w:r>
              <w:rPr>
                <w:rFonts w:ascii="Arial" w:eastAsia="Calibri" w:hAnsi="Arial" w:cs="Arial"/>
                <w:szCs w:val="22"/>
                <w:lang w:val="en-GB"/>
              </w:rPr>
              <w:t xml:space="preserve">Consequently, </w:t>
            </w:r>
            <w:r>
              <w:rPr>
                <w:rFonts w:ascii="Arial" w:eastAsia="Calibri" w:hAnsi="Arial" w:cs="Arial"/>
                <w:szCs w:val="22"/>
              </w:rPr>
              <w:t xml:space="preserve">several efforts are made by </w:t>
            </w:r>
            <w:r>
              <w:rPr>
                <w:rFonts w:ascii="Arial" w:eastAsia="Calibri" w:hAnsi="Arial" w:cs="Arial"/>
                <w:szCs w:val="22"/>
                <w:lang w:val="en-GB"/>
              </w:rPr>
              <w:t>oil</w:t>
            </w:r>
            <w:r>
              <w:rPr>
                <w:rFonts w:ascii="Arial" w:eastAsia="Calibri" w:hAnsi="Arial" w:cs="Arial"/>
                <w:szCs w:val="22"/>
              </w:rPr>
              <w:t xml:space="preserve"> companies to device better means of extracting these reserves. One of the options of optimally reducing the residual oil saturation is the water-alternating gas injection due to its capacity to </w:t>
            </w:r>
            <w:r>
              <w:rPr>
                <w:rFonts w:ascii="Arial" w:eastAsia="Calibri" w:hAnsi="Arial" w:cs="Arial"/>
                <w:szCs w:val="22"/>
                <w:lang w:val="en-GB"/>
              </w:rPr>
              <w:t>increase</w:t>
            </w:r>
            <w:r>
              <w:rPr>
                <w:rFonts w:ascii="Arial" w:eastAsia="Calibri" w:hAnsi="Arial" w:cs="Arial"/>
                <w:szCs w:val="22"/>
              </w:rPr>
              <w:t xml:space="preserve"> both </w:t>
            </w:r>
            <w:r>
              <w:rPr>
                <w:rFonts w:ascii="Arial" w:eastAsia="Calibri" w:hAnsi="Arial" w:cs="Arial"/>
                <w:szCs w:val="22"/>
                <w:lang w:val="en-GB"/>
              </w:rPr>
              <w:t xml:space="preserve">oil </w:t>
            </w:r>
            <w:r>
              <w:rPr>
                <w:rFonts w:ascii="Arial" w:eastAsia="Calibri" w:hAnsi="Arial" w:cs="Arial"/>
                <w:szCs w:val="22"/>
              </w:rPr>
              <w:t>displacement and sweep efficiency by combin</w:t>
            </w:r>
            <w:r>
              <w:rPr>
                <w:rFonts w:ascii="Arial" w:eastAsia="Calibri" w:hAnsi="Arial" w:cs="Arial"/>
                <w:szCs w:val="22"/>
              </w:rPr>
              <w:t xml:space="preserve">ing </w:t>
            </w:r>
            <w:r>
              <w:rPr>
                <w:rFonts w:ascii="Arial" w:eastAsia="Calibri" w:hAnsi="Arial" w:cs="Arial"/>
                <w:szCs w:val="22"/>
                <w:lang w:val="en-GB"/>
              </w:rPr>
              <w:t xml:space="preserve">the effects of </w:t>
            </w:r>
            <w:r>
              <w:rPr>
                <w:rFonts w:ascii="Arial" w:eastAsia="Calibri" w:hAnsi="Arial" w:cs="Arial"/>
                <w:szCs w:val="22"/>
              </w:rPr>
              <w:t>waterflooding and gas injection techniques.</w:t>
            </w:r>
            <w:r>
              <w:rPr>
                <w:rFonts w:ascii="Arial" w:eastAsia="Calibri" w:hAnsi="Arial" w:cs="Arial"/>
                <w:szCs w:val="22"/>
                <w:lang w:val="en-GB"/>
              </w:rPr>
              <w:t xml:space="preserve"> </w:t>
            </w:r>
            <w:r>
              <w:rPr>
                <w:rFonts w:ascii="Arial" w:eastAsia="Calibri" w:hAnsi="Arial" w:cs="Arial"/>
                <w:szCs w:val="22"/>
              </w:rPr>
              <w:t>This study seeks to investigate</w:t>
            </w:r>
            <w:r>
              <w:rPr>
                <w:rFonts w:ascii="Arial" w:eastAsia="Calibri" w:hAnsi="Arial" w:cs="Arial"/>
                <w:szCs w:val="22"/>
                <w:lang w:val="en-GB"/>
              </w:rPr>
              <w:t xml:space="preserve"> the effectiveness of Water-Alternating-Gas injection in comparison with Waterflooding </w:t>
            </w:r>
            <w:r>
              <w:rPr>
                <w:rFonts w:ascii="Arial" w:eastAsia="Calibri" w:hAnsi="Arial" w:cs="Arial"/>
                <w:szCs w:val="22"/>
              </w:rPr>
              <w:t>or</w:t>
            </w:r>
            <w:r>
              <w:rPr>
                <w:rFonts w:ascii="Arial" w:eastAsia="Calibri" w:hAnsi="Arial" w:cs="Arial"/>
                <w:szCs w:val="22"/>
                <w:lang w:val="en-GB"/>
              </w:rPr>
              <w:t xml:space="preserve"> Gas injection methods for </w:t>
            </w:r>
            <w:proofErr w:type="spellStart"/>
            <w:r>
              <w:rPr>
                <w:rFonts w:ascii="Arial" w:eastAsia="Calibri" w:hAnsi="Arial" w:cs="Arial"/>
                <w:szCs w:val="22"/>
                <w:lang w:val="en-GB"/>
              </w:rPr>
              <w:t>optim</w:t>
            </w:r>
            <w:proofErr w:type="spellEnd"/>
            <w:r>
              <w:rPr>
                <w:rFonts w:ascii="Arial" w:eastAsia="Calibri" w:hAnsi="Arial" w:cs="Arial"/>
                <w:szCs w:val="22"/>
              </w:rPr>
              <w:t>al</w:t>
            </w:r>
            <w:r>
              <w:rPr>
                <w:rFonts w:ascii="Arial" w:eastAsia="Calibri" w:hAnsi="Arial" w:cs="Arial"/>
                <w:szCs w:val="22"/>
                <w:lang w:val="en-GB"/>
              </w:rPr>
              <w:t xml:space="preserve"> oil recovery in the Niger Delta. The E</w:t>
            </w:r>
            <w:r>
              <w:rPr>
                <w:rFonts w:ascii="Arial" w:eastAsia="Calibri" w:hAnsi="Arial" w:cs="Arial"/>
                <w:szCs w:val="22"/>
                <w:lang w:val="en-GB"/>
              </w:rPr>
              <w:t xml:space="preserve">clipse Simulator was used to simulate the Field oil efficiency (FOE), Field oil production total (FOPT) and the field water cut (FWCT) for WAG injection and compared with that of Waterflooding and Gas injection. From the results, </w:t>
            </w:r>
            <w:r>
              <w:rPr>
                <w:rFonts w:ascii="Arial" w:eastAsia="Calibri" w:hAnsi="Arial" w:cs="Arial"/>
                <w:szCs w:val="22"/>
              </w:rPr>
              <w:t>WAG injection had an FOE (</w:t>
            </w:r>
            <w:r>
              <w:rPr>
                <w:rFonts w:ascii="Arial" w:eastAsia="Calibri" w:hAnsi="Arial" w:cs="Arial"/>
                <w:szCs w:val="22"/>
              </w:rPr>
              <w:t>recovery factor of 34%</w:t>
            </w:r>
            <w:proofErr w:type="gramStart"/>
            <w:r>
              <w:rPr>
                <w:rFonts w:ascii="Arial" w:eastAsia="Calibri" w:hAnsi="Arial" w:cs="Arial"/>
                <w:szCs w:val="22"/>
              </w:rPr>
              <w:t>),  FOPT</w:t>
            </w:r>
            <w:proofErr w:type="gramEnd"/>
            <w:r>
              <w:rPr>
                <w:rFonts w:ascii="Arial" w:eastAsia="Calibri" w:hAnsi="Arial" w:cs="Arial"/>
                <w:szCs w:val="22"/>
              </w:rPr>
              <w:t xml:space="preserve"> of 76.46 MMSTB and a FWCT of 26%  while waterflooding alone has an FOE of 26.65%, FOPT of 57.62MMSTB and a FWCT of 47.58% respectively. The </w:t>
            </w:r>
            <w:proofErr w:type="gramStart"/>
            <w:r>
              <w:rPr>
                <w:rFonts w:ascii="Arial" w:eastAsia="Calibri" w:hAnsi="Arial" w:cs="Arial"/>
                <w:szCs w:val="22"/>
              </w:rPr>
              <w:t>FOE ,</w:t>
            </w:r>
            <w:proofErr w:type="gramEnd"/>
            <w:r>
              <w:rPr>
                <w:rFonts w:ascii="Arial" w:eastAsia="Calibri" w:hAnsi="Arial" w:cs="Arial"/>
                <w:szCs w:val="22"/>
              </w:rPr>
              <w:t xml:space="preserve"> FOPT and FWCT  of gas injected were estimated to be 21.35%, 47.89MMSTB, and 9.2</w:t>
            </w:r>
            <w:r>
              <w:rPr>
                <w:rFonts w:ascii="Arial" w:eastAsia="Calibri" w:hAnsi="Arial" w:cs="Arial"/>
                <w:szCs w:val="22"/>
              </w:rPr>
              <w:t>% respectively. From the results, it could be inferred that WAG injection technique proved to be the most effective recovery technique in maximizing oil recovery, based on its recovery performance, having the highest recovery factor and a minimal water cut</w:t>
            </w:r>
            <w:r>
              <w:rPr>
                <w:rFonts w:ascii="Arial" w:eastAsia="Calibri" w:hAnsi="Arial" w:cs="Arial"/>
                <w:szCs w:val="22"/>
              </w:rPr>
              <w:t>, compared to waterflooding and gas injection as standalone technique.</w:t>
            </w:r>
          </w:p>
        </w:tc>
      </w:tr>
    </w:tbl>
    <w:p w14:paraId="3D88534E" w14:textId="77777777" w:rsidR="00462C0C" w:rsidRDefault="00462C0C">
      <w:pPr>
        <w:pStyle w:val="Body"/>
        <w:spacing w:after="0"/>
        <w:rPr>
          <w:rFonts w:ascii="Arial" w:hAnsi="Arial" w:cs="Arial"/>
          <w:i/>
        </w:rPr>
      </w:pPr>
    </w:p>
    <w:p w14:paraId="31F0ACC1" w14:textId="77777777" w:rsidR="00462C0C" w:rsidRDefault="007E0319">
      <w:pPr>
        <w:pStyle w:val="Body"/>
        <w:spacing w:after="0"/>
        <w:rPr>
          <w:rFonts w:ascii="Arial" w:hAnsi="Arial" w:cs="Arial"/>
          <w:i/>
          <w:sz w:val="18"/>
        </w:rPr>
      </w:pPr>
      <w:r>
        <w:rPr>
          <w:rFonts w:ascii="Arial" w:hAnsi="Arial" w:cs="Arial"/>
          <w:i/>
        </w:rPr>
        <w:t>Keywords: Enhanced oil recovery, Water-Alternating-Gas Injection (WAG), waterflooding, gas injection, residual oil saturation, recovery efficiency</w:t>
      </w:r>
    </w:p>
    <w:p w14:paraId="792044A6" w14:textId="77777777" w:rsidR="00462C0C" w:rsidRDefault="00462C0C">
      <w:pPr>
        <w:pStyle w:val="Body"/>
        <w:spacing w:after="0"/>
        <w:rPr>
          <w:rFonts w:ascii="Arial" w:hAnsi="Arial" w:cs="Arial"/>
          <w:i/>
        </w:rPr>
      </w:pPr>
    </w:p>
    <w:p w14:paraId="65F67AA8" w14:textId="77777777" w:rsidR="00462C0C" w:rsidRDefault="007E0319">
      <w:pPr>
        <w:pStyle w:val="AbstHead"/>
        <w:numPr>
          <w:ilvl w:val="0"/>
          <w:numId w:val="2"/>
        </w:numPr>
        <w:spacing w:after="0"/>
        <w:jc w:val="both"/>
        <w:rPr>
          <w:rFonts w:ascii="Arial" w:hAnsi="Arial" w:cs="Arial"/>
        </w:rPr>
      </w:pPr>
      <w:r>
        <w:rPr>
          <w:rFonts w:ascii="Arial" w:hAnsi="Arial" w:cs="Arial"/>
        </w:rPr>
        <w:t xml:space="preserve">INTRODUCTION </w:t>
      </w:r>
    </w:p>
    <w:p w14:paraId="3BCC5DAB" w14:textId="77777777" w:rsidR="00462C0C" w:rsidRDefault="00462C0C">
      <w:pPr>
        <w:pStyle w:val="AbstHead"/>
        <w:spacing w:after="0"/>
        <w:jc w:val="both"/>
        <w:rPr>
          <w:rFonts w:ascii="Arial" w:hAnsi="Arial" w:cs="Arial"/>
        </w:rPr>
      </w:pPr>
    </w:p>
    <w:p w14:paraId="2A322C69" w14:textId="77777777" w:rsidR="00462C0C" w:rsidRDefault="007E0319">
      <w:pPr>
        <w:pStyle w:val="Body"/>
        <w:spacing w:after="0"/>
        <w:rPr>
          <w:rFonts w:ascii="Arial" w:hAnsi="Arial" w:cs="Arial"/>
          <w:lang w:val="en-GB"/>
        </w:rPr>
      </w:pPr>
      <w:r>
        <w:rPr>
          <w:rFonts w:ascii="Arial" w:hAnsi="Arial" w:cs="Arial"/>
          <w:lang w:val="en-GB"/>
        </w:rPr>
        <w:t xml:space="preserve">Within the Niger Delta </w:t>
      </w:r>
      <w:r>
        <w:rPr>
          <w:rFonts w:ascii="Arial" w:hAnsi="Arial" w:cs="Arial"/>
        </w:rPr>
        <w:t>province</w:t>
      </w:r>
      <w:r>
        <w:rPr>
          <w:rFonts w:ascii="Arial" w:hAnsi="Arial" w:cs="Arial"/>
          <w:lang w:val="en-GB"/>
        </w:rPr>
        <w:t xml:space="preserve"> are three main lithostratigraphic units that make up the thick sedimentary succession namely; Benin formation, Agbada formation and </w:t>
      </w:r>
      <w:proofErr w:type="spellStart"/>
      <w:r>
        <w:rPr>
          <w:rFonts w:ascii="Arial" w:hAnsi="Arial" w:cs="Arial"/>
          <w:lang w:val="en-GB"/>
        </w:rPr>
        <w:t>Akata</w:t>
      </w:r>
      <w:proofErr w:type="spellEnd"/>
      <w:r>
        <w:rPr>
          <w:rFonts w:ascii="Arial" w:hAnsi="Arial" w:cs="Arial"/>
          <w:lang w:val="en-GB"/>
        </w:rPr>
        <w:t xml:space="preserve"> formation, with majority of the hydrocarbon found in the Agbada formation’s sandstone </w:t>
      </w:r>
      <w:r>
        <w:rPr>
          <w:rFonts w:ascii="Arial" w:hAnsi="Arial" w:cs="Arial"/>
          <w:lang w:val="en-GB"/>
        </w:rPr>
        <w:t>reservoir</w:t>
      </w:r>
      <w:r>
        <w:rPr>
          <w:rFonts w:ascii="Arial" w:hAnsi="Arial" w:cs="Arial"/>
        </w:rPr>
        <w:t xml:space="preserve"> (</w:t>
      </w:r>
      <w:proofErr w:type="spellStart"/>
      <w:r>
        <w:rPr>
          <w:rFonts w:ascii="Arial" w:hAnsi="Arial" w:cs="Arial"/>
          <w:lang w:val="en-GB"/>
        </w:rPr>
        <w:t>Oluwajana</w:t>
      </w:r>
      <w:proofErr w:type="spellEnd"/>
      <w:r>
        <w:rPr>
          <w:rFonts w:ascii="Arial" w:hAnsi="Arial" w:cs="Arial"/>
        </w:rPr>
        <w:t xml:space="preserve">, et al 2017, </w:t>
      </w:r>
      <w:proofErr w:type="spellStart"/>
      <w:proofErr w:type="gramStart"/>
      <w:r>
        <w:rPr>
          <w:rFonts w:ascii="Arial" w:hAnsi="Arial" w:cs="Arial"/>
          <w:lang w:val="en-GB"/>
        </w:rPr>
        <w:t>Etimita</w:t>
      </w:r>
      <w:proofErr w:type="spellEnd"/>
      <w:r>
        <w:rPr>
          <w:rFonts w:ascii="Arial" w:hAnsi="Arial" w:cs="Arial"/>
          <w:lang w:val="en-GB"/>
        </w:rPr>
        <w:t xml:space="preserve"> </w:t>
      </w:r>
      <w:r>
        <w:rPr>
          <w:rFonts w:ascii="Arial" w:hAnsi="Arial" w:cs="Arial"/>
        </w:rPr>
        <w:t xml:space="preserve"> and</w:t>
      </w:r>
      <w:proofErr w:type="gramEnd"/>
      <w:r>
        <w:rPr>
          <w:rFonts w:ascii="Arial" w:hAnsi="Arial" w:cs="Arial"/>
          <w:lang w:val="en-GB"/>
        </w:rPr>
        <w:t xml:space="preserve"> </w:t>
      </w:r>
      <w:proofErr w:type="spellStart"/>
      <w:r>
        <w:rPr>
          <w:rFonts w:ascii="Arial" w:hAnsi="Arial" w:cs="Arial"/>
          <w:lang w:val="en-GB"/>
        </w:rPr>
        <w:t>Beka</w:t>
      </w:r>
      <w:proofErr w:type="spellEnd"/>
      <w:r>
        <w:rPr>
          <w:rFonts w:ascii="Arial" w:hAnsi="Arial" w:cs="Arial"/>
        </w:rPr>
        <w:t>, 2018)</w:t>
      </w:r>
      <w:r>
        <w:rPr>
          <w:rFonts w:ascii="Arial" w:hAnsi="Arial" w:cs="Arial"/>
          <w:lang w:val="en-GB"/>
        </w:rPr>
        <w:t xml:space="preserve">. As global energy demand continues to increase, optimizing oil production becomes crucial. Crude oil production can be </w:t>
      </w:r>
      <w:r>
        <w:rPr>
          <w:rFonts w:ascii="Arial" w:hAnsi="Arial" w:cs="Arial"/>
        </w:rPr>
        <w:t>achieved through different levels of recovery:</w:t>
      </w:r>
      <w:r>
        <w:rPr>
          <w:rFonts w:ascii="Arial" w:hAnsi="Arial" w:cs="Arial"/>
          <w:lang w:val="en-GB"/>
        </w:rPr>
        <w:t xml:space="preserve"> primary</w:t>
      </w:r>
      <w:r>
        <w:rPr>
          <w:rFonts w:ascii="Arial" w:hAnsi="Arial" w:cs="Arial"/>
        </w:rPr>
        <w:t>,</w:t>
      </w:r>
      <w:r>
        <w:rPr>
          <w:rFonts w:ascii="Arial" w:hAnsi="Arial" w:cs="Arial"/>
          <w:lang w:val="en-GB"/>
        </w:rPr>
        <w:t xml:space="preserve"> secondary and tertiary</w:t>
      </w:r>
      <w:r>
        <w:rPr>
          <w:rFonts w:ascii="Arial" w:hAnsi="Arial" w:cs="Arial"/>
          <w:lang w:val="en-GB"/>
        </w:rPr>
        <w:t xml:space="preserve"> recover</w:t>
      </w:r>
      <w:r>
        <w:rPr>
          <w:rFonts w:ascii="Arial" w:hAnsi="Arial" w:cs="Arial"/>
        </w:rPr>
        <w:t>y respectively</w:t>
      </w:r>
      <w:r>
        <w:rPr>
          <w:rFonts w:ascii="Arial" w:hAnsi="Arial" w:cs="Arial"/>
          <w:lang w:val="en-GB"/>
        </w:rPr>
        <w:t xml:space="preserve">. </w:t>
      </w:r>
    </w:p>
    <w:p w14:paraId="61DE6FF7" w14:textId="77777777" w:rsidR="00462C0C" w:rsidRDefault="00462C0C">
      <w:pPr>
        <w:pStyle w:val="Body"/>
        <w:spacing w:after="0"/>
        <w:rPr>
          <w:rFonts w:ascii="Arial" w:hAnsi="Arial" w:cs="Arial"/>
          <w:lang w:val="en-GB"/>
        </w:rPr>
      </w:pPr>
    </w:p>
    <w:p w14:paraId="2D7A3CEF" w14:textId="77777777" w:rsidR="00462C0C" w:rsidRDefault="007E0319">
      <w:pPr>
        <w:pStyle w:val="Body"/>
        <w:spacing w:after="0"/>
        <w:rPr>
          <w:rFonts w:ascii="Arial" w:hAnsi="Arial" w:cs="Arial"/>
          <w:lang w:val="en-GB"/>
        </w:rPr>
      </w:pPr>
      <w:r>
        <w:rPr>
          <w:rFonts w:ascii="Arial" w:hAnsi="Arial" w:cs="Arial"/>
          <w:lang w:val="en-GB"/>
        </w:rPr>
        <w:t>Primary recovery basically uses the natural energy</w:t>
      </w:r>
      <w:r>
        <w:rPr>
          <w:rFonts w:ascii="Arial" w:hAnsi="Arial" w:cs="Arial"/>
        </w:rPr>
        <w:t xml:space="preserve"> of the reservoir to produce the trapped hydrocarbon from the subsurface (</w:t>
      </w:r>
      <w:r>
        <w:rPr>
          <w:rFonts w:ascii="Arial" w:hAnsi="Arial" w:cs="Arial"/>
          <w:lang w:val="en-GB"/>
        </w:rPr>
        <w:t>Hussein</w:t>
      </w:r>
      <w:r>
        <w:rPr>
          <w:rFonts w:ascii="Arial" w:hAnsi="Arial" w:cs="Arial"/>
        </w:rPr>
        <w:t>, 2023)</w:t>
      </w:r>
      <w:r>
        <w:rPr>
          <w:rFonts w:ascii="Arial" w:hAnsi="Arial" w:cs="Arial"/>
          <w:lang w:val="en-GB"/>
        </w:rPr>
        <w:t>. However, due to</w:t>
      </w:r>
      <w:r>
        <w:rPr>
          <w:rFonts w:ascii="Arial" w:hAnsi="Arial" w:cs="Arial"/>
        </w:rPr>
        <w:t xml:space="preserve"> insufficiency of this natural drive in most reservoirs, the drive is aided</w:t>
      </w:r>
      <w:r>
        <w:rPr>
          <w:rFonts w:ascii="Arial" w:hAnsi="Arial" w:cs="Arial"/>
        </w:rPr>
        <w:t xml:space="preserve"> by</w:t>
      </w:r>
      <w:r>
        <w:rPr>
          <w:rFonts w:ascii="Arial" w:hAnsi="Arial" w:cs="Arial"/>
          <w:lang w:val="en-GB"/>
        </w:rPr>
        <w:t xml:space="preserve"> supplemental energy sources </w:t>
      </w:r>
      <w:r>
        <w:rPr>
          <w:rFonts w:ascii="Arial" w:hAnsi="Arial" w:cs="Arial"/>
        </w:rPr>
        <w:t>to sustain production through the use of artificial lift methods like gas-lifting and pumps (</w:t>
      </w:r>
      <w:r>
        <w:rPr>
          <w:rFonts w:ascii="Arial" w:hAnsi="Arial" w:cs="Arial"/>
          <w:lang w:val="en-GB"/>
        </w:rPr>
        <w:t>Speight and El-Gendy</w:t>
      </w:r>
      <w:r>
        <w:rPr>
          <w:rFonts w:ascii="Arial" w:hAnsi="Arial" w:cs="Arial"/>
        </w:rPr>
        <w:t>, 2018). However, to prevent drastic drop in production and particularly, to sustain production during the plat</w:t>
      </w:r>
      <w:r>
        <w:rPr>
          <w:rFonts w:ascii="Arial" w:hAnsi="Arial" w:cs="Arial"/>
        </w:rPr>
        <w:t>eau phase for a relatively longer time, pressure maintenance is carried out which involves primarily gas or water injection (</w:t>
      </w:r>
      <w:proofErr w:type="spellStart"/>
      <w:r>
        <w:rPr>
          <w:rFonts w:ascii="Arial" w:hAnsi="Arial" w:cs="Arial"/>
          <w:lang w:val="en-GB"/>
        </w:rPr>
        <w:t>Farahbod</w:t>
      </w:r>
      <w:proofErr w:type="spellEnd"/>
      <w:r>
        <w:rPr>
          <w:rFonts w:ascii="Arial" w:hAnsi="Arial" w:cs="Arial"/>
        </w:rPr>
        <w:t xml:space="preserve">, 2024). The injection of water or gas for pressure maintenance is what is termed secondary recovery. </w:t>
      </w:r>
      <w:r>
        <w:rPr>
          <w:rFonts w:ascii="Arial" w:hAnsi="Arial" w:cs="Arial"/>
          <w:lang w:val="en-GB"/>
        </w:rPr>
        <w:t>It is a technique tha</w:t>
      </w:r>
      <w:r>
        <w:rPr>
          <w:rFonts w:ascii="Arial" w:hAnsi="Arial" w:cs="Arial"/>
          <w:lang w:val="en-GB"/>
        </w:rPr>
        <w:t>t supplements the natural reservoir energy by injection of fluids (water or gas)</w:t>
      </w:r>
      <w:r>
        <w:rPr>
          <w:rFonts w:ascii="Arial" w:hAnsi="Arial" w:cs="Arial"/>
        </w:rPr>
        <w:t xml:space="preserve"> through injection wells using different patterns</w:t>
      </w:r>
      <w:r>
        <w:rPr>
          <w:rFonts w:ascii="Arial" w:hAnsi="Arial" w:cs="Arial"/>
          <w:lang w:val="en-GB"/>
        </w:rPr>
        <w:t>, primarily for pressure maintenance. When the volumetric rate of production is equal to the volumetric rate of fluid replaceme</w:t>
      </w:r>
      <w:r>
        <w:rPr>
          <w:rFonts w:ascii="Arial" w:hAnsi="Arial" w:cs="Arial"/>
          <w:lang w:val="en-GB"/>
        </w:rPr>
        <w:t xml:space="preserve">nt in the reservoir, pressure maintenance is achieved in oil production, keeping the average reservoir pressure constant (Archer and Wall, 1986). </w:t>
      </w:r>
    </w:p>
    <w:p w14:paraId="45806D5F" w14:textId="77777777" w:rsidR="00462C0C" w:rsidRDefault="00462C0C">
      <w:pPr>
        <w:pStyle w:val="Body"/>
        <w:spacing w:after="0"/>
        <w:rPr>
          <w:rFonts w:ascii="Arial" w:hAnsi="Arial" w:cs="Arial"/>
          <w:lang w:val="en-GB"/>
        </w:rPr>
      </w:pPr>
    </w:p>
    <w:p w14:paraId="6AF0B977" w14:textId="77777777" w:rsidR="00462C0C" w:rsidRDefault="007E0319">
      <w:pPr>
        <w:pStyle w:val="Body"/>
        <w:spacing w:after="0"/>
        <w:rPr>
          <w:rFonts w:ascii="Arial" w:hAnsi="Arial" w:cs="Arial"/>
          <w:lang w:val="en-GB"/>
        </w:rPr>
      </w:pPr>
      <w:r>
        <w:rPr>
          <w:rFonts w:ascii="Arial" w:hAnsi="Arial" w:cs="Arial"/>
        </w:rPr>
        <w:t>The requirement for tertiary oil recovery techniques arises from the fact that the mobility of crude oil has</w:t>
      </w:r>
      <w:r>
        <w:rPr>
          <w:rFonts w:ascii="Arial" w:hAnsi="Arial" w:cs="Arial"/>
        </w:rPr>
        <w:t xml:space="preserve"> decreased in such a way that both standard artificial lift techniques and pressure maintenance methods have failed to achieve reasonable recovery and thus, so much crude oil is left underground and the reservoir energy is fast depleted.  </w:t>
      </w:r>
      <w:r>
        <w:rPr>
          <w:rFonts w:ascii="Arial" w:hAnsi="Arial" w:cs="Arial"/>
          <w:lang w:val="en-GB"/>
        </w:rPr>
        <w:t>Tertiary recovery</w:t>
      </w:r>
      <w:r>
        <w:rPr>
          <w:rFonts w:ascii="Arial" w:hAnsi="Arial" w:cs="Arial"/>
          <w:lang w:val="en-GB"/>
        </w:rPr>
        <w:t xml:space="preserve">, also known as enhanced oil recovery (EOR), entails injecting fluids into the reservoir while applying methods for improvement other than only providing external energy to </w:t>
      </w:r>
      <w:r>
        <w:rPr>
          <w:rFonts w:ascii="Arial" w:hAnsi="Arial" w:cs="Arial"/>
        </w:rPr>
        <w:t>sweep and enhance</w:t>
      </w:r>
      <w:r>
        <w:rPr>
          <w:rFonts w:ascii="Arial" w:hAnsi="Arial" w:cs="Arial"/>
          <w:lang w:val="en-GB"/>
        </w:rPr>
        <w:t xml:space="preserve"> crude oil recovery</w:t>
      </w:r>
      <w:r>
        <w:rPr>
          <w:rFonts w:ascii="Arial" w:hAnsi="Arial" w:cs="Arial"/>
        </w:rPr>
        <w:t xml:space="preserve"> (Lake et al, 2014)</w:t>
      </w:r>
      <w:r>
        <w:rPr>
          <w:rFonts w:ascii="Arial" w:hAnsi="Arial" w:cs="Arial"/>
          <w:lang w:val="en-GB"/>
        </w:rPr>
        <w:t xml:space="preserve">. </w:t>
      </w:r>
    </w:p>
    <w:p w14:paraId="3007EFE9" w14:textId="77777777" w:rsidR="00462C0C" w:rsidRDefault="007E0319">
      <w:pPr>
        <w:pStyle w:val="Body"/>
        <w:spacing w:after="0"/>
        <w:rPr>
          <w:rFonts w:ascii="Arial" w:hAnsi="Arial" w:cs="Arial"/>
          <w:lang w:eastAsia="zh-CN"/>
        </w:rPr>
      </w:pPr>
      <w:r>
        <w:rPr>
          <w:rFonts w:ascii="Arial" w:hAnsi="Arial" w:cs="Arial"/>
          <w:lang w:val="en-GB"/>
        </w:rPr>
        <w:t xml:space="preserve">A typical tertiary oil </w:t>
      </w:r>
      <w:r>
        <w:rPr>
          <w:rFonts w:ascii="Arial" w:hAnsi="Arial" w:cs="Arial"/>
          <w:lang w:val="en-GB"/>
        </w:rPr>
        <w:t xml:space="preserve">recovery technology known as the Water-Alternating Gas (WAG) Injection process is used to increase the displacement efficiency through mobility control and prevention of viscous fingering of the leftover oil that cannot be recovered during the primary and </w:t>
      </w:r>
      <w:r>
        <w:rPr>
          <w:rFonts w:ascii="Arial" w:hAnsi="Arial" w:cs="Arial"/>
          <w:lang w:val="en-GB"/>
        </w:rPr>
        <w:t>secondary recovery procedures (Afzali et al, 2018).</w:t>
      </w:r>
      <w:r>
        <w:rPr>
          <w:rFonts w:ascii="Arial" w:hAnsi="Arial" w:cs="Arial"/>
        </w:rPr>
        <w:t xml:space="preserve"> Gas fingering during gas injection could lead to </w:t>
      </w:r>
      <w:proofErr w:type="spellStart"/>
      <w:r>
        <w:rPr>
          <w:rFonts w:ascii="Arial" w:hAnsi="Arial" w:cs="Arial"/>
        </w:rPr>
        <w:t>unfavourable</w:t>
      </w:r>
      <w:proofErr w:type="spellEnd"/>
      <w:r>
        <w:rPr>
          <w:rFonts w:ascii="Arial" w:hAnsi="Arial" w:cs="Arial"/>
        </w:rPr>
        <w:t xml:space="preserve"> mobility ratio that </w:t>
      </w:r>
      <w:r>
        <w:rPr>
          <w:rFonts w:ascii="Arial" w:hAnsi="Arial" w:cs="Arial"/>
          <w:lang w:eastAsia="zh-CN"/>
        </w:rPr>
        <w:t xml:space="preserve">reduces the sweep efficiency </w:t>
      </w:r>
      <w:r>
        <w:rPr>
          <w:rFonts w:ascii="Arial" w:hAnsi="Arial" w:cs="Arial"/>
          <w:lang w:val="en-GB"/>
        </w:rPr>
        <w:t xml:space="preserve">(Afzali et al, </w:t>
      </w:r>
      <w:proofErr w:type="gramStart"/>
      <w:r>
        <w:rPr>
          <w:rFonts w:ascii="Arial" w:hAnsi="Arial" w:cs="Arial"/>
          <w:lang w:val="en-GB"/>
        </w:rPr>
        <w:t>2018</w:t>
      </w:r>
      <w:r>
        <w:rPr>
          <w:rFonts w:ascii="Arial" w:hAnsi="Arial" w:cs="Arial"/>
        </w:rPr>
        <w:t>,</w:t>
      </w:r>
      <w:r>
        <w:rPr>
          <w:rFonts w:ascii="Arial" w:hAnsi="Arial" w:cs="Arial"/>
          <w:lang w:eastAsia="zh-CN"/>
        </w:rPr>
        <w:t>Holm</w:t>
      </w:r>
      <w:proofErr w:type="gramEnd"/>
      <w:r>
        <w:rPr>
          <w:rFonts w:ascii="Arial" w:hAnsi="Arial" w:cs="Arial"/>
          <w:lang w:eastAsia="zh-CN"/>
        </w:rPr>
        <w:t>, 1972, Moffitt and Zorn, 1992, Watts et al 1982</w:t>
      </w:r>
      <w:r>
        <w:rPr>
          <w:rFonts w:ascii="Arial" w:hAnsi="Arial" w:cs="Arial"/>
        </w:rPr>
        <w:t>)</w:t>
      </w:r>
      <w:r>
        <w:rPr>
          <w:rFonts w:ascii="Arial" w:hAnsi="Arial" w:cs="Arial"/>
          <w:lang w:eastAsia="zh-CN"/>
        </w:rPr>
        <w:t xml:space="preserve">. Gas fingering and </w:t>
      </w:r>
      <w:r>
        <w:rPr>
          <w:rFonts w:ascii="Arial" w:hAnsi="Arial" w:cs="Arial"/>
          <w:lang w:eastAsia="zh-CN"/>
        </w:rPr>
        <w:t xml:space="preserve">gas breakthrough could be exacerbated by reservoir heterogeneities, resulting from fractures and high permeable layers </w:t>
      </w:r>
      <w:proofErr w:type="spellStart"/>
      <w:r>
        <w:rPr>
          <w:rFonts w:ascii="Arial" w:hAnsi="Arial" w:cs="Arial"/>
          <w:lang w:eastAsia="zh-CN"/>
        </w:rPr>
        <w:t>Birarda</w:t>
      </w:r>
      <w:proofErr w:type="spellEnd"/>
      <w:r>
        <w:rPr>
          <w:rFonts w:ascii="Arial" w:hAnsi="Arial" w:cs="Arial"/>
          <w:lang w:eastAsia="zh-CN"/>
        </w:rPr>
        <w:t xml:space="preserve"> et al 1990, Cuesta and Merritt, 1982). </w:t>
      </w:r>
      <w:r>
        <w:rPr>
          <w:rFonts w:ascii="Arial" w:hAnsi="Arial" w:cs="Arial"/>
        </w:rPr>
        <w:t>WAG</w:t>
      </w:r>
      <w:r>
        <w:rPr>
          <w:rFonts w:ascii="Arial" w:hAnsi="Arial" w:cs="Arial"/>
          <w:lang w:val="en-GB"/>
        </w:rPr>
        <w:t xml:space="preserve"> is an enhanced oil recovery (EOR) technique that increases oil recovery effectiveness </w:t>
      </w:r>
      <w:r>
        <w:rPr>
          <w:rFonts w:ascii="Arial" w:hAnsi="Arial" w:cs="Arial"/>
          <w:lang w:val="en-GB"/>
        </w:rPr>
        <w:t>by combining gas injection with water flooding (Kumar and Mandal, 2017). The method was developed to improve the oil displacement of gas injection and the sweep efficiency in waterflooding procedures (Abdullah and Hasan, 2021)</w:t>
      </w:r>
      <w:r>
        <w:rPr>
          <w:rFonts w:ascii="Arial" w:hAnsi="Arial" w:cs="Arial"/>
        </w:rPr>
        <w:t>.</w:t>
      </w:r>
      <w:r>
        <w:rPr>
          <w:rFonts w:ascii="Arial" w:hAnsi="Arial" w:cs="Arial"/>
          <w:lang w:val="en-GB"/>
        </w:rPr>
        <w:t xml:space="preserve"> </w:t>
      </w:r>
      <w:r>
        <w:rPr>
          <w:rFonts w:ascii="Arial" w:hAnsi="Arial" w:cs="Arial"/>
        </w:rPr>
        <w:t>To improve recovery and cont</w:t>
      </w:r>
      <w:r>
        <w:rPr>
          <w:rFonts w:ascii="Arial" w:hAnsi="Arial" w:cs="Arial"/>
        </w:rPr>
        <w:t xml:space="preserve">rol gas mobility, </w:t>
      </w:r>
      <w:r>
        <w:rPr>
          <w:rFonts w:ascii="Arial" w:hAnsi="Arial" w:cs="Arial"/>
          <w:lang w:eastAsia="zh-CN"/>
        </w:rPr>
        <w:t xml:space="preserve">WAG optimization is one of the best </w:t>
      </w:r>
      <w:proofErr w:type="spellStart"/>
      <w:r>
        <w:rPr>
          <w:rFonts w:ascii="Arial" w:hAnsi="Arial" w:cs="Arial"/>
          <w:lang w:eastAsia="zh-CN"/>
        </w:rPr>
        <w:t>schems</w:t>
      </w:r>
      <w:proofErr w:type="spellEnd"/>
      <w:r>
        <w:rPr>
          <w:rFonts w:ascii="Arial" w:hAnsi="Arial" w:cs="Arial"/>
          <w:lang w:eastAsia="zh-CN"/>
        </w:rPr>
        <w:t xml:space="preserve"> to </w:t>
      </w:r>
      <w:proofErr w:type="gramStart"/>
      <w:r>
        <w:rPr>
          <w:rFonts w:ascii="Arial" w:hAnsi="Arial" w:cs="Arial"/>
          <w:lang w:eastAsia="zh-CN"/>
        </w:rPr>
        <w:t>deploy(</w:t>
      </w:r>
      <w:proofErr w:type="gramEnd"/>
      <w:r>
        <w:rPr>
          <w:rFonts w:ascii="Arial" w:hAnsi="Arial" w:cs="Arial"/>
          <w:lang w:eastAsia="zh-CN"/>
        </w:rPr>
        <w:t>Chen et al 2010).</w:t>
      </w:r>
    </w:p>
    <w:p w14:paraId="3B8B83DA" w14:textId="77777777" w:rsidR="00462C0C" w:rsidRDefault="00462C0C">
      <w:pPr>
        <w:pStyle w:val="Body"/>
        <w:spacing w:after="0"/>
        <w:rPr>
          <w:rFonts w:ascii="Arial" w:hAnsi="Arial" w:cs="Arial"/>
          <w:lang w:eastAsia="zh-CN"/>
        </w:rPr>
      </w:pPr>
    </w:p>
    <w:p w14:paraId="724E2399" w14:textId="77777777" w:rsidR="00462C0C" w:rsidRDefault="007E0319">
      <w:pPr>
        <w:pStyle w:val="Body"/>
        <w:spacing w:after="0"/>
        <w:rPr>
          <w:rFonts w:ascii="Arial" w:hAnsi="Arial" w:cs="Arial"/>
          <w:lang w:val="en-GB"/>
        </w:rPr>
      </w:pPr>
      <w:r>
        <w:rPr>
          <w:rFonts w:ascii="Arial" w:hAnsi="Arial" w:cs="Arial"/>
        </w:rPr>
        <w:t xml:space="preserve">Different types of WAG techniques have been studies over the years to improve the reduction of the residual oil saturation. Typical example is the study by </w:t>
      </w:r>
      <w:r>
        <w:rPr>
          <w:rFonts w:ascii="Arial" w:hAnsi="Arial" w:cs="Arial"/>
          <w:lang w:eastAsia="zh-CN"/>
        </w:rPr>
        <w:t>Kulkarni a</w:t>
      </w:r>
      <w:r>
        <w:rPr>
          <w:rFonts w:ascii="Arial" w:hAnsi="Arial" w:cs="Arial"/>
          <w:lang w:eastAsia="zh-CN"/>
        </w:rPr>
        <w:t xml:space="preserve">nd Rao (2004), where they carried out an experimental investigation through core flooding to compare gas injection and WAG and observed that WAG is superior to gas injection in reducing the residual oil saturation. </w:t>
      </w:r>
      <w:r>
        <w:rPr>
          <w:rFonts w:ascii="Arial" w:hAnsi="Arial" w:cs="Arial"/>
          <w:lang w:val="en-GB"/>
        </w:rPr>
        <w:t xml:space="preserve">In this study, the Water-Alternating-Gas </w:t>
      </w:r>
      <w:r>
        <w:rPr>
          <w:rFonts w:ascii="Arial" w:hAnsi="Arial" w:cs="Arial"/>
          <w:lang w:val="en-GB"/>
        </w:rPr>
        <w:t>Injection (WAG) recovery method is used to determine the recovery performance of a selected oil field in the Niger Delta in comparison to waterflooding and gas injection recovery methods.</w:t>
      </w:r>
    </w:p>
    <w:p w14:paraId="3AB8A9E1" w14:textId="77777777" w:rsidR="00462C0C" w:rsidRDefault="00462C0C">
      <w:pPr>
        <w:pStyle w:val="Body"/>
        <w:spacing w:after="0"/>
        <w:rPr>
          <w:rFonts w:ascii="Arial" w:hAnsi="Arial" w:cs="Arial"/>
          <w:lang w:val="en-GB"/>
        </w:rPr>
      </w:pPr>
    </w:p>
    <w:p w14:paraId="5959FBF9" w14:textId="77777777" w:rsidR="00462C0C" w:rsidRDefault="00462C0C">
      <w:pPr>
        <w:pStyle w:val="Body"/>
        <w:spacing w:after="0"/>
        <w:rPr>
          <w:rFonts w:ascii="Arial" w:hAnsi="Arial" w:cs="Arial"/>
        </w:rPr>
      </w:pPr>
    </w:p>
    <w:p w14:paraId="6C245420" w14:textId="77777777" w:rsidR="00462C0C" w:rsidRDefault="007E0319">
      <w:pPr>
        <w:pStyle w:val="AbstHead"/>
        <w:spacing w:after="0"/>
        <w:jc w:val="both"/>
        <w:rPr>
          <w:rFonts w:ascii="Arial" w:hAnsi="Arial" w:cs="Arial"/>
        </w:rPr>
      </w:pPr>
      <w:r>
        <w:rPr>
          <w:rFonts w:ascii="Arial" w:hAnsi="Arial" w:cs="Arial"/>
        </w:rPr>
        <w:t xml:space="preserve">2. methodology </w:t>
      </w:r>
    </w:p>
    <w:p w14:paraId="48BC3334" w14:textId="77777777" w:rsidR="00462C0C" w:rsidRDefault="007E0319">
      <w:pPr>
        <w:pStyle w:val="Body"/>
        <w:spacing w:after="0"/>
        <w:rPr>
          <w:rFonts w:ascii="Arial" w:hAnsi="Arial" w:cs="Arial"/>
          <w:lang w:val="en-GB"/>
        </w:rPr>
      </w:pPr>
      <w:r>
        <w:rPr>
          <w:rFonts w:ascii="Arial" w:hAnsi="Arial" w:cs="Arial"/>
          <w:lang w:val="en-GB"/>
        </w:rPr>
        <w:t>ECLIPSE Compositional Simulator” was used to model</w:t>
      </w:r>
      <w:r>
        <w:rPr>
          <w:rFonts w:ascii="Arial" w:hAnsi="Arial" w:cs="Arial"/>
          <w:lang w:val="en-GB"/>
        </w:rPr>
        <w:t xml:space="preserve"> and simulate the hydrocarbon flow of WAG injection technique in comparison with water flooding and gas injection for an oil field in the Niger Delta. Eclipse is a compositional software used for modelling and simulating multicomponent hydrocarbon flow in </w:t>
      </w:r>
      <w:r>
        <w:rPr>
          <w:rFonts w:ascii="Arial" w:hAnsi="Arial" w:cs="Arial"/>
          <w:lang w:val="en-GB"/>
        </w:rPr>
        <w:t>reservoirs.</w:t>
      </w:r>
    </w:p>
    <w:p w14:paraId="77053B29" w14:textId="77777777" w:rsidR="00462C0C" w:rsidRDefault="00462C0C">
      <w:pPr>
        <w:pStyle w:val="Body"/>
        <w:spacing w:after="0"/>
        <w:rPr>
          <w:rFonts w:ascii="Arial" w:hAnsi="Arial" w:cs="Arial"/>
          <w:lang w:val="en-GB"/>
        </w:rPr>
      </w:pPr>
    </w:p>
    <w:p w14:paraId="1EBB9BF7" w14:textId="77777777" w:rsidR="00462C0C" w:rsidRDefault="007E0319">
      <w:pPr>
        <w:pStyle w:val="Body"/>
        <w:spacing w:after="0"/>
        <w:rPr>
          <w:rFonts w:ascii="Arial" w:hAnsi="Arial" w:cs="Arial"/>
        </w:rPr>
      </w:pPr>
      <w:r>
        <w:rPr>
          <w:rFonts w:ascii="Arial" w:hAnsi="Arial" w:cs="Arial"/>
          <w:lang w:val="en-GB"/>
        </w:rPr>
        <w:t xml:space="preserve">The field </w:t>
      </w:r>
      <w:r>
        <w:rPr>
          <w:rFonts w:ascii="Arial" w:hAnsi="Arial" w:cs="Arial"/>
        </w:rPr>
        <w:t>of</w:t>
      </w:r>
      <w:r>
        <w:rPr>
          <w:rFonts w:ascii="Arial" w:hAnsi="Arial" w:cs="Arial"/>
          <w:lang w:val="en-GB"/>
        </w:rPr>
        <w:t xml:space="preserve"> study is an oil field located in the Niger Delta. </w:t>
      </w:r>
      <w:r>
        <w:rPr>
          <w:rFonts w:ascii="Arial" w:hAnsi="Arial" w:cs="Arial"/>
        </w:rPr>
        <w:t xml:space="preserve">The predicted dominant drive mechanism of the </w:t>
      </w:r>
      <w:r>
        <w:rPr>
          <w:rFonts w:ascii="Arial" w:hAnsi="Arial" w:cs="Arial"/>
          <w:lang w:val="en-GB"/>
        </w:rPr>
        <w:t>oil</w:t>
      </w:r>
      <w:r>
        <w:rPr>
          <w:rFonts w:ascii="Arial" w:hAnsi="Arial" w:cs="Arial"/>
        </w:rPr>
        <w:t xml:space="preserve"> field is the</w:t>
      </w:r>
      <w:r>
        <w:rPr>
          <w:rFonts w:ascii="Arial" w:hAnsi="Arial" w:cs="Arial"/>
          <w:lang w:val="en-GB"/>
        </w:rPr>
        <w:t xml:space="preserve"> depletion</w:t>
      </w:r>
      <w:r>
        <w:rPr>
          <w:rFonts w:ascii="Arial" w:hAnsi="Arial" w:cs="Arial"/>
        </w:rPr>
        <w:t xml:space="preserve"> drive and</w:t>
      </w:r>
      <w:r>
        <w:rPr>
          <w:rFonts w:ascii="Arial" w:hAnsi="Arial" w:cs="Arial"/>
          <w:lang w:val="en-GB"/>
        </w:rPr>
        <w:t xml:space="preserve"> </w:t>
      </w:r>
      <w:r>
        <w:rPr>
          <w:rFonts w:ascii="Arial" w:hAnsi="Arial" w:cs="Arial"/>
        </w:rPr>
        <w:t xml:space="preserve">the </w:t>
      </w:r>
      <w:r>
        <w:rPr>
          <w:rFonts w:ascii="Arial" w:hAnsi="Arial" w:cs="Arial"/>
          <w:lang w:val="en-GB"/>
        </w:rPr>
        <w:t>reservoir pressure was found to be initially above the bubble point pressure</w:t>
      </w:r>
      <w:r>
        <w:rPr>
          <w:rFonts w:ascii="Arial" w:hAnsi="Arial" w:cs="Arial"/>
        </w:rPr>
        <w:t>. Depletion drive</w:t>
      </w:r>
      <w:r>
        <w:rPr>
          <w:rFonts w:ascii="Arial" w:hAnsi="Arial" w:cs="Arial"/>
        </w:rPr>
        <w:t xml:space="preserve"> reservoirs have low ultimate recovery and are known to experience rapid decline in reservoir pressure and increase in the gas-oil ratio, the justification for the application of water-alternating gas injection (</w:t>
      </w:r>
      <w:r>
        <w:rPr>
          <w:rFonts w:ascii="Arial" w:hAnsi="Arial" w:cs="Arial"/>
          <w:lang w:val="en-GB"/>
        </w:rPr>
        <w:t>Ahmed</w:t>
      </w:r>
      <w:r>
        <w:rPr>
          <w:rFonts w:ascii="Arial" w:hAnsi="Arial" w:cs="Arial"/>
        </w:rPr>
        <w:t xml:space="preserve"> </w:t>
      </w:r>
      <w:r>
        <w:rPr>
          <w:rFonts w:ascii="Arial" w:hAnsi="Arial" w:cs="Arial"/>
          <w:lang w:val="en-GB"/>
        </w:rPr>
        <w:t>and Meehan</w:t>
      </w:r>
      <w:r>
        <w:rPr>
          <w:rFonts w:ascii="Arial" w:hAnsi="Arial" w:cs="Arial"/>
        </w:rPr>
        <w:t>, 2012). Table 1 shows the i</w:t>
      </w:r>
      <w:r>
        <w:rPr>
          <w:rFonts w:ascii="Arial" w:hAnsi="Arial" w:cs="Arial"/>
        </w:rPr>
        <w:t xml:space="preserve">nput data used for the simulation. </w:t>
      </w:r>
      <w:r>
        <w:rPr>
          <w:rFonts w:ascii="Arial" w:eastAsia="Calibri" w:hAnsi="Arial" w:cs="Arial"/>
          <w:szCs w:val="22"/>
        </w:rPr>
        <w:t>Simulating the reservoir was first carried out under natural depletion, after which optimization was carried done using waterflooding, gas injection and finally, water alternating gas injections.</w:t>
      </w:r>
    </w:p>
    <w:p w14:paraId="1E5B272D" w14:textId="77777777" w:rsidR="00462C0C" w:rsidRDefault="00462C0C">
      <w:pPr>
        <w:pStyle w:val="Body"/>
        <w:spacing w:after="0"/>
        <w:rPr>
          <w:rFonts w:ascii="Arial" w:hAnsi="Arial" w:cs="Arial"/>
        </w:rPr>
      </w:pPr>
    </w:p>
    <w:p w14:paraId="29FAB806" w14:textId="77777777" w:rsidR="00462C0C" w:rsidRDefault="007E0319">
      <w:pPr>
        <w:pStyle w:val="Head1"/>
        <w:spacing w:after="0"/>
        <w:jc w:val="both"/>
        <w:rPr>
          <w:rFonts w:ascii="Arial" w:hAnsi="Arial" w:cs="Arial"/>
        </w:rPr>
      </w:pPr>
      <w:r>
        <w:rPr>
          <w:rFonts w:ascii="Arial" w:hAnsi="Arial" w:cs="Arial"/>
        </w:rPr>
        <w:t>3. results and discussio</w:t>
      </w:r>
      <w:r>
        <w:rPr>
          <w:rFonts w:ascii="Arial" w:hAnsi="Arial" w:cs="Arial"/>
        </w:rPr>
        <w:t>n</w:t>
      </w:r>
    </w:p>
    <w:p w14:paraId="12728D62" w14:textId="77777777" w:rsidR="00462C0C" w:rsidRDefault="007E0319">
      <w:pPr>
        <w:pStyle w:val="Body"/>
        <w:spacing w:after="0"/>
        <w:rPr>
          <w:rFonts w:ascii="Arial" w:eastAsia="Calibri" w:hAnsi="Arial" w:cs="Arial"/>
          <w:szCs w:val="22"/>
        </w:rPr>
      </w:pPr>
      <w:r>
        <w:rPr>
          <w:rFonts w:ascii="Arial" w:eastAsia="Calibri" w:hAnsi="Arial" w:cs="Arial"/>
          <w:szCs w:val="22"/>
        </w:rPr>
        <w:t xml:space="preserve"> There are a total of 10 wells; 6 producer wells (N2, N3, A4, E2, E3 &amp; E4) and 4 injector wells (INJ1, INJ2, INJ3 &amp; INJ4). To compare optimization performance, the field oil production total (FOE), the field oil production rate (FOPR), field oil producti</w:t>
      </w:r>
      <w:r>
        <w:rPr>
          <w:rFonts w:ascii="Arial" w:eastAsia="Calibri" w:hAnsi="Arial" w:cs="Arial"/>
          <w:szCs w:val="22"/>
        </w:rPr>
        <w:t xml:space="preserve">on total (FOPT) and the field </w:t>
      </w:r>
      <w:proofErr w:type="spellStart"/>
      <w:r>
        <w:rPr>
          <w:rFonts w:ascii="Arial" w:eastAsia="Calibri" w:hAnsi="Arial" w:cs="Arial"/>
          <w:szCs w:val="22"/>
        </w:rPr>
        <w:t>wate-rcut</w:t>
      </w:r>
      <w:proofErr w:type="spellEnd"/>
      <w:r>
        <w:rPr>
          <w:rFonts w:ascii="Arial" w:eastAsia="Calibri" w:hAnsi="Arial" w:cs="Arial"/>
          <w:szCs w:val="22"/>
        </w:rPr>
        <w:t xml:space="preserve"> was determined for all three recovery methods. Figure </w:t>
      </w:r>
      <w:proofErr w:type="gramStart"/>
      <w:r>
        <w:rPr>
          <w:rFonts w:ascii="Arial" w:eastAsia="Calibri" w:hAnsi="Arial" w:cs="Arial"/>
          <w:szCs w:val="22"/>
        </w:rPr>
        <w:t>1  shows</w:t>
      </w:r>
      <w:proofErr w:type="gramEnd"/>
      <w:r>
        <w:rPr>
          <w:rFonts w:ascii="Arial" w:eastAsia="Calibri" w:hAnsi="Arial" w:cs="Arial"/>
          <w:szCs w:val="22"/>
        </w:rPr>
        <w:t xml:space="preserve"> the 3D simulation models for the different recovery methods with the producers and injectors. Figures 1a is the 3D model for the natural depletion, 1b is</w:t>
      </w:r>
      <w:r>
        <w:rPr>
          <w:rFonts w:ascii="Arial" w:eastAsia="Calibri" w:hAnsi="Arial" w:cs="Arial"/>
          <w:szCs w:val="22"/>
        </w:rPr>
        <w:t xml:space="preserve"> the 3D model for waterflooding, 1c is the 3D model for gas injection and 1d is for the water-alternating gas injection model respectively.</w:t>
      </w:r>
    </w:p>
    <w:p w14:paraId="4FA69BDA" w14:textId="77777777" w:rsidR="00462C0C" w:rsidRDefault="00462C0C">
      <w:pPr>
        <w:pStyle w:val="Body"/>
        <w:spacing w:after="0"/>
        <w:rPr>
          <w:rFonts w:ascii="Arial" w:hAnsi="Arial" w:cs="Arial"/>
        </w:rPr>
      </w:pPr>
    </w:p>
    <w:p w14:paraId="45B5DD53" w14:textId="77777777" w:rsidR="00462C0C" w:rsidRDefault="007E0319">
      <w:pPr>
        <w:pStyle w:val="Body"/>
        <w:spacing w:after="0"/>
        <w:rPr>
          <w:rFonts w:ascii="Arial" w:hAnsi="Arial" w:cs="Arial"/>
        </w:rPr>
      </w:pPr>
      <w:r>
        <w:rPr>
          <w:rFonts w:ascii="Arial" w:hAnsi="Arial" w:cs="Arial"/>
          <w:b/>
          <w:bCs/>
        </w:rPr>
        <w:t>Table 1: Summary of Input data used for the simulation</w:t>
      </w:r>
    </w:p>
    <w:p w14:paraId="6CF89EE7" w14:textId="77777777" w:rsidR="00462C0C" w:rsidRDefault="00462C0C">
      <w:pPr>
        <w:pStyle w:val="Body"/>
        <w:spacing w:after="0"/>
        <w:rPr>
          <w:rFonts w:ascii="Arial" w:hAnsi="Arial"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715"/>
        <w:gridCol w:w="2313"/>
      </w:tblGrid>
      <w:tr w:rsidR="00462C0C" w14:paraId="45A13AAC" w14:textId="77777777">
        <w:tc>
          <w:tcPr>
            <w:tcW w:w="988" w:type="dxa"/>
          </w:tcPr>
          <w:p w14:paraId="18F4F763" w14:textId="77777777" w:rsidR="00462C0C" w:rsidRDefault="007E0319">
            <w:pPr>
              <w:jc w:val="center"/>
              <w:rPr>
                <w:rFonts w:ascii="Times New Roman" w:hAnsi="Times New Roman"/>
                <w:b/>
                <w:bCs/>
                <w:lang w:val="en-GB"/>
              </w:rPr>
            </w:pPr>
            <w:r>
              <w:rPr>
                <w:rFonts w:ascii="Times New Roman" w:hAnsi="Times New Roman"/>
                <w:b/>
                <w:bCs/>
                <w:lang w:val="en-GB"/>
              </w:rPr>
              <w:t>S/N</w:t>
            </w:r>
          </w:p>
        </w:tc>
        <w:tc>
          <w:tcPr>
            <w:tcW w:w="8028" w:type="dxa"/>
            <w:gridSpan w:val="2"/>
          </w:tcPr>
          <w:p w14:paraId="08C340FF" w14:textId="77777777" w:rsidR="00462C0C" w:rsidRDefault="007E0319">
            <w:pPr>
              <w:jc w:val="center"/>
              <w:rPr>
                <w:rFonts w:ascii="Times New Roman" w:hAnsi="Times New Roman"/>
                <w:b/>
                <w:bCs/>
                <w:lang w:val="en-GB"/>
              </w:rPr>
            </w:pPr>
            <w:r>
              <w:rPr>
                <w:rFonts w:ascii="Times New Roman" w:hAnsi="Times New Roman"/>
                <w:b/>
                <w:bCs/>
                <w:lang w:val="en-GB"/>
              </w:rPr>
              <w:t>Field Data</w:t>
            </w:r>
          </w:p>
        </w:tc>
      </w:tr>
      <w:tr w:rsidR="00462C0C" w14:paraId="13D347ED" w14:textId="77777777">
        <w:tc>
          <w:tcPr>
            <w:tcW w:w="988" w:type="dxa"/>
          </w:tcPr>
          <w:p w14:paraId="5554AFA0" w14:textId="77777777" w:rsidR="00462C0C" w:rsidRDefault="007E0319">
            <w:pPr>
              <w:jc w:val="both"/>
              <w:rPr>
                <w:rFonts w:ascii="Times New Roman" w:hAnsi="Times New Roman"/>
                <w:lang w:val="en-GB"/>
              </w:rPr>
            </w:pPr>
            <w:r>
              <w:rPr>
                <w:rFonts w:ascii="Times New Roman" w:hAnsi="Times New Roman"/>
                <w:lang w:val="en-GB"/>
              </w:rPr>
              <w:t>1</w:t>
            </w:r>
          </w:p>
        </w:tc>
        <w:tc>
          <w:tcPr>
            <w:tcW w:w="5715" w:type="dxa"/>
          </w:tcPr>
          <w:p w14:paraId="2CE2707B" w14:textId="77777777" w:rsidR="00462C0C" w:rsidRDefault="007E0319">
            <w:pPr>
              <w:rPr>
                <w:rFonts w:ascii="Times New Roman" w:hAnsi="Times New Roman"/>
                <w:lang w:val="en-GB"/>
              </w:rPr>
            </w:pPr>
            <w:r>
              <w:rPr>
                <w:rFonts w:ascii="Times New Roman" w:hAnsi="Times New Roman"/>
                <w:lang w:val="en-GB"/>
              </w:rPr>
              <w:t xml:space="preserve">Original Oil in Place </w:t>
            </w:r>
            <w:r>
              <w:rPr>
                <w:rFonts w:ascii="Times New Roman" w:hAnsi="Times New Roman"/>
              </w:rPr>
              <w:t>(</w:t>
            </w:r>
            <w:r>
              <w:rPr>
                <w:rFonts w:ascii="Times New Roman" w:hAnsi="Times New Roman"/>
                <w:lang w:val="en-GB"/>
              </w:rPr>
              <w:t>OOIP</w:t>
            </w:r>
            <w:r>
              <w:rPr>
                <w:rFonts w:ascii="Times New Roman" w:hAnsi="Times New Roman"/>
              </w:rPr>
              <w:t>)</w:t>
            </w:r>
            <w:r>
              <w:rPr>
                <w:rFonts w:ascii="Times New Roman" w:hAnsi="Times New Roman"/>
                <w:lang w:val="en-GB"/>
              </w:rPr>
              <w:t xml:space="preserve"> (STB)</w:t>
            </w:r>
          </w:p>
        </w:tc>
        <w:tc>
          <w:tcPr>
            <w:tcW w:w="2313" w:type="dxa"/>
          </w:tcPr>
          <w:p w14:paraId="0601F2FB" w14:textId="77777777" w:rsidR="00462C0C" w:rsidRDefault="007E0319">
            <w:pPr>
              <w:rPr>
                <w:rFonts w:ascii="Times New Roman" w:hAnsi="Times New Roman"/>
                <w:lang w:val="en-GB"/>
              </w:rPr>
            </w:pPr>
            <w:r>
              <w:rPr>
                <w:rFonts w:ascii="Times New Roman" w:hAnsi="Times New Roman"/>
                <w:lang w:val="en-GB"/>
              </w:rPr>
              <w:t>35,665,294</w:t>
            </w:r>
          </w:p>
        </w:tc>
      </w:tr>
      <w:tr w:rsidR="00462C0C" w14:paraId="633619FB" w14:textId="77777777">
        <w:tc>
          <w:tcPr>
            <w:tcW w:w="988" w:type="dxa"/>
          </w:tcPr>
          <w:p w14:paraId="2B7B002D" w14:textId="77777777" w:rsidR="00462C0C" w:rsidRDefault="007E0319">
            <w:pPr>
              <w:jc w:val="both"/>
              <w:rPr>
                <w:rFonts w:ascii="Times New Roman" w:hAnsi="Times New Roman"/>
                <w:lang w:val="en-GB"/>
              </w:rPr>
            </w:pPr>
            <w:r>
              <w:rPr>
                <w:rFonts w:ascii="Times New Roman" w:hAnsi="Times New Roman"/>
                <w:lang w:val="en-GB"/>
              </w:rPr>
              <w:t>2</w:t>
            </w:r>
          </w:p>
        </w:tc>
        <w:tc>
          <w:tcPr>
            <w:tcW w:w="5715" w:type="dxa"/>
          </w:tcPr>
          <w:p w14:paraId="28C29737" w14:textId="77777777" w:rsidR="00462C0C" w:rsidRDefault="007E0319">
            <w:pPr>
              <w:rPr>
                <w:rFonts w:ascii="Times New Roman" w:hAnsi="Times New Roman"/>
                <w:lang w:val="en-GB"/>
              </w:rPr>
            </w:pPr>
            <w:r>
              <w:rPr>
                <w:rFonts w:ascii="Times New Roman" w:hAnsi="Times New Roman"/>
                <w:lang w:val="en-GB"/>
              </w:rPr>
              <w:t>API</w:t>
            </w:r>
          </w:p>
        </w:tc>
        <w:tc>
          <w:tcPr>
            <w:tcW w:w="2313" w:type="dxa"/>
          </w:tcPr>
          <w:p w14:paraId="4C2FDCCA" w14:textId="77777777" w:rsidR="00462C0C" w:rsidRDefault="007E0319">
            <w:pPr>
              <w:rPr>
                <w:rFonts w:ascii="Times New Roman" w:hAnsi="Times New Roman"/>
                <w:lang w:val="en-GB"/>
              </w:rPr>
            </w:pPr>
            <w:r>
              <w:rPr>
                <w:rFonts w:ascii="Times New Roman" w:hAnsi="Times New Roman"/>
                <w:lang w:val="en-GB"/>
              </w:rPr>
              <w:t>39</w:t>
            </w:r>
          </w:p>
        </w:tc>
      </w:tr>
      <w:tr w:rsidR="00462C0C" w14:paraId="535D2300" w14:textId="77777777">
        <w:tc>
          <w:tcPr>
            <w:tcW w:w="988" w:type="dxa"/>
          </w:tcPr>
          <w:p w14:paraId="2D8FA1E7" w14:textId="77777777" w:rsidR="00462C0C" w:rsidRDefault="007E0319">
            <w:pPr>
              <w:jc w:val="both"/>
              <w:rPr>
                <w:rFonts w:ascii="Times New Roman" w:hAnsi="Times New Roman"/>
                <w:lang w:val="en-GB"/>
              </w:rPr>
            </w:pPr>
            <w:r>
              <w:rPr>
                <w:rFonts w:ascii="Times New Roman" w:hAnsi="Times New Roman"/>
                <w:lang w:val="en-GB"/>
              </w:rPr>
              <w:t>3</w:t>
            </w:r>
          </w:p>
        </w:tc>
        <w:tc>
          <w:tcPr>
            <w:tcW w:w="5715" w:type="dxa"/>
          </w:tcPr>
          <w:p w14:paraId="7A42EE16" w14:textId="77777777" w:rsidR="00462C0C" w:rsidRDefault="007E0319">
            <w:pPr>
              <w:rPr>
                <w:rFonts w:ascii="Times New Roman" w:hAnsi="Times New Roman"/>
                <w:lang w:val="en-GB"/>
              </w:rPr>
            </w:pPr>
            <w:r>
              <w:rPr>
                <w:rFonts w:ascii="Times New Roman" w:hAnsi="Times New Roman"/>
                <w:lang w:val="en-GB"/>
              </w:rPr>
              <w:t>Recovery Factor (%)</w:t>
            </w:r>
          </w:p>
        </w:tc>
        <w:tc>
          <w:tcPr>
            <w:tcW w:w="2313" w:type="dxa"/>
          </w:tcPr>
          <w:p w14:paraId="74B4B3A8" w14:textId="77777777" w:rsidR="00462C0C" w:rsidRDefault="007E0319">
            <w:pPr>
              <w:rPr>
                <w:rFonts w:ascii="Times New Roman" w:hAnsi="Times New Roman"/>
                <w:lang w:val="en-GB"/>
              </w:rPr>
            </w:pPr>
            <w:r>
              <w:rPr>
                <w:rFonts w:ascii="Times New Roman" w:hAnsi="Times New Roman"/>
                <w:lang w:val="en-GB"/>
              </w:rPr>
              <w:t>14.305</w:t>
            </w:r>
          </w:p>
        </w:tc>
      </w:tr>
      <w:tr w:rsidR="00462C0C" w14:paraId="03BAE905" w14:textId="77777777">
        <w:tc>
          <w:tcPr>
            <w:tcW w:w="988" w:type="dxa"/>
          </w:tcPr>
          <w:p w14:paraId="3714914A" w14:textId="77777777" w:rsidR="00462C0C" w:rsidRDefault="007E0319">
            <w:pPr>
              <w:jc w:val="both"/>
              <w:rPr>
                <w:rFonts w:ascii="Times New Roman" w:hAnsi="Times New Roman"/>
                <w:lang w:val="en-GB"/>
              </w:rPr>
            </w:pPr>
            <w:r>
              <w:rPr>
                <w:rFonts w:ascii="Times New Roman" w:hAnsi="Times New Roman"/>
                <w:lang w:val="en-GB"/>
              </w:rPr>
              <w:t>4</w:t>
            </w:r>
          </w:p>
        </w:tc>
        <w:tc>
          <w:tcPr>
            <w:tcW w:w="5715" w:type="dxa"/>
          </w:tcPr>
          <w:p w14:paraId="2B169901" w14:textId="77777777" w:rsidR="00462C0C" w:rsidRDefault="007E0319">
            <w:pPr>
              <w:rPr>
                <w:rFonts w:ascii="Times New Roman" w:hAnsi="Times New Roman"/>
                <w:lang w:val="en-GB"/>
              </w:rPr>
            </w:pPr>
            <w:r>
              <w:rPr>
                <w:rFonts w:ascii="Times New Roman" w:hAnsi="Times New Roman"/>
                <w:lang w:val="en-GB"/>
              </w:rPr>
              <w:t>Oil Formation Volume Factor (Bo)</w:t>
            </w:r>
          </w:p>
        </w:tc>
        <w:tc>
          <w:tcPr>
            <w:tcW w:w="2313" w:type="dxa"/>
          </w:tcPr>
          <w:p w14:paraId="1CF87C07" w14:textId="77777777" w:rsidR="00462C0C" w:rsidRDefault="007E0319">
            <w:pPr>
              <w:rPr>
                <w:rFonts w:ascii="Times New Roman" w:hAnsi="Times New Roman"/>
                <w:lang w:val="en-GB"/>
              </w:rPr>
            </w:pPr>
            <w:r>
              <w:rPr>
                <w:rFonts w:ascii="Times New Roman" w:hAnsi="Times New Roman"/>
                <w:lang w:val="en-GB"/>
              </w:rPr>
              <w:t>1.6629</w:t>
            </w:r>
          </w:p>
        </w:tc>
      </w:tr>
      <w:tr w:rsidR="00462C0C" w14:paraId="54307595" w14:textId="77777777">
        <w:tc>
          <w:tcPr>
            <w:tcW w:w="988" w:type="dxa"/>
          </w:tcPr>
          <w:p w14:paraId="348A1B71" w14:textId="77777777" w:rsidR="00462C0C" w:rsidRDefault="007E0319">
            <w:pPr>
              <w:jc w:val="both"/>
              <w:rPr>
                <w:rFonts w:ascii="Times New Roman" w:hAnsi="Times New Roman"/>
                <w:lang w:val="en-GB"/>
              </w:rPr>
            </w:pPr>
            <w:r>
              <w:rPr>
                <w:rFonts w:ascii="Times New Roman" w:hAnsi="Times New Roman"/>
                <w:lang w:val="en-GB"/>
              </w:rPr>
              <w:t>5</w:t>
            </w:r>
          </w:p>
        </w:tc>
        <w:tc>
          <w:tcPr>
            <w:tcW w:w="5715" w:type="dxa"/>
          </w:tcPr>
          <w:p w14:paraId="314B817D" w14:textId="77777777" w:rsidR="00462C0C" w:rsidRDefault="007E0319">
            <w:pPr>
              <w:rPr>
                <w:rFonts w:ascii="Times New Roman" w:hAnsi="Times New Roman"/>
                <w:lang w:val="en-GB"/>
              </w:rPr>
            </w:pPr>
            <w:r>
              <w:rPr>
                <w:rFonts w:ascii="Times New Roman" w:hAnsi="Times New Roman"/>
                <w:lang w:val="en-GB"/>
              </w:rPr>
              <w:t>FVF Initial Reservoir Pressure (</w:t>
            </w:r>
            <w:proofErr w:type="spellStart"/>
            <w:r>
              <w:rPr>
                <w:rFonts w:ascii="Times New Roman" w:hAnsi="Times New Roman"/>
                <w:lang w:val="en-GB"/>
              </w:rPr>
              <w:t>Rbbl</w:t>
            </w:r>
            <w:proofErr w:type="spellEnd"/>
            <w:r>
              <w:rPr>
                <w:rFonts w:ascii="Times New Roman" w:hAnsi="Times New Roman"/>
                <w:lang w:val="en-GB"/>
              </w:rPr>
              <w:t>/</w:t>
            </w:r>
            <w:proofErr w:type="spellStart"/>
            <w:r>
              <w:rPr>
                <w:rFonts w:ascii="Times New Roman" w:hAnsi="Times New Roman"/>
                <w:lang w:val="en-GB"/>
              </w:rPr>
              <w:t>stb</w:t>
            </w:r>
            <w:proofErr w:type="spellEnd"/>
            <w:r>
              <w:rPr>
                <w:rFonts w:ascii="Times New Roman" w:hAnsi="Times New Roman"/>
                <w:lang w:val="en-GB"/>
              </w:rPr>
              <w:t>)</w:t>
            </w:r>
          </w:p>
        </w:tc>
        <w:tc>
          <w:tcPr>
            <w:tcW w:w="2313" w:type="dxa"/>
          </w:tcPr>
          <w:p w14:paraId="38B35E2B" w14:textId="77777777" w:rsidR="00462C0C" w:rsidRDefault="007E0319">
            <w:pPr>
              <w:rPr>
                <w:rFonts w:ascii="Times New Roman" w:hAnsi="Times New Roman"/>
                <w:lang w:val="en-GB"/>
              </w:rPr>
            </w:pPr>
            <w:r>
              <w:rPr>
                <w:rFonts w:ascii="Times New Roman" w:hAnsi="Times New Roman"/>
                <w:lang w:val="en-GB"/>
              </w:rPr>
              <w:t>1.6024</w:t>
            </w:r>
          </w:p>
        </w:tc>
      </w:tr>
      <w:tr w:rsidR="00462C0C" w14:paraId="3FD5AF54" w14:textId="77777777">
        <w:tc>
          <w:tcPr>
            <w:tcW w:w="988" w:type="dxa"/>
          </w:tcPr>
          <w:p w14:paraId="621BA66D" w14:textId="77777777" w:rsidR="00462C0C" w:rsidRDefault="007E0319">
            <w:pPr>
              <w:jc w:val="both"/>
              <w:rPr>
                <w:rFonts w:ascii="Times New Roman" w:hAnsi="Times New Roman"/>
                <w:lang w:val="en-GB"/>
              </w:rPr>
            </w:pPr>
            <w:r>
              <w:rPr>
                <w:rFonts w:ascii="Times New Roman" w:hAnsi="Times New Roman"/>
                <w:lang w:val="en-GB"/>
              </w:rPr>
              <w:t>6</w:t>
            </w:r>
          </w:p>
        </w:tc>
        <w:tc>
          <w:tcPr>
            <w:tcW w:w="5715" w:type="dxa"/>
          </w:tcPr>
          <w:p w14:paraId="59CC8082" w14:textId="77777777" w:rsidR="00462C0C" w:rsidRDefault="007E0319">
            <w:pPr>
              <w:rPr>
                <w:rFonts w:ascii="Times New Roman" w:hAnsi="Times New Roman"/>
                <w:i/>
                <w:iCs/>
                <w:vertAlign w:val="subscript"/>
                <w:lang w:val="en-GB"/>
              </w:rPr>
            </w:pPr>
            <w:r>
              <w:rPr>
                <w:rFonts w:ascii="Times New Roman" w:hAnsi="Times New Roman"/>
                <w:lang w:val="en-GB"/>
              </w:rPr>
              <w:t>Oil Viscosity (cp)</w:t>
            </w:r>
          </w:p>
        </w:tc>
        <w:tc>
          <w:tcPr>
            <w:tcW w:w="2313" w:type="dxa"/>
          </w:tcPr>
          <w:p w14:paraId="156ADE0F" w14:textId="77777777" w:rsidR="00462C0C" w:rsidRDefault="007E0319">
            <w:pPr>
              <w:rPr>
                <w:rFonts w:ascii="Times New Roman" w:hAnsi="Times New Roman"/>
                <w:lang w:val="en-GB"/>
              </w:rPr>
            </w:pPr>
            <w:r>
              <w:rPr>
                <w:rFonts w:ascii="Times New Roman" w:hAnsi="Times New Roman"/>
                <w:lang w:val="en-GB"/>
              </w:rPr>
              <w:t>0.3942</w:t>
            </w:r>
          </w:p>
        </w:tc>
      </w:tr>
      <w:tr w:rsidR="00462C0C" w14:paraId="38390E84" w14:textId="77777777">
        <w:tc>
          <w:tcPr>
            <w:tcW w:w="988" w:type="dxa"/>
          </w:tcPr>
          <w:p w14:paraId="03B4071B" w14:textId="77777777" w:rsidR="00462C0C" w:rsidRDefault="007E0319">
            <w:pPr>
              <w:jc w:val="both"/>
              <w:rPr>
                <w:rFonts w:ascii="Times New Roman" w:hAnsi="Times New Roman"/>
                <w:lang w:val="en-GB"/>
              </w:rPr>
            </w:pPr>
            <w:r>
              <w:rPr>
                <w:rFonts w:ascii="Times New Roman" w:hAnsi="Times New Roman"/>
                <w:lang w:val="en-GB"/>
              </w:rPr>
              <w:t>7</w:t>
            </w:r>
          </w:p>
        </w:tc>
        <w:tc>
          <w:tcPr>
            <w:tcW w:w="5715" w:type="dxa"/>
          </w:tcPr>
          <w:p w14:paraId="2C814544" w14:textId="77777777" w:rsidR="00462C0C" w:rsidRDefault="007E0319">
            <w:pPr>
              <w:rPr>
                <w:rFonts w:ascii="Times New Roman" w:hAnsi="Times New Roman"/>
                <w:lang w:val="en-GB"/>
              </w:rPr>
            </w:pPr>
            <w:r>
              <w:rPr>
                <w:rFonts w:ascii="Times New Roman" w:hAnsi="Times New Roman"/>
                <w:lang w:val="en-GB"/>
              </w:rPr>
              <w:t>Water Viscosity (cp)</w:t>
            </w:r>
          </w:p>
        </w:tc>
        <w:tc>
          <w:tcPr>
            <w:tcW w:w="2313" w:type="dxa"/>
          </w:tcPr>
          <w:p w14:paraId="764B0CDA" w14:textId="77777777" w:rsidR="00462C0C" w:rsidRDefault="007E0319">
            <w:pPr>
              <w:rPr>
                <w:rFonts w:ascii="Times New Roman" w:hAnsi="Times New Roman"/>
                <w:lang w:val="en-GB"/>
              </w:rPr>
            </w:pPr>
            <w:r>
              <w:rPr>
                <w:rFonts w:ascii="Times New Roman" w:hAnsi="Times New Roman"/>
                <w:lang w:val="en-GB"/>
              </w:rPr>
              <w:t>0.27</w:t>
            </w:r>
          </w:p>
        </w:tc>
      </w:tr>
      <w:tr w:rsidR="00462C0C" w14:paraId="24EBAF2D" w14:textId="77777777">
        <w:tc>
          <w:tcPr>
            <w:tcW w:w="988" w:type="dxa"/>
          </w:tcPr>
          <w:p w14:paraId="7FEEB996" w14:textId="77777777" w:rsidR="00462C0C" w:rsidRDefault="007E0319">
            <w:pPr>
              <w:jc w:val="both"/>
              <w:rPr>
                <w:rFonts w:ascii="Times New Roman" w:hAnsi="Times New Roman"/>
                <w:lang w:val="en-GB"/>
              </w:rPr>
            </w:pPr>
            <w:r>
              <w:rPr>
                <w:rFonts w:ascii="Times New Roman" w:hAnsi="Times New Roman"/>
                <w:lang w:val="en-GB"/>
              </w:rPr>
              <w:t>8</w:t>
            </w:r>
          </w:p>
        </w:tc>
        <w:tc>
          <w:tcPr>
            <w:tcW w:w="5715" w:type="dxa"/>
          </w:tcPr>
          <w:p w14:paraId="0452B551" w14:textId="77777777" w:rsidR="00462C0C" w:rsidRDefault="007E0319">
            <w:pPr>
              <w:rPr>
                <w:rFonts w:ascii="Times New Roman" w:hAnsi="Times New Roman"/>
                <w:lang w:val="en-GB"/>
              </w:rPr>
            </w:pPr>
            <w:r>
              <w:rPr>
                <w:rFonts w:ascii="Times New Roman" w:hAnsi="Times New Roman"/>
                <w:lang w:val="en-GB"/>
              </w:rPr>
              <w:t>Rock Compressibility (1/Psi)</w:t>
            </w:r>
          </w:p>
        </w:tc>
        <w:tc>
          <w:tcPr>
            <w:tcW w:w="2313" w:type="dxa"/>
          </w:tcPr>
          <w:p w14:paraId="7402A7C9" w14:textId="77777777" w:rsidR="00462C0C" w:rsidRDefault="007E0319">
            <w:pPr>
              <w:rPr>
                <w:rFonts w:ascii="Times New Roman" w:hAnsi="Times New Roman"/>
                <w:lang w:val="en-GB"/>
              </w:rPr>
            </w:pPr>
            <w:r>
              <w:rPr>
                <w:rFonts w:ascii="Times New Roman" w:hAnsi="Times New Roman"/>
                <w:lang w:val="en-GB"/>
              </w:rPr>
              <w:t>5.00 * 10</w:t>
            </w:r>
            <w:r>
              <w:rPr>
                <w:rFonts w:ascii="Times New Roman" w:hAnsi="Times New Roman"/>
                <w:vertAlign w:val="superscript"/>
                <w:lang w:val="en-GB"/>
              </w:rPr>
              <w:t>-5</w:t>
            </w:r>
          </w:p>
        </w:tc>
      </w:tr>
      <w:tr w:rsidR="00462C0C" w14:paraId="0C9A4DE6" w14:textId="77777777">
        <w:tc>
          <w:tcPr>
            <w:tcW w:w="988" w:type="dxa"/>
          </w:tcPr>
          <w:p w14:paraId="00AC0D38" w14:textId="77777777" w:rsidR="00462C0C" w:rsidRDefault="007E0319">
            <w:pPr>
              <w:jc w:val="both"/>
              <w:rPr>
                <w:rFonts w:ascii="Times New Roman" w:hAnsi="Times New Roman"/>
                <w:lang w:val="en-GB"/>
              </w:rPr>
            </w:pPr>
            <w:r>
              <w:rPr>
                <w:rFonts w:ascii="Times New Roman" w:hAnsi="Times New Roman"/>
                <w:lang w:val="en-GB"/>
              </w:rPr>
              <w:t>9</w:t>
            </w:r>
          </w:p>
        </w:tc>
        <w:tc>
          <w:tcPr>
            <w:tcW w:w="5715" w:type="dxa"/>
          </w:tcPr>
          <w:p w14:paraId="6383D5D6" w14:textId="77777777" w:rsidR="00462C0C" w:rsidRDefault="007E0319">
            <w:pPr>
              <w:rPr>
                <w:rFonts w:ascii="Times New Roman" w:hAnsi="Times New Roman"/>
                <w:lang w:val="en-GB"/>
              </w:rPr>
            </w:pPr>
            <w:r>
              <w:rPr>
                <w:rFonts w:ascii="Times New Roman" w:hAnsi="Times New Roman"/>
                <w:lang w:val="en-GB"/>
              </w:rPr>
              <w:t>Water</w:t>
            </w:r>
            <w:r>
              <w:rPr>
                <w:rFonts w:ascii="Times New Roman" w:hAnsi="Times New Roman"/>
                <w:lang w:val="en-GB"/>
              </w:rPr>
              <w:t xml:space="preserve"> Compressibility (1/Psi)</w:t>
            </w:r>
          </w:p>
        </w:tc>
        <w:tc>
          <w:tcPr>
            <w:tcW w:w="2313" w:type="dxa"/>
          </w:tcPr>
          <w:p w14:paraId="53AF714C" w14:textId="77777777" w:rsidR="00462C0C" w:rsidRDefault="007E0319">
            <w:pPr>
              <w:rPr>
                <w:rFonts w:ascii="Times New Roman" w:hAnsi="Times New Roman"/>
                <w:lang w:val="en-GB"/>
              </w:rPr>
            </w:pPr>
            <w:r>
              <w:rPr>
                <w:rFonts w:ascii="Times New Roman" w:hAnsi="Times New Roman"/>
                <w:lang w:val="en-GB"/>
              </w:rPr>
              <w:t>5.00 * 10</w:t>
            </w:r>
            <w:r>
              <w:rPr>
                <w:rFonts w:ascii="Times New Roman" w:hAnsi="Times New Roman"/>
                <w:vertAlign w:val="superscript"/>
                <w:lang w:val="en-GB"/>
              </w:rPr>
              <w:t>-5</w:t>
            </w:r>
          </w:p>
        </w:tc>
      </w:tr>
      <w:tr w:rsidR="00462C0C" w14:paraId="7F060E8E" w14:textId="77777777">
        <w:tc>
          <w:tcPr>
            <w:tcW w:w="988" w:type="dxa"/>
          </w:tcPr>
          <w:p w14:paraId="16AB2981" w14:textId="77777777" w:rsidR="00462C0C" w:rsidRDefault="007E0319">
            <w:pPr>
              <w:jc w:val="both"/>
              <w:rPr>
                <w:rFonts w:ascii="Times New Roman" w:hAnsi="Times New Roman"/>
                <w:lang w:val="en-GB"/>
              </w:rPr>
            </w:pPr>
            <w:r>
              <w:rPr>
                <w:rFonts w:ascii="Times New Roman" w:hAnsi="Times New Roman"/>
                <w:lang w:val="en-GB"/>
              </w:rPr>
              <w:t>10</w:t>
            </w:r>
          </w:p>
        </w:tc>
        <w:tc>
          <w:tcPr>
            <w:tcW w:w="5715" w:type="dxa"/>
          </w:tcPr>
          <w:p w14:paraId="3F63EF23" w14:textId="77777777" w:rsidR="00462C0C" w:rsidRDefault="007E0319">
            <w:pPr>
              <w:rPr>
                <w:rFonts w:ascii="Times New Roman" w:hAnsi="Times New Roman"/>
                <w:lang w:val="en-GB"/>
              </w:rPr>
            </w:pPr>
            <w:r>
              <w:rPr>
                <w:rFonts w:ascii="Times New Roman" w:hAnsi="Times New Roman"/>
                <w:lang w:val="en-GB"/>
              </w:rPr>
              <w:t>Oil Saturation (%)</w:t>
            </w:r>
          </w:p>
        </w:tc>
        <w:tc>
          <w:tcPr>
            <w:tcW w:w="2313" w:type="dxa"/>
          </w:tcPr>
          <w:p w14:paraId="77D9F12C" w14:textId="77777777" w:rsidR="00462C0C" w:rsidRDefault="007E0319">
            <w:pPr>
              <w:rPr>
                <w:rFonts w:ascii="Times New Roman" w:hAnsi="Times New Roman"/>
                <w:lang w:val="en-GB"/>
              </w:rPr>
            </w:pPr>
            <w:r>
              <w:rPr>
                <w:rFonts w:ascii="Times New Roman" w:hAnsi="Times New Roman"/>
                <w:lang w:val="en-GB"/>
              </w:rPr>
              <w:t>0.85</w:t>
            </w:r>
          </w:p>
        </w:tc>
      </w:tr>
      <w:tr w:rsidR="00462C0C" w14:paraId="2B23A38B" w14:textId="77777777">
        <w:tc>
          <w:tcPr>
            <w:tcW w:w="988" w:type="dxa"/>
          </w:tcPr>
          <w:p w14:paraId="26695B3E" w14:textId="77777777" w:rsidR="00462C0C" w:rsidRDefault="007E0319">
            <w:pPr>
              <w:jc w:val="both"/>
              <w:rPr>
                <w:rFonts w:ascii="Times New Roman" w:hAnsi="Times New Roman"/>
                <w:lang w:val="en-GB"/>
              </w:rPr>
            </w:pPr>
            <w:r>
              <w:rPr>
                <w:rFonts w:ascii="Times New Roman" w:hAnsi="Times New Roman"/>
                <w:lang w:val="en-GB"/>
              </w:rPr>
              <w:lastRenderedPageBreak/>
              <w:t>11</w:t>
            </w:r>
          </w:p>
        </w:tc>
        <w:tc>
          <w:tcPr>
            <w:tcW w:w="5715" w:type="dxa"/>
          </w:tcPr>
          <w:p w14:paraId="32DE2487" w14:textId="77777777" w:rsidR="00462C0C" w:rsidRDefault="007E0319">
            <w:pPr>
              <w:rPr>
                <w:rFonts w:ascii="Times New Roman" w:hAnsi="Times New Roman"/>
                <w:lang w:val="en-GB"/>
              </w:rPr>
            </w:pPr>
            <w:r>
              <w:rPr>
                <w:rFonts w:ascii="Times New Roman" w:hAnsi="Times New Roman"/>
                <w:lang w:val="en-GB"/>
              </w:rPr>
              <w:t>Initial Water Saturation (%)</w:t>
            </w:r>
          </w:p>
        </w:tc>
        <w:tc>
          <w:tcPr>
            <w:tcW w:w="2313" w:type="dxa"/>
          </w:tcPr>
          <w:p w14:paraId="0F2C2211" w14:textId="77777777" w:rsidR="00462C0C" w:rsidRDefault="007E0319">
            <w:pPr>
              <w:rPr>
                <w:rFonts w:ascii="Times New Roman" w:hAnsi="Times New Roman"/>
                <w:lang w:val="en-GB"/>
              </w:rPr>
            </w:pPr>
            <w:r>
              <w:rPr>
                <w:rFonts w:ascii="Times New Roman" w:hAnsi="Times New Roman"/>
                <w:lang w:val="en-GB"/>
              </w:rPr>
              <w:t>0.39</w:t>
            </w:r>
          </w:p>
        </w:tc>
      </w:tr>
      <w:tr w:rsidR="00462C0C" w14:paraId="4685FDBF" w14:textId="77777777">
        <w:tc>
          <w:tcPr>
            <w:tcW w:w="988" w:type="dxa"/>
          </w:tcPr>
          <w:p w14:paraId="1145DC46" w14:textId="77777777" w:rsidR="00462C0C" w:rsidRDefault="007E0319">
            <w:pPr>
              <w:jc w:val="both"/>
              <w:rPr>
                <w:rFonts w:ascii="Times New Roman" w:hAnsi="Times New Roman"/>
                <w:lang w:val="en-GB"/>
              </w:rPr>
            </w:pPr>
            <w:r>
              <w:rPr>
                <w:rFonts w:ascii="Times New Roman" w:hAnsi="Times New Roman"/>
                <w:lang w:val="en-GB"/>
              </w:rPr>
              <w:t>12</w:t>
            </w:r>
          </w:p>
        </w:tc>
        <w:tc>
          <w:tcPr>
            <w:tcW w:w="5715" w:type="dxa"/>
          </w:tcPr>
          <w:p w14:paraId="40201590" w14:textId="77777777" w:rsidR="00462C0C" w:rsidRDefault="007E0319">
            <w:pPr>
              <w:rPr>
                <w:rFonts w:ascii="Times New Roman" w:hAnsi="Times New Roman"/>
                <w:lang w:val="en-GB"/>
              </w:rPr>
            </w:pPr>
            <w:r>
              <w:rPr>
                <w:rFonts w:ascii="Times New Roman" w:hAnsi="Times New Roman"/>
                <w:lang w:val="en-GB"/>
              </w:rPr>
              <w:t>Saturation Pressure (Psi)</w:t>
            </w:r>
          </w:p>
        </w:tc>
        <w:tc>
          <w:tcPr>
            <w:tcW w:w="2313" w:type="dxa"/>
          </w:tcPr>
          <w:p w14:paraId="29E80EA1" w14:textId="77777777" w:rsidR="00462C0C" w:rsidRDefault="007E0319">
            <w:pPr>
              <w:rPr>
                <w:rFonts w:ascii="Times New Roman" w:hAnsi="Times New Roman"/>
                <w:lang w:val="en-GB"/>
              </w:rPr>
            </w:pPr>
            <w:r>
              <w:rPr>
                <w:rFonts w:ascii="Times New Roman" w:hAnsi="Times New Roman"/>
                <w:lang w:val="en-GB"/>
              </w:rPr>
              <w:t>300</w:t>
            </w:r>
          </w:p>
        </w:tc>
      </w:tr>
      <w:tr w:rsidR="00462C0C" w14:paraId="4D08CBC4" w14:textId="77777777">
        <w:tc>
          <w:tcPr>
            <w:tcW w:w="988" w:type="dxa"/>
          </w:tcPr>
          <w:p w14:paraId="1D645843" w14:textId="77777777" w:rsidR="00462C0C" w:rsidRDefault="007E0319">
            <w:pPr>
              <w:jc w:val="both"/>
              <w:rPr>
                <w:rFonts w:ascii="Times New Roman" w:hAnsi="Times New Roman"/>
                <w:lang w:val="en-GB"/>
              </w:rPr>
            </w:pPr>
            <w:r>
              <w:rPr>
                <w:rFonts w:ascii="Times New Roman" w:hAnsi="Times New Roman"/>
                <w:lang w:val="en-GB"/>
              </w:rPr>
              <w:t>13</w:t>
            </w:r>
          </w:p>
        </w:tc>
        <w:tc>
          <w:tcPr>
            <w:tcW w:w="5715" w:type="dxa"/>
          </w:tcPr>
          <w:p w14:paraId="2D9ACDF2" w14:textId="77777777" w:rsidR="00462C0C" w:rsidRDefault="007E0319">
            <w:pPr>
              <w:rPr>
                <w:rFonts w:ascii="Times New Roman" w:hAnsi="Times New Roman"/>
                <w:vertAlign w:val="superscript"/>
                <w:lang w:val="en-GB"/>
              </w:rPr>
            </w:pPr>
            <w:r>
              <w:rPr>
                <w:rFonts w:ascii="Times New Roman" w:hAnsi="Times New Roman"/>
                <w:lang w:val="en-GB"/>
              </w:rPr>
              <w:t>Oil Density (</w:t>
            </w:r>
            <w:proofErr w:type="spellStart"/>
            <w:r>
              <w:rPr>
                <w:rFonts w:ascii="Times New Roman" w:hAnsi="Times New Roman"/>
                <w:lang w:val="en-GB"/>
              </w:rPr>
              <w:t>Ib</w:t>
            </w:r>
            <w:proofErr w:type="spellEnd"/>
            <w:r>
              <w:rPr>
                <w:rFonts w:ascii="Times New Roman" w:hAnsi="Times New Roman"/>
                <w:lang w:val="en-GB"/>
              </w:rPr>
              <w:t>/ft</w:t>
            </w:r>
            <w:r>
              <w:rPr>
                <w:rFonts w:ascii="Times New Roman" w:hAnsi="Times New Roman"/>
                <w:vertAlign w:val="superscript"/>
                <w:lang w:val="en-GB"/>
              </w:rPr>
              <w:t>3</w:t>
            </w:r>
            <w:r>
              <w:rPr>
                <w:rFonts w:ascii="Times New Roman" w:hAnsi="Times New Roman"/>
                <w:lang w:val="en-GB"/>
              </w:rPr>
              <w:t>)</w:t>
            </w:r>
          </w:p>
        </w:tc>
        <w:tc>
          <w:tcPr>
            <w:tcW w:w="2313" w:type="dxa"/>
          </w:tcPr>
          <w:p w14:paraId="26DB7AF5" w14:textId="77777777" w:rsidR="00462C0C" w:rsidRDefault="007E0319">
            <w:pPr>
              <w:rPr>
                <w:rFonts w:ascii="Times New Roman" w:hAnsi="Times New Roman"/>
                <w:lang w:val="en-GB"/>
              </w:rPr>
            </w:pPr>
            <w:r>
              <w:rPr>
                <w:rFonts w:ascii="Times New Roman" w:hAnsi="Times New Roman"/>
                <w:lang w:val="en-GB"/>
              </w:rPr>
              <w:t>829.7675</w:t>
            </w:r>
          </w:p>
        </w:tc>
      </w:tr>
      <w:tr w:rsidR="00462C0C" w14:paraId="25574B65" w14:textId="77777777">
        <w:tc>
          <w:tcPr>
            <w:tcW w:w="988" w:type="dxa"/>
          </w:tcPr>
          <w:p w14:paraId="657DF1F9" w14:textId="77777777" w:rsidR="00462C0C" w:rsidRDefault="007E0319">
            <w:pPr>
              <w:jc w:val="both"/>
              <w:rPr>
                <w:rFonts w:ascii="Times New Roman" w:hAnsi="Times New Roman"/>
                <w:lang w:val="en-GB"/>
              </w:rPr>
            </w:pPr>
            <w:r>
              <w:rPr>
                <w:rFonts w:ascii="Times New Roman" w:hAnsi="Times New Roman"/>
                <w:lang w:val="en-GB"/>
              </w:rPr>
              <w:t>14</w:t>
            </w:r>
          </w:p>
        </w:tc>
        <w:tc>
          <w:tcPr>
            <w:tcW w:w="5715" w:type="dxa"/>
          </w:tcPr>
          <w:p w14:paraId="2BB8BA25" w14:textId="77777777" w:rsidR="00462C0C" w:rsidRDefault="007E0319">
            <w:pPr>
              <w:rPr>
                <w:rFonts w:ascii="Times New Roman" w:hAnsi="Times New Roman"/>
                <w:vertAlign w:val="superscript"/>
                <w:lang w:val="en-GB"/>
              </w:rPr>
            </w:pPr>
            <w:r>
              <w:rPr>
                <w:rFonts w:ascii="Times New Roman" w:hAnsi="Times New Roman"/>
                <w:lang w:val="en-GB"/>
              </w:rPr>
              <w:t>Gas Density (</w:t>
            </w:r>
            <w:proofErr w:type="spellStart"/>
            <w:r>
              <w:rPr>
                <w:rFonts w:ascii="Times New Roman" w:hAnsi="Times New Roman"/>
                <w:lang w:val="en-GB"/>
              </w:rPr>
              <w:t>Ib</w:t>
            </w:r>
            <w:proofErr w:type="spellEnd"/>
            <w:r>
              <w:rPr>
                <w:rFonts w:ascii="Times New Roman" w:hAnsi="Times New Roman"/>
                <w:lang w:val="en-GB"/>
              </w:rPr>
              <w:t>/ft</w:t>
            </w:r>
            <w:r>
              <w:rPr>
                <w:rFonts w:ascii="Times New Roman" w:hAnsi="Times New Roman"/>
                <w:vertAlign w:val="superscript"/>
                <w:lang w:val="en-GB"/>
              </w:rPr>
              <w:t>3</w:t>
            </w:r>
            <w:r>
              <w:rPr>
                <w:rFonts w:ascii="Times New Roman" w:hAnsi="Times New Roman"/>
                <w:lang w:val="en-GB"/>
              </w:rPr>
              <w:t>)</w:t>
            </w:r>
          </w:p>
        </w:tc>
        <w:tc>
          <w:tcPr>
            <w:tcW w:w="2313" w:type="dxa"/>
          </w:tcPr>
          <w:p w14:paraId="68C9EB5D" w14:textId="77777777" w:rsidR="00462C0C" w:rsidRDefault="007E0319">
            <w:pPr>
              <w:rPr>
                <w:rFonts w:ascii="Times New Roman" w:hAnsi="Times New Roman"/>
                <w:lang w:val="en-GB"/>
              </w:rPr>
            </w:pPr>
            <w:r>
              <w:rPr>
                <w:rFonts w:ascii="Times New Roman" w:hAnsi="Times New Roman"/>
                <w:lang w:val="en-GB"/>
              </w:rPr>
              <w:t>1.0449</w:t>
            </w:r>
          </w:p>
        </w:tc>
      </w:tr>
      <w:tr w:rsidR="00462C0C" w14:paraId="155B348A" w14:textId="77777777">
        <w:tc>
          <w:tcPr>
            <w:tcW w:w="988" w:type="dxa"/>
          </w:tcPr>
          <w:p w14:paraId="20F417CB" w14:textId="77777777" w:rsidR="00462C0C" w:rsidRDefault="007E0319">
            <w:pPr>
              <w:jc w:val="both"/>
              <w:rPr>
                <w:rFonts w:ascii="Times New Roman" w:hAnsi="Times New Roman"/>
                <w:lang w:val="en-GB"/>
              </w:rPr>
            </w:pPr>
            <w:r>
              <w:rPr>
                <w:rFonts w:ascii="Times New Roman" w:hAnsi="Times New Roman"/>
                <w:lang w:val="en-GB"/>
              </w:rPr>
              <w:t>15</w:t>
            </w:r>
          </w:p>
        </w:tc>
        <w:tc>
          <w:tcPr>
            <w:tcW w:w="5715" w:type="dxa"/>
          </w:tcPr>
          <w:p w14:paraId="4F417FC4" w14:textId="77777777" w:rsidR="00462C0C" w:rsidRDefault="007E0319">
            <w:pPr>
              <w:rPr>
                <w:rFonts w:ascii="Times New Roman" w:hAnsi="Times New Roman"/>
                <w:vertAlign w:val="superscript"/>
                <w:lang w:val="en-GB"/>
              </w:rPr>
            </w:pPr>
            <w:r>
              <w:rPr>
                <w:rFonts w:ascii="Times New Roman" w:hAnsi="Times New Roman"/>
                <w:lang w:val="en-GB"/>
              </w:rPr>
              <w:t>Water Density (</w:t>
            </w:r>
            <w:proofErr w:type="spellStart"/>
            <w:r>
              <w:rPr>
                <w:rFonts w:ascii="Times New Roman" w:hAnsi="Times New Roman"/>
                <w:lang w:val="en-GB"/>
              </w:rPr>
              <w:t>Ib</w:t>
            </w:r>
            <w:proofErr w:type="spellEnd"/>
            <w:r>
              <w:rPr>
                <w:rFonts w:ascii="Times New Roman" w:hAnsi="Times New Roman"/>
                <w:lang w:val="en-GB"/>
              </w:rPr>
              <w:t>/ft</w:t>
            </w:r>
            <w:r>
              <w:rPr>
                <w:rFonts w:ascii="Times New Roman" w:hAnsi="Times New Roman"/>
                <w:vertAlign w:val="superscript"/>
                <w:lang w:val="en-GB"/>
              </w:rPr>
              <w:t>3</w:t>
            </w:r>
            <w:r>
              <w:rPr>
                <w:rFonts w:ascii="Times New Roman" w:hAnsi="Times New Roman"/>
                <w:lang w:val="en-GB"/>
              </w:rPr>
              <w:t>)</w:t>
            </w:r>
          </w:p>
        </w:tc>
        <w:tc>
          <w:tcPr>
            <w:tcW w:w="2313" w:type="dxa"/>
          </w:tcPr>
          <w:p w14:paraId="1ECF64D0" w14:textId="77777777" w:rsidR="00462C0C" w:rsidRDefault="007E0319">
            <w:pPr>
              <w:rPr>
                <w:rFonts w:ascii="Times New Roman" w:hAnsi="Times New Roman"/>
                <w:lang w:val="en-GB"/>
              </w:rPr>
            </w:pPr>
            <w:r>
              <w:rPr>
                <w:rFonts w:ascii="Times New Roman" w:hAnsi="Times New Roman"/>
                <w:lang w:val="en-GB"/>
              </w:rPr>
              <w:t>1020</w:t>
            </w:r>
          </w:p>
        </w:tc>
      </w:tr>
    </w:tbl>
    <w:p w14:paraId="66FB55B7" w14:textId="77777777" w:rsidR="00462C0C" w:rsidRDefault="00462C0C">
      <w:pPr>
        <w:pStyle w:val="Body"/>
        <w:spacing w:after="0"/>
        <w:rPr>
          <w:rFonts w:ascii="Arial" w:eastAsia="Calibri" w:hAnsi="Arial" w:cs="Arial"/>
          <w:szCs w:val="22"/>
        </w:rPr>
      </w:pPr>
    </w:p>
    <w:p w14:paraId="5314478A" w14:textId="77777777" w:rsidR="00462C0C" w:rsidRDefault="007E0319">
      <w:pPr>
        <w:pStyle w:val="Body"/>
        <w:spacing w:after="0"/>
        <w:jc w:val="center"/>
        <w:rPr>
          <w:rFonts w:ascii="Times New Roman" w:hAnsi="Times New Roman"/>
        </w:rPr>
      </w:pPr>
      <w:r>
        <w:rPr>
          <w:rFonts w:ascii="Times New Roman" w:hAnsi="Times New Roman"/>
          <w:noProof/>
        </w:rPr>
        <w:drawing>
          <wp:inline distT="0" distB="0" distL="0" distR="0" wp14:anchorId="5F9521B1" wp14:editId="773A6DC5">
            <wp:extent cx="2456815" cy="1529715"/>
            <wp:effectExtent l="0" t="0" r="63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l="10690" t="7758" r="9205" b="8317"/>
                    <a:stretch>
                      <a:fillRect/>
                    </a:stretch>
                  </pic:blipFill>
                  <pic:spPr>
                    <a:xfrm>
                      <a:off x="0" y="0"/>
                      <a:ext cx="2456815" cy="1529715"/>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0" distR="0" wp14:anchorId="1792230B" wp14:editId="5C5715DE">
            <wp:extent cx="2517775" cy="1497330"/>
            <wp:effectExtent l="0" t="0" r="158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r="3409"/>
                    <a:stretch>
                      <a:fillRect/>
                    </a:stretch>
                  </pic:blipFill>
                  <pic:spPr>
                    <a:xfrm>
                      <a:off x="0" y="0"/>
                      <a:ext cx="2517775" cy="1497330"/>
                    </a:xfrm>
                    <a:prstGeom prst="rect">
                      <a:avLst/>
                    </a:prstGeom>
                    <a:noFill/>
                    <a:ln>
                      <a:noFill/>
                    </a:ln>
                  </pic:spPr>
                </pic:pic>
              </a:graphicData>
            </a:graphic>
          </wp:inline>
        </w:drawing>
      </w:r>
    </w:p>
    <w:p w14:paraId="4C094EDA" w14:textId="77777777" w:rsidR="00462C0C" w:rsidRDefault="007E0319">
      <w:pPr>
        <w:pStyle w:val="Body"/>
        <w:numPr>
          <w:ilvl w:val="0"/>
          <w:numId w:val="3"/>
        </w:numPr>
        <w:spacing w:after="0"/>
        <w:jc w:val="center"/>
        <w:rPr>
          <w:rFonts w:ascii="Times New Roman" w:hAnsi="Times New Roman"/>
        </w:rPr>
      </w:pPr>
      <w:r>
        <w:rPr>
          <w:rFonts w:ascii="Times New Roman" w:hAnsi="Times New Roman"/>
        </w:rPr>
        <w:t>(b)</w:t>
      </w:r>
    </w:p>
    <w:p w14:paraId="1C22D33F" w14:textId="77777777" w:rsidR="00462C0C" w:rsidRDefault="00462C0C">
      <w:pPr>
        <w:pStyle w:val="Body"/>
        <w:spacing w:after="0"/>
        <w:jc w:val="center"/>
        <w:rPr>
          <w:rFonts w:ascii="Times New Roman" w:hAnsi="Times New Roman"/>
        </w:rPr>
      </w:pPr>
    </w:p>
    <w:p w14:paraId="7F0EC763" w14:textId="77777777" w:rsidR="00462C0C" w:rsidRDefault="007E0319">
      <w:pPr>
        <w:pStyle w:val="Body"/>
        <w:spacing w:after="0"/>
        <w:jc w:val="center"/>
        <w:rPr>
          <w:rFonts w:ascii="Times New Roman" w:hAnsi="Times New Roman"/>
        </w:rPr>
      </w:pPr>
      <w:r>
        <w:rPr>
          <w:rFonts w:ascii="Times New Roman" w:hAnsi="Times New Roman"/>
          <w:noProof/>
        </w:rPr>
        <w:drawing>
          <wp:inline distT="0" distB="0" distL="0" distR="0" wp14:anchorId="13EEBA52" wp14:editId="486E9901">
            <wp:extent cx="2424430" cy="1442720"/>
            <wp:effectExtent l="0" t="0" r="139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extLst>
                        <a:ext uri="{28A0092B-C50C-407E-A947-70E740481C1C}">
                          <a14:useLocalDpi xmlns:a14="http://schemas.microsoft.com/office/drawing/2010/main" val="0"/>
                        </a:ext>
                      </a:extLst>
                    </a:blip>
                    <a:srcRect t="5288" b="6824"/>
                    <a:stretch>
                      <a:fillRect/>
                    </a:stretch>
                  </pic:blipFill>
                  <pic:spPr>
                    <a:xfrm>
                      <a:off x="0" y="0"/>
                      <a:ext cx="2424430" cy="1442720"/>
                    </a:xfrm>
                    <a:prstGeom prst="rect">
                      <a:avLst/>
                    </a:prstGeom>
                    <a:noFill/>
                    <a:ln>
                      <a:noFill/>
                    </a:ln>
                  </pic:spPr>
                </pic:pic>
              </a:graphicData>
            </a:graphic>
          </wp:inline>
        </w:drawing>
      </w:r>
      <w:r>
        <w:rPr>
          <w:rFonts w:ascii="Times New Roman" w:hAnsi="Times New Roman"/>
        </w:rPr>
        <w:t xml:space="preserve">  </w:t>
      </w:r>
      <w:r>
        <w:rPr>
          <w:rFonts w:ascii="Times New Roman" w:hAnsi="Times New Roman"/>
          <w:noProof/>
        </w:rPr>
        <w:drawing>
          <wp:inline distT="0" distB="0" distL="0" distR="0" wp14:anchorId="55F0A490" wp14:editId="0BE6030E">
            <wp:extent cx="2498725" cy="1417320"/>
            <wp:effectExtent l="0" t="0" r="1587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a:extLst>
                        <a:ext uri="{28A0092B-C50C-407E-A947-70E740481C1C}">
                          <a14:useLocalDpi xmlns:a14="http://schemas.microsoft.com/office/drawing/2010/main" val="0"/>
                        </a:ext>
                      </a:extLst>
                    </a:blip>
                    <a:srcRect l="6390" t="11178" r="3326" b="7033"/>
                    <a:stretch>
                      <a:fillRect/>
                    </a:stretch>
                  </pic:blipFill>
                  <pic:spPr>
                    <a:xfrm>
                      <a:off x="0" y="0"/>
                      <a:ext cx="2498725" cy="1417320"/>
                    </a:xfrm>
                    <a:prstGeom prst="rect">
                      <a:avLst/>
                    </a:prstGeom>
                    <a:noFill/>
                    <a:ln>
                      <a:noFill/>
                    </a:ln>
                  </pic:spPr>
                </pic:pic>
              </a:graphicData>
            </a:graphic>
          </wp:inline>
        </w:drawing>
      </w:r>
    </w:p>
    <w:p w14:paraId="7504274F" w14:textId="77777777" w:rsidR="00462C0C" w:rsidRDefault="007E0319">
      <w:pPr>
        <w:pStyle w:val="Body"/>
        <w:spacing w:after="0"/>
        <w:ind w:left="1650"/>
        <w:jc w:val="center"/>
        <w:rPr>
          <w:rFonts w:ascii="Arial" w:hAnsi="Arial" w:cs="Arial"/>
        </w:rPr>
      </w:pPr>
      <w:r>
        <w:rPr>
          <w:rFonts w:ascii="Arial" w:hAnsi="Arial" w:cs="Arial"/>
        </w:rPr>
        <w:t xml:space="preserve">(c)                                                            </w:t>
      </w:r>
      <w:proofErr w:type="gramStart"/>
      <w:r>
        <w:rPr>
          <w:rFonts w:ascii="Arial" w:hAnsi="Arial" w:cs="Arial"/>
        </w:rPr>
        <w:t xml:space="preserve">   (</w:t>
      </w:r>
      <w:proofErr w:type="gramEnd"/>
      <w:r>
        <w:rPr>
          <w:rFonts w:ascii="Arial" w:hAnsi="Arial" w:cs="Arial"/>
        </w:rPr>
        <w:t>d)</w:t>
      </w:r>
    </w:p>
    <w:p w14:paraId="3B64F5C4" w14:textId="77777777" w:rsidR="00462C0C" w:rsidRDefault="007E0319">
      <w:pPr>
        <w:pStyle w:val="Body"/>
        <w:spacing w:after="0"/>
        <w:rPr>
          <w:rFonts w:ascii="Arial" w:eastAsia="Calibri" w:hAnsi="Arial" w:cs="Arial"/>
          <w:szCs w:val="22"/>
        </w:rPr>
      </w:pPr>
      <w:r>
        <w:rPr>
          <w:rFonts w:ascii="Arial" w:hAnsi="Arial" w:cs="Arial"/>
        </w:rPr>
        <w:t xml:space="preserve">Figure 1: 3D Model of different </w:t>
      </w:r>
      <w:proofErr w:type="spellStart"/>
      <w:proofErr w:type="gramStart"/>
      <w:r>
        <w:rPr>
          <w:rFonts w:ascii="Arial" w:hAnsi="Arial" w:cs="Arial"/>
        </w:rPr>
        <w:t>scenarious</w:t>
      </w:r>
      <w:proofErr w:type="spellEnd"/>
      <w:r>
        <w:rPr>
          <w:rFonts w:ascii="Arial" w:hAnsi="Arial" w:cs="Arial"/>
        </w:rPr>
        <w:t xml:space="preserve">  investigated</w:t>
      </w:r>
      <w:proofErr w:type="gramEnd"/>
      <w:r>
        <w:rPr>
          <w:rFonts w:ascii="Arial" w:hAnsi="Arial" w:cs="Arial"/>
        </w:rPr>
        <w:t xml:space="preserve">. 1(a) is the </w:t>
      </w:r>
      <w:r>
        <w:rPr>
          <w:rFonts w:ascii="Arial" w:eastAsia="Calibri" w:hAnsi="Arial" w:cs="Arial"/>
          <w:szCs w:val="22"/>
        </w:rPr>
        <w:t>is the 3D model for the natural depletion, 1(b) 3D model for waterflooding, 1(c) 3D model for gas injection and 1(d)</w:t>
      </w:r>
      <w:r>
        <w:rPr>
          <w:rFonts w:ascii="Arial" w:eastAsia="Calibri" w:hAnsi="Arial" w:cs="Arial"/>
          <w:szCs w:val="22"/>
        </w:rPr>
        <w:t xml:space="preserve"> is for the water-alternating gas injection model respectively.</w:t>
      </w:r>
    </w:p>
    <w:p w14:paraId="2B35219E" w14:textId="77777777" w:rsidR="00462C0C" w:rsidRDefault="00462C0C">
      <w:pPr>
        <w:pStyle w:val="Body"/>
        <w:spacing w:after="0"/>
        <w:rPr>
          <w:rFonts w:ascii="Arial" w:eastAsia="Calibri" w:hAnsi="Arial" w:cs="Arial"/>
          <w:szCs w:val="22"/>
        </w:rPr>
      </w:pPr>
    </w:p>
    <w:p w14:paraId="305773D4" w14:textId="36078A3A" w:rsidR="00462C0C" w:rsidRDefault="007E0319">
      <w:pPr>
        <w:jc w:val="both"/>
        <w:rPr>
          <w:rFonts w:ascii="Arial" w:hAnsi="Arial" w:cs="Arial"/>
        </w:rPr>
      </w:pPr>
      <w:r>
        <w:rPr>
          <w:rFonts w:ascii="Arial" w:hAnsi="Arial" w:cs="Arial"/>
        </w:rPr>
        <w:t xml:space="preserve">Production from each of the scenario were plotted and the field oil efficiency, field oil production total and field water-cut were monitored over time for each case. Figure </w:t>
      </w:r>
      <w:r w:rsidR="00243441">
        <w:rPr>
          <w:rFonts w:ascii="Arial" w:hAnsi="Arial" w:cs="Arial"/>
        </w:rPr>
        <w:t>2</w:t>
      </w:r>
      <w:r>
        <w:rPr>
          <w:rFonts w:ascii="Arial" w:hAnsi="Arial" w:cs="Arial"/>
        </w:rPr>
        <w:t xml:space="preserve"> is the result o</w:t>
      </w:r>
      <w:r>
        <w:rPr>
          <w:rFonts w:ascii="Arial" w:hAnsi="Arial" w:cs="Arial"/>
        </w:rPr>
        <w:t>f field oil efficiency (FOE) over time. As can be seen, WAG FOE is the highest followed by waterflooding and then gas injection. The field oil production rate (FOPR) exhibited similar trend with WAG having a longer plateau followed by waterflooding and the</w:t>
      </w:r>
      <w:r>
        <w:rPr>
          <w:rFonts w:ascii="Arial" w:hAnsi="Arial" w:cs="Arial"/>
        </w:rPr>
        <w:t xml:space="preserve">n gas injection as shown in Figure </w:t>
      </w:r>
      <w:r w:rsidR="00243441">
        <w:rPr>
          <w:rFonts w:ascii="Arial" w:hAnsi="Arial" w:cs="Arial"/>
        </w:rPr>
        <w:t>3</w:t>
      </w:r>
      <w:r>
        <w:rPr>
          <w:rFonts w:ascii="Arial" w:hAnsi="Arial" w:cs="Arial"/>
        </w:rPr>
        <w:t xml:space="preserve">. Figure </w:t>
      </w:r>
      <w:r w:rsidR="00243441">
        <w:rPr>
          <w:rFonts w:ascii="Arial" w:hAnsi="Arial" w:cs="Arial"/>
        </w:rPr>
        <w:t>4</w:t>
      </w:r>
      <w:r>
        <w:rPr>
          <w:rFonts w:ascii="Arial" w:hAnsi="Arial" w:cs="Arial"/>
        </w:rPr>
        <w:t xml:space="preserve"> shows the total filed oil production (FOPT) with WAG having a total of 76.46MM </w:t>
      </w:r>
      <w:proofErr w:type="spellStart"/>
      <w:r>
        <w:rPr>
          <w:rFonts w:ascii="Arial" w:hAnsi="Arial" w:cs="Arial"/>
        </w:rPr>
        <w:t>stb</w:t>
      </w:r>
      <w:proofErr w:type="spellEnd"/>
      <w:r>
        <w:rPr>
          <w:rFonts w:ascii="Arial" w:hAnsi="Arial" w:cs="Arial"/>
        </w:rPr>
        <w:t xml:space="preserve"> compared to waterflooding that has 59.62MM </w:t>
      </w:r>
      <w:proofErr w:type="spellStart"/>
      <w:r>
        <w:rPr>
          <w:rFonts w:ascii="Arial" w:hAnsi="Arial" w:cs="Arial"/>
        </w:rPr>
        <w:t>stb</w:t>
      </w:r>
      <w:proofErr w:type="spellEnd"/>
      <w:r>
        <w:rPr>
          <w:rFonts w:ascii="Arial" w:hAnsi="Arial" w:cs="Arial"/>
        </w:rPr>
        <w:t xml:space="preserve"> and the least from gas injection with 47.89MM </w:t>
      </w:r>
      <w:proofErr w:type="spellStart"/>
      <w:r>
        <w:rPr>
          <w:rFonts w:ascii="Arial" w:hAnsi="Arial" w:cs="Arial"/>
        </w:rPr>
        <w:t>stb</w:t>
      </w:r>
      <w:proofErr w:type="spellEnd"/>
      <w:r>
        <w:rPr>
          <w:rFonts w:ascii="Arial" w:hAnsi="Arial" w:cs="Arial"/>
        </w:rPr>
        <w:t xml:space="preserve"> after 4.5 years of production</w:t>
      </w:r>
      <w:r>
        <w:rPr>
          <w:rFonts w:ascii="Arial" w:hAnsi="Arial" w:cs="Arial"/>
        </w:rPr>
        <w:t xml:space="preserve">. As expected, the field water cut is highest with waterflooding, followed by WAG and the least water cut was observed in gas injection as shown in Figure </w:t>
      </w:r>
      <w:r w:rsidR="00243441">
        <w:rPr>
          <w:rFonts w:ascii="Arial" w:hAnsi="Arial" w:cs="Arial"/>
        </w:rPr>
        <w:t>5</w:t>
      </w:r>
      <w:r>
        <w:rPr>
          <w:rFonts w:ascii="Arial" w:hAnsi="Arial" w:cs="Arial"/>
        </w:rPr>
        <w:t xml:space="preserve">. These results are similar to results from a study by </w:t>
      </w:r>
      <w:proofErr w:type="spellStart"/>
      <w:r>
        <w:rPr>
          <w:rFonts w:ascii="Arial" w:hAnsi="Arial" w:cs="Arial"/>
        </w:rPr>
        <w:t>Inaloo</w:t>
      </w:r>
      <w:proofErr w:type="spellEnd"/>
      <w:r>
        <w:rPr>
          <w:rFonts w:ascii="Arial" w:hAnsi="Arial" w:cs="Arial"/>
        </w:rPr>
        <w:t xml:space="preserve"> et al (2014). A summary of the perform</w:t>
      </w:r>
      <w:r>
        <w:rPr>
          <w:rFonts w:ascii="Arial" w:hAnsi="Arial" w:cs="Arial"/>
        </w:rPr>
        <w:t>ance of each method is shown in Table 2.</w:t>
      </w:r>
    </w:p>
    <w:p w14:paraId="26036628" w14:textId="77777777" w:rsidR="00462C0C" w:rsidRDefault="00462C0C">
      <w:pPr>
        <w:pStyle w:val="Body"/>
        <w:spacing w:after="0"/>
        <w:rPr>
          <w:rFonts w:ascii="Arial" w:eastAsia="Calibri" w:hAnsi="Arial" w:cs="Arial"/>
          <w:szCs w:val="22"/>
        </w:rPr>
      </w:pPr>
    </w:p>
    <w:p w14:paraId="6B72D3B6" w14:textId="77777777" w:rsidR="00462C0C" w:rsidRDefault="007E0319">
      <w:pPr>
        <w:jc w:val="center"/>
        <w:rPr>
          <w:rFonts w:ascii="Arial" w:hAnsi="Arial" w:cs="Arial"/>
          <w:lang w:val="en-GB"/>
        </w:rPr>
      </w:pPr>
      <w:r>
        <w:rPr>
          <w:rFonts w:ascii="Arial" w:hAnsi="Arial" w:cs="Arial"/>
        </w:rPr>
        <w:t>.</w:t>
      </w:r>
      <w:r>
        <w:rPr>
          <w:rFonts w:ascii="Arial" w:hAnsi="Arial" w:cs="Arial"/>
          <w:noProof/>
        </w:rPr>
        <w:drawing>
          <wp:inline distT="0" distB="0" distL="0" distR="0" wp14:anchorId="120FE24B" wp14:editId="5F167A8E">
            <wp:extent cx="3792220" cy="2341245"/>
            <wp:effectExtent l="0" t="0" r="1778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l="24858" t="9242" b="8221"/>
                    <a:stretch>
                      <a:fillRect/>
                    </a:stretch>
                  </pic:blipFill>
                  <pic:spPr>
                    <a:xfrm>
                      <a:off x="0" y="0"/>
                      <a:ext cx="3792220" cy="2341245"/>
                    </a:xfrm>
                    <a:prstGeom prst="rect">
                      <a:avLst/>
                    </a:prstGeom>
                    <a:noFill/>
                    <a:ln>
                      <a:noFill/>
                    </a:ln>
                  </pic:spPr>
                </pic:pic>
              </a:graphicData>
            </a:graphic>
          </wp:inline>
        </w:drawing>
      </w:r>
    </w:p>
    <w:p w14:paraId="2F30DC63" w14:textId="6B200808" w:rsidR="00462C0C" w:rsidRDefault="007E0319">
      <w:pPr>
        <w:spacing w:after="280"/>
        <w:jc w:val="center"/>
        <w:rPr>
          <w:rFonts w:ascii="Arial" w:hAnsi="Arial" w:cs="Arial"/>
          <w:lang w:val="en-GB"/>
        </w:rPr>
      </w:pPr>
      <w:r>
        <w:rPr>
          <w:rFonts w:ascii="Arial" w:hAnsi="Arial" w:cs="Arial"/>
          <w:lang w:val="en-GB"/>
        </w:rPr>
        <w:lastRenderedPageBreak/>
        <w:t>Fig.</w:t>
      </w:r>
      <w:r w:rsidR="00243441">
        <w:rPr>
          <w:rFonts w:ascii="Arial" w:hAnsi="Arial" w:cs="Arial"/>
          <w:lang w:val="en-GB"/>
        </w:rPr>
        <w:t>2</w:t>
      </w:r>
      <w:r>
        <w:rPr>
          <w:rFonts w:ascii="Arial" w:hAnsi="Arial" w:cs="Arial"/>
          <w:lang w:val="en-GB"/>
        </w:rPr>
        <w:t>: Plot of FOE vs TIME (yrs) – Waterflooding, Gas and WAG Injection</w:t>
      </w:r>
    </w:p>
    <w:p w14:paraId="008391C5" w14:textId="77777777" w:rsidR="00462C0C" w:rsidRDefault="007E0319">
      <w:pPr>
        <w:spacing w:after="280"/>
        <w:jc w:val="center"/>
        <w:rPr>
          <w:rFonts w:ascii="Arial" w:hAnsi="Arial" w:cs="Arial"/>
          <w:lang w:val="en-GB"/>
        </w:rPr>
      </w:pPr>
      <w:r>
        <w:rPr>
          <w:rFonts w:ascii="Arial" w:hAnsi="Arial" w:cs="Arial"/>
          <w:noProof/>
        </w:rPr>
        <w:drawing>
          <wp:inline distT="0" distB="0" distL="0" distR="0" wp14:anchorId="051280CD" wp14:editId="56DC5E32">
            <wp:extent cx="3886200" cy="2404745"/>
            <wp:effectExtent l="0" t="0" r="0"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l="25044" t="9243" b="8221"/>
                    <a:stretch>
                      <a:fillRect/>
                    </a:stretch>
                  </pic:blipFill>
                  <pic:spPr>
                    <a:xfrm>
                      <a:off x="0" y="0"/>
                      <a:ext cx="3886200" cy="2404745"/>
                    </a:xfrm>
                    <a:prstGeom prst="rect">
                      <a:avLst/>
                    </a:prstGeom>
                    <a:noFill/>
                    <a:ln>
                      <a:noFill/>
                    </a:ln>
                  </pic:spPr>
                </pic:pic>
              </a:graphicData>
            </a:graphic>
          </wp:inline>
        </w:drawing>
      </w:r>
    </w:p>
    <w:p w14:paraId="527BD0D6" w14:textId="29278F51" w:rsidR="00462C0C" w:rsidRDefault="007E0319">
      <w:pPr>
        <w:jc w:val="center"/>
        <w:rPr>
          <w:rFonts w:ascii="Arial" w:hAnsi="Arial" w:cs="Arial"/>
          <w:lang w:val="en-GB"/>
        </w:rPr>
      </w:pPr>
      <w:r>
        <w:rPr>
          <w:rFonts w:ascii="Arial" w:hAnsi="Arial" w:cs="Arial"/>
          <w:lang w:val="en-GB"/>
        </w:rPr>
        <w:t>Fig.</w:t>
      </w:r>
      <w:r w:rsidR="00243441">
        <w:rPr>
          <w:rFonts w:ascii="Arial" w:hAnsi="Arial" w:cs="Arial"/>
          <w:lang w:val="en-GB"/>
        </w:rPr>
        <w:t>3</w:t>
      </w:r>
      <w:r>
        <w:rPr>
          <w:rFonts w:ascii="Arial" w:hAnsi="Arial" w:cs="Arial"/>
          <w:lang w:val="en-GB"/>
        </w:rPr>
        <w:t>: Plot of FOPR vs TIME (yrs) – Waterflooding, Gas and WAG Injection</w:t>
      </w:r>
    </w:p>
    <w:p w14:paraId="73078A44" w14:textId="77777777" w:rsidR="00462C0C" w:rsidRDefault="00462C0C">
      <w:pPr>
        <w:spacing w:after="280"/>
        <w:jc w:val="center"/>
        <w:rPr>
          <w:rFonts w:ascii="Arial" w:hAnsi="Arial" w:cs="Arial"/>
          <w:lang w:val="en-GB"/>
        </w:rPr>
      </w:pPr>
    </w:p>
    <w:p w14:paraId="035046EC" w14:textId="77777777" w:rsidR="00462C0C" w:rsidRDefault="007E0319">
      <w:pPr>
        <w:jc w:val="center"/>
        <w:rPr>
          <w:rFonts w:ascii="Arial" w:hAnsi="Arial" w:cs="Arial"/>
          <w:lang w:val="en-GB"/>
        </w:rPr>
      </w:pPr>
      <w:r>
        <w:rPr>
          <w:rFonts w:ascii="Arial" w:hAnsi="Arial" w:cs="Arial"/>
          <w:noProof/>
        </w:rPr>
        <w:drawing>
          <wp:inline distT="0" distB="0" distL="0" distR="0" wp14:anchorId="0D2DB9FE" wp14:editId="2E44EFE9">
            <wp:extent cx="4334510" cy="2670810"/>
            <wp:effectExtent l="0" t="0" r="8890" b="152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l="25044" t="9573" b="8234"/>
                    <a:stretch>
                      <a:fillRect/>
                    </a:stretch>
                  </pic:blipFill>
                  <pic:spPr>
                    <a:xfrm>
                      <a:off x="0" y="0"/>
                      <a:ext cx="4334510" cy="2670810"/>
                    </a:xfrm>
                    <a:prstGeom prst="rect">
                      <a:avLst/>
                    </a:prstGeom>
                    <a:noFill/>
                    <a:ln>
                      <a:noFill/>
                    </a:ln>
                  </pic:spPr>
                </pic:pic>
              </a:graphicData>
            </a:graphic>
          </wp:inline>
        </w:drawing>
      </w:r>
    </w:p>
    <w:p w14:paraId="39BD74B9" w14:textId="4996B046" w:rsidR="00462C0C" w:rsidRDefault="007E0319">
      <w:pPr>
        <w:spacing w:after="280"/>
        <w:jc w:val="center"/>
        <w:rPr>
          <w:rFonts w:ascii="Arial" w:hAnsi="Arial" w:cs="Arial"/>
          <w:lang w:val="en-GB"/>
        </w:rPr>
      </w:pPr>
      <w:r>
        <w:rPr>
          <w:rFonts w:ascii="Arial" w:hAnsi="Arial" w:cs="Arial"/>
          <w:lang w:val="en-GB"/>
        </w:rPr>
        <w:t>Fig.</w:t>
      </w:r>
      <w:r w:rsidR="00243441">
        <w:rPr>
          <w:rFonts w:ascii="Arial" w:hAnsi="Arial" w:cs="Arial"/>
          <w:lang w:val="en-GB"/>
        </w:rPr>
        <w:t>4</w:t>
      </w:r>
      <w:r>
        <w:rPr>
          <w:rFonts w:ascii="Arial" w:hAnsi="Arial" w:cs="Arial"/>
          <w:lang w:val="en-GB"/>
        </w:rPr>
        <w:t xml:space="preserve">: Plot of FOPT vs TIME (yrs) – Waterflooding, Gas and </w:t>
      </w:r>
      <w:r>
        <w:rPr>
          <w:rFonts w:ascii="Arial" w:hAnsi="Arial" w:cs="Arial"/>
          <w:lang w:val="en-GB"/>
        </w:rPr>
        <w:t>WAG Injection</w:t>
      </w:r>
    </w:p>
    <w:p w14:paraId="34339E66" w14:textId="77777777" w:rsidR="00462C0C" w:rsidRDefault="00462C0C">
      <w:pPr>
        <w:jc w:val="center"/>
        <w:rPr>
          <w:rFonts w:ascii="Times New Roman" w:hAnsi="Times New Roman"/>
          <w:lang w:val="en-GB"/>
        </w:rPr>
      </w:pPr>
    </w:p>
    <w:p w14:paraId="3B507A95" w14:textId="77777777" w:rsidR="00462C0C" w:rsidRDefault="007E0319">
      <w:pPr>
        <w:jc w:val="center"/>
        <w:rPr>
          <w:rFonts w:ascii="Times New Roman" w:hAnsi="Times New Roman"/>
          <w:lang w:val="en-GB"/>
        </w:rPr>
      </w:pPr>
      <w:r>
        <w:rPr>
          <w:rFonts w:ascii="Times New Roman" w:hAnsi="Times New Roman"/>
          <w:noProof/>
        </w:rPr>
        <w:lastRenderedPageBreak/>
        <w:drawing>
          <wp:inline distT="0" distB="0" distL="0" distR="0" wp14:anchorId="25B47EAF" wp14:editId="5B188613">
            <wp:extent cx="4107815" cy="2525395"/>
            <wp:effectExtent l="0" t="0" r="698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2" cstate="print">
                      <a:extLst>
                        <a:ext uri="{28A0092B-C50C-407E-A947-70E740481C1C}">
                          <a14:useLocalDpi xmlns:a14="http://schemas.microsoft.com/office/drawing/2010/main" val="0"/>
                        </a:ext>
                      </a:extLst>
                    </a:blip>
                    <a:srcRect l="24858" t="9243" b="8550"/>
                    <a:stretch>
                      <a:fillRect/>
                    </a:stretch>
                  </pic:blipFill>
                  <pic:spPr>
                    <a:xfrm>
                      <a:off x="0" y="0"/>
                      <a:ext cx="4107815" cy="2525395"/>
                    </a:xfrm>
                    <a:prstGeom prst="rect">
                      <a:avLst/>
                    </a:prstGeom>
                    <a:noFill/>
                    <a:ln>
                      <a:noFill/>
                    </a:ln>
                  </pic:spPr>
                </pic:pic>
              </a:graphicData>
            </a:graphic>
          </wp:inline>
        </w:drawing>
      </w:r>
    </w:p>
    <w:p w14:paraId="197B8391" w14:textId="35D3642F" w:rsidR="00462C0C" w:rsidRDefault="007E0319">
      <w:pPr>
        <w:jc w:val="center"/>
        <w:rPr>
          <w:rFonts w:ascii="Arial" w:hAnsi="Arial" w:cs="Arial"/>
          <w:lang w:val="en-GB"/>
        </w:rPr>
      </w:pPr>
      <w:r>
        <w:rPr>
          <w:rFonts w:ascii="Arial" w:hAnsi="Arial" w:cs="Arial"/>
          <w:lang w:val="en-GB"/>
        </w:rPr>
        <w:t>Fig.</w:t>
      </w:r>
      <w:r w:rsidR="00243441">
        <w:rPr>
          <w:rFonts w:ascii="Arial" w:hAnsi="Arial" w:cs="Arial"/>
          <w:lang w:val="en-GB"/>
        </w:rPr>
        <w:t>5</w:t>
      </w:r>
      <w:r>
        <w:rPr>
          <w:rFonts w:ascii="Arial" w:hAnsi="Arial" w:cs="Arial"/>
          <w:lang w:val="en-GB"/>
        </w:rPr>
        <w:t>: Plot of FWCT vs TIME (yrs) – Waterflooding, Gas and WAG Injections</w:t>
      </w:r>
    </w:p>
    <w:p w14:paraId="3273188F" w14:textId="77777777" w:rsidR="00462C0C" w:rsidRDefault="00462C0C">
      <w:pPr>
        <w:spacing w:after="280"/>
        <w:jc w:val="both"/>
        <w:rPr>
          <w:rFonts w:ascii="Arial" w:hAnsi="Arial" w:cs="Arial"/>
          <w:lang w:val="en-GB"/>
        </w:rPr>
      </w:pPr>
    </w:p>
    <w:p w14:paraId="0481F959" w14:textId="77777777" w:rsidR="00462C0C" w:rsidRDefault="007E0319">
      <w:pPr>
        <w:spacing w:after="280"/>
        <w:jc w:val="center"/>
        <w:rPr>
          <w:rFonts w:ascii="Arial" w:hAnsi="Arial" w:cs="Arial"/>
          <w:b/>
          <w:bCs/>
          <w:lang w:val="en-GB"/>
        </w:rPr>
      </w:pPr>
      <w:r>
        <w:rPr>
          <w:rFonts w:ascii="Arial" w:hAnsi="Arial" w:cs="Arial"/>
          <w:b/>
          <w:bCs/>
          <w:lang w:val="en-GB"/>
        </w:rPr>
        <w:t>Table.2: FOE Results for Waterflooding, Gas and WAG Injection</w:t>
      </w:r>
    </w:p>
    <w:tbl>
      <w:tblPr>
        <w:tblStyle w:val="TableGrid"/>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620"/>
        <w:gridCol w:w="1500"/>
        <w:gridCol w:w="889"/>
      </w:tblGrid>
      <w:tr w:rsidR="00462C0C" w14:paraId="547FA10F" w14:textId="77777777">
        <w:trPr>
          <w:trHeight w:hRule="exact" w:val="302"/>
          <w:jc w:val="center"/>
        </w:trPr>
        <w:tc>
          <w:tcPr>
            <w:tcW w:w="1854" w:type="dxa"/>
          </w:tcPr>
          <w:p w14:paraId="0947852E" w14:textId="77777777" w:rsidR="00462C0C" w:rsidRDefault="007E0319">
            <w:pPr>
              <w:spacing w:after="280"/>
              <w:jc w:val="center"/>
              <w:rPr>
                <w:rFonts w:ascii="Arial" w:hAnsi="Arial" w:cs="Arial"/>
                <w:lang w:val="en-GB"/>
              </w:rPr>
            </w:pPr>
            <w:r>
              <w:rPr>
                <w:rFonts w:ascii="Arial" w:hAnsi="Arial" w:cs="Arial"/>
                <w:lang w:val="en-GB"/>
              </w:rPr>
              <w:t>Parameter</w:t>
            </w:r>
          </w:p>
        </w:tc>
        <w:tc>
          <w:tcPr>
            <w:tcW w:w="1620" w:type="dxa"/>
          </w:tcPr>
          <w:p w14:paraId="17CCF1E2" w14:textId="77777777" w:rsidR="00462C0C" w:rsidRDefault="007E0319">
            <w:pPr>
              <w:spacing w:after="280"/>
              <w:jc w:val="center"/>
              <w:rPr>
                <w:rFonts w:ascii="Arial" w:hAnsi="Arial" w:cs="Arial"/>
                <w:lang w:val="en-GB"/>
              </w:rPr>
            </w:pPr>
            <w:r>
              <w:rPr>
                <w:rFonts w:ascii="Arial" w:hAnsi="Arial" w:cs="Arial"/>
                <w:lang w:val="en-GB"/>
              </w:rPr>
              <w:t>Waterflooding</w:t>
            </w:r>
          </w:p>
        </w:tc>
        <w:tc>
          <w:tcPr>
            <w:tcW w:w="1500" w:type="dxa"/>
            <w:shd w:val="clear" w:color="auto" w:fill="auto"/>
          </w:tcPr>
          <w:p w14:paraId="2C68191C" w14:textId="77777777" w:rsidR="00462C0C" w:rsidRDefault="007E0319">
            <w:pPr>
              <w:spacing w:after="280"/>
              <w:jc w:val="center"/>
              <w:rPr>
                <w:rFonts w:ascii="Arial" w:hAnsi="Arial" w:cs="Arial"/>
                <w:lang w:val="en-GB"/>
              </w:rPr>
            </w:pPr>
            <w:r>
              <w:rPr>
                <w:rFonts w:ascii="Arial" w:hAnsi="Arial" w:cs="Arial"/>
                <w:lang w:val="en-GB"/>
              </w:rPr>
              <w:t>Gas Injection</w:t>
            </w:r>
          </w:p>
        </w:tc>
        <w:tc>
          <w:tcPr>
            <w:tcW w:w="855" w:type="dxa"/>
            <w:shd w:val="clear" w:color="auto" w:fill="auto"/>
          </w:tcPr>
          <w:p w14:paraId="30980EE1" w14:textId="77777777" w:rsidR="00462C0C" w:rsidRDefault="007E0319">
            <w:pPr>
              <w:spacing w:after="280"/>
              <w:jc w:val="center"/>
              <w:rPr>
                <w:rFonts w:ascii="Arial" w:hAnsi="Arial" w:cs="Arial"/>
                <w:lang w:val="en-GB"/>
              </w:rPr>
            </w:pPr>
            <w:r>
              <w:rPr>
                <w:rFonts w:ascii="Arial" w:hAnsi="Arial" w:cs="Arial"/>
                <w:lang w:val="en-GB"/>
              </w:rPr>
              <w:t>WAG</w:t>
            </w:r>
          </w:p>
        </w:tc>
      </w:tr>
      <w:tr w:rsidR="00462C0C" w14:paraId="36720C29" w14:textId="77777777">
        <w:trPr>
          <w:trHeight w:hRule="exact" w:val="517"/>
          <w:jc w:val="center"/>
        </w:trPr>
        <w:tc>
          <w:tcPr>
            <w:tcW w:w="1854" w:type="dxa"/>
          </w:tcPr>
          <w:p w14:paraId="3F5295B0" w14:textId="77777777" w:rsidR="00462C0C" w:rsidRDefault="007E0319">
            <w:pPr>
              <w:spacing w:after="280"/>
              <w:jc w:val="center"/>
              <w:rPr>
                <w:rFonts w:ascii="Arial" w:hAnsi="Arial" w:cs="Arial"/>
                <w:lang w:val="en-GB"/>
              </w:rPr>
            </w:pPr>
            <w:r>
              <w:rPr>
                <w:rFonts w:ascii="Arial" w:hAnsi="Arial" w:cs="Arial"/>
                <w:lang w:val="en-GB"/>
              </w:rPr>
              <w:t>FOE (Recovery Factor, %)</w:t>
            </w:r>
          </w:p>
        </w:tc>
        <w:tc>
          <w:tcPr>
            <w:tcW w:w="1620" w:type="dxa"/>
          </w:tcPr>
          <w:p w14:paraId="5E456796" w14:textId="77777777" w:rsidR="00462C0C" w:rsidRDefault="007E0319">
            <w:pPr>
              <w:spacing w:after="280"/>
              <w:jc w:val="center"/>
              <w:rPr>
                <w:rFonts w:ascii="Arial" w:hAnsi="Arial" w:cs="Arial"/>
                <w:lang w:val="en-GB"/>
              </w:rPr>
            </w:pPr>
            <w:r>
              <w:rPr>
                <w:rFonts w:ascii="Arial" w:hAnsi="Arial" w:cs="Arial"/>
                <w:lang w:val="en-GB"/>
              </w:rPr>
              <w:t>0.2665</w:t>
            </w:r>
          </w:p>
        </w:tc>
        <w:tc>
          <w:tcPr>
            <w:tcW w:w="1500" w:type="dxa"/>
          </w:tcPr>
          <w:p w14:paraId="27A3DFDA" w14:textId="77777777" w:rsidR="00462C0C" w:rsidRDefault="007E0319">
            <w:pPr>
              <w:spacing w:after="280"/>
              <w:jc w:val="center"/>
              <w:rPr>
                <w:rFonts w:ascii="Arial" w:hAnsi="Arial" w:cs="Arial"/>
                <w:lang w:val="en-GB"/>
              </w:rPr>
            </w:pPr>
            <w:r>
              <w:rPr>
                <w:rFonts w:ascii="Arial" w:hAnsi="Arial" w:cs="Arial"/>
                <w:lang w:val="en-GB"/>
              </w:rPr>
              <w:t>0.2135</w:t>
            </w:r>
          </w:p>
        </w:tc>
        <w:tc>
          <w:tcPr>
            <w:tcW w:w="855" w:type="dxa"/>
          </w:tcPr>
          <w:p w14:paraId="54CF796C" w14:textId="77777777" w:rsidR="00462C0C" w:rsidRDefault="007E0319">
            <w:pPr>
              <w:spacing w:after="280"/>
              <w:jc w:val="center"/>
              <w:rPr>
                <w:rFonts w:ascii="Arial" w:hAnsi="Arial" w:cs="Arial"/>
                <w:lang w:val="en-GB"/>
              </w:rPr>
            </w:pPr>
            <w:r>
              <w:rPr>
                <w:rFonts w:ascii="Arial" w:hAnsi="Arial" w:cs="Arial"/>
                <w:lang w:val="en-GB"/>
              </w:rPr>
              <w:t>0.34</w:t>
            </w:r>
          </w:p>
        </w:tc>
      </w:tr>
      <w:tr w:rsidR="00462C0C" w14:paraId="2A7D4302" w14:textId="77777777">
        <w:trPr>
          <w:trHeight w:hRule="exact" w:val="302"/>
          <w:jc w:val="center"/>
        </w:trPr>
        <w:tc>
          <w:tcPr>
            <w:tcW w:w="1854" w:type="dxa"/>
          </w:tcPr>
          <w:p w14:paraId="50495843" w14:textId="77777777" w:rsidR="00462C0C" w:rsidRDefault="007E0319">
            <w:pPr>
              <w:spacing w:after="280"/>
              <w:jc w:val="center"/>
              <w:rPr>
                <w:rFonts w:ascii="Arial" w:hAnsi="Arial" w:cs="Arial"/>
                <w:lang w:val="en-GB"/>
              </w:rPr>
            </w:pPr>
            <w:r>
              <w:rPr>
                <w:rFonts w:ascii="Arial" w:hAnsi="Arial" w:cs="Arial"/>
                <w:lang w:val="en-GB"/>
              </w:rPr>
              <w:t>FOPR (Plateau)</w:t>
            </w:r>
            <w:r>
              <w:rPr>
                <w:rFonts w:ascii="Arial" w:hAnsi="Arial" w:cs="Arial"/>
                <w:lang w:val="en-GB"/>
              </w:rPr>
              <w:t xml:space="preserve"> (yrs)</w:t>
            </w:r>
          </w:p>
        </w:tc>
        <w:tc>
          <w:tcPr>
            <w:tcW w:w="1620" w:type="dxa"/>
          </w:tcPr>
          <w:p w14:paraId="28CBD43D" w14:textId="77777777" w:rsidR="00462C0C" w:rsidRDefault="007E0319">
            <w:pPr>
              <w:spacing w:after="280"/>
              <w:jc w:val="center"/>
              <w:rPr>
                <w:rFonts w:ascii="Arial" w:hAnsi="Arial" w:cs="Arial"/>
                <w:lang w:val="en-GB"/>
              </w:rPr>
            </w:pPr>
            <w:r>
              <w:rPr>
                <w:rFonts w:ascii="Arial" w:hAnsi="Arial" w:cs="Arial"/>
                <w:lang w:val="en-GB"/>
              </w:rPr>
              <w:t>2.2</w:t>
            </w:r>
          </w:p>
        </w:tc>
        <w:tc>
          <w:tcPr>
            <w:tcW w:w="1500" w:type="dxa"/>
          </w:tcPr>
          <w:p w14:paraId="2E99F018" w14:textId="77777777" w:rsidR="00462C0C" w:rsidRDefault="007E0319">
            <w:pPr>
              <w:spacing w:after="280"/>
              <w:jc w:val="center"/>
              <w:rPr>
                <w:rFonts w:ascii="Arial" w:hAnsi="Arial" w:cs="Arial"/>
                <w:lang w:val="en-GB"/>
              </w:rPr>
            </w:pPr>
            <w:r>
              <w:rPr>
                <w:rFonts w:ascii="Arial" w:hAnsi="Arial" w:cs="Arial"/>
                <w:lang w:val="en-GB"/>
              </w:rPr>
              <w:t>2.0</w:t>
            </w:r>
          </w:p>
        </w:tc>
        <w:tc>
          <w:tcPr>
            <w:tcW w:w="855" w:type="dxa"/>
          </w:tcPr>
          <w:p w14:paraId="629C8A94" w14:textId="77777777" w:rsidR="00462C0C" w:rsidRDefault="007E0319">
            <w:pPr>
              <w:spacing w:after="280"/>
              <w:jc w:val="center"/>
              <w:rPr>
                <w:rFonts w:ascii="Arial" w:hAnsi="Arial" w:cs="Arial"/>
                <w:lang w:val="en-GB"/>
              </w:rPr>
            </w:pPr>
            <w:r>
              <w:rPr>
                <w:rFonts w:ascii="Arial" w:hAnsi="Arial" w:cs="Arial"/>
                <w:lang w:val="en-GB"/>
              </w:rPr>
              <w:t>3.7</w:t>
            </w:r>
          </w:p>
        </w:tc>
      </w:tr>
      <w:tr w:rsidR="00462C0C" w14:paraId="1F8DE6C9" w14:textId="77777777">
        <w:trPr>
          <w:trHeight w:hRule="exact" w:val="302"/>
          <w:jc w:val="center"/>
        </w:trPr>
        <w:tc>
          <w:tcPr>
            <w:tcW w:w="1854" w:type="dxa"/>
          </w:tcPr>
          <w:p w14:paraId="22806524" w14:textId="77777777" w:rsidR="00462C0C" w:rsidRDefault="007E0319">
            <w:pPr>
              <w:spacing w:after="280"/>
              <w:jc w:val="center"/>
              <w:rPr>
                <w:rFonts w:ascii="Arial" w:hAnsi="Arial" w:cs="Arial"/>
                <w:lang w:val="en-GB"/>
              </w:rPr>
            </w:pPr>
            <w:r>
              <w:rPr>
                <w:rFonts w:ascii="Arial" w:hAnsi="Arial" w:cs="Arial"/>
                <w:lang w:val="en-GB"/>
              </w:rPr>
              <w:t>FOPT (MMSTB)</w:t>
            </w:r>
          </w:p>
        </w:tc>
        <w:tc>
          <w:tcPr>
            <w:tcW w:w="1620" w:type="dxa"/>
          </w:tcPr>
          <w:p w14:paraId="32B4DF82" w14:textId="77777777" w:rsidR="00462C0C" w:rsidRDefault="007E0319">
            <w:pPr>
              <w:spacing w:after="280"/>
              <w:jc w:val="center"/>
              <w:rPr>
                <w:rFonts w:ascii="Arial" w:hAnsi="Arial" w:cs="Arial"/>
                <w:lang w:val="en-GB"/>
              </w:rPr>
            </w:pPr>
            <w:r>
              <w:rPr>
                <w:rFonts w:ascii="Arial" w:hAnsi="Arial" w:cs="Arial"/>
                <w:lang w:val="en-GB"/>
              </w:rPr>
              <w:t>59.62</w:t>
            </w:r>
          </w:p>
        </w:tc>
        <w:tc>
          <w:tcPr>
            <w:tcW w:w="1500" w:type="dxa"/>
          </w:tcPr>
          <w:p w14:paraId="5FEF585D" w14:textId="77777777" w:rsidR="00462C0C" w:rsidRDefault="007E0319">
            <w:pPr>
              <w:spacing w:after="280"/>
              <w:jc w:val="center"/>
              <w:rPr>
                <w:rFonts w:ascii="Arial" w:hAnsi="Arial" w:cs="Arial"/>
                <w:lang w:val="en-GB"/>
              </w:rPr>
            </w:pPr>
            <w:r>
              <w:rPr>
                <w:rFonts w:ascii="Arial" w:hAnsi="Arial" w:cs="Arial"/>
                <w:lang w:val="en-GB"/>
              </w:rPr>
              <w:t>47.89</w:t>
            </w:r>
          </w:p>
        </w:tc>
        <w:tc>
          <w:tcPr>
            <w:tcW w:w="855" w:type="dxa"/>
          </w:tcPr>
          <w:p w14:paraId="7C1DD554" w14:textId="77777777" w:rsidR="00462C0C" w:rsidRDefault="007E0319">
            <w:pPr>
              <w:spacing w:after="280"/>
              <w:jc w:val="center"/>
              <w:rPr>
                <w:rFonts w:ascii="Arial" w:hAnsi="Arial" w:cs="Arial"/>
                <w:lang w:val="en-GB"/>
              </w:rPr>
            </w:pPr>
            <w:r>
              <w:rPr>
                <w:rFonts w:ascii="Arial" w:hAnsi="Arial" w:cs="Arial"/>
                <w:lang w:val="en-GB"/>
              </w:rPr>
              <w:t>76.46</w:t>
            </w:r>
          </w:p>
        </w:tc>
      </w:tr>
      <w:tr w:rsidR="00462C0C" w14:paraId="092210BC" w14:textId="77777777">
        <w:trPr>
          <w:trHeight w:hRule="exact" w:val="302"/>
          <w:jc w:val="center"/>
        </w:trPr>
        <w:tc>
          <w:tcPr>
            <w:tcW w:w="1854" w:type="dxa"/>
          </w:tcPr>
          <w:p w14:paraId="21DB7CD2" w14:textId="77777777" w:rsidR="00462C0C" w:rsidRDefault="007E0319">
            <w:pPr>
              <w:spacing w:after="280"/>
              <w:jc w:val="center"/>
              <w:rPr>
                <w:rFonts w:ascii="Arial" w:hAnsi="Arial" w:cs="Arial"/>
                <w:lang w:val="en-GB"/>
              </w:rPr>
            </w:pPr>
            <w:r>
              <w:rPr>
                <w:rFonts w:ascii="Arial" w:hAnsi="Arial" w:cs="Arial"/>
                <w:lang w:val="en-GB"/>
              </w:rPr>
              <w:t>FWCT (%)</w:t>
            </w:r>
          </w:p>
        </w:tc>
        <w:tc>
          <w:tcPr>
            <w:tcW w:w="1620" w:type="dxa"/>
            <w:shd w:val="clear" w:color="auto" w:fill="auto"/>
          </w:tcPr>
          <w:p w14:paraId="7C5048EC" w14:textId="77777777" w:rsidR="00462C0C" w:rsidRDefault="007E0319">
            <w:pPr>
              <w:spacing w:after="280"/>
              <w:jc w:val="center"/>
              <w:rPr>
                <w:rFonts w:ascii="Arial" w:hAnsi="Arial" w:cs="Arial"/>
                <w:lang w:val="en-GB"/>
              </w:rPr>
            </w:pPr>
            <w:r>
              <w:rPr>
                <w:rFonts w:ascii="Arial" w:hAnsi="Arial" w:cs="Arial"/>
                <w:lang w:val="en-GB"/>
              </w:rPr>
              <w:t>0.4758</w:t>
            </w:r>
          </w:p>
        </w:tc>
        <w:tc>
          <w:tcPr>
            <w:tcW w:w="1500" w:type="dxa"/>
            <w:shd w:val="clear" w:color="auto" w:fill="auto"/>
          </w:tcPr>
          <w:p w14:paraId="2F0A6E43" w14:textId="77777777" w:rsidR="00462C0C" w:rsidRDefault="007E0319">
            <w:pPr>
              <w:spacing w:after="280"/>
              <w:jc w:val="center"/>
              <w:rPr>
                <w:rFonts w:ascii="Arial" w:hAnsi="Arial" w:cs="Arial"/>
                <w:lang w:val="en-GB"/>
              </w:rPr>
            </w:pPr>
            <w:r>
              <w:rPr>
                <w:rFonts w:ascii="Arial" w:hAnsi="Arial" w:cs="Arial"/>
                <w:lang w:val="en-GB"/>
              </w:rPr>
              <w:t>0.092</w:t>
            </w:r>
          </w:p>
        </w:tc>
        <w:tc>
          <w:tcPr>
            <w:tcW w:w="855" w:type="dxa"/>
            <w:shd w:val="clear" w:color="auto" w:fill="auto"/>
          </w:tcPr>
          <w:p w14:paraId="3E34C2CD" w14:textId="77777777" w:rsidR="00462C0C" w:rsidRDefault="007E0319">
            <w:pPr>
              <w:spacing w:after="280"/>
              <w:jc w:val="center"/>
              <w:rPr>
                <w:rFonts w:ascii="Arial" w:hAnsi="Arial" w:cs="Arial"/>
                <w:lang w:val="en-GB"/>
              </w:rPr>
            </w:pPr>
            <w:r>
              <w:rPr>
                <w:rFonts w:ascii="Arial" w:hAnsi="Arial" w:cs="Arial"/>
                <w:lang w:val="en-GB"/>
              </w:rPr>
              <w:t>0.2611</w:t>
            </w:r>
          </w:p>
        </w:tc>
      </w:tr>
    </w:tbl>
    <w:p w14:paraId="7AE8C31A" w14:textId="77777777" w:rsidR="00462C0C" w:rsidRDefault="00462C0C">
      <w:pPr>
        <w:tabs>
          <w:tab w:val="left" w:pos="1080"/>
        </w:tabs>
        <w:jc w:val="both"/>
        <w:rPr>
          <w:rFonts w:ascii="Arial" w:hAnsi="Arial"/>
          <w:b/>
        </w:rPr>
      </w:pPr>
    </w:p>
    <w:p w14:paraId="4E91AF3C" w14:textId="77777777" w:rsidR="00462C0C" w:rsidRDefault="00462C0C">
      <w:pPr>
        <w:tabs>
          <w:tab w:val="left" w:pos="1080"/>
        </w:tabs>
        <w:jc w:val="both"/>
        <w:rPr>
          <w:rFonts w:ascii="Arial" w:hAnsi="Arial"/>
          <w:b/>
        </w:rPr>
      </w:pPr>
    </w:p>
    <w:p w14:paraId="45FC7520" w14:textId="77777777" w:rsidR="00462C0C" w:rsidRDefault="00462C0C">
      <w:pPr>
        <w:pStyle w:val="Body"/>
        <w:spacing w:after="0"/>
        <w:rPr>
          <w:rFonts w:ascii="Arial" w:hAnsi="Arial" w:cs="Arial"/>
        </w:rPr>
      </w:pPr>
    </w:p>
    <w:p w14:paraId="01262EC9" w14:textId="77777777" w:rsidR="00462C0C" w:rsidRDefault="007E0319">
      <w:pPr>
        <w:pStyle w:val="ConcHead"/>
        <w:spacing w:after="0"/>
        <w:jc w:val="both"/>
        <w:rPr>
          <w:rFonts w:ascii="Arial" w:hAnsi="Arial" w:cs="Arial"/>
        </w:rPr>
      </w:pPr>
      <w:r>
        <w:rPr>
          <w:rFonts w:ascii="Arial" w:hAnsi="Arial" w:cs="Arial"/>
        </w:rPr>
        <w:t>4. Conclusion</w:t>
      </w:r>
    </w:p>
    <w:p w14:paraId="30DD868C" w14:textId="77777777" w:rsidR="00462C0C" w:rsidRDefault="00462C0C">
      <w:pPr>
        <w:pStyle w:val="ConcHead"/>
        <w:spacing w:after="0"/>
        <w:jc w:val="both"/>
        <w:rPr>
          <w:rFonts w:ascii="Arial" w:hAnsi="Arial" w:cs="Arial"/>
        </w:rPr>
      </w:pPr>
    </w:p>
    <w:p w14:paraId="3D7F852C" w14:textId="77777777" w:rsidR="00462C0C" w:rsidRDefault="007E0319">
      <w:pPr>
        <w:jc w:val="both"/>
        <w:rPr>
          <w:rFonts w:ascii="Arial" w:hAnsi="Arial" w:cs="Arial"/>
        </w:rPr>
      </w:pPr>
      <w:r>
        <w:rPr>
          <w:rFonts w:ascii="Arial" w:hAnsi="Arial" w:cs="Arial"/>
        </w:rPr>
        <w:t>The following key conclusions were drawn from this investigation:</w:t>
      </w:r>
    </w:p>
    <w:p w14:paraId="6024C5EE" w14:textId="77777777" w:rsidR="00462C0C" w:rsidRDefault="007E0319">
      <w:pPr>
        <w:pStyle w:val="ListParagraph"/>
        <w:numPr>
          <w:ilvl w:val="0"/>
          <w:numId w:val="4"/>
        </w:numPr>
        <w:jc w:val="both"/>
        <w:rPr>
          <w:rFonts w:ascii="Arial" w:hAnsi="Arial" w:cs="Arial"/>
        </w:rPr>
      </w:pPr>
      <w:r>
        <w:rPr>
          <w:rFonts w:ascii="Arial" w:hAnsi="Arial" w:cs="Arial"/>
        </w:rPr>
        <w:t xml:space="preserve">WAG injection had a maximum field oil efficiency (FOE) of 34%, a field oil production total (FOPT) of </w:t>
      </w:r>
      <w:r>
        <w:rPr>
          <w:rFonts w:ascii="Arial" w:hAnsi="Arial" w:cs="Arial"/>
          <w:lang w:val="en-GB"/>
        </w:rPr>
        <w:t>76.46 MMSTB, a plateau time of 3.7years and a field water cut (FWCT) of 26.11%.</w:t>
      </w:r>
    </w:p>
    <w:p w14:paraId="7DCA34FE" w14:textId="77777777" w:rsidR="00462C0C" w:rsidRDefault="007E0319">
      <w:pPr>
        <w:pStyle w:val="ListParagraph"/>
        <w:numPr>
          <w:ilvl w:val="0"/>
          <w:numId w:val="4"/>
        </w:numPr>
        <w:jc w:val="both"/>
        <w:rPr>
          <w:rFonts w:ascii="Arial" w:hAnsi="Arial" w:cs="Arial"/>
        </w:rPr>
      </w:pPr>
      <w:r>
        <w:rPr>
          <w:rFonts w:ascii="Arial" w:hAnsi="Arial" w:cs="Arial"/>
        </w:rPr>
        <w:t xml:space="preserve">Waterflooding had a FOE of 26.65%, a FOPT of </w:t>
      </w:r>
      <w:r>
        <w:rPr>
          <w:rFonts w:ascii="Arial" w:hAnsi="Arial" w:cs="Arial"/>
          <w:lang w:val="en-GB"/>
        </w:rPr>
        <w:t>59.62 MMSTB, a plateau time o</w:t>
      </w:r>
      <w:r>
        <w:rPr>
          <w:rFonts w:ascii="Arial" w:hAnsi="Arial" w:cs="Arial"/>
          <w:lang w:val="en-GB"/>
        </w:rPr>
        <w:t xml:space="preserve">f 2.2years and FWCT of </w:t>
      </w:r>
      <w:r>
        <w:rPr>
          <w:rFonts w:ascii="Arial" w:hAnsi="Arial" w:cs="Arial"/>
        </w:rPr>
        <w:t xml:space="preserve">47.58%. Whereas gas injection had an FOE of 21.35%, a FOPT of </w:t>
      </w:r>
      <w:r>
        <w:rPr>
          <w:rFonts w:ascii="Arial" w:hAnsi="Arial" w:cs="Arial"/>
          <w:lang w:val="en-GB"/>
        </w:rPr>
        <w:t>47.89 MMSTB</w:t>
      </w:r>
      <w:r>
        <w:rPr>
          <w:rFonts w:ascii="Arial" w:hAnsi="Arial" w:cs="Arial"/>
        </w:rPr>
        <w:t xml:space="preserve">, a plateau time of 2 years, and FWCT of 9.2%. </w:t>
      </w:r>
    </w:p>
    <w:p w14:paraId="515FE5F0" w14:textId="77777777" w:rsidR="00462C0C" w:rsidRDefault="007E0319">
      <w:pPr>
        <w:pStyle w:val="ListParagraph"/>
        <w:numPr>
          <w:ilvl w:val="0"/>
          <w:numId w:val="4"/>
        </w:numPr>
        <w:jc w:val="both"/>
        <w:rPr>
          <w:rFonts w:ascii="Arial" w:hAnsi="Arial" w:cs="Arial"/>
        </w:rPr>
      </w:pPr>
      <w:r>
        <w:rPr>
          <w:rFonts w:ascii="Arial" w:hAnsi="Arial" w:cs="Arial"/>
        </w:rPr>
        <w:t>From comparative analysis of the three recovery methods, WAG injection outperformed both waterflooding and gas i</w:t>
      </w:r>
      <w:r>
        <w:rPr>
          <w:rFonts w:ascii="Arial" w:hAnsi="Arial" w:cs="Arial"/>
        </w:rPr>
        <w:t>njection with the highest FOE and minimal water cut after 4.5 years of production.  Therefore, in comparison to waterflooding and gas injection methods, WAG technique has thus far demonstrated to be the most effective recovery method for optimal oil recove</w:t>
      </w:r>
      <w:r>
        <w:rPr>
          <w:rFonts w:ascii="Arial" w:hAnsi="Arial" w:cs="Arial"/>
        </w:rPr>
        <w:t xml:space="preserve">ry for the selected oil field in the Niger Delta. </w:t>
      </w:r>
    </w:p>
    <w:p w14:paraId="67051727" w14:textId="77777777" w:rsidR="00462C0C" w:rsidRDefault="00462C0C">
      <w:pPr>
        <w:pStyle w:val="Body"/>
        <w:spacing w:after="0"/>
        <w:rPr>
          <w:rFonts w:ascii="Arial" w:hAnsi="Arial" w:cs="Arial"/>
        </w:rPr>
      </w:pPr>
    </w:p>
    <w:p w14:paraId="495633BF" w14:textId="77777777" w:rsidR="00462C0C" w:rsidRDefault="00462C0C">
      <w:pPr>
        <w:pStyle w:val="Body"/>
        <w:spacing w:after="0"/>
        <w:rPr>
          <w:rFonts w:ascii="Arial" w:hAnsi="Arial" w:cs="Arial"/>
        </w:rPr>
      </w:pPr>
    </w:p>
    <w:p w14:paraId="2D0926AC" w14:textId="77777777" w:rsidR="00462C0C" w:rsidRDefault="007E0319">
      <w:pPr>
        <w:pStyle w:val="ReferHead"/>
        <w:spacing w:after="0"/>
        <w:jc w:val="both"/>
        <w:rPr>
          <w:rFonts w:ascii="Arial" w:hAnsi="Arial" w:cs="Arial"/>
          <w:bCs/>
        </w:rPr>
      </w:pPr>
      <w:r>
        <w:rPr>
          <w:rFonts w:ascii="Arial" w:hAnsi="Arial" w:cs="Arial"/>
          <w:bCs/>
        </w:rPr>
        <w:lastRenderedPageBreak/>
        <w:t>Consent (where ever applicable)</w:t>
      </w:r>
    </w:p>
    <w:p w14:paraId="531D6DB9" w14:textId="77777777" w:rsidR="00462C0C" w:rsidRDefault="007E0319">
      <w:pPr>
        <w:pStyle w:val="ReferHead"/>
        <w:spacing w:after="0"/>
        <w:jc w:val="both"/>
        <w:rPr>
          <w:rFonts w:ascii="Arial" w:hAnsi="Arial" w:cs="Arial"/>
          <w:b w:val="0"/>
          <w:caps w:val="0"/>
          <w:sz w:val="20"/>
        </w:rPr>
      </w:pPr>
      <w:r>
        <w:rPr>
          <w:rFonts w:ascii="Arial" w:hAnsi="Arial" w:cs="Arial"/>
          <w:b w:val="0"/>
          <w:caps w:val="0"/>
          <w:sz w:val="20"/>
        </w:rPr>
        <w:t>No consent whatsoever is needed to publish this ar</w:t>
      </w:r>
      <w:r>
        <w:rPr>
          <w:rFonts w:ascii="Arial" w:hAnsi="Arial" w:cs="Arial"/>
          <w:b w:val="0"/>
          <w:caps w:val="0"/>
          <w:sz w:val="20"/>
        </w:rPr>
        <w:t>ticle</w:t>
      </w:r>
    </w:p>
    <w:p w14:paraId="2B0738DC" w14:textId="77777777" w:rsidR="00462C0C" w:rsidRDefault="00462C0C">
      <w:pPr>
        <w:pStyle w:val="ReferHead"/>
        <w:spacing w:after="0"/>
        <w:jc w:val="both"/>
        <w:rPr>
          <w:rFonts w:ascii="Arial" w:hAnsi="Arial" w:cs="Arial"/>
          <w:b w:val="0"/>
          <w:caps w:val="0"/>
          <w:sz w:val="20"/>
        </w:rPr>
      </w:pPr>
    </w:p>
    <w:p w14:paraId="4F1D23EA" w14:textId="77777777" w:rsidR="00462C0C" w:rsidRDefault="00462C0C">
      <w:pPr>
        <w:pStyle w:val="ReferHead"/>
        <w:spacing w:after="0"/>
        <w:jc w:val="both"/>
        <w:rPr>
          <w:rFonts w:ascii="Arial" w:hAnsi="Arial" w:cs="Arial"/>
          <w:b w:val="0"/>
          <w:caps w:val="0"/>
          <w:sz w:val="20"/>
        </w:rPr>
      </w:pPr>
    </w:p>
    <w:p w14:paraId="2BF7B99A" w14:textId="77777777" w:rsidR="00462C0C" w:rsidRDefault="007E0319">
      <w:pPr>
        <w:pStyle w:val="ReferHead"/>
        <w:spacing w:after="0"/>
        <w:jc w:val="both"/>
        <w:rPr>
          <w:rFonts w:ascii="Arial" w:hAnsi="Arial" w:cs="Arial"/>
          <w:bCs/>
        </w:rPr>
      </w:pPr>
      <w:r>
        <w:rPr>
          <w:rFonts w:ascii="Arial" w:hAnsi="Arial" w:cs="Arial"/>
          <w:bCs/>
        </w:rPr>
        <w:t>Ethical approval (where ever applicable)</w:t>
      </w:r>
    </w:p>
    <w:p w14:paraId="59980A82" w14:textId="77777777" w:rsidR="00462C0C" w:rsidRDefault="00462C0C">
      <w:pPr>
        <w:pStyle w:val="ReferHead"/>
        <w:spacing w:after="0"/>
        <w:jc w:val="both"/>
        <w:rPr>
          <w:rFonts w:ascii="Arial" w:hAnsi="Arial" w:cs="Arial"/>
          <w:bCs/>
        </w:rPr>
      </w:pPr>
    </w:p>
    <w:p w14:paraId="38D7F498" w14:textId="77777777" w:rsidR="00462C0C" w:rsidRDefault="007E0319">
      <w:pPr>
        <w:pStyle w:val="ReferHead"/>
        <w:spacing w:after="0"/>
        <w:jc w:val="both"/>
        <w:rPr>
          <w:rFonts w:ascii="Arial" w:hAnsi="Arial" w:cs="Arial"/>
          <w:b w:val="0"/>
          <w:caps w:val="0"/>
          <w:sz w:val="20"/>
          <w:u w:val="single"/>
        </w:rPr>
      </w:pPr>
      <w:r>
        <w:rPr>
          <w:rFonts w:ascii="Arial" w:hAnsi="Arial" w:cs="Arial"/>
          <w:b w:val="0"/>
          <w:caps w:val="0"/>
          <w:sz w:val="20"/>
        </w:rPr>
        <w:t xml:space="preserve">he </w:t>
      </w:r>
      <w:proofErr w:type="gramStart"/>
      <w:r>
        <w:rPr>
          <w:rFonts w:ascii="Arial" w:hAnsi="Arial" w:cs="Arial"/>
          <w:b w:val="0"/>
          <w:caps w:val="0"/>
          <w:sz w:val="20"/>
        </w:rPr>
        <w:t>content</w:t>
      </w:r>
      <w:proofErr w:type="gramEnd"/>
      <w:r>
        <w:rPr>
          <w:rFonts w:ascii="Arial" w:hAnsi="Arial" w:cs="Arial"/>
          <w:b w:val="0"/>
          <w:caps w:val="0"/>
          <w:sz w:val="20"/>
        </w:rPr>
        <w:t xml:space="preserve"> of this work does not require any ethical approval from any body </w:t>
      </w:r>
    </w:p>
    <w:p w14:paraId="4FCF3D1D" w14:textId="77777777" w:rsidR="00462C0C" w:rsidRDefault="00462C0C">
      <w:pPr>
        <w:pStyle w:val="ReferHead"/>
        <w:spacing w:after="0"/>
        <w:jc w:val="both"/>
        <w:rPr>
          <w:rFonts w:ascii="Arial" w:hAnsi="Arial" w:cs="Arial"/>
        </w:rPr>
      </w:pPr>
    </w:p>
    <w:p w14:paraId="5C686FD4" w14:textId="77777777" w:rsidR="00462C0C" w:rsidRDefault="007E0319">
      <w:pPr>
        <w:pStyle w:val="ReferHead"/>
        <w:spacing w:after="0"/>
        <w:jc w:val="both"/>
        <w:rPr>
          <w:rFonts w:ascii="Arial" w:hAnsi="Arial" w:cs="Arial"/>
        </w:rPr>
      </w:pPr>
      <w:r>
        <w:rPr>
          <w:rFonts w:ascii="Arial" w:hAnsi="Arial" w:cs="Arial"/>
        </w:rPr>
        <w:t>References</w:t>
      </w:r>
    </w:p>
    <w:p w14:paraId="2D97003E" w14:textId="77777777" w:rsidR="00462C0C" w:rsidRDefault="00462C0C">
      <w:pPr>
        <w:pStyle w:val="ReferHead"/>
        <w:spacing w:after="0"/>
        <w:jc w:val="both"/>
        <w:rPr>
          <w:rFonts w:ascii="Arial" w:hAnsi="Arial" w:cs="Arial"/>
        </w:rPr>
      </w:pPr>
    </w:p>
    <w:p w14:paraId="14F11767" w14:textId="77777777" w:rsidR="00462C0C" w:rsidRDefault="007E0319">
      <w:pPr>
        <w:pStyle w:val="Body"/>
        <w:spacing w:after="0"/>
        <w:rPr>
          <w:rFonts w:ascii="Arial" w:hAnsi="Arial" w:cs="Arial"/>
        </w:rPr>
      </w:pPr>
      <w:r>
        <w:t xml:space="preserve">References must be listed at the end of the manuscript and numbered in the order that they appear in the text. </w:t>
      </w:r>
      <w:r>
        <w:rPr>
          <w:rFonts w:ascii="Arial" w:hAnsi="Arial" w:cs="Arial"/>
        </w:rPr>
        <w:t>Every</w:t>
      </w:r>
      <w:r>
        <w:rPr>
          <w:rFonts w:ascii="Arial" w:hAnsi="Arial" w:cs="Arial"/>
        </w:rPr>
        <w:t xml:space="preserve"> reference referred in the text must also present in the reference list and vice versa. </w:t>
      </w:r>
      <w:r>
        <w:t xml:space="preserve">In the text, citations should be indicated as </w:t>
      </w:r>
      <w:r>
        <w:rPr>
          <w:b/>
        </w:rPr>
        <w:t>(Author name, year).</w:t>
      </w:r>
      <w:r>
        <w:rPr>
          <w:rFonts w:ascii="Arial" w:hAnsi="Arial" w:cs="Arial"/>
        </w:rPr>
        <w:t xml:space="preserve"> </w:t>
      </w:r>
    </w:p>
    <w:p w14:paraId="001B8BD6" w14:textId="77777777" w:rsidR="00462C0C" w:rsidRDefault="00462C0C">
      <w:pPr>
        <w:pStyle w:val="Body"/>
        <w:spacing w:after="0"/>
        <w:rPr>
          <w:rFonts w:ascii="Arial" w:hAnsi="Arial" w:cs="Arial"/>
        </w:rPr>
      </w:pPr>
    </w:p>
    <w:p w14:paraId="3BD033CF" w14:textId="77777777" w:rsidR="00462C0C" w:rsidRDefault="007E0319">
      <w:pPr>
        <w:pStyle w:val="Body"/>
        <w:spacing w:after="0"/>
        <w:rPr>
          <w:rFonts w:ascii="Arial" w:hAnsi="Arial" w:cs="Arial"/>
          <w:lang w:val="en-GB"/>
        </w:rPr>
      </w:pPr>
      <w:proofErr w:type="spellStart"/>
      <w:r>
        <w:rPr>
          <w:rFonts w:ascii="Arial" w:hAnsi="Arial" w:cs="Arial"/>
          <w:lang w:val="en-GB"/>
        </w:rPr>
        <w:t>Oluwajana</w:t>
      </w:r>
      <w:proofErr w:type="spellEnd"/>
      <w:r>
        <w:rPr>
          <w:rFonts w:ascii="Arial" w:hAnsi="Arial" w:cs="Arial"/>
          <w:lang w:val="en-GB"/>
        </w:rPr>
        <w:t>, O</w:t>
      </w:r>
      <w:r>
        <w:rPr>
          <w:rFonts w:ascii="Arial" w:hAnsi="Arial" w:cs="Arial"/>
        </w:rPr>
        <w:t>.</w:t>
      </w:r>
      <w:r>
        <w:rPr>
          <w:rFonts w:ascii="Arial" w:hAnsi="Arial" w:cs="Arial"/>
          <w:lang w:val="en-GB"/>
        </w:rPr>
        <w:t xml:space="preserve"> A., </w:t>
      </w:r>
      <w:proofErr w:type="spellStart"/>
      <w:r>
        <w:rPr>
          <w:rFonts w:ascii="Arial" w:hAnsi="Arial" w:cs="Arial"/>
          <w:lang w:val="en-GB"/>
        </w:rPr>
        <w:t>Ehinola</w:t>
      </w:r>
      <w:proofErr w:type="spellEnd"/>
      <w:r>
        <w:rPr>
          <w:rFonts w:ascii="Arial" w:hAnsi="Arial" w:cs="Arial"/>
          <w:lang w:val="en-GB"/>
        </w:rPr>
        <w:t>, O</w:t>
      </w:r>
      <w:r>
        <w:rPr>
          <w:rFonts w:ascii="Arial" w:hAnsi="Arial" w:cs="Arial"/>
        </w:rPr>
        <w:t>.</w:t>
      </w:r>
      <w:r>
        <w:rPr>
          <w:rFonts w:ascii="Arial" w:hAnsi="Arial" w:cs="Arial"/>
          <w:lang w:val="en-GB"/>
        </w:rPr>
        <w:t xml:space="preserve"> A., </w:t>
      </w:r>
      <w:proofErr w:type="spellStart"/>
      <w:r>
        <w:rPr>
          <w:rFonts w:ascii="Arial" w:hAnsi="Arial" w:cs="Arial"/>
          <w:lang w:val="en-GB"/>
        </w:rPr>
        <w:t>Okeugo</w:t>
      </w:r>
      <w:proofErr w:type="spellEnd"/>
      <w:r>
        <w:rPr>
          <w:rFonts w:ascii="Arial" w:hAnsi="Arial" w:cs="Arial"/>
          <w:lang w:val="en-GB"/>
        </w:rPr>
        <w:t>, C</w:t>
      </w:r>
      <w:r>
        <w:rPr>
          <w:rFonts w:ascii="Arial" w:hAnsi="Arial" w:cs="Arial"/>
        </w:rPr>
        <w:t xml:space="preserve">. </w:t>
      </w:r>
      <w:r>
        <w:rPr>
          <w:rFonts w:ascii="Arial" w:hAnsi="Arial" w:cs="Arial"/>
          <w:lang w:val="en-GB"/>
        </w:rPr>
        <w:t>G. Adegoke, O</w:t>
      </w:r>
      <w:r>
        <w:rPr>
          <w:rFonts w:ascii="Arial" w:hAnsi="Arial" w:cs="Arial"/>
        </w:rPr>
        <w:t>.</w:t>
      </w:r>
      <w:r>
        <w:rPr>
          <w:rFonts w:ascii="Arial" w:hAnsi="Arial" w:cs="Arial"/>
          <w:lang w:val="en-GB"/>
        </w:rPr>
        <w:t xml:space="preserve"> (2017).</w:t>
      </w:r>
      <w:r>
        <w:rPr>
          <w:rFonts w:ascii="Arial" w:hAnsi="Arial" w:cs="Arial"/>
        </w:rPr>
        <w:t xml:space="preserve"> </w:t>
      </w:r>
      <w:proofErr w:type="spellStart"/>
      <w:r>
        <w:rPr>
          <w:rFonts w:ascii="Arial" w:hAnsi="Arial" w:cs="Arial"/>
          <w:lang w:val="en-GB"/>
        </w:rPr>
        <w:t>Modeling</w:t>
      </w:r>
      <w:proofErr w:type="spellEnd"/>
      <w:r>
        <w:rPr>
          <w:rFonts w:ascii="Arial" w:hAnsi="Arial" w:cs="Arial"/>
          <w:lang w:val="en-GB"/>
        </w:rPr>
        <w:t xml:space="preserve"> hydrocarbon generation</w:t>
      </w:r>
      <w:r>
        <w:rPr>
          <w:rFonts w:ascii="Arial" w:hAnsi="Arial" w:cs="Arial"/>
          <w:lang w:val="en-GB"/>
        </w:rPr>
        <w:t xml:space="preserve"> potentials of Eocene source rocks in the Agbada Formation, Northern Delta </w:t>
      </w:r>
      <w:proofErr w:type="spellStart"/>
      <w:r>
        <w:rPr>
          <w:rFonts w:ascii="Arial" w:hAnsi="Arial" w:cs="Arial"/>
          <w:lang w:val="en-GB"/>
        </w:rPr>
        <w:t>Depobelt</w:t>
      </w:r>
      <w:proofErr w:type="spellEnd"/>
      <w:r>
        <w:rPr>
          <w:rFonts w:ascii="Arial" w:hAnsi="Arial" w:cs="Arial"/>
          <w:lang w:val="en-GB"/>
        </w:rPr>
        <w:t>, Niger Delta Basin, Nigeria</w:t>
      </w:r>
      <w:r>
        <w:rPr>
          <w:rFonts w:ascii="Arial" w:hAnsi="Arial" w:cs="Arial"/>
        </w:rPr>
        <w:t xml:space="preserve">. </w:t>
      </w:r>
      <w:r>
        <w:rPr>
          <w:rFonts w:ascii="Arial" w:hAnsi="Arial" w:cs="Arial"/>
          <w:lang w:val="en-GB"/>
        </w:rPr>
        <w:t xml:space="preserve">Journal of Petroleum Exploration and Production Technology, 7(2):379-388. </w:t>
      </w:r>
      <w:hyperlink r:id="rId23" w:history="1">
        <w:r>
          <w:rPr>
            <w:rFonts w:ascii="Arial" w:hAnsi="Arial" w:cs="Arial"/>
            <w:lang w:val="en-GB"/>
          </w:rPr>
          <w:t>https://doi</w:t>
        </w:r>
        <w:r>
          <w:rPr>
            <w:rFonts w:ascii="Arial" w:hAnsi="Arial" w:cs="Arial"/>
            <w:lang w:val="en-GB"/>
          </w:rPr>
          <w:t>.org/10.1007/s13202-016-0286-y</w:t>
        </w:r>
      </w:hyperlink>
    </w:p>
    <w:p w14:paraId="3D606657" w14:textId="77777777" w:rsidR="00462C0C" w:rsidRDefault="007E0319">
      <w:pPr>
        <w:pStyle w:val="Body"/>
        <w:spacing w:after="0"/>
        <w:rPr>
          <w:rFonts w:ascii="Arial" w:hAnsi="Arial" w:cs="Arial"/>
          <w:lang w:val="en-GB"/>
        </w:rPr>
      </w:pPr>
      <w:proofErr w:type="spellStart"/>
      <w:r>
        <w:rPr>
          <w:rFonts w:ascii="Arial" w:hAnsi="Arial" w:cs="Arial"/>
          <w:lang w:val="en-GB"/>
        </w:rPr>
        <w:t>Etimita</w:t>
      </w:r>
      <w:proofErr w:type="spellEnd"/>
      <w:r>
        <w:rPr>
          <w:rFonts w:ascii="Arial" w:hAnsi="Arial" w:cs="Arial"/>
          <w:lang w:val="en-GB"/>
        </w:rPr>
        <w:t>, O. O.</w:t>
      </w:r>
      <w:proofErr w:type="gramStart"/>
      <w:r>
        <w:rPr>
          <w:rFonts w:ascii="Arial" w:hAnsi="Arial" w:cs="Arial"/>
          <w:lang w:val="en-GB"/>
        </w:rPr>
        <w:t xml:space="preserve">, </w:t>
      </w:r>
      <w:r>
        <w:rPr>
          <w:rFonts w:ascii="Arial" w:hAnsi="Arial" w:cs="Arial"/>
        </w:rPr>
        <w:t xml:space="preserve"> and</w:t>
      </w:r>
      <w:proofErr w:type="gramEnd"/>
      <w:r>
        <w:rPr>
          <w:rFonts w:ascii="Arial" w:hAnsi="Arial" w:cs="Arial"/>
          <w:lang w:val="en-GB"/>
        </w:rPr>
        <w:t xml:space="preserve"> Beka, F. T. (2019). Structural to stratigraphic framework of “</w:t>
      </w:r>
      <w:proofErr w:type="spellStart"/>
      <w:r>
        <w:rPr>
          <w:rFonts w:ascii="Arial" w:hAnsi="Arial" w:cs="Arial"/>
          <w:lang w:val="en-GB"/>
        </w:rPr>
        <w:t>Banghan</w:t>
      </w:r>
      <w:proofErr w:type="spellEnd"/>
      <w:r>
        <w:rPr>
          <w:rFonts w:ascii="Arial" w:hAnsi="Arial" w:cs="Arial"/>
          <w:lang w:val="en-GB"/>
        </w:rPr>
        <w:t xml:space="preserve">” field, onshore Niger Delta, southern Nigeria. Geology, Ecology, and Landscapes, 4(3), 216–221. </w:t>
      </w:r>
      <w:hyperlink r:id="rId24" w:history="1">
        <w:r>
          <w:rPr>
            <w:rFonts w:ascii="Arial" w:hAnsi="Arial" w:cs="Arial"/>
            <w:lang w:val="en-GB"/>
          </w:rPr>
          <w:t>https://doi.org/10.1080/24749508.2019.1616154</w:t>
        </w:r>
      </w:hyperlink>
      <w:r>
        <w:rPr>
          <w:rFonts w:ascii="Arial" w:hAnsi="Arial" w:cs="Arial"/>
        </w:rPr>
        <w:t xml:space="preserve"> </w:t>
      </w:r>
    </w:p>
    <w:p w14:paraId="3642ED2D" w14:textId="77777777" w:rsidR="00462C0C" w:rsidRDefault="007E0319">
      <w:pPr>
        <w:pStyle w:val="Body"/>
        <w:spacing w:after="0"/>
        <w:rPr>
          <w:rFonts w:ascii="Arial" w:hAnsi="Arial" w:cs="Arial"/>
          <w:lang w:val="en-GB"/>
        </w:rPr>
      </w:pPr>
      <w:r>
        <w:rPr>
          <w:rFonts w:ascii="Arial" w:hAnsi="Arial" w:cs="Arial"/>
          <w:lang w:val="en-GB"/>
        </w:rPr>
        <w:t>Hussein, A. (2023). Chapter 1 - Oil and Gas Production Operations and Production Fluids,</w:t>
      </w:r>
      <w:r>
        <w:rPr>
          <w:rFonts w:ascii="Arial" w:hAnsi="Arial" w:cs="Arial"/>
        </w:rPr>
        <w:t xml:space="preserve"> </w:t>
      </w:r>
      <w:r>
        <w:rPr>
          <w:rFonts w:ascii="Arial" w:hAnsi="Arial" w:cs="Arial"/>
          <w:lang w:val="en-GB"/>
        </w:rPr>
        <w:t xml:space="preserve">Essentials of Flow Assurance Solids in Oil and Gas </w:t>
      </w:r>
      <w:r>
        <w:rPr>
          <w:rFonts w:ascii="Arial" w:hAnsi="Arial" w:cs="Arial"/>
          <w:lang w:val="en-GB"/>
        </w:rPr>
        <w:t>Operations, Gulf Professional Publishing,1-52, https://doi.org/10.1016/B978-0-323-99118-6.00012-5.</w:t>
      </w:r>
    </w:p>
    <w:p w14:paraId="40919B75" w14:textId="77777777" w:rsidR="00462C0C" w:rsidRDefault="007E0319">
      <w:pPr>
        <w:pStyle w:val="Body"/>
        <w:spacing w:after="0"/>
        <w:rPr>
          <w:rFonts w:ascii="Arial" w:hAnsi="Arial" w:cs="Arial"/>
          <w:lang w:val="en-GB"/>
        </w:rPr>
      </w:pPr>
      <w:r>
        <w:rPr>
          <w:rFonts w:ascii="Arial" w:hAnsi="Arial" w:cs="Arial"/>
          <w:lang w:val="en-GB"/>
        </w:rPr>
        <w:t>Speight, J.G. and El-Gendy, N. S. (2018): Chapter 4 - Microbial Enhanced Oil Recovery, Introduction to Petroleum Biotechnology, Gulf Professional Publishing,</w:t>
      </w:r>
      <w:r>
        <w:rPr>
          <w:rFonts w:ascii="Arial" w:hAnsi="Arial" w:cs="Arial"/>
          <w:lang w:val="en-GB"/>
        </w:rPr>
        <w:t xml:space="preserve"> p. 103-130, </w:t>
      </w:r>
      <w:hyperlink r:id="rId25" w:history="1">
        <w:r>
          <w:rPr>
            <w:rFonts w:ascii="Arial" w:hAnsi="Arial" w:cs="Arial"/>
            <w:lang w:val="en-GB"/>
          </w:rPr>
          <w:t>https://doi.org/10.1016/B978-0-12-805151-1.00004-7.</w:t>
        </w:r>
      </w:hyperlink>
      <w:r>
        <w:rPr>
          <w:rFonts w:ascii="Arial" w:hAnsi="Arial" w:cs="Arial"/>
        </w:rPr>
        <w:t xml:space="preserve"> </w:t>
      </w:r>
    </w:p>
    <w:p w14:paraId="2D05B59E" w14:textId="77777777" w:rsidR="00462C0C" w:rsidRDefault="007E0319">
      <w:pPr>
        <w:pStyle w:val="Body"/>
        <w:spacing w:after="0"/>
        <w:rPr>
          <w:rFonts w:ascii="Arial" w:hAnsi="Arial" w:cs="Arial"/>
          <w:lang w:val="en-GB"/>
        </w:rPr>
      </w:pPr>
      <w:proofErr w:type="spellStart"/>
      <w:r>
        <w:rPr>
          <w:rFonts w:ascii="Arial" w:hAnsi="Arial" w:cs="Arial"/>
          <w:lang w:val="en-GB"/>
        </w:rPr>
        <w:t>Farahbod</w:t>
      </w:r>
      <w:proofErr w:type="spellEnd"/>
      <w:r>
        <w:rPr>
          <w:rFonts w:ascii="Arial" w:hAnsi="Arial" w:cs="Arial"/>
          <w:lang w:val="en-GB"/>
        </w:rPr>
        <w:t> F.</w:t>
      </w:r>
      <w:r>
        <w:rPr>
          <w:rFonts w:ascii="Arial" w:hAnsi="Arial" w:cs="Arial"/>
        </w:rPr>
        <w:t xml:space="preserve"> </w:t>
      </w:r>
      <w:r>
        <w:rPr>
          <w:rFonts w:ascii="Arial" w:hAnsi="Arial" w:cs="Arial"/>
          <w:lang w:val="en-GB"/>
        </w:rPr>
        <w:t xml:space="preserve">(2024). Simulation study of water and gas injection process into the </w:t>
      </w:r>
      <w:proofErr w:type="spellStart"/>
      <w:r>
        <w:rPr>
          <w:rFonts w:ascii="Arial" w:hAnsi="Arial" w:cs="Arial"/>
          <w:lang w:val="en-GB"/>
        </w:rPr>
        <w:t>Azadegan</w:t>
      </w:r>
      <w:proofErr w:type="spellEnd"/>
      <w:r>
        <w:rPr>
          <w:rFonts w:ascii="Arial" w:hAnsi="Arial" w:cs="Arial"/>
          <w:lang w:val="en-GB"/>
        </w:rPr>
        <w:t xml:space="preserve"> reservoir for enhanced oil recov</w:t>
      </w:r>
      <w:r>
        <w:rPr>
          <w:rFonts w:ascii="Arial" w:hAnsi="Arial" w:cs="Arial"/>
          <w:lang w:val="en-GB"/>
        </w:rPr>
        <w:t>ery. Engineering Reports. 6(2</w:t>
      </w:r>
      <w:proofErr w:type="gramStart"/>
      <w:r>
        <w:rPr>
          <w:rFonts w:ascii="Arial" w:hAnsi="Arial" w:cs="Arial"/>
          <w:lang w:val="en-GB"/>
        </w:rPr>
        <w:t>):e</w:t>
      </w:r>
      <w:proofErr w:type="gramEnd"/>
      <w:r>
        <w:rPr>
          <w:rFonts w:ascii="Arial" w:hAnsi="Arial" w:cs="Arial"/>
          <w:lang w:val="en-GB"/>
        </w:rPr>
        <w:t xml:space="preserve">12709. </w:t>
      </w:r>
      <w:proofErr w:type="spellStart"/>
      <w:r>
        <w:rPr>
          <w:rFonts w:ascii="Arial" w:hAnsi="Arial" w:cs="Arial"/>
          <w:lang w:val="en-GB"/>
        </w:rPr>
        <w:t>doi</w:t>
      </w:r>
      <w:proofErr w:type="spellEnd"/>
      <w:r>
        <w:rPr>
          <w:rFonts w:ascii="Arial" w:hAnsi="Arial" w:cs="Arial"/>
          <w:lang w:val="en-GB"/>
        </w:rPr>
        <w:t>: </w:t>
      </w:r>
      <w:hyperlink r:id="rId26" w:tgtFrame="https://onlinelibrary.wiley.com/action/_blank" w:tooltip="Link to external resource: 10.1002/eng2.12709" w:history="1">
        <w:r>
          <w:rPr>
            <w:rFonts w:ascii="Arial" w:hAnsi="Arial" w:cs="Arial"/>
            <w:lang w:val="en-GB"/>
          </w:rPr>
          <w:t>10.1002/eng2.12709</w:t>
        </w:r>
      </w:hyperlink>
      <w:r>
        <w:rPr>
          <w:rFonts w:ascii="Arial" w:hAnsi="Arial" w:cs="Arial"/>
        </w:rPr>
        <w:t xml:space="preserve"> </w:t>
      </w:r>
    </w:p>
    <w:p w14:paraId="4F152745" w14:textId="77777777" w:rsidR="00462C0C" w:rsidRDefault="007E0319">
      <w:pPr>
        <w:pStyle w:val="Body"/>
        <w:spacing w:after="0"/>
        <w:rPr>
          <w:rFonts w:ascii="Arial" w:hAnsi="Arial" w:cs="Arial"/>
          <w:lang w:val="en-GB"/>
        </w:rPr>
      </w:pPr>
      <w:r>
        <w:rPr>
          <w:rFonts w:ascii="Arial" w:hAnsi="Arial" w:cs="Arial"/>
          <w:lang w:val="en-GB"/>
        </w:rPr>
        <w:t>Archer, J.S. and Wall, C.G. (1986) Petr</w:t>
      </w:r>
      <w:r>
        <w:rPr>
          <w:rFonts w:ascii="Arial" w:hAnsi="Arial" w:cs="Arial"/>
          <w:lang w:val="en-GB"/>
        </w:rPr>
        <w:t>oleum Engineering Principles and Practice. Graham and Trotman.</w:t>
      </w:r>
    </w:p>
    <w:p w14:paraId="799056BB" w14:textId="77777777" w:rsidR="00462C0C" w:rsidRDefault="007E0319">
      <w:pPr>
        <w:pStyle w:val="Body"/>
        <w:spacing w:after="0"/>
        <w:rPr>
          <w:rFonts w:ascii="Arial" w:hAnsi="Arial" w:cs="Arial"/>
          <w:lang w:val="en-GB" w:eastAsia="zh-CN"/>
        </w:rPr>
      </w:pPr>
      <w:r>
        <w:rPr>
          <w:rFonts w:ascii="Arial" w:hAnsi="Arial" w:cs="Arial"/>
          <w:lang w:val="en-GB"/>
        </w:rPr>
        <w:t>Lake,</w:t>
      </w:r>
      <w:r>
        <w:rPr>
          <w:rFonts w:ascii="Arial" w:hAnsi="Arial" w:cs="Arial"/>
        </w:rPr>
        <w:t xml:space="preserve"> L.,</w:t>
      </w:r>
      <w:r>
        <w:rPr>
          <w:rFonts w:ascii="Arial" w:hAnsi="Arial" w:cs="Arial"/>
          <w:lang w:val="en-GB"/>
        </w:rPr>
        <w:t xml:space="preserve"> Johns,</w:t>
      </w:r>
      <w:r>
        <w:rPr>
          <w:rFonts w:ascii="Arial" w:hAnsi="Arial" w:cs="Arial"/>
        </w:rPr>
        <w:t xml:space="preserve"> R. T.</w:t>
      </w:r>
      <w:r>
        <w:rPr>
          <w:rFonts w:ascii="Arial" w:hAnsi="Arial" w:cs="Arial"/>
          <w:lang w:val="en-GB"/>
        </w:rPr>
        <w:t xml:space="preserve"> Rossen,</w:t>
      </w:r>
      <w:r>
        <w:rPr>
          <w:rFonts w:ascii="Arial" w:hAnsi="Arial" w:cs="Arial"/>
        </w:rPr>
        <w:t xml:space="preserve"> W.R. and</w:t>
      </w:r>
      <w:r>
        <w:rPr>
          <w:rFonts w:ascii="Arial" w:hAnsi="Arial" w:cs="Arial"/>
          <w:lang w:val="en-GB"/>
        </w:rPr>
        <w:t xml:space="preserve"> Pope</w:t>
      </w:r>
      <w:r>
        <w:rPr>
          <w:rFonts w:ascii="Arial" w:hAnsi="Arial" w:cs="Arial"/>
        </w:rPr>
        <w:t xml:space="preserve">, G. A. (2014). </w:t>
      </w:r>
      <w:r>
        <w:rPr>
          <w:rFonts w:ascii="Arial" w:hAnsi="Arial" w:cs="Arial"/>
          <w:lang w:val="en-GB"/>
        </w:rPr>
        <w:t xml:space="preserve">Defining Enhanced Oil Recovery", Fundamentals of Enhanced Oil Recovery, </w:t>
      </w:r>
      <w:r>
        <w:rPr>
          <w:rFonts w:ascii="Arial" w:hAnsi="Arial" w:cs="Arial"/>
          <w:lang w:val="en-GB" w:eastAsia="zh-CN"/>
        </w:rPr>
        <w:t>Society of Petroleum Engineers</w:t>
      </w:r>
      <w:r>
        <w:rPr>
          <w:rFonts w:ascii="Arial" w:hAnsi="Arial" w:cs="Arial"/>
          <w:lang w:eastAsia="zh-CN"/>
        </w:rPr>
        <w:t xml:space="preserve"> </w:t>
      </w:r>
      <w:r>
        <w:rPr>
          <w:rFonts w:ascii="Arial" w:hAnsi="Arial" w:cs="Arial"/>
          <w:lang w:val="en-GB" w:eastAsia="zh-CN"/>
        </w:rPr>
        <w:t>DOI: </w:t>
      </w:r>
      <w:hyperlink r:id="rId27" w:tgtFrame="https://onepetro.org/books/book/41/chapter-abstract/10951985/_blank" w:history="1">
        <w:r>
          <w:rPr>
            <w:rFonts w:ascii="Arial" w:hAnsi="Arial" w:cs="Arial"/>
            <w:lang w:val="en-GB"/>
          </w:rPr>
          <w:t>https://doi.org/10.2118/9781613993286</w:t>
        </w:r>
      </w:hyperlink>
    </w:p>
    <w:p w14:paraId="315C4DE1" w14:textId="77777777" w:rsidR="00462C0C" w:rsidRDefault="007E0319">
      <w:pPr>
        <w:pStyle w:val="Body"/>
        <w:spacing w:after="0"/>
        <w:rPr>
          <w:rFonts w:ascii="Arial" w:hAnsi="Arial" w:cs="Arial"/>
          <w:lang w:eastAsia="zh-CN"/>
        </w:rPr>
      </w:pPr>
      <w:proofErr w:type="spellStart"/>
      <w:r>
        <w:rPr>
          <w:rFonts w:ascii="Arial" w:hAnsi="Arial" w:cs="Arial"/>
          <w:lang w:eastAsia="zh-CN"/>
        </w:rPr>
        <w:t>Birarda</w:t>
      </w:r>
      <w:proofErr w:type="spellEnd"/>
      <w:r>
        <w:rPr>
          <w:rFonts w:ascii="Arial" w:hAnsi="Arial" w:cs="Arial"/>
          <w:lang w:eastAsia="zh-CN"/>
        </w:rPr>
        <w:t xml:space="preserve">, G. S., Dilger, </w:t>
      </w:r>
      <w:proofErr w:type="gramStart"/>
      <w:r>
        <w:rPr>
          <w:rFonts w:ascii="Arial" w:hAnsi="Arial" w:cs="Arial"/>
          <w:lang w:eastAsia="zh-CN"/>
        </w:rPr>
        <w:t>C.,&amp;</w:t>
      </w:r>
      <w:proofErr w:type="gramEnd"/>
      <w:r>
        <w:rPr>
          <w:rFonts w:ascii="Arial" w:hAnsi="Arial" w:cs="Arial"/>
          <w:lang w:eastAsia="zh-CN"/>
        </w:rPr>
        <w:t xml:space="preserve"> McIntosh I. (1990). Re-evaluation of the miscible WAG flood in the Caroline Field, Albe</w:t>
      </w:r>
      <w:r>
        <w:rPr>
          <w:rFonts w:ascii="Arial" w:hAnsi="Arial" w:cs="Arial"/>
          <w:lang w:eastAsia="zh-CN"/>
        </w:rPr>
        <w:t xml:space="preserve">rta. SPE Reservoir Eng 5(04):453–8. </w:t>
      </w:r>
    </w:p>
    <w:p w14:paraId="3D2473A6" w14:textId="77777777" w:rsidR="00462C0C" w:rsidRDefault="007E0319">
      <w:pPr>
        <w:pStyle w:val="Body"/>
        <w:spacing w:after="0"/>
        <w:rPr>
          <w:rFonts w:ascii="Arial" w:hAnsi="Arial" w:cs="Arial"/>
          <w:lang w:val="en-GB" w:eastAsia="zh-CN"/>
        </w:rPr>
      </w:pPr>
      <w:r>
        <w:rPr>
          <w:rFonts w:ascii="Arial" w:hAnsi="Arial" w:cs="Arial"/>
          <w:lang w:eastAsia="zh-CN"/>
        </w:rPr>
        <w:t xml:space="preserve">Cuesta J, Merritt </w:t>
      </w:r>
      <w:proofErr w:type="gramStart"/>
      <w:r>
        <w:rPr>
          <w:rFonts w:ascii="Arial" w:hAnsi="Arial" w:cs="Arial"/>
          <w:lang w:eastAsia="zh-CN"/>
        </w:rPr>
        <w:t>G.(</w:t>
      </w:r>
      <w:proofErr w:type="gramEnd"/>
      <w:r>
        <w:rPr>
          <w:rFonts w:ascii="Arial" w:hAnsi="Arial" w:cs="Arial"/>
          <w:lang w:eastAsia="zh-CN"/>
        </w:rPr>
        <w:t xml:space="preserve">1982). Caroline wag project, injectivity and interference test-a field example. J </w:t>
      </w:r>
      <w:proofErr w:type="spellStart"/>
      <w:r>
        <w:rPr>
          <w:rFonts w:ascii="Arial" w:hAnsi="Arial" w:cs="Arial"/>
          <w:lang w:eastAsia="zh-CN"/>
        </w:rPr>
        <w:t>Canad</w:t>
      </w:r>
      <w:proofErr w:type="spellEnd"/>
      <w:r>
        <w:rPr>
          <w:rFonts w:ascii="Arial" w:hAnsi="Arial" w:cs="Arial"/>
          <w:lang w:eastAsia="zh-CN"/>
        </w:rPr>
        <w:t xml:space="preserve"> Petrol Technol. Canadian Inst Mining Metallurgy Petroleum 101 6th Ave </w:t>
      </w:r>
      <w:proofErr w:type="spellStart"/>
      <w:r>
        <w:rPr>
          <w:rFonts w:ascii="Arial" w:hAnsi="Arial" w:cs="Arial"/>
          <w:lang w:eastAsia="zh-CN"/>
        </w:rPr>
        <w:t>Sw</w:t>
      </w:r>
      <w:proofErr w:type="spellEnd"/>
      <w:r>
        <w:rPr>
          <w:rFonts w:ascii="Arial" w:hAnsi="Arial" w:cs="Arial"/>
          <w:lang w:eastAsia="zh-CN"/>
        </w:rPr>
        <w:t xml:space="preserve">, Ste 320, Calgary Ab </w:t>
      </w:r>
      <w:proofErr w:type="spellStart"/>
      <w:r>
        <w:rPr>
          <w:rFonts w:ascii="Arial" w:hAnsi="Arial" w:cs="Arial"/>
          <w:lang w:eastAsia="zh-CN"/>
        </w:rPr>
        <w:t>Tzp</w:t>
      </w:r>
      <w:proofErr w:type="spellEnd"/>
      <w:r>
        <w:rPr>
          <w:rFonts w:ascii="Arial" w:hAnsi="Arial" w:cs="Arial"/>
          <w:lang w:eastAsia="zh-CN"/>
        </w:rPr>
        <w:t xml:space="preserve"> 3p4, Canada;</w:t>
      </w:r>
      <w:r>
        <w:rPr>
          <w:rFonts w:ascii="Arial" w:hAnsi="Arial" w:cs="Arial"/>
          <w:lang w:eastAsia="zh-CN"/>
        </w:rPr>
        <w:t xml:space="preserve"> 1982:33</w:t>
      </w:r>
    </w:p>
    <w:p w14:paraId="3A758903" w14:textId="77777777" w:rsidR="00462C0C" w:rsidRDefault="007E0319">
      <w:pPr>
        <w:pStyle w:val="Body"/>
        <w:spacing w:after="0"/>
        <w:rPr>
          <w:rFonts w:ascii="Arial" w:hAnsi="Arial" w:cs="Arial"/>
          <w:lang w:val="en-GB"/>
        </w:rPr>
      </w:pPr>
      <w:r>
        <w:rPr>
          <w:rFonts w:ascii="Arial" w:hAnsi="Arial" w:cs="Arial"/>
          <w:lang w:val="en-GB"/>
        </w:rPr>
        <w:t>Kumar,</w:t>
      </w:r>
      <w:r>
        <w:rPr>
          <w:rFonts w:ascii="Arial" w:hAnsi="Arial" w:cs="Arial"/>
        </w:rPr>
        <w:t xml:space="preserve"> S.</w:t>
      </w:r>
      <w:r>
        <w:rPr>
          <w:rFonts w:ascii="Arial" w:hAnsi="Arial" w:cs="Arial"/>
          <w:lang w:val="en-GB"/>
        </w:rPr>
        <w:t xml:space="preserve"> </w:t>
      </w:r>
      <w:r>
        <w:rPr>
          <w:rFonts w:ascii="Arial" w:hAnsi="Arial" w:cs="Arial"/>
        </w:rPr>
        <w:t xml:space="preserve">and </w:t>
      </w:r>
      <w:r>
        <w:rPr>
          <w:rFonts w:ascii="Arial" w:hAnsi="Arial" w:cs="Arial"/>
          <w:lang w:val="en-GB"/>
        </w:rPr>
        <w:t>Mandal,</w:t>
      </w:r>
      <w:r>
        <w:rPr>
          <w:rFonts w:ascii="Arial" w:hAnsi="Arial" w:cs="Arial"/>
        </w:rPr>
        <w:t xml:space="preserve"> A. (2017). </w:t>
      </w:r>
      <w:r>
        <w:rPr>
          <w:rFonts w:ascii="Arial" w:hAnsi="Arial" w:cs="Arial"/>
          <w:lang w:val="en-GB"/>
        </w:rPr>
        <w:t>A comprehensive review on chemically enhanced water alternating gas/CO2 (CEWAG) injection for enhanced oil recovery,</w:t>
      </w:r>
      <w:r>
        <w:rPr>
          <w:rFonts w:ascii="Arial" w:hAnsi="Arial" w:cs="Arial"/>
        </w:rPr>
        <w:t xml:space="preserve"> </w:t>
      </w:r>
      <w:r>
        <w:rPr>
          <w:rFonts w:ascii="Arial" w:hAnsi="Arial" w:cs="Arial"/>
          <w:lang w:val="en-GB"/>
        </w:rPr>
        <w:t>Journal of Petroleum Science and Engineering, 157</w:t>
      </w:r>
      <w:r>
        <w:rPr>
          <w:rFonts w:ascii="Arial" w:hAnsi="Arial" w:cs="Arial"/>
        </w:rPr>
        <w:t xml:space="preserve">: 696-715. </w:t>
      </w:r>
      <w:hyperlink r:id="rId28" w:history="1">
        <w:r>
          <w:rPr>
            <w:rFonts w:ascii="Arial" w:hAnsi="Arial" w:cs="Arial"/>
            <w:lang w:val="en-GB"/>
          </w:rPr>
          <w:t>https://doi.org/10.1016/j.petrol.2017.07.066.</w:t>
        </w:r>
      </w:hyperlink>
    </w:p>
    <w:p w14:paraId="4A160C89" w14:textId="77777777" w:rsidR="00462C0C" w:rsidRDefault="007E0319">
      <w:pPr>
        <w:pStyle w:val="Body"/>
        <w:spacing w:after="0"/>
        <w:rPr>
          <w:rFonts w:ascii="Arial" w:hAnsi="Arial" w:cs="Arial"/>
        </w:rPr>
      </w:pPr>
      <w:r>
        <w:rPr>
          <w:rFonts w:ascii="Arial" w:hAnsi="Arial" w:cs="Arial"/>
          <w:lang w:val="en-GB"/>
        </w:rPr>
        <w:t xml:space="preserve">Afzali, S., Rezaei, N and </w:t>
      </w:r>
      <w:proofErr w:type="spellStart"/>
      <w:r>
        <w:rPr>
          <w:rFonts w:ascii="Arial" w:hAnsi="Arial" w:cs="Arial"/>
          <w:lang w:val="en-GB"/>
        </w:rPr>
        <w:t>Zendehboudi</w:t>
      </w:r>
      <w:proofErr w:type="spellEnd"/>
      <w:r>
        <w:rPr>
          <w:rFonts w:ascii="Arial" w:hAnsi="Arial" w:cs="Arial"/>
          <w:lang w:val="en-GB"/>
        </w:rPr>
        <w:t xml:space="preserve">, S. (2018). A comprehensive review on Enhanced Oil Recovery by Water Alternating Gas (WAG) injection, Fuel, 227: 218-246, </w:t>
      </w:r>
      <w:hyperlink r:id="rId29" w:history="1">
        <w:r>
          <w:rPr>
            <w:rFonts w:ascii="Arial" w:hAnsi="Arial" w:cs="Arial"/>
            <w:lang w:val="en-GB"/>
          </w:rPr>
          <w:t>https://doi.org/10.1016/j.fuel.2018.04.015.</w:t>
        </w:r>
      </w:hyperlink>
      <w:r>
        <w:rPr>
          <w:rFonts w:ascii="Arial" w:hAnsi="Arial" w:cs="Arial"/>
        </w:rPr>
        <w:t xml:space="preserve"> </w:t>
      </w:r>
    </w:p>
    <w:p w14:paraId="4AEBB272" w14:textId="77777777" w:rsidR="00462C0C" w:rsidRDefault="007E0319">
      <w:pPr>
        <w:pStyle w:val="Body"/>
        <w:spacing w:after="0"/>
        <w:rPr>
          <w:rFonts w:ascii="Arial" w:hAnsi="Arial" w:cs="Arial"/>
        </w:rPr>
      </w:pPr>
      <w:r>
        <w:rPr>
          <w:rFonts w:ascii="Arial" w:hAnsi="Arial" w:cs="Arial"/>
          <w:lang w:eastAsia="zh-CN"/>
        </w:rPr>
        <w:t xml:space="preserve">Holm </w:t>
      </w:r>
      <w:proofErr w:type="gramStart"/>
      <w:r>
        <w:rPr>
          <w:rFonts w:ascii="Arial" w:hAnsi="Arial" w:cs="Arial"/>
          <w:lang w:eastAsia="zh-CN"/>
        </w:rPr>
        <w:t>L.(</w:t>
      </w:r>
      <w:proofErr w:type="gramEnd"/>
      <w:r>
        <w:rPr>
          <w:rFonts w:ascii="Arial" w:hAnsi="Arial" w:cs="Arial"/>
          <w:lang w:eastAsia="zh-CN"/>
        </w:rPr>
        <w:t xml:space="preserve">1972). Propane-gas-water miscible floods in watered-out areas of the </w:t>
      </w:r>
      <w:proofErr w:type="spellStart"/>
      <w:r>
        <w:rPr>
          <w:rFonts w:ascii="Arial" w:hAnsi="Arial" w:cs="Arial"/>
          <w:lang w:eastAsia="zh-CN"/>
        </w:rPr>
        <w:t>adena</w:t>
      </w:r>
      <w:proofErr w:type="spellEnd"/>
      <w:r>
        <w:rPr>
          <w:rFonts w:ascii="Arial" w:hAnsi="Arial" w:cs="Arial"/>
          <w:lang w:eastAsia="zh-CN"/>
        </w:rPr>
        <w:t xml:space="preserve"> field, Colorado. J Petrol Technol 24(10). 1264–170. </w:t>
      </w:r>
    </w:p>
    <w:p w14:paraId="4F298E9D" w14:textId="77777777" w:rsidR="00462C0C" w:rsidRDefault="007E0319">
      <w:pPr>
        <w:pStyle w:val="Body"/>
        <w:spacing w:after="0"/>
        <w:rPr>
          <w:rFonts w:ascii="Arial" w:hAnsi="Arial" w:cs="Arial"/>
        </w:rPr>
      </w:pPr>
      <w:r>
        <w:rPr>
          <w:rFonts w:ascii="Arial" w:hAnsi="Arial" w:cs="Arial"/>
          <w:lang w:eastAsia="zh-CN"/>
        </w:rPr>
        <w:t>Moffitt P., &amp; Zor</w:t>
      </w:r>
      <w:r>
        <w:rPr>
          <w:rFonts w:ascii="Arial" w:hAnsi="Arial" w:cs="Arial"/>
          <w:lang w:eastAsia="zh-CN"/>
        </w:rPr>
        <w:t xml:space="preserve">nes D. (1992). Postmortem analysis: lick creek </w:t>
      </w:r>
      <w:proofErr w:type="spellStart"/>
      <w:r>
        <w:rPr>
          <w:rFonts w:ascii="Arial" w:hAnsi="Arial" w:cs="Arial"/>
          <w:lang w:eastAsia="zh-CN"/>
        </w:rPr>
        <w:t>meakin</w:t>
      </w:r>
      <w:proofErr w:type="spellEnd"/>
      <w:r>
        <w:rPr>
          <w:rFonts w:ascii="Arial" w:hAnsi="Arial" w:cs="Arial"/>
          <w:lang w:eastAsia="zh-CN"/>
        </w:rPr>
        <w:t xml:space="preserve"> sand unit immiscible CO2 waterflood project. SPE Annual technical conference and exhibition. Society of Petroleum Engineer. </w:t>
      </w:r>
    </w:p>
    <w:p w14:paraId="0850F6A7" w14:textId="77777777" w:rsidR="00462C0C" w:rsidRDefault="007E0319">
      <w:pPr>
        <w:pStyle w:val="Body"/>
        <w:spacing w:after="0"/>
        <w:rPr>
          <w:rFonts w:ascii="Arial" w:hAnsi="Arial" w:cs="Arial"/>
          <w:lang w:val="en-GB"/>
        </w:rPr>
      </w:pPr>
      <w:r>
        <w:rPr>
          <w:rFonts w:ascii="Arial" w:hAnsi="Arial" w:cs="Arial"/>
          <w:lang w:eastAsia="zh-CN"/>
        </w:rPr>
        <w:t>Watts, R. J., Conner, W. D., Wasson. J. A. &amp; Yost, A. B. (1982). CO2 injectio</w:t>
      </w:r>
      <w:r>
        <w:rPr>
          <w:rFonts w:ascii="Arial" w:hAnsi="Arial" w:cs="Arial"/>
          <w:lang w:eastAsia="zh-CN"/>
        </w:rPr>
        <w:t>n for tertiary oil recovery, Granny's Creek Field, Clay County, West Virginia. SPE enhanced oil recovery symposium. Society of Petroleum Engineers</w:t>
      </w:r>
      <w:r>
        <w:rPr>
          <w:rFonts w:ascii="Arial" w:hAnsi="Arial" w:cs="Arial"/>
        </w:rPr>
        <w:t xml:space="preserve"> </w:t>
      </w:r>
    </w:p>
    <w:p w14:paraId="25132170" w14:textId="77777777" w:rsidR="00462C0C" w:rsidRDefault="007E0319">
      <w:pPr>
        <w:pStyle w:val="Body"/>
        <w:spacing w:after="0"/>
        <w:rPr>
          <w:rFonts w:ascii="Arial" w:hAnsi="Arial" w:cs="Arial"/>
        </w:rPr>
      </w:pPr>
      <w:r>
        <w:rPr>
          <w:rFonts w:ascii="Arial" w:hAnsi="Arial" w:cs="Arial"/>
          <w:lang w:val="en-GB"/>
        </w:rPr>
        <w:t>Abdullah, N., Hasan, N. (2021). The implementation of Water Alternating (WAG) injection to obtain optimum re</w:t>
      </w:r>
      <w:r>
        <w:rPr>
          <w:rFonts w:ascii="Arial" w:hAnsi="Arial" w:cs="Arial"/>
          <w:lang w:val="en-GB"/>
        </w:rPr>
        <w:t xml:space="preserve">covery in Cornea Field, Australia. J Petrol </w:t>
      </w:r>
      <w:proofErr w:type="spellStart"/>
      <w:r>
        <w:rPr>
          <w:rFonts w:ascii="Arial" w:hAnsi="Arial" w:cs="Arial"/>
          <w:lang w:val="en-GB"/>
        </w:rPr>
        <w:t>Explor</w:t>
      </w:r>
      <w:proofErr w:type="spellEnd"/>
      <w:r>
        <w:rPr>
          <w:rFonts w:ascii="Arial" w:hAnsi="Arial" w:cs="Arial"/>
          <w:lang w:val="en-GB"/>
        </w:rPr>
        <w:t xml:space="preserve"> Prod </w:t>
      </w:r>
      <w:proofErr w:type="spellStart"/>
      <w:r>
        <w:rPr>
          <w:rFonts w:ascii="Arial" w:hAnsi="Arial" w:cs="Arial"/>
          <w:lang w:val="en-GB"/>
        </w:rPr>
        <w:t>Technol</w:t>
      </w:r>
      <w:proofErr w:type="spellEnd"/>
      <w:r>
        <w:rPr>
          <w:rFonts w:ascii="Arial" w:hAnsi="Arial" w:cs="Arial"/>
          <w:lang w:val="en-GB"/>
        </w:rPr>
        <w:t xml:space="preserve"> 11, 1475–1485.  </w:t>
      </w:r>
      <w:hyperlink r:id="rId30" w:history="1">
        <w:r>
          <w:rPr>
            <w:rFonts w:ascii="Arial" w:hAnsi="Arial" w:cs="Arial"/>
            <w:lang w:val="en-GB"/>
          </w:rPr>
          <w:t>https://doi.org/10.1007/s13202-021-01103-7</w:t>
        </w:r>
      </w:hyperlink>
      <w:r>
        <w:rPr>
          <w:rFonts w:ascii="Arial" w:hAnsi="Arial" w:cs="Arial"/>
        </w:rPr>
        <w:t xml:space="preserve"> </w:t>
      </w:r>
    </w:p>
    <w:p w14:paraId="69F68513" w14:textId="77777777" w:rsidR="00462C0C" w:rsidRDefault="007E0319">
      <w:pPr>
        <w:pStyle w:val="Body"/>
        <w:spacing w:after="0"/>
        <w:rPr>
          <w:rFonts w:ascii="Arial" w:hAnsi="Arial" w:cs="Arial"/>
          <w:lang w:val="en-GB" w:eastAsia="zh-CN"/>
        </w:rPr>
      </w:pPr>
      <w:r>
        <w:rPr>
          <w:rFonts w:ascii="Arial" w:hAnsi="Arial" w:cs="Arial"/>
          <w:lang w:val="en-GB" w:eastAsia="zh-CN"/>
        </w:rPr>
        <w:t xml:space="preserve">Chen S, Li H, Yang D, </w:t>
      </w:r>
      <w:proofErr w:type="spellStart"/>
      <w:r>
        <w:rPr>
          <w:rFonts w:ascii="Arial" w:hAnsi="Arial" w:cs="Arial"/>
          <w:lang w:val="en-GB" w:eastAsia="zh-CN"/>
        </w:rPr>
        <w:t>Tontiwachwuthikul</w:t>
      </w:r>
      <w:proofErr w:type="spellEnd"/>
      <w:r>
        <w:rPr>
          <w:rFonts w:ascii="Arial" w:hAnsi="Arial" w:cs="Arial"/>
          <w:lang w:val="en-GB" w:eastAsia="zh-CN"/>
        </w:rPr>
        <w:t xml:space="preserve"> P.</w:t>
      </w:r>
      <w:r>
        <w:rPr>
          <w:rFonts w:ascii="Arial" w:hAnsi="Arial" w:cs="Arial"/>
          <w:lang w:eastAsia="zh-CN"/>
        </w:rPr>
        <w:t xml:space="preserve"> (2010).</w:t>
      </w:r>
      <w:r>
        <w:rPr>
          <w:rFonts w:ascii="Arial" w:hAnsi="Arial" w:cs="Arial"/>
          <w:lang w:val="en-GB" w:eastAsia="zh-CN"/>
        </w:rPr>
        <w:t xml:space="preserve"> Optimal parametric des</w:t>
      </w:r>
      <w:r>
        <w:rPr>
          <w:rFonts w:ascii="Arial" w:hAnsi="Arial" w:cs="Arial"/>
          <w:lang w:val="en-GB" w:eastAsia="zh-CN"/>
        </w:rPr>
        <w:t>ign for water</w:t>
      </w:r>
      <w:r>
        <w:rPr>
          <w:rFonts w:ascii="Arial" w:hAnsi="Arial" w:cs="Arial"/>
          <w:lang w:eastAsia="zh-CN"/>
        </w:rPr>
        <w:t xml:space="preserve"> </w:t>
      </w:r>
      <w:r>
        <w:rPr>
          <w:rFonts w:ascii="Arial" w:hAnsi="Arial" w:cs="Arial"/>
          <w:lang w:val="en-GB" w:eastAsia="zh-CN"/>
        </w:rPr>
        <w:t>alternating-gas (WAG) process in a CO2-miscible flooding reservoir. J Can Pet</w:t>
      </w:r>
      <w:r>
        <w:rPr>
          <w:rFonts w:ascii="Arial" w:hAnsi="Arial" w:cs="Arial"/>
          <w:lang w:eastAsia="zh-CN"/>
        </w:rPr>
        <w:t>.</w:t>
      </w:r>
      <w:r>
        <w:rPr>
          <w:rFonts w:ascii="Arial" w:hAnsi="Arial" w:cs="Arial"/>
          <w:lang w:val="en-GB" w:eastAsia="zh-CN"/>
        </w:rPr>
        <w:t>Techno</w:t>
      </w:r>
      <w:r>
        <w:rPr>
          <w:rFonts w:ascii="Arial" w:hAnsi="Arial" w:cs="Arial"/>
          <w:lang w:eastAsia="zh-CN"/>
        </w:rPr>
        <w:t>,</w:t>
      </w:r>
      <w:r>
        <w:rPr>
          <w:rFonts w:ascii="Arial" w:hAnsi="Arial" w:cs="Arial"/>
          <w:lang w:val="en-GB" w:eastAsia="zh-CN"/>
        </w:rPr>
        <w:t>49(10):75–82.</w:t>
      </w:r>
    </w:p>
    <w:p w14:paraId="315C1D5E" w14:textId="77777777" w:rsidR="00462C0C" w:rsidRDefault="007E0319">
      <w:pPr>
        <w:pStyle w:val="Body"/>
        <w:spacing w:after="0"/>
        <w:rPr>
          <w:rFonts w:ascii="Arial" w:hAnsi="Arial" w:cs="Arial"/>
          <w:lang w:val="en-GB" w:eastAsia="zh-CN"/>
        </w:rPr>
      </w:pPr>
      <w:r>
        <w:rPr>
          <w:rFonts w:ascii="Arial" w:hAnsi="Arial" w:cs="Arial"/>
          <w:lang w:eastAsia="zh-CN"/>
        </w:rPr>
        <w:t>Kulkarni M &amp; Rao D. (2004): Experimental investigation of various methods of tertiary gas injection. SPE annual technical conference and exhibi</w:t>
      </w:r>
      <w:r>
        <w:rPr>
          <w:rFonts w:ascii="Arial" w:hAnsi="Arial" w:cs="Arial"/>
          <w:lang w:eastAsia="zh-CN"/>
        </w:rPr>
        <w:t>tion. Society of Petroleum Engineers; 2004.</w:t>
      </w:r>
    </w:p>
    <w:p w14:paraId="35DF7577" w14:textId="77777777" w:rsidR="00462C0C" w:rsidRDefault="007E0319">
      <w:pPr>
        <w:pStyle w:val="Body"/>
        <w:spacing w:after="0"/>
        <w:rPr>
          <w:rFonts w:ascii="Arial" w:hAnsi="Arial" w:cs="Arial"/>
          <w:lang w:val="en-GB"/>
        </w:rPr>
      </w:pPr>
      <w:r>
        <w:rPr>
          <w:rFonts w:ascii="Arial" w:hAnsi="Arial" w:cs="Arial"/>
          <w:lang w:val="en-GB"/>
        </w:rPr>
        <w:t xml:space="preserve">Ahmed, T. and Meehan, D. N (2012). Chapter 4 - Performance of Oil Reservoirs, Advanced Reservoir Management and Engineering (Second Edition), Gulf Professional Publishing, 433-483, </w:t>
      </w:r>
      <w:hyperlink r:id="rId31" w:history="1">
        <w:r>
          <w:rPr>
            <w:rFonts w:ascii="Arial" w:hAnsi="Arial" w:cs="Arial"/>
            <w:lang w:val="en-GB"/>
          </w:rPr>
          <w:t>https://doi.org/10.1016/B978-0-12-385548-0.00004-X</w:t>
        </w:r>
      </w:hyperlink>
      <w:r>
        <w:rPr>
          <w:rFonts w:ascii="Arial" w:hAnsi="Arial" w:cs="Arial"/>
        </w:rPr>
        <w:t xml:space="preserve"> </w:t>
      </w:r>
      <w:r>
        <w:rPr>
          <w:rFonts w:ascii="Arial" w:hAnsi="Arial" w:cs="Arial"/>
          <w:lang w:val="en-GB"/>
        </w:rPr>
        <w:t xml:space="preserve"> </w:t>
      </w:r>
    </w:p>
    <w:p w14:paraId="58AA39A9" w14:textId="77777777" w:rsidR="00462C0C" w:rsidRDefault="007E0319">
      <w:pPr>
        <w:pStyle w:val="Body"/>
        <w:spacing w:after="0"/>
        <w:rPr>
          <w:rFonts w:ascii="Arial" w:hAnsi="Arial" w:cs="Arial"/>
          <w:lang w:val="en-GB"/>
        </w:rPr>
      </w:pPr>
      <w:proofErr w:type="spellStart"/>
      <w:r>
        <w:rPr>
          <w:rFonts w:ascii="Arial" w:hAnsi="Arial" w:cs="Arial"/>
        </w:rPr>
        <w:t>Inaloo</w:t>
      </w:r>
      <w:proofErr w:type="spellEnd"/>
      <w:r>
        <w:rPr>
          <w:rFonts w:ascii="Arial" w:hAnsi="Arial" w:cs="Arial"/>
        </w:rPr>
        <w:t xml:space="preserve">, M.B., Jafari, F. &amp; </w:t>
      </w:r>
      <w:proofErr w:type="spellStart"/>
      <w:r>
        <w:rPr>
          <w:rFonts w:ascii="Arial" w:hAnsi="Arial" w:cs="Arial"/>
        </w:rPr>
        <w:t>Helalizadeh</w:t>
      </w:r>
      <w:proofErr w:type="spellEnd"/>
      <w:r>
        <w:rPr>
          <w:rFonts w:ascii="Arial" w:hAnsi="Arial" w:cs="Arial"/>
        </w:rPr>
        <w:t xml:space="preserve">, A. (2014). Comparison of water flooding, gas injection and WAG injection scenarios performance in a </w:t>
      </w:r>
      <w:proofErr w:type="gramStart"/>
      <w:r>
        <w:rPr>
          <w:rFonts w:ascii="Arial" w:hAnsi="Arial" w:cs="Arial"/>
        </w:rPr>
        <w:t>five spot</w:t>
      </w:r>
      <w:proofErr w:type="gramEnd"/>
      <w:r>
        <w:rPr>
          <w:rFonts w:ascii="Arial" w:hAnsi="Arial" w:cs="Arial"/>
        </w:rPr>
        <w:t xml:space="preserve"> pattern. World Ap</w:t>
      </w:r>
      <w:r>
        <w:rPr>
          <w:rFonts w:ascii="Arial" w:hAnsi="Arial" w:cs="Arial"/>
        </w:rPr>
        <w:t xml:space="preserve">plied Sciences Journal. 31: 96-103. 10.5829/idosi.wasj.2014.31.01.1881.  </w:t>
      </w:r>
    </w:p>
    <w:p w14:paraId="1572E3A9" w14:textId="77777777" w:rsidR="00462C0C" w:rsidRDefault="00462C0C">
      <w:pPr>
        <w:pStyle w:val="Body"/>
        <w:spacing w:after="0"/>
        <w:rPr>
          <w:rFonts w:ascii="Arial" w:hAnsi="Arial" w:cs="Arial"/>
        </w:rPr>
      </w:pPr>
    </w:p>
    <w:p w14:paraId="73948702" w14:textId="77777777" w:rsidR="00462C0C" w:rsidRDefault="00462C0C">
      <w:pPr>
        <w:pStyle w:val="Body"/>
        <w:spacing w:after="0"/>
        <w:rPr>
          <w:rFonts w:ascii="Arial" w:hAnsi="Arial" w:cs="Arial"/>
        </w:rPr>
      </w:pPr>
    </w:p>
    <w:sectPr w:rsidR="00462C0C" w:rsidSect="0086421A">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3AF8F" w14:textId="77777777" w:rsidR="007E0319" w:rsidRDefault="007E0319">
      <w:r>
        <w:separator/>
      </w:r>
    </w:p>
  </w:endnote>
  <w:endnote w:type="continuationSeparator" w:id="0">
    <w:p w14:paraId="543846EE" w14:textId="77777777" w:rsidR="007E0319" w:rsidRDefault="007E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C504" w14:textId="77777777" w:rsidR="0086421A" w:rsidRDefault="00864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A81C" w14:textId="77777777" w:rsidR="0086421A" w:rsidRDefault="00864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023F" w14:textId="492C89A9" w:rsidR="00462C0C" w:rsidRPr="0086421A" w:rsidRDefault="00462C0C" w:rsidP="0086421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BB8A" w14:textId="77777777" w:rsidR="00462C0C" w:rsidRDefault="0046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85AD6" w14:textId="77777777" w:rsidR="007E0319" w:rsidRDefault="007E0319">
      <w:r>
        <w:separator/>
      </w:r>
    </w:p>
  </w:footnote>
  <w:footnote w:type="continuationSeparator" w:id="0">
    <w:p w14:paraId="7F92DA17" w14:textId="77777777" w:rsidR="007E0319" w:rsidRDefault="007E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1111" w14:textId="02807F87" w:rsidR="0086421A" w:rsidRDefault="0086421A">
    <w:pPr>
      <w:pStyle w:val="Header"/>
    </w:pPr>
    <w:r>
      <w:rPr>
        <w:noProof/>
      </w:rPr>
      <w:pict w14:anchorId="4E007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1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BD82" w14:textId="7BBA5EB8" w:rsidR="0086421A" w:rsidRDefault="0086421A">
    <w:pPr>
      <w:pStyle w:val="Header"/>
    </w:pPr>
    <w:r>
      <w:rPr>
        <w:noProof/>
      </w:rPr>
      <w:pict w14:anchorId="2E869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205A" w14:textId="1C27C678" w:rsidR="00462C0C" w:rsidRDefault="0086421A">
    <w:pPr>
      <w:ind w:left="2160"/>
      <w:jc w:val="center"/>
      <w:rPr>
        <w:rFonts w:ascii="Times New Roman" w:eastAsia="Calibri" w:hAnsi="Times New Roman"/>
        <w:i/>
        <w:sz w:val="18"/>
        <w:szCs w:val="22"/>
      </w:rPr>
    </w:pPr>
    <w:r>
      <w:rPr>
        <w:noProof/>
      </w:rPr>
      <w:pict w14:anchorId="103D5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1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C9B2044" w14:textId="77777777" w:rsidR="00462C0C" w:rsidRDefault="007E031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631CF68" w14:textId="77777777" w:rsidR="00462C0C" w:rsidRDefault="007E0319">
    <w:pPr>
      <w:jc w:val="center"/>
      <w:rPr>
        <w:rFonts w:ascii="Times New Roman" w:eastAsia="Calibri" w:hAnsi="Times New Roman"/>
        <w:i/>
        <w:sz w:val="18"/>
        <w:szCs w:val="22"/>
      </w:rPr>
    </w:pPr>
    <w:r>
      <w:rPr>
        <w:rFonts w:ascii="Times New Roman" w:eastAsia="Calibri" w:hAnsi="Times New Roman"/>
        <w:i/>
        <w:sz w:val="18"/>
        <w:szCs w:val="22"/>
      </w:rPr>
      <w:t>.</w:t>
    </w:r>
  </w:p>
  <w:p w14:paraId="1FEEA89E" w14:textId="77777777" w:rsidR="00462C0C" w:rsidRDefault="007E031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1C77517" w14:textId="77777777" w:rsidR="00462C0C" w:rsidRDefault="007E031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BE3B5F7" w14:textId="77777777" w:rsidR="00462C0C" w:rsidRDefault="007E031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9C8B0ED" w14:textId="77777777" w:rsidR="00462C0C" w:rsidRDefault="007E031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2661" w14:textId="708CD3D9" w:rsidR="0086421A" w:rsidRDefault="0086421A">
    <w:pPr>
      <w:pStyle w:val="Header"/>
    </w:pPr>
    <w:r>
      <w:rPr>
        <w:noProof/>
      </w:rPr>
      <w:pict w14:anchorId="123AB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313A" w14:textId="0851C0D5" w:rsidR="0086421A" w:rsidRDefault="0086421A">
    <w:pPr>
      <w:pStyle w:val="Header"/>
    </w:pPr>
    <w:r>
      <w:rPr>
        <w:noProof/>
      </w:rPr>
      <w:pict w14:anchorId="20DAE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558F" w14:textId="5F2D8C99" w:rsidR="0086421A" w:rsidRDefault="0086421A">
    <w:pPr>
      <w:pStyle w:val="Header"/>
    </w:pPr>
    <w:r>
      <w:rPr>
        <w:noProof/>
      </w:rPr>
      <w:pict w14:anchorId="04B99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48522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CD5B89"/>
    <w:multiLevelType w:val="singleLevel"/>
    <w:tmpl w:val="A2CD5B89"/>
    <w:lvl w:ilvl="0">
      <w:start w:val="1"/>
      <w:numFmt w:val="decimal"/>
      <w:suff w:val="space"/>
      <w:lvlText w:val="%1."/>
      <w:lvlJc w:val="left"/>
    </w:lvl>
  </w:abstractNum>
  <w:abstractNum w:abstractNumId="1" w15:restartNumberingAfterBreak="0">
    <w:nsid w:val="F792A929"/>
    <w:multiLevelType w:val="singleLevel"/>
    <w:tmpl w:val="F792A929"/>
    <w:lvl w:ilvl="0">
      <w:start w:val="1"/>
      <w:numFmt w:val="lowerLetter"/>
      <w:suff w:val="space"/>
      <w:lvlText w:val="(%1)"/>
      <w:lvlJc w:val="left"/>
      <w:pPr>
        <w:ind w:left="1650" w:firstLine="0"/>
      </w:pPr>
    </w:lvl>
  </w:abstractNum>
  <w:abstractNum w:abstractNumId="2" w15:restartNumberingAfterBreak="0">
    <w:nsid w:val="6BBF5E8B"/>
    <w:multiLevelType w:val="multilevel"/>
    <w:tmpl w:val="6BBF5E8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441"/>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2C0C"/>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3DE6"/>
    <w:rsid w:val="007369E6"/>
    <w:rsid w:val="00746E59"/>
    <w:rsid w:val="00754C9A"/>
    <w:rsid w:val="0075599A"/>
    <w:rsid w:val="00761D52"/>
    <w:rsid w:val="0077749E"/>
    <w:rsid w:val="00790ADA"/>
    <w:rsid w:val="007D2288"/>
    <w:rsid w:val="007E0319"/>
    <w:rsid w:val="007E088F"/>
    <w:rsid w:val="007F7B32"/>
    <w:rsid w:val="00804BC2"/>
    <w:rsid w:val="0081431A"/>
    <w:rsid w:val="0083216F"/>
    <w:rsid w:val="00860000"/>
    <w:rsid w:val="00863BD3"/>
    <w:rsid w:val="008641ED"/>
    <w:rsid w:val="0086421A"/>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75B"/>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7F54"/>
    <w:rsid w:val="00C70F1B"/>
    <w:rsid w:val="00C71A47"/>
    <w:rsid w:val="00C7464C"/>
    <w:rsid w:val="00C85588"/>
    <w:rsid w:val="00CD6755"/>
    <w:rsid w:val="00CD6856"/>
    <w:rsid w:val="00CE0089"/>
    <w:rsid w:val="00CE793C"/>
    <w:rsid w:val="00CF193C"/>
    <w:rsid w:val="00D173F1"/>
    <w:rsid w:val="00D6747D"/>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538230F5"/>
    <w:rsid w:val="7895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70E5872E"/>
  <w15:docId w15:val="{0A273075-D829-4217-811C-580C1A20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qFormat/>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doi.org/10.1002/eng2.12709" TargetMode="External"/><Relationship Id="rId21" Type="http://schemas.openxmlformats.org/officeDocument/2006/relationships/image" Target="media/image7.png"/><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1016/B978-0-12-805151-1.00004-7."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doi.org/10.1016/j.fuel.2018.04.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80/24749508.2019.1616154"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1007/s13202-016-0286-y" TargetMode="External"/><Relationship Id="rId28" Type="http://schemas.openxmlformats.org/officeDocument/2006/relationships/hyperlink" Target="https://doi.org/10.1016/j.petrol.2017.07.066."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s://doi.org/10.1016/B978-0-12-385548-0.00004-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hyperlink" Target="https://doi.org/10.2118/9781613993286" TargetMode="External"/><Relationship Id="rId30" Type="http://schemas.openxmlformats.org/officeDocument/2006/relationships/hyperlink" Target="https://doi.org/10.1007/s13202-021-01103-7" TargetMode="External"/><Relationship Id="rId35" Type="http://schemas.openxmlformats.org/officeDocument/2006/relationships/header" Target="header6.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EC5660-5E90-47CD-BA06-5FED3457A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6</Pages>
  <Words>2420</Words>
  <Characters>13798</Characters>
  <Application>Microsoft Office Word</Application>
  <DocSecurity>0</DocSecurity>
  <Lines>114</Lines>
  <Paragraphs>32</Paragraphs>
  <ScaleCrop>false</ScaleCrop>
  <Company>aaaa</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2025-04-02T07:08:00Z</cp:lastPrinted>
  <dcterms:created xsi:type="dcterms:W3CDTF">2014-10-25T14:34:00Z</dcterms:created>
  <dcterms:modified xsi:type="dcterms:W3CDTF">2025-04-02T10:08:00Z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7A243C40DC8F417AB73BE846F1C3AD43_13</vt:lpwstr>
  </property>
</Properties>
</file>