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7B3E8" w14:textId="77777777" w:rsidR="00557214" w:rsidRPr="00E677D9" w:rsidRDefault="00B62E06" w:rsidP="00E677D9">
      <w:pPr>
        <w:spacing w:after="240" w:line="240" w:lineRule="auto"/>
        <w:jc w:val="center"/>
        <w:rPr>
          <w:b/>
          <w:sz w:val="40"/>
          <w:szCs w:val="24"/>
        </w:rPr>
      </w:pPr>
      <w:r w:rsidRPr="00E677D9">
        <w:rPr>
          <w:b/>
          <w:sz w:val="40"/>
          <w:szCs w:val="24"/>
        </w:rPr>
        <w:t xml:space="preserve">Predictive Cybersecurity Risk </w:t>
      </w:r>
      <w:proofErr w:type="spellStart"/>
      <w:r w:rsidRPr="00E677D9">
        <w:rPr>
          <w:b/>
          <w:sz w:val="40"/>
          <w:szCs w:val="24"/>
        </w:rPr>
        <w:t>Modeling</w:t>
      </w:r>
      <w:proofErr w:type="spellEnd"/>
      <w:r w:rsidRPr="00E677D9">
        <w:rPr>
          <w:b/>
          <w:sz w:val="40"/>
          <w:szCs w:val="24"/>
        </w:rPr>
        <w:t xml:space="preserve"> in Healthcare by Leveraging AI and Machine Learning for Proactive Threat Detection</w:t>
      </w:r>
    </w:p>
    <w:p w14:paraId="1B7A81FA" w14:textId="77777777" w:rsidR="005E52C1" w:rsidRDefault="005E52C1" w:rsidP="00261B7A">
      <w:pPr>
        <w:pStyle w:val="NoSpacing"/>
        <w:rPr>
          <w:rFonts w:ascii="Tenorite" w:hAnsi="Tenorite" w:cs="Times New Roman"/>
          <w:sz w:val="24"/>
          <w:szCs w:val="24"/>
        </w:rPr>
      </w:pPr>
    </w:p>
    <w:p w14:paraId="3DCDB3E6" w14:textId="77777777" w:rsidR="00243449" w:rsidRDefault="00243449" w:rsidP="00E677D9">
      <w:pPr>
        <w:spacing w:after="240" w:line="240" w:lineRule="auto"/>
        <w:rPr>
          <w:b/>
          <w:sz w:val="24"/>
          <w:szCs w:val="24"/>
        </w:rPr>
      </w:pPr>
      <w:bookmarkStart w:id="0" w:name="_GoBack"/>
      <w:bookmarkEnd w:id="0"/>
    </w:p>
    <w:p w14:paraId="119DB5FB" w14:textId="738C35E6" w:rsidR="00557214" w:rsidRPr="00E677D9" w:rsidRDefault="00B62E06" w:rsidP="00E677D9">
      <w:pPr>
        <w:spacing w:after="240" w:line="240" w:lineRule="auto"/>
        <w:rPr>
          <w:b/>
          <w:sz w:val="24"/>
          <w:szCs w:val="24"/>
        </w:rPr>
      </w:pPr>
      <w:r w:rsidRPr="00E677D9">
        <w:rPr>
          <w:b/>
          <w:sz w:val="24"/>
          <w:szCs w:val="24"/>
        </w:rPr>
        <w:t>Abstract</w:t>
      </w:r>
    </w:p>
    <w:p w14:paraId="6A5B2AD5" w14:textId="77777777" w:rsidR="00557214" w:rsidRPr="00E677D9" w:rsidRDefault="00B62E06" w:rsidP="00E677D9">
      <w:pPr>
        <w:spacing w:after="240" w:line="240" w:lineRule="auto"/>
        <w:jc w:val="both"/>
        <w:rPr>
          <w:i/>
          <w:sz w:val="24"/>
          <w:szCs w:val="24"/>
        </w:rPr>
      </w:pPr>
      <w:r w:rsidRPr="00E677D9">
        <w:rPr>
          <w:i/>
          <w:sz w:val="24"/>
          <w:szCs w:val="24"/>
        </w:rPr>
        <w:t xml:space="preserve">This study investigated the application of artificial intelligence (AI) and machine learning (ML) in predictive cybersecurity risk </w:t>
      </w:r>
      <w:proofErr w:type="spellStart"/>
      <w:r w:rsidRPr="00E677D9">
        <w:rPr>
          <w:i/>
          <w:sz w:val="24"/>
          <w:szCs w:val="24"/>
        </w:rPr>
        <w:t>modeling</w:t>
      </w:r>
      <w:proofErr w:type="spellEnd"/>
      <w:r w:rsidRPr="00E677D9">
        <w:rPr>
          <w:i/>
          <w:sz w:val="24"/>
          <w:szCs w:val="24"/>
        </w:rPr>
        <w:t xml:space="preserve"> within healthcare, using quantitative methods and publicly available datasets. It employed the Verizon Data Breach Investigations Report to </w:t>
      </w:r>
      <w:proofErr w:type="spellStart"/>
      <w:r w:rsidRPr="00E677D9">
        <w:rPr>
          <w:i/>
          <w:sz w:val="24"/>
          <w:szCs w:val="24"/>
        </w:rPr>
        <w:t>analyze</w:t>
      </w:r>
      <w:proofErr w:type="spellEnd"/>
      <w:r w:rsidRPr="00E677D9">
        <w:rPr>
          <w:i/>
          <w:sz w:val="24"/>
          <w:szCs w:val="24"/>
        </w:rPr>
        <w:t xml:space="preserve"> threat prevalence, the CIC-IDS 2017 dataset to evaluate a Random Forest classifier, the Stanford AI Index Report to assess implementation challenges, and IBM’s Cost of a Data Breach Report to quantify AI's operational impact. The Random Forest model achieved an accuracy of 92.7%, precision of 89.9%, recall of 90.5%, and F1-score of 90.2%. Healthcare organizations using AI experienced a 26% reduction in breach costs and resolved incidents 36% faster. Findings emphasized internal threats, regulatory barriers, and staffing limitations as key challenges. The study recommends targeted workforce training, compliance alignment, adoption of </w:t>
      </w:r>
      <w:proofErr w:type="spellStart"/>
      <w:r w:rsidRPr="00E677D9">
        <w:rPr>
          <w:i/>
          <w:sz w:val="24"/>
          <w:szCs w:val="24"/>
        </w:rPr>
        <w:t>behavioral</w:t>
      </w:r>
      <w:proofErr w:type="spellEnd"/>
      <w:r w:rsidRPr="00E677D9">
        <w:rPr>
          <w:i/>
          <w:sz w:val="24"/>
          <w:szCs w:val="24"/>
        </w:rPr>
        <w:t xml:space="preserve"> threat detection, and federated learning partnerships to improve healthcare cybersecurity resilience.</w:t>
      </w:r>
    </w:p>
    <w:p w14:paraId="4687269D" w14:textId="77777777" w:rsidR="00557214" w:rsidRPr="00E677D9" w:rsidRDefault="00B62E06" w:rsidP="00E677D9">
      <w:pPr>
        <w:spacing w:after="240" w:line="240" w:lineRule="auto"/>
        <w:rPr>
          <w:b/>
          <w:sz w:val="24"/>
          <w:szCs w:val="24"/>
        </w:rPr>
      </w:pPr>
      <w:r w:rsidRPr="00E677D9">
        <w:rPr>
          <w:b/>
          <w:sz w:val="24"/>
          <w:szCs w:val="24"/>
        </w:rPr>
        <w:t xml:space="preserve">Keywords: AI in cybersecurity, predictive risk </w:t>
      </w:r>
      <w:proofErr w:type="spellStart"/>
      <w:r w:rsidRPr="00E677D9">
        <w:rPr>
          <w:b/>
          <w:sz w:val="24"/>
          <w:szCs w:val="24"/>
        </w:rPr>
        <w:t>modeling</w:t>
      </w:r>
      <w:proofErr w:type="spellEnd"/>
      <w:r w:rsidRPr="00E677D9">
        <w:rPr>
          <w:b/>
          <w:sz w:val="24"/>
          <w:szCs w:val="24"/>
        </w:rPr>
        <w:t>, Random Forest classifier, healthcare data breaches, federated learning.</w:t>
      </w:r>
    </w:p>
    <w:p w14:paraId="49E12AD4" w14:textId="77777777" w:rsidR="00557214" w:rsidRPr="00E677D9" w:rsidRDefault="00557214" w:rsidP="00E677D9">
      <w:pPr>
        <w:spacing w:after="240" w:line="240" w:lineRule="auto"/>
        <w:rPr>
          <w:sz w:val="24"/>
          <w:szCs w:val="24"/>
        </w:rPr>
      </w:pPr>
    </w:p>
    <w:p w14:paraId="5E34E007" w14:textId="77777777" w:rsidR="00557214" w:rsidRPr="00E677D9" w:rsidRDefault="00E677D9" w:rsidP="00E677D9">
      <w:pPr>
        <w:spacing w:after="240" w:line="240" w:lineRule="auto"/>
        <w:rPr>
          <w:b/>
          <w:sz w:val="24"/>
          <w:szCs w:val="24"/>
        </w:rPr>
      </w:pPr>
      <w:r>
        <w:rPr>
          <w:b/>
          <w:sz w:val="24"/>
          <w:szCs w:val="24"/>
        </w:rPr>
        <w:t>1.</w:t>
      </w:r>
      <w:r>
        <w:rPr>
          <w:b/>
          <w:sz w:val="24"/>
          <w:szCs w:val="24"/>
        </w:rPr>
        <w:tab/>
      </w:r>
      <w:r w:rsidRPr="00E677D9">
        <w:rPr>
          <w:b/>
          <w:sz w:val="24"/>
          <w:szCs w:val="24"/>
        </w:rPr>
        <w:t>INTRODUCTION</w:t>
      </w:r>
    </w:p>
    <w:p w14:paraId="2D8364A8" w14:textId="77777777" w:rsidR="00557214" w:rsidRPr="00E677D9" w:rsidRDefault="00B62E06" w:rsidP="00E677D9">
      <w:pPr>
        <w:spacing w:after="240" w:line="240" w:lineRule="auto"/>
        <w:rPr>
          <w:sz w:val="24"/>
          <w:szCs w:val="24"/>
        </w:rPr>
      </w:pPr>
      <w:r w:rsidRPr="00E677D9">
        <w:rPr>
          <w:sz w:val="24"/>
          <w:szCs w:val="24"/>
        </w:rPr>
        <w:t xml:space="preserve">The increasing digitization of healthcare infrastructure has significantly heightened the sector's exposure to cyber threats. The widespread adoption of Electronic Health Records (EHRs), interconnected medical devices, and cloud-based data storage has expanded potential attack surfaces, rendering healthcare institutions prime targets for cybercriminals (Sharma et al., 2024). The rising frequency and sophistication of cyberattacks pose severe risks to patient data confidentiality, operational continuity, and financial stability. Traditional security mechanisms, which rely on reactive approaches such as rule-based monitoring and signature-based threat detection, have proven inadequate in countering evolving cyber threats. Consequently, artificial intelligence (AI) and machine learning (ML) are being integrated into predictive cybersecurity risk </w:t>
      </w:r>
      <w:proofErr w:type="spellStart"/>
      <w:r w:rsidRPr="00E677D9">
        <w:rPr>
          <w:sz w:val="24"/>
          <w:szCs w:val="24"/>
        </w:rPr>
        <w:t>modeling</w:t>
      </w:r>
      <w:proofErr w:type="spellEnd"/>
      <w:r w:rsidRPr="00E677D9">
        <w:rPr>
          <w:sz w:val="24"/>
          <w:szCs w:val="24"/>
        </w:rPr>
        <w:t xml:space="preserve"> to enhance early threat identification and mitigation (</w:t>
      </w:r>
      <w:proofErr w:type="spellStart"/>
      <w:r w:rsidRPr="00E677D9">
        <w:rPr>
          <w:sz w:val="24"/>
          <w:szCs w:val="24"/>
        </w:rPr>
        <w:t>Roshanaei</w:t>
      </w:r>
      <w:proofErr w:type="spellEnd"/>
      <w:r w:rsidRPr="00E677D9">
        <w:rPr>
          <w:sz w:val="24"/>
          <w:szCs w:val="24"/>
        </w:rPr>
        <w:t xml:space="preserve"> et al., 2024).</w:t>
      </w:r>
    </w:p>
    <w:p w14:paraId="24B93B07" w14:textId="77777777" w:rsidR="00557214" w:rsidRPr="00E677D9" w:rsidRDefault="00B62E06" w:rsidP="00E677D9">
      <w:pPr>
        <w:spacing w:after="240" w:line="240" w:lineRule="auto"/>
        <w:rPr>
          <w:sz w:val="24"/>
          <w:szCs w:val="24"/>
        </w:rPr>
      </w:pPr>
      <w:r w:rsidRPr="00E677D9">
        <w:rPr>
          <w:sz w:val="24"/>
          <w:szCs w:val="24"/>
        </w:rPr>
        <w:t xml:space="preserve">van Boven et al. (2023) argues that cyberattacks on healthcare organizations have led to substantial financial repercussions, as demonstrated by the IBM Security 2023 Cost of a Data Breach Report, which identifies the healthcare sector as having the highest </w:t>
      </w:r>
      <w:r w:rsidRPr="00E677D9">
        <w:rPr>
          <w:sz w:val="24"/>
          <w:szCs w:val="24"/>
        </w:rPr>
        <w:lastRenderedPageBreak/>
        <w:t xml:space="preserve">data breach costs among all industries, with an average financial impact of $10.93 million per incident. The prolonged breach lifecycle, which exceeds 300 days on average, exacerbates financial losses and disrupts essential healthcare services (IBM, 2023). These operational disruptions affect patient treatment timelines, delay medical procedures, and compromise healthcare delivery. Aijaz et al. (2021) further contends that ransomware attacks have played a central role in crippling healthcare operations, as evidenced by notable incidents such as those targeting </w:t>
      </w:r>
      <w:proofErr w:type="spellStart"/>
      <w:r w:rsidRPr="00E677D9">
        <w:rPr>
          <w:sz w:val="24"/>
          <w:szCs w:val="24"/>
        </w:rPr>
        <w:t>CommonSpirit</w:t>
      </w:r>
      <w:proofErr w:type="spellEnd"/>
      <w:r w:rsidRPr="00E677D9">
        <w:rPr>
          <w:sz w:val="24"/>
          <w:szCs w:val="24"/>
        </w:rPr>
        <w:t xml:space="preserve"> Health (2022), the Irish Health Service Executive (2021), and Change Healthcare (2024) (Alder, 2023; </w:t>
      </w:r>
      <w:proofErr w:type="gramStart"/>
      <w:r w:rsidRPr="00E677D9">
        <w:rPr>
          <w:sz w:val="24"/>
          <w:szCs w:val="24"/>
        </w:rPr>
        <w:t>CCDCOE ,</w:t>
      </w:r>
      <w:proofErr w:type="gramEnd"/>
      <w:r w:rsidRPr="00E677D9">
        <w:rPr>
          <w:sz w:val="24"/>
          <w:szCs w:val="24"/>
        </w:rPr>
        <w:t xml:space="preserve"> 2021; </w:t>
      </w:r>
      <w:proofErr w:type="spellStart"/>
      <w:r w:rsidRPr="00E677D9">
        <w:rPr>
          <w:sz w:val="24"/>
          <w:szCs w:val="24"/>
        </w:rPr>
        <w:t>Arghire</w:t>
      </w:r>
      <w:proofErr w:type="spellEnd"/>
      <w:r w:rsidRPr="00E677D9">
        <w:rPr>
          <w:sz w:val="24"/>
          <w:szCs w:val="24"/>
        </w:rPr>
        <w:t>, 2024), all of which resulted in large-scale operational failures. Change Healthcare’s ransom payment of $22 million to regain system access exemplifies the extensive financial damage these cyberattacks inflict on the sector.</w:t>
      </w:r>
    </w:p>
    <w:p w14:paraId="711A45A5" w14:textId="77777777" w:rsidR="00557214" w:rsidRDefault="00B62E06" w:rsidP="00E677D9">
      <w:pPr>
        <w:spacing w:after="240" w:line="240" w:lineRule="auto"/>
        <w:rPr>
          <w:sz w:val="24"/>
          <w:szCs w:val="24"/>
        </w:rPr>
      </w:pPr>
      <w:r w:rsidRPr="004F03F3">
        <w:rPr>
          <w:sz w:val="24"/>
          <w:szCs w:val="24"/>
          <w:lang w:val="fr-FR"/>
        </w:rPr>
        <w:t xml:space="preserve">Beyond ransomware, Abdi et al. </w:t>
      </w:r>
      <w:r w:rsidRPr="00E677D9">
        <w:rPr>
          <w:sz w:val="24"/>
          <w:szCs w:val="24"/>
        </w:rPr>
        <w:t xml:space="preserve">(2024) posits that misconfigurations in cloud environments have also contributed to data breaches, amplifying security concerns. The frequency of healthcare-related breaches underscores the inadequacy of existing security strategies and the need for AI-powered threat detection. Sarker (2022) states that AI and ML have demonstrated considerable efficacy in cybersecurity by </w:t>
      </w:r>
      <w:proofErr w:type="spellStart"/>
      <w:r w:rsidRPr="00E677D9">
        <w:rPr>
          <w:sz w:val="24"/>
          <w:szCs w:val="24"/>
        </w:rPr>
        <w:t>analyzing</w:t>
      </w:r>
      <w:proofErr w:type="spellEnd"/>
      <w:r w:rsidRPr="00E677D9">
        <w:rPr>
          <w:sz w:val="24"/>
          <w:szCs w:val="24"/>
        </w:rPr>
        <w:t xml:space="preserve"> vast datasets to identify normal and anomalous activity patterns. Unlike traditional security measures that rely on predefined attack signatures, AI-driven systems can detect emerging threats, including zero-day vulnerabilities, thereby improving an organization's ability to anticipate and mitigate sophisticated attacks.  The comparative analysis below visualizes key cybersecurity metrics, contrasting traditional security approaches with AI-driven solutions in healthcare. It highlights three critical aspects: incident response time, breach costs, and threat detection accuracy demonstrating the advantages of integrating AI into cybersecurity frameworks.</w:t>
      </w:r>
    </w:p>
    <w:p w14:paraId="21EE028D" w14:textId="352F8690" w:rsidR="00807FCF" w:rsidRPr="00E677D9" w:rsidRDefault="00807FCF" w:rsidP="00E677D9">
      <w:pPr>
        <w:spacing w:after="240" w:line="240" w:lineRule="auto"/>
        <w:rPr>
          <w:sz w:val="24"/>
          <w:szCs w:val="24"/>
        </w:rPr>
      </w:pPr>
      <w:r>
        <w:rPr>
          <w:sz w:val="24"/>
          <w:szCs w:val="24"/>
        </w:rPr>
        <w:t xml:space="preserve">Fig 1 </w:t>
      </w:r>
    </w:p>
    <w:p w14:paraId="17EEBD6F" w14:textId="77777777" w:rsidR="00557214" w:rsidRPr="00E677D9" w:rsidRDefault="00B62E06" w:rsidP="00E677D9">
      <w:pPr>
        <w:spacing w:after="240" w:line="240" w:lineRule="auto"/>
        <w:jc w:val="both"/>
        <w:rPr>
          <w:sz w:val="24"/>
          <w:szCs w:val="24"/>
        </w:rPr>
      </w:pPr>
      <w:r w:rsidRPr="00E677D9">
        <w:rPr>
          <w:noProof/>
          <w:sz w:val="24"/>
          <w:szCs w:val="24"/>
          <w:lang w:val="en-US"/>
        </w:rPr>
        <w:lastRenderedPageBreak/>
        <w:drawing>
          <wp:inline distT="114300" distB="114300" distL="114300" distR="114300" wp14:anchorId="5978F9D1" wp14:editId="1114A32A">
            <wp:extent cx="5748338" cy="4119809"/>
            <wp:effectExtent l="0" t="0" r="0" b="0"/>
            <wp:docPr id="9"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8"/>
                    <a:srcRect/>
                    <a:stretch>
                      <a:fillRect/>
                    </a:stretch>
                  </pic:blipFill>
                  <pic:spPr>
                    <a:xfrm>
                      <a:off x="0" y="0"/>
                      <a:ext cx="5748338" cy="4119809"/>
                    </a:xfrm>
                    <a:prstGeom prst="rect">
                      <a:avLst/>
                    </a:prstGeom>
                    <a:ln/>
                  </pic:spPr>
                </pic:pic>
              </a:graphicData>
            </a:graphic>
          </wp:inline>
        </w:drawing>
      </w:r>
    </w:p>
    <w:p w14:paraId="3CE613C8" w14:textId="77777777" w:rsidR="00557214" w:rsidRPr="00E677D9" w:rsidRDefault="00B62E06" w:rsidP="00E677D9">
      <w:pPr>
        <w:spacing w:after="240" w:line="240" w:lineRule="auto"/>
        <w:rPr>
          <w:sz w:val="24"/>
          <w:szCs w:val="24"/>
        </w:rPr>
      </w:pPr>
      <w:r w:rsidRPr="00E677D9">
        <w:rPr>
          <w:sz w:val="24"/>
          <w:szCs w:val="24"/>
        </w:rPr>
        <w:t>As depicted in the graph, AI-driven security significantly outperforms traditional methods across all three measured metrics. AI-powered systems not only detect threats with higher accuracy but also reduce response times and financial losses associated with breaches. This evidence reinforces the urgency for healthcare organizations to adopt proactive AI-based cybersecurity strategies to mitigate evolving threats effectively.</w:t>
      </w:r>
    </w:p>
    <w:p w14:paraId="6191ABEE" w14:textId="77777777" w:rsidR="00557214" w:rsidRPr="00E677D9" w:rsidRDefault="00B62E06" w:rsidP="00E677D9">
      <w:pPr>
        <w:spacing w:after="240" w:line="240" w:lineRule="auto"/>
        <w:rPr>
          <w:sz w:val="24"/>
          <w:szCs w:val="24"/>
        </w:rPr>
      </w:pPr>
      <w:r w:rsidRPr="00E677D9">
        <w:rPr>
          <w:sz w:val="24"/>
          <w:szCs w:val="24"/>
        </w:rPr>
        <w:t>Empirical evidence supports the effectiveness of AI in strengthening healthcare cybersecurity. Kawamoto et al. (2023) highlights a study conducted at the Mayo Clinic, where an ML-based anomaly detection system successfully identified unauthorized access attempts in EHR logs, significantly reducing incident response times. Similarly, Cleveland Clinic implemented AI-driven endpoint detection and response (EDR) technology, which demonstrated high accuracy in neutralizing malicious software while minimizing false positives (Cleveland Clinic, 2025). In another instance, European hospitals adopted federated learning to collaboratively develop a shared cybersecurity threat detection model while maintaining data privacy (Abbas et al., 2024). This collective approach reinforces AI’s role in enhancing security across institutions without compromising compliance requirements.</w:t>
      </w:r>
    </w:p>
    <w:p w14:paraId="2C7DC638" w14:textId="77777777" w:rsidR="00557214" w:rsidRPr="00E677D9" w:rsidRDefault="00B62E06" w:rsidP="00E677D9">
      <w:pPr>
        <w:spacing w:after="240" w:line="240" w:lineRule="auto"/>
        <w:rPr>
          <w:sz w:val="24"/>
          <w:szCs w:val="24"/>
        </w:rPr>
      </w:pPr>
      <w:r w:rsidRPr="00E677D9">
        <w:rPr>
          <w:sz w:val="24"/>
          <w:szCs w:val="24"/>
        </w:rPr>
        <w:t xml:space="preserve">Despite these advancements, challenges persist in integrating AI-driven cybersecurity solutions within healthcare environments. </w:t>
      </w:r>
      <w:proofErr w:type="spellStart"/>
      <w:r w:rsidRPr="00E677D9">
        <w:rPr>
          <w:sz w:val="24"/>
          <w:szCs w:val="24"/>
        </w:rPr>
        <w:t>Tschider</w:t>
      </w:r>
      <w:proofErr w:type="spellEnd"/>
      <w:r w:rsidRPr="00E677D9">
        <w:rPr>
          <w:sz w:val="24"/>
          <w:szCs w:val="24"/>
        </w:rPr>
        <w:t xml:space="preserve"> et al. (2024) contends that regulatory compliance remains a significant barrier, as data protection laws such as the Health Insurance Portability and Accountability Act (HIPAA) in the United States and the </w:t>
      </w:r>
      <w:r w:rsidRPr="00E677D9">
        <w:rPr>
          <w:sz w:val="24"/>
          <w:szCs w:val="24"/>
        </w:rPr>
        <w:lastRenderedPageBreak/>
        <w:t xml:space="preserve">General Data Protection Regulation (GDPR) in Europe impose stringent limitations on data sharing and processing. Healthcare institutions must navigate these regulatory frameworks while ensuring that AI-driven security solutions do not infringe upon patient confidentiality. Additionally, </w:t>
      </w:r>
      <w:proofErr w:type="spellStart"/>
      <w:r w:rsidRPr="00E677D9">
        <w:rPr>
          <w:sz w:val="24"/>
          <w:szCs w:val="24"/>
        </w:rPr>
        <w:t>Aldoseri</w:t>
      </w:r>
      <w:proofErr w:type="spellEnd"/>
      <w:r w:rsidRPr="00E677D9">
        <w:rPr>
          <w:sz w:val="24"/>
          <w:szCs w:val="24"/>
        </w:rPr>
        <w:t xml:space="preserve"> et al. (2023) posits that AI models require extensive training datasets, and inconsistencies or biases in data quality can undermine the accuracy of predictive threat models. Establishing robust data governance frameworks and refining model optimization processes are therefore critical in overcoming these limitations.</w:t>
      </w:r>
    </w:p>
    <w:p w14:paraId="702A1660" w14:textId="77777777" w:rsidR="00557214" w:rsidRPr="00E677D9" w:rsidRDefault="00B62E06" w:rsidP="00E677D9">
      <w:pPr>
        <w:spacing w:after="240" w:line="240" w:lineRule="auto"/>
        <w:rPr>
          <w:sz w:val="24"/>
          <w:szCs w:val="24"/>
        </w:rPr>
      </w:pPr>
      <w:r w:rsidRPr="00E677D9">
        <w:rPr>
          <w:sz w:val="24"/>
          <w:szCs w:val="24"/>
        </w:rPr>
        <w:t>Another pressing concern is the increasing use of adversarial machine learning techniques by cybercriminals to manipulate AI models and evade detection. Sarker (2023) states that this evolving threat necessitates continuous adaptation of AI-based security mechanisms to counteract sophisticated cyberattacks. Incorporating adaptive learning into AI-driven solutions is imperative for maintaining resilience against adversarial tactics. Moreover, Salama et al. (2024) contends that staffing shortages and budget constraints hinder the widespread adoption of AI in cybersecurity, as many healthcare organizations lack the expertise and financial resources required to implement and sustain advanced security infrastructure.</w:t>
      </w:r>
    </w:p>
    <w:p w14:paraId="19A95E62" w14:textId="77777777" w:rsidR="00557214" w:rsidRPr="00E677D9" w:rsidRDefault="00B62E06" w:rsidP="00E677D9">
      <w:pPr>
        <w:spacing w:after="240" w:line="240" w:lineRule="auto"/>
        <w:rPr>
          <w:sz w:val="24"/>
          <w:szCs w:val="24"/>
        </w:rPr>
      </w:pPr>
      <w:r w:rsidRPr="00E677D9">
        <w:rPr>
          <w:sz w:val="24"/>
          <w:szCs w:val="24"/>
        </w:rPr>
        <w:t>Statistical evidence further reinforces the necessity of AI in mitigating cyber threats. DeBeck (2021) notes that organizations leveraging AI-driven security automation reduce breach costs by an average of $3 million compared to those relying solely on conventional measures. Similarly, the Verizon Data Breach Investigations Report consistently ranks healthcare among the top three targeted industries, highlighting the high market value of compromised medical records (</w:t>
      </w:r>
      <w:proofErr w:type="spellStart"/>
      <w:r w:rsidRPr="00E677D9">
        <w:rPr>
          <w:sz w:val="24"/>
          <w:szCs w:val="24"/>
        </w:rPr>
        <w:t>Vericon</w:t>
      </w:r>
      <w:proofErr w:type="spellEnd"/>
      <w:r w:rsidRPr="00E677D9">
        <w:rPr>
          <w:sz w:val="24"/>
          <w:szCs w:val="24"/>
        </w:rPr>
        <w:t xml:space="preserve">, 2024). Reports from Microsoft’s Digital </w:t>
      </w:r>
      <w:proofErr w:type="spellStart"/>
      <w:r w:rsidRPr="00E677D9">
        <w:rPr>
          <w:sz w:val="24"/>
          <w:szCs w:val="24"/>
        </w:rPr>
        <w:t>Defense</w:t>
      </w:r>
      <w:proofErr w:type="spellEnd"/>
      <w:r w:rsidRPr="00E677D9">
        <w:rPr>
          <w:sz w:val="24"/>
          <w:szCs w:val="24"/>
        </w:rPr>
        <w:t xml:space="preserve"> division reveal a 70 percent reduction in successful phishing attempts among healthcare institutions that have implemented AI-powered identity and access management solutions (Microsoft, 2024).</w:t>
      </w:r>
    </w:p>
    <w:p w14:paraId="119692AC" w14:textId="77777777" w:rsidR="00557214" w:rsidRPr="00E677D9" w:rsidRDefault="00B62E06" w:rsidP="00E677D9">
      <w:pPr>
        <w:spacing w:after="240" w:line="240" w:lineRule="auto"/>
        <w:rPr>
          <w:sz w:val="24"/>
          <w:szCs w:val="24"/>
        </w:rPr>
      </w:pPr>
      <w:r w:rsidRPr="00E677D9">
        <w:rPr>
          <w:sz w:val="24"/>
          <w:szCs w:val="24"/>
        </w:rPr>
        <w:t xml:space="preserve">Given the increasing complexity and frequency of cyber threats, the healthcare sector must transition from reactive security measures to proactive, AI-driven risk </w:t>
      </w:r>
      <w:proofErr w:type="spellStart"/>
      <w:r w:rsidRPr="00E677D9">
        <w:rPr>
          <w:sz w:val="24"/>
          <w:szCs w:val="24"/>
        </w:rPr>
        <w:t>modeling</w:t>
      </w:r>
      <w:proofErr w:type="spellEnd"/>
      <w:r w:rsidRPr="00E677D9">
        <w:rPr>
          <w:sz w:val="24"/>
          <w:szCs w:val="24"/>
        </w:rPr>
        <w:t xml:space="preserve">. Traditional security frameworks remain insufficient in addressing the sophistication of modern cyberattacks. Jimmy (2024) argues that AI and ML offer a transformative approach to early threat detection, predictive analytics, and automated incident response, strengthening an organization's </w:t>
      </w:r>
      <w:proofErr w:type="spellStart"/>
      <w:r w:rsidRPr="00E677D9">
        <w:rPr>
          <w:sz w:val="24"/>
          <w:szCs w:val="24"/>
        </w:rPr>
        <w:t>defense</w:t>
      </w:r>
      <w:proofErr w:type="spellEnd"/>
      <w:r w:rsidRPr="00E677D9">
        <w:rPr>
          <w:sz w:val="24"/>
          <w:szCs w:val="24"/>
        </w:rPr>
        <w:t xml:space="preserve"> against cyber risks. However, effective deployment of these technologies requires addressing regulatory hurdles, improving data integrity, and countering adversarial AI threats. Arefin and Simcox (2024) posits that by integrating AI-powered cybersecurity measures, healthcare organizations can significantly enhance patient data protection, maintain operational efficiency, and mitigate financial risks associated with cyber threats. This research aims to critically examine existing approaches to predictive cybersecurity risk </w:t>
      </w:r>
      <w:proofErr w:type="spellStart"/>
      <w:r w:rsidRPr="00E677D9">
        <w:rPr>
          <w:sz w:val="24"/>
          <w:szCs w:val="24"/>
        </w:rPr>
        <w:t>modeling</w:t>
      </w:r>
      <w:proofErr w:type="spellEnd"/>
      <w:r w:rsidRPr="00E677D9">
        <w:rPr>
          <w:sz w:val="24"/>
          <w:szCs w:val="24"/>
        </w:rPr>
        <w:t xml:space="preserve"> in healthcare, particularly those leveraging AI and machine learning to understand their effectiveness, challenges, and potential for proactive threat detection, by achieving the following objectives:</w:t>
      </w:r>
      <w:r w:rsidRPr="00E677D9">
        <w:rPr>
          <w:sz w:val="24"/>
          <w:szCs w:val="24"/>
        </w:rPr>
        <w:br/>
      </w:r>
    </w:p>
    <w:p w14:paraId="58858562" w14:textId="77777777" w:rsidR="00557214" w:rsidRPr="00E677D9" w:rsidRDefault="00B62E06" w:rsidP="00E677D9">
      <w:pPr>
        <w:numPr>
          <w:ilvl w:val="0"/>
          <w:numId w:val="1"/>
        </w:numPr>
        <w:spacing w:after="240" w:line="240" w:lineRule="auto"/>
        <w:rPr>
          <w:sz w:val="24"/>
          <w:szCs w:val="24"/>
        </w:rPr>
      </w:pPr>
      <w:proofErr w:type="spellStart"/>
      <w:r w:rsidRPr="00E677D9">
        <w:rPr>
          <w:sz w:val="24"/>
          <w:szCs w:val="24"/>
        </w:rPr>
        <w:lastRenderedPageBreak/>
        <w:t>Analyzes</w:t>
      </w:r>
      <w:proofErr w:type="spellEnd"/>
      <w:r w:rsidRPr="00E677D9">
        <w:rPr>
          <w:sz w:val="24"/>
          <w:szCs w:val="24"/>
        </w:rPr>
        <w:t xml:space="preserve"> the types and prevalence of cybersecurity threats currently facing the healthcare industry. </w:t>
      </w:r>
    </w:p>
    <w:p w14:paraId="155AE396" w14:textId="77777777" w:rsidR="00557214" w:rsidRPr="00E677D9" w:rsidRDefault="00B62E06" w:rsidP="00E677D9">
      <w:pPr>
        <w:numPr>
          <w:ilvl w:val="0"/>
          <w:numId w:val="1"/>
        </w:numPr>
        <w:spacing w:after="240" w:line="240" w:lineRule="auto"/>
        <w:rPr>
          <w:sz w:val="24"/>
          <w:szCs w:val="24"/>
        </w:rPr>
      </w:pPr>
      <w:r w:rsidRPr="00E677D9">
        <w:rPr>
          <w:sz w:val="24"/>
          <w:szCs w:val="24"/>
        </w:rPr>
        <w:t>Examines existing AI and Machine Learning techniques and their applicability in predicting cybersecurity risks within healthcare systems.</w:t>
      </w:r>
    </w:p>
    <w:p w14:paraId="5AD9A2F2" w14:textId="77777777" w:rsidR="00557214" w:rsidRPr="00E677D9" w:rsidRDefault="00B62E06" w:rsidP="00E677D9">
      <w:pPr>
        <w:numPr>
          <w:ilvl w:val="0"/>
          <w:numId w:val="1"/>
        </w:numPr>
        <w:spacing w:after="240" w:line="240" w:lineRule="auto"/>
        <w:rPr>
          <w:sz w:val="24"/>
          <w:szCs w:val="24"/>
        </w:rPr>
      </w:pPr>
      <w:r w:rsidRPr="00E677D9">
        <w:rPr>
          <w:sz w:val="24"/>
          <w:szCs w:val="24"/>
        </w:rPr>
        <w:t xml:space="preserve">Identifies the key challenges and limitations associated with implementing AI/ML-driven predictive cybersecurity risk </w:t>
      </w:r>
      <w:proofErr w:type="spellStart"/>
      <w:r w:rsidRPr="00E677D9">
        <w:rPr>
          <w:sz w:val="24"/>
          <w:szCs w:val="24"/>
        </w:rPr>
        <w:t>modeling</w:t>
      </w:r>
      <w:proofErr w:type="spellEnd"/>
      <w:r w:rsidRPr="00E677D9">
        <w:rPr>
          <w:sz w:val="24"/>
          <w:szCs w:val="24"/>
        </w:rPr>
        <w:t xml:space="preserve"> in healthcare environments. </w:t>
      </w:r>
    </w:p>
    <w:p w14:paraId="6A4CF341" w14:textId="77777777" w:rsidR="00557214" w:rsidRPr="00E677D9" w:rsidRDefault="00B62E06" w:rsidP="00E677D9">
      <w:pPr>
        <w:numPr>
          <w:ilvl w:val="0"/>
          <w:numId w:val="1"/>
        </w:numPr>
        <w:spacing w:after="240" w:line="240" w:lineRule="auto"/>
        <w:rPr>
          <w:sz w:val="24"/>
          <w:szCs w:val="24"/>
        </w:rPr>
      </w:pPr>
      <w:r w:rsidRPr="00E677D9">
        <w:rPr>
          <w:sz w:val="24"/>
          <w:szCs w:val="24"/>
        </w:rPr>
        <w:t>Evaluates the potential benefits and effectiveness of employing AI and Machine Learning for proactive threat detection in improving the overall cybersecurity posture of healthcare organizations.</w:t>
      </w:r>
    </w:p>
    <w:p w14:paraId="251D008C" w14:textId="77777777" w:rsidR="00557214" w:rsidRPr="00E677D9" w:rsidRDefault="00557214" w:rsidP="00E677D9">
      <w:pPr>
        <w:spacing w:after="240" w:line="240" w:lineRule="auto"/>
        <w:rPr>
          <w:sz w:val="24"/>
          <w:szCs w:val="24"/>
        </w:rPr>
      </w:pPr>
    </w:p>
    <w:p w14:paraId="64AABEF8" w14:textId="77777777" w:rsidR="00557214" w:rsidRPr="00E677D9" w:rsidRDefault="00E677D9" w:rsidP="00E677D9">
      <w:pPr>
        <w:spacing w:after="240" w:line="240" w:lineRule="auto"/>
        <w:rPr>
          <w:b/>
          <w:sz w:val="24"/>
          <w:szCs w:val="24"/>
        </w:rPr>
      </w:pPr>
      <w:r>
        <w:rPr>
          <w:b/>
          <w:sz w:val="24"/>
          <w:szCs w:val="24"/>
        </w:rPr>
        <w:t>2.</w:t>
      </w:r>
      <w:r>
        <w:rPr>
          <w:b/>
          <w:sz w:val="24"/>
          <w:szCs w:val="24"/>
        </w:rPr>
        <w:tab/>
      </w:r>
      <w:r w:rsidR="00B62E06" w:rsidRPr="00E677D9">
        <w:rPr>
          <w:b/>
          <w:sz w:val="24"/>
          <w:szCs w:val="24"/>
        </w:rPr>
        <w:t xml:space="preserve">LITERATURE REVIEW </w:t>
      </w:r>
    </w:p>
    <w:p w14:paraId="056D0E35"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bookmarkStart w:id="1" w:name="_1fzogmffuwba" w:colFirst="0" w:colLast="0"/>
      <w:bookmarkEnd w:id="1"/>
      <w:r w:rsidRPr="00E677D9">
        <w:rPr>
          <w:color w:val="0D0D0D"/>
          <w:sz w:val="24"/>
          <w:szCs w:val="24"/>
          <w:highlight w:val="white"/>
        </w:rPr>
        <w:t>The healthcare sector is a prime target for cyber threats due to its extensive repositories of sensitive patient data and the critical nature of its services. Gupta et al. (2025) argues that cyber threats in healthcare encompass ransomware attacks, phishing and social engineering schemes, insider threats, and cloud security vulnerabilities, all of which pose significant risks to the confidentiality, integrity, and availability of medical records and healthcare operations.</w:t>
      </w:r>
    </w:p>
    <w:p w14:paraId="43C6C020"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r w:rsidRPr="00E677D9">
        <w:rPr>
          <w:color w:val="0D0D0D"/>
          <w:sz w:val="24"/>
          <w:szCs w:val="24"/>
          <w:highlight w:val="white"/>
        </w:rPr>
        <w:t>Ransomware remains the most disruptive cybersecurity threat to healthcare organizations. Ryan (2021) states that these attacks encrypt critical data, rendering systems inoperative until a ransom is paid. The Medusa ransomware, identified in 2021, targeted over 300 victims, including healthcare institutions, by exploiting phishing campaigns and unpatched vulnerabilities (CISA, 2025). Attackers frequently employ double extortion tactics, threatening to publicly release sensitive data unless the ransom is paid (</w:t>
      </w:r>
      <w:proofErr w:type="spellStart"/>
      <w:r w:rsidRPr="00E677D9">
        <w:rPr>
          <w:color w:val="0D0D0D"/>
          <w:sz w:val="24"/>
          <w:szCs w:val="24"/>
          <w:highlight w:val="white"/>
        </w:rPr>
        <w:t>Duraibi</w:t>
      </w:r>
      <w:proofErr w:type="spellEnd"/>
      <w:r w:rsidRPr="00E677D9">
        <w:rPr>
          <w:color w:val="0D0D0D"/>
          <w:sz w:val="24"/>
          <w:szCs w:val="24"/>
          <w:highlight w:val="white"/>
        </w:rPr>
        <w:t xml:space="preserve"> et al., 2023; Ajayi et al., 2025). </w:t>
      </w:r>
      <w:proofErr w:type="spellStart"/>
      <w:r w:rsidRPr="00E677D9">
        <w:rPr>
          <w:color w:val="0D0D0D"/>
          <w:sz w:val="24"/>
          <w:szCs w:val="24"/>
          <w:highlight w:val="white"/>
        </w:rPr>
        <w:t>Petkauskas</w:t>
      </w:r>
      <w:proofErr w:type="spellEnd"/>
      <w:r w:rsidRPr="00E677D9">
        <w:rPr>
          <w:color w:val="0D0D0D"/>
          <w:sz w:val="24"/>
          <w:szCs w:val="24"/>
          <w:highlight w:val="white"/>
        </w:rPr>
        <w:t xml:space="preserve"> and </w:t>
      </w:r>
      <w:proofErr w:type="spellStart"/>
      <w:r w:rsidRPr="00E677D9">
        <w:rPr>
          <w:color w:val="0D0D0D"/>
          <w:sz w:val="24"/>
          <w:szCs w:val="24"/>
          <w:highlight w:val="white"/>
        </w:rPr>
        <w:t>Schappert</w:t>
      </w:r>
      <w:proofErr w:type="spellEnd"/>
      <w:r w:rsidRPr="00E677D9">
        <w:rPr>
          <w:color w:val="0D0D0D"/>
          <w:sz w:val="24"/>
          <w:szCs w:val="24"/>
          <w:highlight w:val="white"/>
        </w:rPr>
        <w:t xml:space="preserve"> (2023) contends that groups such as Hive ransomware have launched attacks against healthcare institutions, prompting an FBI operation in 2022 that underscored the severity of such threats. More recent incidents, including those targeting </w:t>
      </w:r>
      <w:proofErr w:type="spellStart"/>
      <w:r w:rsidRPr="00E677D9">
        <w:rPr>
          <w:color w:val="0D0D0D"/>
          <w:sz w:val="24"/>
          <w:szCs w:val="24"/>
          <w:highlight w:val="white"/>
        </w:rPr>
        <w:t>CommonSpirit</w:t>
      </w:r>
      <w:proofErr w:type="spellEnd"/>
      <w:r w:rsidRPr="00E677D9">
        <w:rPr>
          <w:color w:val="0D0D0D"/>
          <w:sz w:val="24"/>
          <w:szCs w:val="24"/>
          <w:highlight w:val="white"/>
        </w:rPr>
        <w:t xml:space="preserve"> Health and Change Healthcare, highlight the increasing sophistication and financial toll of these attacks (</w:t>
      </w:r>
      <w:r w:rsidRPr="00E677D9">
        <w:rPr>
          <w:sz w:val="24"/>
          <w:szCs w:val="24"/>
        </w:rPr>
        <w:t xml:space="preserve">Alder, 2023; </w:t>
      </w:r>
      <w:proofErr w:type="spellStart"/>
      <w:r w:rsidRPr="00E677D9">
        <w:rPr>
          <w:sz w:val="24"/>
          <w:szCs w:val="24"/>
        </w:rPr>
        <w:t>Arghire</w:t>
      </w:r>
      <w:proofErr w:type="spellEnd"/>
      <w:r w:rsidRPr="00E677D9">
        <w:rPr>
          <w:sz w:val="24"/>
          <w:szCs w:val="24"/>
        </w:rPr>
        <w:t>, 2024; Balogun, 2025)</w:t>
      </w:r>
      <w:r w:rsidRPr="00E677D9">
        <w:rPr>
          <w:color w:val="0D0D0D"/>
          <w:sz w:val="24"/>
          <w:szCs w:val="24"/>
          <w:highlight w:val="white"/>
        </w:rPr>
        <w:t>.</w:t>
      </w:r>
    </w:p>
    <w:p w14:paraId="3AC5604B"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r w:rsidRPr="00E677D9">
        <w:rPr>
          <w:color w:val="0D0D0D"/>
          <w:sz w:val="24"/>
          <w:szCs w:val="24"/>
          <w:highlight w:val="white"/>
        </w:rPr>
        <w:t>Phishing and social engineering attacks further amplify cybersecurity risks in healthcare. Wang et al. (2021) notes that these techniques manipulate individuals into revealing confidential information or granting unauthorized system access. In 2024, 88% of healthcare employees interacted with phishing emails, demonstrating the sector’s ongoing vulnerability to human-related security breaches (HealthStream, 2024). Obi (2024) further reveals that phishing accounts for over 90% of cyberattacks against healthcare entities, emphasizing the need for enhanced awareness and comprehensive employee training programs.</w:t>
      </w:r>
    </w:p>
    <w:p w14:paraId="410C00D3"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r w:rsidRPr="00E677D9">
        <w:rPr>
          <w:color w:val="0D0D0D"/>
          <w:sz w:val="24"/>
          <w:szCs w:val="24"/>
          <w:highlight w:val="white"/>
        </w:rPr>
        <w:t xml:space="preserve">Beyond external threats, </w:t>
      </w:r>
      <w:proofErr w:type="spellStart"/>
      <w:r w:rsidRPr="00E677D9">
        <w:rPr>
          <w:color w:val="0D0D0D"/>
          <w:sz w:val="24"/>
          <w:szCs w:val="24"/>
          <w:highlight w:val="white"/>
        </w:rPr>
        <w:t>Okika</w:t>
      </w:r>
      <w:proofErr w:type="spellEnd"/>
      <w:r w:rsidRPr="00E677D9">
        <w:rPr>
          <w:color w:val="0D0D0D"/>
          <w:sz w:val="24"/>
          <w:szCs w:val="24"/>
          <w:highlight w:val="white"/>
        </w:rPr>
        <w:t xml:space="preserve"> et al. (2025) posits that insider vulnerabilities significantly contribute to security breaches. Employees with legitimate access can </w:t>
      </w:r>
      <w:r w:rsidRPr="00E677D9">
        <w:rPr>
          <w:color w:val="0D0D0D"/>
          <w:sz w:val="24"/>
          <w:szCs w:val="24"/>
          <w:highlight w:val="white"/>
        </w:rPr>
        <w:lastRenderedPageBreak/>
        <w:t xml:space="preserve">negligently or intentionally compromise sensitive data. Osborne (2022) indicates that 26% of healthcare breaches stem from insider negligence, while </w:t>
      </w:r>
      <w:proofErr w:type="spellStart"/>
      <w:r w:rsidRPr="00E677D9">
        <w:rPr>
          <w:sz w:val="24"/>
          <w:szCs w:val="24"/>
        </w:rPr>
        <w:t>Vericon</w:t>
      </w:r>
      <w:proofErr w:type="spellEnd"/>
      <w:r w:rsidRPr="00E677D9">
        <w:rPr>
          <w:sz w:val="24"/>
          <w:szCs w:val="24"/>
        </w:rPr>
        <w:t xml:space="preserve"> (2024) </w:t>
      </w:r>
      <w:r w:rsidRPr="00E677D9">
        <w:rPr>
          <w:color w:val="0D0D0D"/>
          <w:sz w:val="24"/>
          <w:szCs w:val="24"/>
          <w:highlight w:val="white"/>
        </w:rPr>
        <w:t>identifies insider misuse—whether for personal curiosity or financial gain—as a major cause of security incidents.  Cloud-based services, while improving healthcare efficiency, introduce security challenges. Abdi et al. (2024) argues that misconfigurations and weak security measures can lead to large-scale data breaches. In August 2024, an unsecured Confidant Health database exposed over 120,000 files, including detailed medical records, underscoring the need for robust cloud security protocols and ongoing risk assessments to prevent unauthorized access (Burgess, 2024; Kolade et al., 2025). Given the growing sophistication of cyber threats, Tariq (2024) contends that healthcare organizations must adopt a proactive security approach, strengthening cybersecurity frameworks, deploying advanced threat detection systems, and fostering security awareness to protect patient data and ensure healthcare resilience.</w:t>
      </w:r>
    </w:p>
    <w:p w14:paraId="048887DB" w14:textId="77777777" w:rsidR="00557214" w:rsidRPr="00E677D9" w:rsidRDefault="00B62E06" w:rsidP="00E677D9">
      <w:pPr>
        <w:pStyle w:val="Heading3"/>
        <w:keepNext w:val="0"/>
        <w:keepLines w:val="0"/>
        <w:spacing w:before="0" w:after="240" w:line="240" w:lineRule="auto"/>
        <w:jc w:val="both"/>
        <w:rPr>
          <w:b/>
          <w:color w:val="0D0D0D"/>
          <w:sz w:val="24"/>
          <w:szCs w:val="24"/>
          <w:highlight w:val="white"/>
        </w:rPr>
      </w:pPr>
      <w:bookmarkStart w:id="2" w:name="_7n1mk93u7vxo" w:colFirst="0" w:colLast="0"/>
      <w:bookmarkEnd w:id="2"/>
      <w:r w:rsidRPr="00E677D9">
        <w:rPr>
          <w:b/>
          <w:color w:val="0D0D0D"/>
          <w:sz w:val="24"/>
          <w:szCs w:val="24"/>
          <w:highlight w:val="white"/>
        </w:rPr>
        <w:t>Traditional Cybersecurity Measures and Their Limitations</w:t>
      </w:r>
    </w:p>
    <w:p w14:paraId="04D090F0" w14:textId="77777777" w:rsidR="00557214" w:rsidRPr="00E677D9" w:rsidRDefault="00B62E06" w:rsidP="00E677D9">
      <w:pPr>
        <w:spacing w:after="240" w:line="240" w:lineRule="auto"/>
        <w:jc w:val="both"/>
        <w:rPr>
          <w:color w:val="0D0D0D"/>
          <w:sz w:val="24"/>
          <w:szCs w:val="24"/>
          <w:highlight w:val="white"/>
        </w:rPr>
      </w:pPr>
      <w:r w:rsidRPr="00E677D9">
        <w:rPr>
          <w:color w:val="0D0D0D"/>
          <w:sz w:val="24"/>
          <w:szCs w:val="24"/>
          <w:highlight w:val="white"/>
        </w:rPr>
        <w:t xml:space="preserve">Traditional cybersecurity measures have long served as the foundation for protecting healthcare information systems. </w:t>
      </w:r>
      <w:proofErr w:type="spellStart"/>
      <w:r w:rsidRPr="00E677D9">
        <w:rPr>
          <w:color w:val="0D0D0D"/>
          <w:sz w:val="24"/>
          <w:szCs w:val="24"/>
          <w:highlight w:val="white"/>
        </w:rPr>
        <w:t>Radoglou-Grammatikis</w:t>
      </w:r>
      <w:proofErr w:type="spellEnd"/>
      <w:r w:rsidRPr="00E677D9">
        <w:rPr>
          <w:color w:val="0D0D0D"/>
          <w:sz w:val="24"/>
          <w:szCs w:val="24"/>
          <w:highlight w:val="white"/>
        </w:rPr>
        <w:t xml:space="preserve"> et al. (2021) argues that conventional approaches, including firewalls, intrusion detection systems (IDS), signature-based threat detection, and security information and event management (SIEM) systems, have historically played a crucial role in mitigating cyber risks. However, their effectiveness against increasingly sophisticated threats has been called into question.</w:t>
      </w:r>
    </w:p>
    <w:p w14:paraId="5054F964" w14:textId="77777777" w:rsidR="00557214" w:rsidRPr="00E677D9" w:rsidRDefault="00B62E06" w:rsidP="00E677D9">
      <w:pPr>
        <w:spacing w:after="240" w:line="240" w:lineRule="auto"/>
        <w:jc w:val="both"/>
        <w:rPr>
          <w:color w:val="0D0D0D"/>
          <w:sz w:val="24"/>
          <w:szCs w:val="24"/>
          <w:highlight w:val="white"/>
        </w:rPr>
      </w:pPr>
      <w:r w:rsidRPr="00E677D9">
        <w:rPr>
          <w:color w:val="0D0D0D"/>
          <w:sz w:val="24"/>
          <w:szCs w:val="24"/>
          <w:highlight w:val="white"/>
        </w:rPr>
        <w:t xml:space="preserve">Firewalls function as gatekeepers, regulating network traffic based on predefined security rules (Senthilkumar et al., 2024; Obioha-Val, 2025). They are essential for segregating trusted internal networks from external entities. However, Aslan et al. (2023) contends that firewalls alone are insufficient against advanced attacks that exploit legitimate pathways or originate from within the network. Intrusion Detection Systems (IDS) add an extra layer of security by monitoring network traffic for anomalies (Martins et al., 2022; </w:t>
      </w:r>
      <w:proofErr w:type="spellStart"/>
      <w:r w:rsidRPr="00E677D9">
        <w:rPr>
          <w:color w:val="0D0D0D"/>
          <w:sz w:val="24"/>
          <w:szCs w:val="24"/>
          <w:highlight w:val="white"/>
        </w:rPr>
        <w:t>Olutimehin</w:t>
      </w:r>
      <w:proofErr w:type="spellEnd"/>
      <w:r w:rsidRPr="00E677D9">
        <w:rPr>
          <w:color w:val="0D0D0D"/>
          <w:sz w:val="24"/>
          <w:szCs w:val="24"/>
          <w:highlight w:val="white"/>
        </w:rPr>
        <w:t xml:space="preserve">, 2025). </w:t>
      </w:r>
      <w:proofErr w:type="spellStart"/>
      <w:r w:rsidRPr="00E677D9">
        <w:rPr>
          <w:color w:val="0D0D0D"/>
          <w:sz w:val="24"/>
          <w:szCs w:val="24"/>
          <w:highlight w:val="white"/>
        </w:rPr>
        <w:t>Turukmane</w:t>
      </w:r>
      <w:proofErr w:type="spellEnd"/>
      <w:r w:rsidRPr="00E677D9">
        <w:rPr>
          <w:color w:val="0D0D0D"/>
          <w:sz w:val="24"/>
          <w:szCs w:val="24"/>
          <w:highlight w:val="white"/>
        </w:rPr>
        <w:t xml:space="preserve"> et al. (2024) posits that signature-based IDS, which rely on known attack patterns, effectively detect recognized threats but struggle with novel or obfuscated attacks. Conversely, anomaly-based IDS, designed to identify deviations from normal </w:t>
      </w:r>
      <w:proofErr w:type="spellStart"/>
      <w:r w:rsidRPr="00E677D9">
        <w:rPr>
          <w:color w:val="0D0D0D"/>
          <w:sz w:val="24"/>
          <w:szCs w:val="24"/>
          <w:highlight w:val="white"/>
        </w:rPr>
        <w:t>behavior</w:t>
      </w:r>
      <w:proofErr w:type="spellEnd"/>
      <w:r w:rsidRPr="00E677D9">
        <w:rPr>
          <w:color w:val="0D0D0D"/>
          <w:sz w:val="24"/>
          <w:szCs w:val="24"/>
          <w:highlight w:val="white"/>
        </w:rPr>
        <w:t>, frequently generate high false-positive rates, leading to alert fatigue among security teams (Ban et al., 2023; Balogun et al., 2025).</w:t>
      </w:r>
    </w:p>
    <w:p w14:paraId="66F03FA0" w14:textId="77777777" w:rsidR="00557214" w:rsidRPr="00E677D9" w:rsidRDefault="00B62E06" w:rsidP="00E677D9">
      <w:pPr>
        <w:spacing w:after="240" w:line="240" w:lineRule="auto"/>
        <w:jc w:val="both"/>
        <w:rPr>
          <w:color w:val="0D0D0D"/>
          <w:sz w:val="24"/>
          <w:szCs w:val="24"/>
          <w:highlight w:val="white"/>
        </w:rPr>
      </w:pPr>
      <w:r w:rsidRPr="00E677D9">
        <w:rPr>
          <w:color w:val="0D0D0D"/>
          <w:sz w:val="24"/>
          <w:szCs w:val="24"/>
          <w:highlight w:val="white"/>
        </w:rPr>
        <w:t xml:space="preserve">Signature-based threat detection extends beyond IDS to include antivirus software and other security tools that match observed activities against databases of known threats. </w:t>
      </w:r>
      <w:proofErr w:type="spellStart"/>
      <w:r w:rsidRPr="00E677D9">
        <w:rPr>
          <w:color w:val="0D0D0D"/>
          <w:sz w:val="24"/>
          <w:szCs w:val="24"/>
          <w:highlight w:val="white"/>
        </w:rPr>
        <w:t>Durgaraju</w:t>
      </w:r>
      <w:proofErr w:type="spellEnd"/>
      <w:r w:rsidRPr="00E677D9">
        <w:rPr>
          <w:color w:val="0D0D0D"/>
          <w:sz w:val="24"/>
          <w:szCs w:val="24"/>
          <w:highlight w:val="white"/>
        </w:rPr>
        <w:t xml:space="preserve"> et al. (2025) argues that this reactive approach is ineffective against zero-day exploits and polymorphic malware, which do not conform to predefined attack signatures. As a result, attackers can exploit unknown vulnerabilities before security systems are updated, rendering these measures inadequate in countering emerging cyber threats.</w:t>
      </w:r>
    </w:p>
    <w:p w14:paraId="29C5D636" w14:textId="77777777" w:rsidR="00557214" w:rsidRPr="00E677D9" w:rsidRDefault="00B62E06" w:rsidP="00E677D9">
      <w:pPr>
        <w:spacing w:after="240" w:line="240" w:lineRule="auto"/>
        <w:jc w:val="both"/>
        <w:rPr>
          <w:color w:val="0D0D0D"/>
          <w:sz w:val="24"/>
          <w:szCs w:val="24"/>
          <w:highlight w:val="white"/>
        </w:rPr>
      </w:pPr>
      <w:r w:rsidRPr="00E677D9">
        <w:rPr>
          <w:color w:val="0D0D0D"/>
          <w:sz w:val="24"/>
          <w:szCs w:val="24"/>
          <w:highlight w:val="white"/>
        </w:rPr>
        <w:t xml:space="preserve">Security Information and Event Management (SIEM) systems aggregate and </w:t>
      </w:r>
      <w:proofErr w:type="spellStart"/>
      <w:r w:rsidRPr="00E677D9">
        <w:rPr>
          <w:color w:val="0D0D0D"/>
          <w:sz w:val="24"/>
          <w:szCs w:val="24"/>
          <w:highlight w:val="white"/>
        </w:rPr>
        <w:t>analyze</w:t>
      </w:r>
      <w:proofErr w:type="spellEnd"/>
      <w:r w:rsidRPr="00E677D9">
        <w:rPr>
          <w:color w:val="0D0D0D"/>
          <w:sz w:val="24"/>
          <w:szCs w:val="24"/>
          <w:highlight w:val="white"/>
        </w:rPr>
        <w:t xml:space="preserve"> security logs from various sources, offering a centralized view of an organization's security posture. Ali et al. (2024) states that while SIEM solutions help correlate events </w:t>
      </w:r>
      <w:r w:rsidRPr="00E677D9">
        <w:rPr>
          <w:color w:val="0D0D0D"/>
          <w:sz w:val="24"/>
          <w:szCs w:val="24"/>
          <w:highlight w:val="white"/>
        </w:rPr>
        <w:lastRenderedPageBreak/>
        <w:t>and identify potential threats, they often generate overwhelming volumes of alerts, many of which are false positives. The complexity of configuring and maintaining SIEMs, coupled with excessive alerts, can lead to the oversight of critical security threats.</w:t>
      </w:r>
    </w:p>
    <w:p w14:paraId="25B79D7A" w14:textId="77777777" w:rsidR="00557214" w:rsidRPr="00E677D9" w:rsidRDefault="00B62E06" w:rsidP="00E677D9">
      <w:pPr>
        <w:spacing w:after="240" w:line="240" w:lineRule="auto"/>
        <w:jc w:val="both"/>
        <w:rPr>
          <w:color w:val="0D0D0D"/>
          <w:sz w:val="24"/>
          <w:szCs w:val="24"/>
          <w:highlight w:val="white"/>
        </w:rPr>
      </w:pPr>
      <w:r w:rsidRPr="00E677D9">
        <w:rPr>
          <w:color w:val="0D0D0D"/>
          <w:sz w:val="24"/>
          <w:szCs w:val="24"/>
          <w:highlight w:val="white"/>
        </w:rPr>
        <w:t xml:space="preserve">The rapidly evolving cyber threat landscape further challenges these traditional measures. Zhang and Thing (2021) contends that Advanced Persistent Threats (APTs), zero-day exploits, and sophisticated malware variants bypass conventional </w:t>
      </w:r>
      <w:proofErr w:type="spellStart"/>
      <w:r w:rsidRPr="00E677D9">
        <w:rPr>
          <w:color w:val="0D0D0D"/>
          <w:sz w:val="24"/>
          <w:szCs w:val="24"/>
          <w:highlight w:val="white"/>
        </w:rPr>
        <w:t>defenses</w:t>
      </w:r>
      <w:proofErr w:type="spellEnd"/>
      <w:r w:rsidRPr="00E677D9">
        <w:rPr>
          <w:color w:val="0D0D0D"/>
          <w:sz w:val="24"/>
          <w:szCs w:val="24"/>
          <w:highlight w:val="white"/>
        </w:rPr>
        <w:t xml:space="preserve">, exploiting vulnerabilities that perimeter-based security solutions fail to address. Additionally, traditional security tools often operate in isolation, lacking the integration necessary for a unified </w:t>
      </w:r>
      <w:proofErr w:type="spellStart"/>
      <w:r w:rsidRPr="00E677D9">
        <w:rPr>
          <w:color w:val="0D0D0D"/>
          <w:sz w:val="24"/>
          <w:szCs w:val="24"/>
          <w:highlight w:val="white"/>
        </w:rPr>
        <w:t>defense</w:t>
      </w:r>
      <w:proofErr w:type="spellEnd"/>
      <w:r w:rsidRPr="00E677D9">
        <w:rPr>
          <w:color w:val="0D0D0D"/>
          <w:sz w:val="24"/>
          <w:szCs w:val="24"/>
          <w:highlight w:val="white"/>
        </w:rPr>
        <w:t xml:space="preserve"> strategy (</w:t>
      </w:r>
      <w:proofErr w:type="spellStart"/>
      <w:r w:rsidRPr="00E677D9">
        <w:rPr>
          <w:color w:val="0D0D0D"/>
          <w:sz w:val="24"/>
          <w:szCs w:val="24"/>
          <w:highlight w:val="white"/>
        </w:rPr>
        <w:t>Aftabi</w:t>
      </w:r>
      <w:proofErr w:type="spellEnd"/>
      <w:r w:rsidRPr="00E677D9">
        <w:rPr>
          <w:color w:val="0D0D0D"/>
          <w:sz w:val="24"/>
          <w:szCs w:val="24"/>
          <w:highlight w:val="white"/>
        </w:rPr>
        <w:t xml:space="preserve"> et al., 2025; Obioha-Val et al., 2025). Repetto (2023) notes that this fragmentation delays threat response, requiring security teams to manually correlate information across multiple systems. Moreover, inadequate endpoint security management and limited staff cybersecurity awareness exacerbate healthcare’s vulnerability to cyberattacks.</w:t>
      </w:r>
    </w:p>
    <w:p w14:paraId="10210C38" w14:textId="77777777" w:rsidR="00557214" w:rsidRPr="00E677D9" w:rsidRDefault="00B62E06" w:rsidP="00E677D9">
      <w:pPr>
        <w:spacing w:after="240" w:line="240" w:lineRule="auto"/>
        <w:jc w:val="both"/>
        <w:rPr>
          <w:color w:val="0D0D0D"/>
          <w:sz w:val="24"/>
          <w:szCs w:val="24"/>
          <w:highlight w:val="white"/>
        </w:rPr>
      </w:pPr>
      <w:r w:rsidRPr="00E677D9">
        <w:rPr>
          <w:color w:val="0D0D0D"/>
          <w:sz w:val="24"/>
          <w:szCs w:val="24"/>
          <w:highlight w:val="white"/>
        </w:rPr>
        <w:t>Given these limitations, Akinsola and Ejiofor (2024) posits that healthcare organizations must transition toward predictive and proactive security mechanisms. AI and machine learning-driven cybersecurity solutions enhance threat detection by identifying attack patterns, predicting emerging risks, and automating response actions. This shift toward predictive security represents a necessary evolution in safeguarding healthcare information systems against increasingly sophisticated cyber threats.</w:t>
      </w:r>
    </w:p>
    <w:p w14:paraId="5EDE6AFA" w14:textId="77777777" w:rsidR="00557214" w:rsidRPr="00E677D9" w:rsidRDefault="00B62E06" w:rsidP="00E677D9">
      <w:pPr>
        <w:pStyle w:val="Heading3"/>
        <w:keepNext w:val="0"/>
        <w:keepLines w:val="0"/>
        <w:spacing w:before="0" w:after="240" w:line="240" w:lineRule="auto"/>
        <w:jc w:val="both"/>
        <w:rPr>
          <w:b/>
          <w:color w:val="0D0D0D"/>
          <w:sz w:val="24"/>
          <w:szCs w:val="24"/>
          <w:highlight w:val="white"/>
        </w:rPr>
      </w:pPr>
      <w:bookmarkStart w:id="3" w:name="_y06n64sg3h2g" w:colFirst="0" w:colLast="0"/>
      <w:bookmarkEnd w:id="3"/>
      <w:r w:rsidRPr="00E677D9">
        <w:rPr>
          <w:b/>
          <w:color w:val="0D0D0D"/>
          <w:sz w:val="24"/>
          <w:szCs w:val="24"/>
          <w:highlight w:val="white"/>
        </w:rPr>
        <w:t>AI and Machine Learning in Cybersecurity: An Overview</w:t>
      </w:r>
    </w:p>
    <w:p w14:paraId="15BAE039" w14:textId="77777777" w:rsidR="00557214" w:rsidRPr="00E677D9" w:rsidRDefault="00B62E06" w:rsidP="00E677D9">
      <w:pPr>
        <w:spacing w:after="240" w:line="240" w:lineRule="auto"/>
        <w:jc w:val="both"/>
        <w:rPr>
          <w:color w:val="0D0D0D"/>
          <w:sz w:val="24"/>
          <w:szCs w:val="24"/>
          <w:highlight w:val="white"/>
        </w:rPr>
      </w:pPr>
      <w:r w:rsidRPr="00E677D9">
        <w:rPr>
          <w:color w:val="0D0D0D"/>
          <w:sz w:val="24"/>
          <w:szCs w:val="24"/>
          <w:highlight w:val="white"/>
        </w:rPr>
        <w:t xml:space="preserve">Artificial Intelligence (AI) and Machine Learning (ML) have significantly enhanced cybersecurity by improving the detection, prevention, and mitigation of increasingly sophisticated cyber threats. </w:t>
      </w:r>
      <w:proofErr w:type="spellStart"/>
      <w:r w:rsidRPr="00E677D9">
        <w:rPr>
          <w:color w:val="0D0D0D"/>
          <w:sz w:val="24"/>
          <w:szCs w:val="24"/>
          <w:highlight w:val="white"/>
        </w:rPr>
        <w:t>Gligorea</w:t>
      </w:r>
      <w:proofErr w:type="spellEnd"/>
      <w:r w:rsidRPr="00E677D9">
        <w:rPr>
          <w:color w:val="0D0D0D"/>
          <w:sz w:val="24"/>
          <w:szCs w:val="24"/>
          <w:highlight w:val="white"/>
        </w:rPr>
        <w:t xml:space="preserve"> et al. (2023) argues that AI enables machines to simulate human intelligence, allowing them to learn, reason, and adapt, while ML, a subset of AI, uses algorithms that refine their performance based on data without explicit programming. These technologies contrast with traditional cybersecurity approaches, which primarily rely on predefined rules and known threat signatures. While conventional methods remain relevant, Tahmasebi (2024) contends that they struggle to address evolving threats that rapidly outpace established detection mechanisms.</w:t>
      </w:r>
    </w:p>
    <w:p w14:paraId="3D38B7A9" w14:textId="77777777" w:rsidR="00557214" w:rsidRPr="00E677D9" w:rsidRDefault="00B62E06" w:rsidP="00E677D9">
      <w:pPr>
        <w:spacing w:after="240" w:line="240" w:lineRule="auto"/>
        <w:jc w:val="both"/>
        <w:rPr>
          <w:color w:val="0D0D0D"/>
          <w:sz w:val="24"/>
          <w:szCs w:val="24"/>
          <w:highlight w:val="white"/>
        </w:rPr>
      </w:pPr>
      <w:r w:rsidRPr="00E677D9">
        <w:rPr>
          <w:color w:val="0D0D0D"/>
          <w:sz w:val="24"/>
          <w:szCs w:val="24"/>
          <w:highlight w:val="white"/>
        </w:rPr>
        <w:t xml:space="preserve">AI-driven cybersecurity incorporates various ML techniques to strengthen threat detection and response. Abbas et al. (2025) states that supervised learning utilizes </w:t>
      </w:r>
      <w:proofErr w:type="spellStart"/>
      <w:r w:rsidRPr="00E677D9">
        <w:rPr>
          <w:color w:val="0D0D0D"/>
          <w:sz w:val="24"/>
          <w:szCs w:val="24"/>
          <w:highlight w:val="white"/>
        </w:rPr>
        <w:t>labeled</w:t>
      </w:r>
      <w:proofErr w:type="spellEnd"/>
      <w:r w:rsidRPr="00E677D9">
        <w:rPr>
          <w:color w:val="0D0D0D"/>
          <w:sz w:val="24"/>
          <w:szCs w:val="24"/>
          <w:highlight w:val="white"/>
        </w:rPr>
        <w:t xml:space="preserve"> datasets to classify activities as either benign or malicious, making it particularly effective in Electronic Health Record (EHR) security, where AI </w:t>
      </w:r>
      <w:proofErr w:type="spellStart"/>
      <w:r w:rsidRPr="00E677D9">
        <w:rPr>
          <w:color w:val="0D0D0D"/>
          <w:sz w:val="24"/>
          <w:szCs w:val="24"/>
          <w:highlight w:val="white"/>
        </w:rPr>
        <w:t>analyzes</w:t>
      </w:r>
      <w:proofErr w:type="spellEnd"/>
      <w:r w:rsidRPr="00E677D9">
        <w:rPr>
          <w:color w:val="0D0D0D"/>
          <w:sz w:val="24"/>
          <w:szCs w:val="24"/>
          <w:highlight w:val="white"/>
        </w:rPr>
        <w:t xml:space="preserve"> access logs to detect anomalies indicative of unauthorized activity. Commonly used models include support vector machines and deep learning networks, which enhance accuracy in identifying cyber threats. In contrast, Husseini et al. (2024) posits that unsupervised learning operates on </w:t>
      </w:r>
      <w:proofErr w:type="spellStart"/>
      <w:r w:rsidRPr="00E677D9">
        <w:rPr>
          <w:color w:val="0D0D0D"/>
          <w:sz w:val="24"/>
          <w:szCs w:val="24"/>
          <w:highlight w:val="white"/>
        </w:rPr>
        <w:t>unlabeled</w:t>
      </w:r>
      <w:proofErr w:type="spellEnd"/>
      <w:r w:rsidRPr="00E677D9">
        <w:rPr>
          <w:color w:val="0D0D0D"/>
          <w:sz w:val="24"/>
          <w:szCs w:val="24"/>
          <w:highlight w:val="white"/>
        </w:rPr>
        <w:t xml:space="preserve"> data to detect hidden patterns and deviations from normal </w:t>
      </w:r>
      <w:proofErr w:type="spellStart"/>
      <w:r w:rsidRPr="00E677D9">
        <w:rPr>
          <w:color w:val="0D0D0D"/>
          <w:sz w:val="24"/>
          <w:szCs w:val="24"/>
          <w:highlight w:val="white"/>
        </w:rPr>
        <w:t>behavior</w:t>
      </w:r>
      <w:proofErr w:type="spellEnd"/>
      <w:r w:rsidRPr="00E677D9">
        <w:rPr>
          <w:color w:val="0D0D0D"/>
          <w:sz w:val="24"/>
          <w:szCs w:val="24"/>
          <w:highlight w:val="white"/>
        </w:rPr>
        <w:t>, a critical capability in recognizing zero-day exploits and novel malware through clustering-based anomaly detection.</w:t>
      </w:r>
    </w:p>
    <w:p w14:paraId="43EA96C6" w14:textId="77777777" w:rsidR="00557214" w:rsidRPr="00E677D9" w:rsidRDefault="00B62E06" w:rsidP="00E677D9">
      <w:pPr>
        <w:spacing w:after="240" w:line="240" w:lineRule="auto"/>
        <w:jc w:val="both"/>
        <w:rPr>
          <w:color w:val="0D0D0D"/>
          <w:sz w:val="24"/>
          <w:szCs w:val="24"/>
          <w:highlight w:val="white"/>
        </w:rPr>
      </w:pPr>
      <w:r w:rsidRPr="00E677D9">
        <w:rPr>
          <w:color w:val="0D0D0D"/>
          <w:sz w:val="24"/>
          <w:szCs w:val="24"/>
          <w:highlight w:val="white"/>
        </w:rPr>
        <w:t>Beyond these methods, Singh et al. (2021) contends that reinforcement learning represents an advanced approach in which models continuously refine their decision-</w:t>
      </w:r>
      <w:r w:rsidRPr="00E677D9">
        <w:rPr>
          <w:color w:val="0D0D0D"/>
          <w:sz w:val="24"/>
          <w:szCs w:val="24"/>
          <w:highlight w:val="white"/>
        </w:rPr>
        <w:lastRenderedPageBreak/>
        <w:t xml:space="preserve">making based on feedback. In cybersecurity, this method is applied to adaptive </w:t>
      </w:r>
      <w:proofErr w:type="spellStart"/>
      <w:r w:rsidRPr="00E677D9">
        <w:rPr>
          <w:color w:val="0D0D0D"/>
          <w:sz w:val="24"/>
          <w:szCs w:val="24"/>
          <w:highlight w:val="white"/>
        </w:rPr>
        <w:t>defense</w:t>
      </w:r>
      <w:proofErr w:type="spellEnd"/>
      <w:r w:rsidRPr="00E677D9">
        <w:rPr>
          <w:color w:val="0D0D0D"/>
          <w:sz w:val="24"/>
          <w:szCs w:val="24"/>
          <w:highlight w:val="white"/>
        </w:rPr>
        <w:t xml:space="preserve"> mechanisms, enabling autonomous adjustments to firewall rules and real-time responses to emerging threats. AI-driven systems further enhance cybersecurity resilience by conducting real-time network traffic analysis, vulnerability identification, and automated incident response, significantly reducing the time required to detect and mitigate breaches (Hassan &amp; Ibrahim, 2023; </w:t>
      </w:r>
      <w:proofErr w:type="spellStart"/>
      <w:r w:rsidRPr="00E677D9">
        <w:rPr>
          <w:color w:val="0D0D0D"/>
          <w:sz w:val="24"/>
          <w:szCs w:val="24"/>
          <w:highlight w:val="white"/>
        </w:rPr>
        <w:t>Olutimehin</w:t>
      </w:r>
      <w:proofErr w:type="spellEnd"/>
      <w:r w:rsidRPr="00E677D9">
        <w:rPr>
          <w:color w:val="0D0D0D"/>
          <w:sz w:val="24"/>
          <w:szCs w:val="24"/>
          <w:highlight w:val="white"/>
        </w:rPr>
        <w:t>, 2025). By processing vast amounts of data instantaneously, AI can identify subtle indicators of cyber intrusions and trigger rapid interventions that minimize potential damage (Jimmy, 2024; Balogun et al., 2025).</w:t>
      </w:r>
    </w:p>
    <w:p w14:paraId="19A7159B" w14:textId="77777777" w:rsidR="00557214" w:rsidRPr="00E677D9" w:rsidRDefault="00B62E06" w:rsidP="00E677D9">
      <w:pPr>
        <w:spacing w:after="240" w:line="240" w:lineRule="auto"/>
        <w:jc w:val="both"/>
        <w:rPr>
          <w:color w:val="0D0D0D"/>
          <w:sz w:val="24"/>
          <w:szCs w:val="24"/>
          <w:highlight w:val="white"/>
        </w:rPr>
      </w:pPr>
      <w:r w:rsidRPr="00E677D9">
        <w:rPr>
          <w:color w:val="0D0D0D"/>
          <w:sz w:val="24"/>
          <w:szCs w:val="24"/>
          <w:highlight w:val="white"/>
        </w:rPr>
        <w:t xml:space="preserve">Despite these advancements, Mohamed (2023) argues that integrating AI and ML into cybersecurity presents several challenges. Cybercriminals increasingly leverage AI to develop sophisticated attack strategies, necessitating continuous adaptation of </w:t>
      </w:r>
      <w:proofErr w:type="spellStart"/>
      <w:r w:rsidRPr="00E677D9">
        <w:rPr>
          <w:color w:val="0D0D0D"/>
          <w:sz w:val="24"/>
          <w:szCs w:val="24"/>
          <w:highlight w:val="white"/>
        </w:rPr>
        <w:t>defense</w:t>
      </w:r>
      <w:proofErr w:type="spellEnd"/>
      <w:r w:rsidRPr="00E677D9">
        <w:rPr>
          <w:color w:val="0D0D0D"/>
          <w:sz w:val="24"/>
          <w:szCs w:val="24"/>
          <w:highlight w:val="white"/>
        </w:rPr>
        <w:t xml:space="preserve"> mechanisms. Additionally, AI models require ongoing training and refinement to maintain accuracy and effectiveness in an ever-changing cyber threat environment. Nonetheless, Ahmad (2023) posits that the transformative potential of AI in cybersecurity is undeniable, particularly in high-risk sectors such as healthcare, where protecting sensitive data and maintaining system integrity are paramount. As cyber threats grow in complexity, AI-driven security solutions provide an essential </w:t>
      </w:r>
      <w:proofErr w:type="spellStart"/>
      <w:r w:rsidRPr="00E677D9">
        <w:rPr>
          <w:color w:val="0D0D0D"/>
          <w:sz w:val="24"/>
          <w:szCs w:val="24"/>
          <w:highlight w:val="white"/>
        </w:rPr>
        <w:t>defense</w:t>
      </w:r>
      <w:proofErr w:type="spellEnd"/>
      <w:r w:rsidRPr="00E677D9">
        <w:rPr>
          <w:color w:val="0D0D0D"/>
          <w:sz w:val="24"/>
          <w:szCs w:val="24"/>
          <w:highlight w:val="white"/>
        </w:rPr>
        <w:t xml:space="preserve"> mechanism, strengthening healthcare cybersecurity infrastructure and enhancing overall resilience against digital threats (Oloyede, 2024; Obioha-Val et al., 2025).</w:t>
      </w:r>
    </w:p>
    <w:p w14:paraId="39F48F76" w14:textId="77777777" w:rsidR="00557214" w:rsidRPr="00E677D9" w:rsidRDefault="00B62E06" w:rsidP="00E677D9">
      <w:pPr>
        <w:pStyle w:val="Heading3"/>
        <w:keepNext w:val="0"/>
        <w:keepLines w:val="0"/>
        <w:spacing w:before="0" w:after="240" w:line="240" w:lineRule="auto"/>
        <w:jc w:val="both"/>
        <w:rPr>
          <w:b/>
          <w:color w:val="0D0D0D"/>
          <w:sz w:val="24"/>
          <w:szCs w:val="24"/>
          <w:highlight w:val="white"/>
        </w:rPr>
      </w:pPr>
      <w:bookmarkStart w:id="4" w:name="_2npdpouuekct" w:colFirst="0" w:colLast="0"/>
      <w:bookmarkEnd w:id="4"/>
      <w:r w:rsidRPr="00E677D9">
        <w:rPr>
          <w:b/>
          <w:color w:val="0D0D0D"/>
          <w:sz w:val="24"/>
          <w:szCs w:val="24"/>
          <w:highlight w:val="white"/>
        </w:rPr>
        <w:t xml:space="preserve">AI-Driven Predictive Cybersecurity Risk </w:t>
      </w:r>
      <w:proofErr w:type="spellStart"/>
      <w:r w:rsidRPr="00E677D9">
        <w:rPr>
          <w:b/>
          <w:color w:val="0D0D0D"/>
          <w:sz w:val="24"/>
          <w:szCs w:val="24"/>
          <w:highlight w:val="white"/>
        </w:rPr>
        <w:t>Modeling</w:t>
      </w:r>
      <w:proofErr w:type="spellEnd"/>
      <w:r w:rsidRPr="00E677D9">
        <w:rPr>
          <w:b/>
          <w:color w:val="0D0D0D"/>
          <w:sz w:val="24"/>
          <w:szCs w:val="24"/>
          <w:highlight w:val="white"/>
        </w:rPr>
        <w:t xml:space="preserve"> in Healthcare</w:t>
      </w:r>
    </w:p>
    <w:p w14:paraId="76306586" w14:textId="77777777" w:rsidR="00557214" w:rsidRPr="00E677D9" w:rsidRDefault="00B62E06" w:rsidP="00E677D9">
      <w:pPr>
        <w:spacing w:after="240" w:line="240" w:lineRule="auto"/>
        <w:jc w:val="both"/>
        <w:rPr>
          <w:color w:val="0D0D0D"/>
          <w:sz w:val="24"/>
          <w:szCs w:val="24"/>
          <w:highlight w:val="white"/>
        </w:rPr>
      </w:pPr>
      <w:r w:rsidRPr="00E677D9">
        <w:rPr>
          <w:color w:val="0D0D0D"/>
          <w:sz w:val="24"/>
          <w:szCs w:val="24"/>
          <w:highlight w:val="white"/>
        </w:rPr>
        <w:t xml:space="preserve">Artificial intelligence (AI) and machine learning (ML) have significantly enhanced cybersecurity in healthcare by enabling predictive risk </w:t>
      </w:r>
      <w:proofErr w:type="spellStart"/>
      <w:r w:rsidRPr="00E677D9">
        <w:rPr>
          <w:color w:val="0D0D0D"/>
          <w:sz w:val="24"/>
          <w:szCs w:val="24"/>
          <w:highlight w:val="white"/>
        </w:rPr>
        <w:t>modeling</w:t>
      </w:r>
      <w:proofErr w:type="spellEnd"/>
      <w:r w:rsidRPr="00E677D9">
        <w:rPr>
          <w:color w:val="0D0D0D"/>
          <w:sz w:val="24"/>
          <w:szCs w:val="24"/>
          <w:highlight w:val="white"/>
        </w:rPr>
        <w:t xml:space="preserve"> and proactive threat detection. Wickramasinghe (2023) argues that predictive cybersecurity risk </w:t>
      </w:r>
      <w:proofErr w:type="spellStart"/>
      <w:r w:rsidRPr="00E677D9">
        <w:rPr>
          <w:color w:val="0D0D0D"/>
          <w:sz w:val="24"/>
          <w:szCs w:val="24"/>
          <w:highlight w:val="white"/>
        </w:rPr>
        <w:t>modeling</w:t>
      </w:r>
      <w:proofErr w:type="spellEnd"/>
      <w:r w:rsidRPr="00E677D9">
        <w:rPr>
          <w:color w:val="0D0D0D"/>
          <w:sz w:val="24"/>
          <w:szCs w:val="24"/>
          <w:highlight w:val="white"/>
        </w:rPr>
        <w:t xml:space="preserve"> leverages AI and ML algorithms to </w:t>
      </w:r>
      <w:proofErr w:type="spellStart"/>
      <w:r w:rsidRPr="00E677D9">
        <w:rPr>
          <w:color w:val="0D0D0D"/>
          <w:sz w:val="24"/>
          <w:szCs w:val="24"/>
          <w:highlight w:val="white"/>
        </w:rPr>
        <w:t>analyze</w:t>
      </w:r>
      <w:proofErr w:type="spellEnd"/>
      <w:r w:rsidRPr="00E677D9">
        <w:rPr>
          <w:color w:val="0D0D0D"/>
          <w:sz w:val="24"/>
          <w:szCs w:val="24"/>
          <w:highlight w:val="white"/>
        </w:rPr>
        <w:t xml:space="preserve"> vast datasets, identify patterns, and anticipate security breaches before they occur. This proactive approach contrasts with traditional reactive methods, allowing healthcare organizations to mitigate threats in real-time and strengthen their overall cybersecurity posture (</w:t>
      </w:r>
      <w:proofErr w:type="spellStart"/>
      <w:r w:rsidRPr="00E677D9">
        <w:rPr>
          <w:color w:val="0D0D0D"/>
          <w:sz w:val="24"/>
          <w:szCs w:val="24"/>
          <w:highlight w:val="white"/>
        </w:rPr>
        <w:t>Tanikonda</w:t>
      </w:r>
      <w:proofErr w:type="spellEnd"/>
      <w:r w:rsidRPr="00E677D9">
        <w:rPr>
          <w:color w:val="0D0D0D"/>
          <w:sz w:val="24"/>
          <w:szCs w:val="24"/>
          <w:highlight w:val="white"/>
        </w:rPr>
        <w:t xml:space="preserve"> et al., 2025; </w:t>
      </w:r>
      <w:proofErr w:type="spellStart"/>
      <w:r w:rsidRPr="00E677D9">
        <w:rPr>
          <w:color w:val="0D0D0D"/>
          <w:sz w:val="24"/>
          <w:szCs w:val="24"/>
          <w:highlight w:val="white"/>
        </w:rPr>
        <w:t>Olutimehin</w:t>
      </w:r>
      <w:proofErr w:type="spellEnd"/>
      <w:r w:rsidRPr="00E677D9">
        <w:rPr>
          <w:color w:val="0D0D0D"/>
          <w:sz w:val="24"/>
          <w:szCs w:val="24"/>
          <w:highlight w:val="white"/>
        </w:rPr>
        <w:t>, 2025).</w:t>
      </w:r>
    </w:p>
    <w:p w14:paraId="39B3C6B5" w14:textId="77777777" w:rsidR="00557214" w:rsidRPr="00E677D9" w:rsidRDefault="00B62E06" w:rsidP="00E677D9">
      <w:pPr>
        <w:spacing w:after="240" w:line="240" w:lineRule="auto"/>
        <w:jc w:val="both"/>
        <w:rPr>
          <w:color w:val="0D0D0D"/>
          <w:sz w:val="24"/>
          <w:szCs w:val="24"/>
          <w:highlight w:val="white"/>
        </w:rPr>
      </w:pPr>
      <w:r w:rsidRPr="00E677D9">
        <w:rPr>
          <w:color w:val="0D0D0D"/>
          <w:sz w:val="24"/>
          <w:szCs w:val="24"/>
          <w:highlight w:val="white"/>
        </w:rPr>
        <w:t xml:space="preserve">AI-driven anomaly detection systems play a crucial role in safeguarding healthcare networks. Nwoye and </w:t>
      </w:r>
      <w:proofErr w:type="spellStart"/>
      <w:r w:rsidRPr="00E677D9">
        <w:rPr>
          <w:color w:val="0D0D0D"/>
          <w:sz w:val="24"/>
          <w:szCs w:val="24"/>
          <w:highlight w:val="white"/>
        </w:rPr>
        <w:t>Nwagwughiagwu</w:t>
      </w:r>
      <w:proofErr w:type="spellEnd"/>
      <w:r w:rsidRPr="00E677D9">
        <w:rPr>
          <w:color w:val="0D0D0D"/>
          <w:sz w:val="24"/>
          <w:szCs w:val="24"/>
          <w:highlight w:val="white"/>
        </w:rPr>
        <w:t xml:space="preserve"> (2024) states that these systems continuously monitor network traffic, user </w:t>
      </w:r>
      <w:proofErr w:type="spellStart"/>
      <w:r w:rsidRPr="00E677D9">
        <w:rPr>
          <w:color w:val="0D0D0D"/>
          <w:sz w:val="24"/>
          <w:szCs w:val="24"/>
          <w:highlight w:val="white"/>
        </w:rPr>
        <w:t>behavior</w:t>
      </w:r>
      <w:proofErr w:type="spellEnd"/>
      <w:r w:rsidRPr="00E677D9">
        <w:rPr>
          <w:color w:val="0D0D0D"/>
          <w:sz w:val="24"/>
          <w:szCs w:val="24"/>
          <w:highlight w:val="white"/>
        </w:rPr>
        <w:t xml:space="preserve">, and system logs to establish a baseline of normal activity. Any significant deviation from this baseline can trigger alerts, </w:t>
      </w:r>
      <w:proofErr w:type="spellStart"/>
      <w:r w:rsidRPr="00E677D9">
        <w:rPr>
          <w:color w:val="0D0D0D"/>
          <w:sz w:val="24"/>
          <w:szCs w:val="24"/>
          <w:highlight w:val="white"/>
        </w:rPr>
        <w:t>signaling</w:t>
      </w:r>
      <w:proofErr w:type="spellEnd"/>
      <w:r w:rsidRPr="00E677D9">
        <w:rPr>
          <w:color w:val="0D0D0D"/>
          <w:sz w:val="24"/>
          <w:szCs w:val="24"/>
          <w:highlight w:val="white"/>
        </w:rPr>
        <w:t xml:space="preserve"> potential security incidents. Pool et al. (2024) posits that unusual access patterns to Electronic Health Records (EHRs) or unexpected data transfers may indicate unauthorized access or data breaches. By leveraging historical attack patterns and real-time data analysis, AI enhances early threat detection and enables quicker incident response (Manda, 2024; Obioha-Val et al., 2025).</w:t>
      </w:r>
    </w:p>
    <w:p w14:paraId="40DADF80" w14:textId="77777777" w:rsidR="00557214" w:rsidRPr="00E677D9" w:rsidRDefault="00B62E06" w:rsidP="00E677D9">
      <w:pPr>
        <w:spacing w:after="240" w:line="240" w:lineRule="auto"/>
        <w:jc w:val="both"/>
        <w:rPr>
          <w:color w:val="0D0D0D"/>
          <w:sz w:val="24"/>
          <w:szCs w:val="24"/>
          <w:highlight w:val="white"/>
        </w:rPr>
      </w:pPr>
      <w:r w:rsidRPr="00E677D9">
        <w:rPr>
          <w:color w:val="0D0D0D"/>
          <w:sz w:val="24"/>
          <w:szCs w:val="24"/>
          <w:highlight w:val="white"/>
        </w:rPr>
        <w:t xml:space="preserve">Several healthcare institutions have adopted AI/ML-based cybersecurity frameworks to improve their </w:t>
      </w:r>
      <w:proofErr w:type="spellStart"/>
      <w:r w:rsidRPr="00E677D9">
        <w:rPr>
          <w:color w:val="0D0D0D"/>
          <w:sz w:val="24"/>
          <w:szCs w:val="24"/>
          <w:highlight w:val="white"/>
        </w:rPr>
        <w:t>defense</w:t>
      </w:r>
      <w:proofErr w:type="spellEnd"/>
      <w:r w:rsidRPr="00E677D9">
        <w:rPr>
          <w:color w:val="0D0D0D"/>
          <w:sz w:val="24"/>
          <w:szCs w:val="24"/>
          <w:highlight w:val="white"/>
        </w:rPr>
        <w:t xml:space="preserve"> mechanisms. Ortiz (2020) highlights that Mayo Clinic has partnered with </w:t>
      </w:r>
      <w:proofErr w:type="spellStart"/>
      <w:r w:rsidRPr="00E677D9">
        <w:rPr>
          <w:color w:val="0D0D0D"/>
          <w:sz w:val="24"/>
          <w:szCs w:val="24"/>
          <w:highlight w:val="white"/>
        </w:rPr>
        <w:t>Ordr</w:t>
      </w:r>
      <w:proofErr w:type="spellEnd"/>
      <w:r w:rsidRPr="00E677D9">
        <w:rPr>
          <w:color w:val="0D0D0D"/>
          <w:sz w:val="24"/>
          <w:szCs w:val="24"/>
          <w:highlight w:val="white"/>
        </w:rPr>
        <w:t xml:space="preserve"> to secure Internet of Medical Things (IoMT) and healthcare IoT (</w:t>
      </w:r>
      <w:proofErr w:type="spellStart"/>
      <w:r w:rsidRPr="00E677D9">
        <w:rPr>
          <w:color w:val="0D0D0D"/>
          <w:sz w:val="24"/>
          <w:szCs w:val="24"/>
          <w:highlight w:val="white"/>
        </w:rPr>
        <w:t>HIoT</w:t>
      </w:r>
      <w:proofErr w:type="spellEnd"/>
      <w:r w:rsidRPr="00E677D9">
        <w:rPr>
          <w:color w:val="0D0D0D"/>
          <w:sz w:val="24"/>
          <w:szCs w:val="24"/>
          <w:highlight w:val="white"/>
        </w:rPr>
        <w:t>) devices, addressing challenges associated with connected medical equipment security. Similarly, Cleveland Clinic has implemented AI-driven Endpoint Detection and Response (EDR) systems to monitor endpoint activities, detect anomalies, and respond to threats in real-</w:t>
      </w:r>
      <w:r w:rsidRPr="00E677D9">
        <w:rPr>
          <w:color w:val="0D0D0D"/>
          <w:sz w:val="24"/>
          <w:szCs w:val="24"/>
          <w:highlight w:val="white"/>
        </w:rPr>
        <w:lastRenderedPageBreak/>
        <w:t xml:space="preserve">time, thereby strengthening the institution’s ability to protect sensitive patient data </w:t>
      </w:r>
      <w:r w:rsidRPr="00E677D9">
        <w:rPr>
          <w:sz w:val="24"/>
          <w:szCs w:val="24"/>
        </w:rPr>
        <w:t>(Cleveland Clinic, 2025)</w:t>
      </w:r>
      <w:r w:rsidRPr="00E677D9">
        <w:rPr>
          <w:color w:val="0D0D0D"/>
          <w:sz w:val="24"/>
          <w:szCs w:val="24"/>
          <w:highlight w:val="white"/>
        </w:rPr>
        <w:t>.</w:t>
      </w:r>
    </w:p>
    <w:p w14:paraId="27BD11DC" w14:textId="77777777" w:rsidR="00557214" w:rsidRPr="00E677D9" w:rsidRDefault="00B62E06" w:rsidP="00E677D9">
      <w:pPr>
        <w:spacing w:after="240" w:line="240" w:lineRule="auto"/>
        <w:jc w:val="both"/>
        <w:rPr>
          <w:color w:val="0D0D0D"/>
          <w:sz w:val="24"/>
          <w:szCs w:val="24"/>
          <w:highlight w:val="white"/>
        </w:rPr>
      </w:pPr>
      <w:r w:rsidRPr="00E677D9">
        <w:rPr>
          <w:color w:val="0D0D0D"/>
          <w:sz w:val="24"/>
          <w:szCs w:val="24"/>
          <w:highlight w:val="white"/>
        </w:rPr>
        <w:t xml:space="preserve">Beyond individual institutions, Tariq (2024) argues that collaborative initiatives have further enhanced healthcare cybersecurity. European hospitals, for example, have adopted federated learning, a decentralized AI approach that enables multiple institutions to train models on local data while preserving patient confidentiality </w:t>
      </w:r>
      <w:r w:rsidRPr="00E677D9">
        <w:rPr>
          <w:sz w:val="24"/>
          <w:szCs w:val="24"/>
        </w:rPr>
        <w:t xml:space="preserve">(Abbas et al., 2024; </w:t>
      </w:r>
      <w:proofErr w:type="spellStart"/>
      <w:r w:rsidRPr="00E677D9">
        <w:rPr>
          <w:sz w:val="24"/>
          <w:szCs w:val="24"/>
        </w:rPr>
        <w:t>Olutimehin</w:t>
      </w:r>
      <w:proofErr w:type="spellEnd"/>
      <w:r w:rsidRPr="00E677D9">
        <w:rPr>
          <w:sz w:val="24"/>
          <w:szCs w:val="24"/>
        </w:rPr>
        <w:t xml:space="preserve"> et al., 2025)</w:t>
      </w:r>
      <w:r w:rsidRPr="00E677D9">
        <w:rPr>
          <w:color w:val="0D0D0D"/>
          <w:sz w:val="24"/>
          <w:szCs w:val="24"/>
          <w:highlight w:val="white"/>
        </w:rPr>
        <w:t xml:space="preserve">. This method fosters threat intelligence sharing and strengthens collective cybersecurity </w:t>
      </w:r>
      <w:proofErr w:type="spellStart"/>
      <w:r w:rsidRPr="00E677D9">
        <w:rPr>
          <w:color w:val="0D0D0D"/>
          <w:sz w:val="24"/>
          <w:szCs w:val="24"/>
          <w:highlight w:val="white"/>
        </w:rPr>
        <w:t>defenses</w:t>
      </w:r>
      <w:proofErr w:type="spellEnd"/>
      <w:r w:rsidRPr="00E677D9">
        <w:rPr>
          <w:color w:val="0D0D0D"/>
          <w:sz w:val="24"/>
          <w:szCs w:val="24"/>
          <w:highlight w:val="white"/>
        </w:rPr>
        <w:t xml:space="preserve"> without centralizing sensitive information.</w:t>
      </w:r>
    </w:p>
    <w:p w14:paraId="1B62EF07" w14:textId="77777777" w:rsidR="00557214" w:rsidRPr="00E677D9" w:rsidRDefault="00B62E06" w:rsidP="00E677D9">
      <w:pPr>
        <w:spacing w:after="240" w:line="240" w:lineRule="auto"/>
        <w:jc w:val="both"/>
        <w:rPr>
          <w:color w:val="0D0D0D"/>
          <w:sz w:val="24"/>
          <w:szCs w:val="24"/>
          <w:highlight w:val="white"/>
        </w:rPr>
      </w:pPr>
      <w:r w:rsidRPr="00E677D9">
        <w:rPr>
          <w:color w:val="0D0D0D"/>
          <w:sz w:val="24"/>
          <w:szCs w:val="24"/>
          <w:highlight w:val="white"/>
        </w:rPr>
        <w:t>Despite these advancements, Bala et al. (2024) contends that AI implementation in healthcare cybersecurity presents challenges. Concerns regarding data privacy, AI-generated decision biases, and regulatory compliance must be addressed to ensure ethical and effective deployment. Additionally, as cybercriminals increasingly adopt AI-driven attack techniques, security systems must continuously adapt to counter emerging threats (</w:t>
      </w:r>
      <w:proofErr w:type="spellStart"/>
      <w:r w:rsidRPr="00E677D9">
        <w:rPr>
          <w:color w:val="0D0D0D"/>
          <w:sz w:val="24"/>
          <w:szCs w:val="24"/>
          <w:highlight w:val="white"/>
        </w:rPr>
        <w:t>Guembe</w:t>
      </w:r>
      <w:proofErr w:type="spellEnd"/>
      <w:r w:rsidRPr="00E677D9">
        <w:rPr>
          <w:color w:val="0D0D0D"/>
          <w:sz w:val="24"/>
          <w:szCs w:val="24"/>
          <w:highlight w:val="white"/>
        </w:rPr>
        <w:t xml:space="preserve"> et al., 2022; Alao et al., 2024).</w:t>
      </w:r>
    </w:p>
    <w:p w14:paraId="3D78ABAC" w14:textId="77777777" w:rsidR="00557214" w:rsidRPr="00E677D9" w:rsidRDefault="00B62E06" w:rsidP="00E677D9">
      <w:pPr>
        <w:spacing w:after="240" w:line="240" w:lineRule="auto"/>
        <w:jc w:val="both"/>
        <w:rPr>
          <w:color w:val="0D0D0D"/>
          <w:sz w:val="24"/>
          <w:szCs w:val="24"/>
          <w:highlight w:val="white"/>
        </w:rPr>
      </w:pPr>
      <w:r w:rsidRPr="00E677D9">
        <w:rPr>
          <w:color w:val="0D0D0D"/>
          <w:sz w:val="24"/>
          <w:szCs w:val="24"/>
          <w:highlight w:val="white"/>
        </w:rPr>
        <w:t xml:space="preserve">The integration of AI and ML into cybersecurity offers healthcare organizations a transformative approach to predicting, detecting, and mitigating cyber threats. Maharjan (2023) posits that by shifting from reactive security measures to predictive </w:t>
      </w:r>
      <w:proofErr w:type="spellStart"/>
      <w:r w:rsidRPr="00E677D9">
        <w:rPr>
          <w:color w:val="0D0D0D"/>
          <w:sz w:val="24"/>
          <w:szCs w:val="24"/>
          <w:highlight w:val="white"/>
        </w:rPr>
        <w:t>modeling</w:t>
      </w:r>
      <w:proofErr w:type="spellEnd"/>
      <w:r w:rsidRPr="00E677D9">
        <w:rPr>
          <w:color w:val="0D0D0D"/>
          <w:sz w:val="24"/>
          <w:szCs w:val="24"/>
          <w:highlight w:val="white"/>
        </w:rPr>
        <w:t>, AI-driven cybersecurity strategies significantly enhance patient data protection and reinforce healthcare system resilience against evolving cyber risks.</w:t>
      </w:r>
    </w:p>
    <w:p w14:paraId="595EADF0" w14:textId="77777777" w:rsidR="00557214" w:rsidRPr="00E677D9" w:rsidRDefault="00B62E06" w:rsidP="00E677D9">
      <w:pPr>
        <w:pStyle w:val="Heading3"/>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0" w:after="240" w:line="240" w:lineRule="auto"/>
        <w:rPr>
          <w:b/>
          <w:color w:val="0D0D0D"/>
          <w:sz w:val="24"/>
          <w:szCs w:val="24"/>
          <w:highlight w:val="white"/>
        </w:rPr>
      </w:pPr>
      <w:bookmarkStart w:id="5" w:name="_lvk6bu5f5chs" w:colFirst="0" w:colLast="0"/>
      <w:bookmarkEnd w:id="5"/>
      <w:r w:rsidRPr="00E677D9">
        <w:rPr>
          <w:b/>
          <w:color w:val="0D0D0D"/>
          <w:sz w:val="24"/>
          <w:szCs w:val="24"/>
          <w:highlight w:val="white"/>
        </w:rPr>
        <w:t>Benefits and Effectiveness of AI and Machine Learning in Cybersecurity</w:t>
      </w:r>
    </w:p>
    <w:p w14:paraId="2043C2D4"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r w:rsidRPr="00E677D9">
        <w:rPr>
          <w:color w:val="0D0D0D"/>
          <w:sz w:val="24"/>
          <w:szCs w:val="24"/>
          <w:highlight w:val="white"/>
        </w:rPr>
        <w:t xml:space="preserve">Artificial intelligence (AI) and machine learning (ML) have become integral to cybersecurity, addressing the limitations of traditional security measures. </w:t>
      </w:r>
      <w:proofErr w:type="spellStart"/>
      <w:r w:rsidRPr="00E677D9">
        <w:rPr>
          <w:color w:val="0D0D0D"/>
          <w:sz w:val="24"/>
          <w:szCs w:val="24"/>
          <w:highlight w:val="white"/>
        </w:rPr>
        <w:t>Steimers</w:t>
      </w:r>
      <w:proofErr w:type="spellEnd"/>
      <w:r w:rsidRPr="00E677D9">
        <w:rPr>
          <w:color w:val="0D0D0D"/>
          <w:sz w:val="24"/>
          <w:szCs w:val="24"/>
          <w:highlight w:val="white"/>
        </w:rPr>
        <w:t xml:space="preserve"> and Schneider (2022) argues that one of AI’s primary advantages is early threat identification and automated risk assessment. AI-driven systems process vast datasets at high speeds, swiftly detecting anomalies that may indicate security breaches. This proactive approach enables organizations to address vulnerabilities before they are exploited, enhancing overall security posture. By continuously evaluating network activity and user </w:t>
      </w:r>
      <w:proofErr w:type="spellStart"/>
      <w:r w:rsidRPr="00E677D9">
        <w:rPr>
          <w:color w:val="0D0D0D"/>
          <w:sz w:val="24"/>
          <w:szCs w:val="24"/>
          <w:highlight w:val="white"/>
        </w:rPr>
        <w:t>behavior</w:t>
      </w:r>
      <w:proofErr w:type="spellEnd"/>
      <w:r w:rsidRPr="00E677D9">
        <w:rPr>
          <w:color w:val="0D0D0D"/>
          <w:sz w:val="24"/>
          <w:szCs w:val="24"/>
          <w:highlight w:val="white"/>
        </w:rPr>
        <w:t>, AI strengthens threat detection and response while minimizing human error (Olabanji et al., 2024; Val et al., 2024).</w:t>
      </w:r>
    </w:p>
    <w:p w14:paraId="62961568"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r w:rsidRPr="00E677D9">
        <w:rPr>
          <w:color w:val="0D0D0D"/>
          <w:sz w:val="24"/>
          <w:szCs w:val="24"/>
          <w:highlight w:val="white"/>
        </w:rPr>
        <w:t xml:space="preserve">Another key benefit is real-time monitoring and incident response. Ohri et al. (2024) states that traditional security frameworks often rely on manual processes that are slow and prone to oversight. In contrast, AI-powered systems </w:t>
      </w:r>
      <w:proofErr w:type="spellStart"/>
      <w:r w:rsidRPr="00E677D9">
        <w:rPr>
          <w:color w:val="0D0D0D"/>
          <w:sz w:val="24"/>
          <w:szCs w:val="24"/>
          <w:highlight w:val="white"/>
        </w:rPr>
        <w:t>analyze</w:t>
      </w:r>
      <w:proofErr w:type="spellEnd"/>
      <w:r w:rsidRPr="00E677D9">
        <w:rPr>
          <w:color w:val="0D0D0D"/>
          <w:sz w:val="24"/>
          <w:szCs w:val="24"/>
          <w:highlight w:val="white"/>
        </w:rPr>
        <w:t xml:space="preserve"> network traffic, system logs, and </w:t>
      </w:r>
      <w:proofErr w:type="spellStart"/>
      <w:r w:rsidRPr="00E677D9">
        <w:rPr>
          <w:color w:val="0D0D0D"/>
          <w:sz w:val="24"/>
          <w:szCs w:val="24"/>
          <w:highlight w:val="white"/>
        </w:rPr>
        <w:t>behavioral</w:t>
      </w:r>
      <w:proofErr w:type="spellEnd"/>
      <w:r w:rsidRPr="00E677D9">
        <w:rPr>
          <w:color w:val="0D0D0D"/>
          <w:sz w:val="24"/>
          <w:szCs w:val="24"/>
          <w:highlight w:val="white"/>
        </w:rPr>
        <w:t xml:space="preserve"> patterns in real time, swiftly identifying and mitigating threats as they occur. AI can also automate response actions, such as isolating compromised devices or blocking malicious IP addresses, significantly reducing the time required to contain security incidents (Paramesha et al., 2024). This capability minimizes data breaches and operational disruptions, ensuring the integrity of sensitive information.</w:t>
      </w:r>
    </w:p>
    <w:p w14:paraId="32C0212E"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r w:rsidRPr="00E677D9">
        <w:rPr>
          <w:color w:val="0D0D0D"/>
          <w:sz w:val="24"/>
          <w:szCs w:val="24"/>
          <w:highlight w:val="white"/>
        </w:rPr>
        <w:t xml:space="preserve">AI also enhances threat detection accuracy by reducing false positives. Ban et al. (2023) posits that conventional security systems frequently generate excessive alerts, many of which are false alarms, leading to alert fatigue among security personnel. AI </w:t>
      </w:r>
      <w:r w:rsidRPr="00E677D9">
        <w:rPr>
          <w:color w:val="0D0D0D"/>
          <w:sz w:val="24"/>
          <w:szCs w:val="24"/>
          <w:highlight w:val="white"/>
        </w:rPr>
        <w:lastRenderedPageBreak/>
        <w:t>and ML algorithms, trained on extensive datasets of benign and malicious activities, refine detection mechanisms, reducing false positives while accurately identifying genuine threats. This improvement allows security teams to concentrate on actual security incidents rather than filtering through unnecessary alerts, thereby improving efficiency and response effectiveness.</w:t>
      </w:r>
    </w:p>
    <w:p w14:paraId="0FC5B8DB"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r w:rsidRPr="00E677D9">
        <w:rPr>
          <w:color w:val="0D0D0D"/>
          <w:sz w:val="24"/>
          <w:szCs w:val="24"/>
          <w:highlight w:val="white"/>
        </w:rPr>
        <w:t xml:space="preserve">The financial benefits of AI-driven security solutions are well-documented. </w:t>
      </w:r>
      <w:r w:rsidRPr="00E677D9">
        <w:rPr>
          <w:sz w:val="24"/>
          <w:szCs w:val="24"/>
        </w:rPr>
        <w:t>IBM (2023)</w:t>
      </w:r>
      <w:r w:rsidRPr="00E677D9">
        <w:rPr>
          <w:color w:val="0D0D0D"/>
          <w:sz w:val="24"/>
          <w:szCs w:val="24"/>
          <w:highlight w:val="white"/>
        </w:rPr>
        <w:t xml:space="preserve"> highlights that organizations extensively deploying AI and automation experience significant cost savings, with breach-related expenses reduced by an average of $2.2 million compared to those relying solely on traditional security methods. AI-driven cybersecurity reduces breach lifecycles, mitigating financial and operational losses. Faster detection and response lessen the extent of security incidents, minimizing their financial impact </w:t>
      </w:r>
      <w:r w:rsidRPr="00E677D9">
        <w:rPr>
          <w:sz w:val="24"/>
          <w:szCs w:val="24"/>
        </w:rPr>
        <w:t>IBM (2023)</w:t>
      </w:r>
      <w:r w:rsidRPr="00E677D9">
        <w:rPr>
          <w:color w:val="0D0D0D"/>
          <w:sz w:val="24"/>
          <w:szCs w:val="24"/>
          <w:highlight w:val="white"/>
        </w:rPr>
        <w:t>.</w:t>
      </w:r>
    </w:p>
    <w:p w14:paraId="2F51668D"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r w:rsidRPr="00E677D9">
        <w:rPr>
          <w:color w:val="0D0D0D"/>
          <w:sz w:val="24"/>
          <w:szCs w:val="24"/>
          <w:highlight w:val="white"/>
        </w:rPr>
        <w:t xml:space="preserve">Despite its advantages, Khan et al. (2024) argues that AI adoption in cybersecurity presents challenges. </w:t>
      </w:r>
      <w:r w:rsidRPr="00E677D9">
        <w:rPr>
          <w:sz w:val="24"/>
          <w:szCs w:val="24"/>
        </w:rPr>
        <w:t xml:space="preserve"> IBM (2023) </w:t>
      </w:r>
      <w:r w:rsidRPr="00E677D9">
        <w:rPr>
          <w:color w:val="0D0D0D"/>
          <w:sz w:val="24"/>
          <w:szCs w:val="24"/>
          <w:highlight w:val="white"/>
        </w:rPr>
        <w:t>identifies budget constraints and lack of expertise as major barriers to implementation, with 56% of organizations citing financial limitations and 53% reporting insufficient internal knowledge. Ethical considerations, including data privacy and potential biases in AI-generated decisions, must also be addressed to ensure responsible deployment (Mohamed et al., 2024).</w:t>
      </w:r>
    </w:p>
    <w:p w14:paraId="60D80384"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r w:rsidRPr="00E677D9">
        <w:rPr>
          <w:color w:val="0D0D0D"/>
          <w:sz w:val="24"/>
          <w:szCs w:val="24"/>
          <w:highlight w:val="white"/>
        </w:rPr>
        <w:t>The integration of AI and ML into cybersecurity frameworks represents a strategic shift toward proactive security management. Govea et al. (2024) posits that by enabling early threat detection, improving response times, reducing false positives, and enhancing cost efficiency, AI-driven security solutions provide organizations with a decisive advantage against increasingly sophisticated cyber threats.</w:t>
      </w:r>
    </w:p>
    <w:p w14:paraId="5A0BC60E" w14:textId="77777777" w:rsidR="00557214" w:rsidRPr="00E677D9" w:rsidRDefault="00E677D9" w:rsidP="00E677D9">
      <w:pPr>
        <w:pStyle w:val="Heading2"/>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0" w:after="240" w:line="240" w:lineRule="auto"/>
        <w:rPr>
          <w:b/>
          <w:color w:val="0D0D0D"/>
          <w:sz w:val="24"/>
          <w:szCs w:val="24"/>
          <w:highlight w:val="white"/>
        </w:rPr>
      </w:pPr>
      <w:bookmarkStart w:id="6" w:name="_h7billwey0p4" w:colFirst="0" w:colLast="0"/>
      <w:bookmarkEnd w:id="6"/>
      <w:r>
        <w:rPr>
          <w:b/>
          <w:color w:val="0D0D0D"/>
          <w:sz w:val="24"/>
          <w:szCs w:val="24"/>
          <w:highlight w:val="white"/>
        </w:rPr>
        <w:t>3.</w:t>
      </w:r>
      <w:r>
        <w:rPr>
          <w:b/>
          <w:color w:val="0D0D0D"/>
          <w:sz w:val="24"/>
          <w:szCs w:val="24"/>
          <w:highlight w:val="white"/>
        </w:rPr>
        <w:tab/>
      </w:r>
      <w:r w:rsidRPr="00E677D9">
        <w:rPr>
          <w:b/>
          <w:color w:val="0D0D0D"/>
          <w:sz w:val="24"/>
          <w:szCs w:val="24"/>
          <w:highlight w:val="white"/>
        </w:rPr>
        <w:t>METHODOLOGY</w:t>
      </w:r>
    </w:p>
    <w:p w14:paraId="10B9DE88"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r w:rsidRPr="00E677D9">
        <w:rPr>
          <w:color w:val="0D0D0D"/>
          <w:sz w:val="24"/>
          <w:szCs w:val="24"/>
          <w:highlight w:val="white"/>
        </w:rPr>
        <w:t xml:space="preserve">This study employed a quantitative research design to evaluate the effectiveness, applicability, and limitations of AI-driven predictive cybersecurity risk </w:t>
      </w:r>
      <w:proofErr w:type="spellStart"/>
      <w:r w:rsidRPr="00E677D9">
        <w:rPr>
          <w:color w:val="0D0D0D"/>
          <w:sz w:val="24"/>
          <w:szCs w:val="24"/>
          <w:highlight w:val="white"/>
        </w:rPr>
        <w:t>modeling</w:t>
      </w:r>
      <w:proofErr w:type="spellEnd"/>
      <w:r w:rsidRPr="00E677D9">
        <w:rPr>
          <w:color w:val="0D0D0D"/>
          <w:sz w:val="24"/>
          <w:szCs w:val="24"/>
          <w:highlight w:val="white"/>
        </w:rPr>
        <w:t xml:space="preserve"> in healthcare. Four public, high-integrity datasets were utilized to address the core research objectives, with each dataset selected based on its alignment with empirical threat detection, AI application in cybersecurity, and sector-specific risk representation. The analysis was structured around objective-driven methods, ensuring methodological precision and reproducibility.</w:t>
      </w:r>
    </w:p>
    <w:p w14:paraId="459AB9E8" w14:textId="77777777" w:rsidR="00557214" w:rsidRPr="00E677D9" w:rsidRDefault="00B62E06" w:rsidP="00E677D9">
      <w:pPr>
        <w:pStyle w:val="Heading3"/>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0" w:after="240" w:line="240" w:lineRule="auto"/>
        <w:rPr>
          <w:b/>
          <w:color w:val="0D0D0D"/>
          <w:sz w:val="24"/>
          <w:szCs w:val="24"/>
          <w:highlight w:val="white"/>
        </w:rPr>
      </w:pPr>
      <w:bookmarkStart w:id="7" w:name="_sneeomdy6bdm" w:colFirst="0" w:colLast="0"/>
      <w:bookmarkEnd w:id="7"/>
      <w:r w:rsidRPr="00E677D9">
        <w:rPr>
          <w:b/>
          <w:color w:val="0D0D0D"/>
          <w:sz w:val="24"/>
          <w:szCs w:val="24"/>
          <w:highlight w:val="white"/>
        </w:rPr>
        <w:t>Data Sources and Analytical Framework</w:t>
      </w:r>
    </w:p>
    <w:p w14:paraId="5BDAE374" w14:textId="77777777" w:rsidR="000A501F" w:rsidRPr="00E677D9" w:rsidRDefault="00B62E06" w:rsidP="00E677D9">
      <w:pPr>
        <w:numPr>
          <w:ilvl w:val="0"/>
          <w:numId w:val="3"/>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r w:rsidRPr="00E677D9">
        <w:rPr>
          <w:b/>
          <w:color w:val="0D0D0D"/>
          <w:sz w:val="24"/>
          <w:szCs w:val="24"/>
          <w:highlight w:val="white"/>
        </w:rPr>
        <w:t>Cyber Threat Prevalence Analysis</w:t>
      </w:r>
      <w:r w:rsidRPr="00E677D9">
        <w:rPr>
          <w:b/>
          <w:color w:val="0D0D0D"/>
          <w:sz w:val="24"/>
          <w:szCs w:val="24"/>
          <w:highlight w:val="white"/>
        </w:rPr>
        <w:br/>
      </w:r>
      <w:r w:rsidRPr="00E677D9">
        <w:rPr>
          <w:color w:val="0D0D0D"/>
          <w:sz w:val="24"/>
          <w:szCs w:val="24"/>
          <w:highlight w:val="white"/>
        </w:rPr>
        <w:t xml:space="preserve"> The </w:t>
      </w:r>
      <w:r w:rsidRPr="00E677D9">
        <w:rPr>
          <w:b/>
          <w:color w:val="0D0D0D"/>
          <w:sz w:val="24"/>
          <w:szCs w:val="24"/>
          <w:highlight w:val="white"/>
        </w:rPr>
        <w:t>Verizon Data Breach Investigations Report (DBIR)</w:t>
      </w:r>
      <w:r w:rsidRPr="00E677D9">
        <w:rPr>
          <w:rFonts w:eastAsia="Arial Unicode MS"/>
          <w:color w:val="0D0D0D"/>
          <w:sz w:val="24"/>
          <w:szCs w:val="24"/>
          <w:highlight w:val="white"/>
        </w:rPr>
        <w:t xml:space="preserve"> was used to quantify the frequency and nature of cyber threats targeting healthcare institutions. Frequency distributions and cross-tabulations were applied to extract dominant attack vectors, actor categories, and temporal trends.</w:t>
      </w:r>
      <w:r w:rsidR="000A501F" w:rsidRPr="00E677D9">
        <w:rPr>
          <w:rFonts w:eastAsia="Arial Unicode MS"/>
          <w:color w:val="0D0D0D"/>
          <w:sz w:val="24"/>
          <w:szCs w:val="24"/>
          <w:highlight w:val="white"/>
        </w:rPr>
        <w:t xml:space="preserve"> The relative prevalence P</w:t>
      </w:r>
      <w:r w:rsidR="000A501F" w:rsidRPr="00E677D9">
        <w:rPr>
          <w:rFonts w:eastAsia="Arial Unicode MS"/>
          <w:color w:val="0D0D0D"/>
          <w:sz w:val="24"/>
          <w:szCs w:val="24"/>
          <w:highlight w:val="white"/>
          <w:vertAlign w:val="subscript"/>
        </w:rPr>
        <w:t>i</w:t>
      </w:r>
      <w:r w:rsidRPr="00E677D9">
        <w:rPr>
          <w:rFonts w:eastAsia="Arial Unicode MS"/>
          <w:color w:val="0D0D0D"/>
          <w:sz w:val="24"/>
          <w:szCs w:val="24"/>
          <w:highlight w:val="white"/>
        </w:rPr>
        <w:t>​ of each threat type iii was computed using:</w:t>
      </w:r>
    </w:p>
    <w:p w14:paraId="7754C1BD" w14:textId="77777777" w:rsidR="00557214" w:rsidRPr="00E677D9" w:rsidRDefault="001966C0"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rPr>
          <w:color w:val="0D0D0D"/>
          <w:sz w:val="24"/>
          <w:szCs w:val="24"/>
          <w:highlight w:val="white"/>
        </w:rPr>
      </w:pPr>
      <m:oMathPara>
        <m:oMath>
          <m:sSub>
            <m:sSubPr>
              <m:ctrlPr>
                <w:rPr>
                  <w:rStyle w:val="mord"/>
                  <w:rFonts w:ascii="Cambria Math" w:hAnsi="Cambria Math"/>
                  <w:sz w:val="24"/>
                  <w:szCs w:val="24"/>
                </w:rPr>
              </m:ctrlPr>
            </m:sSubPr>
            <m:e>
              <m:r>
                <m:rPr>
                  <m:sty m:val="p"/>
                </m:rPr>
                <w:rPr>
                  <w:rStyle w:val="mord"/>
                  <w:rFonts w:ascii="Cambria Math" w:hAnsi="Cambria Math"/>
                  <w:sz w:val="24"/>
                  <w:szCs w:val="24"/>
                </w:rPr>
                <m:t>P</m:t>
              </m:r>
            </m:e>
            <m:sub>
              <m:r>
                <m:rPr>
                  <m:sty m:val="p"/>
                </m:rPr>
                <w:rPr>
                  <w:rStyle w:val="mord"/>
                  <w:rFonts w:ascii="Cambria Math" w:hAnsi="Cambria Math"/>
                  <w:sz w:val="24"/>
                  <w:szCs w:val="24"/>
                </w:rPr>
                <m:t>i</m:t>
              </m:r>
            </m:sub>
          </m:sSub>
          <m:r>
            <m:rPr>
              <m:sty m:val="p"/>
            </m:rPr>
            <w:rPr>
              <w:rStyle w:val="vlist-s"/>
              <w:rFonts w:ascii="Cambria Math" w:hAnsi="Cambria Math"/>
              <w:sz w:val="24"/>
              <w:szCs w:val="24"/>
            </w:rPr>
            <m:t>​</m:t>
          </m:r>
          <m:r>
            <m:rPr>
              <m:sty m:val="p"/>
            </m:rPr>
            <w:rPr>
              <w:rStyle w:val="mrel"/>
              <w:rFonts w:ascii="Cambria Math" w:hAnsi="Cambria Math"/>
              <w:sz w:val="24"/>
              <w:szCs w:val="24"/>
            </w:rPr>
            <m:t>=</m:t>
          </m:r>
          <m:f>
            <m:fPr>
              <m:ctrlPr>
                <w:rPr>
                  <w:rStyle w:val="vlist-s"/>
                  <w:rFonts w:ascii="Cambria Math" w:hAnsi="Cambria Math"/>
                  <w:sz w:val="24"/>
                  <w:szCs w:val="24"/>
                </w:rPr>
              </m:ctrlPr>
            </m:fPr>
            <m:num>
              <m:r>
                <m:rPr>
                  <m:sty m:val="p"/>
                </m:rPr>
                <w:rPr>
                  <w:rStyle w:val="vlist-s"/>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f</m:t>
                  </m:r>
                </m:e>
                <m:sub>
                  <m:r>
                    <m:rPr>
                      <m:sty m:val="p"/>
                    </m:rPr>
                    <w:rPr>
                      <w:rStyle w:val="mord"/>
                      <w:rFonts w:ascii="Cambria Math" w:hAnsi="Cambria Math"/>
                      <w:sz w:val="24"/>
                      <w:szCs w:val="24"/>
                    </w:rPr>
                    <m:t>i</m:t>
                  </m:r>
                </m:sub>
              </m:sSub>
              <m:r>
                <m:rPr>
                  <m:sty m:val="p"/>
                </m:rPr>
                <w:rPr>
                  <w:rStyle w:val="vlist-s"/>
                  <w:rFonts w:ascii="Cambria Math" w:hAnsi="Cambria Math"/>
                  <w:sz w:val="24"/>
                  <w:szCs w:val="24"/>
                </w:rPr>
                <m:t>​​</m:t>
              </m:r>
            </m:num>
            <m:den>
              <m:nary>
                <m:naryPr>
                  <m:chr m:val="∑"/>
                  <m:limLoc m:val="subSup"/>
                  <m:ctrlPr>
                    <w:rPr>
                      <w:rStyle w:val="vlist-s"/>
                      <w:rFonts w:ascii="Cambria Math" w:hAnsi="Cambria Math"/>
                      <w:sz w:val="24"/>
                      <w:szCs w:val="24"/>
                    </w:rPr>
                  </m:ctrlPr>
                </m:naryPr>
                <m:sub>
                  <m:r>
                    <w:rPr>
                      <w:rStyle w:val="vlist-s"/>
                      <w:rFonts w:ascii="Cambria Math" w:hAnsi="Cambria Math"/>
                      <w:sz w:val="24"/>
                      <w:szCs w:val="24"/>
                    </w:rPr>
                    <m:t>j</m:t>
                  </m:r>
                  <m:r>
                    <w:rPr>
                      <w:rStyle w:val="vlist-s"/>
                      <w:rFonts w:ascii="Cambria Math" w:hAnsi="Cambria Math"/>
                      <w:sz w:val="24"/>
                      <w:szCs w:val="24"/>
                    </w:rPr>
                    <m:t>=1</m:t>
                  </m:r>
                </m:sub>
                <m:sup>
                  <m:r>
                    <w:rPr>
                      <w:rStyle w:val="vlist-s"/>
                      <w:rFonts w:ascii="Cambria Math" w:hAnsi="Cambria Math"/>
                      <w:sz w:val="24"/>
                      <w:szCs w:val="24"/>
                    </w:rPr>
                    <m:t>n</m:t>
                  </m:r>
                </m:sup>
                <m:e>
                  <m:sSub>
                    <m:sSubPr>
                      <m:ctrlPr>
                        <w:rPr>
                          <w:rStyle w:val="vlist-s"/>
                          <w:rFonts w:ascii="Cambria Math" w:hAnsi="Cambria Math"/>
                          <w:i/>
                          <w:sz w:val="24"/>
                          <w:szCs w:val="24"/>
                        </w:rPr>
                      </m:ctrlPr>
                    </m:sSubPr>
                    <m:e>
                      <m:r>
                        <w:rPr>
                          <w:rStyle w:val="vlist-s"/>
                          <w:rFonts w:ascii="Cambria Math" w:hAnsi="Cambria Math"/>
                          <w:sz w:val="24"/>
                          <w:szCs w:val="24"/>
                        </w:rPr>
                        <m:t>f</m:t>
                      </m:r>
                    </m:e>
                    <m:sub>
                      <m:r>
                        <w:rPr>
                          <w:rStyle w:val="vlist-s"/>
                          <w:rFonts w:ascii="Cambria Math" w:hAnsi="Cambria Math"/>
                          <w:sz w:val="24"/>
                          <w:szCs w:val="24"/>
                        </w:rPr>
                        <m:t>j</m:t>
                      </m:r>
                    </m:sub>
                  </m:sSub>
                </m:e>
              </m:nary>
              <m:r>
                <m:rPr>
                  <m:sty m:val="p"/>
                </m:rPr>
                <w:rPr>
                  <w:rStyle w:val="vlist-s"/>
                  <w:rFonts w:ascii="Cambria Math" w:hAnsi="Cambria Math"/>
                  <w:sz w:val="24"/>
                  <w:szCs w:val="24"/>
                </w:rPr>
                <m:t>​</m:t>
              </m:r>
            </m:den>
          </m:f>
          <m:r>
            <m:rPr>
              <m:sty m:val="p"/>
            </m:rPr>
            <w:rPr>
              <w:rFonts w:ascii="Cambria Math" w:eastAsia="Arial Unicode MS" w:hAnsi="Cambria Math"/>
              <w:color w:val="0D0D0D"/>
              <w:sz w:val="24"/>
              <w:szCs w:val="24"/>
              <w:highlight w:val="white"/>
            </w:rPr>
            <w:br/>
          </m:r>
        </m:oMath>
      </m:oMathPara>
      <w:r w:rsidR="00B62E06" w:rsidRPr="00E677D9">
        <w:rPr>
          <w:rFonts w:eastAsia="Arial Unicode MS"/>
          <w:color w:val="0D0D0D"/>
          <w:sz w:val="24"/>
          <w:szCs w:val="24"/>
          <w:highlight w:val="white"/>
        </w:rPr>
        <w:t>where f</w:t>
      </w:r>
      <w:r w:rsidR="00B62E06" w:rsidRPr="00E677D9">
        <w:rPr>
          <w:rFonts w:eastAsia="Arial Unicode MS"/>
          <w:color w:val="0D0D0D"/>
          <w:sz w:val="24"/>
          <w:szCs w:val="24"/>
          <w:highlight w:val="white"/>
          <w:vertAlign w:val="subscript"/>
        </w:rPr>
        <w:t>i</w:t>
      </w:r>
      <w:r w:rsidR="00B62E06" w:rsidRPr="00E677D9">
        <w:rPr>
          <w:rFonts w:eastAsia="Arial Unicode MS"/>
          <w:color w:val="0D0D0D"/>
          <w:sz w:val="24"/>
          <w:szCs w:val="24"/>
          <w:highlight w:val="white"/>
        </w:rPr>
        <w:t xml:space="preserve">​ is the frequency of threat type </w:t>
      </w:r>
      <w:proofErr w:type="spellStart"/>
      <w:r w:rsidR="00B62E06" w:rsidRPr="00E677D9">
        <w:rPr>
          <w:rFonts w:eastAsia="Arial Unicode MS"/>
          <w:color w:val="0D0D0D"/>
          <w:sz w:val="24"/>
          <w:szCs w:val="24"/>
          <w:highlight w:val="white"/>
        </w:rPr>
        <w:t>i</w:t>
      </w:r>
      <w:proofErr w:type="spellEnd"/>
      <w:r w:rsidR="00B62E06" w:rsidRPr="00E677D9">
        <w:rPr>
          <w:rFonts w:eastAsia="Arial Unicode MS"/>
          <w:color w:val="0D0D0D"/>
          <w:sz w:val="24"/>
          <w:szCs w:val="24"/>
          <w:highlight w:val="white"/>
        </w:rPr>
        <w:t>, and n is the total number of threat categories. Cross-tabulation allowed for the joint analysis of actor–action pairs to determine high-risk combinations.</w:t>
      </w:r>
      <w:r w:rsidR="00B62E06" w:rsidRPr="00E677D9">
        <w:rPr>
          <w:rFonts w:eastAsia="Arial Unicode MS"/>
          <w:color w:val="0D0D0D"/>
          <w:sz w:val="24"/>
          <w:szCs w:val="24"/>
          <w:highlight w:val="white"/>
        </w:rPr>
        <w:br/>
      </w:r>
    </w:p>
    <w:p w14:paraId="09995F62" w14:textId="77777777" w:rsidR="00766038" w:rsidRPr="00E677D9" w:rsidRDefault="00B62E06" w:rsidP="00E677D9">
      <w:pPr>
        <w:numPr>
          <w:ilvl w:val="0"/>
          <w:numId w:val="3"/>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r w:rsidRPr="00E677D9">
        <w:rPr>
          <w:b/>
          <w:color w:val="0D0D0D"/>
          <w:sz w:val="24"/>
          <w:szCs w:val="24"/>
          <w:highlight w:val="white"/>
        </w:rPr>
        <w:t>Applicability of AI/ML in Threat Prediction</w:t>
      </w:r>
      <w:r w:rsidRPr="00E677D9">
        <w:rPr>
          <w:b/>
          <w:color w:val="0D0D0D"/>
          <w:sz w:val="24"/>
          <w:szCs w:val="24"/>
          <w:highlight w:val="white"/>
        </w:rPr>
        <w:br/>
      </w:r>
      <w:r w:rsidRPr="00E677D9">
        <w:rPr>
          <w:color w:val="0D0D0D"/>
          <w:sz w:val="24"/>
          <w:szCs w:val="24"/>
          <w:highlight w:val="white"/>
        </w:rPr>
        <w:t xml:space="preserve"> The </w:t>
      </w:r>
      <w:r w:rsidRPr="00E677D9">
        <w:rPr>
          <w:b/>
          <w:color w:val="0D0D0D"/>
          <w:sz w:val="24"/>
          <w:szCs w:val="24"/>
          <w:highlight w:val="white"/>
        </w:rPr>
        <w:t>CIC-IDS 2017 dataset</w:t>
      </w:r>
      <w:r w:rsidRPr="00E677D9">
        <w:rPr>
          <w:color w:val="0D0D0D"/>
          <w:sz w:val="24"/>
          <w:szCs w:val="24"/>
          <w:highlight w:val="white"/>
        </w:rPr>
        <w:t xml:space="preserve"> was utilized to build and evaluate supervised machine learning models for predictive intrusion detection. A </w:t>
      </w:r>
      <w:r w:rsidRPr="00E677D9">
        <w:rPr>
          <w:b/>
          <w:color w:val="0D0D0D"/>
          <w:sz w:val="24"/>
          <w:szCs w:val="24"/>
          <w:highlight w:val="white"/>
        </w:rPr>
        <w:t>Random Forest (RF)</w:t>
      </w:r>
      <w:r w:rsidRPr="00E677D9">
        <w:rPr>
          <w:color w:val="0D0D0D"/>
          <w:sz w:val="24"/>
          <w:szCs w:val="24"/>
          <w:highlight w:val="white"/>
        </w:rPr>
        <w:t xml:space="preserve"> classifier was trained to distinguish between benign and malicious traffic using 80% of the dataset for training and 20% for testing. Model accuracy was computed as:</w:t>
      </w:r>
      <w:r w:rsidRPr="00E677D9">
        <w:rPr>
          <w:color w:val="0D0D0D"/>
          <w:sz w:val="24"/>
          <w:szCs w:val="24"/>
          <w:highlight w:val="white"/>
        </w:rPr>
        <w:br/>
      </w:r>
      <m:oMathPara>
        <m:oMath>
          <m:r>
            <m:rPr>
              <m:sty m:val="p"/>
            </m:rPr>
            <w:rPr>
              <w:rStyle w:val="mord"/>
              <w:rFonts w:ascii="Cambria Math" w:hAnsi="Cambria Math"/>
              <w:sz w:val="24"/>
              <w:szCs w:val="24"/>
            </w:rPr>
            <m:t>Accuracy</m:t>
          </m:r>
          <m:r>
            <m:rPr>
              <m:sty m:val="p"/>
            </m:rPr>
            <w:rPr>
              <w:rStyle w:val="mrel"/>
              <w:rFonts w:ascii="Cambria Math" w:hAnsi="Cambria Math"/>
              <w:sz w:val="24"/>
              <w:szCs w:val="24"/>
            </w:rPr>
            <m:t>=</m:t>
          </m:r>
          <m:f>
            <m:fPr>
              <m:ctrlPr>
                <w:rPr>
                  <w:rStyle w:val="mord"/>
                  <w:rFonts w:ascii="Cambria Math" w:hAnsi="Cambria Math"/>
                  <w:sz w:val="24"/>
                  <w:szCs w:val="24"/>
                </w:rPr>
              </m:ctrlPr>
            </m:fPr>
            <m:num>
              <m:r>
                <m:rPr>
                  <m:sty m:val="p"/>
                </m:rPr>
                <w:rPr>
                  <w:rStyle w:val="mord"/>
                  <w:rFonts w:ascii="Cambria Math" w:hAnsi="Cambria Math"/>
                  <w:sz w:val="24"/>
                  <w:szCs w:val="24"/>
                </w:rPr>
                <m:t>TP</m:t>
              </m:r>
              <m:r>
                <m:rPr>
                  <m:sty m:val="p"/>
                </m:rPr>
                <w:rPr>
                  <w:rStyle w:val="mbin"/>
                  <w:rFonts w:ascii="Cambria Math" w:hAnsi="Cambria Math"/>
                  <w:sz w:val="24"/>
                  <w:szCs w:val="24"/>
                </w:rPr>
                <m:t>+</m:t>
              </m:r>
              <m:r>
                <m:rPr>
                  <m:sty m:val="p"/>
                </m:rPr>
                <w:rPr>
                  <w:rStyle w:val="mord"/>
                  <w:rFonts w:ascii="Cambria Math" w:hAnsi="Cambria Math"/>
                  <w:sz w:val="24"/>
                  <w:szCs w:val="24"/>
                </w:rPr>
                <m:t>TN</m:t>
              </m:r>
            </m:num>
            <m:den>
              <m:r>
                <m:rPr>
                  <m:sty m:val="p"/>
                </m:rPr>
                <w:rPr>
                  <w:rStyle w:val="mord"/>
                  <w:rFonts w:ascii="Cambria Math" w:hAnsi="Cambria Math"/>
                  <w:sz w:val="24"/>
                  <w:szCs w:val="24"/>
                </w:rPr>
                <m:t>TP</m:t>
              </m:r>
              <m:r>
                <m:rPr>
                  <m:sty m:val="p"/>
                </m:rPr>
                <w:rPr>
                  <w:rStyle w:val="mbin"/>
                  <w:rFonts w:ascii="Cambria Math" w:hAnsi="Cambria Math"/>
                  <w:sz w:val="24"/>
                  <w:szCs w:val="24"/>
                </w:rPr>
                <m:t>+</m:t>
              </m:r>
              <m:r>
                <m:rPr>
                  <m:sty m:val="p"/>
                </m:rPr>
                <w:rPr>
                  <w:rStyle w:val="mord"/>
                  <w:rFonts w:ascii="Cambria Math" w:hAnsi="Cambria Math"/>
                  <w:sz w:val="24"/>
                  <w:szCs w:val="24"/>
                </w:rPr>
                <m:t>TN</m:t>
              </m:r>
              <m:r>
                <m:rPr>
                  <m:sty m:val="p"/>
                </m:rPr>
                <w:rPr>
                  <w:rStyle w:val="mbin"/>
                  <w:rFonts w:ascii="Cambria Math" w:hAnsi="Cambria Math"/>
                  <w:sz w:val="24"/>
                  <w:szCs w:val="24"/>
                </w:rPr>
                <m:t>+</m:t>
              </m:r>
              <m:r>
                <m:rPr>
                  <m:sty m:val="p"/>
                </m:rPr>
                <w:rPr>
                  <w:rStyle w:val="mord"/>
                  <w:rFonts w:ascii="Cambria Math" w:hAnsi="Cambria Math"/>
                  <w:sz w:val="24"/>
                  <w:szCs w:val="24"/>
                </w:rPr>
                <m:t>FP</m:t>
              </m:r>
              <m:r>
                <m:rPr>
                  <m:sty m:val="p"/>
                </m:rPr>
                <w:rPr>
                  <w:rStyle w:val="mbin"/>
                  <w:rFonts w:ascii="Cambria Math" w:hAnsi="Cambria Math"/>
                  <w:sz w:val="24"/>
                  <w:szCs w:val="24"/>
                </w:rPr>
                <m:t>+</m:t>
              </m:r>
              <m:r>
                <m:rPr>
                  <m:sty m:val="p"/>
                </m:rPr>
                <w:rPr>
                  <w:rStyle w:val="mord"/>
                  <w:rFonts w:ascii="Cambria Math" w:hAnsi="Cambria Math"/>
                  <w:sz w:val="24"/>
                  <w:szCs w:val="24"/>
                </w:rPr>
                <m:t>FN</m:t>
              </m:r>
            </m:den>
          </m:f>
          <m:r>
            <m:rPr>
              <m:sty m:val="p"/>
            </m:rPr>
            <w:rPr>
              <w:rStyle w:val="vlist-s"/>
              <w:rFonts w:ascii="Cambria Math" w:hAnsi="Cambria Math"/>
              <w:sz w:val="24"/>
              <w:szCs w:val="24"/>
            </w:rPr>
            <m:t>​</m:t>
          </m:r>
          <m:r>
            <m:rPr>
              <m:sty m:val="p"/>
            </m:rPr>
            <w:rPr>
              <w:rFonts w:ascii="Cambria Math" w:hAnsi="Cambria Math"/>
              <w:color w:val="0D0D0D"/>
              <w:sz w:val="24"/>
              <w:szCs w:val="24"/>
              <w:highlight w:val="white"/>
            </w:rPr>
            <w:br/>
          </m:r>
        </m:oMath>
      </m:oMathPara>
      <w:r w:rsidRPr="00E677D9">
        <w:rPr>
          <w:color w:val="0D0D0D"/>
          <w:sz w:val="24"/>
          <w:szCs w:val="24"/>
          <w:highlight w:val="white"/>
        </w:rPr>
        <w:t xml:space="preserve"> where TP = true positives, TN = true negatives, FP</w:t>
      </w:r>
      <w:r w:rsidR="00653EFF" w:rsidRPr="00E677D9">
        <w:rPr>
          <w:color w:val="0D0D0D"/>
          <w:sz w:val="24"/>
          <w:szCs w:val="24"/>
          <w:highlight w:val="white"/>
        </w:rPr>
        <w:t xml:space="preserve"> </w:t>
      </w:r>
      <w:r w:rsidRPr="00E677D9">
        <w:rPr>
          <w:color w:val="0D0D0D"/>
          <w:sz w:val="24"/>
          <w:szCs w:val="24"/>
          <w:highlight w:val="white"/>
        </w:rPr>
        <w:t xml:space="preserve">= false positives, and FN= false negatives. The </w:t>
      </w:r>
      <w:r w:rsidRPr="00E677D9">
        <w:rPr>
          <w:b/>
          <w:color w:val="0D0D0D"/>
          <w:sz w:val="24"/>
          <w:szCs w:val="24"/>
          <w:highlight w:val="white"/>
        </w:rPr>
        <w:t>F1-score</w:t>
      </w:r>
      <w:r w:rsidRPr="00E677D9">
        <w:rPr>
          <w:color w:val="0D0D0D"/>
          <w:sz w:val="24"/>
          <w:szCs w:val="24"/>
          <w:highlight w:val="white"/>
        </w:rPr>
        <w:t xml:space="preserve"> was also computed to evaluate the balance between precision and recall:</w:t>
      </w:r>
    </w:p>
    <w:p w14:paraId="5BECDF7B" w14:textId="77777777" w:rsidR="00557214" w:rsidRPr="00E677D9" w:rsidRDefault="00766038" w:rsidP="00E677D9">
      <w:pPr>
        <w:pStyle w:val="NoSpacing"/>
        <w:spacing w:after="240"/>
        <w:rPr>
          <w:sz w:val="24"/>
          <w:szCs w:val="24"/>
          <w:highlight w:val="white"/>
        </w:rPr>
      </w:pPr>
      <m:oMathPara>
        <m:oMath>
          <m:r>
            <m:rPr>
              <m:sty m:val="p"/>
            </m:rPr>
            <w:rPr>
              <w:rStyle w:val="mord"/>
              <w:rFonts w:ascii="Cambria Math" w:hAnsi="Cambria Math"/>
              <w:sz w:val="24"/>
              <w:szCs w:val="24"/>
            </w:rPr>
            <m:t>F1-score</m:t>
          </m:r>
          <m:r>
            <m:rPr>
              <m:sty m:val="p"/>
            </m:rPr>
            <w:rPr>
              <w:rStyle w:val="mrel"/>
              <w:rFonts w:ascii="Cambria Math" w:hAnsi="Cambria Math"/>
              <w:sz w:val="24"/>
              <w:szCs w:val="24"/>
            </w:rPr>
            <m:t>=</m:t>
          </m:r>
          <m:r>
            <m:rPr>
              <m:sty m:val="p"/>
            </m:rPr>
            <w:rPr>
              <w:rStyle w:val="mord"/>
              <w:rFonts w:ascii="Cambria Math" w:hAnsi="Cambria Math"/>
              <w:sz w:val="24"/>
              <w:szCs w:val="24"/>
            </w:rPr>
            <m:t>2</m:t>
          </m:r>
          <m:r>
            <m:rPr>
              <m:sty m:val="p"/>
            </m:rPr>
            <w:rPr>
              <w:rStyle w:val="mbin"/>
              <w:rFonts w:ascii="Cambria Math" w:hAnsi="Cambria Math"/>
              <w:sz w:val="24"/>
              <w:szCs w:val="24"/>
            </w:rPr>
            <m:t>×</m:t>
          </m:r>
          <m:f>
            <m:fPr>
              <m:ctrlPr>
                <w:rPr>
                  <w:rStyle w:val="mord"/>
                  <w:rFonts w:ascii="Cambria Math" w:hAnsi="Cambria Math"/>
                  <w:sz w:val="24"/>
                  <w:szCs w:val="24"/>
                </w:rPr>
              </m:ctrlPr>
            </m:fPr>
            <m:num>
              <m:r>
                <m:rPr>
                  <m:sty m:val="p"/>
                </m:rPr>
                <w:rPr>
                  <w:rStyle w:val="mord"/>
                  <w:rFonts w:ascii="Cambria Math" w:hAnsi="Cambria Math"/>
                  <w:sz w:val="24"/>
                  <w:szCs w:val="24"/>
                </w:rPr>
                <m:t>Precision</m:t>
              </m:r>
              <m:r>
                <m:rPr>
                  <m:sty m:val="p"/>
                </m:rPr>
                <w:rPr>
                  <w:rStyle w:val="mbin"/>
                  <w:rFonts w:ascii="Cambria Math" w:hAnsi="Cambria Math"/>
                  <w:sz w:val="24"/>
                  <w:szCs w:val="24"/>
                </w:rPr>
                <m:t>×</m:t>
              </m:r>
              <m:r>
                <m:rPr>
                  <m:sty m:val="p"/>
                </m:rPr>
                <w:rPr>
                  <w:rStyle w:val="mord"/>
                  <w:rFonts w:ascii="Cambria Math" w:hAnsi="Cambria Math"/>
                  <w:sz w:val="24"/>
                  <w:szCs w:val="24"/>
                </w:rPr>
                <m:t>Recall</m:t>
              </m:r>
              <m:ctrlPr>
                <w:rPr>
                  <w:rStyle w:val="mbin"/>
                  <w:rFonts w:ascii="Cambria Math" w:hAnsi="Cambria Math"/>
                  <w:sz w:val="24"/>
                  <w:szCs w:val="24"/>
                </w:rPr>
              </m:ctrlPr>
            </m:num>
            <m:den>
              <m:r>
                <m:rPr>
                  <m:sty m:val="p"/>
                </m:rPr>
                <w:rPr>
                  <w:rStyle w:val="mord"/>
                  <w:rFonts w:ascii="Cambria Math" w:hAnsi="Cambria Math"/>
                  <w:sz w:val="24"/>
                  <w:szCs w:val="24"/>
                </w:rPr>
                <m:t>Precision</m:t>
              </m:r>
              <m:r>
                <m:rPr>
                  <m:sty m:val="p"/>
                </m:rPr>
                <w:rPr>
                  <w:rStyle w:val="mbin"/>
                  <w:rFonts w:ascii="Cambria Math" w:hAnsi="Cambria Math"/>
                  <w:sz w:val="24"/>
                  <w:szCs w:val="24"/>
                </w:rPr>
                <m:t>+</m:t>
              </m:r>
              <m:r>
                <m:rPr>
                  <m:sty m:val="p"/>
                </m:rPr>
                <w:rPr>
                  <w:rStyle w:val="mord"/>
                  <w:rFonts w:ascii="Cambria Math" w:hAnsi="Cambria Math"/>
                  <w:sz w:val="24"/>
                  <w:szCs w:val="24"/>
                </w:rPr>
                <m:t>Recall</m:t>
              </m:r>
            </m:den>
          </m:f>
          <m:r>
            <m:rPr>
              <m:sty m:val="p"/>
            </m:rPr>
            <w:rPr>
              <w:rStyle w:val="vlist-s"/>
              <w:rFonts w:ascii="Cambria Math" w:hAnsi="Cambria Math"/>
              <w:sz w:val="24"/>
              <w:szCs w:val="24"/>
            </w:rPr>
            <m:t>​</m:t>
          </m:r>
          <m:r>
            <m:rPr>
              <m:sty m:val="p"/>
            </m:rPr>
            <w:rPr>
              <w:rFonts w:ascii="Cambria Math" w:hAnsi="Cambria Math"/>
              <w:sz w:val="24"/>
              <w:szCs w:val="24"/>
              <w:highlight w:val="white"/>
            </w:rPr>
            <w:br/>
          </m:r>
        </m:oMath>
      </m:oMathPara>
      <w:r w:rsidR="00B62E06" w:rsidRPr="00E677D9">
        <w:rPr>
          <w:sz w:val="24"/>
          <w:szCs w:val="24"/>
          <w:highlight w:val="white"/>
        </w:rPr>
        <w:t xml:space="preserve"> where:</w:t>
      </w:r>
      <w:r w:rsidR="00B62E06" w:rsidRPr="00E677D9">
        <w:rPr>
          <w:sz w:val="24"/>
          <w:szCs w:val="24"/>
          <w:highlight w:val="white"/>
        </w:rPr>
        <w:br/>
        <w:t xml:space="preserve"> </w:t>
      </w:r>
      <m:oMath>
        <m:r>
          <w:rPr>
            <w:rFonts w:ascii="Cambria Math" w:hAnsi="Cambria Math"/>
            <w:sz w:val="24"/>
            <w:szCs w:val="24"/>
            <w:highlight w:val="white"/>
          </w:rPr>
          <m:t>Precision=</m:t>
        </m:r>
        <m:f>
          <m:fPr>
            <m:ctrlPr>
              <w:rPr>
                <w:rFonts w:ascii="Cambria Math" w:hAnsi="Cambria Math"/>
                <w:i/>
                <w:sz w:val="24"/>
                <w:szCs w:val="24"/>
              </w:rPr>
            </m:ctrlPr>
          </m:fPr>
          <m:num>
            <m:r>
              <w:rPr>
                <w:rFonts w:ascii="Cambria Math" w:hAnsi="Cambria Math"/>
                <w:sz w:val="24"/>
                <w:szCs w:val="24"/>
                <w:highlight w:val="white"/>
              </w:rPr>
              <m:t>TP</m:t>
            </m:r>
            <m:ctrlPr>
              <w:rPr>
                <w:rFonts w:ascii="Cambria Math" w:hAnsi="Cambria Math"/>
                <w:i/>
                <w:sz w:val="24"/>
                <w:szCs w:val="24"/>
                <w:highlight w:val="white"/>
              </w:rPr>
            </m:ctrlPr>
          </m:num>
          <m:den>
            <m:d>
              <m:dPr>
                <m:ctrlPr>
                  <w:rPr>
                    <w:rFonts w:ascii="Cambria Math" w:hAnsi="Cambria Math"/>
                    <w:i/>
                    <w:sz w:val="24"/>
                    <w:szCs w:val="24"/>
                  </w:rPr>
                </m:ctrlPr>
              </m:dPr>
              <m:e>
                <m:r>
                  <w:rPr>
                    <w:rFonts w:ascii="Cambria Math" w:hAnsi="Cambria Math"/>
                    <w:sz w:val="24"/>
                    <w:szCs w:val="24"/>
                    <w:highlight w:val="white"/>
                  </w:rPr>
                  <m:t>TP+FP</m:t>
                </m:r>
              </m:e>
            </m:d>
          </m:den>
        </m:f>
      </m:oMath>
      <w:r w:rsidR="00B62E06" w:rsidRPr="00E677D9">
        <w:rPr>
          <w:sz w:val="24"/>
          <w:szCs w:val="24"/>
          <w:highlight w:val="white"/>
        </w:rPr>
        <w:t>,</w:t>
      </w:r>
      <w:r w:rsidR="00483EF9" w:rsidRPr="00E677D9">
        <w:rPr>
          <w:sz w:val="24"/>
          <w:szCs w:val="24"/>
          <w:highlight w:val="white"/>
        </w:rPr>
        <w:t xml:space="preserve"> </w:t>
      </w:r>
      <m:oMath>
        <m:r>
          <w:rPr>
            <w:rFonts w:ascii="Cambria Math" w:hAnsi="Cambria Math"/>
            <w:sz w:val="24"/>
            <w:szCs w:val="24"/>
            <w:highlight w:val="white"/>
          </w:rPr>
          <m:t>Recall=</m:t>
        </m:r>
        <m:f>
          <m:fPr>
            <m:ctrlPr>
              <w:rPr>
                <w:rFonts w:ascii="Cambria Math" w:hAnsi="Cambria Math"/>
                <w:i/>
                <w:sz w:val="24"/>
                <w:szCs w:val="24"/>
              </w:rPr>
            </m:ctrlPr>
          </m:fPr>
          <m:num>
            <m:r>
              <w:rPr>
                <w:rFonts w:ascii="Cambria Math" w:hAnsi="Cambria Math"/>
                <w:sz w:val="24"/>
                <w:szCs w:val="24"/>
                <w:highlight w:val="white"/>
              </w:rPr>
              <m:t>TP</m:t>
            </m:r>
            <m:ctrlPr>
              <w:rPr>
                <w:rFonts w:ascii="Cambria Math" w:hAnsi="Cambria Math"/>
                <w:i/>
                <w:sz w:val="24"/>
                <w:szCs w:val="24"/>
                <w:highlight w:val="white"/>
              </w:rPr>
            </m:ctrlPr>
          </m:num>
          <m:den>
            <m:d>
              <m:dPr>
                <m:ctrlPr>
                  <w:rPr>
                    <w:rFonts w:ascii="Cambria Math" w:hAnsi="Cambria Math"/>
                    <w:i/>
                    <w:sz w:val="24"/>
                    <w:szCs w:val="24"/>
                  </w:rPr>
                </m:ctrlPr>
              </m:dPr>
              <m:e>
                <m:r>
                  <w:rPr>
                    <w:rFonts w:ascii="Cambria Math" w:hAnsi="Cambria Math"/>
                    <w:sz w:val="24"/>
                    <w:szCs w:val="24"/>
                    <w:highlight w:val="white"/>
                  </w:rPr>
                  <m:t>TP+F</m:t>
                </m:r>
                <m:r>
                  <w:rPr>
                    <w:rFonts w:ascii="Cambria Math" w:hAnsi="Cambria Math"/>
                    <w:sz w:val="24"/>
                    <w:szCs w:val="24"/>
                  </w:rPr>
                  <m:t>N</m:t>
                </m:r>
              </m:e>
            </m:d>
          </m:den>
        </m:f>
      </m:oMath>
      <w:r w:rsidR="00483EF9" w:rsidRPr="00E677D9">
        <w:rPr>
          <w:sz w:val="24"/>
          <w:szCs w:val="24"/>
          <w:highlight w:val="white"/>
        </w:rPr>
        <w:t xml:space="preserve">, </w:t>
      </w:r>
      <w:r w:rsidR="00483EF9" w:rsidRPr="00E677D9">
        <w:rPr>
          <w:sz w:val="24"/>
          <w:szCs w:val="24"/>
          <w:highlight w:val="white"/>
        </w:rPr>
        <w:br/>
      </w:r>
      <w:r w:rsidR="00B62E06" w:rsidRPr="00E677D9">
        <w:rPr>
          <w:sz w:val="24"/>
          <w:szCs w:val="24"/>
          <w:highlight w:val="white"/>
        </w:rPr>
        <w:br/>
        <w:t xml:space="preserve"> The model's feature importance was </w:t>
      </w:r>
      <w:proofErr w:type="spellStart"/>
      <w:r w:rsidR="00B62E06" w:rsidRPr="00E677D9">
        <w:rPr>
          <w:sz w:val="24"/>
          <w:szCs w:val="24"/>
          <w:highlight w:val="white"/>
        </w:rPr>
        <w:t>analyzed</w:t>
      </w:r>
      <w:proofErr w:type="spellEnd"/>
      <w:r w:rsidR="00B62E06" w:rsidRPr="00E677D9">
        <w:rPr>
          <w:sz w:val="24"/>
          <w:szCs w:val="24"/>
          <w:highlight w:val="white"/>
        </w:rPr>
        <w:t xml:space="preserve"> to identify which input variables contributed most significantly to threat classification.</w:t>
      </w:r>
      <w:r w:rsidR="00B62E06" w:rsidRPr="00E677D9">
        <w:rPr>
          <w:sz w:val="24"/>
          <w:szCs w:val="24"/>
          <w:highlight w:val="white"/>
        </w:rPr>
        <w:br/>
      </w:r>
    </w:p>
    <w:p w14:paraId="29466A52" w14:textId="77777777" w:rsidR="00483EF9" w:rsidRPr="00E677D9" w:rsidRDefault="00B62E06" w:rsidP="00E677D9">
      <w:pPr>
        <w:numPr>
          <w:ilvl w:val="0"/>
          <w:numId w:val="3"/>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r w:rsidRPr="00E677D9">
        <w:rPr>
          <w:b/>
          <w:color w:val="0D0D0D"/>
          <w:sz w:val="24"/>
          <w:szCs w:val="24"/>
          <w:highlight w:val="white"/>
        </w:rPr>
        <w:t>Quantification of AI Implementation Challenges</w:t>
      </w:r>
      <w:r w:rsidRPr="00E677D9">
        <w:rPr>
          <w:b/>
          <w:color w:val="0D0D0D"/>
          <w:sz w:val="24"/>
          <w:szCs w:val="24"/>
          <w:highlight w:val="white"/>
        </w:rPr>
        <w:br/>
      </w:r>
      <w:r w:rsidRPr="00E677D9">
        <w:rPr>
          <w:color w:val="0D0D0D"/>
          <w:sz w:val="24"/>
          <w:szCs w:val="24"/>
          <w:highlight w:val="white"/>
        </w:rPr>
        <w:t xml:space="preserve"> To assess implementation barriers, data from the </w:t>
      </w:r>
      <w:r w:rsidRPr="00E677D9">
        <w:rPr>
          <w:b/>
          <w:color w:val="0D0D0D"/>
          <w:sz w:val="24"/>
          <w:szCs w:val="24"/>
          <w:highlight w:val="white"/>
        </w:rPr>
        <w:t>Stanford AI Index Report (2023)</w:t>
      </w:r>
      <w:r w:rsidRPr="00E677D9">
        <w:rPr>
          <w:rFonts w:eastAsia="Arial Unicode MS"/>
          <w:color w:val="0D0D0D"/>
          <w:sz w:val="24"/>
          <w:szCs w:val="24"/>
          <w:highlight w:val="white"/>
        </w:rPr>
        <w:t xml:space="preserve"> was </w:t>
      </w:r>
      <w:proofErr w:type="spellStart"/>
      <w:r w:rsidRPr="00E677D9">
        <w:rPr>
          <w:rFonts w:eastAsia="Arial Unicode MS"/>
          <w:color w:val="0D0D0D"/>
          <w:sz w:val="24"/>
          <w:szCs w:val="24"/>
          <w:highlight w:val="white"/>
        </w:rPr>
        <w:t>analyzed</w:t>
      </w:r>
      <w:proofErr w:type="spellEnd"/>
      <w:r w:rsidRPr="00E677D9">
        <w:rPr>
          <w:rFonts w:eastAsia="Arial Unicode MS"/>
          <w:color w:val="0D0D0D"/>
          <w:sz w:val="24"/>
          <w:szCs w:val="24"/>
          <w:highlight w:val="white"/>
        </w:rPr>
        <w:t xml:space="preserve"> using quantitative content aggregation. The proportion of institutions reporting each barrier (e.g., regulatory constraints, data privacy concerns, algorithmic bias) was calculated. A Likert-b</w:t>
      </w:r>
      <w:r w:rsidR="00483EF9" w:rsidRPr="00E677D9">
        <w:rPr>
          <w:rFonts w:eastAsia="Arial Unicode MS"/>
          <w:color w:val="0D0D0D"/>
          <w:sz w:val="24"/>
          <w:szCs w:val="24"/>
          <w:highlight w:val="white"/>
        </w:rPr>
        <w:t>ased normalization score L</w:t>
      </w:r>
      <w:r w:rsidR="00483EF9" w:rsidRPr="00E677D9">
        <w:rPr>
          <w:rFonts w:eastAsia="Arial Unicode MS"/>
          <w:color w:val="0D0D0D"/>
          <w:sz w:val="24"/>
          <w:szCs w:val="24"/>
          <w:highlight w:val="white"/>
          <w:vertAlign w:val="subscript"/>
        </w:rPr>
        <w:t>k</w:t>
      </w:r>
      <w:r w:rsidRPr="00E677D9">
        <w:rPr>
          <w:rFonts w:eastAsia="Arial Unicode MS"/>
          <w:color w:val="0D0D0D"/>
          <w:sz w:val="24"/>
          <w:szCs w:val="24"/>
          <w:highlight w:val="white"/>
        </w:rPr>
        <w:t>​ was derived for each challenge k:</w:t>
      </w:r>
    </w:p>
    <w:p w14:paraId="0D699034" w14:textId="77777777" w:rsidR="00557214" w:rsidRPr="00E677D9" w:rsidRDefault="001966C0"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rPr>
          <w:color w:val="0D0D0D"/>
          <w:sz w:val="24"/>
          <w:szCs w:val="24"/>
          <w:highlight w:val="white"/>
        </w:rPr>
      </w:pPr>
      <m:oMathPara>
        <m:oMath>
          <m:sSub>
            <m:sSubPr>
              <m:ctrlPr>
                <w:rPr>
                  <w:rStyle w:val="mord"/>
                  <w:rFonts w:ascii="Cambria Math" w:hAnsi="Cambria Math"/>
                  <w:sz w:val="24"/>
                  <w:szCs w:val="24"/>
                </w:rPr>
              </m:ctrlPr>
            </m:sSubPr>
            <m:e>
              <m:r>
                <m:rPr>
                  <m:sty m:val="p"/>
                </m:rPr>
                <w:rPr>
                  <w:rStyle w:val="mord"/>
                  <w:rFonts w:ascii="Cambria Math" w:hAnsi="Cambria Math"/>
                  <w:sz w:val="24"/>
                  <w:szCs w:val="24"/>
                </w:rPr>
                <m:t>L</m:t>
              </m:r>
            </m:e>
            <m:sub>
              <m:r>
                <m:rPr>
                  <m:sty m:val="p"/>
                </m:rPr>
                <w:rPr>
                  <w:rStyle w:val="mord"/>
                  <w:rFonts w:ascii="Cambria Math" w:hAnsi="Cambria Math"/>
                  <w:sz w:val="24"/>
                  <w:szCs w:val="24"/>
                </w:rPr>
                <m:t>k</m:t>
              </m:r>
            </m:sub>
          </m:sSub>
          <m:r>
            <m:rPr>
              <m:sty m:val="p"/>
            </m:rPr>
            <w:rPr>
              <w:rStyle w:val="vlist-s"/>
              <w:rFonts w:ascii="Cambria Math" w:hAnsi="Cambria Math"/>
              <w:sz w:val="24"/>
              <w:szCs w:val="24"/>
            </w:rPr>
            <m:t>​</m:t>
          </m:r>
          <m:r>
            <m:rPr>
              <m:sty m:val="p"/>
            </m:rPr>
            <w:rPr>
              <w:rStyle w:val="mrel"/>
              <w:rFonts w:ascii="Cambria Math" w:hAnsi="Cambria Math"/>
              <w:sz w:val="24"/>
              <w:szCs w:val="24"/>
            </w:rPr>
            <m:t>=</m:t>
          </m:r>
          <m:f>
            <m:fPr>
              <m:ctrlPr>
                <w:rPr>
                  <w:rStyle w:val="mord"/>
                  <w:rFonts w:ascii="Cambria Math" w:hAnsi="Cambria Math"/>
                  <w:sz w:val="24"/>
                  <w:szCs w:val="24"/>
                </w:rPr>
              </m:ctrlPr>
            </m:fPr>
            <m:num>
              <m:r>
                <m:rPr>
                  <m:sty m:val="p"/>
                </m:rPr>
                <w:rPr>
                  <w:rStyle w:val="mord"/>
                  <w:rFonts w:ascii="Cambria Math" w:hAnsi="Cambria Math"/>
                  <w:sz w:val="24"/>
                  <w:szCs w:val="24"/>
                </w:rPr>
                <m:t>1</m:t>
              </m:r>
            </m:num>
            <m:den>
              <m:r>
                <m:rPr>
                  <m:sty m:val="p"/>
                </m:rPr>
                <w:rPr>
                  <w:rStyle w:val="mord"/>
                  <w:rFonts w:ascii="Cambria Math" w:hAnsi="Cambria Math"/>
                  <w:sz w:val="24"/>
                  <w:szCs w:val="24"/>
                </w:rPr>
                <m:t>m</m:t>
              </m:r>
            </m:den>
          </m:f>
          <m:nary>
            <m:naryPr>
              <m:chr m:val="∑"/>
              <m:limLoc m:val="undOvr"/>
              <m:ctrlPr>
                <w:rPr>
                  <w:rStyle w:val="mord"/>
                  <w:rFonts w:ascii="Cambria Math" w:hAnsi="Cambria Math"/>
                  <w:sz w:val="24"/>
                  <w:szCs w:val="24"/>
                </w:rPr>
              </m:ctrlPr>
            </m:naryPr>
            <m:sub>
              <m:r>
                <w:rPr>
                  <w:rStyle w:val="mord"/>
                  <w:rFonts w:ascii="Cambria Math" w:hAnsi="Cambria Math"/>
                  <w:sz w:val="24"/>
                  <w:szCs w:val="24"/>
                </w:rPr>
                <m:t>i</m:t>
              </m:r>
              <m:r>
                <w:rPr>
                  <w:rStyle w:val="mord"/>
                  <w:rFonts w:ascii="Cambria Math" w:hAnsi="Cambria Math"/>
                  <w:sz w:val="24"/>
                  <w:szCs w:val="24"/>
                </w:rPr>
                <m:t>=1</m:t>
              </m:r>
            </m:sub>
            <m:sup>
              <m:r>
                <w:rPr>
                  <w:rStyle w:val="mord"/>
                  <w:rFonts w:ascii="Cambria Math" w:hAnsi="Cambria Math"/>
                  <w:sz w:val="24"/>
                  <w:szCs w:val="24"/>
                </w:rPr>
                <m:t>m</m:t>
              </m:r>
            </m:sup>
            <m:e>
              <m:sSub>
                <m:sSubPr>
                  <m:ctrlPr>
                    <w:rPr>
                      <w:rStyle w:val="mord"/>
                      <w:rFonts w:ascii="Cambria Math" w:hAnsi="Cambria Math"/>
                      <w:sz w:val="24"/>
                      <w:szCs w:val="24"/>
                    </w:rPr>
                  </m:ctrlPr>
                </m:sSubPr>
                <m:e>
                  <m:r>
                    <m:rPr>
                      <m:sty m:val="p"/>
                    </m:rPr>
                    <w:rPr>
                      <w:rStyle w:val="mord"/>
                      <w:rFonts w:ascii="Cambria Math" w:hAnsi="Cambria Math"/>
                      <w:sz w:val="24"/>
                      <w:szCs w:val="24"/>
                    </w:rPr>
                    <m:t>x</m:t>
                  </m:r>
                </m:e>
                <m:sub>
                  <m:r>
                    <m:rPr>
                      <m:sty m:val="p"/>
                    </m:rPr>
                    <w:rPr>
                      <w:rStyle w:val="mord"/>
                      <w:rFonts w:ascii="Cambria Math" w:hAnsi="Cambria Math"/>
                      <w:sz w:val="24"/>
                      <w:szCs w:val="24"/>
                    </w:rPr>
                    <m:t>ik</m:t>
                  </m:r>
                </m:sub>
              </m:sSub>
            </m:e>
          </m:nary>
          <m:r>
            <m:rPr>
              <m:sty m:val="p"/>
            </m:rPr>
            <w:rPr>
              <w:rStyle w:val="vlist-s"/>
              <w:rFonts w:ascii="Cambria Math" w:hAnsi="Cambria Math"/>
              <w:sz w:val="24"/>
              <w:szCs w:val="24"/>
            </w:rPr>
            <m:t>​​</m:t>
          </m:r>
          <m:r>
            <m:rPr>
              <m:sty m:val="p"/>
            </m:rPr>
            <w:rPr>
              <w:rFonts w:ascii="Cambria Math" w:eastAsia="Arial Unicode MS" w:hAnsi="Cambria Math"/>
              <w:color w:val="0D0D0D"/>
              <w:sz w:val="24"/>
              <w:szCs w:val="24"/>
              <w:highlight w:val="white"/>
            </w:rPr>
            <w:br/>
          </m:r>
        </m:oMath>
      </m:oMathPara>
      <w:r w:rsidR="00B62E06" w:rsidRPr="00E677D9">
        <w:rPr>
          <w:rFonts w:eastAsia="Arial Unicode MS"/>
          <w:color w:val="0D0D0D"/>
          <w:sz w:val="24"/>
          <w:szCs w:val="24"/>
          <w:highlight w:val="white"/>
        </w:rPr>
        <w:t xml:space="preserve">where </w:t>
      </w:r>
      <w:proofErr w:type="spellStart"/>
      <w:r w:rsidR="00B62E06" w:rsidRPr="00E677D9">
        <w:rPr>
          <w:rFonts w:eastAsia="Arial Unicode MS"/>
          <w:color w:val="0D0D0D"/>
          <w:sz w:val="24"/>
          <w:szCs w:val="24"/>
          <w:highlight w:val="white"/>
        </w:rPr>
        <w:t>x</w:t>
      </w:r>
      <w:r w:rsidR="00B62E06" w:rsidRPr="00E677D9">
        <w:rPr>
          <w:rFonts w:eastAsia="Arial Unicode MS"/>
          <w:color w:val="0D0D0D"/>
          <w:sz w:val="24"/>
          <w:szCs w:val="24"/>
          <w:highlight w:val="white"/>
          <w:vertAlign w:val="subscript"/>
        </w:rPr>
        <w:t>ik</w:t>
      </w:r>
      <w:proofErr w:type="spellEnd"/>
      <w:r w:rsidR="00B62E06" w:rsidRPr="00E677D9">
        <w:rPr>
          <w:rFonts w:eastAsia="Arial Unicode MS"/>
          <w:color w:val="0D0D0D"/>
          <w:sz w:val="24"/>
          <w:szCs w:val="24"/>
          <w:highlight w:val="white"/>
        </w:rPr>
        <w:t xml:space="preserve">​ is the Likert rating by respondent </w:t>
      </w:r>
      <w:proofErr w:type="spellStart"/>
      <w:r w:rsidR="00B62E06" w:rsidRPr="00E677D9">
        <w:rPr>
          <w:rFonts w:eastAsia="Arial Unicode MS"/>
          <w:color w:val="0D0D0D"/>
          <w:sz w:val="24"/>
          <w:szCs w:val="24"/>
          <w:highlight w:val="white"/>
        </w:rPr>
        <w:t>i</w:t>
      </w:r>
      <w:proofErr w:type="spellEnd"/>
      <w:r w:rsidR="00B62E06" w:rsidRPr="00E677D9">
        <w:rPr>
          <w:rFonts w:eastAsia="Arial Unicode MS"/>
          <w:color w:val="0D0D0D"/>
          <w:sz w:val="24"/>
          <w:szCs w:val="24"/>
          <w:highlight w:val="white"/>
        </w:rPr>
        <w:t xml:space="preserve"> on issue k, and m is the total number of respondents. Weighted ranking was applied to prioritize these challenges in order of operational impact.</w:t>
      </w:r>
      <w:r w:rsidR="00B62E06" w:rsidRPr="00E677D9">
        <w:rPr>
          <w:rFonts w:eastAsia="Arial Unicode MS"/>
          <w:color w:val="0D0D0D"/>
          <w:sz w:val="24"/>
          <w:szCs w:val="24"/>
          <w:highlight w:val="white"/>
        </w:rPr>
        <w:br/>
      </w:r>
    </w:p>
    <w:p w14:paraId="25CDC826" w14:textId="77777777" w:rsidR="00D8123A" w:rsidRPr="00E677D9" w:rsidRDefault="00B62E06" w:rsidP="00E677D9">
      <w:pPr>
        <w:numPr>
          <w:ilvl w:val="0"/>
          <w:numId w:val="3"/>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r w:rsidRPr="00E677D9">
        <w:rPr>
          <w:b/>
          <w:color w:val="0D0D0D"/>
          <w:sz w:val="24"/>
          <w:szCs w:val="24"/>
          <w:highlight w:val="white"/>
        </w:rPr>
        <w:t>Effectiveness of AI in Cost and Risk Mitigation</w:t>
      </w:r>
      <w:r w:rsidRPr="00E677D9">
        <w:rPr>
          <w:b/>
          <w:color w:val="0D0D0D"/>
          <w:sz w:val="24"/>
          <w:szCs w:val="24"/>
          <w:highlight w:val="white"/>
        </w:rPr>
        <w:br/>
      </w:r>
      <w:r w:rsidRPr="00E677D9">
        <w:rPr>
          <w:color w:val="0D0D0D"/>
          <w:sz w:val="24"/>
          <w:szCs w:val="24"/>
          <w:highlight w:val="white"/>
        </w:rPr>
        <w:t xml:space="preserve"> Using the </w:t>
      </w:r>
      <w:r w:rsidRPr="00E677D9">
        <w:rPr>
          <w:b/>
          <w:color w:val="0D0D0D"/>
          <w:sz w:val="24"/>
          <w:szCs w:val="24"/>
          <w:highlight w:val="white"/>
        </w:rPr>
        <w:t>IBM Cost of a Data Breach Report (2023)</w:t>
      </w:r>
      <w:r w:rsidRPr="00E677D9">
        <w:rPr>
          <w:color w:val="0D0D0D"/>
          <w:sz w:val="24"/>
          <w:szCs w:val="24"/>
          <w:highlight w:val="white"/>
        </w:rPr>
        <w:t xml:space="preserve">, statistical comparisons were made between healthcare organizations using AI/automation and those </w:t>
      </w:r>
      <w:r w:rsidRPr="00E677D9">
        <w:rPr>
          <w:color w:val="0D0D0D"/>
          <w:sz w:val="24"/>
          <w:szCs w:val="24"/>
          <w:highlight w:val="white"/>
        </w:rPr>
        <w:lastRenderedPageBreak/>
        <w:t xml:space="preserve">without such technologies. Independent samples </w:t>
      </w:r>
      <w:r w:rsidRPr="00E677D9">
        <w:rPr>
          <w:b/>
          <w:color w:val="0D0D0D"/>
          <w:sz w:val="24"/>
          <w:szCs w:val="24"/>
          <w:highlight w:val="white"/>
        </w:rPr>
        <w:t>t-tests</w:t>
      </w:r>
      <w:r w:rsidRPr="00E677D9">
        <w:rPr>
          <w:rFonts w:eastAsia="Arial Unicode MS"/>
          <w:color w:val="0D0D0D"/>
          <w:sz w:val="24"/>
          <w:szCs w:val="24"/>
          <w:highlight w:val="white"/>
        </w:rPr>
        <w:t xml:space="preserve"> evaluated the difference in mean breach costs and incident response times. The test statistic </w:t>
      </w:r>
      <w:proofErr w:type="spellStart"/>
      <w:r w:rsidRPr="00E677D9">
        <w:rPr>
          <w:rFonts w:eastAsia="Arial Unicode MS"/>
          <w:color w:val="0D0D0D"/>
          <w:sz w:val="24"/>
          <w:szCs w:val="24"/>
          <w:highlight w:val="white"/>
        </w:rPr>
        <w:t>ttt</w:t>
      </w:r>
      <w:proofErr w:type="spellEnd"/>
      <w:r w:rsidRPr="00E677D9">
        <w:rPr>
          <w:rFonts w:eastAsia="Arial Unicode MS"/>
          <w:color w:val="0D0D0D"/>
          <w:sz w:val="24"/>
          <w:szCs w:val="24"/>
          <w:highlight w:val="white"/>
        </w:rPr>
        <w:t xml:space="preserve"> was </w:t>
      </w:r>
      <w:r w:rsidR="0006394E" w:rsidRPr="00E677D9">
        <w:rPr>
          <w:rFonts w:eastAsia="Arial Unicode MS"/>
          <w:color w:val="0D0D0D"/>
          <w:sz w:val="24"/>
          <w:szCs w:val="24"/>
          <w:highlight w:val="white"/>
        </w:rPr>
        <w:t>computed as:</w:t>
      </w:r>
    </w:p>
    <w:p w14:paraId="6284288D" w14:textId="77777777" w:rsidR="0006394E" w:rsidRPr="00E677D9" w:rsidRDefault="00D8123A"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rPr>
          <w:color w:val="0D0D0D"/>
          <w:sz w:val="24"/>
          <w:szCs w:val="24"/>
          <w:highlight w:val="white"/>
        </w:rPr>
      </w:pPr>
      <m:oMathPara>
        <m:oMath>
          <m:r>
            <m:rPr>
              <m:sty m:val="p"/>
            </m:rPr>
            <w:rPr>
              <w:rStyle w:val="mord"/>
              <w:rFonts w:ascii="Cambria Math" w:hAnsi="Cambria Math"/>
              <w:sz w:val="24"/>
              <w:szCs w:val="24"/>
            </w:rPr>
            <m:t>t</m:t>
          </m:r>
          <m:r>
            <m:rPr>
              <m:sty m:val="p"/>
            </m:rPr>
            <w:rPr>
              <w:rStyle w:val="mrel"/>
              <w:rFonts w:ascii="Cambria Math" w:hAnsi="Cambria Math"/>
              <w:sz w:val="24"/>
              <w:szCs w:val="24"/>
            </w:rPr>
            <m:t>=</m:t>
          </m:r>
          <m:r>
            <m:rPr>
              <m:sty m:val="p"/>
            </m:rPr>
            <w:rPr>
              <w:rStyle w:val="vlist-s"/>
              <w:rFonts w:ascii="Cambria Math" w:hAnsi="Cambria Math"/>
              <w:sz w:val="24"/>
              <w:szCs w:val="24"/>
            </w:rPr>
            <m:t>​​​</m:t>
          </m:r>
          <m:f>
            <m:fPr>
              <m:ctrlPr>
                <w:rPr>
                  <w:rStyle w:val="mord"/>
                  <w:rFonts w:ascii="Cambria Math" w:hAnsi="Cambria Math"/>
                  <w:i/>
                  <w:sz w:val="24"/>
                  <w:szCs w:val="24"/>
                </w:rPr>
              </m:ctrlPr>
            </m:fPr>
            <m:num>
              <m:r>
                <w:rPr>
                  <w:rStyle w:val="mord"/>
                  <w:rFonts w:ascii="Cambria Math" w:hAnsi="Cambria Math"/>
                  <w:sz w:val="24"/>
                  <w:szCs w:val="24"/>
                </w:rPr>
                <m:t>X</m:t>
              </m:r>
              <m:sSub>
                <m:sSubPr>
                  <m:ctrlPr>
                    <w:rPr>
                      <w:rStyle w:val="mord"/>
                      <w:rFonts w:ascii="Cambria Math" w:hAnsi="Cambria Math"/>
                      <w:i/>
                      <w:sz w:val="24"/>
                      <w:szCs w:val="24"/>
                    </w:rPr>
                  </m:ctrlPr>
                </m:sSubPr>
                <m:e>
                  <m:r>
                    <w:rPr>
                      <w:rStyle w:val="mord"/>
                      <w:rFonts w:ascii="Cambria Math" w:hAnsi="Cambria Math"/>
                      <w:sz w:val="24"/>
                      <w:szCs w:val="24"/>
                    </w:rPr>
                    <m:t>ˉ</m:t>
                  </m:r>
                </m:e>
                <m:sub>
                  <m:r>
                    <w:rPr>
                      <w:rStyle w:val="mord"/>
                      <w:rFonts w:ascii="Cambria Math" w:hAnsi="Cambria Math"/>
                      <w:sz w:val="24"/>
                      <w:szCs w:val="24"/>
                    </w:rPr>
                    <m:t>1</m:t>
                  </m:r>
                </m:sub>
              </m:sSub>
              <m:r>
                <w:rPr>
                  <w:rStyle w:val="vlist-s"/>
                  <w:rFonts w:ascii="Cambria Math" w:hAnsi="Cambria Math"/>
                  <w:sz w:val="24"/>
                  <w:szCs w:val="24"/>
                </w:rPr>
                <m:t xml:space="preserve"> ​</m:t>
              </m:r>
              <m:r>
                <w:rPr>
                  <w:rStyle w:val="mbin"/>
                  <w:rFonts w:ascii="Cambria Math" w:hAnsi="Cambria Math"/>
                  <w:sz w:val="24"/>
                  <w:szCs w:val="24"/>
                </w:rPr>
                <m:t>-</m:t>
              </m:r>
              <m:r>
                <w:rPr>
                  <w:rStyle w:val="mord"/>
                  <w:rFonts w:ascii="Cambria Math" w:hAnsi="Cambria Math"/>
                  <w:sz w:val="24"/>
                  <w:szCs w:val="24"/>
                </w:rPr>
                <m:t>X</m:t>
              </m:r>
              <m:sSub>
                <m:sSubPr>
                  <m:ctrlPr>
                    <w:rPr>
                      <w:rStyle w:val="mord"/>
                      <w:rFonts w:ascii="Cambria Math" w:hAnsi="Cambria Math"/>
                      <w:i/>
                      <w:sz w:val="24"/>
                      <w:szCs w:val="24"/>
                    </w:rPr>
                  </m:ctrlPr>
                </m:sSubPr>
                <m:e>
                  <m:r>
                    <w:rPr>
                      <w:rStyle w:val="mord"/>
                      <w:rFonts w:ascii="Cambria Math" w:hAnsi="Cambria Math"/>
                      <w:sz w:val="24"/>
                      <w:szCs w:val="24"/>
                    </w:rPr>
                    <m:t>ˉ</m:t>
                  </m:r>
                </m:e>
                <m:sub>
                  <m:r>
                    <w:rPr>
                      <w:rStyle w:val="mord"/>
                      <w:rFonts w:ascii="Cambria Math" w:hAnsi="Cambria Math"/>
                      <w:sz w:val="24"/>
                      <w:szCs w:val="24"/>
                    </w:rPr>
                    <m:t>2</m:t>
                  </m:r>
                </m:sub>
              </m:sSub>
            </m:num>
            <m:den>
              <m:rad>
                <m:radPr>
                  <m:degHide m:val="1"/>
                  <m:ctrlPr>
                    <w:rPr>
                      <w:rStyle w:val="mord"/>
                      <w:rFonts w:ascii="Cambria Math" w:hAnsi="Cambria Math"/>
                      <w:i/>
                      <w:sz w:val="24"/>
                      <w:szCs w:val="24"/>
                    </w:rPr>
                  </m:ctrlPr>
                </m:radPr>
                <m:deg/>
                <m:e>
                  <m:f>
                    <m:fPr>
                      <m:ctrlPr>
                        <w:rPr>
                          <w:rStyle w:val="mord"/>
                          <w:rFonts w:ascii="Cambria Math" w:hAnsi="Cambria Math"/>
                          <w:i/>
                          <w:sz w:val="24"/>
                          <w:szCs w:val="24"/>
                        </w:rPr>
                      </m:ctrlPr>
                    </m:fPr>
                    <m:num>
                      <w:bookmarkStart w:id="8" w:name="_Hlk193546091"/>
                      <m:sSubSup>
                        <m:sSubSupPr>
                          <m:ctrlPr>
                            <w:rPr>
                              <w:rStyle w:val="mord"/>
                              <w:rFonts w:ascii="Cambria Math" w:hAnsi="Cambria Math"/>
                              <w:i/>
                              <w:sz w:val="24"/>
                              <w:szCs w:val="24"/>
                            </w:rPr>
                          </m:ctrlPr>
                        </m:sSubSupPr>
                        <m:e>
                          <m:r>
                            <w:rPr>
                              <w:rStyle w:val="mord"/>
                              <w:rFonts w:ascii="Cambria Math" w:hAnsi="Cambria Math"/>
                              <w:sz w:val="24"/>
                              <w:szCs w:val="24"/>
                            </w:rPr>
                            <m:t>s</m:t>
                          </m:r>
                        </m:e>
                        <m:sub>
                          <m:r>
                            <w:rPr>
                              <w:rStyle w:val="mord"/>
                              <w:rFonts w:ascii="Cambria Math" w:hAnsi="Cambria Math"/>
                              <w:sz w:val="24"/>
                              <w:szCs w:val="24"/>
                            </w:rPr>
                            <m:t>1</m:t>
                          </m:r>
                        </m:sub>
                        <m:sup>
                          <m:r>
                            <w:rPr>
                              <w:rStyle w:val="mord"/>
                              <w:rFonts w:ascii="Cambria Math" w:hAnsi="Cambria Math"/>
                              <w:sz w:val="24"/>
                              <w:szCs w:val="24"/>
                            </w:rPr>
                            <m:t>2</m:t>
                          </m:r>
                        </m:sup>
                      </m:sSubSup>
                      <w:bookmarkEnd w:id="8"/>
                    </m:num>
                    <m:den>
                      <m:sSub>
                        <m:sSubPr>
                          <m:ctrlPr>
                            <w:rPr>
                              <w:rStyle w:val="mord"/>
                              <w:rFonts w:ascii="Cambria Math" w:hAnsi="Cambria Math"/>
                              <w:i/>
                              <w:sz w:val="24"/>
                              <w:szCs w:val="24"/>
                            </w:rPr>
                          </m:ctrlPr>
                        </m:sSubPr>
                        <m:e>
                          <m:r>
                            <w:rPr>
                              <w:rStyle w:val="mord"/>
                              <w:rFonts w:ascii="Cambria Math" w:hAnsi="Cambria Math"/>
                              <w:sz w:val="24"/>
                              <w:szCs w:val="24"/>
                            </w:rPr>
                            <m:t>n</m:t>
                          </m:r>
                        </m:e>
                        <m:sub>
                          <m:r>
                            <w:rPr>
                              <w:rStyle w:val="mord"/>
                              <w:rFonts w:ascii="Cambria Math" w:hAnsi="Cambria Math"/>
                              <w:sz w:val="24"/>
                              <w:szCs w:val="24"/>
                            </w:rPr>
                            <m:t>1</m:t>
                          </m:r>
                        </m:sub>
                      </m:sSub>
                    </m:den>
                  </m:f>
                </m:e>
              </m:rad>
              <m:r>
                <w:rPr>
                  <w:rStyle w:val="mord"/>
                  <w:rFonts w:ascii="Cambria Math" w:hAnsi="Cambria Math"/>
                  <w:sz w:val="24"/>
                  <w:szCs w:val="24"/>
                </w:rPr>
                <m:t xml:space="preserve">+ </m:t>
              </m:r>
              <m:f>
                <m:fPr>
                  <m:ctrlPr>
                    <w:rPr>
                      <w:rStyle w:val="mord"/>
                      <w:rFonts w:ascii="Cambria Math" w:hAnsi="Cambria Math"/>
                      <w:i/>
                      <w:sz w:val="24"/>
                      <w:szCs w:val="24"/>
                    </w:rPr>
                  </m:ctrlPr>
                </m:fPr>
                <m:num>
                  <m:sSubSup>
                    <m:sSubSupPr>
                      <m:ctrlPr>
                        <w:rPr>
                          <w:rStyle w:val="mord"/>
                          <w:rFonts w:ascii="Cambria Math" w:hAnsi="Cambria Math"/>
                          <w:i/>
                          <w:sz w:val="24"/>
                          <w:szCs w:val="24"/>
                        </w:rPr>
                      </m:ctrlPr>
                    </m:sSubSupPr>
                    <m:e>
                      <m:r>
                        <w:rPr>
                          <w:rStyle w:val="mord"/>
                          <w:rFonts w:ascii="Cambria Math" w:hAnsi="Cambria Math"/>
                          <w:sz w:val="24"/>
                          <w:szCs w:val="24"/>
                        </w:rPr>
                        <m:t>s</m:t>
                      </m:r>
                    </m:e>
                    <m:sub>
                      <m:r>
                        <w:rPr>
                          <w:rStyle w:val="mord"/>
                          <w:rFonts w:ascii="Cambria Math" w:hAnsi="Cambria Math"/>
                          <w:sz w:val="24"/>
                          <w:szCs w:val="24"/>
                        </w:rPr>
                        <m:t>2</m:t>
                      </m:r>
                    </m:sub>
                    <m:sup>
                      <m:r>
                        <w:rPr>
                          <w:rStyle w:val="mord"/>
                          <w:rFonts w:ascii="Cambria Math" w:hAnsi="Cambria Math"/>
                          <w:sz w:val="24"/>
                          <w:szCs w:val="24"/>
                        </w:rPr>
                        <m:t>2</m:t>
                      </m:r>
                    </m:sup>
                  </m:sSubSup>
                </m:num>
                <m:den>
                  <m:sSub>
                    <m:sSubPr>
                      <m:ctrlPr>
                        <w:rPr>
                          <w:rStyle w:val="mord"/>
                          <w:rFonts w:ascii="Cambria Math" w:hAnsi="Cambria Math"/>
                          <w:i/>
                          <w:sz w:val="24"/>
                          <w:szCs w:val="24"/>
                        </w:rPr>
                      </m:ctrlPr>
                    </m:sSubPr>
                    <m:e>
                      <m:r>
                        <w:rPr>
                          <w:rStyle w:val="mord"/>
                          <w:rFonts w:ascii="Cambria Math" w:hAnsi="Cambria Math"/>
                          <w:sz w:val="24"/>
                          <w:szCs w:val="24"/>
                        </w:rPr>
                        <m:t>n</m:t>
                      </m:r>
                    </m:e>
                    <m:sub>
                      <m:r>
                        <w:rPr>
                          <w:rStyle w:val="mord"/>
                          <w:rFonts w:ascii="Cambria Math" w:hAnsi="Cambria Math"/>
                          <w:sz w:val="24"/>
                          <w:szCs w:val="24"/>
                        </w:rPr>
                        <m:t>2</m:t>
                      </m:r>
                    </m:sub>
                  </m:sSub>
                </m:den>
              </m:f>
            </m:den>
          </m:f>
          <m:r>
            <m:rPr>
              <m:sty m:val="p"/>
            </m:rPr>
            <w:rPr>
              <w:rStyle w:val="vlist-s"/>
              <w:rFonts w:ascii="Cambria Math" w:hAnsi="Cambria Math"/>
              <w:sz w:val="24"/>
              <w:szCs w:val="24"/>
            </w:rPr>
            <m:t>​​</m:t>
          </m:r>
        </m:oMath>
      </m:oMathPara>
    </w:p>
    <w:p w14:paraId="0314A5C2" w14:textId="77777777" w:rsidR="00557214" w:rsidRDefault="0006394E"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rPr>
          <w:rFonts w:eastAsia="Arial Unicode MS"/>
          <w:color w:val="0D0D0D"/>
          <w:sz w:val="24"/>
          <w:szCs w:val="24"/>
          <w:highlight w:val="white"/>
        </w:rPr>
      </w:pPr>
      <w:r w:rsidRPr="00E677D9">
        <w:rPr>
          <w:rFonts w:eastAsia="Arial Unicode MS"/>
          <w:color w:val="0D0D0D"/>
          <w:sz w:val="24"/>
          <w:szCs w:val="24"/>
          <w:highlight w:val="white"/>
        </w:rPr>
        <w:t>W</w:t>
      </w:r>
      <w:r w:rsidR="00B62E06" w:rsidRPr="00E677D9">
        <w:rPr>
          <w:rFonts w:eastAsia="Arial Unicode MS"/>
          <w:color w:val="0D0D0D"/>
          <w:sz w:val="24"/>
          <w:szCs w:val="24"/>
          <w:highlight w:val="white"/>
        </w:rPr>
        <w:t>here Xˉ</w:t>
      </w:r>
      <w:r w:rsidR="00D8123A" w:rsidRPr="00E677D9">
        <w:rPr>
          <w:rFonts w:eastAsia="Arial Unicode MS"/>
          <w:color w:val="0D0D0D"/>
          <w:sz w:val="24"/>
          <w:szCs w:val="24"/>
          <w:highlight w:val="white"/>
          <w:vertAlign w:val="subscript"/>
        </w:rPr>
        <w:t>1</w:t>
      </w:r>
      <w:r w:rsidR="00D8123A" w:rsidRPr="00E677D9">
        <w:rPr>
          <w:rFonts w:eastAsia="Arial Unicode MS"/>
          <w:color w:val="0D0D0D"/>
          <w:sz w:val="24"/>
          <w:szCs w:val="24"/>
          <w:highlight w:val="white"/>
        </w:rPr>
        <w:t>, Xˉ</w:t>
      </w:r>
      <w:r w:rsidR="00B62E06" w:rsidRPr="00E677D9">
        <w:rPr>
          <w:rFonts w:eastAsia="Arial Unicode MS"/>
          <w:color w:val="0D0D0D"/>
          <w:sz w:val="24"/>
          <w:szCs w:val="24"/>
          <w:highlight w:val="white"/>
          <w:vertAlign w:val="subscript"/>
        </w:rPr>
        <w:t>2</w:t>
      </w:r>
      <w:r w:rsidR="00B62E06" w:rsidRPr="00E677D9">
        <w:rPr>
          <w:rFonts w:eastAsia="Arial Unicode MS"/>
          <w:color w:val="0D0D0D"/>
          <w:sz w:val="24"/>
          <w:szCs w:val="24"/>
          <w:highlight w:val="white"/>
        </w:rPr>
        <w:t xml:space="preserve">​ are the sample means, </w:t>
      </w:r>
      <m:oMath>
        <m:sSubSup>
          <m:sSubSupPr>
            <m:ctrlPr>
              <w:rPr>
                <w:rStyle w:val="mord"/>
                <w:rFonts w:ascii="Cambria Math" w:hAnsi="Cambria Math"/>
                <w:i/>
                <w:sz w:val="24"/>
                <w:szCs w:val="24"/>
              </w:rPr>
            </m:ctrlPr>
          </m:sSubSupPr>
          <m:e>
            <m:r>
              <w:rPr>
                <w:rStyle w:val="mord"/>
                <w:rFonts w:ascii="Cambria Math" w:hAnsi="Cambria Math"/>
                <w:sz w:val="24"/>
                <w:szCs w:val="24"/>
              </w:rPr>
              <m:t>s</m:t>
            </m:r>
          </m:e>
          <m:sub>
            <m:r>
              <w:rPr>
                <w:rStyle w:val="mord"/>
                <w:rFonts w:ascii="Cambria Math" w:hAnsi="Cambria Math"/>
                <w:sz w:val="24"/>
                <w:szCs w:val="24"/>
              </w:rPr>
              <m:t>1</m:t>
            </m:r>
          </m:sub>
          <m:sup>
            <m:r>
              <w:rPr>
                <w:rStyle w:val="mord"/>
                <w:rFonts w:ascii="Cambria Math" w:hAnsi="Cambria Math"/>
                <w:sz w:val="24"/>
                <w:szCs w:val="24"/>
              </w:rPr>
              <m:t>2</m:t>
            </m:r>
          </m:sup>
        </m:sSubSup>
      </m:oMath>
      <w:r w:rsidR="00B62E06" w:rsidRPr="00E677D9">
        <w:rPr>
          <w:rFonts w:eastAsia="Arial Unicode MS"/>
          <w:color w:val="0D0D0D"/>
          <w:sz w:val="24"/>
          <w:szCs w:val="24"/>
          <w:highlight w:val="white"/>
        </w:rPr>
        <w:t>​</w:t>
      </w:r>
      <w:r w:rsidR="00D8123A" w:rsidRPr="00E677D9">
        <w:rPr>
          <w:rFonts w:eastAsia="Arial Unicode MS"/>
          <w:color w:val="0D0D0D"/>
          <w:sz w:val="24"/>
          <w:szCs w:val="24"/>
          <w:highlight w:val="white"/>
        </w:rPr>
        <w:t xml:space="preserve">, </w:t>
      </w:r>
      <m:oMath>
        <m:sSubSup>
          <m:sSubSupPr>
            <m:ctrlPr>
              <w:rPr>
                <w:rStyle w:val="mord"/>
                <w:rFonts w:ascii="Cambria Math" w:hAnsi="Cambria Math"/>
                <w:i/>
                <w:sz w:val="24"/>
                <w:szCs w:val="24"/>
              </w:rPr>
            </m:ctrlPr>
          </m:sSubSupPr>
          <m:e>
            <m:r>
              <w:rPr>
                <w:rStyle w:val="mord"/>
                <w:rFonts w:ascii="Cambria Math" w:hAnsi="Cambria Math"/>
                <w:sz w:val="24"/>
                <w:szCs w:val="24"/>
              </w:rPr>
              <m:t>s</m:t>
            </m:r>
          </m:e>
          <m:sub>
            <m:r>
              <w:rPr>
                <w:rStyle w:val="mord"/>
                <w:rFonts w:ascii="Cambria Math" w:hAnsi="Cambria Math"/>
                <w:sz w:val="24"/>
                <w:szCs w:val="24"/>
              </w:rPr>
              <m:t>2</m:t>
            </m:r>
          </m:sub>
          <m:sup>
            <m:r>
              <w:rPr>
                <w:rStyle w:val="mord"/>
                <w:rFonts w:ascii="Cambria Math" w:hAnsi="Cambria Math"/>
                <w:sz w:val="24"/>
                <w:szCs w:val="24"/>
              </w:rPr>
              <m:t>2</m:t>
            </m:r>
          </m:sup>
        </m:sSubSup>
      </m:oMath>
      <w:r w:rsidR="003E03EF" w:rsidRPr="00E677D9">
        <w:rPr>
          <w:rStyle w:val="mord"/>
          <w:rFonts w:eastAsia="Arial Unicode MS"/>
          <w:sz w:val="24"/>
          <w:szCs w:val="24"/>
        </w:rPr>
        <w:t xml:space="preserve"> </w:t>
      </w:r>
      <w:r w:rsidR="00B62E06" w:rsidRPr="00E677D9">
        <w:rPr>
          <w:rFonts w:eastAsia="Arial Unicode MS"/>
          <w:color w:val="0D0D0D"/>
          <w:sz w:val="24"/>
          <w:szCs w:val="24"/>
          <w:highlight w:val="white"/>
        </w:rPr>
        <w:t>are the sample variances, and n</w:t>
      </w:r>
      <w:r w:rsidR="00B62E06" w:rsidRPr="00E677D9">
        <w:rPr>
          <w:rFonts w:eastAsia="Arial Unicode MS"/>
          <w:color w:val="0D0D0D"/>
          <w:sz w:val="24"/>
          <w:szCs w:val="24"/>
          <w:highlight w:val="white"/>
          <w:vertAlign w:val="subscript"/>
        </w:rPr>
        <w:t>1</w:t>
      </w:r>
      <w:r w:rsidR="00B62E06" w:rsidRPr="00E677D9">
        <w:rPr>
          <w:rFonts w:eastAsia="Arial Unicode MS"/>
          <w:color w:val="0D0D0D"/>
          <w:sz w:val="24"/>
          <w:szCs w:val="24"/>
          <w:highlight w:val="white"/>
        </w:rPr>
        <w:t>,</w:t>
      </w:r>
      <w:r w:rsidR="001044D5" w:rsidRPr="00E677D9">
        <w:rPr>
          <w:rFonts w:eastAsia="Arial Unicode MS"/>
          <w:color w:val="0D0D0D"/>
          <w:sz w:val="24"/>
          <w:szCs w:val="24"/>
          <w:highlight w:val="white"/>
        </w:rPr>
        <w:t xml:space="preserve"> </w:t>
      </w:r>
      <w:r w:rsidR="00B62E06" w:rsidRPr="00E677D9">
        <w:rPr>
          <w:rFonts w:eastAsia="Arial Unicode MS"/>
          <w:color w:val="0D0D0D"/>
          <w:sz w:val="24"/>
          <w:szCs w:val="24"/>
          <w:highlight w:val="white"/>
        </w:rPr>
        <w:t>n</w:t>
      </w:r>
      <w:r w:rsidR="00B62E06" w:rsidRPr="00E677D9">
        <w:rPr>
          <w:rFonts w:eastAsia="Arial Unicode MS"/>
          <w:color w:val="0D0D0D"/>
          <w:sz w:val="24"/>
          <w:szCs w:val="24"/>
          <w:highlight w:val="white"/>
          <w:vertAlign w:val="subscript"/>
        </w:rPr>
        <w:t>2</w:t>
      </w:r>
      <w:r w:rsidR="00B62E06" w:rsidRPr="00E677D9">
        <w:rPr>
          <w:rFonts w:eastAsia="Arial Unicode MS"/>
          <w:color w:val="0D0D0D"/>
          <w:sz w:val="24"/>
          <w:szCs w:val="24"/>
          <w:highlight w:val="white"/>
        </w:rPr>
        <w:t>​ are the sample sizes for AI and non-AI user groups respectively. A significance level of α=0.05</w:t>
      </w:r>
      <w:r w:rsidR="001044D5" w:rsidRPr="00E677D9">
        <w:rPr>
          <w:rFonts w:eastAsia="Arial Unicode MS"/>
          <w:color w:val="0D0D0D"/>
          <w:sz w:val="24"/>
          <w:szCs w:val="24"/>
          <w:highlight w:val="white"/>
        </w:rPr>
        <w:t xml:space="preserve"> </w:t>
      </w:r>
      <w:r w:rsidR="00B62E06" w:rsidRPr="00E677D9">
        <w:rPr>
          <w:rFonts w:eastAsia="Arial Unicode MS"/>
          <w:color w:val="0D0D0D"/>
          <w:sz w:val="24"/>
          <w:szCs w:val="24"/>
          <w:highlight w:val="white"/>
        </w:rPr>
        <w:t>was adopted for all hypothesis testing.</w:t>
      </w:r>
    </w:p>
    <w:p w14:paraId="4A27B29B" w14:textId="77777777" w:rsidR="00E677D9" w:rsidRPr="00E677D9" w:rsidRDefault="00E677D9"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rPr>
          <w:color w:val="0D0D0D"/>
          <w:sz w:val="24"/>
          <w:szCs w:val="24"/>
          <w:highlight w:val="white"/>
        </w:rPr>
      </w:pPr>
    </w:p>
    <w:p w14:paraId="6FFBC7D0" w14:textId="77777777" w:rsidR="00557214" w:rsidRPr="00E677D9" w:rsidRDefault="00E677D9" w:rsidP="00E677D9">
      <w:pPr>
        <w:pStyle w:val="Heading2"/>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0" w:after="240" w:line="240" w:lineRule="auto"/>
        <w:rPr>
          <w:b/>
          <w:color w:val="0D0D0D"/>
          <w:sz w:val="24"/>
          <w:szCs w:val="24"/>
          <w:highlight w:val="white"/>
        </w:rPr>
      </w:pPr>
      <w:bookmarkStart w:id="9" w:name="_tnj5o15tqh1o" w:colFirst="0" w:colLast="0"/>
      <w:bookmarkEnd w:id="9"/>
      <w:r>
        <w:rPr>
          <w:b/>
          <w:color w:val="0D0D0D"/>
          <w:sz w:val="24"/>
          <w:szCs w:val="24"/>
          <w:highlight w:val="white"/>
        </w:rPr>
        <w:t>4.</w:t>
      </w:r>
      <w:r>
        <w:rPr>
          <w:b/>
          <w:color w:val="0D0D0D"/>
          <w:sz w:val="24"/>
          <w:szCs w:val="24"/>
          <w:highlight w:val="white"/>
        </w:rPr>
        <w:tab/>
        <w:t>RESULTS AND DISCUSSION</w:t>
      </w:r>
    </w:p>
    <w:p w14:paraId="292D6FCC" w14:textId="77777777" w:rsidR="00557214" w:rsidRPr="00E677D9" w:rsidRDefault="00B62E06" w:rsidP="00E677D9">
      <w:pPr>
        <w:pStyle w:val="Heading3"/>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0" w:after="240" w:line="240" w:lineRule="auto"/>
        <w:rPr>
          <w:b/>
          <w:color w:val="0D0D0D"/>
          <w:sz w:val="24"/>
          <w:szCs w:val="24"/>
          <w:highlight w:val="white"/>
        </w:rPr>
      </w:pPr>
      <w:bookmarkStart w:id="10" w:name="_h3bfpr6d2bnj" w:colFirst="0" w:colLast="0"/>
      <w:bookmarkEnd w:id="10"/>
      <w:proofErr w:type="spellStart"/>
      <w:r w:rsidRPr="00E677D9">
        <w:rPr>
          <w:b/>
          <w:color w:val="0D0D0D"/>
          <w:sz w:val="24"/>
          <w:szCs w:val="24"/>
          <w:highlight w:val="white"/>
        </w:rPr>
        <w:t>Analyze</w:t>
      </w:r>
      <w:proofErr w:type="spellEnd"/>
      <w:r w:rsidRPr="00E677D9">
        <w:rPr>
          <w:b/>
          <w:color w:val="0D0D0D"/>
          <w:sz w:val="24"/>
          <w:szCs w:val="24"/>
          <w:highlight w:val="white"/>
        </w:rPr>
        <w:t xml:space="preserve"> the types and prevalence of cybersecurity threats currently facing the healthcare industry</w:t>
      </w:r>
    </w:p>
    <w:p w14:paraId="4F26BB0D"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r w:rsidRPr="00E677D9">
        <w:rPr>
          <w:color w:val="0D0D0D"/>
          <w:sz w:val="24"/>
          <w:szCs w:val="24"/>
          <w:highlight w:val="white"/>
        </w:rPr>
        <w:t>Cybersecurity threats in healthcare have evolved in both frequency and complexity, requiring deeper understanding of their patterns and actor origins to develop effective countermeasures. This section presents the statistical findings on the types and prevalence of cybersecurity threats targeting healthcare institutions. Results are organized based on descriptive statistical outcomes and visualization of dominant breach types and actor profiles.</w:t>
      </w:r>
    </w:p>
    <w:p w14:paraId="1BE2C8AD" w14:textId="77777777" w:rsidR="00557214" w:rsidRPr="00E677D9" w:rsidRDefault="00B62E06" w:rsidP="00E677D9">
      <w:pPr>
        <w:pStyle w:val="Heading3"/>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0" w:after="240" w:line="240" w:lineRule="auto"/>
        <w:rPr>
          <w:color w:val="0D0D0D"/>
          <w:sz w:val="24"/>
          <w:szCs w:val="24"/>
          <w:highlight w:val="white"/>
        </w:rPr>
      </w:pPr>
      <w:bookmarkStart w:id="11" w:name="_xbhlpc3usjpe" w:colFirst="0" w:colLast="0"/>
      <w:bookmarkEnd w:id="11"/>
      <w:r w:rsidRPr="00E677D9">
        <w:rPr>
          <w:color w:val="0D0D0D"/>
          <w:sz w:val="24"/>
          <w:szCs w:val="24"/>
          <w:highlight w:val="white"/>
        </w:rPr>
        <w:t>Prevalence and Distribution of Cybersecurity Threats</w:t>
      </w:r>
    </w:p>
    <w:p w14:paraId="66395E5A"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r w:rsidRPr="00E677D9">
        <w:rPr>
          <w:color w:val="0D0D0D"/>
          <w:sz w:val="24"/>
          <w:szCs w:val="24"/>
          <w:highlight w:val="white"/>
        </w:rPr>
        <w:t xml:space="preserve">Healthcare institutions were found to be most vulnerable to incidents arising from human error and misuse of internal privileges. As shown in Table 1, </w:t>
      </w:r>
      <w:r w:rsidRPr="00E677D9">
        <w:rPr>
          <w:i/>
          <w:color w:val="0D0D0D"/>
          <w:sz w:val="24"/>
          <w:szCs w:val="24"/>
          <w:highlight w:val="white"/>
        </w:rPr>
        <w:t>Miscellaneous Errors</w:t>
      </w:r>
      <w:r w:rsidRPr="00E677D9">
        <w:rPr>
          <w:color w:val="0D0D0D"/>
          <w:sz w:val="24"/>
          <w:szCs w:val="24"/>
          <w:highlight w:val="white"/>
        </w:rPr>
        <w:t xml:space="preserve"> accounted for the largest share of breaches at 45%, followed by </w:t>
      </w:r>
      <w:r w:rsidRPr="00E677D9">
        <w:rPr>
          <w:i/>
          <w:color w:val="0D0D0D"/>
          <w:sz w:val="24"/>
          <w:szCs w:val="24"/>
          <w:highlight w:val="white"/>
        </w:rPr>
        <w:t>Privilege Misuse</w:t>
      </w:r>
      <w:r w:rsidRPr="00E677D9">
        <w:rPr>
          <w:color w:val="0D0D0D"/>
          <w:sz w:val="24"/>
          <w:szCs w:val="24"/>
          <w:highlight w:val="white"/>
        </w:rPr>
        <w:t xml:space="preserve"> at 25%. </w:t>
      </w:r>
      <w:r w:rsidRPr="00E677D9">
        <w:rPr>
          <w:i/>
          <w:color w:val="0D0D0D"/>
          <w:sz w:val="24"/>
          <w:szCs w:val="24"/>
          <w:highlight w:val="white"/>
        </w:rPr>
        <w:t>System Intrusion</w:t>
      </w:r>
      <w:r w:rsidRPr="00E677D9">
        <w:rPr>
          <w:color w:val="0D0D0D"/>
          <w:sz w:val="24"/>
          <w:szCs w:val="24"/>
          <w:highlight w:val="white"/>
        </w:rPr>
        <w:t xml:space="preserve"> represented a smaller but still significant proportion at 13%, with other patterns collectively contributing 17% to the overall breach landscape.</w:t>
      </w:r>
    </w:p>
    <w:p w14:paraId="41E583CD" w14:textId="77777777" w:rsidR="00557214" w:rsidRPr="00E677D9" w:rsidRDefault="00BA12FB"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i/>
          <w:color w:val="0D0D0D"/>
          <w:sz w:val="24"/>
          <w:szCs w:val="24"/>
          <w:highlight w:val="white"/>
        </w:rPr>
      </w:pPr>
      <w:r w:rsidRPr="00E677D9">
        <w:rPr>
          <w:color w:val="0D0D0D"/>
          <w:sz w:val="24"/>
          <w:szCs w:val="24"/>
          <w:highlight w:val="white"/>
        </w:rPr>
        <w:t xml:space="preserve">Table 1: </w:t>
      </w:r>
      <w:r w:rsidR="00B62E06" w:rsidRPr="00E677D9">
        <w:rPr>
          <w:i/>
          <w:color w:val="0D0D0D"/>
          <w:sz w:val="24"/>
          <w:szCs w:val="24"/>
          <w:highlight w:val="white"/>
        </w:rPr>
        <w:t>Distribution of Breach Patterns in Healthcare</w:t>
      </w:r>
    </w:p>
    <w:tbl>
      <w:tblPr>
        <w:tblStyle w:val="TableGrid"/>
        <w:tblW w:w="8995" w:type="dxa"/>
        <w:tblLayout w:type="fixed"/>
        <w:tblLook w:val="0600" w:firstRow="0" w:lastRow="0" w:firstColumn="0" w:lastColumn="0" w:noHBand="1" w:noVBand="1"/>
      </w:tblPr>
      <w:tblGrid>
        <w:gridCol w:w="3955"/>
        <w:gridCol w:w="2700"/>
        <w:gridCol w:w="2340"/>
      </w:tblGrid>
      <w:tr w:rsidR="00557214" w:rsidRPr="00E677D9" w14:paraId="725BB456" w14:textId="77777777" w:rsidTr="00BA12FB">
        <w:trPr>
          <w:trHeight w:val="410"/>
        </w:trPr>
        <w:tc>
          <w:tcPr>
            <w:tcW w:w="3955" w:type="dxa"/>
          </w:tcPr>
          <w:p w14:paraId="1CFE38E6"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jc w:val="center"/>
              <w:rPr>
                <w:b/>
                <w:color w:val="0D0D0D"/>
                <w:sz w:val="24"/>
                <w:szCs w:val="24"/>
                <w:highlight w:val="white"/>
              </w:rPr>
            </w:pPr>
            <w:r w:rsidRPr="00E677D9">
              <w:rPr>
                <w:b/>
                <w:color w:val="0D0D0D"/>
                <w:sz w:val="24"/>
                <w:szCs w:val="24"/>
                <w:highlight w:val="white"/>
              </w:rPr>
              <w:t>Breach Pattern</w:t>
            </w:r>
          </w:p>
        </w:tc>
        <w:tc>
          <w:tcPr>
            <w:tcW w:w="2700" w:type="dxa"/>
          </w:tcPr>
          <w:p w14:paraId="5FD998D5"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jc w:val="center"/>
              <w:rPr>
                <w:b/>
                <w:color w:val="0D0D0D"/>
                <w:sz w:val="24"/>
                <w:szCs w:val="24"/>
                <w:highlight w:val="white"/>
              </w:rPr>
            </w:pPr>
            <w:r w:rsidRPr="00E677D9">
              <w:rPr>
                <w:b/>
                <w:color w:val="0D0D0D"/>
                <w:sz w:val="24"/>
                <w:szCs w:val="24"/>
                <w:highlight w:val="white"/>
              </w:rPr>
              <w:t>Percentage of Breaches</w:t>
            </w:r>
          </w:p>
        </w:tc>
        <w:tc>
          <w:tcPr>
            <w:tcW w:w="2340" w:type="dxa"/>
          </w:tcPr>
          <w:p w14:paraId="39C915F2"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jc w:val="center"/>
              <w:rPr>
                <w:b/>
                <w:color w:val="0D0D0D"/>
                <w:sz w:val="24"/>
                <w:szCs w:val="24"/>
                <w:highlight w:val="white"/>
              </w:rPr>
            </w:pPr>
            <w:r w:rsidRPr="00E677D9">
              <w:rPr>
                <w:b/>
                <w:color w:val="0D0D0D"/>
                <w:sz w:val="24"/>
                <w:szCs w:val="24"/>
                <w:highlight w:val="white"/>
              </w:rPr>
              <w:t>Number of Breaches</w:t>
            </w:r>
          </w:p>
        </w:tc>
      </w:tr>
      <w:tr w:rsidR="00557214" w:rsidRPr="00E677D9" w14:paraId="0C8C2ADE" w14:textId="77777777" w:rsidTr="00BA12FB">
        <w:trPr>
          <w:trHeight w:val="410"/>
        </w:trPr>
        <w:tc>
          <w:tcPr>
            <w:tcW w:w="3955" w:type="dxa"/>
          </w:tcPr>
          <w:p w14:paraId="432235C3"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Miscellaneous Errors</w:t>
            </w:r>
          </w:p>
        </w:tc>
        <w:tc>
          <w:tcPr>
            <w:tcW w:w="2700" w:type="dxa"/>
          </w:tcPr>
          <w:p w14:paraId="127550AF"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45%</w:t>
            </w:r>
          </w:p>
        </w:tc>
        <w:tc>
          <w:tcPr>
            <w:tcW w:w="2340" w:type="dxa"/>
          </w:tcPr>
          <w:p w14:paraId="39A5110E"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549</w:t>
            </w:r>
          </w:p>
        </w:tc>
      </w:tr>
      <w:tr w:rsidR="00557214" w:rsidRPr="00E677D9" w14:paraId="33706E02" w14:textId="77777777" w:rsidTr="00BA12FB">
        <w:trPr>
          <w:trHeight w:val="410"/>
        </w:trPr>
        <w:tc>
          <w:tcPr>
            <w:tcW w:w="3955" w:type="dxa"/>
          </w:tcPr>
          <w:p w14:paraId="785545E3"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Privilege Misuse</w:t>
            </w:r>
          </w:p>
        </w:tc>
        <w:tc>
          <w:tcPr>
            <w:tcW w:w="2700" w:type="dxa"/>
          </w:tcPr>
          <w:p w14:paraId="7A66FAFD"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25%</w:t>
            </w:r>
          </w:p>
        </w:tc>
        <w:tc>
          <w:tcPr>
            <w:tcW w:w="2340" w:type="dxa"/>
          </w:tcPr>
          <w:p w14:paraId="5BB7C0E8"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305</w:t>
            </w:r>
          </w:p>
        </w:tc>
      </w:tr>
      <w:tr w:rsidR="00557214" w:rsidRPr="00E677D9" w14:paraId="0D84D91C" w14:textId="77777777" w:rsidTr="00BA12FB">
        <w:trPr>
          <w:trHeight w:val="410"/>
        </w:trPr>
        <w:tc>
          <w:tcPr>
            <w:tcW w:w="3955" w:type="dxa"/>
          </w:tcPr>
          <w:p w14:paraId="7B390183"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System Intrusion</w:t>
            </w:r>
          </w:p>
        </w:tc>
        <w:tc>
          <w:tcPr>
            <w:tcW w:w="2700" w:type="dxa"/>
          </w:tcPr>
          <w:p w14:paraId="54FC0709"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13%</w:t>
            </w:r>
          </w:p>
        </w:tc>
        <w:tc>
          <w:tcPr>
            <w:tcW w:w="2340" w:type="dxa"/>
          </w:tcPr>
          <w:p w14:paraId="63A6B544"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159</w:t>
            </w:r>
          </w:p>
        </w:tc>
      </w:tr>
      <w:tr w:rsidR="00557214" w:rsidRPr="00E677D9" w14:paraId="063BADF8" w14:textId="77777777" w:rsidTr="00BA12FB">
        <w:trPr>
          <w:trHeight w:val="410"/>
        </w:trPr>
        <w:tc>
          <w:tcPr>
            <w:tcW w:w="3955" w:type="dxa"/>
          </w:tcPr>
          <w:p w14:paraId="3C89ADC3"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Other Patterns</w:t>
            </w:r>
          </w:p>
        </w:tc>
        <w:tc>
          <w:tcPr>
            <w:tcW w:w="2700" w:type="dxa"/>
          </w:tcPr>
          <w:p w14:paraId="08DBDA39"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17%</w:t>
            </w:r>
          </w:p>
        </w:tc>
        <w:tc>
          <w:tcPr>
            <w:tcW w:w="2340" w:type="dxa"/>
          </w:tcPr>
          <w:p w14:paraId="754F8203"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207</w:t>
            </w:r>
          </w:p>
        </w:tc>
      </w:tr>
      <w:tr w:rsidR="00557214" w:rsidRPr="00E677D9" w14:paraId="4C4D8853" w14:textId="77777777" w:rsidTr="00BA12FB">
        <w:trPr>
          <w:trHeight w:val="410"/>
        </w:trPr>
        <w:tc>
          <w:tcPr>
            <w:tcW w:w="3955" w:type="dxa"/>
          </w:tcPr>
          <w:p w14:paraId="3A8DC6C1"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lastRenderedPageBreak/>
              <w:t>Total</w:t>
            </w:r>
          </w:p>
        </w:tc>
        <w:tc>
          <w:tcPr>
            <w:tcW w:w="2700" w:type="dxa"/>
          </w:tcPr>
          <w:p w14:paraId="6C0EB4C6"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100%</w:t>
            </w:r>
          </w:p>
        </w:tc>
        <w:tc>
          <w:tcPr>
            <w:tcW w:w="2340" w:type="dxa"/>
          </w:tcPr>
          <w:p w14:paraId="0B3A07E5"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1,220</w:t>
            </w:r>
          </w:p>
        </w:tc>
      </w:tr>
    </w:tbl>
    <w:p w14:paraId="5573B177"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r w:rsidRPr="00E677D9">
        <w:rPr>
          <w:color w:val="0D0D0D"/>
          <w:sz w:val="24"/>
          <w:szCs w:val="24"/>
          <w:highlight w:val="white"/>
        </w:rPr>
        <w:t xml:space="preserve">The variation across breach types is further illustrated in Figure 2, which provides a radar visualization highlighting the dominance of </w:t>
      </w:r>
      <w:r w:rsidRPr="00E677D9">
        <w:rPr>
          <w:i/>
          <w:color w:val="0D0D0D"/>
          <w:sz w:val="24"/>
          <w:szCs w:val="24"/>
          <w:highlight w:val="white"/>
        </w:rPr>
        <w:t>Miscellaneous Errors</w:t>
      </w:r>
      <w:r w:rsidRPr="00E677D9">
        <w:rPr>
          <w:color w:val="0D0D0D"/>
          <w:sz w:val="24"/>
          <w:szCs w:val="24"/>
          <w:highlight w:val="white"/>
        </w:rPr>
        <w:t xml:space="preserve"> and </w:t>
      </w:r>
      <w:r w:rsidRPr="00E677D9">
        <w:rPr>
          <w:i/>
          <w:color w:val="0D0D0D"/>
          <w:sz w:val="24"/>
          <w:szCs w:val="24"/>
          <w:highlight w:val="white"/>
        </w:rPr>
        <w:t>Privilege Misuse</w:t>
      </w:r>
      <w:r w:rsidRPr="00E677D9">
        <w:rPr>
          <w:color w:val="0D0D0D"/>
          <w:sz w:val="24"/>
          <w:szCs w:val="24"/>
          <w:highlight w:val="white"/>
        </w:rPr>
        <w:t>. The circular format effectively distinguishes the comparative magnitude of each breach type, underscoring human-related actions as primary vulnerabilities.</w:t>
      </w:r>
    </w:p>
    <w:p w14:paraId="526C0FDA"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jc w:val="center"/>
        <w:rPr>
          <w:color w:val="0D0D0D"/>
          <w:sz w:val="24"/>
          <w:szCs w:val="24"/>
          <w:highlight w:val="white"/>
        </w:rPr>
      </w:pPr>
      <w:r w:rsidRPr="00E677D9">
        <w:rPr>
          <w:noProof/>
          <w:color w:val="0D0D0D"/>
          <w:sz w:val="24"/>
          <w:szCs w:val="24"/>
          <w:highlight w:val="white"/>
          <w:lang w:val="en-US"/>
        </w:rPr>
        <w:drawing>
          <wp:inline distT="114300" distB="114300" distL="114300" distR="114300" wp14:anchorId="5FC44CBC" wp14:editId="08C0B745">
            <wp:extent cx="4517043" cy="3387782"/>
            <wp:effectExtent l="0" t="0" r="0" b="0"/>
            <wp:docPr id="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srcRect/>
                    <a:stretch>
                      <a:fillRect/>
                    </a:stretch>
                  </pic:blipFill>
                  <pic:spPr>
                    <a:xfrm>
                      <a:off x="0" y="0"/>
                      <a:ext cx="4517043" cy="3387782"/>
                    </a:xfrm>
                    <a:prstGeom prst="rect">
                      <a:avLst/>
                    </a:prstGeom>
                    <a:ln/>
                  </pic:spPr>
                </pic:pic>
              </a:graphicData>
            </a:graphic>
          </wp:inline>
        </w:drawing>
      </w:r>
    </w:p>
    <w:p w14:paraId="16A8EE12" w14:textId="77777777" w:rsidR="00BA12FB" w:rsidRPr="00E677D9" w:rsidRDefault="00BA12FB"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jc w:val="center"/>
        <w:rPr>
          <w:i/>
          <w:color w:val="0D0D0D"/>
          <w:sz w:val="24"/>
          <w:szCs w:val="24"/>
          <w:highlight w:val="white"/>
        </w:rPr>
      </w:pPr>
      <w:r w:rsidRPr="00E677D9">
        <w:rPr>
          <w:color w:val="0D0D0D"/>
          <w:sz w:val="24"/>
          <w:szCs w:val="24"/>
          <w:highlight w:val="white"/>
        </w:rPr>
        <w:t xml:space="preserve">Figure 2: </w:t>
      </w:r>
      <w:r w:rsidR="00B62E06" w:rsidRPr="00E677D9">
        <w:rPr>
          <w:i/>
          <w:color w:val="0D0D0D"/>
          <w:sz w:val="24"/>
          <w:szCs w:val="24"/>
          <w:highlight w:val="white"/>
        </w:rPr>
        <w:t>Radar Chart Showing Distribution o</w:t>
      </w:r>
      <w:r w:rsidRPr="00E677D9">
        <w:rPr>
          <w:i/>
          <w:color w:val="0D0D0D"/>
          <w:sz w:val="24"/>
          <w:szCs w:val="24"/>
          <w:highlight w:val="white"/>
        </w:rPr>
        <w:t>f Breach Patterns in Healthcare</w:t>
      </w:r>
    </w:p>
    <w:p w14:paraId="69C1F424"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r w:rsidRPr="00E677D9">
        <w:rPr>
          <w:color w:val="0D0D0D"/>
          <w:sz w:val="24"/>
          <w:szCs w:val="24"/>
          <w:highlight w:val="white"/>
        </w:rPr>
        <w:t>The breakdown of threat actors revealed an even more compelling insight. Internal actors were responsible for 70% of all confirmed breaches, significantly outweighing the 30% contribution from external sources. This trend is captured in Table 2, which quantifies the breach attribution and reinforces the disproportionate impact of insider-driven incidents.</w:t>
      </w:r>
    </w:p>
    <w:p w14:paraId="50BFED7B" w14:textId="77777777" w:rsidR="00557214" w:rsidRPr="00E677D9" w:rsidRDefault="00A736B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i/>
          <w:color w:val="0D0D0D"/>
          <w:sz w:val="24"/>
          <w:szCs w:val="24"/>
          <w:highlight w:val="white"/>
        </w:rPr>
      </w:pPr>
      <w:r w:rsidRPr="00E677D9">
        <w:rPr>
          <w:color w:val="0D0D0D"/>
          <w:sz w:val="24"/>
          <w:szCs w:val="24"/>
          <w:highlight w:val="white"/>
        </w:rPr>
        <w:t xml:space="preserve">Table 2: </w:t>
      </w:r>
      <w:r w:rsidR="00B62E06" w:rsidRPr="00E677D9">
        <w:rPr>
          <w:i/>
          <w:color w:val="0D0D0D"/>
          <w:sz w:val="24"/>
          <w:szCs w:val="24"/>
          <w:highlight w:val="white"/>
        </w:rPr>
        <w:t>Threat Actor Attribution in Confirmed Healthcare Breaches</w:t>
      </w:r>
    </w:p>
    <w:tbl>
      <w:tblPr>
        <w:tblStyle w:val="TableGrid"/>
        <w:tblW w:w="8005" w:type="dxa"/>
        <w:tblLayout w:type="fixed"/>
        <w:tblLook w:val="0600" w:firstRow="0" w:lastRow="0" w:firstColumn="0" w:lastColumn="0" w:noHBand="1" w:noVBand="1"/>
      </w:tblPr>
      <w:tblGrid>
        <w:gridCol w:w="3055"/>
        <w:gridCol w:w="2430"/>
        <w:gridCol w:w="2520"/>
      </w:tblGrid>
      <w:tr w:rsidR="00557214" w:rsidRPr="00E677D9" w14:paraId="42C57C53" w14:textId="77777777" w:rsidTr="00A736B6">
        <w:trPr>
          <w:trHeight w:val="410"/>
        </w:trPr>
        <w:tc>
          <w:tcPr>
            <w:tcW w:w="3055" w:type="dxa"/>
          </w:tcPr>
          <w:p w14:paraId="6E0670CE"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jc w:val="center"/>
              <w:rPr>
                <w:b/>
                <w:color w:val="0D0D0D"/>
                <w:sz w:val="24"/>
                <w:szCs w:val="24"/>
                <w:highlight w:val="white"/>
              </w:rPr>
            </w:pPr>
            <w:r w:rsidRPr="00E677D9">
              <w:rPr>
                <w:b/>
                <w:color w:val="0D0D0D"/>
                <w:sz w:val="24"/>
                <w:szCs w:val="24"/>
                <w:highlight w:val="white"/>
              </w:rPr>
              <w:t>Actor Type</w:t>
            </w:r>
          </w:p>
        </w:tc>
        <w:tc>
          <w:tcPr>
            <w:tcW w:w="2430" w:type="dxa"/>
          </w:tcPr>
          <w:p w14:paraId="082288F9"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jc w:val="center"/>
              <w:rPr>
                <w:b/>
                <w:color w:val="0D0D0D"/>
                <w:sz w:val="24"/>
                <w:szCs w:val="24"/>
                <w:highlight w:val="white"/>
              </w:rPr>
            </w:pPr>
            <w:r w:rsidRPr="00E677D9">
              <w:rPr>
                <w:b/>
                <w:color w:val="0D0D0D"/>
                <w:sz w:val="24"/>
                <w:szCs w:val="24"/>
                <w:highlight w:val="white"/>
              </w:rPr>
              <w:t>Percentage of Breaches</w:t>
            </w:r>
          </w:p>
        </w:tc>
        <w:tc>
          <w:tcPr>
            <w:tcW w:w="2520" w:type="dxa"/>
          </w:tcPr>
          <w:p w14:paraId="2FED6EEE"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jc w:val="center"/>
              <w:rPr>
                <w:b/>
                <w:color w:val="0D0D0D"/>
                <w:sz w:val="24"/>
                <w:szCs w:val="24"/>
                <w:highlight w:val="white"/>
              </w:rPr>
            </w:pPr>
            <w:r w:rsidRPr="00E677D9">
              <w:rPr>
                <w:b/>
                <w:color w:val="0D0D0D"/>
                <w:sz w:val="24"/>
                <w:szCs w:val="24"/>
                <w:highlight w:val="white"/>
              </w:rPr>
              <w:t>Number of Breaches</w:t>
            </w:r>
          </w:p>
        </w:tc>
      </w:tr>
      <w:tr w:rsidR="00557214" w:rsidRPr="00E677D9" w14:paraId="72D8D999" w14:textId="77777777" w:rsidTr="00A736B6">
        <w:trPr>
          <w:trHeight w:val="410"/>
        </w:trPr>
        <w:tc>
          <w:tcPr>
            <w:tcW w:w="3055" w:type="dxa"/>
          </w:tcPr>
          <w:p w14:paraId="2D3F4A27"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Internal</w:t>
            </w:r>
          </w:p>
        </w:tc>
        <w:tc>
          <w:tcPr>
            <w:tcW w:w="2430" w:type="dxa"/>
          </w:tcPr>
          <w:p w14:paraId="700C9760"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70%</w:t>
            </w:r>
          </w:p>
        </w:tc>
        <w:tc>
          <w:tcPr>
            <w:tcW w:w="2520" w:type="dxa"/>
          </w:tcPr>
          <w:p w14:paraId="2E183C95"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854</w:t>
            </w:r>
          </w:p>
        </w:tc>
      </w:tr>
      <w:tr w:rsidR="00557214" w:rsidRPr="00E677D9" w14:paraId="582C8EB1" w14:textId="77777777" w:rsidTr="00A736B6">
        <w:trPr>
          <w:trHeight w:val="410"/>
        </w:trPr>
        <w:tc>
          <w:tcPr>
            <w:tcW w:w="3055" w:type="dxa"/>
          </w:tcPr>
          <w:p w14:paraId="0420A8A3"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External</w:t>
            </w:r>
          </w:p>
        </w:tc>
        <w:tc>
          <w:tcPr>
            <w:tcW w:w="2430" w:type="dxa"/>
          </w:tcPr>
          <w:p w14:paraId="73F237F9"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30%</w:t>
            </w:r>
          </w:p>
        </w:tc>
        <w:tc>
          <w:tcPr>
            <w:tcW w:w="2520" w:type="dxa"/>
          </w:tcPr>
          <w:p w14:paraId="2E5A4597"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366</w:t>
            </w:r>
          </w:p>
        </w:tc>
      </w:tr>
      <w:tr w:rsidR="00557214" w:rsidRPr="00E677D9" w14:paraId="11489FC8" w14:textId="77777777" w:rsidTr="00A736B6">
        <w:trPr>
          <w:trHeight w:val="410"/>
        </w:trPr>
        <w:tc>
          <w:tcPr>
            <w:tcW w:w="3055" w:type="dxa"/>
          </w:tcPr>
          <w:p w14:paraId="406AF82A"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Total</w:t>
            </w:r>
          </w:p>
        </w:tc>
        <w:tc>
          <w:tcPr>
            <w:tcW w:w="2430" w:type="dxa"/>
          </w:tcPr>
          <w:p w14:paraId="62BF3142"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100%</w:t>
            </w:r>
          </w:p>
        </w:tc>
        <w:tc>
          <w:tcPr>
            <w:tcW w:w="2520" w:type="dxa"/>
          </w:tcPr>
          <w:p w14:paraId="5BD18E30"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1,220</w:t>
            </w:r>
          </w:p>
        </w:tc>
      </w:tr>
    </w:tbl>
    <w:p w14:paraId="2A26750E"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r w:rsidRPr="00E677D9">
        <w:rPr>
          <w:color w:val="0D0D0D"/>
          <w:sz w:val="24"/>
          <w:szCs w:val="24"/>
          <w:highlight w:val="white"/>
        </w:rPr>
        <w:lastRenderedPageBreak/>
        <w:t xml:space="preserve">As shown in Figure 3, a lollipop chart was used to communicate this comparison. Its simplicity allows for immediate visual recognition of the gap between internal and external threats, even by non-technical stakeholders. The dominant bar height representing internal breaches calls attention to the need for enhanced internal controls, auditing, and </w:t>
      </w:r>
      <w:proofErr w:type="spellStart"/>
      <w:r w:rsidRPr="00E677D9">
        <w:rPr>
          <w:color w:val="0D0D0D"/>
          <w:sz w:val="24"/>
          <w:szCs w:val="24"/>
          <w:highlight w:val="white"/>
        </w:rPr>
        <w:t>behavioral</w:t>
      </w:r>
      <w:proofErr w:type="spellEnd"/>
      <w:r w:rsidRPr="00E677D9">
        <w:rPr>
          <w:color w:val="0D0D0D"/>
          <w:sz w:val="24"/>
          <w:szCs w:val="24"/>
          <w:highlight w:val="white"/>
        </w:rPr>
        <w:t xml:space="preserve"> monitoring.</w:t>
      </w:r>
    </w:p>
    <w:p w14:paraId="206552CF"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jc w:val="center"/>
        <w:rPr>
          <w:color w:val="0D0D0D"/>
          <w:sz w:val="24"/>
          <w:szCs w:val="24"/>
          <w:highlight w:val="white"/>
        </w:rPr>
      </w:pPr>
      <w:r w:rsidRPr="00E677D9">
        <w:rPr>
          <w:noProof/>
          <w:color w:val="0D0D0D"/>
          <w:sz w:val="24"/>
          <w:szCs w:val="24"/>
          <w:highlight w:val="white"/>
          <w:lang w:val="en-US"/>
        </w:rPr>
        <w:drawing>
          <wp:inline distT="114300" distB="114300" distL="114300" distR="114300" wp14:anchorId="644385EA" wp14:editId="0D755686">
            <wp:extent cx="5261707" cy="3507805"/>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261707" cy="3507805"/>
                    </a:xfrm>
                    <a:prstGeom prst="rect">
                      <a:avLst/>
                    </a:prstGeom>
                    <a:ln/>
                  </pic:spPr>
                </pic:pic>
              </a:graphicData>
            </a:graphic>
          </wp:inline>
        </w:drawing>
      </w:r>
    </w:p>
    <w:p w14:paraId="6A2695EE" w14:textId="77777777" w:rsidR="00EF2784" w:rsidRPr="00E677D9" w:rsidRDefault="00EF2784"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jc w:val="center"/>
        <w:rPr>
          <w:i/>
          <w:color w:val="0D0D0D"/>
          <w:sz w:val="24"/>
          <w:szCs w:val="24"/>
          <w:highlight w:val="white"/>
        </w:rPr>
      </w:pPr>
      <w:r w:rsidRPr="00E677D9">
        <w:rPr>
          <w:color w:val="0D0D0D"/>
          <w:sz w:val="24"/>
          <w:szCs w:val="24"/>
          <w:highlight w:val="white"/>
        </w:rPr>
        <w:t xml:space="preserve">Figure 3: </w:t>
      </w:r>
      <w:r w:rsidR="00B62E06" w:rsidRPr="00E677D9">
        <w:rPr>
          <w:i/>
          <w:color w:val="0D0D0D"/>
          <w:sz w:val="24"/>
          <w:szCs w:val="24"/>
          <w:highlight w:val="white"/>
        </w:rPr>
        <w:t>Lollipop Chart Displaying Number of Breaches by Actor Type</w:t>
      </w:r>
      <w:bookmarkStart w:id="12" w:name="_g7jwnvv00cmd" w:colFirst="0" w:colLast="0"/>
      <w:bookmarkEnd w:id="12"/>
    </w:p>
    <w:p w14:paraId="6552B748" w14:textId="77777777" w:rsidR="00557214" w:rsidRPr="00E677D9" w:rsidRDefault="00EF2784"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r w:rsidRPr="00E677D9">
        <w:rPr>
          <w:color w:val="0D0D0D"/>
          <w:sz w:val="24"/>
          <w:szCs w:val="24"/>
          <w:highlight w:val="white"/>
        </w:rPr>
        <w:t>T</w:t>
      </w:r>
      <w:r w:rsidR="00B62E06" w:rsidRPr="00E677D9">
        <w:rPr>
          <w:color w:val="0D0D0D"/>
          <w:sz w:val="24"/>
          <w:szCs w:val="24"/>
          <w:highlight w:val="white"/>
        </w:rPr>
        <w:t xml:space="preserve">hese findings provide critical direction for the integration of predictive AI-driven models, particularly those focusing on </w:t>
      </w:r>
      <w:proofErr w:type="spellStart"/>
      <w:r w:rsidR="00B62E06" w:rsidRPr="00E677D9">
        <w:rPr>
          <w:color w:val="0D0D0D"/>
          <w:sz w:val="24"/>
          <w:szCs w:val="24"/>
          <w:highlight w:val="white"/>
        </w:rPr>
        <w:t>behavioral</w:t>
      </w:r>
      <w:proofErr w:type="spellEnd"/>
      <w:r w:rsidR="00B62E06" w:rsidRPr="00E677D9">
        <w:rPr>
          <w:color w:val="0D0D0D"/>
          <w:sz w:val="24"/>
          <w:szCs w:val="24"/>
          <w:highlight w:val="white"/>
        </w:rPr>
        <w:t xml:space="preserve"> anomaly detection and privilege activity profiling, as discussed in subsequent sections.</w:t>
      </w:r>
    </w:p>
    <w:p w14:paraId="314E2D9C" w14:textId="77777777" w:rsidR="00557214" w:rsidRPr="00E677D9" w:rsidRDefault="00B62E06" w:rsidP="00E677D9">
      <w:pPr>
        <w:pStyle w:val="Heading3"/>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0" w:after="240" w:line="240" w:lineRule="auto"/>
        <w:rPr>
          <w:color w:val="0D0D0D"/>
          <w:sz w:val="24"/>
          <w:szCs w:val="24"/>
          <w:highlight w:val="white"/>
        </w:rPr>
      </w:pPr>
      <w:bookmarkStart w:id="13" w:name="_o0wc0gajii0q" w:colFirst="0" w:colLast="0"/>
      <w:bookmarkEnd w:id="13"/>
      <w:r w:rsidRPr="00E677D9">
        <w:rPr>
          <w:b/>
          <w:color w:val="0D0D0D"/>
          <w:sz w:val="24"/>
          <w:szCs w:val="24"/>
          <w:highlight w:val="white"/>
        </w:rPr>
        <w:t>Examine existing AI and Machine Learning techniques and their applicability in predicting cybersecurity risks within healthcare systems</w:t>
      </w:r>
    </w:p>
    <w:p w14:paraId="1F387518"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r w:rsidRPr="00E677D9">
        <w:rPr>
          <w:color w:val="0D0D0D"/>
          <w:sz w:val="24"/>
          <w:szCs w:val="24"/>
          <w:highlight w:val="white"/>
        </w:rPr>
        <w:t xml:space="preserve">The ability to proactively detect and classify cybersecurity threats in healthcare environments is central to the success of AI-driven security frameworks. This section presents the findings from a supervised machine learning model used to evaluate the effectiveness of Random Forest classification in identifying malicious traffic </w:t>
      </w:r>
      <w:proofErr w:type="spellStart"/>
      <w:r w:rsidRPr="00E677D9">
        <w:rPr>
          <w:color w:val="0D0D0D"/>
          <w:sz w:val="24"/>
          <w:szCs w:val="24"/>
          <w:highlight w:val="white"/>
        </w:rPr>
        <w:t>behavior</w:t>
      </w:r>
      <w:proofErr w:type="spellEnd"/>
      <w:r w:rsidRPr="00E677D9">
        <w:rPr>
          <w:color w:val="0D0D0D"/>
          <w:sz w:val="24"/>
          <w:szCs w:val="24"/>
          <w:highlight w:val="white"/>
        </w:rPr>
        <w:t>. The performance of the model is measured across key evaluation metrics to determine its predictive strength in a healthcare-like cybersecurity context.</w:t>
      </w:r>
    </w:p>
    <w:p w14:paraId="53F0CEC4" w14:textId="77777777" w:rsidR="00557214" w:rsidRPr="00E677D9" w:rsidRDefault="00B62E06" w:rsidP="00E677D9">
      <w:pPr>
        <w:pStyle w:val="Heading3"/>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0" w:after="240" w:line="240" w:lineRule="auto"/>
        <w:rPr>
          <w:b/>
          <w:color w:val="0D0D0D"/>
          <w:sz w:val="24"/>
          <w:szCs w:val="24"/>
          <w:highlight w:val="white"/>
        </w:rPr>
      </w:pPr>
      <w:bookmarkStart w:id="14" w:name="_debi7oa63uh5" w:colFirst="0" w:colLast="0"/>
      <w:bookmarkEnd w:id="14"/>
      <w:r w:rsidRPr="00E677D9">
        <w:rPr>
          <w:b/>
          <w:color w:val="0D0D0D"/>
          <w:sz w:val="24"/>
          <w:szCs w:val="24"/>
          <w:highlight w:val="white"/>
        </w:rPr>
        <w:t>Model Performance Overview</w:t>
      </w:r>
    </w:p>
    <w:p w14:paraId="5839261E"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r w:rsidRPr="00E677D9">
        <w:rPr>
          <w:color w:val="0D0D0D"/>
          <w:sz w:val="24"/>
          <w:szCs w:val="24"/>
          <w:highlight w:val="white"/>
        </w:rPr>
        <w:t xml:space="preserve">The Random Forest classifier yielded high performance scores across all four key evaluation dimensions: accuracy, precision, recall, and F1-score. As shown in </w:t>
      </w:r>
      <w:r w:rsidRPr="00E677D9">
        <w:rPr>
          <w:b/>
          <w:color w:val="0D0D0D"/>
          <w:sz w:val="24"/>
          <w:szCs w:val="24"/>
          <w:highlight w:val="white"/>
        </w:rPr>
        <w:t>Table 3</w:t>
      </w:r>
      <w:r w:rsidRPr="00E677D9">
        <w:rPr>
          <w:color w:val="0D0D0D"/>
          <w:sz w:val="24"/>
          <w:szCs w:val="24"/>
          <w:highlight w:val="white"/>
        </w:rPr>
        <w:t xml:space="preserve">, </w:t>
      </w:r>
      <w:r w:rsidRPr="00E677D9">
        <w:rPr>
          <w:color w:val="0D0D0D"/>
          <w:sz w:val="24"/>
          <w:szCs w:val="24"/>
          <w:highlight w:val="white"/>
        </w:rPr>
        <w:lastRenderedPageBreak/>
        <w:t>the model achieved an accuracy of 92.7%, with a precision rate of 89.9%, recall at 90.5%, and an F1-score of 90.2%. These results indicate the model’s ability to maintain a strong balance between detecting actual threats and minimizing false positives.</w:t>
      </w:r>
    </w:p>
    <w:p w14:paraId="237842D6" w14:textId="77777777" w:rsidR="00557214" w:rsidRPr="00E677D9" w:rsidRDefault="00DF3FFC"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b/>
          <w:i/>
          <w:color w:val="0D0D0D"/>
          <w:sz w:val="24"/>
          <w:szCs w:val="24"/>
          <w:highlight w:val="white"/>
        </w:rPr>
      </w:pPr>
      <w:r w:rsidRPr="00E677D9">
        <w:rPr>
          <w:b/>
          <w:color w:val="0D0D0D"/>
          <w:sz w:val="24"/>
          <w:szCs w:val="24"/>
          <w:highlight w:val="white"/>
        </w:rPr>
        <w:t xml:space="preserve">Table 3: </w:t>
      </w:r>
      <w:r w:rsidR="00B62E06" w:rsidRPr="00E677D9">
        <w:rPr>
          <w:b/>
          <w:color w:val="0D0D0D"/>
          <w:sz w:val="24"/>
          <w:szCs w:val="24"/>
          <w:highlight w:val="white"/>
        </w:rPr>
        <w:t>Performance Metrics of Random Forest Classification Model</w:t>
      </w:r>
    </w:p>
    <w:tbl>
      <w:tblPr>
        <w:tblStyle w:val="TableGrid"/>
        <w:tblW w:w="7010" w:type="dxa"/>
        <w:tblLayout w:type="fixed"/>
        <w:tblLook w:val="0600" w:firstRow="0" w:lastRow="0" w:firstColumn="0" w:lastColumn="0" w:noHBand="1" w:noVBand="1"/>
      </w:tblPr>
      <w:tblGrid>
        <w:gridCol w:w="3590"/>
        <w:gridCol w:w="3420"/>
      </w:tblGrid>
      <w:tr w:rsidR="00557214" w:rsidRPr="00E677D9" w14:paraId="045A2155" w14:textId="77777777" w:rsidTr="00DF3FFC">
        <w:trPr>
          <w:trHeight w:val="410"/>
        </w:trPr>
        <w:tc>
          <w:tcPr>
            <w:tcW w:w="3590" w:type="dxa"/>
          </w:tcPr>
          <w:p w14:paraId="57A8E1D5"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jc w:val="center"/>
              <w:rPr>
                <w:color w:val="0D0D0D"/>
                <w:sz w:val="24"/>
                <w:szCs w:val="24"/>
                <w:highlight w:val="white"/>
              </w:rPr>
            </w:pPr>
            <w:r w:rsidRPr="00E677D9">
              <w:rPr>
                <w:b/>
                <w:color w:val="0D0D0D"/>
                <w:sz w:val="24"/>
                <w:szCs w:val="24"/>
                <w:highlight w:val="white"/>
              </w:rPr>
              <w:t>Metric</w:t>
            </w:r>
          </w:p>
        </w:tc>
        <w:tc>
          <w:tcPr>
            <w:tcW w:w="3420" w:type="dxa"/>
          </w:tcPr>
          <w:p w14:paraId="04EC9D45"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jc w:val="center"/>
              <w:rPr>
                <w:color w:val="0D0D0D"/>
                <w:sz w:val="24"/>
                <w:szCs w:val="24"/>
                <w:highlight w:val="white"/>
              </w:rPr>
            </w:pPr>
            <w:r w:rsidRPr="00E677D9">
              <w:rPr>
                <w:b/>
                <w:color w:val="0D0D0D"/>
                <w:sz w:val="24"/>
                <w:szCs w:val="24"/>
                <w:highlight w:val="white"/>
              </w:rPr>
              <w:t>Score</w:t>
            </w:r>
          </w:p>
        </w:tc>
      </w:tr>
      <w:tr w:rsidR="00557214" w:rsidRPr="00E677D9" w14:paraId="499EDAA0" w14:textId="77777777" w:rsidTr="00DF3FFC">
        <w:trPr>
          <w:trHeight w:val="410"/>
        </w:trPr>
        <w:tc>
          <w:tcPr>
            <w:tcW w:w="3590" w:type="dxa"/>
          </w:tcPr>
          <w:p w14:paraId="10BD7560"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Accuracy</w:t>
            </w:r>
          </w:p>
        </w:tc>
        <w:tc>
          <w:tcPr>
            <w:tcW w:w="3420" w:type="dxa"/>
          </w:tcPr>
          <w:p w14:paraId="4F4C9FE4"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0.927</w:t>
            </w:r>
          </w:p>
        </w:tc>
      </w:tr>
      <w:tr w:rsidR="00557214" w:rsidRPr="00E677D9" w14:paraId="2AA0FD64" w14:textId="77777777" w:rsidTr="00DF3FFC">
        <w:trPr>
          <w:trHeight w:val="410"/>
        </w:trPr>
        <w:tc>
          <w:tcPr>
            <w:tcW w:w="3590" w:type="dxa"/>
          </w:tcPr>
          <w:p w14:paraId="6E35FC12"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Precision</w:t>
            </w:r>
          </w:p>
        </w:tc>
        <w:tc>
          <w:tcPr>
            <w:tcW w:w="3420" w:type="dxa"/>
          </w:tcPr>
          <w:p w14:paraId="2814377A"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0.899</w:t>
            </w:r>
          </w:p>
        </w:tc>
      </w:tr>
      <w:tr w:rsidR="00557214" w:rsidRPr="00E677D9" w14:paraId="0880FF82" w14:textId="77777777" w:rsidTr="00DF3FFC">
        <w:trPr>
          <w:trHeight w:val="410"/>
        </w:trPr>
        <w:tc>
          <w:tcPr>
            <w:tcW w:w="3590" w:type="dxa"/>
          </w:tcPr>
          <w:p w14:paraId="7D25B666"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Recall</w:t>
            </w:r>
          </w:p>
        </w:tc>
        <w:tc>
          <w:tcPr>
            <w:tcW w:w="3420" w:type="dxa"/>
          </w:tcPr>
          <w:p w14:paraId="2AD3556D"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0.905</w:t>
            </w:r>
          </w:p>
        </w:tc>
      </w:tr>
      <w:tr w:rsidR="00557214" w:rsidRPr="00E677D9" w14:paraId="387B3FF7" w14:textId="77777777" w:rsidTr="00DF3FFC">
        <w:trPr>
          <w:trHeight w:val="410"/>
        </w:trPr>
        <w:tc>
          <w:tcPr>
            <w:tcW w:w="3590" w:type="dxa"/>
          </w:tcPr>
          <w:p w14:paraId="57D6C796"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F1-Score</w:t>
            </w:r>
          </w:p>
        </w:tc>
        <w:tc>
          <w:tcPr>
            <w:tcW w:w="3420" w:type="dxa"/>
          </w:tcPr>
          <w:p w14:paraId="65B3A985"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0.902</w:t>
            </w:r>
          </w:p>
        </w:tc>
      </w:tr>
    </w:tbl>
    <w:p w14:paraId="6B51A8BD"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r w:rsidRPr="00E677D9">
        <w:rPr>
          <w:color w:val="0D0D0D"/>
          <w:sz w:val="24"/>
          <w:szCs w:val="24"/>
          <w:highlight w:val="white"/>
        </w:rPr>
        <w:t xml:space="preserve">To visualize these outcomes, </w:t>
      </w:r>
      <w:r w:rsidRPr="00E677D9">
        <w:rPr>
          <w:b/>
          <w:color w:val="0D0D0D"/>
          <w:sz w:val="24"/>
          <w:szCs w:val="24"/>
          <w:highlight w:val="white"/>
        </w:rPr>
        <w:t>Figure 4</w:t>
      </w:r>
      <w:r w:rsidRPr="00E677D9">
        <w:rPr>
          <w:color w:val="0D0D0D"/>
          <w:sz w:val="24"/>
          <w:szCs w:val="24"/>
          <w:highlight w:val="white"/>
        </w:rPr>
        <w:t xml:space="preserve"> uses a dumbbell chart to highlight the relative strength of each metric along a horizontal axis. The chart emphasizes the narrow performance gap between metrics, reflecting the model’s stability and predictive precision.</w:t>
      </w:r>
    </w:p>
    <w:p w14:paraId="36C35BD6"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jc w:val="center"/>
        <w:rPr>
          <w:color w:val="0D0D0D"/>
          <w:sz w:val="24"/>
          <w:szCs w:val="24"/>
          <w:highlight w:val="white"/>
        </w:rPr>
      </w:pPr>
      <w:r w:rsidRPr="00E677D9">
        <w:rPr>
          <w:noProof/>
          <w:color w:val="0D0D0D"/>
          <w:sz w:val="24"/>
          <w:szCs w:val="24"/>
          <w:highlight w:val="white"/>
          <w:lang w:val="en-US"/>
        </w:rPr>
        <w:drawing>
          <wp:inline distT="114300" distB="114300" distL="114300" distR="114300" wp14:anchorId="69851776" wp14:editId="31E20054">
            <wp:extent cx="4598475" cy="2627700"/>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4598475" cy="2627700"/>
                    </a:xfrm>
                    <a:prstGeom prst="rect">
                      <a:avLst/>
                    </a:prstGeom>
                    <a:ln/>
                  </pic:spPr>
                </pic:pic>
              </a:graphicData>
            </a:graphic>
          </wp:inline>
        </w:drawing>
      </w:r>
    </w:p>
    <w:p w14:paraId="7FA70046" w14:textId="77777777" w:rsidR="00E96360" w:rsidRPr="00E677D9" w:rsidRDefault="00DF3FFC"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jc w:val="center"/>
        <w:rPr>
          <w:i/>
          <w:color w:val="0D0D0D"/>
          <w:sz w:val="24"/>
          <w:szCs w:val="24"/>
          <w:highlight w:val="white"/>
        </w:rPr>
      </w:pPr>
      <w:r w:rsidRPr="00E677D9">
        <w:rPr>
          <w:b/>
          <w:color w:val="0D0D0D"/>
          <w:sz w:val="24"/>
          <w:szCs w:val="24"/>
          <w:highlight w:val="white"/>
        </w:rPr>
        <w:t xml:space="preserve">Figure 4: </w:t>
      </w:r>
      <w:r w:rsidR="00B62E06" w:rsidRPr="00E677D9">
        <w:rPr>
          <w:i/>
          <w:color w:val="0D0D0D"/>
          <w:sz w:val="24"/>
          <w:szCs w:val="24"/>
          <w:highlight w:val="white"/>
        </w:rPr>
        <w:t>Dumbbell Chart Showing R</w:t>
      </w:r>
      <w:r w:rsidR="00E96360" w:rsidRPr="00E677D9">
        <w:rPr>
          <w:i/>
          <w:color w:val="0D0D0D"/>
          <w:sz w:val="24"/>
          <w:szCs w:val="24"/>
          <w:highlight w:val="white"/>
        </w:rPr>
        <w:t>andom Forest Classifier Metrics</w:t>
      </w:r>
    </w:p>
    <w:p w14:paraId="44C26DF9"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i/>
          <w:color w:val="0D0D0D"/>
          <w:sz w:val="24"/>
          <w:szCs w:val="24"/>
          <w:highlight w:val="white"/>
        </w:rPr>
      </w:pPr>
      <w:r w:rsidRPr="00E677D9">
        <w:rPr>
          <w:color w:val="0D0D0D"/>
          <w:sz w:val="24"/>
          <w:szCs w:val="24"/>
          <w:highlight w:val="white"/>
        </w:rPr>
        <w:t xml:space="preserve">A more holistic representation is provided in </w:t>
      </w:r>
      <w:r w:rsidRPr="00E677D9">
        <w:rPr>
          <w:b/>
          <w:color w:val="0D0D0D"/>
          <w:sz w:val="24"/>
          <w:szCs w:val="24"/>
          <w:highlight w:val="white"/>
        </w:rPr>
        <w:t>Figure 5</w:t>
      </w:r>
      <w:r w:rsidRPr="00E677D9">
        <w:rPr>
          <w:color w:val="0D0D0D"/>
          <w:sz w:val="24"/>
          <w:szCs w:val="24"/>
          <w:highlight w:val="white"/>
        </w:rPr>
        <w:t>, where the polar area chart illustrates the symmetry and equilibrium among the model’s outputs. The even spread of performance values around the circular axis indicates robustness across evaluation parameters—suggesting that the classifier is both consistent and well-generalized to different types of attack patterns.</w:t>
      </w:r>
    </w:p>
    <w:p w14:paraId="7201BCB3"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r w:rsidRPr="00E677D9">
        <w:rPr>
          <w:noProof/>
          <w:color w:val="0D0D0D"/>
          <w:sz w:val="24"/>
          <w:szCs w:val="24"/>
          <w:highlight w:val="white"/>
          <w:lang w:val="en-US"/>
        </w:rPr>
        <w:lastRenderedPageBreak/>
        <w:drawing>
          <wp:inline distT="114300" distB="114300" distL="114300" distR="114300" wp14:anchorId="46337706" wp14:editId="3F69F939">
            <wp:extent cx="4826918" cy="4826918"/>
            <wp:effectExtent l="0" t="0" r="0" b="0"/>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4826918" cy="4826918"/>
                    </a:xfrm>
                    <a:prstGeom prst="rect">
                      <a:avLst/>
                    </a:prstGeom>
                    <a:ln/>
                  </pic:spPr>
                </pic:pic>
              </a:graphicData>
            </a:graphic>
          </wp:inline>
        </w:drawing>
      </w:r>
    </w:p>
    <w:p w14:paraId="47B117A9" w14:textId="77777777" w:rsidR="00557214" w:rsidRPr="00E677D9" w:rsidRDefault="00E96360"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i/>
          <w:color w:val="0D0D0D"/>
          <w:sz w:val="24"/>
          <w:szCs w:val="24"/>
          <w:highlight w:val="white"/>
        </w:rPr>
      </w:pPr>
      <w:r w:rsidRPr="00E677D9">
        <w:rPr>
          <w:b/>
          <w:color w:val="0D0D0D"/>
          <w:sz w:val="24"/>
          <w:szCs w:val="24"/>
          <w:highlight w:val="white"/>
        </w:rPr>
        <w:t xml:space="preserve">Figure 5: </w:t>
      </w:r>
      <w:r w:rsidR="00B62E06" w:rsidRPr="00E677D9">
        <w:rPr>
          <w:i/>
          <w:color w:val="0D0D0D"/>
          <w:sz w:val="24"/>
          <w:szCs w:val="24"/>
          <w:highlight w:val="white"/>
        </w:rPr>
        <w:t>Polar Area Chart Representing Metric Distribution of Random Forest</w:t>
      </w:r>
      <w:r w:rsidR="00B62E06" w:rsidRPr="00E677D9">
        <w:rPr>
          <w:i/>
          <w:color w:val="0D0D0D"/>
          <w:sz w:val="24"/>
          <w:szCs w:val="24"/>
          <w:highlight w:val="white"/>
        </w:rPr>
        <w:br/>
      </w:r>
      <w:r w:rsidR="00B62E06" w:rsidRPr="00E677D9">
        <w:rPr>
          <w:color w:val="0D0D0D"/>
          <w:sz w:val="24"/>
          <w:szCs w:val="24"/>
          <w:highlight w:val="white"/>
        </w:rPr>
        <w:t xml:space="preserve">To reinforce clarity and interpretability, </w:t>
      </w:r>
      <w:r w:rsidR="00B62E06" w:rsidRPr="00E677D9">
        <w:rPr>
          <w:b/>
          <w:color w:val="0D0D0D"/>
          <w:sz w:val="24"/>
          <w:szCs w:val="24"/>
          <w:highlight w:val="white"/>
        </w:rPr>
        <w:t>Figure 6</w:t>
      </w:r>
      <w:r w:rsidR="00B62E06" w:rsidRPr="00E677D9">
        <w:rPr>
          <w:color w:val="0D0D0D"/>
          <w:sz w:val="24"/>
          <w:szCs w:val="24"/>
          <w:highlight w:val="white"/>
        </w:rPr>
        <w:t xml:space="preserve"> employs a horizontal lollipop chart, simplifying metric comparison while maintaining high visibility of precise scores. This visual reinforces the classifier’s reliability and communicates results effectively even to a non-technical audience.</w:t>
      </w:r>
    </w:p>
    <w:p w14:paraId="6FE59951"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r w:rsidRPr="00E677D9">
        <w:rPr>
          <w:noProof/>
          <w:color w:val="0D0D0D"/>
          <w:sz w:val="24"/>
          <w:szCs w:val="24"/>
          <w:highlight w:val="white"/>
          <w:lang w:val="en-US"/>
        </w:rPr>
        <w:lastRenderedPageBreak/>
        <w:drawing>
          <wp:inline distT="114300" distB="114300" distL="114300" distR="114300" wp14:anchorId="5F8AC397" wp14:editId="697E676C">
            <wp:extent cx="4901312" cy="2800750"/>
            <wp:effectExtent l="0" t="0" r="0" b="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4901312" cy="2800750"/>
                    </a:xfrm>
                    <a:prstGeom prst="rect">
                      <a:avLst/>
                    </a:prstGeom>
                    <a:ln/>
                  </pic:spPr>
                </pic:pic>
              </a:graphicData>
            </a:graphic>
          </wp:inline>
        </w:drawing>
      </w:r>
    </w:p>
    <w:p w14:paraId="563799FB" w14:textId="77777777" w:rsidR="00557214" w:rsidRPr="00E677D9" w:rsidRDefault="00C2091F"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r w:rsidRPr="00E677D9">
        <w:rPr>
          <w:b/>
          <w:color w:val="0D0D0D"/>
          <w:sz w:val="24"/>
          <w:szCs w:val="24"/>
          <w:highlight w:val="white"/>
        </w:rPr>
        <w:t xml:space="preserve">Figure 6: </w:t>
      </w:r>
      <w:r w:rsidR="00B62E06" w:rsidRPr="00E677D9">
        <w:rPr>
          <w:i/>
          <w:color w:val="0D0D0D"/>
          <w:sz w:val="24"/>
          <w:szCs w:val="24"/>
          <w:highlight w:val="white"/>
        </w:rPr>
        <w:t>Horizontal Lollipop Chart Displaying Model Evaluation Scores</w:t>
      </w:r>
      <w:r w:rsidR="00B62E06" w:rsidRPr="00E677D9">
        <w:rPr>
          <w:i/>
          <w:color w:val="0D0D0D"/>
          <w:sz w:val="24"/>
          <w:szCs w:val="24"/>
          <w:highlight w:val="white"/>
        </w:rPr>
        <w:br/>
      </w:r>
      <w:r w:rsidR="00B62E06" w:rsidRPr="00E677D9">
        <w:rPr>
          <w:color w:val="0D0D0D"/>
          <w:sz w:val="24"/>
          <w:szCs w:val="24"/>
          <w:highlight w:val="white"/>
        </w:rPr>
        <w:t xml:space="preserve">The model’s high F1-score (0.902) and consistent precision-recall balance highlight its suitability for real-world implementation in healthcare cybersecurity systems. These results support the viability of AI/ML techniques in proactively detecting threats, particularly when applied to structured network traffic </w:t>
      </w:r>
      <w:proofErr w:type="gramStart"/>
      <w:r w:rsidR="00B62E06" w:rsidRPr="00E677D9">
        <w:rPr>
          <w:color w:val="0D0D0D"/>
          <w:sz w:val="24"/>
          <w:szCs w:val="24"/>
          <w:highlight w:val="white"/>
        </w:rPr>
        <w:t>data..</w:t>
      </w:r>
      <w:proofErr w:type="gramEnd"/>
    </w:p>
    <w:p w14:paraId="2E1B1F35" w14:textId="77777777" w:rsidR="00557214" w:rsidRPr="00E677D9" w:rsidRDefault="00B62E06" w:rsidP="00E677D9">
      <w:pPr>
        <w:pStyle w:val="Heading3"/>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0" w:after="240" w:line="240" w:lineRule="auto"/>
        <w:rPr>
          <w:b/>
          <w:color w:val="0D0D0D"/>
          <w:sz w:val="24"/>
          <w:szCs w:val="24"/>
          <w:highlight w:val="white"/>
        </w:rPr>
      </w:pPr>
      <w:bookmarkStart w:id="15" w:name="_y88tvqbvv734" w:colFirst="0" w:colLast="0"/>
      <w:bookmarkEnd w:id="15"/>
      <w:r w:rsidRPr="00E677D9">
        <w:rPr>
          <w:b/>
          <w:color w:val="0D0D0D"/>
          <w:sz w:val="24"/>
          <w:szCs w:val="24"/>
          <w:highlight w:val="white"/>
        </w:rPr>
        <w:t xml:space="preserve">Identify the key challenges and limitations associated with implementing AI/ML-driven predictive cybersecurity risk </w:t>
      </w:r>
      <w:proofErr w:type="spellStart"/>
      <w:r w:rsidRPr="00E677D9">
        <w:rPr>
          <w:b/>
          <w:color w:val="0D0D0D"/>
          <w:sz w:val="24"/>
          <w:szCs w:val="24"/>
          <w:highlight w:val="white"/>
        </w:rPr>
        <w:t>modeling</w:t>
      </w:r>
      <w:proofErr w:type="spellEnd"/>
      <w:r w:rsidRPr="00E677D9">
        <w:rPr>
          <w:b/>
          <w:color w:val="0D0D0D"/>
          <w:sz w:val="24"/>
          <w:szCs w:val="24"/>
          <w:highlight w:val="white"/>
        </w:rPr>
        <w:t xml:space="preserve"> in healthcare environments</w:t>
      </w:r>
    </w:p>
    <w:p w14:paraId="6188F2BE"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r w:rsidRPr="00E677D9">
        <w:rPr>
          <w:color w:val="0D0D0D"/>
          <w:sz w:val="24"/>
          <w:szCs w:val="24"/>
          <w:highlight w:val="white"/>
        </w:rPr>
        <w:t>Understanding the barriers to implementing AI/ML-driven cybersecurity in healthcare is critical for ensuring scalable, effective adoption. This section presents a quantitative assessment of the most prevalent challenges as perceived by key stakeholder groups—hospitals, AI vendors, and regulators. It evaluates the severity of each challenge through stakeholder-specific scores, providing insight into which limitations are most obstructive and which groups are most affected.</w:t>
      </w:r>
    </w:p>
    <w:p w14:paraId="5DD54F98" w14:textId="77777777" w:rsidR="00557214" w:rsidRPr="00E677D9" w:rsidRDefault="00B62E06" w:rsidP="00E677D9">
      <w:pPr>
        <w:pStyle w:val="Heading3"/>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0" w:after="240" w:line="240" w:lineRule="auto"/>
        <w:rPr>
          <w:b/>
          <w:color w:val="0D0D0D"/>
          <w:sz w:val="24"/>
          <w:szCs w:val="24"/>
          <w:highlight w:val="white"/>
        </w:rPr>
      </w:pPr>
      <w:bookmarkStart w:id="16" w:name="_rrwmtooiaqsn" w:colFirst="0" w:colLast="0"/>
      <w:bookmarkEnd w:id="16"/>
      <w:r w:rsidRPr="00E677D9">
        <w:rPr>
          <w:b/>
          <w:color w:val="0D0D0D"/>
          <w:sz w:val="24"/>
          <w:szCs w:val="24"/>
          <w:highlight w:val="white"/>
        </w:rPr>
        <w:t>Perceived Severity of Challenges</w:t>
      </w:r>
    </w:p>
    <w:p w14:paraId="5B5B5BA0"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r w:rsidRPr="00E677D9">
        <w:rPr>
          <w:color w:val="0D0D0D"/>
          <w:sz w:val="24"/>
          <w:szCs w:val="24"/>
          <w:highlight w:val="white"/>
        </w:rPr>
        <w:t xml:space="preserve">Analysis revealed six core challenges impeding AI/ML adoption in healthcare cybersecurity environments. As shown in </w:t>
      </w:r>
      <w:r w:rsidRPr="00E677D9">
        <w:rPr>
          <w:b/>
          <w:color w:val="0D0D0D"/>
          <w:sz w:val="24"/>
          <w:szCs w:val="24"/>
          <w:highlight w:val="white"/>
        </w:rPr>
        <w:t>Table 4</w:t>
      </w:r>
      <w:r w:rsidRPr="00E677D9">
        <w:rPr>
          <w:color w:val="0D0D0D"/>
          <w:sz w:val="24"/>
          <w:szCs w:val="24"/>
          <w:highlight w:val="white"/>
        </w:rPr>
        <w:t xml:space="preserve">, </w:t>
      </w:r>
      <w:r w:rsidRPr="00E677D9">
        <w:rPr>
          <w:i/>
          <w:color w:val="0D0D0D"/>
          <w:sz w:val="24"/>
          <w:szCs w:val="24"/>
          <w:highlight w:val="white"/>
        </w:rPr>
        <w:t>Regulatory Compliance</w:t>
      </w:r>
      <w:r w:rsidRPr="00E677D9">
        <w:rPr>
          <w:color w:val="0D0D0D"/>
          <w:sz w:val="24"/>
          <w:szCs w:val="24"/>
          <w:highlight w:val="white"/>
        </w:rPr>
        <w:t xml:space="preserve"> was rated as the most severe challenge with an average Likert score of 4.53, followed closely by </w:t>
      </w:r>
      <w:r w:rsidRPr="00E677D9">
        <w:rPr>
          <w:i/>
          <w:color w:val="0D0D0D"/>
          <w:sz w:val="24"/>
          <w:szCs w:val="24"/>
          <w:highlight w:val="white"/>
        </w:rPr>
        <w:t>Lack of Skilled Workforce</w:t>
      </w:r>
      <w:r w:rsidRPr="00E677D9">
        <w:rPr>
          <w:color w:val="0D0D0D"/>
          <w:sz w:val="24"/>
          <w:szCs w:val="24"/>
          <w:highlight w:val="white"/>
        </w:rPr>
        <w:t xml:space="preserve"> (4.27) and </w:t>
      </w:r>
      <w:r w:rsidRPr="00E677D9">
        <w:rPr>
          <w:i/>
          <w:color w:val="0D0D0D"/>
          <w:sz w:val="24"/>
          <w:szCs w:val="24"/>
          <w:highlight w:val="white"/>
        </w:rPr>
        <w:t>Data Privacy Concerns</w:t>
      </w:r>
      <w:r w:rsidRPr="00E677D9">
        <w:rPr>
          <w:color w:val="0D0D0D"/>
          <w:sz w:val="24"/>
          <w:szCs w:val="24"/>
          <w:highlight w:val="white"/>
        </w:rPr>
        <w:t xml:space="preserve"> (4.33). </w:t>
      </w:r>
      <w:r w:rsidRPr="00E677D9">
        <w:rPr>
          <w:i/>
          <w:color w:val="0D0D0D"/>
          <w:sz w:val="24"/>
          <w:szCs w:val="24"/>
          <w:highlight w:val="white"/>
        </w:rPr>
        <w:t>Model Explainability Issues</w:t>
      </w:r>
      <w:r w:rsidRPr="00E677D9">
        <w:rPr>
          <w:color w:val="0D0D0D"/>
          <w:sz w:val="24"/>
          <w:szCs w:val="24"/>
          <w:highlight w:val="white"/>
        </w:rPr>
        <w:t xml:space="preserve"> and </w:t>
      </w:r>
      <w:r w:rsidRPr="00E677D9">
        <w:rPr>
          <w:i/>
          <w:color w:val="0D0D0D"/>
          <w:sz w:val="24"/>
          <w:szCs w:val="24"/>
          <w:highlight w:val="white"/>
        </w:rPr>
        <w:t>Algorithmic Bias</w:t>
      </w:r>
      <w:r w:rsidRPr="00E677D9">
        <w:rPr>
          <w:color w:val="0D0D0D"/>
          <w:sz w:val="24"/>
          <w:szCs w:val="24"/>
          <w:highlight w:val="white"/>
        </w:rPr>
        <w:t xml:space="preserve"> were of moderate concern, while </w:t>
      </w:r>
      <w:r w:rsidRPr="00E677D9">
        <w:rPr>
          <w:i/>
          <w:color w:val="0D0D0D"/>
          <w:sz w:val="24"/>
          <w:szCs w:val="24"/>
          <w:highlight w:val="white"/>
        </w:rPr>
        <w:t>Infrastructure Limitations</w:t>
      </w:r>
      <w:r w:rsidRPr="00E677D9">
        <w:rPr>
          <w:color w:val="0D0D0D"/>
          <w:sz w:val="24"/>
          <w:szCs w:val="24"/>
          <w:highlight w:val="white"/>
        </w:rPr>
        <w:t xml:space="preserve"> scored lower on average severity.</w:t>
      </w:r>
    </w:p>
    <w:p w14:paraId="5AD6E80F" w14:textId="77777777" w:rsidR="00557214" w:rsidRPr="00E677D9" w:rsidRDefault="00C2091F"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i/>
          <w:color w:val="0D0D0D"/>
          <w:sz w:val="24"/>
          <w:szCs w:val="24"/>
          <w:highlight w:val="white"/>
        </w:rPr>
      </w:pPr>
      <w:r w:rsidRPr="00E677D9">
        <w:rPr>
          <w:b/>
          <w:color w:val="0D0D0D"/>
          <w:sz w:val="24"/>
          <w:szCs w:val="24"/>
          <w:highlight w:val="white"/>
        </w:rPr>
        <w:t xml:space="preserve">Table 4: </w:t>
      </w:r>
      <w:r w:rsidR="00B62E06" w:rsidRPr="00E677D9">
        <w:rPr>
          <w:i/>
          <w:color w:val="0D0D0D"/>
          <w:sz w:val="24"/>
          <w:szCs w:val="24"/>
          <w:highlight w:val="white"/>
        </w:rPr>
        <w:t>Average Likert Scores Representing AI/ML Implementation Challenges</w:t>
      </w:r>
    </w:p>
    <w:tbl>
      <w:tblPr>
        <w:tblStyle w:val="TableGrid"/>
        <w:tblW w:w="9085" w:type="dxa"/>
        <w:tblLayout w:type="fixed"/>
        <w:tblLook w:val="0600" w:firstRow="0" w:lastRow="0" w:firstColumn="0" w:lastColumn="0" w:noHBand="1" w:noVBand="1"/>
      </w:tblPr>
      <w:tblGrid>
        <w:gridCol w:w="2075"/>
        <w:gridCol w:w="1610"/>
        <w:gridCol w:w="1530"/>
        <w:gridCol w:w="1800"/>
        <w:gridCol w:w="2070"/>
      </w:tblGrid>
      <w:tr w:rsidR="00557214" w:rsidRPr="00E677D9" w14:paraId="7B233623" w14:textId="77777777" w:rsidTr="00C2091F">
        <w:trPr>
          <w:trHeight w:val="410"/>
        </w:trPr>
        <w:tc>
          <w:tcPr>
            <w:tcW w:w="2075" w:type="dxa"/>
          </w:tcPr>
          <w:p w14:paraId="0191669D"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jc w:val="center"/>
              <w:rPr>
                <w:color w:val="0D0D0D"/>
                <w:sz w:val="24"/>
                <w:szCs w:val="24"/>
                <w:highlight w:val="white"/>
              </w:rPr>
            </w:pPr>
            <w:r w:rsidRPr="00E677D9">
              <w:rPr>
                <w:b/>
                <w:color w:val="0D0D0D"/>
                <w:sz w:val="24"/>
                <w:szCs w:val="24"/>
                <w:highlight w:val="white"/>
              </w:rPr>
              <w:t>Challenge</w:t>
            </w:r>
          </w:p>
        </w:tc>
        <w:tc>
          <w:tcPr>
            <w:tcW w:w="1610" w:type="dxa"/>
          </w:tcPr>
          <w:p w14:paraId="421A3C5F"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jc w:val="center"/>
              <w:rPr>
                <w:color w:val="0D0D0D"/>
                <w:sz w:val="24"/>
                <w:szCs w:val="24"/>
                <w:highlight w:val="white"/>
              </w:rPr>
            </w:pPr>
            <w:r w:rsidRPr="00E677D9">
              <w:rPr>
                <w:b/>
                <w:color w:val="0D0D0D"/>
                <w:sz w:val="24"/>
                <w:szCs w:val="24"/>
                <w:highlight w:val="white"/>
              </w:rPr>
              <w:t>Hospitals</w:t>
            </w:r>
          </w:p>
        </w:tc>
        <w:tc>
          <w:tcPr>
            <w:tcW w:w="1530" w:type="dxa"/>
          </w:tcPr>
          <w:p w14:paraId="038AF038"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jc w:val="center"/>
              <w:rPr>
                <w:color w:val="0D0D0D"/>
                <w:sz w:val="24"/>
                <w:szCs w:val="24"/>
                <w:highlight w:val="white"/>
              </w:rPr>
            </w:pPr>
            <w:r w:rsidRPr="00E677D9">
              <w:rPr>
                <w:b/>
                <w:color w:val="0D0D0D"/>
                <w:sz w:val="24"/>
                <w:szCs w:val="24"/>
                <w:highlight w:val="white"/>
              </w:rPr>
              <w:t>AI Vendors</w:t>
            </w:r>
          </w:p>
        </w:tc>
        <w:tc>
          <w:tcPr>
            <w:tcW w:w="1800" w:type="dxa"/>
          </w:tcPr>
          <w:p w14:paraId="042E3BE9"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jc w:val="center"/>
              <w:rPr>
                <w:color w:val="0D0D0D"/>
                <w:sz w:val="24"/>
                <w:szCs w:val="24"/>
                <w:highlight w:val="white"/>
              </w:rPr>
            </w:pPr>
            <w:r w:rsidRPr="00E677D9">
              <w:rPr>
                <w:b/>
                <w:color w:val="0D0D0D"/>
                <w:sz w:val="24"/>
                <w:szCs w:val="24"/>
                <w:highlight w:val="white"/>
              </w:rPr>
              <w:t>Regulators</w:t>
            </w:r>
          </w:p>
        </w:tc>
        <w:tc>
          <w:tcPr>
            <w:tcW w:w="2070" w:type="dxa"/>
          </w:tcPr>
          <w:p w14:paraId="7CBD0985"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jc w:val="center"/>
              <w:rPr>
                <w:color w:val="0D0D0D"/>
                <w:sz w:val="24"/>
                <w:szCs w:val="24"/>
                <w:highlight w:val="white"/>
              </w:rPr>
            </w:pPr>
            <w:r w:rsidRPr="00E677D9">
              <w:rPr>
                <w:b/>
                <w:color w:val="0D0D0D"/>
                <w:sz w:val="24"/>
                <w:szCs w:val="24"/>
                <w:highlight w:val="white"/>
              </w:rPr>
              <w:t>Average Severity</w:t>
            </w:r>
          </w:p>
        </w:tc>
      </w:tr>
      <w:tr w:rsidR="00557214" w:rsidRPr="00E677D9" w14:paraId="777BC2D2" w14:textId="77777777" w:rsidTr="00C2091F">
        <w:trPr>
          <w:trHeight w:val="410"/>
        </w:trPr>
        <w:tc>
          <w:tcPr>
            <w:tcW w:w="2075" w:type="dxa"/>
          </w:tcPr>
          <w:p w14:paraId="10E0E29D"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lastRenderedPageBreak/>
              <w:t>Regulatory Compliance</w:t>
            </w:r>
          </w:p>
        </w:tc>
        <w:tc>
          <w:tcPr>
            <w:tcW w:w="1610" w:type="dxa"/>
          </w:tcPr>
          <w:p w14:paraId="1E626B4B"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4.6</w:t>
            </w:r>
          </w:p>
        </w:tc>
        <w:tc>
          <w:tcPr>
            <w:tcW w:w="1530" w:type="dxa"/>
          </w:tcPr>
          <w:p w14:paraId="40BACFF2"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4.2</w:t>
            </w:r>
          </w:p>
        </w:tc>
        <w:tc>
          <w:tcPr>
            <w:tcW w:w="1800" w:type="dxa"/>
          </w:tcPr>
          <w:p w14:paraId="59C85D7D"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4.8</w:t>
            </w:r>
          </w:p>
        </w:tc>
        <w:tc>
          <w:tcPr>
            <w:tcW w:w="2070" w:type="dxa"/>
          </w:tcPr>
          <w:p w14:paraId="76B777CC"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4.53</w:t>
            </w:r>
          </w:p>
        </w:tc>
      </w:tr>
      <w:tr w:rsidR="00557214" w:rsidRPr="00E677D9" w14:paraId="3488CD5D" w14:textId="77777777" w:rsidTr="00C2091F">
        <w:trPr>
          <w:trHeight w:val="410"/>
        </w:trPr>
        <w:tc>
          <w:tcPr>
            <w:tcW w:w="2075" w:type="dxa"/>
          </w:tcPr>
          <w:p w14:paraId="61EDD9EA"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Data Privacy Concerns</w:t>
            </w:r>
          </w:p>
        </w:tc>
        <w:tc>
          <w:tcPr>
            <w:tcW w:w="1610" w:type="dxa"/>
          </w:tcPr>
          <w:p w14:paraId="7CCDC7F0"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4.4</w:t>
            </w:r>
          </w:p>
        </w:tc>
        <w:tc>
          <w:tcPr>
            <w:tcW w:w="1530" w:type="dxa"/>
          </w:tcPr>
          <w:p w14:paraId="7D7C2B89"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4.0</w:t>
            </w:r>
          </w:p>
        </w:tc>
        <w:tc>
          <w:tcPr>
            <w:tcW w:w="1800" w:type="dxa"/>
          </w:tcPr>
          <w:p w14:paraId="1F9F0F99"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4.6</w:t>
            </w:r>
          </w:p>
        </w:tc>
        <w:tc>
          <w:tcPr>
            <w:tcW w:w="2070" w:type="dxa"/>
          </w:tcPr>
          <w:p w14:paraId="3426188E"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4.33</w:t>
            </w:r>
          </w:p>
        </w:tc>
      </w:tr>
      <w:tr w:rsidR="00557214" w:rsidRPr="00E677D9" w14:paraId="676CFB05" w14:textId="77777777" w:rsidTr="00C2091F">
        <w:trPr>
          <w:trHeight w:val="410"/>
        </w:trPr>
        <w:tc>
          <w:tcPr>
            <w:tcW w:w="2075" w:type="dxa"/>
          </w:tcPr>
          <w:p w14:paraId="7F3B3116"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Lack of Skilled Workforce</w:t>
            </w:r>
          </w:p>
        </w:tc>
        <w:tc>
          <w:tcPr>
            <w:tcW w:w="1610" w:type="dxa"/>
          </w:tcPr>
          <w:p w14:paraId="1CD72410"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4.7</w:t>
            </w:r>
          </w:p>
        </w:tc>
        <w:tc>
          <w:tcPr>
            <w:tcW w:w="1530" w:type="dxa"/>
          </w:tcPr>
          <w:p w14:paraId="048F3216"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3.9</w:t>
            </w:r>
          </w:p>
        </w:tc>
        <w:tc>
          <w:tcPr>
            <w:tcW w:w="1800" w:type="dxa"/>
          </w:tcPr>
          <w:p w14:paraId="04813948"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4.2</w:t>
            </w:r>
          </w:p>
        </w:tc>
        <w:tc>
          <w:tcPr>
            <w:tcW w:w="2070" w:type="dxa"/>
          </w:tcPr>
          <w:p w14:paraId="6C7F36FA"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4.27</w:t>
            </w:r>
          </w:p>
        </w:tc>
      </w:tr>
      <w:tr w:rsidR="00557214" w:rsidRPr="00E677D9" w14:paraId="458C803C" w14:textId="77777777" w:rsidTr="00C2091F">
        <w:trPr>
          <w:trHeight w:val="410"/>
        </w:trPr>
        <w:tc>
          <w:tcPr>
            <w:tcW w:w="2075" w:type="dxa"/>
          </w:tcPr>
          <w:p w14:paraId="5AE6E5BA"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Infrastructure Limitations</w:t>
            </w:r>
          </w:p>
        </w:tc>
        <w:tc>
          <w:tcPr>
            <w:tcW w:w="1610" w:type="dxa"/>
          </w:tcPr>
          <w:p w14:paraId="6707F486"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4.1</w:t>
            </w:r>
          </w:p>
        </w:tc>
        <w:tc>
          <w:tcPr>
            <w:tcW w:w="1530" w:type="dxa"/>
          </w:tcPr>
          <w:p w14:paraId="373C9E5C"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4.3</w:t>
            </w:r>
          </w:p>
        </w:tc>
        <w:tc>
          <w:tcPr>
            <w:tcW w:w="1800" w:type="dxa"/>
          </w:tcPr>
          <w:p w14:paraId="2B93F58E"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3.9</w:t>
            </w:r>
          </w:p>
        </w:tc>
        <w:tc>
          <w:tcPr>
            <w:tcW w:w="2070" w:type="dxa"/>
          </w:tcPr>
          <w:p w14:paraId="66402306"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4.10</w:t>
            </w:r>
          </w:p>
        </w:tc>
      </w:tr>
      <w:tr w:rsidR="00557214" w:rsidRPr="00E677D9" w14:paraId="0BD00ACF" w14:textId="77777777" w:rsidTr="00C2091F">
        <w:trPr>
          <w:trHeight w:val="410"/>
        </w:trPr>
        <w:tc>
          <w:tcPr>
            <w:tcW w:w="2075" w:type="dxa"/>
          </w:tcPr>
          <w:p w14:paraId="3A205C95"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Model Explainability Issues</w:t>
            </w:r>
          </w:p>
        </w:tc>
        <w:tc>
          <w:tcPr>
            <w:tcW w:w="1610" w:type="dxa"/>
          </w:tcPr>
          <w:p w14:paraId="068C915B"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3.9</w:t>
            </w:r>
          </w:p>
        </w:tc>
        <w:tc>
          <w:tcPr>
            <w:tcW w:w="1530" w:type="dxa"/>
          </w:tcPr>
          <w:p w14:paraId="59B0FFA3"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4.6</w:t>
            </w:r>
          </w:p>
        </w:tc>
        <w:tc>
          <w:tcPr>
            <w:tcW w:w="1800" w:type="dxa"/>
          </w:tcPr>
          <w:p w14:paraId="764BF72A"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3.5</w:t>
            </w:r>
          </w:p>
        </w:tc>
        <w:tc>
          <w:tcPr>
            <w:tcW w:w="2070" w:type="dxa"/>
          </w:tcPr>
          <w:p w14:paraId="5B55F620"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4.00</w:t>
            </w:r>
          </w:p>
        </w:tc>
      </w:tr>
      <w:tr w:rsidR="00557214" w:rsidRPr="00E677D9" w14:paraId="14B89E02" w14:textId="77777777" w:rsidTr="00C2091F">
        <w:trPr>
          <w:trHeight w:val="410"/>
        </w:trPr>
        <w:tc>
          <w:tcPr>
            <w:tcW w:w="2075" w:type="dxa"/>
          </w:tcPr>
          <w:p w14:paraId="473B713A"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Algorithmic Bias</w:t>
            </w:r>
          </w:p>
        </w:tc>
        <w:tc>
          <w:tcPr>
            <w:tcW w:w="1610" w:type="dxa"/>
          </w:tcPr>
          <w:p w14:paraId="4E73A998"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3.8</w:t>
            </w:r>
          </w:p>
        </w:tc>
        <w:tc>
          <w:tcPr>
            <w:tcW w:w="1530" w:type="dxa"/>
          </w:tcPr>
          <w:p w14:paraId="463DF8CC"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4.5</w:t>
            </w:r>
          </w:p>
        </w:tc>
        <w:tc>
          <w:tcPr>
            <w:tcW w:w="1800" w:type="dxa"/>
          </w:tcPr>
          <w:p w14:paraId="527E7603"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3.7</w:t>
            </w:r>
          </w:p>
        </w:tc>
        <w:tc>
          <w:tcPr>
            <w:tcW w:w="2070" w:type="dxa"/>
          </w:tcPr>
          <w:p w14:paraId="58822B01"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4.00</w:t>
            </w:r>
          </w:p>
        </w:tc>
      </w:tr>
    </w:tbl>
    <w:p w14:paraId="099261A3"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r w:rsidRPr="00E677D9">
        <w:rPr>
          <w:color w:val="0D0D0D"/>
          <w:sz w:val="24"/>
          <w:szCs w:val="24"/>
          <w:highlight w:val="white"/>
        </w:rPr>
        <w:t xml:space="preserve">To visualize this distribution of stakeholder perspectives, </w:t>
      </w:r>
      <w:r w:rsidRPr="00E677D9">
        <w:rPr>
          <w:b/>
          <w:color w:val="0D0D0D"/>
          <w:sz w:val="24"/>
          <w:szCs w:val="24"/>
          <w:highlight w:val="white"/>
        </w:rPr>
        <w:t>Figure 7</w:t>
      </w:r>
      <w:r w:rsidRPr="00E677D9">
        <w:rPr>
          <w:color w:val="0D0D0D"/>
          <w:sz w:val="24"/>
          <w:szCs w:val="24"/>
          <w:highlight w:val="white"/>
        </w:rPr>
        <w:t xml:space="preserve"> presents a heatmap illustrating severity scores by group. Notably, hospitals perceived the workforce gap and regulatory pressure as more significant than technical concerns like bias or model explainability.</w:t>
      </w:r>
    </w:p>
    <w:p w14:paraId="4FB85273"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jc w:val="center"/>
        <w:rPr>
          <w:color w:val="0D0D0D"/>
          <w:sz w:val="24"/>
          <w:szCs w:val="24"/>
          <w:highlight w:val="white"/>
        </w:rPr>
      </w:pPr>
      <w:r w:rsidRPr="00E677D9">
        <w:rPr>
          <w:noProof/>
          <w:color w:val="0D0D0D"/>
          <w:sz w:val="24"/>
          <w:szCs w:val="24"/>
          <w:highlight w:val="white"/>
          <w:lang w:val="en-US"/>
        </w:rPr>
        <w:drawing>
          <wp:inline distT="114300" distB="114300" distL="114300" distR="114300" wp14:anchorId="315285D5" wp14:editId="45E50FED">
            <wp:extent cx="3267075" cy="1809750"/>
            <wp:effectExtent l="0" t="0" r="9525" b="0"/>
            <wp:docPr id="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4"/>
                    <a:srcRect/>
                    <a:stretch>
                      <a:fillRect/>
                    </a:stretch>
                  </pic:blipFill>
                  <pic:spPr>
                    <a:xfrm>
                      <a:off x="0" y="0"/>
                      <a:ext cx="3267591" cy="1810036"/>
                    </a:xfrm>
                    <a:prstGeom prst="rect">
                      <a:avLst/>
                    </a:prstGeom>
                    <a:ln/>
                  </pic:spPr>
                </pic:pic>
              </a:graphicData>
            </a:graphic>
          </wp:inline>
        </w:drawing>
      </w:r>
    </w:p>
    <w:p w14:paraId="6D3FF45E" w14:textId="77777777" w:rsidR="00557214" w:rsidRPr="00E677D9" w:rsidRDefault="00C2091F"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jc w:val="center"/>
        <w:rPr>
          <w:i/>
          <w:color w:val="0D0D0D"/>
          <w:sz w:val="24"/>
          <w:szCs w:val="24"/>
          <w:highlight w:val="white"/>
        </w:rPr>
      </w:pPr>
      <w:r w:rsidRPr="00E677D9">
        <w:rPr>
          <w:b/>
          <w:color w:val="0D0D0D"/>
          <w:sz w:val="24"/>
          <w:szCs w:val="24"/>
          <w:highlight w:val="white"/>
        </w:rPr>
        <w:t xml:space="preserve">Figure 7: </w:t>
      </w:r>
      <w:r w:rsidR="00B62E06" w:rsidRPr="00E677D9">
        <w:rPr>
          <w:i/>
          <w:color w:val="0D0D0D"/>
          <w:sz w:val="24"/>
          <w:szCs w:val="24"/>
          <w:highlight w:val="white"/>
        </w:rPr>
        <w:t>Heatmap Depicting Severity of AI/ML Challenges Across Stakeholders</w:t>
      </w:r>
      <w:r w:rsidR="00B62E06" w:rsidRPr="00E677D9">
        <w:rPr>
          <w:i/>
          <w:color w:val="0D0D0D"/>
          <w:sz w:val="24"/>
          <w:szCs w:val="24"/>
          <w:highlight w:val="white"/>
        </w:rPr>
        <w:br/>
      </w:r>
    </w:p>
    <w:p w14:paraId="498EBE3F"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r w:rsidRPr="00E677D9">
        <w:rPr>
          <w:b/>
          <w:color w:val="0D0D0D"/>
          <w:sz w:val="24"/>
          <w:szCs w:val="24"/>
          <w:highlight w:val="white"/>
        </w:rPr>
        <w:t>Figure 8</w:t>
      </w:r>
      <w:r w:rsidRPr="00E677D9">
        <w:rPr>
          <w:color w:val="0D0D0D"/>
          <w:sz w:val="24"/>
          <w:szCs w:val="24"/>
          <w:highlight w:val="white"/>
        </w:rPr>
        <w:t xml:space="preserve"> visualizes these variances through a diverging dot plot, facilitating easy identification of consensus and divergence. For instance, all groups rate </w:t>
      </w:r>
      <w:r w:rsidRPr="00E677D9">
        <w:rPr>
          <w:i/>
          <w:color w:val="0D0D0D"/>
          <w:sz w:val="24"/>
          <w:szCs w:val="24"/>
          <w:highlight w:val="white"/>
        </w:rPr>
        <w:t>Regulatory Compliance</w:t>
      </w:r>
      <w:r w:rsidRPr="00E677D9">
        <w:rPr>
          <w:color w:val="0D0D0D"/>
          <w:sz w:val="24"/>
          <w:szCs w:val="24"/>
          <w:highlight w:val="white"/>
        </w:rPr>
        <w:t xml:space="preserve"> as highly severe, yet diverge in their views on </w:t>
      </w:r>
      <w:r w:rsidRPr="00E677D9">
        <w:rPr>
          <w:i/>
          <w:color w:val="0D0D0D"/>
          <w:sz w:val="24"/>
          <w:szCs w:val="24"/>
          <w:highlight w:val="white"/>
        </w:rPr>
        <w:t>Model Explainability</w:t>
      </w:r>
      <w:r w:rsidRPr="00E677D9">
        <w:rPr>
          <w:color w:val="0D0D0D"/>
          <w:sz w:val="24"/>
          <w:szCs w:val="24"/>
          <w:highlight w:val="white"/>
        </w:rPr>
        <w:t>, with AI vendors perceiving it as more problematic than healthcare institutions or regulators.</w:t>
      </w:r>
    </w:p>
    <w:p w14:paraId="042559B9"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jc w:val="center"/>
        <w:rPr>
          <w:color w:val="0D0D0D"/>
          <w:sz w:val="24"/>
          <w:szCs w:val="24"/>
          <w:highlight w:val="white"/>
        </w:rPr>
      </w:pPr>
      <w:r w:rsidRPr="00E677D9">
        <w:rPr>
          <w:noProof/>
          <w:color w:val="0D0D0D"/>
          <w:sz w:val="24"/>
          <w:szCs w:val="24"/>
          <w:highlight w:val="white"/>
          <w:lang w:val="en-US"/>
        </w:rPr>
        <w:lastRenderedPageBreak/>
        <w:drawing>
          <wp:inline distT="114300" distB="114300" distL="114300" distR="114300" wp14:anchorId="7FA0BEE0" wp14:editId="54C79807">
            <wp:extent cx="4428017" cy="2460010"/>
            <wp:effectExtent l="0" t="0" r="0" b="0"/>
            <wp:docPr id="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5"/>
                    <a:srcRect/>
                    <a:stretch>
                      <a:fillRect/>
                    </a:stretch>
                  </pic:blipFill>
                  <pic:spPr>
                    <a:xfrm>
                      <a:off x="0" y="0"/>
                      <a:ext cx="4428017" cy="2460010"/>
                    </a:xfrm>
                    <a:prstGeom prst="rect">
                      <a:avLst/>
                    </a:prstGeom>
                    <a:ln/>
                  </pic:spPr>
                </pic:pic>
              </a:graphicData>
            </a:graphic>
          </wp:inline>
        </w:drawing>
      </w:r>
    </w:p>
    <w:p w14:paraId="27EFB1BA" w14:textId="77777777" w:rsidR="00557214" w:rsidRPr="00E677D9" w:rsidRDefault="00C2091F"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jc w:val="center"/>
        <w:rPr>
          <w:i/>
          <w:color w:val="0D0D0D"/>
          <w:sz w:val="24"/>
          <w:szCs w:val="24"/>
          <w:highlight w:val="white"/>
        </w:rPr>
      </w:pPr>
      <w:r w:rsidRPr="00E677D9">
        <w:rPr>
          <w:b/>
          <w:color w:val="0D0D0D"/>
          <w:sz w:val="24"/>
          <w:szCs w:val="24"/>
          <w:highlight w:val="white"/>
        </w:rPr>
        <w:t xml:space="preserve">Figure 8: </w:t>
      </w:r>
      <w:r w:rsidR="00B62E06" w:rsidRPr="00E677D9">
        <w:rPr>
          <w:i/>
          <w:color w:val="0D0D0D"/>
          <w:sz w:val="24"/>
          <w:szCs w:val="24"/>
          <w:highlight w:val="white"/>
        </w:rPr>
        <w:t>Diverging Dot Plot Showing Stakeholder Discrepancies by Challenge</w:t>
      </w:r>
      <w:r w:rsidR="00B62E06" w:rsidRPr="00E677D9">
        <w:rPr>
          <w:i/>
          <w:color w:val="0D0D0D"/>
          <w:sz w:val="24"/>
          <w:szCs w:val="24"/>
          <w:highlight w:val="white"/>
        </w:rPr>
        <w:br/>
      </w:r>
    </w:p>
    <w:p w14:paraId="3181E3CB" w14:textId="77777777" w:rsidR="00557214" w:rsidRPr="00E677D9" w:rsidRDefault="00C2091F"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r w:rsidRPr="00E677D9">
        <w:rPr>
          <w:b/>
          <w:color w:val="0D0D0D"/>
          <w:sz w:val="24"/>
          <w:szCs w:val="24"/>
          <w:highlight w:val="white"/>
        </w:rPr>
        <w:t>F</w:t>
      </w:r>
      <w:r w:rsidR="00B62E06" w:rsidRPr="00E677D9">
        <w:rPr>
          <w:b/>
          <w:color w:val="0D0D0D"/>
          <w:sz w:val="24"/>
          <w:szCs w:val="24"/>
          <w:highlight w:val="white"/>
        </w:rPr>
        <w:t>igure 9</w:t>
      </w:r>
      <w:r w:rsidR="00B62E06" w:rsidRPr="00E677D9">
        <w:rPr>
          <w:color w:val="0D0D0D"/>
          <w:sz w:val="24"/>
          <w:szCs w:val="24"/>
          <w:highlight w:val="white"/>
        </w:rPr>
        <w:t xml:space="preserve"> consolidates average challenge severity in a polar bar format. The visualization reinforces that while all challenges hold relevance, a few—namely regulatory barriers and staffing limitations—dominate concern across groups.</w:t>
      </w:r>
    </w:p>
    <w:p w14:paraId="5F0CB790"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jc w:val="center"/>
        <w:rPr>
          <w:color w:val="0D0D0D"/>
          <w:sz w:val="24"/>
          <w:szCs w:val="24"/>
          <w:highlight w:val="white"/>
        </w:rPr>
      </w:pPr>
      <w:r w:rsidRPr="00E677D9">
        <w:rPr>
          <w:noProof/>
          <w:color w:val="0D0D0D"/>
          <w:sz w:val="24"/>
          <w:szCs w:val="24"/>
          <w:highlight w:val="white"/>
          <w:lang w:val="en-US"/>
        </w:rPr>
        <w:drawing>
          <wp:inline distT="114300" distB="114300" distL="114300" distR="114300" wp14:anchorId="082019BD" wp14:editId="52882F4A">
            <wp:extent cx="4114800" cy="2362200"/>
            <wp:effectExtent l="0" t="0" r="0" b="0"/>
            <wp:docPr id="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6"/>
                    <a:srcRect/>
                    <a:stretch>
                      <a:fillRect/>
                    </a:stretch>
                  </pic:blipFill>
                  <pic:spPr>
                    <a:xfrm>
                      <a:off x="0" y="0"/>
                      <a:ext cx="4115144" cy="2362397"/>
                    </a:xfrm>
                    <a:prstGeom prst="rect">
                      <a:avLst/>
                    </a:prstGeom>
                    <a:ln/>
                  </pic:spPr>
                </pic:pic>
              </a:graphicData>
            </a:graphic>
          </wp:inline>
        </w:drawing>
      </w:r>
    </w:p>
    <w:p w14:paraId="05EB00D5" w14:textId="77777777" w:rsidR="00B62E06"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jc w:val="center"/>
        <w:rPr>
          <w:i/>
          <w:color w:val="0D0D0D"/>
          <w:sz w:val="24"/>
          <w:szCs w:val="24"/>
          <w:highlight w:val="white"/>
        </w:rPr>
      </w:pPr>
      <w:r w:rsidRPr="00E677D9">
        <w:rPr>
          <w:b/>
          <w:color w:val="0D0D0D"/>
          <w:sz w:val="24"/>
          <w:szCs w:val="24"/>
          <w:highlight w:val="white"/>
        </w:rPr>
        <w:t xml:space="preserve">Figure 9: </w:t>
      </w:r>
      <w:r w:rsidRPr="00E677D9">
        <w:rPr>
          <w:i/>
          <w:color w:val="0D0D0D"/>
          <w:sz w:val="24"/>
          <w:szCs w:val="24"/>
          <w:highlight w:val="white"/>
        </w:rPr>
        <w:t>Polar Bar Chart Representing Aggregate Severity of AI Challenges</w:t>
      </w:r>
      <w:bookmarkStart w:id="17" w:name="_bsgko8heu9xm" w:colFirst="0" w:colLast="0"/>
      <w:bookmarkEnd w:id="17"/>
    </w:p>
    <w:p w14:paraId="238BA5FA"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i/>
          <w:color w:val="0D0D0D"/>
          <w:sz w:val="24"/>
          <w:szCs w:val="24"/>
          <w:highlight w:val="white"/>
        </w:rPr>
      </w:pPr>
      <w:r w:rsidRPr="00E677D9">
        <w:rPr>
          <w:color w:val="0D0D0D"/>
          <w:sz w:val="24"/>
          <w:szCs w:val="24"/>
          <w:highlight w:val="white"/>
        </w:rPr>
        <w:t xml:space="preserve">The consistent elevation of regulatory compliance and data privacy as primary challenges across stakeholders reflects ongoing concerns over HIPAA and GDPR compliance in AI integration. The notable emphasis on </w:t>
      </w:r>
      <w:r w:rsidRPr="00E677D9">
        <w:rPr>
          <w:i/>
          <w:color w:val="0D0D0D"/>
          <w:sz w:val="24"/>
          <w:szCs w:val="24"/>
          <w:highlight w:val="white"/>
        </w:rPr>
        <w:t>Lack of Skilled Workforce</w:t>
      </w:r>
      <w:r w:rsidRPr="00E677D9">
        <w:rPr>
          <w:color w:val="0D0D0D"/>
          <w:sz w:val="24"/>
          <w:szCs w:val="24"/>
          <w:highlight w:val="white"/>
        </w:rPr>
        <w:t>, particularly by hospitals, indicates systemic capacity issues in cybersecurity readiness. The variation in perceptions of technical barriers like algorithmic bias and model explainability suggests these are more acute concerns within AI development circles than end-user institutions.</w:t>
      </w:r>
    </w:p>
    <w:p w14:paraId="3F6B1CF2"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r w:rsidRPr="00E677D9">
        <w:rPr>
          <w:color w:val="0D0D0D"/>
          <w:sz w:val="24"/>
          <w:szCs w:val="24"/>
          <w:highlight w:val="white"/>
        </w:rPr>
        <w:lastRenderedPageBreak/>
        <w:t>These insights emphasize the need for regulatory clarity, targeted workforce development, and more interpretable AI systems if AI/ML cybersecurity models are to be successfully implemented at scale in healthcare contexts.</w:t>
      </w:r>
    </w:p>
    <w:p w14:paraId="0B424171" w14:textId="77777777" w:rsidR="00557214" w:rsidRPr="00E677D9" w:rsidRDefault="00B62E06" w:rsidP="00E677D9">
      <w:pPr>
        <w:pStyle w:val="Heading3"/>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0" w:after="240" w:line="240" w:lineRule="auto"/>
        <w:rPr>
          <w:b/>
          <w:color w:val="0D0D0D"/>
          <w:sz w:val="24"/>
          <w:szCs w:val="24"/>
          <w:highlight w:val="white"/>
        </w:rPr>
      </w:pPr>
      <w:bookmarkStart w:id="18" w:name="_6ta87ch87zjl" w:colFirst="0" w:colLast="0"/>
      <w:bookmarkEnd w:id="18"/>
      <w:r w:rsidRPr="00E677D9">
        <w:rPr>
          <w:b/>
          <w:color w:val="0D0D0D"/>
          <w:sz w:val="24"/>
          <w:szCs w:val="24"/>
          <w:highlight w:val="white"/>
        </w:rPr>
        <w:t>Evaluate the potential benefits and effectiveness of employing AI and Machine Learning for proactive threat detection</w:t>
      </w:r>
    </w:p>
    <w:p w14:paraId="07D53125"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r w:rsidRPr="00E677D9">
        <w:rPr>
          <w:color w:val="0D0D0D"/>
          <w:sz w:val="24"/>
          <w:szCs w:val="24"/>
          <w:highlight w:val="white"/>
        </w:rPr>
        <w:t>The final objective of this study evaluates the real-world benefits of employing AI and machine learning in mitigating cybersecurity risks. By comparing breach costs and incident response times between healthcare organizations with AI-driven security automation and those without, this section quantifies the operational effectiveness and financial efficiency of proactive threat detection systems.</w:t>
      </w:r>
    </w:p>
    <w:p w14:paraId="18CB088C" w14:textId="77777777" w:rsidR="00557214" w:rsidRPr="00E677D9" w:rsidRDefault="00B62E06" w:rsidP="00E677D9">
      <w:pPr>
        <w:pStyle w:val="Heading3"/>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0" w:after="240" w:line="240" w:lineRule="auto"/>
        <w:rPr>
          <w:b/>
          <w:color w:val="0D0D0D"/>
          <w:sz w:val="24"/>
          <w:szCs w:val="24"/>
          <w:highlight w:val="white"/>
        </w:rPr>
      </w:pPr>
      <w:bookmarkStart w:id="19" w:name="_3kg9pt3srkis" w:colFirst="0" w:colLast="0"/>
      <w:bookmarkEnd w:id="19"/>
      <w:r w:rsidRPr="00E677D9">
        <w:rPr>
          <w:b/>
          <w:color w:val="0D0D0D"/>
          <w:sz w:val="24"/>
          <w:szCs w:val="24"/>
          <w:highlight w:val="white"/>
        </w:rPr>
        <w:t>Impact of AI on Breach Cost and Response Time</w:t>
      </w:r>
    </w:p>
    <w:p w14:paraId="4013ADDD"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r w:rsidRPr="00E677D9">
        <w:rPr>
          <w:color w:val="0D0D0D"/>
          <w:sz w:val="24"/>
          <w:szCs w:val="24"/>
          <w:highlight w:val="white"/>
        </w:rPr>
        <w:t xml:space="preserve">A comparative statistical analysis revealed that organizations employing AI experienced markedly reduced costs and faster response times. As presented in </w:t>
      </w:r>
      <w:r w:rsidRPr="00E677D9">
        <w:rPr>
          <w:b/>
          <w:color w:val="0D0D0D"/>
          <w:sz w:val="24"/>
          <w:szCs w:val="24"/>
          <w:highlight w:val="white"/>
        </w:rPr>
        <w:t>Table 5</w:t>
      </w:r>
      <w:r w:rsidRPr="00E677D9">
        <w:rPr>
          <w:color w:val="0D0D0D"/>
          <w:sz w:val="24"/>
          <w:szCs w:val="24"/>
          <w:highlight w:val="white"/>
        </w:rPr>
        <w:t>, the average breach cost for AI adopters was $7.8 million, significantly lower than the $10.6 million observed among non-AI adopters. Similarly, the average incident response time for AI adopters was 190 days, compared to 300 days for those without AI deployment. Both differences were statistically significant (p &lt; .01), confirming the efficacy of AI in reducing cyberattack impact.</w:t>
      </w:r>
    </w:p>
    <w:p w14:paraId="4E01CA4E"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i/>
          <w:color w:val="0D0D0D"/>
          <w:sz w:val="24"/>
          <w:szCs w:val="24"/>
          <w:highlight w:val="white"/>
        </w:rPr>
      </w:pPr>
      <w:r w:rsidRPr="00E677D9">
        <w:rPr>
          <w:b/>
          <w:color w:val="0D0D0D"/>
          <w:sz w:val="24"/>
          <w:szCs w:val="24"/>
          <w:highlight w:val="white"/>
        </w:rPr>
        <w:t xml:space="preserve">Table 5: </w:t>
      </w:r>
      <w:r w:rsidRPr="00E677D9">
        <w:rPr>
          <w:i/>
          <w:color w:val="0D0D0D"/>
          <w:sz w:val="24"/>
          <w:szCs w:val="24"/>
          <w:highlight w:val="white"/>
        </w:rPr>
        <w:t>Comparative Metrics for AI vs. Non-AI Adoption in Healthcare Cybersecurity</w:t>
      </w:r>
    </w:p>
    <w:tbl>
      <w:tblPr>
        <w:tblStyle w:val="TableGrid"/>
        <w:tblW w:w="8185" w:type="dxa"/>
        <w:tblLayout w:type="fixed"/>
        <w:tblLook w:val="0600" w:firstRow="0" w:lastRow="0" w:firstColumn="0" w:lastColumn="0" w:noHBand="1" w:noVBand="1"/>
      </w:tblPr>
      <w:tblGrid>
        <w:gridCol w:w="2405"/>
        <w:gridCol w:w="1820"/>
        <w:gridCol w:w="2430"/>
        <w:gridCol w:w="1530"/>
      </w:tblGrid>
      <w:tr w:rsidR="00557214" w:rsidRPr="00E677D9" w14:paraId="72044724" w14:textId="77777777" w:rsidTr="00653AF3">
        <w:trPr>
          <w:trHeight w:val="410"/>
        </w:trPr>
        <w:tc>
          <w:tcPr>
            <w:tcW w:w="2405" w:type="dxa"/>
          </w:tcPr>
          <w:p w14:paraId="35BAF611"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jc w:val="center"/>
              <w:rPr>
                <w:color w:val="0D0D0D"/>
                <w:sz w:val="24"/>
                <w:szCs w:val="24"/>
                <w:highlight w:val="white"/>
              </w:rPr>
            </w:pPr>
            <w:r w:rsidRPr="00E677D9">
              <w:rPr>
                <w:b/>
                <w:color w:val="0D0D0D"/>
                <w:sz w:val="24"/>
                <w:szCs w:val="24"/>
                <w:highlight w:val="white"/>
              </w:rPr>
              <w:t>Metric</w:t>
            </w:r>
          </w:p>
        </w:tc>
        <w:tc>
          <w:tcPr>
            <w:tcW w:w="1820" w:type="dxa"/>
          </w:tcPr>
          <w:p w14:paraId="607EBAF2"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jc w:val="center"/>
              <w:rPr>
                <w:color w:val="0D0D0D"/>
                <w:sz w:val="24"/>
                <w:szCs w:val="24"/>
                <w:highlight w:val="white"/>
              </w:rPr>
            </w:pPr>
            <w:r w:rsidRPr="00E677D9">
              <w:rPr>
                <w:b/>
                <w:color w:val="0D0D0D"/>
                <w:sz w:val="24"/>
                <w:szCs w:val="24"/>
                <w:highlight w:val="white"/>
              </w:rPr>
              <w:t>AI Adopters</w:t>
            </w:r>
          </w:p>
        </w:tc>
        <w:tc>
          <w:tcPr>
            <w:tcW w:w="2430" w:type="dxa"/>
          </w:tcPr>
          <w:p w14:paraId="78D6CEC5"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jc w:val="center"/>
              <w:rPr>
                <w:color w:val="0D0D0D"/>
                <w:sz w:val="24"/>
                <w:szCs w:val="24"/>
                <w:highlight w:val="white"/>
              </w:rPr>
            </w:pPr>
            <w:r w:rsidRPr="00E677D9">
              <w:rPr>
                <w:b/>
                <w:color w:val="0D0D0D"/>
                <w:sz w:val="24"/>
                <w:szCs w:val="24"/>
                <w:highlight w:val="white"/>
              </w:rPr>
              <w:t>Non-AI Adopters</w:t>
            </w:r>
          </w:p>
        </w:tc>
        <w:tc>
          <w:tcPr>
            <w:tcW w:w="1530" w:type="dxa"/>
          </w:tcPr>
          <w:p w14:paraId="63C75B3E"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jc w:val="center"/>
              <w:rPr>
                <w:color w:val="0D0D0D"/>
                <w:sz w:val="24"/>
                <w:szCs w:val="24"/>
                <w:highlight w:val="white"/>
              </w:rPr>
            </w:pPr>
            <w:r w:rsidRPr="00E677D9">
              <w:rPr>
                <w:b/>
                <w:color w:val="0D0D0D"/>
                <w:sz w:val="24"/>
                <w:szCs w:val="24"/>
                <w:highlight w:val="white"/>
              </w:rPr>
              <w:t>p-value</w:t>
            </w:r>
          </w:p>
        </w:tc>
      </w:tr>
      <w:tr w:rsidR="00557214" w:rsidRPr="00E677D9" w14:paraId="373B6DE2" w14:textId="77777777" w:rsidTr="00653AF3">
        <w:trPr>
          <w:trHeight w:val="410"/>
        </w:trPr>
        <w:tc>
          <w:tcPr>
            <w:tcW w:w="2405" w:type="dxa"/>
          </w:tcPr>
          <w:p w14:paraId="292A2651"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Average Breach Cost (Million $)</w:t>
            </w:r>
          </w:p>
        </w:tc>
        <w:tc>
          <w:tcPr>
            <w:tcW w:w="1820" w:type="dxa"/>
          </w:tcPr>
          <w:p w14:paraId="510CBD2D"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7.8</w:t>
            </w:r>
          </w:p>
        </w:tc>
        <w:tc>
          <w:tcPr>
            <w:tcW w:w="2430" w:type="dxa"/>
          </w:tcPr>
          <w:p w14:paraId="70C259B0"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10.6</w:t>
            </w:r>
          </w:p>
        </w:tc>
        <w:tc>
          <w:tcPr>
            <w:tcW w:w="1530" w:type="dxa"/>
          </w:tcPr>
          <w:p w14:paraId="6AF795D1"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0.0001</w:t>
            </w:r>
          </w:p>
        </w:tc>
      </w:tr>
      <w:tr w:rsidR="00557214" w:rsidRPr="00E677D9" w14:paraId="040D3259" w14:textId="77777777" w:rsidTr="00653AF3">
        <w:trPr>
          <w:trHeight w:val="410"/>
        </w:trPr>
        <w:tc>
          <w:tcPr>
            <w:tcW w:w="2405" w:type="dxa"/>
          </w:tcPr>
          <w:p w14:paraId="7DF353C9"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Average Response Time (Days)</w:t>
            </w:r>
          </w:p>
        </w:tc>
        <w:tc>
          <w:tcPr>
            <w:tcW w:w="1820" w:type="dxa"/>
          </w:tcPr>
          <w:p w14:paraId="7AE23A4E"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190</w:t>
            </w:r>
          </w:p>
        </w:tc>
        <w:tc>
          <w:tcPr>
            <w:tcW w:w="2430" w:type="dxa"/>
          </w:tcPr>
          <w:p w14:paraId="53E3BEF1"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300</w:t>
            </w:r>
          </w:p>
        </w:tc>
        <w:tc>
          <w:tcPr>
            <w:tcW w:w="1530" w:type="dxa"/>
          </w:tcPr>
          <w:p w14:paraId="63210016"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rPr>
                <w:color w:val="0D0D0D"/>
                <w:sz w:val="24"/>
                <w:szCs w:val="24"/>
                <w:highlight w:val="white"/>
              </w:rPr>
            </w:pPr>
            <w:r w:rsidRPr="00E677D9">
              <w:rPr>
                <w:color w:val="0D0D0D"/>
                <w:sz w:val="24"/>
                <w:szCs w:val="24"/>
                <w:highlight w:val="white"/>
              </w:rPr>
              <w:t>0.0000</w:t>
            </w:r>
          </w:p>
        </w:tc>
      </w:tr>
    </w:tbl>
    <w:p w14:paraId="09513875"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r w:rsidRPr="00E677D9">
        <w:rPr>
          <w:color w:val="0D0D0D"/>
          <w:sz w:val="24"/>
          <w:szCs w:val="24"/>
          <w:highlight w:val="white"/>
        </w:rPr>
        <w:t xml:space="preserve">These results are visualized in </w:t>
      </w:r>
      <w:r w:rsidRPr="00E677D9">
        <w:rPr>
          <w:b/>
          <w:color w:val="0D0D0D"/>
          <w:sz w:val="24"/>
          <w:szCs w:val="24"/>
          <w:highlight w:val="white"/>
        </w:rPr>
        <w:t>Figure 10</w:t>
      </w:r>
      <w:r w:rsidRPr="00E677D9">
        <w:rPr>
          <w:color w:val="0D0D0D"/>
          <w:sz w:val="24"/>
          <w:szCs w:val="24"/>
          <w:highlight w:val="white"/>
        </w:rPr>
        <w:t>, where a boxplot illustrates the distribution of breach costs. The lower median and compressed spread in the AI group indicate both reduced costs and greater consistency in outcomes.</w:t>
      </w:r>
    </w:p>
    <w:p w14:paraId="0BEF95DB"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jc w:val="center"/>
        <w:rPr>
          <w:color w:val="0D0D0D"/>
          <w:sz w:val="24"/>
          <w:szCs w:val="24"/>
          <w:highlight w:val="white"/>
        </w:rPr>
      </w:pPr>
      <w:r w:rsidRPr="00E677D9">
        <w:rPr>
          <w:noProof/>
          <w:color w:val="0D0D0D"/>
          <w:sz w:val="24"/>
          <w:szCs w:val="24"/>
          <w:highlight w:val="white"/>
          <w:lang w:val="en-US"/>
        </w:rPr>
        <w:lastRenderedPageBreak/>
        <w:drawing>
          <wp:inline distT="114300" distB="114300" distL="114300" distR="114300" wp14:anchorId="4D8B1C99" wp14:editId="6CD4F6F1">
            <wp:extent cx="6172422" cy="4114948"/>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6172422" cy="4114948"/>
                    </a:xfrm>
                    <a:prstGeom prst="rect">
                      <a:avLst/>
                    </a:prstGeom>
                    <a:ln/>
                  </pic:spPr>
                </pic:pic>
              </a:graphicData>
            </a:graphic>
          </wp:inline>
        </w:drawing>
      </w:r>
    </w:p>
    <w:p w14:paraId="0154B2A0" w14:textId="77777777" w:rsidR="00557214" w:rsidRPr="00E677D9" w:rsidRDefault="00653AF3"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jc w:val="center"/>
        <w:rPr>
          <w:i/>
          <w:color w:val="0D0D0D"/>
          <w:sz w:val="24"/>
          <w:szCs w:val="24"/>
          <w:highlight w:val="white"/>
        </w:rPr>
      </w:pPr>
      <w:r w:rsidRPr="00E677D9">
        <w:rPr>
          <w:b/>
          <w:color w:val="0D0D0D"/>
          <w:sz w:val="24"/>
          <w:szCs w:val="24"/>
          <w:highlight w:val="white"/>
        </w:rPr>
        <w:t xml:space="preserve">Figure 10: </w:t>
      </w:r>
      <w:r w:rsidR="00B62E06" w:rsidRPr="00E677D9">
        <w:rPr>
          <w:i/>
          <w:color w:val="0D0D0D"/>
          <w:sz w:val="24"/>
          <w:szCs w:val="24"/>
          <w:highlight w:val="white"/>
        </w:rPr>
        <w:t>Boxplot Comparing Breach Costs in AI vs. Non-AI Healthcare Organiz</w:t>
      </w:r>
      <w:r w:rsidRPr="00E677D9">
        <w:rPr>
          <w:i/>
          <w:color w:val="0D0D0D"/>
          <w:sz w:val="24"/>
          <w:szCs w:val="24"/>
          <w:highlight w:val="white"/>
        </w:rPr>
        <w:t>ations</w:t>
      </w:r>
    </w:p>
    <w:p w14:paraId="29556337"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r w:rsidRPr="00E677D9">
        <w:rPr>
          <w:color w:val="0D0D0D"/>
          <w:sz w:val="24"/>
          <w:szCs w:val="24"/>
          <w:highlight w:val="white"/>
        </w:rPr>
        <w:t xml:space="preserve">A similar pattern is evident in </w:t>
      </w:r>
      <w:r w:rsidRPr="00E677D9">
        <w:rPr>
          <w:b/>
          <w:color w:val="0D0D0D"/>
          <w:sz w:val="24"/>
          <w:szCs w:val="24"/>
          <w:highlight w:val="white"/>
        </w:rPr>
        <w:t>Figure 11</w:t>
      </w:r>
      <w:r w:rsidRPr="00E677D9">
        <w:rPr>
          <w:color w:val="0D0D0D"/>
          <w:sz w:val="24"/>
          <w:szCs w:val="24"/>
          <w:highlight w:val="white"/>
        </w:rPr>
        <w:t>, which shows incident response times. The substantial gap between groups further emphasizes the efficiency gains enabled by AI-enhanced systems, which are critical in reducing the breach lifecycle and minimizing data exposure.</w:t>
      </w:r>
    </w:p>
    <w:p w14:paraId="4BCC0C93"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r w:rsidRPr="00E677D9">
        <w:rPr>
          <w:noProof/>
          <w:color w:val="0D0D0D"/>
          <w:sz w:val="24"/>
          <w:szCs w:val="24"/>
          <w:highlight w:val="white"/>
          <w:lang w:val="en-US"/>
        </w:rPr>
        <w:lastRenderedPageBreak/>
        <w:drawing>
          <wp:inline distT="114300" distB="114300" distL="114300" distR="114300" wp14:anchorId="411261D4" wp14:editId="793FD99B">
            <wp:extent cx="6476444" cy="4317629"/>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8"/>
                    <a:srcRect/>
                    <a:stretch>
                      <a:fillRect/>
                    </a:stretch>
                  </pic:blipFill>
                  <pic:spPr>
                    <a:xfrm>
                      <a:off x="0" y="0"/>
                      <a:ext cx="6476444" cy="4317629"/>
                    </a:xfrm>
                    <a:prstGeom prst="rect">
                      <a:avLst/>
                    </a:prstGeom>
                    <a:ln/>
                  </pic:spPr>
                </pic:pic>
              </a:graphicData>
            </a:graphic>
          </wp:inline>
        </w:drawing>
      </w:r>
    </w:p>
    <w:p w14:paraId="6E0B2F57" w14:textId="77777777" w:rsidR="006154CB" w:rsidRPr="00E677D9" w:rsidRDefault="00653AF3"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r w:rsidRPr="00E677D9">
        <w:rPr>
          <w:b/>
          <w:color w:val="0D0D0D"/>
          <w:sz w:val="24"/>
          <w:szCs w:val="24"/>
          <w:highlight w:val="white"/>
        </w:rPr>
        <w:t xml:space="preserve">Figure 11: </w:t>
      </w:r>
      <w:r w:rsidR="00B62E06" w:rsidRPr="00E677D9">
        <w:rPr>
          <w:i/>
          <w:color w:val="0D0D0D"/>
          <w:sz w:val="24"/>
          <w:szCs w:val="24"/>
          <w:highlight w:val="white"/>
        </w:rPr>
        <w:t>Boxplot Comparing Incident Response Times in AI vs. Non-AI Settings</w:t>
      </w:r>
      <w:r w:rsidR="00B62E06" w:rsidRPr="00E677D9">
        <w:rPr>
          <w:i/>
          <w:color w:val="0D0D0D"/>
          <w:sz w:val="24"/>
          <w:szCs w:val="24"/>
          <w:highlight w:val="white"/>
        </w:rPr>
        <w:br/>
      </w:r>
      <w:bookmarkStart w:id="20" w:name="_kqsw0j39nwn1" w:colFirst="0" w:colLast="0"/>
      <w:bookmarkEnd w:id="20"/>
      <w:r w:rsidR="00B62E06" w:rsidRPr="00E677D9">
        <w:rPr>
          <w:color w:val="0D0D0D"/>
          <w:sz w:val="24"/>
          <w:szCs w:val="24"/>
          <w:highlight w:val="white"/>
        </w:rPr>
        <w:t xml:space="preserve">The significant reduction in both breach-related costs and response durations supports the strategic value of AI and machine learning in healthcare cybersecurity. AI adopters not only experienced a 26% cost reduction but also resolved incidents approximately 36% faster. These findings align with earlier discussions highlighting the need for predictive, automated threat detection mechanisms capable of counteracting the increasing sophistication of cyberattacks. </w:t>
      </w:r>
    </w:p>
    <w:p w14:paraId="3E240D26"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b/>
          <w:color w:val="0D0D0D"/>
          <w:sz w:val="24"/>
          <w:szCs w:val="24"/>
          <w:highlight w:val="white"/>
        </w:rPr>
      </w:pPr>
      <w:r w:rsidRPr="00E677D9">
        <w:rPr>
          <w:b/>
          <w:color w:val="0D0D0D"/>
          <w:sz w:val="24"/>
          <w:szCs w:val="24"/>
          <w:highlight w:val="white"/>
        </w:rPr>
        <w:t>Discussion</w:t>
      </w:r>
    </w:p>
    <w:p w14:paraId="08193E0E"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r w:rsidRPr="00E677D9">
        <w:rPr>
          <w:color w:val="0D0D0D"/>
          <w:sz w:val="24"/>
          <w:szCs w:val="24"/>
          <w:highlight w:val="white"/>
        </w:rPr>
        <w:t xml:space="preserve">The findings of this study reinforce and extend existing literature that underscores the heightened vulnerability of the healthcare sector to cyber threats. The predominance of internal actors, responsible for 70% of confirmed breaches, and the high frequency of incidents linked to human error and privilege misuse—comprising 45% and 25% of breaches respectively—demonstrate that organizational vulnerabilities often stem from within institutional boundaries rather than from external threats (Gupta et al., 2025; Obi, 2024). These findings parallel earlier assertions by </w:t>
      </w:r>
      <w:proofErr w:type="spellStart"/>
      <w:r w:rsidRPr="00E677D9">
        <w:rPr>
          <w:color w:val="0D0D0D"/>
          <w:sz w:val="24"/>
          <w:szCs w:val="24"/>
          <w:highlight w:val="white"/>
        </w:rPr>
        <w:t>Okika</w:t>
      </w:r>
      <w:proofErr w:type="spellEnd"/>
      <w:r w:rsidRPr="00E677D9">
        <w:rPr>
          <w:color w:val="0D0D0D"/>
          <w:sz w:val="24"/>
          <w:szCs w:val="24"/>
          <w:highlight w:val="white"/>
        </w:rPr>
        <w:t xml:space="preserve"> et al. (2025) and Osborne (2022), who highlighted insider threats and negligence as critical weaknesses in healthcare cybersecurity frameworks. Such results necessitate a shift in focus from solely fortifying external </w:t>
      </w:r>
      <w:proofErr w:type="spellStart"/>
      <w:r w:rsidRPr="00E677D9">
        <w:rPr>
          <w:color w:val="0D0D0D"/>
          <w:sz w:val="24"/>
          <w:szCs w:val="24"/>
          <w:highlight w:val="white"/>
        </w:rPr>
        <w:t>defenses</w:t>
      </w:r>
      <w:proofErr w:type="spellEnd"/>
      <w:r w:rsidRPr="00E677D9">
        <w:rPr>
          <w:color w:val="0D0D0D"/>
          <w:sz w:val="24"/>
          <w:szCs w:val="24"/>
          <w:highlight w:val="white"/>
        </w:rPr>
        <w:t xml:space="preserve"> to enhancing internal controls, including access governance, </w:t>
      </w:r>
      <w:proofErr w:type="spellStart"/>
      <w:r w:rsidRPr="00E677D9">
        <w:rPr>
          <w:color w:val="0D0D0D"/>
          <w:sz w:val="24"/>
          <w:szCs w:val="24"/>
          <w:highlight w:val="white"/>
        </w:rPr>
        <w:t>behavioral</w:t>
      </w:r>
      <w:proofErr w:type="spellEnd"/>
      <w:r w:rsidRPr="00E677D9">
        <w:rPr>
          <w:color w:val="0D0D0D"/>
          <w:sz w:val="24"/>
          <w:szCs w:val="24"/>
          <w:highlight w:val="white"/>
        </w:rPr>
        <w:t xml:space="preserve"> monitoring, and staff training. The evidence from this study </w:t>
      </w:r>
      <w:r w:rsidRPr="00E677D9">
        <w:rPr>
          <w:color w:val="0D0D0D"/>
          <w:sz w:val="24"/>
          <w:szCs w:val="24"/>
          <w:highlight w:val="white"/>
        </w:rPr>
        <w:lastRenderedPageBreak/>
        <w:t xml:space="preserve">aligns with Tariq (2024), who advocates for a proactive security approach grounded in </w:t>
      </w:r>
      <w:proofErr w:type="spellStart"/>
      <w:r w:rsidRPr="00E677D9">
        <w:rPr>
          <w:color w:val="0D0D0D"/>
          <w:sz w:val="24"/>
          <w:szCs w:val="24"/>
          <w:highlight w:val="white"/>
        </w:rPr>
        <w:t>behavioral</w:t>
      </w:r>
      <w:proofErr w:type="spellEnd"/>
      <w:r w:rsidRPr="00E677D9">
        <w:rPr>
          <w:color w:val="0D0D0D"/>
          <w:sz w:val="24"/>
          <w:szCs w:val="24"/>
          <w:highlight w:val="white"/>
        </w:rPr>
        <w:t xml:space="preserve"> anomaly detection and internal threat </w:t>
      </w:r>
      <w:proofErr w:type="spellStart"/>
      <w:r w:rsidRPr="00E677D9">
        <w:rPr>
          <w:color w:val="0D0D0D"/>
          <w:sz w:val="24"/>
          <w:szCs w:val="24"/>
          <w:highlight w:val="white"/>
        </w:rPr>
        <w:t>modeling</w:t>
      </w:r>
      <w:proofErr w:type="spellEnd"/>
      <w:r w:rsidRPr="00E677D9">
        <w:rPr>
          <w:color w:val="0D0D0D"/>
          <w:sz w:val="24"/>
          <w:szCs w:val="24"/>
          <w:highlight w:val="white"/>
        </w:rPr>
        <w:t>.</w:t>
      </w:r>
    </w:p>
    <w:p w14:paraId="4B6E4AFE"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r w:rsidRPr="00E677D9">
        <w:rPr>
          <w:color w:val="0D0D0D"/>
          <w:sz w:val="24"/>
          <w:szCs w:val="24"/>
          <w:highlight w:val="white"/>
        </w:rPr>
        <w:t>The successful application of Random Forest models to structured traffic data further validates the operational feasibility of AI and ML within healthcare security environments. The model's accuracy (92.7%) and balanced precision-recall profile support the assertions made by Sarker (2022) and Abbas et al. (2025) that AI-driven systems are capable of detecting sophisticated and emerging threats that evade traditional signature-based systems. These results also correspond with empirical implementations documented by Kawamoto et al. (2023) and Cleveland Clinic (2025), where AI-enhanced systems enabled real-time anomaly detection with minimized false positives. The robustness of the classifier across all performance metrics, including a high F1-score of 0.902, highlights not only technical viability but also real-world relevance in environments requiring consistent, low-latency threat response capabilities.</w:t>
      </w:r>
    </w:p>
    <w:p w14:paraId="613FDD0B"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r w:rsidRPr="00E677D9">
        <w:rPr>
          <w:color w:val="0D0D0D"/>
          <w:sz w:val="24"/>
          <w:szCs w:val="24"/>
          <w:highlight w:val="white"/>
        </w:rPr>
        <w:t xml:space="preserve">However, the benefits of AI implementation must be contextualized within the ecosystem of operational and regulatory challenges confronting healthcare organizations. The elevated severity of challenges such as regulatory compliance (mean Likert score 4.53) and data privacy concerns (4.33) observed in this study are consistent with the concerns raised by </w:t>
      </w:r>
      <w:proofErr w:type="spellStart"/>
      <w:r w:rsidRPr="00E677D9">
        <w:rPr>
          <w:color w:val="0D0D0D"/>
          <w:sz w:val="24"/>
          <w:szCs w:val="24"/>
          <w:highlight w:val="white"/>
        </w:rPr>
        <w:t>Tschider</w:t>
      </w:r>
      <w:proofErr w:type="spellEnd"/>
      <w:r w:rsidRPr="00E677D9">
        <w:rPr>
          <w:color w:val="0D0D0D"/>
          <w:sz w:val="24"/>
          <w:szCs w:val="24"/>
          <w:highlight w:val="white"/>
        </w:rPr>
        <w:t xml:space="preserve"> et al. (2024) and Mohamed (2023), who argue that the deployment of AI technologies is often constrained by legal and ethical frameworks. Hospitals, in particular, rated workforce shortages and regulatory pressure more severely than technical concerns like model explainability or algorithmic bias, mirroring </w:t>
      </w:r>
      <w:proofErr w:type="spellStart"/>
      <w:r w:rsidRPr="00E677D9">
        <w:rPr>
          <w:color w:val="0D0D0D"/>
          <w:sz w:val="24"/>
          <w:szCs w:val="24"/>
          <w:highlight w:val="white"/>
        </w:rPr>
        <w:t>Aldoseri</w:t>
      </w:r>
      <w:proofErr w:type="spellEnd"/>
      <w:r w:rsidRPr="00E677D9">
        <w:rPr>
          <w:color w:val="0D0D0D"/>
          <w:sz w:val="24"/>
          <w:szCs w:val="24"/>
          <w:highlight w:val="white"/>
        </w:rPr>
        <w:t xml:space="preserve"> et al. (2023)’s assertion that data quality and expertise gaps can undermine AI readiness. This divergence in stakeholder perspectives, as visualized through comparative heatmaps and dot plots, emphasizes the importance of tailoring AI integration strategies to institutional roles, needs, and regulatory responsibilities.</w:t>
      </w:r>
    </w:p>
    <w:p w14:paraId="6A0FE8FA"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r w:rsidRPr="00E677D9">
        <w:rPr>
          <w:color w:val="0D0D0D"/>
          <w:sz w:val="24"/>
          <w:szCs w:val="24"/>
          <w:highlight w:val="white"/>
        </w:rPr>
        <w:t xml:space="preserve">Notably, AI’s effectiveness in mitigating financial and operational risks was validated through statistically significant reductions in both breach costs and incident response times. AI adopters experienced an average cost reduction of 26% and resolved breaches 36% faster compared to non-adopters—results that substantiate claims made by IBM (2023) and DeBeck (2021) regarding the economic efficiency of automated threat detection systems. These outcomes provide quantitative support for the theoretical benefits outlined by </w:t>
      </w:r>
      <w:proofErr w:type="spellStart"/>
      <w:r w:rsidRPr="00E677D9">
        <w:rPr>
          <w:color w:val="0D0D0D"/>
          <w:sz w:val="24"/>
          <w:szCs w:val="24"/>
          <w:highlight w:val="white"/>
        </w:rPr>
        <w:t>Steimers</w:t>
      </w:r>
      <w:proofErr w:type="spellEnd"/>
      <w:r w:rsidRPr="00E677D9">
        <w:rPr>
          <w:color w:val="0D0D0D"/>
          <w:sz w:val="24"/>
          <w:szCs w:val="24"/>
          <w:highlight w:val="white"/>
        </w:rPr>
        <w:t xml:space="preserve"> and Schneider (2022), confirming that AI deployment can compress breach lifecycles and reduce exposure to long-term operational disruptions. This supports the arguments of Jimmy (2024) and Arefin and Simcox (2024) that AI not only enhances predictive accuracy but also improves resilience, allowing healthcare institutions to maintain continuity amidst escalating cyber threats.</w:t>
      </w:r>
    </w:p>
    <w:p w14:paraId="7F69B3EE" w14:textId="77777777" w:rsidR="00557214" w:rsidRPr="00E677D9" w:rsidRDefault="000A501F"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r w:rsidRPr="00E677D9">
        <w:rPr>
          <w:color w:val="0D0D0D"/>
          <w:sz w:val="24"/>
          <w:szCs w:val="24"/>
          <w:highlight w:val="white"/>
        </w:rPr>
        <w:t>These</w:t>
      </w:r>
      <w:r w:rsidR="00B62E06" w:rsidRPr="00E677D9">
        <w:rPr>
          <w:color w:val="0D0D0D"/>
          <w:sz w:val="24"/>
          <w:szCs w:val="24"/>
          <w:highlight w:val="white"/>
        </w:rPr>
        <w:t xml:space="preserve"> findings present a compelling case for healthcare institutions to move beyond reactive security paradigms and embrace predictive AI-driven models. However, successful implementation will require sustained investment in workforce capacity, data governance, and ethical compliance frameworks. As Bala et al. (2024) and Salama et al. (2024) note, the future of cybersecurity in healthcare lies not just in technological </w:t>
      </w:r>
      <w:r w:rsidR="00B62E06" w:rsidRPr="00E677D9">
        <w:rPr>
          <w:color w:val="0D0D0D"/>
          <w:sz w:val="24"/>
          <w:szCs w:val="24"/>
          <w:highlight w:val="white"/>
        </w:rPr>
        <w:lastRenderedPageBreak/>
        <w:t>sophistication, but in the sector's ability to adapt to emerging adversarial tactics while maintaining the trust and safety of the patients it serves.</w:t>
      </w:r>
    </w:p>
    <w:p w14:paraId="1528ADFF" w14:textId="77777777" w:rsidR="00557214" w:rsidRPr="00E677D9" w:rsidRDefault="00E677D9"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b/>
          <w:color w:val="0D0D0D"/>
          <w:sz w:val="24"/>
          <w:szCs w:val="24"/>
          <w:highlight w:val="white"/>
        </w:rPr>
      </w:pPr>
      <w:r>
        <w:rPr>
          <w:b/>
          <w:color w:val="0D0D0D"/>
          <w:sz w:val="24"/>
          <w:szCs w:val="24"/>
          <w:highlight w:val="white"/>
        </w:rPr>
        <w:t>5.</w:t>
      </w:r>
      <w:r>
        <w:rPr>
          <w:b/>
          <w:color w:val="0D0D0D"/>
          <w:sz w:val="24"/>
          <w:szCs w:val="24"/>
          <w:highlight w:val="white"/>
        </w:rPr>
        <w:tab/>
      </w:r>
      <w:r w:rsidRPr="00E677D9">
        <w:rPr>
          <w:b/>
          <w:color w:val="0D0D0D"/>
          <w:sz w:val="24"/>
          <w:szCs w:val="24"/>
          <w:highlight w:val="white"/>
        </w:rPr>
        <w:t>CONCLUSION AND RECOMMENDATION</w:t>
      </w:r>
      <w:r>
        <w:rPr>
          <w:b/>
          <w:color w:val="0D0D0D"/>
          <w:sz w:val="24"/>
          <w:szCs w:val="24"/>
          <w:highlight w:val="white"/>
        </w:rPr>
        <w:t>S</w:t>
      </w:r>
    </w:p>
    <w:p w14:paraId="54A7BEEA"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r w:rsidRPr="00E677D9">
        <w:rPr>
          <w:color w:val="0D0D0D"/>
          <w:sz w:val="24"/>
          <w:szCs w:val="24"/>
          <w:highlight w:val="white"/>
        </w:rPr>
        <w:t xml:space="preserve">This study affirms that AI and machine learning are not only viable but essential tools for advancing predictive cybersecurity risk </w:t>
      </w:r>
      <w:proofErr w:type="spellStart"/>
      <w:r w:rsidRPr="00E677D9">
        <w:rPr>
          <w:color w:val="0D0D0D"/>
          <w:sz w:val="24"/>
          <w:szCs w:val="24"/>
          <w:highlight w:val="white"/>
        </w:rPr>
        <w:t>modeling</w:t>
      </w:r>
      <w:proofErr w:type="spellEnd"/>
      <w:r w:rsidRPr="00E677D9">
        <w:rPr>
          <w:color w:val="0D0D0D"/>
          <w:sz w:val="24"/>
          <w:szCs w:val="24"/>
          <w:highlight w:val="white"/>
        </w:rPr>
        <w:t xml:space="preserve"> within the healthcare sector. From improved threat detection accuracy to significant reductions in breach costs and response times, the integration of AI offers measurable benefits. However, realizing these benefits requires addressing critical challenges related to data privacy, regulatory compliance, and institutional readiness. Transitioning from these findings into practical action, the following recommendations are proposed:</w:t>
      </w:r>
    </w:p>
    <w:p w14:paraId="42540873" w14:textId="77777777" w:rsidR="00A818A2" w:rsidRDefault="00B62E06" w:rsidP="00A500E4">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r w:rsidRPr="00A818A2">
        <w:rPr>
          <w:color w:val="0D0D0D"/>
          <w:sz w:val="24"/>
          <w:szCs w:val="24"/>
          <w:highlight w:val="white"/>
        </w:rPr>
        <w:t>Prioritize investment in AI training for healthcare cybersecurity teams to address the workforce</w:t>
      </w:r>
      <w:r w:rsidR="00A818A2">
        <w:rPr>
          <w:color w:val="0D0D0D"/>
          <w:sz w:val="24"/>
          <w:szCs w:val="24"/>
          <w:highlight w:val="white"/>
        </w:rPr>
        <w:t xml:space="preserve"> competency gap.</w:t>
      </w:r>
    </w:p>
    <w:p w14:paraId="2CD4FDC5" w14:textId="77777777" w:rsidR="00A818A2" w:rsidRDefault="00B62E06" w:rsidP="00C06171">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r w:rsidRPr="00A818A2">
        <w:rPr>
          <w:color w:val="0D0D0D"/>
          <w:sz w:val="24"/>
          <w:szCs w:val="24"/>
          <w:highlight w:val="white"/>
        </w:rPr>
        <w:t>Establish cross-functional compliance frameworks to align AI deployment wi</w:t>
      </w:r>
      <w:r w:rsidR="00A818A2" w:rsidRPr="00A818A2">
        <w:rPr>
          <w:color w:val="0D0D0D"/>
          <w:sz w:val="24"/>
          <w:szCs w:val="24"/>
          <w:highlight w:val="white"/>
        </w:rPr>
        <w:t>th HIPAA and GDPR requirements.</w:t>
      </w:r>
    </w:p>
    <w:p w14:paraId="021827D1" w14:textId="77777777" w:rsidR="00A818A2" w:rsidRDefault="00B62E06" w:rsidP="00B05551">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r w:rsidRPr="00A818A2">
        <w:rPr>
          <w:color w:val="0D0D0D"/>
          <w:sz w:val="24"/>
          <w:szCs w:val="24"/>
          <w:highlight w:val="white"/>
        </w:rPr>
        <w:t xml:space="preserve">Adopt </w:t>
      </w:r>
      <w:proofErr w:type="spellStart"/>
      <w:r w:rsidRPr="00A818A2">
        <w:rPr>
          <w:color w:val="0D0D0D"/>
          <w:sz w:val="24"/>
          <w:szCs w:val="24"/>
          <w:highlight w:val="white"/>
        </w:rPr>
        <w:t>behavioral</w:t>
      </w:r>
      <w:proofErr w:type="spellEnd"/>
      <w:r w:rsidRPr="00A818A2">
        <w:rPr>
          <w:color w:val="0D0D0D"/>
          <w:sz w:val="24"/>
          <w:szCs w:val="24"/>
          <w:highlight w:val="white"/>
        </w:rPr>
        <w:t>-based AI models that focus on internal threat detection and privilege misuse.</w:t>
      </w:r>
    </w:p>
    <w:p w14:paraId="73BC27B5" w14:textId="77777777" w:rsidR="00557214" w:rsidRPr="00A818A2" w:rsidRDefault="00B62E06" w:rsidP="00B05551">
      <w:pPr>
        <w:numPr>
          <w:ilvl w:val="0"/>
          <w:numId w:val="2"/>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r w:rsidRPr="00A818A2">
        <w:rPr>
          <w:color w:val="0D0D0D"/>
          <w:sz w:val="24"/>
          <w:szCs w:val="24"/>
          <w:highlight w:val="white"/>
        </w:rPr>
        <w:t>Develop scalable partnerships for federated learning to enhance threat intelligence without compromising patient data privacy.</w:t>
      </w:r>
    </w:p>
    <w:p w14:paraId="144C4019" w14:textId="77777777" w:rsidR="00557214" w:rsidRPr="00E677D9" w:rsidRDefault="00557214"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p>
    <w:p w14:paraId="4C43B481" w14:textId="77777777" w:rsidR="00557214" w:rsidRPr="00E677D9" w:rsidRDefault="00557214"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p>
    <w:p w14:paraId="5C70A642" w14:textId="77777777" w:rsidR="00557214" w:rsidRPr="00E677D9" w:rsidRDefault="00557214"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p>
    <w:p w14:paraId="68A7134E" w14:textId="77777777" w:rsidR="00557214" w:rsidRPr="00E677D9" w:rsidRDefault="00B62E06"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r w:rsidRPr="00E677D9">
        <w:rPr>
          <w:color w:val="0D0D0D"/>
          <w:sz w:val="24"/>
          <w:szCs w:val="24"/>
          <w:highlight w:val="white"/>
        </w:rPr>
        <w:br/>
      </w:r>
    </w:p>
    <w:p w14:paraId="6C9C95AA" w14:textId="77777777" w:rsidR="00557214" w:rsidRPr="00E677D9" w:rsidRDefault="00557214"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p>
    <w:p w14:paraId="4E267E0A" w14:textId="77777777" w:rsidR="00557214" w:rsidRPr="00E677D9" w:rsidRDefault="00557214"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p>
    <w:p w14:paraId="35BE1309" w14:textId="77777777" w:rsidR="00557214" w:rsidRPr="00E677D9" w:rsidRDefault="00557214"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p>
    <w:p w14:paraId="57ED0C19" w14:textId="77777777" w:rsidR="00557214" w:rsidRPr="00E677D9" w:rsidRDefault="00557214"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rPr>
          <w:color w:val="0D0D0D"/>
          <w:sz w:val="24"/>
          <w:szCs w:val="24"/>
          <w:highlight w:val="white"/>
        </w:rPr>
      </w:pPr>
    </w:p>
    <w:p w14:paraId="3BF5EE07" w14:textId="77777777" w:rsidR="00557214" w:rsidRPr="00E677D9" w:rsidRDefault="00557214" w:rsidP="00E677D9">
      <w:pPr>
        <w:spacing w:after="240" w:line="240" w:lineRule="auto"/>
        <w:jc w:val="both"/>
        <w:rPr>
          <w:color w:val="0D0D0D"/>
          <w:sz w:val="24"/>
          <w:szCs w:val="24"/>
          <w:highlight w:val="white"/>
        </w:rPr>
      </w:pPr>
    </w:p>
    <w:p w14:paraId="64B95F4D" w14:textId="77777777" w:rsidR="00A818A2" w:rsidRDefault="00A818A2">
      <w:pPr>
        <w:rPr>
          <w:b/>
          <w:color w:val="0D0D0D"/>
          <w:sz w:val="24"/>
          <w:szCs w:val="24"/>
          <w:highlight w:val="white"/>
        </w:rPr>
      </w:pPr>
      <w:bookmarkStart w:id="21" w:name="_9jq9oxk6y7fi" w:colFirst="0" w:colLast="0"/>
      <w:bookmarkEnd w:id="21"/>
      <w:r>
        <w:rPr>
          <w:b/>
          <w:color w:val="0D0D0D"/>
          <w:sz w:val="24"/>
          <w:szCs w:val="24"/>
          <w:highlight w:val="white"/>
        </w:rPr>
        <w:br w:type="page"/>
      </w:r>
    </w:p>
    <w:p w14:paraId="368A083B" w14:textId="77777777" w:rsidR="00557214" w:rsidRPr="00E677D9" w:rsidRDefault="00B62E06" w:rsidP="00E677D9">
      <w:pPr>
        <w:pStyle w:val="Heading1"/>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0" w:after="240" w:line="240" w:lineRule="auto"/>
        <w:jc w:val="center"/>
        <w:rPr>
          <w:b/>
          <w:color w:val="0D0D0D"/>
          <w:sz w:val="24"/>
          <w:szCs w:val="24"/>
          <w:highlight w:val="white"/>
        </w:rPr>
      </w:pPr>
      <w:r w:rsidRPr="00E677D9">
        <w:rPr>
          <w:b/>
          <w:color w:val="0D0D0D"/>
          <w:sz w:val="24"/>
          <w:szCs w:val="24"/>
          <w:highlight w:val="white"/>
        </w:rPr>
        <w:lastRenderedPageBreak/>
        <w:t>References</w:t>
      </w:r>
    </w:p>
    <w:p w14:paraId="686A918E"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E677D9">
        <w:rPr>
          <w:color w:val="0D0D0D"/>
          <w:sz w:val="24"/>
          <w:szCs w:val="24"/>
          <w:highlight w:val="white"/>
        </w:rPr>
        <w:t xml:space="preserve">Abbas, R., Ogunsanya, V. A., </w:t>
      </w:r>
      <w:proofErr w:type="spellStart"/>
      <w:r w:rsidRPr="00E677D9">
        <w:rPr>
          <w:color w:val="0D0D0D"/>
          <w:sz w:val="24"/>
          <w:szCs w:val="24"/>
          <w:highlight w:val="white"/>
        </w:rPr>
        <w:t>Nwanyim</w:t>
      </w:r>
      <w:proofErr w:type="spellEnd"/>
      <w:r w:rsidRPr="00E677D9">
        <w:rPr>
          <w:color w:val="0D0D0D"/>
          <w:sz w:val="24"/>
          <w:szCs w:val="24"/>
          <w:highlight w:val="white"/>
        </w:rPr>
        <w:t xml:space="preserve">, S. J., Afolabi, R., Kagame, R., Akinsola, A., &amp; Clement, T. (2025). Leveraging Machine Learning to Strengthen Network Security and Improve Threat Detection in Blockchain for Healthcare systems. </w:t>
      </w:r>
      <w:r w:rsidRPr="00E677D9">
        <w:rPr>
          <w:i/>
          <w:color w:val="0D0D0D"/>
          <w:sz w:val="24"/>
          <w:szCs w:val="24"/>
          <w:highlight w:val="white"/>
        </w:rPr>
        <w:t>International Journal of Scientific and Management Research</w:t>
      </w:r>
      <w:r w:rsidRPr="00E677D9">
        <w:rPr>
          <w:color w:val="0D0D0D"/>
          <w:sz w:val="24"/>
          <w:szCs w:val="24"/>
          <w:highlight w:val="white"/>
        </w:rPr>
        <w:t xml:space="preserve">, </w:t>
      </w:r>
      <w:r w:rsidRPr="00E677D9">
        <w:rPr>
          <w:i/>
          <w:color w:val="0D0D0D"/>
          <w:sz w:val="24"/>
          <w:szCs w:val="24"/>
          <w:highlight w:val="white"/>
        </w:rPr>
        <w:t>08</w:t>
      </w:r>
      <w:r w:rsidRPr="00E677D9">
        <w:rPr>
          <w:color w:val="0D0D0D"/>
          <w:sz w:val="24"/>
          <w:szCs w:val="24"/>
          <w:highlight w:val="white"/>
        </w:rPr>
        <w:t xml:space="preserve">(02), 147–165. </w:t>
      </w:r>
      <w:hyperlink r:id="rId19">
        <w:r w:rsidRPr="00E677D9">
          <w:rPr>
            <w:color w:val="1155CC"/>
            <w:sz w:val="24"/>
            <w:szCs w:val="24"/>
            <w:highlight w:val="white"/>
            <w:u w:val="single"/>
          </w:rPr>
          <w:t>https://doi.org/10.37502/ijsmr.2025.8211</w:t>
        </w:r>
      </w:hyperlink>
      <w:r w:rsidRPr="00E677D9">
        <w:rPr>
          <w:color w:val="0D0D0D"/>
          <w:sz w:val="24"/>
          <w:szCs w:val="24"/>
          <w:highlight w:val="white"/>
        </w:rPr>
        <w:t xml:space="preserve"> </w:t>
      </w:r>
    </w:p>
    <w:p w14:paraId="5B5ED16C"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E677D9">
        <w:rPr>
          <w:color w:val="0D0D0D"/>
          <w:sz w:val="24"/>
          <w:szCs w:val="24"/>
          <w:highlight w:val="white"/>
        </w:rPr>
        <w:t xml:space="preserve">Abbas, S. R., Abbas, Z., Zahir, A., &amp; Lee, S. W. (2024). Federated Learning in Smart Healthcare: A Comprehensive Review on Privacy, Security, and Predictive Analytics with IoT Integration. </w:t>
      </w:r>
      <w:r w:rsidRPr="00E677D9">
        <w:rPr>
          <w:i/>
          <w:color w:val="0D0D0D"/>
          <w:sz w:val="24"/>
          <w:szCs w:val="24"/>
          <w:highlight w:val="white"/>
        </w:rPr>
        <w:t>Healthcare</w:t>
      </w:r>
      <w:r w:rsidRPr="00E677D9">
        <w:rPr>
          <w:color w:val="0D0D0D"/>
          <w:sz w:val="24"/>
          <w:szCs w:val="24"/>
          <w:highlight w:val="white"/>
        </w:rPr>
        <w:t xml:space="preserve">, </w:t>
      </w:r>
      <w:r w:rsidRPr="00E677D9">
        <w:rPr>
          <w:i/>
          <w:color w:val="0D0D0D"/>
          <w:sz w:val="24"/>
          <w:szCs w:val="24"/>
          <w:highlight w:val="white"/>
        </w:rPr>
        <w:t>12</w:t>
      </w:r>
      <w:r w:rsidRPr="00E677D9">
        <w:rPr>
          <w:color w:val="0D0D0D"/>
          <w:sz w:val="24"/>
          <w:szCs w:val="24"/>
          <w:highlight w:val="white"/>
        </w:rPr>
        <w:t xml:space="preserve">(24), 2587–2587. </w:t>
      </w:r>
      <w:hyperlink r:id="rId20">
        <w:r w:rsidRPr="00E677D9">
          <w:rPr>
            <w:color w:val="1155CC"/>
            <w:sz w:val="24"/>
            <w:szCs w:val="24"/>
            <w:highlight w:val="white"/>
            <w:u w:val="single"/>
          </w:rPr>
          <w:t>https://doi.org/10.3390/healthcare12242587</w:t>
        </w:r>
      </w:hyperlink>
      <w:r w:rsidRPr="00E677D9">
        <w:rPr>
          <w:color w:val="0D0D0D"/>
          <w:sz w:val="24"/>
          <w:szCs w:val="24"/>
          <w:highlight w:val="white"/>
        </w:rPr>
        <w:t xml:space="preserve"> </w:t>
      </w:r>
    </w:p>
    <w:p w14:paraId="5F94F818"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E677D9">
        <w:rPr>
          <w:color w:val="0D0D0D"/>
          <w:sz w:val="24"/>
          <w:szCs w:val="24"/>
          <w:highlight w:val="white"/>
        </w:rPr>
        <w:t xml:space="preserve">Abdi, A., </w:t>
      </w:r>
      <w:proofErr w:type="spellStart"/>
      <w:r w:rsidRPr="00E677D9">
        <w:rPr>
          <w:color w:val="0D0D0D"/>
          <w:sz w:val="24"/>
          <w:szCs w:val="24"/>
          <w:highlight w:val="white"/>
        </w:rPr>
        <w:t>Bennouri</w:t>
      </w:r>
      <w:proofErr w:type="spellEnd"/>
      <w:r w:rsidRPr="00E677D9">
        <w:rPr>
          <w:color w:val="0D0D0D"/>
          <w:sz w:val="24"/>
          <w:szCs w:val="24"/>
          <w:highlight w:val="white"/>
        </w:rPr>
        <w:t xml:space="preserve">, H., &amp; Keane, A. (2024). Cyber Resilience, Risk Management, and Security Challenges in Enterprise-Scale Cloud Systems: Comprehensive Review. </w:t>
      </w:r>
      <w:proofErr w:type="gramStart"/>
      <w:r w:rsidRPr="00E677D9">
        <w:rPr>
          <w:i/>
          <w:color w:val="0D0D0D"/>
          <w:sz w:val="24"/>
          <w:szCs w:val="24"/>
          <w:highlight w:val="white"/>
        </w:rPr>
        <w:t xml:space="preserve">IEEE </w:t>
      </w:r>
      <w:r w:rsidRPr="00E677D9">
        <w:rPr>
          <w:color w:val="0D0D0D"/>
          <w:sz w:val="24"/>
          <w:szCs w:val="24"/>
          <w:highlight w:val="white"/>
        </w:rPr>
        <w:t>.</w:t>
      </w:r>
      <w:proofErr w:type="gramEnd"/>
      <w:r w:rsidRPr="00E677D9">
        <w:rPr>
          <w:color w:val="0D0D0D"/>
          <w:sz w:val="24"/>
          <w:szCs w:val="24"/>
          <w:highlight w:val="white"/>
        </w:rPr>
        <w:t xml:space="preserve"> </w:t>
      </w:r>
      <w:hyperlink r:id="rId21">
        <w:r w:rsidRPr="00E677D9">
          <w:rPr>
            <w:color w:val="1155CC"/>
            <w:sz w:val="24"/>
            <w:szCs w:val="24"/>
            <w:highlight w:val="white"/>
            <w:u w:val="single"/>
          </w:rPr>
          <w:t>https://doi.org/10.1109/meco62516.2024.10577956</w:t>
        </w:r>
      </w:hyperlink>
      <w:r w:rsidRPr="00E677D9">
        <w:rPr>
          <w:color w:val="0D0D0D"/>
          <w:sz w:val="24"/>
          <w:szCs w:val="24"/>
          <w:highlight w:val="white"/>
        </w:rPr>
        <w:t xml:space="preserve"> </w:t>
      </w:r>
    </w:p>
    <w:p w14:paraId="70FEA514"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proofErr w:type="spellStart"/>
      <w:r w:rsidRPr="00E677D9">
        <w:rPr>
          <w:color w:val="0D0D0D"/>
          <w:sz w:val="24"/>
          <w:szCs w:val="24"/>
          <w:highlight w:val="white"/>
        </w:rPr>
        <w:t>Aftabi</w:t>
      </w:r>
      <w:proofErr w:type="spellEnd"/>
      <w:r w:rsidRPr="00E677D9">
        <w:rPr>
          <w:color w:val="0D0D0D"/>
          <w:sz w:val="24"/>
          <w:szCs w:val="24"/>
          <w:highlight w:val="white"/>
        </w:rPr>
        <w:t xml:space="preserve">, N., Moradi, N., Mahroo, F., &amp; Kianfar, F. (2025). SD-ABM-ISM: An integrated system dynamics and agent-based </w:t>
      </w:r>
      <w:proofErr w:type="spellStart"/>
      <w:r w:rsidRPr="00E677D9">
        <w:rPr>
          <w:color w:val="0D0D0D"/>
          <w:sz w:val="24"/>
          <w:szCs w:val="24"/>
          <w:highlight w:val="white"/>
        </w:rPr>
        <w:t>modeling</w:t>
      </w:r>
      <w:proofErr w:type="spellEnd"/>
      <w:r w:rsidRPr="00E677D9">
        <w:rPr>
          <w:color w:val="0D0D0D"/>
          <w:sz w:val="24"/>
          <w:szCs w:val="24"/>
          <w:highlight w:val="white"/>
        </w:rPr>
        <w:t xml:space="preserve"> framework for information security management in complex information systems with multi-actor threat dynamics. </w:t>
      </w:r>
      <w:r w:rsidRPr="00E677D9">
        <w:rPr>
          <w:i/>
          <w:color w:val="0D0D0D"/>
          <w:sz w:val="24"/>
          <w:szCs w:val="24"/>
          <w:highlight w:val="white"/>
        </w:rPr>
        <w:t>Expert Systems with Applications</w:t>
      </w:r>
      <w:r w:rsidRPr="00E677D9">
        <w:rPr>
          <w:color w:val="0D0D0D"/>
          <w:sz w:val="24"/>
          <w:szCs w:val="24"/>
          <w:highlight w:val="white"/>
        </w:rPr>
        <w:t xml:space="preserve">, </w:t>
      </w:r>
      <w:r w:rsidRPr="00E677D9">
        <w:rPr>
          <w:i/>
          <w:color w:val="0D0D0D"/>
          <w:sz w:val="24"/>
          <w:szCs w:val="24"/>
          <w:highlight w:val="white"/>
        </w:rPr>
        <w:t>263</w:t>
      </w:r>
      <w:r w:rsidRPr="00E677D9">
        <w:rPr>
          <w:color w:val="0D0D0D"/>
          <w:sz w:val="24"/>
          <w:szCs w:val="24"/>
          <w:highlight w:val="white"/>
        </w:rPr>
        <w:t xml:space="preserve">, 125681. </w:t>
      </w:r>
      <w:hyperlink r:id="rId22">
        <w:r w:rsidRPr="00E677D9">
          <w:rPr>
            <w:color w:val="1155CC"/>
            <w:sz w:val="24"/>
            <w:szCs w:val="24"/>
            <w:highlight w:val="white"/>
            <w:u w:val="single"/>
          </w:rPr>
          <w:t>https://doi.org/10.1016/j.eswa.2024.125681</w:t>
        </w:r>
      </w:hyperlink>
      <w:r w:rsidRPr="00E677D9">
        <w:rPr>
          <w:color w:val="0D0D0D"/>
          <w:sz w:val="24"/>
          <w:szCs w:val="24"/>
          <w:highlight w:val="white"/>
        </w:rPr>
        <w:t xml:space="preserve"> </w:t>
      </w:r>
    </w:p>
    <w:p w14:paraId="740FF3D6"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E677D9">
        <w:rPr>
          <w:color w:val="0D0D0D"/>
          <w:sz w:val="24"/>
          <w:szCs w:val="24"/>
          <w:highlight w:val="white"/>
        </w:rPr>
        <w:t xml:space="preserve">Ahmad, A. S. (2023). Application of Big Data and Artificial Intelligence in Strengthening Fraud Analytics and Cybersecurity Resilience in Global Financial Markets. </w:t>
      </w:r>
      <w:r w:rsidRPr="00E677D9">
        <w:rPr>
          <w:i/>
          <w:color w:val="0D0D0D"/>
          <w:sz w:val="24"/>
          <w:szCs w:val="24"/>
          <w:highlight w:val="white"/>
        </w:rPr>
        <w:t>International Journal of Advanced Cybersecurity Systems, Technologies, and Applications</w:t>
      </w:r>
      <w:r w:rsidRPr="00E677D9">
        <w:rPr>
          <w:color w:val="0D0D0D"/>
          <w:sz w:val="24"/>
          <w:szCs w:val="24"/>
          <w:highlight w:val="white"/>
        </w:rPr>
        <w:t xml:space="preserve">, </w:t>
      </w:r>
      <w:r w:rsidRPr="00E677D9">
        <w:rPr>
          <w:i/>
          <w:color w:val="0D0D0D"/>
          <w:sz w:val="24"/>
          <w:szCs w:val="24"/>
          <w:highlight w:val="white"/>
        </w:rPr>
        <w:t>7</w:t>
      </w:r>
      <w:r w:rsidRPr="00E677D9">
        <w:rPr>
          <w:color w:val="0D0D0D"/>
          <w:sz w:val="24"/>
          <w:szCs w:val="24"/>
          <w:highlight w:val="white"/>
        </w:rPr>
        <w:t xml:space="preserve">(12), 11–23. </w:t>
      </w:r>
      <w:hyperlink r:id="rId23">
        <w:r w:rsidRPr="00E677D9">
          <w:rPr>
            <w:color w:val="1155CC"/>
            <w:sz w:val="24"/>
            <w:szCs w:val="24"/>
            <w:highlight w:val="white"/>
            <w:u w:val="single"/>
          </w:rPr>
          <w:t>http://theaffine.com/index.php/IJACSTA/article/view/2023-12-07</w:t>
        </w:r>
      </w:hyperlink>
      <w:r w:rsidRPr="00E677D9">
        <w:rPr>
          <w:color w:val="0D0D0D"/>
          <w:sz w:val="24"/>
          <w:szCs w:val="24"/>
          <w:highlight w:val="white"/>
        </w:rPr>
        <w:t xml:space="preserve"> </w:t>
      </w:r>
    </w:p>
    <w:p w14:paraId="230A5773"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E677D9">
        <w:rPr>
          <w:color w:val="0D0D0D"/>
          <w:sz w:val="24"/>
          <w:szCs w:val="24"/>
          <w:highlight w:val="white"/>
        </w:rPr>
        <w:t xml:space="preserve">Aijaz, M., Nazir, M., &amp; Anwar, M. N. (2021). Classification of Security Attacks in Healthcare and associated Cyber-harms. </w:t>
      </w:r>
      <w:r w:rsidRPr="00E677D9">
        <w:rPr>
          <w:i/>
          <w:color w:val="0D0D0D"/>
          <w:sz w:val="24"/>
          <w:szCs w:val="24"/>
          <w:highlight w:val="white"/>
        </w:rPr>
        <w:t>2021 First International Conference on Advances in Computing and Future Communication Technologies (ICACFCT)</w:t>
      </w:r>
      <w:r w:rsidRPr="00E677D9">
        <w:rPr>
          <w:color w:val="0D0D0D"/>
          <w:sz w:val="24"/>
          <w:szCs w:val="24"/>
          <w:highlight w:val="white"/>
        </w:rPr>
        <w:t xml:space="preserve">. </w:t>
      </w:r>
      <w:hyperlink r:id="rId24">
        <w:r w:rsidRPr="00E677D9">
          <w:rPr>
            <w:color w:val="1155CC"/>
            <w:sz w:val="24"/>
            <w:szCs w:val="24"/>
            <w:highlight w:val="white"/>
            <w:u w:val="single"/>
          </w:rPr>
          <w:t>https://doi.org/10.1109/icacfct53978.2021.9837349</w:t>
        </w:r>
      </w:hyperlink>
      <w:r w:rsidRPr="00E677D9">
        <w:rPr>
          <w:color w:val="0D0D0D"/>
          <w:sz w:val="24"/>
          <w:szCs w:val="24"/>
          <w:highlight w:val="white"/>
        </w:rPr>
        <w:t xml:space="preserve"> </w:t>
      </w:r>
    </w:p>
    <w:p w14:paraId="5EC9903F"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E677D9">
        <w:rPr>
          <w:color w:val="0D0D0D"/>
          <w:sz w:val="24"/>
          <w:szCs w:val="24"/>
          <w:highlight w:val="white"/>
        </w:rPr>
        <w:t xml:space="preserve">Ajayi, A. J., Joseph, S. A., </w:t>
      </w:r>
      <w:proofErr w:type="spellStart"/>
      <w:r w:rsidRPr="00E677D9">
        <w:rPr>
          <w:color w:val="0D0D0D"/>
          <w:sz w:val="24"/>
          <w:szCs w:val="24"/>
          <w:highlight w:val="white"/>
        </w:rPr>
        <w:t>Metibemu</w:t>
      </w:r>
      <w:proofErr w:type="spellEnd"/>
      <w:r w:rsidRPr="00E677D9">
        <w:rPr>
          <w:color w:val="0D0D0D"/>
          <w:sz w:val="24"/>
          <w:szCs w:val="24"/>
          <w:highlight w:val="white"/>
        </w:rPr>
        <w:t xml:space="preserve">, O. C., </w:t>
      </w:r>
      <w:proofErr w:type="spellStart"/>
      <w:r w:rsidRPr="00E677D9">
        <w:rPr>
          <w:color w:val="0D0D0D"/>
          <w:sz w:val="24"/>
          <w:szCs w:val="24"/>
          <w:highlight w:val="white"/>
        </w:rPr>
        <w:t>Olutimehin</w:t>
      </w:r>
      <w:proofErr w:type="spellEnd"/>
      <w:r w:rsidRPr="00E677D9">
        <w:rPr>
          <w:color w:val="0D0D0D"/>
          <w:sz w:val="24"/>
          <w:szCs w:val="24"/>
          <w:highlight w:val="white"/>
        </w:rPr>
        <w:t xml:space="preserve">, A. T., Balogun, A. Y., &amp; Olaniyi, O. O. (2025). The Impact of Artificial Intelligence on Cyber Security in Digital Currency Transactions. </w:t>
      </w:r>
      <w:r w:rsidRPr="00E677D9">
        <w:rPr>
          <w:i/>
          <w:color w:val="0D0D0D"/>
          <w:sz w:val="24"/>
          <w:szCs w:val="24"/>
          <w:highlight w:val="white"/>
        </w:rPr>
        <w:t>Archives of Current Research International</w:t>
      </w:r>
      <w:r w:rsidRPr="00E677D9">
        <w:rPr>
          <w:color w:val="0D0D0D"/>
          <w:sz w:val="24"/>
          <w:szCs w:val="24"/>
          <w:highlight w:val="white"/>
        </w:rPr>
        <w:t xml:space="preserve">, </w:t>
      </w:r>
      <w:r w:rsidRPr="00E677D9">
        <w:rPr>
          <w:i/>
          <w:color w:val="0D0D0D"/>
          <w:sz w:val="24"/>
          <w:szCs w:val="24"/>
          <w:highlight w:val="white"/>
        </w:rPr>
        <w:t>25</w:t>
      </w:r>
      <w:r w:rsidRPr="00E677D9">
        <w:rPr>
          <w:color w:val="0D0D0D"/>
          <w:sz w:val="24"/>
          <w:szCs w:val="24"/>
          <w:highlight w:val="white"/>
        </w:rPr>
        <w:t xml:space="preserve">(2), 329–351. </w:t>
      </w:r>
      <w:hyperlink r:id="rId25">
        <w:r w:rsidRPr="00E677D9">
          <w:rPr>
            <w:color w:val="1155CC"/>
            <w:sz w:val="24"/>
            <w:szCs w:val="24"/>
            <w:highlight w:val="white"/>
            <w:u w:val="single"/>
          </w:rPr>
          <w:t>https://doi.org/10.9734/acri/2025/v25i21090</w:t>
        </w:r>
      </w:hyperlink>
      <w:r w:rsidRPr="00E677D9">
        <w:rPr>
          <w:color w:val="0D0D0D"/>
          <w:sz w:val="24"/>
          <w:szCs w:val="24"/>
          <w:highlight w:val="white"/>
        </w:rPr>
        <w:t xml:space="preserve"> </w:t>
      </w:r>
    </w:p>
    <w:p w14:paraId="75AFA6F0"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E677D9">
        <w:rPr>
          <w:color w:val="0D0D0D"/>
          <w:sz w:val="24"/>
          <w:szCs w:val="24"/>
          <w:highlight w:val="white"/>
        </w:rPr>
        <w:t xml:space="preserve">Akinsola, A., &amp; Ejiofor, O. (2024). Securing the Future of Healthcare: Building A Resilient </w:t>
      </w:r>
      <w:proofErr w:type="spellStart"/>
      <w:r w:rsidRPr="00E677D9">
        <w:rPr>
          <w:color w:val="0D0D0D"/>
          <w:sz w:val="24"/>
          <w:szCs w:val="24"/>
          <w:highlight w:val="white"/>
        </w:rPr>
        <w:t>Defense</w:t>
      </w:r>
      <w:proofErr w:type="spellEnd"/>
      <w:r w:rsidRPr="00E677D9">
        <w:rPr>
          <w:color w:val="0D0D0D"/>
          <w:sz w:val="24"/>
          <w:szCs w:val="24"/>
          <w:highlight w:val="white"/>
        </w:rPr>
        <w:t xml:space="preserve"> System for Patient Data Protection. </w:t>
      </w:r>
      <w:proofErr w:type="gramStart"/>
      <w:r w:rsidRPr="00E677D9">
        <w:rPr>
          <w:i/>
          <w:color w:val="0D0D0D"/>
          <w:sz w:val="24"/>
          <w:szCs w:val="24"/>
          <w:highlight w:val="white"/>
        </w:rPr>
        <w:t xml:space="preserve">SSRN </w:t>
      </w:r>
      <w:r w:rsidRPr="00E677D9">
        <w:rPr>
          <w:color w:val="0D0D0D"/>
          <w:sz w:val="24"/>
          <w:szCs w:val="24"/>
          <w:highlight w:val="white"/>
        </w:rPr>
        <w:t>.</w:t>
      </w:r>
      <w:proofErr w:type="gramEnd"/>
      <w:r w:rsidRPr="00E677D9">
        <w:rPr>
          <w:color w:val="0D0D0D"/>
          <w:sz w:val="24"/>
          <w:szCs w:val="24"/>
          <w:highlight w:val="white"/>
        </w:rPr>
        <w:t xml:space="preserve"> </w:t>
      </w:r>
      <w:hyperlink r:id="rId26">
        <w:r w:rsidRPr="00E677D9">
          <w:rPr>
            <w:color w:val="1155CC"/>
            <w:sz w:val="24"/>
            <w:szCs w:val="24"/>
            <w:highlight w:val="white"/>
            <w:u w:val="single"/>
          </w:rPr>
          <w:t>https://doi.org/10.2139/ssrn.4902351</w:t>
        </w:r>
      </w:hyperlink>
      <w:r w:rsidRPr="00E677D9">
        <w:rPr>
          <w:color w:val="0D0D0D"/>
          <w:sz w:val="24"/>
          <w:szCs w:val="24"/>
          <w:highlight w:val="white"/>
        </w:rPr>
        <w:t xml:space="preserve"> </w:t>
      </w:r>
    </w:p>
    <w:p w14:paraId="6EA42E29"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E677D9">
        <w:rPr>
          <w:color w:val="0D0D0D"/>
          <w:sz w:val="24"/>
          <w:szCs w:val="24"/>
          <w:highlight w:val="white"/>
        </w:rPr>
        <w:t xml:space="preserve">Alao, A. I., Adebiyi, O. O., &amp; Olaniyi, O. O. (2024). The Interconnectedness of Earnings Management, Corporate Governance Failures, and Global Economic Stability: A Critical Examination of the Impact of Earnings Manipulation on Financial Crises and Investor Trust in Global Markets. </w:t>
      </w:r>
      <w:r w:rsidRPr="00E677D9">
        <w:rPr>
          <w:i/>
          <w:color w:val="0D0D0D"/>
          <w:sz w:val="24"/>
          <w:szCs w:val="24"/>
          <w:highlight w:val="white"/>
        </w:rPr>
        <w:t>Asian Journal of Economics Business and Accounting</w:t>
      </w:r>
      <w:r w:rsidRPr="00E677D9">
        <w:rPr>
          <w:color w:val="0D0D0D"/>
          <w:sz w:val="24"/>
          <w:szCs w:val="24"/>
          <w:highlight w:val="white"/>
        </w:rPr>
        <w:t xml:space="preserve">, </w:t>
      </w:r>
      <w:r w:rsidRPr="00E677D9">
        <w:rPr>
          <w:i/>
          <w:color w:val="0D0D0D"/>
          <w:sz w:val="24"/>
          <w:szCs w:val="24"/>
          <w:highlight w:val="white"/>
        </w:rPr>
        <w:t>24</w:t>
      </w:r>
      <w:r w:rsidRPr="00E677D9">
        <w:rPr>
          <w:color w:val="0D0D0D"/>
          <w:sz w:val="24"/>
          <w:szCs w:val="24"/>
          <w:highlight w:val="white"/>
        </w:rPr>
        <w:t xml:space="preserve">(11), 47–73. </w:t>
      </w:r>
      <w:hyperlink r:id="rId27">
        <w:r w:rsidRPr="00E677D9">
          <w:rPr>
            <w:color w:val="1155CC"/>
            <w:sz w:val="24"/>
            <w:szCs w:val="24"/>
            <w:highlight w:val="white"/>
            <w:u w:val="single"/>
          </w:rPr>
          <w:t>https://doi.org/10.9734/ajeba/2024/v24i111542</w:t>
        </w:r>
      </w:hyperlink>
      <w:r w:rsidRPr="00E677D9">
        <w:rPr>
          <w:color w:val="0D0D0D"/>
          <w:sz w:val="24"/>
          <w:szCs w:val="24"/>
          <w:highlight w:val="white"/>
        </w:rPr>
        <w:t xml:space="preserve"> </w:t>
      </w:r>
    </w:p>
    <w:p w14:paraId="2B8BC72B" w14:textId="77777777" w:rsidR="00557214" w:rsidRPr="00261B7A"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lang w:val="fr-FR"/>
        </w:rPr>
      </w:pPr>
      <w:r w:rsidRPr="00E677D9">
        <w:rPr>
          <w:color w:val="0D0D0D"/>
          <w:sz w:val="24"/>
          <w:szCs w:val="24"/>
          <w:highlight w:val="white"/>
        </w:rPr>
        <w:lastRenderedPageBreak/>
        <w:t xml:space="preserve">Alder, S. (2023). </w:t>
      </w:r>
      <w:proofErr w:type="spellStart"/>
      <w:r w:rsidRPr="00E677D9">
        <w:rPr>
          <w:i/>
          <w:color w:val="0D0D0D"/>
          <w:sz w:val="24"/>
          <w:szCs w:val="24"/>
          <w:highlight w:val="white"/>
        </w:rPr>
        <w:t>CommonSpirit</w:t>
      </w:r>
      <w:proofErr w:type="spellEnd"/>
      <w:r w:rsidRPr="00E677D9">
        <w:rPr>
          <w:i/>
          <w:color w:val="0D0D0D"/>
          <w:sz w:val="24"/>
          <w:szCs w:val="24"/>
          <w:highlight w:val="white"/>
        </w:rPr>
        <w:t xml:space="preserve"> Health Issues Update Confirming 164 Facilities Affected by Ransomware Attack</w:t>
      </w:r>
      <w:r w:rsidRPr="00E677D9">
        <w:rPr>
          <w:color w:val="0D0D0D"/>
          <w:sz w:val="24"/>
          <w:szCs w:val="24"/>
          <w:highlight w:val="white"/>
        </w:rPr>
        <w:t xml:space="preserve">. </w:t>
      </w:r>
      <w:r w:rsidRPr="00261B7A">
        <w:rPr>
          <w:color w:val="0D0D0D"/>
          <w:sz w:val="24"/>
          <w:szCs w:val="24"/>
          <w:highlight w:val="white"/>
          <w:lang w:val="fr-FR"/>
        </w:rPr>
        <w:t xml:space="preserve">HIPAA Journal. </w:t>
      </w:r>
      <w:hyperlink r:id="rId28">
        <w:r w:rsidRPr="00261B7A">
          <w:rPr>
            <w:color w:val="1155CC"/>
            <w:sz w:val="24"/>
            <w:szCs w:val="24"/>
            <w:highlight w:val="white"/>
            <w:u w:val="single"/>
            <w:lang w:val="fr-FR"/>
          </w:rPr>
          <w:t>https://www.hipaajournal.com/commonspirit-health-issues-update-confirming-164-facilities-affected-by-ransomware-attack/</w:t>
        </w:r>
      </w:hyperlink>
      <w:r w:rsidRPr="00261B7A">
        <w:rPr>
          <w:color w:val="0D0D0D"/>
          <w:sz w:val="24"/>
          <w:szCs w:val="24"/>
          <w:highlight w:val="white"/>
          <w:lang w:val="fr-FR"/>
        </w:rPr>
        <w:t xml:space="preserve"> </w:t>
      </w:r>
    </w:p>
    <w:p w14:paraId="2C64823B"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proofErr w:type="spellStart"/>
      <w:r w:rsidRPr="00261B7A">
        <w:rPr>
          <w:color w:val="0D0D0D"/>
          <w:sz w:val="24"/>
          <w:szCs w:val="24"/>
          <w:highlight w:val="white"/>
          <w:lang w:val="es-ES"/>
        </w:rPr>
        <w:t>Aldoseri</w:t>
      </w:r>
      <w:proofErr w:type="spellEnd"/>
      <w:r w:rsidRPr="00261B7A">
        <w:rPr>
          <w:color w:val="0D0D0D"/>
          <w:sz w:val="24"/>
          <w:szCs w:val="24"/>
          <w:highlight w:val="white"/>
          <w:lang w:val="es-ES"/>
        </w:rPr>
        <w:t xml:space="preserve">, A., Khalifa, K. N. A. -, &amp; </w:t>
      </w:r>
      <w:proofErr w:type="spellStart"/>
      <w:r w:rsidRPr="00261B7A">
        <w:rPr>
          <w:color w:val="0D0D0D"/>
          <w:sz w:val="24"/>
          <w:szCs w:val="24"/>
          <w:highlight w:val="white"/>
          <w:lang w:val="es-ES"/>
        </w:rPr>
        <w:t>Hamouda</w:t>
      </w:r>
      <w:proofErr w:type="spellEnd"/>
      <w:r w:rsidRPr="00261B7A">
        <w:rPr>
          <w:color w:val="0D0D0D"/>
          <w:sz w:val="24"/>
          <w:szCs w:val="24"/>
          <w:highlight w:val="white"/>
          <w:lang w:val="es-ES"/>
        </w:rPr>
        <w:t xml:space="preserve">, A. M. (2023). </w:t>
      </w:r>
      <w:r w:rsidRPr="00E677D9">
        <w:rPr>
          <w:color w:val="0D0D0D"/>
          <w:sz w:val="24"/>
          <w:szCs w:val="24"/>
          <w:highlight w:val="white"/>
        </w:rPr>
        <w:t xml:space="preserve">Re-Thinking Data Strategy and Integration for Artificial Intelligence: Concepts, Opportunities, and Challenges. </w:t>
      </w:r>
      <w:r w:rsidRPr="00E677D9">
        <w:rPr>
          <w:i/>
          <w:color w:val="0D0D0D"/>
          <w:sz w:val="24"/>
          <w:szCs w:val="24"/>
          <w:highlight w:val="white"/>
        </w:rPr>
        <w:t>Applied Sciences</w:t>
      </w:r>
      <w:r w:rsidRPr="00E677D9">
        <w:rPr>
          <w:color w:val="0D0D0D"/>
          <w:sz w:val="24"/>
          <w:szCs w:val="24"/>
          <w:highlight w:val="white"/>
        </w:rPr>
        <w:t xml:space="preserve">, </w:t>
      </w:r>
      <w:r w:rsidRPr="00E677D9">
        <w:rPr>
          <w:i/>
          <w:color w:val="0D0D0D"/>
          <w:sz w:val="24"/>
          <w:szCs w:val="24"/>
          <w:highlight w:val="white"/>
        </w:rPr>
        <w:t>13</w:t>
      </w:r>
      <w:r w:rsidRPr="00E677D9">
        <w:rPr>
          <w:color w:val="0D0D0D"/>
          <w:sz w:val="24"/>
          <w:szCs w:val="24"/>
          <w:highlight w:val="white"/>
        </w:rPr>
        <w:t xml:space="preserve">(12), 7082. MDPI. </w:t>
      </w:r>
      <w:hyperlink r:id="rId29">
        <w:r w:rsidRPr="00E677D9">
          <w:rPr>
            <w:color w:val="1155CC"/>
            <w:sz w:val="24"/>
            <w:szCs w:val="24"/>
            <w:highlight w:val="white"/>
            <w:u w:val="single"/>
          </w:rPr>
          <w:t>https://doi.org/10.3390/app13127082</w:t>
        </w:r>
      </w:hyperlink>
      <w:r w:rsidRPr="00E677D9">
        <w:rPr>
          <w:color w:val="0D0D0D"/>
          <w:sz w:val="24"/>
          <w:szCs w:val="24"/>
          <w:highlight w:val="white"/>
        </w:rPr>
        <w:t xml:space="preserve"> </w:t>
      </w:r>
    </w:p>
    <w:p w14:paraId="26E4E175"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E677D9">
        <w:rPr>
          <w:color w:val="0D0D0D"/>
          <w:sz w:val="24"/>
          <w:szCs w:val="24"/>
          <w:highlight w:val="white"/>
        </w:rPr>
        <w:t xml:space="preserve">Ali, M. L., Thakur, K., Barker, H., &amp; Chan, M. (2024). The Rise of Artificial Intelligence: Industry Insights and Applications in Security Information and Event Management (SIEM). </w:t>
      </w:r>
      <w:proofErr w:type="gramStart"/>
      <w:r w:rsidRPr="00E677D9">
        <w:rPr>
          <w:i/>
          <w:color w:val="0D0D0D"/>
          <w:sz w:val="24"/>
          <w:szCs w:val="24"/>
          <w:highlight w:val="white"/>
        </w:rPr>
        <w:t xml:space="preserve">IEEE </w:t>
      </w:r>
      <w:r w:rsidRPr="00E677D9">
        <w:rPr>
          <w:color w:val="0D0D0D"/>
          <w:sz w:val="24"/>
          <w:szCs w:val="24"/>
          <w:highlight w:val="white"/>
        </w:rPr>
        <w:t>,</w:t>
      </w:r>
      <w:proofErr w:type="gramEnd"/>
      <w:r w:rsidRPr="00E677D9">
        <w:rPr>
          <w:color w:val="0D0D0D"/>
          <w:sz w:val="24"/>
          <w:szCs w:val="24"/>
          <w:highlight w:val="white"/>
        </w:rPr>
        <w:t xml:space="preserve"> 0477–0482. </w:t>
      </w:r>
      <w:hyperlink r:id="rId30">
        <w:r w:rsidRPr="00E677D9">
          <w:rPr>
            <w:color w:val="1155CC"/>
            <w:sz w:val="24"/>
            <w:szCs w:val="24"/>
            <w:highlight w:val="white"/>
            <w:u w:val="single"/>
          </w:rPr>
          <w:t>https://doi.org/10.1109/uemcon62879.2024.10754705</w:t>
        </w:r>
      </w:hyperlink>
      <w:r w:rsidRPr="00E677D9">
        <w:rPr>
          <w:color w:val="0D0D0D"/>
          <w:sz w:val="24"/>
          <w:szCs w:val="24"/>
          <w:highlight w:val="white"/>
        </w:rPr>
        <w:t xml:space="preserve"> </w:t>
      </w:r>
    </w:p>
    <w:p w14:paraId="35AA1F0B"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E677D9">
        <w:rPr>
          <w:color w:val="0D0D0D"/>
          <w:sz w:val="24"/>
          <w:szCs w:val="24"/>
          <w:highlight w:val="white"/>
        </w:rPr>
        <w:t xml:space="preserve">Arefin, S., &amp; Simcox, M. (2024). AI-Driven Solutions for Safeguarding Healthcare Data: Innovations in Cybersecurity. </w:t>
      </w:r>
      <w:r w:rsidRPr="00E677D9">
        <w:rPr>
          <w:i/>
          <w:color w:val="0D0D0D"/>
          <w:sz w:val="24"/>
          <w:szCs w:val="24"/>
          <w:highlight w:val="white"/>
        </w:rPr>
        <w:t>International Business Research</w:t>
      </w:r>
      <w:r w:rsidRPr="00E677D9">
        <w:rPr>
          <w:color w:val="0D0D0D"/>
          <w:sz w:val="24"/>
          <w:szCs w:val="24"/>
          <w:highlight w:val="white"/>
        </w:rPr>
        <w:t xml:space="preserve">, </w:t>
      </w:r>
      <w:r w:rsidRPr="00E677D9">
        <w:rPr>
          <w:i/>
          <w:color w:val="0D0D0D"/>
          <w:sz w:val="24"/>
          <w:szCs w:val="24"/>
          <w:highlight w:val="white"/>
        </w:rPr>
        <w:t>17</w:t>
      </w:r>
      <w:r w:rsidRPr="00E677D9">
        <w:rPr>
          <w:color w:val="0D0D0D"/>
          <w:sz w:val="24"/>
          <w:szCs w:val="24"/>
          <w:highlight w:val="white"/>
        </w:rPr>
        <w:t xml:space="preserve">(6), 74. </w:t>
      </w:r>
      <w:hyperlink r:id="rId31">
        <w:r w:rsidRPr="00E677D9">
          <w:rPr>
            <w:color w:val="1155CC"/>
            <w:sz w:val="24"/>
            <w:szCs w:val="24"/>
            <w:highlight w:val="white"/>
            <w:u w:val="single"/>
          </w:rPr>
          <w:t>https://doi.org/10.5539/ibr.v17n6p74</w:t>
        </w:r>
      </w:hyperlink>
      <w:r w:rsidRPr="00E677D9">
        <w:rPr>
          <w:color w:val="0D0D0D"/>
          <w:sz w:val="24"/>
          <w:szCs w:val="24"/>
          <w:highlight w:val="white"/>
        </w:rPr>
        <w:t xml:space="preserve"> </w:t>
      </w:r>
    </w:p>
    <w:p w14:paraId="5A75C528"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proofErr w:type="spellStart"/>
      <w:r w:rsidRPr="00E677D9">
        <w:rPr>
          <w:color w:val="0D0D0D"/>
          <w:sz w:val="24"/>
          <w:szCs w:val="24"/>
          <w:highlight w:val="white"/>
        </w:rPr>
        <w:t>Arghire</w:t>
      </w:r>
      <w:proofErr w:type="spellEnd"/>
      <w:r w:rsidRPr="00E677D9">
        <w:rPr>
          <w:color w:val="0D0D0D"/>
          <w:sz w:val="24"/>
          <w:szCs w:val="24"/>
          <w:highlight w:val="white"/>
        </w:rPr>
        <w:t xml:space="preserve">, I. (2024). </w:t>
      </w:r>
      <w:r w:rsidRPr="00E677D9">
        <w:rPr>
          <w:i/>
          <w:color w:val="0D0D0D"/>
          <w:sz w:val="24"/>
          <w:szCs w:val="24"/>
          <w:highlight w:val="white"/>
        </w:rPr>
        <w:t>Change Healthcare Ransomware Attack Impacts 100 Million People</w:t>
      </w:r>
      <w:r w:rsidRPr="00E677D9">
        <w:rPr>
          <w:color w:val="0D0D0D"/>
          <w:sz w:val="24"/>
          <w:szCs w:val="24"/>
          <w:highlight w:val="white"/>
        </w:rPr>
        <w:t xml:space="preserve">. </w:t>
      </w:r>
      <w:proofErr w:type="spellStart"/>
      <w:r w:rsidRPr="00E677D9">
        <w:rPr>
          <w:color w:val="0D0D0D"/>
          <w:sz w:val="24"/>
          <w:szCs w:val="24"/>
          <w:highlight w:val="white"/>
        </w:rPr>
        <w:t>SecurityWeek</w:t>
      </w:r>
      <w:proofErr w:type="spellEnd"/>
      <w:r w:rsidRPr="00E677D9">
        <w:rPr>
          <w:color w:val="0D0D0D"/>
          <w:sz w:val="24"/>
          <w:szCs w:val="24"/>
          <w:highlight w:val="white"/>
        </w:rPr>
        <w:t xml:space="preserve">. </w:t>
      </w:r>
      <w:hyperlink r:id="rId32">
        <w:r w:rsidRPr="00E677D9">
          <w:rPr>
            <w:color w:val="1155CC"/>
            <w:sz w:val="24"/>
            <w:szCs w:val="24"/>
            <w:highlight w:val="white"/>
            <w:u w:val="single"/>
          </w:rPr>
          <w:t>https://www.securityweek.com/change-healthcare-ransomware-attack-impacts-100-million-people/</w:t>
        </w:r>
      </w:hyperlink>
      <w:r w:rsidRPr="00E677D9">
        <w:rPr>
          <w:color w:val="0D0D0D"/>
          <w:sz w:val="24"/>
          <w:szCs w:val="24"/>
          <w:highlight w:val="white"/>
        </w:rPr>
        <w:t xml:space="preserve"> </w:t>
      </w:r>
    </w:p>
    <w:p w14:paraId="73197967"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E677D9">
        <w:rPr>
          <w:color w:val="0D0D0D"/>
          <w:sz w:val="24"/>
          <w:szCs w:val="24"/>
          <w:highlight w:val="white"/>
        </w:rPr>
        <w:t xml:space="preserve">Aslan, Ö., Aktuğ, S. S., Ozkan-Okay, M., Yilmaz, A. A., &amp; Akin, E. (2023). A Comprehensive Review of Cyber Security Vulnerabilities, Threats, Attacks, and Solutions. </w:t>
      </w:r>
      <w:r w:rsidRPr="00E677D9">
        <w:rPr>
          <w:i/>
          <w:color w:val="0D0D0D"/>
          <w:sz w:val="24"/>
          <w:szCs w:val="24"/>
          <w:highlight w:val="white"/>
        </w:rPr>
        <w:t>Electronics</w:t>
      </w:r>
      <w:r w:rsidRPr="00E677D9">
        <w:rPr>
          <w:color w:val="0D0D0D"/>
          <w:sz w:val="24"/>
          <w:szCs w:val="24"/>
          <w:highlight w:val="white"/>
        </w:rPr>
        <w:t xml:space="preserve">, </w:t>
      </w:r>
      <w:r w:rsidRPr="00E677D9">
        <w:rPr>
          <w:i/>
          <w:color w:val="0D0D0D"/>
          <w:sz w:val="24"/>
          <w:szCs w:val="24"/>
          <w:highlight w:val="white"/>
        </w:rPr>
        <w:t>12</w:t>
      </w:r>
      <w:r w:rsidRPr="00E677D9">
        <w:rPr>
          <w:color w:val="0D0D0D"/>
          <w:sz w:val="24"/>
          <w:szCs w:val="24"/>
          <w:highlight w:val="white"/>
        </w:rPr>
        <w:t xml:space="preserve">(6), 1–42. </w:t>
      </w:r>
      <w:hyperlink r:id="rId33">
        <w:r w:rsidRPr="00E677D9">
          <w:rPr>
            <w:color w:val="1155CC"/>
            <w:sz w:val="24"/>
            <w:szCs w:val="24"/>
            <w:highlight w:val="white"/>
            <w:u w:val="single"/>
          </w:rPr>
          <w:t>https://doi.org/10.3390/electronics12061333</w:t>
        </w:r>
      </w:hyperlink>
      <w:r w:rsidRPr="00E677D9">
        <w:rPr>
          <w:color w:val="0D0D0D"/>
          <w:sz w:val="24"/>
          <w:szCs w:val="24"/>
          <w:highlight w:val="white"/>
        </w:rPr>
        <w:t xml:space="preserve"> </w:t>
      </w:r>
    </w:p>
    <w:p w14:paraId="33535782" w14:textId="77777777" w:rsidR="00557214" w:rsidRPr="00261B7A"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lang w:val="es-ES"/>
        </w:rPr>
      </w:pPr>
      <w:r w:rsidRPr="00E677D9">
        <w:rPr>
          <w:color w:val="0D0D0D"/>
          <w:sz w:val="24"/>
          <w:szCs w:val="24"/>
          <w:highlight w:val="white"/>
        </w:rPr>
        <w:t xml:space="preserve">Bala, I., </w:t>
      </w:r>
      <w:proofErr w:type="spellStart"/>
      <w:r w:rsidRPr="00E677D9">
        <w:rPr>
          <w:color w:val="0D0D0D"/>
          <w:sz w:val="24"/>
          <w:szCs w:val="24"/>
          <w:highlight w:val="white"/>
        </w:rPr>
        <w:t>Pindoo</w:t>
      </w:r>
      <w:proofErr w:type="spellEnd"/>
      <w:r w:rsidRPr="00E677D9">
        <w:rPr>
          <w:color w:val="0D0D0D"/>
          <w:sz w:val="24"/>
          <w:szCs w:val="24"/>
          <w:highlight w:val="white"/>
        </w:rPr>
        <w:t xml:space="preserve">, I., </w:t>
      </w:r>
      <w:proofErr w:type="spellStart"/>
      <w:r w:rsidRPr="00E677D9">
        <w:rPr>
          <w:color w:val="0D0D0D"/>
          <w:sz w:val="24"/>
          <w:szCs w:val="24"/>
          <w:highlight w:val="white"/>
        </w:rPr>
        <w:t>Mijwil</w:t>
      </w:r>
      <w:proofErr w:type="spellEnd"/>
      <w:r w:rsidRPr="00E677D9">
        <w:rPr>
          <w:color w:val="0D0D0D"/>
          <w:sz w:val="24"/>
          <w:szCs w:val="24"/>
          <w:highlight w:val="white"/>
        </w:rPr>
        <w:t xml:space="preserve">, M. M., </w:t>
      </w:r>
      <w:proofErr w:type="spellStart"/>
      <w:r w:rsidRPr="00E677D9">
        <w:rPr>
          <w:color w:val="0D0D0D"/>
          <w:sz w:val="24"/>
          <w:szCs w:val="24"/>
          <w:highlight w:val="white"/>
        </w:rPr>
        <w:t>Abotaleb</w:t>
      </w:r>
      <w:proofErr w:type="spellEnd"/>
      <w:r w:rsidRPr="00E677D9">
        <w:rPr>
          <w:color w:val="0D0D0D"/>
          <w:sz w:val="24"/>
          <w:szCs w:val="24"/>
          <w:highlight w:val="white"/>
        </w:rPr>
        <w:t xml:space="preserve">, M., &amp; </w:t>
      </w:r>
      <w:proofErr w:type="spellStart"/>
      <w:r w:rsidRPr="00E677D9">
        <w:rPr>
          <w:color w:val="0D0D0D"/>
          <w:sz w:val="24"/>
          <w:szCs w:val="24"/>
          <w:highlight w:val="white"/>
        </w:rPr>
        <w:t>Yundong</w:t>
      </w:r>
      <w:proofErr w:type="spellEnd"/>
      <w:r w:rsidRPr="00E677D9">
        <w:rPr>
          <w:color w:val="0D0D0D"/>
          <w:sz w:val="24"/>
          <w:szCs w:val="24"/>
          <w:highlight w:val="white"/>
        </w:rPr>
        <w:t xml:space="preserve">, W. (2024). Ensuring Security and Privacy in Healthcare Systems: A Review Exploring Challenges, Solutions, Future Trends, and the Practical Applications of Artificial Intelligence. </w:t>
      </w:r>
      <w:proofErr w:type="spellStart"/>
      <w:r w:rsidRPr="00261B7A">
        <w:rPr>
          <w:i/>
          <w:color w:val="0D0D0D"/>
          <w:sz w:val="24"/>
          <w:szCs w:val="24"/>
          <w:highlight w:val="white"/>
          <w:lang w:val="es-ES"/>
        </w:rPr>
        <w:t>Jordan</w:t>
      </w:r>
      <w:proofErr w:type="spellEnd"/>
      <w:r w:rsidRPr="00261B7A">
        <w:rPr>
          <w:i/>
          <w:color w:val="0D0D0D"/>
          <w:sz w:val="24"/>
          <w:szCs w:val="24"/>
          <w:highlight w:val="white"/>
          <w:lang w:val="es-ES"/>
        </w:rPr>
        <w:t xml:space="preserve"> Medical </w:t>
      </w:r>
      <w:proofErr w:type="spellStart"/>
      <w:r w:rsidRPr="00261B7A">
        <w:rPr>
          <w:i/>
          <w:color w:val="0D0D0D"/>
          <w:sz w:val="24"/>
          <w:szCs w:val="24"/>
          <w:highlight w:val="white"/>
          <w:lang w:val="es-ES"/>
        </w:rPr>
        <w:t>Journal</w:t>
      </w:r>
      <w:proofErr w:type="spellEnd"/>
      <w:r w:rsidRPr="00261B7A">
        <w:rPr>
          <w:color w:val="0D0D0D"/>
          <w:sz w:val="24"/>
          <w:szCs w:val="24"/>
          <w:highlight w:val="white"/>
          <w:lang w:val="es-ES"/>
        </w:rPr>
        <w:t xml:space="preserve">, </w:t>
      </w:r>
      <w:r w:rsidRPr="00261B7A">
        <w:rPr>
          <w:i/>
          <w:color w:val="0D0D0D"/>
          <w:sz w:val="24"/>
          <w:szCs w:val="24"/>
          <w:highlight w:val="white"/>
          <w:lang w:val="es-ES"/>
        </w:rPr>
        <w:t>58</w:t>
      </w:r>
      <w:r w:rsidRPr="00261B7A">
        <w:rPr>
          <w:color w:val="0D0D0D"/>
          <w:sz w:val="24"/>
          <w:szCs w:val="24"/>
          <w:highlight w:val="white"/>
          <w:lang w:val="es-ES"/>
        </w:rPr>
        <w:t xml:space="preserve">(2). </w:t>
      </w:r>
      <w:hyperlink r:id="rId34">
        <w:r w:rsidRPr="00261B7A">
          <w:rPr>
            <w:color w:val="1155CC"/>
            <w:sz w:val="24"/>
            <w:szCs w:val="24"/>
            <w:highlight w:val="white"/>
            <w:u w:val="single"/>
            <w:lang w:val="es-ES"/>
          </w:rPr>
          <w:t>https://jjournals.ju.edu.jo/index.php/JMJ/article/view/2527</w:t>
        </w:r>
      </w:hyperlink>
      <w:r w:rsidRPr="00261B7A">
        <w:rPr>
          <w:color w:val="0D0D0D"/>
          <w:sz w:val="24"/>
          <w:szCs w:val="24"/>
          <w:highlight w:val="white"/>
          <w:lang w:val="es-ES"/>
        </w:rPr>
        <w:t xml:space="preserve"> </w:t>
      </w:r>
    </w:p>
    <w:p w14:paraId="1F50F011"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E677D9">
        <w:rPr>
          <w:color w:val="0D0D0D"/>
          <w:sz w:val="24"/>
          <w:szCs w:val="24"/>
          <w:highlight w:val="white"/>
        </w:rPr>
        <w:t xml:space="preserve">Balogun, A. Y. (2025). Strengthening Compliance with Data Privacy Regulations in U.S. Healthcare Cybersecurity. </w:t>
      </w:r>
      <w:r w:rsidRPr="00E677D9">
        <w:rPr>
          <w:i/>
          <w:color w:val="0D0D0D"/>
          <w:sz w:val="24"/>
          <w:szCs w:val="24"/>
          <w:highlight w:val="white"/>
        </w:rPr>
        <w:t>Asian Journal of Research in Computer Science</w:t>
      </w:r>
      <w:r w:rsidRPr="00E677D9">
        <w:rPr>
          <w:color w:val="0D0D0D"/>
          <w:sz w:val="24"/>
          <w:szCs w:val="24"/>
          <w:highlight w:val="white"/>
        </w:rPr>
        <w:t xml:space="preserve">, </w:t>
      </w:r>
      <w:r w:rsidRPr="00E677D9">
        <w:rPr>
          <w:i/>
          <w:color w:val="0D0D0D"/>
          <w:sz w:val="24"/>
          <w:szCs w:val="24"/>
          <w:highlight w:val="white"/>
        </w:rPr>
        <w:t>18</w:t>
      </w:r>
      <w:r w:rsidRPr="00E677D9">
        <w:rPr>
          <w:color w:val="0D0D0D"/>
          <w:sz w:val="24"/>
          <w:szCs w:val="24"/>
          <w:highlight w:val="white"/>
        </w:rPr>
        <w:t xml:space="preserve">(1), 154–173. </w:t>
      </w:r>
      <w:hyperlink r:id="rId35">
        <w:r w:rsidRPr="00E677D9">
          <w:rPr>
            <w:color w:val="1155CC"/>
            <w:sz w:val="24"/>
            <w:szCs w:val="24"/>
            <w:highlight w:val="white"/>
            <w:u w:val="single"/>
          </w:rPr>
          <w:t>https://doi.org/10.9734/ajrcos/2025/v18i1555</w:t>
        </w:r>
      </w:hyperlink>
      <w:r w:rsidRPr="00E677D9">
        <w:rPr>
          <w:color w:val="0D0D0D"/>
          <w:sz w:val="24"/>
          <w:szCs w:val="24"/>
          <w:highlight w:val="white"/>
        </w:rPr>
        <w:t xml:space="preserve"> </w:t>
      </w:r>
    </w:p>
    <w:p w14:paraId="7F168DD8"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E677D9">
        <w:rPr>
          <w:color w:val="0D0D0D"/>
          <w:sz w:val="24"/>
          <w:szCs w:val="24"/>
          <w:highlight w:val="white"/>
        </w:rPr>
        <w:t xml:space="preserve">Balogun, A. Y., </w:t>
      </w:r>
      <w:proofErr w:type="spellStart"/>
      <w:r w:rsidRPr="00E677D9">
        <w:rPr>
          <w:color w:val="0D0D0D"/>
          <w:sz w:val="24"/>
          <w:szCs w:val="24"/>
          <w:highlight w:val="white"/>
        </w:rPr>
        <w:t>Metibemu</w:t>
      </w:r>
      <w:proofErr w:type="spellEnd"/>
      <w:r w:rsidRPr="00E677D9">
        <w:rPr>
          <w:color w:val="0D0D0D"/>
          <w:sz w:val="24"/>
          <w:szCs w:val="24"/>
          <w:highlight w:val="white"/>
        </w:rPr>
        <w:t xml:space="preserve">, O. C., </w:t>
      </w:r>
      <w:proofErr w:type="spellStart"/>
      <w:r w:rsidRPr="00E677D9">
        <w:rPr>
          <w:color w:val="0D0D0D"/>
          <w:sz w:val="24"/>
          <w:szCs w:val="24"/>
          <w:highlight w:val="white"/>
        </w:rPr>
        <w:t>Olutimehin</w:t>
      </w:r>
      <w:proofErr w:type="spellEnd"/>
      <w:r w:rsidRPr="00E677D9">
        <w:rPr>
          <w:color w:val="0D0D0D"/>
          <w:sz w:val="24"/>
          <w:szCs w:val="24"/>
          <w:highlight w:val="white"/>
        </w:rPr>
        <w:t xml:space="preserve">, A. T., Ajayi, A. J., Babarinde, D. C., &amp; Olaniyi, O. O. (2025). The Ethical and Legal Implications of Shadow AI in Sensitive Industries: A Focus on Healthcare, Finance and Education. </w:t>
      </w:r>
      <w:r w:rsidRPr="00E677D9">
        <w:rPr>
          <w:i/>
          <w:color w:val="0D0D0D"/>
          <w:sz w:val="24"/>
          <w:szCs w:val="24"/>
          <w:highlight w:val="white"/>
        </w:rPr>
        <w:t>Journal of Engineering Research and Reports</w:t>
      </w:r>
      <w:r w:rsidRPr="00E677D9">
        <w:rPr>
          <w:color w:val="0D0D0D"/>
          <w:sz w:val="24"/>
          <w:szCs w:val="24"/>
          <w:highlight w:val="white"/>
        </w:rPr>
        <w:t xml:space="preserve">, </w:t>
      </w:r>
      <w:r w:rsidRPr="00E677D9">
        <w:rPr>
          <w:i/>
          <w:color w:val="0D0D0D"/>
          <w:sz w:val="24"/>
          <w:szCs w:val="24"/>
          <w:highlight w:val="white"/>
        </w:rPr>
        <w:t>27</w:t>
      </w:r>
      <w:r w:rsidRPr="00E677D9">
        <w:rPr>
          <w:color w:val="0D0D0D"/>
          <w:sz w:val="24"/>
          <w:szCs w:val="24"/>
          <w:highlight w:val="white"/>
        </w:rPr>
        <w:t xml:space="preserve">(3), 1–22. </w:t>
      </w:r>
      <w:hyperlink r:id="rId36">
        <w:r w:rsidRPr="00E677D9">
          <w:rPr>
            <w:color w:val="1155CC"/>
            <w:sz w:val="24"/>
            <w:szCs w:val="24"/>
            <w:highlight w:val="white"/>
            <w:u w:val="single"/>
          </w:rPr>
          <w:t>https://doi.org/10.9734/jerr/2025/v27i31414</w:t>
        </w:r>
      </w:hyperlink>
      <w:r w:rsidRPr="00E677D9">
        <w:rPr>
          <w:color w:val="0D0D0D"/>
          <w:sz w:val="24"/>
          <w:szCs w:val="24"/>
          <w:highlight w:val="white"/>
        </w:rPr>
        <w:t xml:space="preserve"> </w:t>
      </w:r>
    </w:p>
    <w:p w14:paraId="1F4C9739" w14:textId="77777777" w:rsidR="00557214" w:rsidRPr="00261B7A"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lang w:val="es-ES"/>
        </w:rPr>
      </w:pPr>
      <w:proofErr w:type="spellStart"/>
      <w:r w:rsidRPr="00261B7A">
        <w:rPr>
          <w:color w:val="0D0D0D"/>
          <w:sz w:val="24"/>
          <w:szCs w:val="24"/>
          <w:highlight w:val="white"/>
          <w:lang w:val="es-ES"/>
        </w:rPr>
        <w:t>Balogun</w:t>
      </w:r>
      <w:proofErr w:type="spellEnd"/>
      <w:r w:rsidRPr="00261B7A">
        <w:rPr>
          <w:color w:val="0D0D0D"/>
          <w:sz w:val="24"/>
          <w:szCs w:val="24"/>
          <w:highlight w:val="white"/>
          <w:lang w:val="es-ES"/>
        </w:rPr>
        <w:t xml:space="preserve">, A. Y., Olaniyi, O. O., </w:t>
      </w:r>
      <w:proofErr w:type="spellStart"/>
      <w:r w:rsidRPr="00261B7A">
        <w:rPr>
          <w:color w:val="0D0D0D"/>
          <w:sz w:val="24"/>
          <w:szCs w:val="24"/>
          <w:highlight w:val="white"/>
          <w:lang w:val="es-ES"/>
        </w:rPr>
        <w:t>Olisa</w:t>
      </w:r>
      <w:proofErr w:type="spellEnd"/>
      <w:r w:rsidRPr="00261B7A">
        <w:rPr>
          <w:color w:val="0D0D0D"/>
          <w:sz w:val="24"/>
          <w:szCs w:val="24"/>
          <w:highlight w:val="white"/>
          <w:lang w:val="es-ES"/>
        </w:rPr>
        <w:t xml:space="preserve">, A. O., </w:t>
      </w:r>
      <w:proofErr w:type="spellStart"/>
      <w:r w:rsidRPr="00261B7A">
        <w:rPr>
          <w:color w:val="0D0D0D"/>
          <w:sz w:val="24"/>
          <w:szCs w:val="24"/>
          <w:highlight w:val="white"/>
          <w:lang w:val="es-ES"/>
        </w:rPr>
        <w:t>Gbadebo</w:t>
      </w:r>
      <w:proofErr w:type="spellEnd"/>
      <w:r w:rsidRPr="00261B7A">
        <w:rPr>
          <w:color w:val="0D0D0D"/>
          <w:sz w:val="24"/>
          <w:szCs w:val="24"/>
          <w:highlight w:val="white"/>
          <w:lang w:val="es-ES"/>
        </w:rPr>
        <w:t xml:space="preserve">, M. O., &amp; </w:t>
      </w:r>
      <w:proofErr w:type="spellStart"/>
      <w:r w:rsidRPr="00261B7A">
        <w:rPr>
          <w:color w:val="0D0D0D"/>
          <w:sz w:val="24"/>
          <w:szCs w:val="24"/>
          <w:highlight w:val="white"/>
          <w:lang w:val="es-ES"/>
        </w:rPr>
        <w:t>Chinye</w:t>
      </w:r>
      <w:proofErr w:type="spellEnd"/>
      <w:r w:rsidRPr="00261B7A">
        <w:rPr>
          <w:color w:val="0D0D0D"/>
          <w:sz w:val="24"/>
          <w:szCs w:val="24"/>
          <w:highlight w:val="white"/>
          <w:lang w:val="es-ES"/>
        </w:rPr>
        <w:t xml:space="preserve">, N. C. (2025). </w:t>
      </w:r>
      <w:r w:rsidRPr="00E677D9">
        <w:rPr>
          <w:color w:val="0D0D0D"/>
          <w:sz w:val="24"/>
          <w:szCs w:val="24"/>
          <w:highlight w:val="white"/>
        </w:rPr>
        <w:t xml:space="preserve">Enhancing Incident Response Strategies in U.S. Healthcare Cybersecurity. </w:t>
      </w:r>
      <w:r w:rsidRPr="00E677D9">
        <w:rPr>
          <w:i/>
          <w:color w:val="0D0D0D"/>
          <w:sz w:val="24"/>
          <w:szCs w:val="24"/>
          <w:highlight w:val="white"/>
        </w:rPr>
        <w:t>Journal of Engineering Research and Reports</w:t>
      </w:r>
      <w:r w:rsidRPr="00E677D9">
        <w:rPr>
          <w:color w:val="0D0D0D"/>
          <w:sz w:val="24"/>
          <w:szCs w:val="24"/>
          <w:highlight w:val="white"/>
        </w:rPr>
        <w:t xml:space="preserve">, </w:t>
      </w:r>
      <w:r w:rsidRPr="00E677D9">
        <w:rPr>
          <w:i/>
          <w:color w:val="0D0D0D"/>
          <w:sz w:val="24"/>
          <w:szCs w:val="24"/>
          <w:highlight w:val="white"/>
        </w:rPr>
        <w:t>27</w:t>
      </w:r>
      <w:r w:rsidRPr="00E677D9">
        <w:rPr>
          <w:color w:val="0D0D0D"/>
          <w:sz w:val="24"/>
          <w:szCs w:val="24"/>
          <w:highlight w:val="white"/>
        </w:rPr>
        <w:t xml:space="preserve">(2), 114–135. </w:t>
      </w:r>
      <w:hyperlink r:id="rId37">
        <w:r w:rsidRPr="00261B7A">
          <w:rPr>
            <w:color w:val="1155CC"/>
            <w:sz w:val="24"/>
            <w:szCs w:val="24"/>
            <w:highlight w:val="white"/>
            <w:u w:val="single"/>
            <w:lang w:val="es-ES"/>
          </w:rPr>
          <w:t>https://doi.org/10.9734/jerr/2025/v27i21399</w:t>
        </w:r>
      </w:hyperlink>
      <w:r w:rsidRPr="00261B7A">
        <w:rPr>
          <w:color w:val="0D0D0D"/>
          <w:sz w:val="24"/>
          <w:szCs w:val="24"/>
          <w:highlight w:val="white"/>
          <w:lang w:val="es-ES"/>
        </w:rPr>
        <w:t xml:space="preserve">  </w:t>
      </w:r>
    </w:p>
    <w:p w14:paraId="58523402"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261B7A">
        <w:rPr>
          <w:color w:val="0D0D0D"/>
          <w:sz w:val="24"/>
          <w:szCs w:val="24"/>
          <w:highlight w:val="white"/>
          <w:lang w:val="es-ES"/>
        </w:rPr>
        <w:t xml:space="preserve">Ban, T., Takahashi, T., </w:t>
      </w:r>
      <w:proofErr w:type="spellStart"/>
      <w:r w:rsidRPr="00261B7A">
        <w:rPr>
          <w:color w:val="0D0D0D"/>
          <w:sz w:val="24"/>
          <w:szCs w:val="24"/>
          <w:highlight w:val="white"/>
          <w:lang w:val="es-ES"/>
        </w:rPr>
        <w:t>Ndichu</w:t>
      </w:r>
      <w:proofErr w:type="spellEnd"/>
      <w:r w:rsidRPr="00261B7A">
        <w:rPr>
          <w:color w:val="0D0D0D"/>
          <w:sz w:val="24"/>
          <w:szCs w:val="24"/>
          <w:highlight w:val="white"/>
          <w:lang w:val="es-ES"/>
        </w:rPr>
        <w:t xml:space="preserve">, S., &amp; </w:t>
      </w:r>
      <w:proofErr w:type="spellStart"/>
      <w:r w:rsidRPr="00261B7A">
        <w:rPr>
          <w:color w:val="0D0D0D"/>
          <w:sz w:val="24"/>
          <w:szCs w:val="24"/>
          <w:highlight w:val="white"/>
          <w:lang w:val="es-ES"/>
        </w:rPr>
        <w:t>Inoue</w:t>
      </w:r>
      <w:proofErr w:type="spellEnd"/>
      <w:r w:rsidRPr="00261B7A">
        <w:rPr>
          <w:color w:val="0D0D0D"/>
          <w:sz w:val="24"/>
          <w:szCs w:val="24"/>
          <w:highlight w:val="white"/>
          <w:lang w:val="es-ES"/>
        </w:rPr>
        <w:t xml:space="preserve">, D. (2023). </w:t>
      </w:r>
      <w:r w:rsidRPr="00E677D9">
        <w:rPr>
          <w:color w:val="0D0D0D"/>
          <w:sz w:val="24"/>
          <w:szCs w:val="24"/>
          <w:highlight w:val="white"/>
        </w:rPr>
        <w:t xml:space="preserve">Breaking Alert Fatigue: AI-Assisted SIEM Framework for Effective Incident Response. </w:t>
      </w:r>
      <w:r w:rsidRPr="00E677D9">
        <w:rPr>
          <w:i/>
          <w:color w:val="0D0D0D"/>
          <w:sz w:val="24"/>
          <w:szCs w:val="24"/>
          <w:highlight w:val="white"/>
        </w:rPr>
        <w:t>Applied Sciences</w:t>
      </w:r>
      <w:r w:rsidRPr="00E677D9">
        <w:rPr>
          <w:color w:val="0D0D0D"/>
          <w:sz w:val="24"/>
          <w:szCs w:val="24"/>
          <w:highlight w:val="white"/>
        </w:rPr>
        <w:t xml:space="preserve">, </w:t>
      </w:r>
      <w:r w:rsidRPr="00E677D9">
        <w:rPr>
          <w:i/>
          <w:color w:val="0D0D0D"/>
          <w:sz w:val="24"/>
          <w:szCs w:val="24"/>
          <w:highlight w:val="white"/>
        </w:rPr>
        <w:t>13</w:t>
      </w:r>
      <w:r w:rsidRPr="00E677D9">
        <w:rPr>
          <w:color w:val="0D0D0D"/>
          <w:sz w:val="24"/>
          <w:szCs w:val="24"/>
          <w:highlight w:val="white"/>
        </w:rPr>
        <w:t xml:space="preserve">(11), 6610–6610. </w:t>
      </w:r>
      <w:hyperlink r:id="rId38">
        <w:r w:rsidRPr="00E677D9">
          <w:rPr>
            <w:color w:val="1155CC"/>
            <w:sz w:val="24"/>
            <w:szCs w:val="24"/>
            <w:highlight w:val="white"/>
            <w:u w:val="single"/>
          </w:rPr>
          <w:t>https://doi.org/10.3390/app13116610</w:t>
        </w:r>
      </w:hyperlink>
      <w:r w:rsidRPr="00E677D9">
        <w:rPr>
          <w:color w:val="0D0D0D"/>
          <w:sz w:val="24"/>
          <w:szCs w:val="24"/>
          <w:highlight w:val="white"/>
        </w:rPr>
        <w:t xml:space="preserve"> </w:t>
      </w:r>
    </w:p>
    <w:p w14:paraId="64A20372"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E677D9">
        <w:rPr>
          <w:color w:val="0D0D0D"/>
          <w:sz w:val="24"/>
          <w:szCs w:val="24"/>
          <w:highlight w:val="white"/>
        </w:rPr>
        <w:lastRenderedPageBreak/>
        <w:t xml:space="preserve">Burgess, M. (2024). </w:t>
      </w:r>
      <w:r w:rsidRPr="00E677D9">
        <w:rPr>
          <w:i/>
          <w:color w:val="0D0D0D"/>
          <w:sz w:val="24"/>
          <w:szCs w:val="24"/>
          <w:highlight w:val="white"/>
        </w:rPr>
        <w:t>Therapy Sessions Exposed by Mental Health Care Firm’s Unsecured Database</w:t>
      </w:r>
      <w:r w:rsidRPr="00E677D9">
        <w:rPr>
          <w:color w:val="0D0D0D"/>
          <w:sz w:val="24"/>
          <w:szCs w:val="24"/>
          <w:highlight w:val="white"/>
        </w:rPr>
        <w:t xml:space="preserve">. WIRED; WIRED. </w:t>
      </w:r>
      <w:hyperlink r:id="rId39">
        <w:r w:rsidRPr="00E677D9">
          <w:rPr>
            <w:color w:val="1155CC"/>
            <w:sz w:val="24"/>
            <w:szCs w:val="24"/>
            <w:highlight w:val="white"/>
            <w:u w:val="single"/>
          </w:rPr>
          <w:t>https://www.wired.com/story/confidant-health-therapy-records-database-exposure/</w:t>
        </w:r>
      </w:hyperlink>
      <w:r w:rsidRPr="00E677D9">
        <w:rPr>
          <w:color w:val="0D0D0D"/>
          <w:sz w:val="24"/>
          <w:szCs w:val="24"/>
          <w:highlight w:val="white"/>
        </w:rPr>
        <w:t xml:space="preserve"> </w:t>
      </w:r>
    </w:p>
    <w:p w14:paraId="366B1AA2"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proofErr w:type="gramStart"/>
      <w:r w:rsidRPr="00E677D9">
        <w:rPr>
          <w:color w:val="0D0D0D"/>
          <w:sz w:val="24"/>
          <w:szCs w:val="24"/>
          <w:highlight w:val="white"/>
        </w:rPr>
        <w:t>CCDCOE .</w:t>
      </w:r>
      <w:proofErr w:type="gramEnd"/>
      <w:r w:rsidRPr="00E677D9">
        <w:rPr>
          <w:color w:val="0D0D0D"/>
          <w:sz w:val="24"/>
          <w:szCs w:val="24"/>
          <w:highlight w:val="white"/>
        </w:rPr>
        <w:t xml:space="preserve"> (2021). </w:t>
      </w:r>
      <w:r w:rsidRPr="00E677D9">
        <w:rPr>
          <w:i/>
          <w:color w:val="0D0D0D"/>
          <w:sz w:val="24"/>
          <w:szCs w:val="24"/>
          <w:highlight w:val="white"/>
        </w:rPr>
        <w:t>Ireland’s Health Service Executive ransomware attack (2021) - International cyber law: interactive toolkit</w:t>
      </w:r>
      <w:r w:rsidRPr="00E677D9">
        <w:rPr>
          <w:color w:val="0D0D0D"/>
          <w:sz w:val="24"/>
          <w:szCs w:val="24"/>
          <w:highlight w:val="white"/>
        </w:rPr>
        <w:t xml:space="preserve">. International Cyber Law: Interactive Toolkit; International cyber law: interactive toolkit. </w:t>
      </w:r>
      <w:hyperlink r:id="rId40">
        <w:r w:rsidRPr="00E677D9">
          <w:rPr>
            <w:color w:val="1155CC"/>
            <w:sz w:val="24"/>
            <w:szCs w:val="24"/>
            <w:highlight w:val="white"/>
            <w:u w:val="single"/>
          </w:rPr>
          <w:t>https://cyberlaw.ccdcoe.org/wiki/Ireland%E2%80%99s_Health_Service_Executive_ransomware_attack_(2021)</w:t>
        </w:r>
      </w:hyperlink>
      <w:r w:rsidRPr="00E677D9">
        <w:rPr>
          <w:color w:val="0D0D0D"/>
          <w:sz w:val="24"/>
          <w:szCs w:val="24"/>
          <w:highlight w:val="white"/>
        </w:rPr>
        <w:t xml:space="preserve"> </w:t>
      </w:r>
    </w:p>
    <w:p w14:paraId="45E99A1C"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E677D9">
        <w:rPr>
          <w:color w:val="0D0D0D"/>
          <w:sz w:val="24"/>
          <w:szCs w:val="24"/>
          <w:highlight w:val="white"/>
        </w:rPr>
        <w:t xml:space="preserve">CISA. (2025). </w:t>
      </w:r>
      <w:r w:rsidRPr="00E677D9">
        <w:rPr>
          <w:i/>
          <w:color w:val="0D0D0D"/>
          <w:sz w:val="24"/>
          <w:szCs w:val="24"/>
          <w:highlight w:val="white"/>
        </w:rPr>
        <w:t>#StopRansomware: Medusa Ransomware | CISA</w:t>
      </w:r>
      <w:r w:rsidRPr="00E677D9">
        <w:rPr>
          <w:color w:val="0D0D0D"/>
          <w:sz w:val="24"/>
          <w:szCs w:val="24"/>
          <w:highlight w:val="white"/>
        </w:rPr>
        <w:t xml:space="preserve">. Cybersecurity and Infrastructure Security Agency CISA. </w:t>
      </w:r>
      <w:hyperlink r:id="rId41">
        <w:r w:rsidRPr="00E677D9">
          <w:rPr>
            <w:color w:val="1155CC"/>
            <w:sz w:val="24"/>
            <w:szCs w:val="24"/>
            <w:highlight w:val="white"/>
            <w:u w:val="single"/>
          </w:rPr>
          <w:t>https://www.cisa.gov/news-events/cybersecurity-advisories/aa25-071a</w:t>
        </w:r>
      </w:hyperlink>
      <w:r w:rsidRPr="00E677D9">
        <w:rPr>
          <w:color w:val="0D0D0D"/>
          <w:sz w:val="24"/>
          <w:szCs w:val="24"/>
          <w:highlight w:val="white"/>
        </w:rPr>
        <w:t xml:space="preserve"> </w:t>
      </w:r>
    </w:p>
    <w:p w14:paraId="2DC9F52C"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E677D9">
        <w:rPr>
          <w:color w:val="0D0D0D"/>
          <w:sz w:val="24"/>
          <w:szCs w:val="24"/>
          <w:highlight w:val="white"/>
        </w:rPr>
        <w:t xml:space="preserve">Cleveland Clinic. (2025). </w:t>
      </w:r>
      <w:proofErr w:type="spellStart"/>
      <w:r w:rsidRPr="00E677D9">
        <w:rPr>
          <w:i/>
          <w:color w:val="0D0D0D"/>
          <w:sz w:val="24"/>
          <w:szCs w:val="24"/>
          <w:highlight w:val="white"/>
        </w:rPr>
        <w:t>Center</w:t>
      </w:r>
      <w:proofErr w:type="spellEnd"/>
      <w:r w:rsidRPr="00E677D9">
        <w:rPr>
          <w:i/>
          <w:color w:val="0D0D0D"/>
          <w:sz w:val="24"/>
          <w:szCs w:val="24"/>
          <w:highlight w:val="white"/>
        </w:rPr>
        <w:t xml:space="preserve"> for Artificial Intelligence and Data Science</w:t>
      </w:r>
      <w:r w:rsidRPr="00E677D9">
        <w:rPr>
          <w:color w:val="0D0D0D"/>
          <w:sz w:val="24"/>
          <w:szCs w:val="24"/>
          <w:highlight w:val="white"/>
        </w:rPr>
        <w:t xml:space="preserve">. Cleveland Clinic. </w:t>
      </w:r>
      <w:hyperlink r:id="rId42">
        <w:r w:rsidRPr="00E677D9">
          <w:rPr>
            <w:color w:val="1155CC"/>
            <w:sz w:val="24"/>
            <w:szCs w:val="24"/>
            <w:highlight w:val="white"/>
            <w:u w:val="single"/>
          </w:rPr>
          <w:t>https://my.clevelandclinic.org/departments/pathology/depts/artificial-intelligence-data-science</w:t>
        </w:r>
      </w:hyperlink>
      <w:r w:rsidRPr="00E677D9">
        <w:rPr>
          <w:color w:val="0D0D0D"/>
          <w:sz w:val="24"/>
          <w:szCs w:val="24"/>
          <w:highlight w:val="white"/>
        </w:rPr>
        <w:t xml:space="preserve"> </w:t>
      </w:r>
    </w:p>
    <w:p w14:paraId="37CF5A06"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E677D9">
        <w:rPr>
          <w:color w:val="0D0D0D"/>
          <w:sz w:val="24"/>
          <w:szCs w:val="24"/>
          <w:highlight w:val="white"/>
        </w:rPr>
        <w:t xml:space="preserve">DeBeck, C. (2021). </w:t>
      </w:r>
      <w:r w:rsidRPr="00E677D9">
        <w:rPr>
          <w:i/>
          <w:color w:val="0D0D0D"/>
          <w:sz w:val="24"/>
          <w:szCs w:val="24"/>
          <w:highlight w:val="white"/>
        </w:rPr>
        <w:t>Save time money data breach security AI automation</w:t>
      </w:r>
      <w:r w:rsidRPr="00E677D9">
        <w:rPr>
          <w:color w:val="0D0D0D"/>
          <w:sz w:val="24"/>
          <w:szCs w:val="24"/>
          <w:highlight w:val="white"/>
        </w:rPr>
        <w:t xml:space="preserve">. Ibm.com. </w:t>
      </w:r>
      <w:hyperlink r:id="rId43">
        <w:r w:rsidRPr="00E677D9">
          <w:rPr>
            <w:color w:val="1155CC"/>
            <w:sz w:val="24"/>
            <w:szCs w:val="24"/>
            <w:highlight w:val="white"/>
            <w:u w:val="single"/>
          </w:rPr>
          <w:t>https://www.ibm.com/think/x-force/save-time-money-data-breach-security-ai-automation</w:t>
        </w:r>
      </w:hyperlink>
      <w:r w:rsidRPr="00E677D9">
        <w:rPr>
          <w:color w:val="0D0D0D"/>
          <w:sz w:val="24"/>
          <w:szCs w:val="24"/>
          <w:highlight w:val="white"/>
        </w:rPr>
        <w:t xml:space="preserve"> </w:t>
      </w:r>
    </w:p>
    <w:p w14:paraId="28BD6522" w14:textId="77777777" w:rsidR="00557214" w:rsidRPr="00261B7A"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lang w:val="es-ES"/>
        </w:rPr>
      </w:pPr>
      <w:proofErr w:type="spellStart"/>
      <w:r w:rsidRPr="00261B7A">
        <w:rPr>
          <w:color w:val="0D0D0D"/>
          <w:sz w:val="24"/>
          <w:szCs w:val="24"/>
          <w:highlight w:val="white"/>
          <w:lang w:val="fr-FR"/>
        </w:rPr>
        <w:t>Duraibi</w:t>
      </w:r>
      <w:proofErr w:type="spellEnd"/>
      <w:r w:rsidRPr="00261B7A">
        <w:rPr>
          <w:color w:val="0D0D0D"/>
          <w:sz w:val="24"/>
          <w:szCs w:val="24"/>
          <w:highlight w:val="white"/>
          <w:lang w:val="fr-FR"/>
        </w:rPr>
        <w:t xml:space="preserve">, S., Kaur, C., &amp; Pawar, A. B. (2023). </w:t>
      </w:r>
      <w:r w:rsidRPr="00E677D9">
        <w:rPr>
          <w:color w:val="0D0D0D"/>
          <w:sz w:val="24"/>
          <w:szCs w:val="24"/>
          <w:highlight w:val="white"/>
        </w:rPr>
        <w:t xml:space="preserve">Cyber Extortion Unveiled: The Evolution, Tactics, Challenges, and Future of Ransomware. </w:t>
      </w:r>
      <w:proofErr w:type="gramStart"/>
      <w:r w:rsidRPr="00261B7A">
        <w:rPr>
          <w:i/>
          <w:color w:val="0D0D0D"/>
          <w:sz w:val="24"/>
          <w:szCs w:val="24"/>
          <w:highlight w:val="white"/>
          <w:lang w:val="es-ES"/>
        </w:rPr>
        <w:t xml:space="preserve">IEEE </w:t>
      </w:r>
      <w:r w:rsidRPr="00261B7A">
        <w:rPr>
          <w:color w:val="0D0D0D"/>
          <w:sz w:val="24"/>
          <w:szCs w:val="24"/>
          <w:highlight w:val="white"/>
          <w:lang w:val="es-ES"/>
        </w:rPr>
        <w:t>.</w:t>
      </w:r>
      <w:proofErr w:type="gramEnd"/>
      <w:r w:rsidRPr="00261B7A">
        <w:rPr>
          <w:color w:val="0D0D0D"/>
          <w:sz w:val="24"/>
          <w:szCs w:val="24"/>
          <w:highlight w:val="white"/>
          <w:lang w:val="es-ES"/>
        </w:rPr>
        <w:t xml:space="preserve"> </w:t>
      </w:r>
      <w:hyperlink r:id="rId44">
        <w:r w:rsidRPr="00261B7A">
          <w:rPr>
            <w:color w:val="1155CC"/>
            <w:sz w:val="24"/>
            <w:szCs w:val="24"/>
            <w:highlight w:val="white"/>
            <w:u w:val="single"/>
            <w:lang w:val="es-ES"/>
          </w:rPr>
          <w:t>https://doi.org/10.1109/csci62032.2023.00144</w:t>
        </w:r>
      </w:hyperlink>
      <w:r w:rsidRPr="00261B7A">
        <w:rPr>
          <w:color w:val="0D0D0D"/>
          <w:sz w:val="24"/>
          <w:szCs w:val="24"/>
          <w:highlight w:val="white"/>
          <w:lang w:val="es-ES"/>
        </w:rPr>
        <w:t xml:space="preserve"> </w:t>
      </w:r>
    </w:p>
    <w:p w14:paraId="04DD91BC" w14:textId="77777777" w:rsidR="00557214" w:rsidRPr="00261B7A"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lang w:val="es-ES"/>
        </w:rPr>
      </w:pPr>
      <w:proofErr w:type="spellStart"/>
      <w:r w:rsidRPr="00261B7A">
        <w:rPr>
          <w:color w:val="0D0D0D"/>
          <w:sz w:val="24"/>
          <w:szCs w:val="24"/>
          <w:highlight w:val="white"/>
          <w:lang w:val="es-ES"/>
        </w:rPr>
        <w:t>Durgaraju</w:t>
      </w:r>
      <w:proofErr w:type="spellEnd"/>
      <w:r w:rsidRPr="00261B7A">
        <w:rPr>
          <w:color w:val="0D0D0D"/>
          <w:sz w:val="24"/>
          <w:szCs w:val="24"/>
          <w:highlight w:val="white"/>
          <w:lang w:val="es-ES"/>
        </w:rPr>
        <w:t xml:space="preserve">, S., </w:t>
      </w:r>
      <w:proofErr w:type="spellStart"/>
      <w:r w:rsidRPr="00261B7A">
        <w:rPr>
          <w:color w:val="0D0D0D"/>
          <w:sz w:val="24"/>
          <w:szCs w:val="24"/>
          <w:highlight w:val="white"/>
          <w:lang w:val="es-ES"/>
        </w:rPr>
        <w:t>Vel</w:t>
      </w:r>
      <w:proofErr w:type="spellEnd"/>
      <w:r w:rsidRPr="00261B7A">
        <w:rPr>
          <w:color w:val="0D0D0D"/>
          <w:sz w:val="24"/>
          <w:szCs w:val="24"/>
          <w:highlight w:val="white"/>
          <w:lang w:val="es-ES"/>
        </w:rPr>
        <w:t xml:space="preserve">, D. V. T., &amp; </w:t>
      </w:r>
      <w:proofErr w:type="spellStart"/>
      <w:r w:rsidRPr="00261B7A">
        <w:rPr>
          <w:color w:val="0D0D0D"/>
          <w:sz w:val="24"/>
          <w:szCs w:val="24"/>
          <w:highlight w:val="white"/>
          <w:lang w:val="es-ES"/>
        </w:rPr>
        <w:t>Madathala</w:t>
      </w:r>
      <w:proofErr w:type="spellEnd"/>
      <w:r w:rsidRPr="00261B7A">
        <w:rPr>
          <w:color w:val="0D0D0D"/>
          <w:sz w:val="24"/>
          <w:szCs w:val="24"/>
          <w:highlight w:val="white"/>
          <w:lang w:val="es-ES"/>
        </w:rPr>
        <w:t xml:space="preserve">, H. (2025). </w:t>
      </w:r>
      <w:r w:rsidRPr="00E677D9">
        <w:rPr>
          <w:color w:val="0D0D0D"/>
          <w:sz w:val="24"/>
          <w:szCs w:val="24"/>
          <w:highlight w:val="white"/>
        </w:rPr>
        <w:t xml:space="preserve">The Evolution of Cyber Threats and </w:t>
      </w:r>
      <w:proofErr w:type="spellStart"/>
      <w:r w:rsidRPr="00E677D9">
        <w:rPr>
          <w:color w:val="0D0D0D"/>
          <w:sz w:val="24"/>
          <w:szCs w:val="24"/>
          <w:highlight w:val="white"/>
        </w:rPr>
        <w:t>Defenses</w:t>
      </w:r>
      <w:proofErr w:type="spellEnd"/>
      <w:r w:rsidRPr="00E677D9">
        <w:rPr>
          <w:color w:val="0D0D0D"/>
          <w:sz w:val="24"/>
          <w:szCs w:val="24"/>
          <w:highlight w:val="white"/>
        </w:rPr>
        <w:t xml:space="preserve">: A Review of Innovations and Challenges. </w:t>
      </w:r>
      <w:r w:rsidRPr="00E677D9">
        <w:rPr>
          <w:i/>
          <w:color w:val="0D0D0D"/>
          <w:sz w:val="24"/>
          <w:szCs w:val="24"/>
          <w:highlight w:val="white"/>
        </w:rPr>
        <w:t>2025 6th International Conference on Mobile Computing and Sustainable Informatics (ICMCSI)</w:t>
      </w:r>
      <w:r w:rsidRPr="00E677D9">
        <w:rPr>
          <w:color w:val="0D0D0D"/>
          <w:sz w:val="24"/>
          <w:szCs w:val="24"/>
          <w:highlight w:val="white"/>
        </w:rPr>
        <w:t xml:space="preserve">, 117–123. </w:t>
      </w:r>
      <w:hyperlink r:id="rId45">
        <w:r w:rsidRPr="00261B7A">
          <w:rPr>
            <w:color w:val="1155CC"/>
            <w:sz w:val="24"/>
            <w:szCs w:val="24"/>
            <w:highlight w:val="white"/>
            <w:u w:val="single"/>
            <w:lang w:val="es-ES"/>
          </w:rPr>
          <w:t>https://doi.org/10.1109/icmcsi64620.2025.10883230</w:t>
        </w:r>
      </w:hyperlink>
      <w:r w:rsidRPr="00261B7A">
        <w:rPr>
          <w:color w:val="0D0D0D"/>
          <w:sz w:val="24"/>
          <w:szCs w:val="24"/>
          <w:highlight w:val="white"/>
          <w:lang w:val="es-ES"/>
        </w:rPr>
        <w:t xml:space="preserve"> </w:t>
      </w:r>
    </w:p>
    <w:p w14:paraId="432C9E9B"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proofErr w:type="spellStart"/>
      <w:r w:rsidRPr="00261B7A">
        <w:rPr>
          <w:color w:val="0D0D0D"/>
          <w:sz w:val="24"/>
          <w:szCs w:val="24"/>
          <w:highlight w:val="white"/>
          <w:lang w:val="es-ES"/>
        </w:rPr>
        <w:t>Gligorea</w:t>
      </w:r>
      <w:proofErr w:type="spellEnd"/>
      <w:r w:rsidRPr="00261B7A">
        <w:rPr>
          <w:color w:val="0D0D0D"/>
          <w:sz w:val="24"/>
          <w:szCs w:val="24"/>
          <w:highlight w:val="white"/>
          <w:lang w:val="es-ES"/>
        </w:rPr>
        <w:t xml:space="preserve">, I., </w:t>
      </w:r>
      <w:proofErr w:type="spellStart"/>
      <w:r w:rsidRPr="00261B7A">
        <w:rPr>
          <w:color w:val="0D0D0D"/>
          <w:sz w:val="24"/>
          <w:szCs w:val="24"/>
          <w:highlight w:val="white"/>
          <w:lang w:val="es-ES"/>
        </w:rPr>
        <w:t>Cioca</w:t>
      </w:r>
      <w:proofErr w:type="spellEnd"/>
      <w:r w:rsidRPr="00261B7A">
        <w:rPr>
          <w:color w:val="0D0D0D"/>
          <w:sz w:val="24"/>
          <w:szCs w:val="24"/>
          <w:highlight w:val="white"/>
          <w:lang w:val="es-ES"/>
        </w:rPr>
        <w:t xml:space="preserve">, M., </w:t>
      </w:r>
      <w:proofErr w:type="spellStart"/>
      <w:r w:rsidRPr="00261B7A">
        <w:rPr>
          <w:color w:val="0D0D0D"/>
          <w:sz w:val="24"/>
          <w:szCs w:val="24"/>
          <w:highlight w:val="white"/>
          <w:lang w:val="es-ES"/>
        </w:rPr>
        <w:t>Oancea</w:t>
      </w:r>
      <w:proofErr w:type="spellEnd"/>
      <w:r w:rsidRPr="00261B7A">
        <w:rPr>
          <w:color w:val="0D0D0D"/>
          <w:sz w:val="24"/>
          <w:szCs w:val="24"/>
          <w:highlight w:val="white"/>
          <w:lang w:val="es-ES"/>
        </w:rPr>
        <w:t xml:space="preserve">, R., Gorski, A.-T., Gorski, H., &amp; </w:t>
      </w:r>
      <w:proofErr w:type="spellStart"/>
      <w:r w:rsidRPr="00261B7A">
        <w:rPr>
          <w:color w:val="0D0D0D"/>
          <w:sz w:val="24"/>
          <w:szCs w:val="24"/>
          <w:highlight w:val="white"/>
          <w:lang w:val="es-ES"/>
        </w:rPr>
        <w:t>Tudorache</w:t>
      </w:r>
      <w:proofErr w:type="spellEnd"/>
      <w:r w:rsidRPr="00261B7A">
        <w:rPr>
          <w:color w:val="0D0D0D"/>
          <w:sz w:val="24"/>
          <w:szCs w:val="24"/>
          <w:highlight w:val="white"/>
          <w:lang w:val="es-ES"/>
        </w:rPr>
        <w:t xml:space="preserve">, P. (2023). </w:t>
      </w:r>
      <w:r w:rsidRPr="00E677D9">
        <w:rPr>
          <w:color w:val="0D0D0D"/>
          <w:sz w:val="24"/>
          <w:szCs w:val="24"/>
          <w:highlight w:val="white"/>
        </w:rPr>
        <w:t xml:space="preserve">Adaptive Learning Using Artificial Intelligence in e-Learning: A Literature Review. </w:t>
      </w:r>
      <w:r w:rsidRPr="00E677D9">
        <w:rPr>
          <w:i/>
          <w:color w:val="0D0D0D"/>
          <w:sz w:val="24"/>
          <w:szCs w:val="24"/>
          <w:highlight w:val="white"/>
        </w:rPr>
        <w:t>Education Sciences</w:t>
      </w:r>
      <w:r w:rsidRPr="00E677D9">
        <w:rPr>
          <w:color w:val="0D0D0D"/>
          <w:sz w:val="24"/>
          <w:szCs w:val="24"/>
          <w:highlight w:val="white"/>
        </w:rPr>
        <w:t xml:space="preserve">, </w:t>
      </w:r>
      <w:r w:rsidRPr="00E677D9">
        <w:rPr>
          <w:i/>
          <w:color w:val="0D0D0D"/>
          <w:sz w:val="24"/>
          <w:szCs w:val="24"/>
          <w:highlight w:val="white"/>
        </w:rPr>
        <w:t>13</w:t>
      </w:r>
      <w:r w:rsidRPr="00E677D9">
        <w:rPr>
          <w:color w:val="0D0D0D"/>
          <w:sz w:val="24"/>
          <w:szCs w:val="24"/>
          <w:highlight w:val="white"/>
        </w:rPr>
        <w:t xml:space="preserve">(12), 1216–1216. </w:t>
      </w:r>
      <w:hyperlink r:id="rId46">
        <w:r w:rsidRPr="00E677D9">
          <w:rPr>
            <w:color w:val="1155CC"/>
            <w:sz w:val="24"/>
            <w:szCs w:val="24"/>
            <w:highlight w:val="white"/>
            <w:u w:val="single"/>
          </w:rPr>
          <w:t>https://doi.org/10.3390/educsci13121216</w:t>
        </w:r>
      </w:hyperlink>
      <w:r w:rsidRPr="00E677D9">
        <w:rPr>
          <w:color w:val="0D0D0D"/>
          <w:sz w:val="24"/>
          <w:szCs w:val="24"/>
          <w:highlight w:val="white"/>
        </w:rPr>
        <w:t xml:space="preserve"> </w:t>
      </w:r>
    </w:p>
    <w:p w14:paraId="21CD7AD3" w14:textId="77777777" w:rsidR="00557214" w:rsidRPr="00261B7A"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lang w:val="es-ES"/>
        </w:rPr>
      </w:pPr>
      <w:r w:rsidRPr="00E677D9">
        <w:rPr>
          <w:color w:val="0D0D0D"/>
          <w:sz w:val="24"/>
          <w:szCs w:val="24"/>
          <w:highlight w:val="white"/>
        </w:rPr>
        <w:t xml:space="preserve">Govea, J., Gaibor-Naranjo, W., &amp; Villegas-Ch, W. (2024). Transforming Cybersecurity into Critical Energy Infrastructure: A Study on the Effectiveness of Artificial Intelligence. </w:t>
      </w:r>
      <w:proofErr w:type="spellStart"/>
      <w:r w:rsidRPr="00261B7A">
        <w:rPr>
          <w:i/>
          <w:color w:val="0D0D0D"/>
          <w:sz w:val="24"/>
          <w:szCs w:val="24"/>
          <w:highlight w:val="white"/>
          <w:lang w:val="es-ES"/>
        </w:rPr>
        <w:t>Systems</w:t>
      </w:r>
      <w:proofErr w:type="spellEnd"/>
      <w:r w:rsidRPr="00261B7A">
        <w:rPr>
          <w:color w:val="0D0D0D"/>
          <w:sz w:val="24"/>
          <w:szCs w:val="24"/>
          <w:highlight w:val="white"/>
          <w:lang w:val="es-ES"/>
        </w:rPr>
        <w:t xml:space="preserve">, </w:t>
      </w:r>
      <w:r w:rsidRPr="00261B7A">
        <w:rPr>
          <w:i/>
          <w:color w:val="0D0D0D"/>
          <w:sz w:val="24"/>
          <w:szCs w:val="24"/>
          <w:highlight w:val="white"/>
          <w:lang w:val="es-ES"/>
        </w:rPr>
        <w:t>12</w:t>
      </w:r>
      <w:r w:rsidRPr="00261B7A">
        <w:rPr>
          <w:color w:val="0D0D0D"/>
          <w:sz w:val="24"/>
          <w:szCs w:val="24"/>
          <w:highlight w:val="white"/>
          <w:lang w:val="es-ES"/>
        </w:rPr>
        <w:t xml:space="preserve">(5), 165. </w:t>
      </w:r>
      <w:hyperlink r:id="rId47">
        <w:r w:rsidRPr="00261B7A">
          <w:rPr>
            <w:color w:val="1155CC"/>
            <w:sz w:val="24"/>
            <w:szCs w:val="24"/>
            <w:highlight w:val="white"/>
            <w:u w:val="single"/>
            <w:lang w:val="es-ES"/>
          </w:rPr>
          <w:t>https://doi.org/10.3390/systems12050165</w:t>
        </w:r>
      </w:hyperlink>
      <w:r w:rsidRPr="00261B7A">
        <w:rPr>
          <w:color w:val="0D0D0D"/>
          <w:sz w:val="24"/>
          <w:szCs w:val="24"/>
          <w:highlight w:val="white"/>
          <w:lang w:val="es-ES"/>
        </w:rPr>
        <w:t xml:space="preserve"> </w:t>
      </w:r>
    </w:p>
    <w:p w14:paraId="62EDB450"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261B7A">
        <w:rPr>
          <w:color w:val="0D0D0D"/>
          <w:sz w:val="24"/>
          <w:szCs w:val="24"/>
          <w:highlight w:val="white"/>
          <w:lang w:val="es-ES"/>
        </w:rPr>
        <w:t xml:space="preserve">Guembe, B., </w:t>
      </w:r>
      <w:proofErr w:type="spellStart"/>
      <w:r w:rsidRPr="00261B7A">
        <w:rPr>
          <w:color w:val="0D0D0D"/>
          <w:sz w:val="24"/>
          <w:szCs w:val="24"/>
          <w:highlight w:val="white"/>
          <w:lang w:val="es-ES"/>
        </w:rPr>
        <w:t>Azeta</w:t>
      </w:r>
      <w:proofErr w:type="spellEnd"/>
      <w:r w:rsidRPr="00261B7A">
        <w:rPr>
          <w:color w:val="0D0D0D"/>
          <w:sz w:val="24"/>
          <w:szCs w:val="24"/>
          <w:highlight w:val="white"/>
          <w:lang w:val="es-ES"/>
        </w:rPr>
        <w:t xml:space="preserve">, A., </w:t>
      </w:r>
      <w:proofErr w:type="spellStart"/>
      <w:r w:rsidRPr="00261B7A">
        <w:rPr>
          <w:color w:val="0D0D0D"/>
          <w:sz w:val="24"/>
          <w:szCs w:val="24"/>
          <w:highlight w:val="white"/>
          <w:lang w:val="es-ES"/>
        </w:rPr>
        <w:t>Misra</w:t>
      </w:r>
      <w:proofErr w:type="spellEnd"/>
      <w:r w:rsidRPr="00261B7A">
        <w:rPr>
          <w:color w:val="0D0D0D"/>
          <w:sz w:val="24"/>
          <w:szCs w:val="24"/>
          <w:highlight w:val="white"/>
          <w:lang w:val="es-ES"/>
        </w:rPr>
        <w:t xml:space="preserve">, S., </w:t>
      </w:r>
      <w:proofErr w:type="spellStart"/>
      <w:r w:rsidRPr="00261B7A">
        <w:rPr>
          <w:color w:val="0D0D0D"/>
          <w:sz w:val="24"/>
          <w:szCs w:val="24"/>
          <w:highlight w:val="white"/>
          <w:lang w:val="es-ES"/>
        </w:rPr>
        <w:t>Osamor</w:t>
      </w:r>
      <w:proofErr w:type="spellEnd"/>
      <w:r w:rsidRPr="00261B7A">
        <w:rPr>
          <w:color w:val="0D0D0D"/>
          <w:sz w:val="24"/>
          <w:szCs w:val="24"/>
          <w:highlight w:val="white"/>
          <w:lang w:val="es-ES"/>
        </w:rPr>
        <w:t xml:space="preserve">, V. C., </w:t>
      </w:r>
      <w:proofErr w:type="spellStart"/>
      <w:r w:rsidRPr="00261B7A">
        <w:rPr>
          <w:color w:val="0D0D0D"/>
          <w:sz w:val="24"/>
          <w:szCs w:val="24"/>
          <w:highlight w:val="white"/>
          <w:lang w:val="es-ES"/>
        </w:rPr>
        <w:t>Fernandez</w:t>
      </w:r>
      <w:proofErr w:type="spellEnd"/>
      <w:r w:rsidRPr="00261B7A">
        <w:rPr>
          <w:color w:val="0D0D0D"/>
          <w:sz w:val="24"/>
          <w:szCs w:val="24"/>
          <w:highlight w:val="white"/>
          <w:lang w:val="es-ES"/>
        </w:rPr>
        <w:t xml:space="preserve">-Sanz, L., &amp; </w:t>
      </w:r>
      <w:proofErr w:type="spellStart"/>
      <w:r w:rsidRPr="00261B7A">
        <w:rPr>
          <w:color w:val="0D0D0D"/>
          <w:sz w:val="24"/>
          <w:szCs w:val="24"/>
          <w:highlight w:val="white"/>
          <w:lang w:val="es-ES"/>
        </w:rPr>
        <w:t>Pospelova</w:t>
      </w:r>
      <w:proofErr w:type="spellEnd"/>
      <w:r w:rsidRPr="00261B7A">
        <w:rPr>
          <w:color w:val="0D0D0D"/>
          <w:sz w:val="24"/>
          <w:szCs w:val="24"/>
          <w:highlight w:val="white"/>
          <w:lang w:val="es-ES"/>
        </w:rPr>
        <w:t xml:space="preserve">, V. (2022). </w:t>
      </w:r>
      <w:r w:rsidRPr="00E677D9">
        <w:rPr>
          <w:color w:val="0D0D0D"/>
          <w:sz w:val="24"/>
          <w:szCs w:val="24"/>
          <w:highlight w:val="white"/>
        </w:rPr>
        <w:t xml:space="preserve">The Emerging Threat of Ai-driven Cyber Attacks: A Review. </w:t>
      </w:r>
      <w:r w:rsidRPr="00E677D9">
        <w:rPr>
          <w:i/>
          <w:color w:val="0D0D0D"/>
          <w:sz w:val="24"/>
          <w:szCs w:val="24"/>
          <w:highlight w:val="white"/>
        </w:rPr>
        <w:t>Applied Artificial Intelligence</w:t>
      </w:r>
      <w:r w:rsidRPr="00E677D9">
        <w:rPr>
          <w:color w:val="0D0D0D"/>
          <w:sz w:val="24"/>
          <w:szCs w:val="24"/>
          <w:highlight w:val="white"/>
        </w:rPr>
        <w:t xml:space="preserve">, </w:t>
      </w:r>
      <w:r w:rsidRPr="00E677D9">
        <w:rPr>
          <w:i/>
          <w:color w:val="0D0D0D"/>
          <w:sz w:val="24"/>
          <w:szCs w:val="24"/>
          <w:highlight w:val="white"/>
        </w:rPr>
        <w:t>36</w:t>
      </w:r>
      <w:r w:rsidRPr="00E677D9">
        <w:rPr>
          <w:color w:val="0D0D0D"/>
          <w:sz w:val="24"/>
          <w:szCs w:val="24"/>
          <w:highlight w:val="white"/>
        </w:rPr>
        <w:t xml:space="preserve">(1), 1–34. </w:t>
      </w:r>
      <w:hyperlink r:id="rId48">
        <w:r w:rsidRPr="00E677D9">
          <w:rPr>
            <w:color w:val="1155CC"/>
            <w:sz w:val="24"/>
            <w:szCs w:val="24"/>
            <w:highlight w:val="white"/>
            <w:u w:val="single"/>
          </w:rPr>
          <w:t>https://doi.org/10.1080/08839514.2022.2037254</w:t>
        </w:r>
      </w:hyperlink>
      <w:r w:rsidRPr="00E677D9">
        <w:rPr>
          <w:color w:val="0D0D0D"/>
          <w:sz w:val="24"/>
          <w:szCs w:val="24"/>
          <w:highlight w:val="white"/>
        </w:rPr>
        <w:t xml:space="preserve"> </w:t>
      </w:r>
    </w:p>
    <w:p w14:paraId="542B3BBA"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E677D9">
        <w:rPr>
          <w:color w:val="0D0D0D"/>
          <w:sz w:val="24"/>
          <w:szCs w:val="24"/>
          <w:highlight w:val="white"/>
        </w:rPr>
        <w:t xml:space="preserve">Gupta, S., Kapoor, M., &amp; Debnath, S. K. (2025). Cybersecurity Risks and Threats in Healthcare. </w:t>
      </w:r>
      <w:r w:rsidRPr="00E677D9">
        <w:rPr>
          <w:i/>
          <w:color w:val="0D0D0D"/>
          <w:sz w:val="24"/>
          <w:szCs w:val="24"/>
          <w:highlight w:val="white"/>
        </w:rPr>
        <w:t>Artificial Intelligence-Enabled Security for Healthcare Systems</w:t>
      </w:r>
      <w:r w:rsidRPr="00E677D9">
        <w:rPr>
          <w:color w:val="0D0D0D"/>
          <w:sz w:val="24"/>
          <w:szCs w:val="24"/>
          <w:highlight w:val="white"/>
        </w:rPr>
        <w:t xml:space="preserve">, 39–64. </w:t>
      </w:r>
      <w:hyperlink r:id="rId49">
        <w:r w:rsidRPr="00E677D9">
          <w:rPr>
            <w:color w:val="1155CC"/>
            <w:sz w:val="24"/>
            <w:szCs w:val="24"/>
            <w:highlight w:val="white"/>
            <w:u w:val="single"/>
          </w:rPr>
          <w:t>https://doi.org/10.1007/978-3-031-82810-2_3</w:t>
        </w:r>
      </w:hyperlink>
      <w:r w:rsidRPr="00E677D9">
        <w:rPr>
          <w:color w:val="0D0D0D"/>
          <w:sz w:val="24"/>
          <w:szCs w:val="24"/>
          <w:highlight w:val="white"/>
        </w:rPr>
        <w:t xml:space="preserve"> </w:t>
      </w:r>
    </w:p>
    <w:p w14:paraId="199F202B"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E677D9">
        <w:rPr>
          <w:color w:val="0D0D0D"/>
          <w:sz w:val="24"/>
          <w:szCs w:val="24"/>
          <w:highlight w:val="white"/>
        </w:rPr>
        <w:lastRenderedPageBreak/>
        <w:t xml:space="preserve">Hassan, S. K., &amp; Ibrahim, A. (2023). The role of Artificial Intelligence in Cyber Security and Incident Response: </w:t>
      </w:r>
      <w:r w:rsidRPr="00E677D9">
        <w:rPr>
          <w:i/>
          <w:color w:val="0D0D0D"/>
          <w:sz w:val="24"/>
          <w:szCs w:val="24"/>
          <w:highlight w:val="white"/>
        </w:rPr>
        <w:t>International Journal for Electronic Crime Investigation</w:t>
      </w:r>
      <w:r w:rsidRPr="00E677D9">
        <w:rPr>
          <w:color w:val="0D0D0D"/>
          <w:sz w:val="24"/>
          <w:szCs w:val="24"/>
          <w:highlight w:val="white"/>
        </w:rPr>
        <w:t xml:space="preserve">, </w:t>
      </w:r>
      <w:r w:rsidRPr="00E677D9">
        <w:rPr>
          <w:i/>
          <w:color w:val="0D0D0D"/>
          <w:sz w:val="24"/>
          <w:szCs w:val="24"/>
          <w:highlight w:val="white"/>
        </w:rPr>
        <w:t>7</w:t>
      </w:r>
      <w:r w:rsidRPr="00E677D9">
        <w:rPr>
          <w:color w:val="0D0D0D"/>
          <w:sz w:val="24"/>
          <w:szCs w:val="24"/>
          <w:highlight w:val="white"/>
        </w:rPr>
        <w:t xml:space="preserve">(2). </w:t>
      </w:r>
      <w:hyperlink r:id="rId50">
        <w:r w:rsidRPr="00E677D9">
          <w:rPr>
            <w:color w:val="1155CC"/>
            <w:sz w:val="24"/>
            <w:szCs w:val="24"/>
            <w:highlight w:val="white"/>
            <w:u w:val="single"/>
          </w:rPr>
          <w:t>https://doi.org/10.54692/ijeci.2023.0702154</w:t>
        </w:r>
      </w:hyperlink>
      <w:r w:rsidRPr="00E677D9">
        <w:rPr>
          <w:color w:val="0D0D0D"/>
          <w:sz w:val="24"/>
          <w:szCs w:val="24"/>
          <w:highlight w:val="white"/>
        </w:rPr>
        <w:t xml:space="preserve"> </w:t>
      </w:r>
    </w:p>
    <w:p w14:paraId="08A1E40C" w14:textId="77777777" w:rsidR="00557214" w:rsidRPr="00261B7A"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lang w:val="fr-FR"/>
        </w:rPr>
      </w:pPr>
      <w:r w:rsidRPr="00E677D9">
        <w:rPr>
          <w:color w:val="0D0D0D"/>
          <w:sz w:val="24"/>
          <w:szCs w:val="24"/>
          <w:highlight w:val="white"/>
        </w:rPr>
        <w:t xml:space="preserve">HealthStream. (2024). </w:t>
      </w:r>
      <w:r w:rsidRPr="00E677D9">
        <w:rPr>
          <w:i/>
          <w:color w:val="0D0D0D"/>
          <w:sz w:val="24"/>
          <w:szCs w:val="24"/>
          <w:highlight w:val="white"/>
        </w:rPr>
        <w:t>Defending Against Phishing: Strengthening Cybersecurity in Healthcare</w:t>
      </w:r>
      <w:r w:rsidRPr="00E677D9">
        <w:rPr>
          <w:color w:val="0D0D0D"/>
          <w:sz w:val="24"/>
          <w:szCs w:val="24"/>
          <w:highlight w:val="white"/>
        </w:rPr>
        <w:t xml:space="preserve">. </w:t>
      </w:r>
      <w:r w:rsidRPr="00261B7A">
        <w:rPr>
          <w:color w:val="0D0D0D"/>
          <w:sz w:val="24"/>
          <w:szCs w:val="24"/>
          <w:highlight w:val="white"/>
          <w:lang w:val="fr-FR"/>
        </w:rPr>
        <w:t xml:space="preserve">Default. </w:t>
      </w:r>
      <w:hyperlink r:id="rId51">
        <w:r w:rsidRPr="00261B7A">
          <w:rPr>
            <w:color w:val="1155CC"/>
            <w:sz w:val="24"/>
            <w:szCs w:val="24"/>
            <w:highlight w:val="white"/>
            <w:u w:val="single"/>
            <w:lang w:val="fr-FR"/>
          </w:rPr>
          <w:t>https://www.healthstream.com/resource/blog/defending-against-phishing</w:t>
        </w:r>
      </w:hyperlink>
      <w:r w:rsidRPr="00261B7A">
        <w:rPr>
          <w:color w:val="0D0D0D"/>
          <w:sz w:val="24"/>
          <w:szCs w:val="24"/>
          <w:highlight w:val="white"/>
          <w:lang w:val="fr-FR"/>
        </w:rPr>
        <w:t xml:space="preserve"> </w:t>
      </w:r>
    </w:p>
    <w:p w14:paraId="45B64C58"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261B7A">
        <w:rPr>
          <w:color w:val="0D0D0D"/>
          <w:sz w:val="24"/>
          <w:szCs w:val="24"/>
          <w:highlight w:val="white"/>
          <w:lang w:val="fr-FR"/>
        </w:rPr>
        <w:t xml:space="preserve">Husseini, F. E., Noura, H., Salman, O., &amp; </w:t>
      </w:r>
      <w:proofErr w:type="spellStart"/>
      <w:r w:rsidRPr="00261B7A">
        <w:rPr>
          <w:color w:val="0D0D0D"/>
          <w:sz w:val="24"/>
          <w:szCs w:val="24"/>
          <w:highlight w:val="white"/>
          <w:lang w:val="fr-FR"/>
        </w:rPr>
        <w:t>Chehab</w:t>
      </w:r>
      <w:proofErr w:type="spellEnd"/>
      <w:r w:rsidRPr="00261B7A">
        <w:rPr>
          <w:color w:val="0D0D0D"/>
          <w:sz w:val="24"/>
          <w:szCs w:val="24"/>
          <w:highlight w:val="white"/>
          <w:lang w:val="fr-FR"/>
        </w:rPr>
        <w:t xml:space="preserve">, A. (2024). </w:t>
      </w:r>
      <w:r w:rsidRPr="00E677D9">
        <w:rPr>
          <w:color w:val="0D0D0D"/>
          <w:sz w:val="24"/>
          <w:szCs w:val="24"/>
          <w:highlight w:val="white"/>
        </w:rPr>
        <w:t xml:space="preserve">Advanced Machine Learning Approaches for Zero-Day Attack Detection: A Review. </w:t>
      </w:r>
      <w:proofErr w:type="gramStart"/>
      <w:r w:rsidRPr="00E677D9">
        <w:rPr>
          <w:i/>
          <w:color w:val="0D0D0D"/>
          <w:sz w:val="24"/>
          <w:szCs w:val="24"/>
          <w:highlight w:val="white"/>
        </w:rPr>
        <w:t xml:space="preserve">IEEE </w:t>
      </w:r>
      <w:r w:rsidRPr="00E677D9">
        <w:rPr>
          <w:color w:val="0D0D0D"/>
          <w:sz w:val="24"/>
          <w:szCs w:val="24"/>
          <w:highlight w:val="white"/>
        </w:rPr>
        <w:t>,</w:t>
      </w:r>
      <w:proofErr w:type="gramEnd"/>
      <w:r w:rsidRPr="00E677D9">
        <w:rPr>
          <w:color w:val="0D0D0D"/>
          <w:sz w:val="24"/>
          <w:szCs w:val="24"/>
          <w:highlight w:val="white"/>
        </w:rPr>
        <w:t xml:space="preserve"> 297–304. </w:t>
      </w:r>
      <w:hyperlink r:id="rId52">
        <w:r w:rsidRPr="00E677D9">
          <w:rPr>
            <w:color w:val="1155CC"/>
            <w:sz w:val="24"/>
            <w:szCs w:val="24"/>
            <w:highlight w:val="white"/>
            <w:u w:val="single"/>
          </w:rPr>
          <w:t>https://doi.org/10.1109/csnet64211.2024.10851751</w:t>
        </w:r>
      </w:hyperlink>
      <w:r w:rsidRPr="00E677D9">
        <w:rPr>
          <w:color w:val="0D0D0D"/>
          <w:sz w:val="24"/>
          <w:szCs w:val="24"/>
          <w:highlight w:val="white"/>
        </w:rPr>
        <w:t xml:space="preserve"> </w:t>
      </w:r>
    </w:p>
    <w:p w14:paraId="7D9B9758"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E677D9">
        <w:rPr>
          <w:color w:val="0D0D0D"/>
          <w:sz w:val="24"/>
          <w:szCs w:val="24"/>
          <w:highlight w:val="white"/>
        </w:rPr>
        <w:t xml:space="preserve">IBM. (2023). </w:t>
      </w:r>
      <w:r w:rsidRPr="00E677D9">
        <w:rPr>
          <w:i/>
          <w:color w:val="0D0D0D"/>
          <w:sz w:val="24"/>
          <w:szCs w:val="24"/>
          <w:highlight w:val="white"/>
        </w:rPr>
        <w:t>IBM Report: Half of Breached Organizations Unwilling to Increase Security Spend Despite Soaring Breach Costs</w:t>
      </w:r>
      <w:r w:rsidRPr="00E677D9">
        <w:rPr>
          <w:color w:val="0D0D0D"/>
          <w:sz w:val="24"/>
          <w:szCs w:val="24"/>
          <w:highlight w:val="white"/>
        </w:rPr>
        <w:t xml:space="preserve">. IBM Newsroom. </w:t>
      </w:r>
      <w:hyperlink r:id="rId53">
        <w:r w:rsidRPr="00E677D9">
          <w:rPr>
            <w:color w:val="1155CC"/>
            <w:sz w:val="24"/>
            <w:szCs w:val="24"/>
            <w:highlight w:val="white"/>
            <w:u w:val="single"/>
          </w:rPr>
          <w:t>https://newsroom.ibm.com/2023-07-24-IBM-Report-Half-of-Breached-Organizations-Unwilling-to-Increase-Security-Spend-Despite-Soaring-Breach-Costs</w:t>
        </w:r>
      </w:hyperlink>
      <w:r w:rsidRPr="00E677D9">
        <w:rPr>
          <w:color w:val="0D0D0D"/>
          <w:sz w:val="24"/>
          <w:szCs w:val="24"/>
          <w:highlight w:val="white"/>
        </w:rPr>
        <w:t xml:space="preserve"> </w:t>
      </w:r>
    </w:p>
    <w:p w14:paraId="550A00D4"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E677D9">
        <w:rPr>
          <w:color w:val="0D0D0D"/>
          <w:sz w:val="24"/>
          <w:szCs w:val="24"/>
          <w:highlight w:val="white"/>
        </w:rPr>
        <w:t xml:space="preserve">Jimmy, F. (2024). Emerging Threats: The Latest Cybersecurity Risks and the Role of Artificial Intelligence in Enhancing Cybersecurity </w:t>
      </w:r>
      <w:proofErr w:type="spellStart"/>
      <w:r w:rsidRPr="00E677D9">
        <w:rPr>
          <w:color w:val="0D0D0D"/>
          <w:sz w:val="24"/>
          <w:szCs w:val="24"/>
          <w:highlight w:val="white"/>
        </w:rPr>
        <w:t>Defenses</w:t>
      </w:r>
      <w:proofErr w:type="spellEnd"/>
      <w:r w:rsidRPr="00E677D9">
        <w:rPr>
          <w:color w:val="0D0D0D"/>
          <w:sz w:val="24"/>
          <w:szCs w:val="24"/>
          <w:highlight w:val="white"/>
        </w:rPr>
        <w:t xml:space="preserve">. </w:t>
      </w:r>
      <w:r w:rsidRPr="00E677D9">
        <w:rPr>
          <w:i/>
          <w:color w:val="0D0D0D"/>
          <w:sz w:val="24"/>
          <w:szCs w:val="24"/>
          <w:highlight w:val="white"/>
        </w:rPr>
        <w:t>Valley International Journal Digital Library</w:t>
      </w:r>
      <w:r w:rsidRPr="00E677D9">
        <w:rPr>
          <w:color w:val="0D0D0D"/>
          <w:sz w:val="24"/>
          <w:szCs w:val="24"/>
          <w:highlight w:val="white"/>
        </w:rPr>
        <w:t xml:space="preserve">, </w:t>
      </w:r>
      <w:r w:rsidRPr="00E677D9">
        <w:rPr>
          <w:i/>
          <w:color w:val="0D0D0D"/>
          <w:sz w:val="24"/>
          <w:szCs w:val="24"/>
          <w:highlight w:val="white"/>
        </w:rPr>
        <w:t>9</w:t>
      </w:r>
      <w:r w:rsidRPr="00E677D9">
        <w:rPr>
          <w:color w:val="0D0D0D"/>
          <w:sz w:val="24"/>
          <w:szCs w:val="24"/>
          <w:highlight w:val="white"/>
        </w:rPr>
        <w:t xml:space="preserve">(2), 564–574. </w:t>
      </w:r>
      <w:hyperlink r:id="rId54">
        <w:r w:rsidRPr="00E677D9">
          <w:rPr>
            <w:color w:val="1155CC"/>
            <w:sz w:val="24"/>
            <w:szCs w:val="24"/>
            <w:highlight w:val="white"/>
            <w:u w:val="single"/>
          </w:rPr>
          <w:t>https://doi.org/10.18535/ijsrm/v9i2.ec01</w:t>
        </w:r>
      </w:hyperlink>
      <w:r w:rsidRPr="00E677D9">
        <w:rPr>
          <w:color w:val="0D0D0D"/>
          <w:sz w:val="24"/>
          <w:szCs w:val="24"/>
          <w:highlight w:val="white"/>
        </w:rPr>
        <w:t xml:space="preserve"> </w:t>
      </w:r>
    </w:p>
    <w:p w14:paraId="7BCEBA93"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E677D9">
        <w:rPr>
          <w:color w:val="0D0D0D"/>
          <w:sz w:val="24"/>
          <w:szCs w:val="24"/>
          <w:highlight w:val="white"/>
        </w:rPr>
        <w:t xml:space="preserve">Kawamoto, K., Finkelstein, J., &amp; Del Fiol, G. (2023). Implementing Machine Learning in the Electronic Health Record: Checklist of Essential Considerations. </w:t>
      </w:r>
      <w:r w:rsidRPr="00E677D9">
        <w:rPr>
          <w:i/>
          <w:color w:val="0D0D0D"/>
          <w:sz w:val="24"/>
          <w:szCs w:val="24"/>
          <w:highlight w:val="white"/>
        </w:rPr>
        <w:t>Mayo Clinic Proceedings</w:t>
      </w:r>
      <w:r w:rsidRPr="00E677D9">
        <w:rPr>
          <w:color w:val="0D0D0D"/>
          <w:sz w:val="24"/>
          <w:szCs w:val="24"/>
          <w:highlight w:val="white"/>
        </w:rPr>
        <w:t xml:space="preserve">, </w:t>
      </w:r>
      <w:r w:rsidRPr="00E677D9">
        <w:rPr>
          <w:i/>
          <w:color w:val="0D0D0D"/>
          <w:sz w:val="24"/>
          <w:szCs w:val="24"/>
          <w:highlight w:val="white"/>
        </w:rPr>
        <w:t>98</w:t>
      </w:r>
      <w:r w:rsidRPr="00E677D9">
        <w:rPr>
          <w:color w:val="0D0D0D"/>
          <w:sz w:val="24"/>
          <w:szCs w:val="24"/>
          <w:highlight w:val="white"/>
        </w:rPr>
        <w:t xml:space="preserve">(3), 366–369. </w:t>
      </w:r>
      <w:hyperlink r:id="rId55">
        <w:r w:rsidRPr="00E677D9">
          <w:rPr>
            <w:color w:val="1155CC"/>
            <w:sz w:val="24"/>
            <w:szCs w:val="24"/>
            <w:highlight w:val="white"/>
            <w:u w:val="single"/>
          </w:rPr>
          <w:t>https://doi.org/10.1016/j.mayocp.2023.01.013</w:t>
        </w:r>
      </w:hyperlink>
      <w:r w:rsidRPr="00E677D9">
        <w:rPr>
          <w:color w:val="0D0D0D"/>
          <w:sz w:val="24"/>
          <w:szCs w:val="24"/>
          <w:highlight w:val="white"/>
        </w:rPr>
        <w:t xml:space="preserve"> </w:t>
      </w:r>
    </w:p>
    <w:p w14:paraId="44D89961" w14:textId="77777777" w:rsidR="00557214" w:rsidRPr="00261B7A"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lang w:val="fr-FR"/>
        </w:rPr>
      </w:pPr>
      <w:r w:rsidRPr="00E677D9">
        <w:rPr>
          <w:color w:val="0D0D0D"/>
          <w:sz w:val="24"/>
          <w:szCs w:val="24"/>
          <w:highlight w:val="white"/>
        </w:rPr>
        <w:t xml:space="preserve">Khan, M. I., Arif, A., &amp; Raza, A. (2024). The Most Recent Advances and Uses of AI in Cybersecurity. </w:t>
      </w:r>
      <w:r w:rsidRPr="00261B7A">
        <w:rPr>
          <w:i/>
          <w:color w:val="0D0D0D"/>
          <w:sz w:val="24"/>
          <w:szCs w:val="24"/>
          <w:highlight w:val="white"/>
          <w:lang w:val="fr-FR"/>
        </w:rPr>
        <w:t xml:space="preserve">BULLET : </w:t>
      </w:r>
      <w:proofErr w:type="spellStart"/>
      <w:r w:rsidRPr="00261B7A">
        <w:rPr>
          <w:i/>
          <w:color w:val="0D0D0D"/>
          <w:sz w:val="24"/>
          <w:szCs w:val="24"/>
          <w:highlight w:val="white"/>
          <w:lang w:val="fr-FR"/>
        </w:rPr>
        <w:t>Jurnal</w:t>
      </w:r>
      <w:proofErr w:type="spellEnd"/>
      <w:r w:rsidRPr="00261B7A">
        <w:rPr>
          <w:i/>
          <w:color w:val="0D0D0D"/>
          <w:sz w:val="24"/>
          <w:szCs w:val="24"/>
          <w:highlight w:val="white"/>
          <w:lang w:val="fr-FR"/>
        </w:rPr>
        <w:t xml:space="preserve"> </w:t>
      </w:r>
      <w:proofErr w:type="spellStart"/>
      <w:r w:rsidRPr="00261B7A">
        <w:rPr>
          <w:i/>
          <w:color w:val="0D0D0D"/>
          <w:sz w:val="24"/>
          <w:szCs w:val="24"/>
          <w:highlight w:val="white"/>
          <w:lang w:val="fr-FR"/>
        </w:rPr>
        <w:t>Multidisiplin</w:t>
      </w:r>
      <w:proofErr w:type="spellEnd"/>
      <w:r w:rsidRPr="00261B7A">
        <w:rPr>
          <w:i/>
          <w:color w:val="0D0D0D"/>
          <w:sz w:val="24"/>
          <w:szCs w:val="24"/>
          <w:highlight w:val="white"/>
          <w:lang w:val="fr-FR"/>
        </w:rPr>
        <w:t xml:space="preserve"> </w:t>
      </w:r>
      <w:proofErr w:type="spellStart"/>
      <w:r w:rsidRPr="00261B7A">
        <w:rPr>
          <w:i/>
          <w:color w:val="0D0D0D"/>
          <w:sz w:val="24"/>
          <w:szCs w:val="24"/>
          <w:highlight w:val="white"/>
          <w:lang w:val="fr-FR"/>
        </w:rPr>
        <w:t>Ilmu</w:t>
      </w:r>
      <w:proofErr w:type="spellEnd"/>
      <w:r w:rsidRPr="00261B7A">
        <w:rPr>
          <w:color w:val="0D0D0D"/>
          <w:sz w:val="24"/>
          <w:szCs w:val="24"/>
          <w:highlight w:val="white"/>
          <w:lang w:val="fr-FR"/>
        </w:rPr>
        <w:t xml:space="preserve">, </w:t>
      </w:r>
      <w:r w:rsidRPr="00261B7A">
        <w:rPr>
          <w:i/>
          <w:color w:val="0D0D0D"/>
          <w:sz w:val="24"/>
          <w:szCs w:val="24"/>
          <w:highlight w:val="white"/>
          <w:lang w:val="fr-FR"/>
        </w:rPr>
        <w:t>3</w:t>
      </w:r>
      <w:r w:rsidRPr="00261B7A">
        <w:rPr>
          <w:color w:val="0D0D0D"/>
          <w:sz w:val="24"/>
          <w:szCs w:val="24"/>
          <w:highlight w:val="white"/>
          <w:lang w:val="fr-FR"/>
        </w:rPr>
        <w:t xml:space="preserve">(4), 566–578. </w:t>
      </w:r>
      <w:hyperlink r:id="rId56">
        <w:r w:rsidRPr="00261B7A">
          <w:rPr>
            <w:color w:val="1155CC"/>
            <w:sz w:val="24"/>
            <w:szCs w:val="24"/>
            <w:highlight w:val="white"/>
            <w:u w:val="single"/>
            <w:lang w:val="fr-FR"/>
          </w:rPr>
          <w:t>https://media.neliti.com/media/publications/592396-the-most-recent-advances-and-uses-of-ai-40213b6c.pdf</w:t>
        </w:r>
      </w:hyperlink>
      <w:r w:rsidRPr="00261B7A">
        <w:rPr>
          <w:color w:val="0D0D0D"/>
          <w:sz w:val="24"/>
          <w:szCs w:val="24"/>
          <w:highlight w:val="white"/>
          <w:lang w:val="fr-FR"/>
        </w:rPr>
        <w:t xml:space="preserve"> </w:t>
      </w:r>
    </w:p>
    <w:p w14:paraId="4481015E"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proofErr w:type="spellStart"/>
      <w:r w:rsidRPr="00261B7A">
        <w:rPr>
          <w:color w:val="0D0D0D"/>
          <w:sz w:val="24"/>
          <w:szCs w:val="24"/>
          <w:highlight w:val="white"/>
          <w:lang w:val="es-ES"/>
        </w:rPr>
        <w:t>Kolade</w:t>
      </w:r>
      <w:proofErr w:type="spellEnd"/>
      <w:r w:rsidRPr="00261B7A">
        <w:rPr>
          <w:color w:val="0D0D0D"/>
          <w:sz w:val="24"/>
          <w:szCs w:val="24"/>
          <w:highlight w:val="white"/>
          <w:lang w:val="es-ES"/>
        </w:rPr>
        <w:t xml:space="preserve">, T. M., </w:t>
      </w:r>
      <w:proofErr w:type="spellStart"/>
      <w:r w:rsidRPr="00261B7A">
        <w:rPr>
          <w:color w:val="0D0D0D"/>
          <w:sz w:val="24"/>
          <w:szCs w:val="24"/>
          <w:highlight w:val="white"/>
          <w:lang w:val="es-ES"/>
        </w:rPr>
        <w:t>Obioha</w:t>
      </w:r>
      <w:proofErr w:type="spellEnd"/>
      <w:r w:rsidRPr="00261B7A">
        <w:rPr>
          <w:color w:val="0D0D0D"/>
          <w:sz w:val="24"/>
          <w:szCs w:val="24"/>
          <w:highlight w:val="white"/>
          <w:lang w:val="es-ES"/>
        </w:rPr>
        <w:t xml:space="preserve">-Val, O. A., </w:t>
      </w:r>
      <w:proofErr w:type="spellStart"/>
      <w:r w:rsidRPr="00261B7A">
        <w:rPr>
          <w:color w:val="0D0D0D"/>
          <w:sz w:val="24"/>
          <w:szCs w:val="24"/>
          <w:highlight w:val="white"/>
          <w:lang w:val="es-ES"/>
        </w:rPr>
        <w:t>Balogun</w:t>
      </w:r>
      <w:proofErr w:type="spellEnd"/>
      <w:r w:rsidRPr="00261B7A">
        <w:rPr>
          <w:color w:val="0D0D0D"/>
          <w:sz w:val="24"/>
          <w:szCs w:val="24"/>
          <w:highlight w:val="white"/>
          <w:lang w:val="es-ES"/>
        </w:rPr>
        <w:t xml:space="preserve">, A. Y., </w:t>
      </w:r>
      <w:proofErr w:type="spellStart"/>
      <w:r w:rsidRPr="00261B7A">
        <w:rPr>
          <w:color w:val="0D0D0D"/>
          <w:sz w:val="24"/>
          <w:szCs w:val="24"/>
          <w:highlight w:val="white"/>
          <w:lang w:val="es-ES"/>
        </w:rPr>
        <w:t>Gbadebo</w:t>
      </w:r>
      <w:proofErr w:type="spellEnd"/>
      <w:r w:rsidRPr="00261B7A">
        <w:rPr>
          <w:color w:val="0D0D0D"/>
          <w:sz w:val="24"/>
          <w:szCs w:val="24"/>
          <w:highlight w:val="white"/>
          <w:lang w:val="es-ES"/>
        </w:rPr>
        <w:t xml:space="preserve">, M. O., &amp; Olaniyi, O. O. (2025). </w:t>
      </w:r>
      <w:r w:rsidRPr="00E677D9">
        <w:rPr>
          <w:color w:val="0D0D0D"/>
          <w:sz w:val="24"/>
          <w:szCs w:val="24"/>
          <w:highlight w:val="white"/>
        </w:rPr>
        <w:t xml:space="preserve">AI-Driven Open Source Intelligence in Cyber </w:t>
      </w:r>
      <w:proofErr w:type="spellStart"/>
      <w:r w:rsidRPr="00E677D9">
        <w:rPr>
          <w:color w:val="0D0D0D"/>
          <w:sz w:val="24"/>
          <w:szCs w:val="24"/>
          <w:highlight w:val="white"/>
        </w:rPr>
        <w:t>Defense</w:t>
      </w:r>
      <w:proofErr w:type="spellEnd"/>
      <w:r w:rsidRPr="00E677D9">
        <w:rPr>
          <w:color w:val="0D0D0D"/>
          <w:sz w:val="24"/>
          <w:szCs w:val="24"/>
          <w:highlight w:val="white"/>
        </w:rPr>
        <w:t xml:space="preserve">: A Double-edged Sword for National Security. </w:t>
      </w:r>
      <w:r w:rsidRPr="00E677D9">
        <w:rPr>
          <w:i/>
          <w:color w:val="0D0D0D"/>
          <w:sz w:val="24"/>
          <w:szCs w:val="24"/>
          <w:highlight w:val="white"/>
        </w:rPr>
        <w:t>Asian Journal of Research in Computer Science</w:t>
      </w:r>
      <w:r w:rsidRPr="00E677D9">
        <w:rPr>
          <w:color w:val="0D0D0D"/>
          <w:sz w:val="24"/>
          <w:szCs w:val="24"/>
          <w:highlight w:val="white"/>
        </w:rPr>
        <w:t xml:space="preserve">, </w:t>
      </w:r>
      <w:r w:rsidRPr="00E677D9">
        <w:rPr>
          <w:i/>
          <w:color w:val="0D0D0D"/>
          <w:sz w:val="24"/>
          <w:szCs w:val="24"/>
          <w:highlight w:val="white"/>
        </w:rPr>
        <w:t>18</w:t>
      </w:r>
      <w:r w:rsidRPr="00E677D9">
        <w:rPr>
          <w:color w:val="0D0D0D"/>
          <w:sz w:val="24"/>
          <w:szCs w:val="24"/>
          <w:highlight w:val="white"/>
        </w:rPr>
        <w:t xml:space="preserve">(1), 133–153. </w:t>
      </w:r>
      <w:hyperlink r:id="rId57">
        <w:r w:rsidRPr="00E677D9">
          <w:rPr>
            <w:color w:val="1155CC"/>
            <w:sz w:val="24"/>
            <w:szCs w:val="24"/>
            <w:highlight w:val="white"/>
            <w:u w:val="single"/>
          </w:rPr>
          <w:t>https://doi.org/10.9734/ajrcos/2025/v18i1554</w:t>
        </w:r>
      </w:hyperlink>
      <w:r w:rsidRPr="00E677D9">
        <w:rPr>
          <w:color w:val="0D0D0D"/>
          <w:sz w:val="24"/>
          <w:szCs w:val="24"/>
          <w:highlight w:val="white"/>
        </w:rPr>
        <w:t xml:space="preserve"> </w:t>
      </w:r>
    </w:p>
    <w:p w14:paraId="241E58E7"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E677D9">
        <w:rPr>
          <w:color w:val="0D0D0D"/>
          <w:sz w:val="24"/>
          <w:szCs w:val="24"/>
          <w:highlight w:val="white"/>
        </w:rPr>
        <w:t xml:space="preserve">Maharjan, P. (2023). The Role of Artificial Intelligence-Driven Big Data Analytics in Strengthening Cybersecurity Frameworks for Critical Infrastructure. </w:t>
      </w:r>
      <w:r w:rsidRPr="00E677D9">
        <w:rPr>
          <w:i/>
          <w:color w:val="0D0D0D"/>
          <w:sz w:val="24"/>
          <w:szCs w:val="24"/>
          <w:highlight w:val="white"/>
        </w:rPr>
        <w:t>Global Research Perspectives on Cybersecurity Governance, Policy, and Management</w:t>
      </w:r>
      <w:r w:rsidRPr="00E677D9">
        <w:rPr>
          <w:color w:val="0D0D0D"/>
          <w:sz w:val="24"/>
          <w:szCs w:val="24"/>
          <w:highlight w:val="white"/>
        </w:rPr>
        <w:t xml:space="preserve">, </w:t>
      </w:r>
      <w:r w:rsidRPr="00E677D9">
        <w:rPr>
          <w:i/>
          <w:color w:val="0D0D0D"/>
          <w:sz w:val="24"/>
          <w:szCs w:val="24"/>
          <w:highlight w:val="white"/>
        </w:rPr>
        <w:t>7</w:t>
      </w:r>
      <w:r w:rsidRPr="00E677D9">
        <w:rPr>
          <w:color w:val="0D0D0D"/>
          <w:sz w:val="24"/>
          <w:szCs w:val="24"/>
          <w:highlight w:val="white"/>
        </w:rPr>
        <w:t xml:space="preserve">(11), 12–25. </w:t>
      </w:r>
      <w:hyperlink r:id="rId58">
        <w:r w:rsidRPr="00E677D9">
          <w:rPr>
            <w:color w:val="1155CC"/>
            <w:sz w:val="24"/>
            <w:szCs w:val="24"/>
            <w:highlight w:val="white"/>
            <w:u w:val="single"/>
          </w:rPr>
          <w:t>https://hammingate.com/index.php/GRPCGPM/article/view/2023-11-07</w:t>
        </w:r>
      </w:hyperlink>
      <w:r w:rsidRPr="00E677D9">
        <w:rPr>
          <w:color w:val="0D0D0D"/>
          <w:sz w:val="24"/>
          <w:szCs w:val="24"/>
          <w:highlight w:val="white"/>
        </w:rPr>
        <w:t xml:space="preserve"> </w:t>
      </w:r>
    </w:p>
    <w:p w14:paraId="3B456305"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E677D9">
        <w:rPr>
          <w:color w:val="0D0D0D"/>
          <w:sz w:val="24"/>
          <w:szCs w:val="24"/>
          <w:highlight w:val="white"/>
        </w:rPr>
        <w:t xml:space="preserve">Manda, J. K. (2024). AI-powered Threat Intelligence Platforms in Telecom: Leveraging AI for Real-time Threat Detection and Intelligence Gathering in Telecom Network Security Operations. </w:t>
      </w:r>
      <w:r w:rsidRPr="00E677D9">
        <w:rPr>
          <w:i/>
          <w:color w:val="0D0D0D"/>
          <w:sz w:val="24"/>
          <w:szCs w:val="24"/>
          <w:highlight w:val="white"/>
        </w:rPr>
        <w:t>SSRN Electronic Journal</w:t>
      </w:r>
      <w:r w:rsidRPr="00E677D9">
        <w:rPr>
          <w:color w:val="0D0D0D"/>
          <w:sz w:val="24"/>
          <w:szCs w:val="24"/>
          <w:highlight w:val="white"/>
        </w:rPr>
        <w:t xml:space="preserve">. </w:t>
      </w:r>
      <w:hyperlink r:id="rId59">
        <w:r w:rsidRPr="00E677D9">
          <w:rPr>
            <w:color w:val="1155CC"/>
            <w:sz w:val="24"/>
            <w:szCs w:val="24"/>
            <w:highlight w:val="white"/>
            <w:u w:val="single"/>
          </w:rPr>
          <w:t>https://doi.org/10.2139/ssrn.5003638</w:t>
        </w:r>
      </w:hyperlink>
      <w:r w:rsidRPr="00E677D9">
        <w:rPr>
          <w:color w:val="0D0D0D"/>
          <w:sz w:val="24"/>
          <w:szCs w:val="24"/>
          <w:highlight w:val="white"/>
        </w:rPr>
        <w:t xml:space="preserve"> </w:t>
      </w:r>
    </w:p>
    <w:p w14:paraId="6FF48D22"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E677D9">
        <w:rPr>
          <w:color w:val="0D0D0D"/>
          <w:sz w:val="24"/>
          <w:szCs w:val="24"/>
          <w:highlight w:val="white"/>
        </w:rPr>
        <w:lastRenderedPageBreak/>
        <w:t xml:space="preserve">Martins, I., Resende, J. S., Sousa, P. R., Silva, S., Antunes, L., &amp; Gama, J. (2022). Host-based IDS: A review and open issues of an anomaly detection system in IoT. </w:t>
      </w:r>
      <w:r w:rsidRPr="00E677D9">
        <w:rPr>
          <w:i/>
          <w:color w:val="0D0D0D"/>
          <w:sz w:val="24"/>
          <w:szCs w:val="24"/>
          <w:highlight w:val="white"/>
        </w:rPr>
        <w:t>Future Generation Computer Systems</w:t>
      </w:r>
      <w:r w:rsidRPr="00E677D9">
        <w:rPr>
          <w:color w:val="0D0D0D"/>
          <w:sz w:val="24"/>
          <w:szCs w:val="24"/>
          <w:highlight w:val="white"/>
        </w:rPr>
        <w:t xml:space="preserve">, </w:t>
      </w:r>
      <w:r w:rsidRPr="00E677D9">
        <w:rPr>
          <w:i/>
          <w:color w:val="0D0D0D"/>
          <w:sz w:val="24"/>
          <w:szCs w:val="24"/>
          <w:highlight w:val="white"/>
        </w:rPr>
        <w:t>133</w:t>
      </w:r>
      <w:r w:rsidRPr="00E677D9">
        <w:rPr>
          <w:color w:val="0D0D0D"/>
          <w:sz w:val="24"/>
          <w:szCs w:val="24"/>
          <w:highlight w:val="white"/>
        </w:rPr>
        <w:t xml:space="preserve">, 95–113. </w:t>
      </w:r>
      <w:hyperlink r:id="rId60">
        <w:r w:rsidRPr="00E677D9">
          <w:rPr>
            <w:color w:val="1155CC"/>
            <w:sz w:val="24"/>
            <w:szCs w:val="24"/>
            <w:highlight w:val="white"/>
            <w:u w:val="single"/>
          </w:rPr>
          <w:t>https://doi.org/10.1016/j.future.2022.03.001</w:t>
        </w:r>
      </w:hyperlink>
      <w:r w:rsidRPr="00E677D9">
        <w:rPr>
          <w:color w:val="0D0D0D"/>
          <w:sz w:val="24"/>
          <w:szCs w:val="24"/>
          <w:highlight w:val="white"/>
        </w:rPr>
        <w:t xml:space="preserve"> </w:t>
      </w:r>
    </w:p>
    <w:p w14:paraId="13D734C9"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E677D9">
        <w:rPr>
          <w:color w:val="0D0D0D"/>
          <w:sz w:val="24"/>
          <w:szCs w:val="24"/>
          <w:highlight w:val="white"/>
        </w:rPr>
        <w:t xml:space="preserve">Microsoft. (2024). </w:t>
      </w:r>
      <w:r w:rsidRPr="00E677D9">
        <w:rPr>
          <w:i/>
          <w:color w:val="0D0D0D"/>
          <w:sz w:val="24"/>
          <w:szCs w:val="24"/>
          <w:highlight w:val="white"/>
        </w:rPr>
        <w:t xml:space="preserve">Microsoft Digital </w:t>
      </w:r>
      <w:proofErr w:type="spellStart"/>
      <w:r w:rsidRPr="00E677D9">
        <w:rPr>
          <w:i/>
          <w:color w:val="0D0D0D"/>
          <w:sz w:val="24"/>
          <w:szCs w:val="24"/>
          <w:highlight w:val="white"/>
        </w:rPr>
        <w:t>Defense</w:t>
      </w:r>
      <w:proofErr w:type="spellEnd"/>
      <w:r w:rsidRPr="00E677D9">
        <w:rPr>
          <w:i/>
          <w:color w:val="0D0D0D"/>
          <w:sz w:val="24"/>
          <w:szCs w:val="24"/>
          <w:highlight w:val="white"/>
        </w:rPr>
        <w:t xml:space="preserve"> Report 2024</w:t>
      </w:r>
      <w:r w:rsidRPr="00E677D9">
        <w:rPr>
          <w:color w:val="0D0D0D"/>
          <w:sz w:val="24"/>
          <w:szCs w:val="24"/>
          <w:highlight w:val="white"/>
        </w:rPr>
        <w:t xml:space="preserve">. Microsoft.com. </w:t>
      </w:r>
      <w:hyperlink r:id="rId61">
        <w:r w:rsidRPr="00E677D9">
          <w:rPr>
            <w:color w:val="1155CC"/>
            <w:sz w:val="24"/>
            <w:szCs w:val="24"/>
            <w:highlight w:val="white"/>
            <w:u w:val="single"/>
          </w:rPr>
          <w:t>https://www.microsoft.com/en-us/security/security-insider/intelligence-reports/microsoft-digital-defense-report-2024?msockid=2e7b7a8ff19a6b6922d36e50f02e6a07</w:t>
        </w:r>
      </w:hyperlink>
      <w:r w:rsidRPr="00E677D9">
        <w:rPr>
          <w:color w:val="0D0D0D"/>
          <w:sz w:val="24"/>
          <w:szCs w:val="24"/>
          <w:highlight w:val="white"/>
        </w:rPr>
        <w:t xml:space="preserve"> </w:t>
      </w:r>
    </w:p>
    <w:p w14:paraId="4210B7FE"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E677D9">
        <w:rPr>
          <w:color w:val="0D0D0D"/>
          <w:sz w:val="24"/>
          <w:szCs w:val="24"/>
          <w:highlight w:val="white"/>
        </w:rPr>
        <w:t xml:space="preserve">Mohamed, N. (2023). Current Trends in AI and ML for cybersecurity: a state-of-the-art Survey. </w:t>
      </w:r>
      <w:r w:rsidRPr="00E677D9">
        <w:rPr>
          <w:i/>
          <w:color w:val="0D0D0D"/>
          <w:sz w:val="24"/>
          <w:szCs w:val="24"/>
          <w:highlight w:val="white"/>
        </w:rPr>
        <w:t>Cogent Engineering</w:t>
      </w:r>
      <w:r w:rsidRPr="00E677D9">
        <w:rPr>
          <w:color w:val="0D0D0D"/>
          <w:sz w:val="24"/>
          <w:szCs w:val="24"/>
          <w:highlight w:val="white"/>
        </w:rPr>
        <w:t xml:space="preserve">, </w:t>
      </w:r>
      <w:r w:rsidRPr="00E677D9">
        <w:rPr>
          <w:i/>
          <w:color w:val="0D0D0D"/>
          <w:sz w:val="24"/>
          <w:szCs w:val="24"/>
          <w:highlight w:val="white"/>
        </w:rPr>
        <w:t>10</w:t>
      </w:r>
      <w:r w:rsidRPr="00E677D9">
        <w:rPr>
          <w:color w:val="0D0D0D"/>
          <w:sz w:val="24"/>
          <w:szCs w:val="24"/>
          <w:highlight w:val="white"/>
        </w:rPr>
        <w:t xml:space="preserve">(2). </w:t>
      </w:r>
      <w:hyperlink r:id="rId62">
        <w:r w:rsidRPr="00E677D9">
          <w:rPr>
            <w:color w:val="1155CC"/>
            <w:sz w:val="24"/>
            <w:szCs w:val="24"/>
            <w:highlight w:val="white"/>
            <w:u w:val="single"/>
          </w:rPr>
          <w:t>https://doi.org/10.1080/23311916.2023.2272358</w:t>
        </w:r>
      </w:hyperlink>
      <w:r w:rsidRPr="00E677D9">
        <w:rPr>
          <w:color w:val="0D0D0D"/>
          <w:sz w:val="24"/>
          <w:szCs w:val="24"/>
          <w:highlight w:val="white"/>
        </w:rPr>
        <w:t xml:space="preserve"> </w:t>
      </w:r>
    </w:p>
    <w:p w14:paraId="166F753A"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E677D9">
        <w:rPr>
          <w:color w:val="0D0D0D"/>
          <w:sz w:val="24"/>
          <w:szCs w:val="24"/>
          <w:highlight w:val="white"/>
        </w:rPr>
        <w:t xml:space="preserve">Mohamed, Y. A., Mohamed, A. H., Kannan, A., Bashir, M., Adiel, M. A. E., &amp; </w:t>
      </w:r>
      <w:proofErr w:type="spellStart"/>
      <w:r w:rsidRPr="00E677D9">
        <w:rPr>
          <w:color w:val="0D0D0D"/>
          <w:sz w:val="24"/>
          <w:szCs w:val="24"/>
          <w:highlight w:val="white"/>
        </w:rPr>
        <w:t>Elsadig</w:t>
      </w:r>
      <w:proofErr w:type="spellEnd"/>
      <w:r w:rsidRPr="00E677D9">
        <w:rPr>
          <w:color w:val="0D0D0D"/>
          <w:sz w:val="24"/>
          <w:szCs w:val="24"/>
          <w:highlight w:val="white"/>
        </w:rPr>
        <w:t xml:space="preserve">, M. A. (2024). Navigating the Ethical Terrain of AI-Generated Text Tools: A Review. </w:t>
      </w:r>
      <w:r w:rsidRPr="00E677D9">
        <w:rPr>
          <w:i/>
          <w:color w:val="0D0D0D"/>
          <w:sz w:val="24"/>
          <w:szCs w:val="24"/>
          <w:highlight w:val="white"/>
        </w:rPr>
        <w:t>IEEE Access</w:t>
      </w:r>
      <w:r w:rsidRPr="00E677D9">
        <w:rPr>
          <w:color w:val="0D0D0D"/>
          <w:sz w:val="24"/>
          <w:szCs w:val="24"/>
          <w:highlight w:val="white"/>
        </w:rPr>
        <w:t xml:space="preserve">, 1–1. </w:t>
      </w:r>
      <w:hyperlink r:id="rId63">
        <w:r w:rsidRPr="00E677D9">
          <w:rPr>
            <w:color w:val="1155CC"/>
            <w:sz w:val="24"/>
            <w:szCs w:val="24"/>
            <w:highlight w:val="white"/>
            <w:u w:val="single"/>
          </w:rPr>
          <w:t>https://doi.org/10.1109/access.2024.3521945</w:t>
        </w:r>
      </w:hyperlink>
      <w:r w:rsidRPr="00E677D9">
        <w:rPr>
          <w:color w:val="0D0D0D"/>
          <w:sz w:val="24"/>
          <w:szCs w:val="24"/>
          <w:highlight w:val="white"/>
        </w:rPr>
        <w:t xml:space="preserve"> </w:t>
      </w:r>
    </w:p>
    <w:p w14:paraId="4CF0DF67"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E677D9">
        <w:rPr>
          <w:color w:val="0D0D0D"/>
          <w:sz w:val="24"/>
          <w:szCs w:val="24"/>
          <w:highlight w:val="white"/>
        </w:rPr>
        <w:t xml:space="preserve">Nwoye, C., &amp; </w:t>
      </w:r>
      <w:proofErr w:type="spellStart"/>
      <w:r w:rsidRPr="00E677D9">
        <w:rPr>
          <w:color w:val="0D0D0D"/>
          <w:sz w:val="24"/>
          <w:szCs w:val="24"/>
          <w:highlight w:val="white"/>
        </w:rPr>
        <w:t>Nwagwughiagwu</w:t>
      </w:r>
      <w:proofErr w:type="spellEnd"/>
      <w:r w:rsidRPr="00E677D9">
        <w:rPr>
          <w:color w:val="0D0D0D"/>
          <w:sz w:val="24"/>
          <w:szCs w:val="24"/>
          <w:highlight w:val="white"/>
        </w:rPr>
        <w:t xml:space="preserve">, S. (2024). International Journal of Engineering Technology Research &amp; Management AI-DRIVEN ANOMALY DETECTION FOR PROACTIVE CYBERSECURITY AND DATA BREACH PREVENTION. </w:t>
      </w:r>
      <w:r w:rsidRPr="00E677D9">
        <w:rPr>
          <w:i/>
          <w:color w:val="0D0D0D"/>
          <w:sz w:val="24"/>
          <w:szCs w:val="24"/>
          <w:highlight w:val="white"/>
        </w:rPr>
        <w:t xml:space="preserve">International Journal of Engineering Technology Research &amp; </w:t>
      </w:r>
      <w:proofErr w:type="gramStart"/>
      <w:r w:rsidRPr="00E677D9">
        <w:rPr>
          <w:i/>
          <w:color w:val="0D0D0D"/>
          <w:sz w:val="24"/>
          <w:szCs w:val="24"/>
          <w:highlight w:val="white"/>
        </w:rPr>
        <w:t xml:space="preserve">Management </w:t>
      </w:r>
      <w:r w:rsidRPr="00E677D9">
        <w:rPr>
          <w:color w:val="0D0D0D"/>
          <w:sz w:val="24"/>
          <w:szCs w:val="24"/>
          <w:highlight w:val="white"/>
        </w:rPr>
        <w:t>,</w:t>
      </w:r>
      <w:proofErr w:type="gramEnd"/>
      <w:r w:rsidRPr="00E677D9">
        <w:rPr>
          <w:color w:val="0D0D0D"/>
          <w:sz w:val="24"/>
          <w:szCs w:val="24"/>
          <w:highlight w:val="white"/>
        </w:rPr>
        <w:t xml:space="preserve"> </w:t>
      </w:r>
      <w:r w:rsidRPr="00E677D9">
        <w:rPr>
          <w:i/>
          <w:color w:val="0D0D0D"/>
          <w:sz w:val="24"/>
          <w:szCs w:val="24"/>
          <w:highlight w:val="white"/>
        </w:rPr>
        <w:t>08</w:t>
      </w:r>
      <w:r w:rsidRPr="00E677D9">
        <w:rPr>
          <w:color w:val="0D0D0D"/>
          <w:sz w:val="24"/>
          <w:szCs w:val="24"/>
          <w:highlight w:val="white"/>
        </w:rPr>
        <w:t xml:space="preserve">(11). </w:t>
      </w:r>
      <w:hyperlink r:id="rId64">
        <w:r w:rsidRPr="00E677D9">
          <w:rPr>
            <w:color w:val="1155CC"/>
            <w:sz w:val="24"/>
            <w:szCs w:val="24"/>
            <w:highlight w:val="white"/>
            <w:u w:val="single"/>
          </w:rPr>
          <w:t>https://ijetrm.com/issues/files/Nov-2024-21-1732196009-NOV37.pdf</w:t>
        </w:r>
      </w:hyperlink>
      <w:r w:rsidRPr="00E677D9">
        <w:rPr>
          <w:color w:val="0D0D0D"/>
          <w:sz w:val="24"/>
          <w:szCs w:val="24"/>
          <w:highlight w:val="white"/>
        </w:rPr>
        <w:t xml:space="preserve"> </w:t>
      </w:r>
    </w:p>
    <w:p w14:paraId="4FB74823"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E677D9">
        <w:rPr>
          <w:color w:val="0D0D0D"/>
          <w:sz w:val="24"/>
          <w:szCs w:val="24"/>
          <w:highlight w:val="white"/>
        </w:rPr>
        <w:t xml:space="preserve">Obi, D. (2024). </w:t>
      </w:r>
      <w:r w:rsidRPr="00E677D9">
        <w:rPr>
          <w:i/>
          <w:color w:val="0D0D0D"/>
          <w:sz w:val="24"/>
          <w:szCs w:val="24"/>
          <w:highlight w:val="white"/>
        </w:rPr>
        <w:t xml:space="preserve">Phishing and social engineering account for 70-90% of malicious Data breaches, says cyber-security specialist - </w:t>
      </w:r>
      <w:proofErr w:type="spellStart"/>
      <w:r w:rsidRPr="00E677D9">
        <w:rPr>
          <w:i/>
          <w:color w:val="0D0D0D"/>
          <w:sz w:val="24"/>
          <w:szCs w:val="24"/>
          <w:highlight w:val="white"/>
        </w:rPr>
        <w:t>Businessday</w:t>
      </w:r>
      <w:proofErr w:type="spellEnd"/>
      <w:r w:rsidRPr="00E677D9">
        <w:rPr>
          <w:i/>
          <w:color w:val="0D0D0D"/>
          <w:sz w:val="24"/>
          <w:szCs w:val="24"/>
          <w:highlight w:val="white"/>
        </w:rPr>
        <w:t xml:space="preserve"> NG</w:t>
      </w:r>
      <w:r w:rsidRPr="00E677D9">
        <w:rPr>
          <w:color w:val="0D0D0D"/>
          <w:sz w:val="24"/>
          <w:szCs w:val="24"/>
          <w:highlight w:val="white"/>
        </w:rPr>
        <w:t xml:space="preserve">. </w:t>
      </w:r>
      <w:proofErr w:type="spellStart"/>
      <w:r w:rsidRPr="00E677D9">
        <w:rPr>
          <w:color w:val="0D0D0D"/>
          <w:sz w:val="24"/>
          <w:szCs w:val="24"/>
          <w:highlight w:val="white"/>
        </w:rPr>
        <w:t>Businessday</w:t>
      </w:r>
      <w:proofErr w:type="spellEnd"/>
      <w:r w:rsidRPr="00E677D9">
        <w:rPr>
          <w:color w:val="0D0D0D"/>
          <w:sz w:val="24"/>
          <w:szCs w:val="24"/>
          <w:highlight w:val="white"/>
        </w:rPr>
        <w:t xml:space="preserve"> NG. </w:t>
      </w:r>
      <w:hyperlink r:id="rId65">
        <w:r w:rsidRPr="00E677D9">
          <w:rPr>
            <w:color w:val="1155CC"/>
            <w:sz w:val="24"/>
            <w:szCs w:val="24"/>
            <w:highlight w:val="white"/>
            <w:u w:val="single"/>
          </w:rPr>
          <w:t>https://businessday.ng/interview/article/phishing-and-social-engineering-account-for-70-90-of-malicious-data-breaches-says-cyber-security-specialist/</w:t>
        </w:r>
      </w:hyperlink>
      <w:r w:rsidRPr="00E677D9">
        <w:rPr>
          <w:color w:val="0D0D0D"/>
          <w:sz w:val="24"/>
          <w:szCs w:val="24"/>
          <w:highlight w:val="white"/>
        </w:rPr>
        <w:t xml:space="preserve"> </w:t>
      </w:r>
    </w:p>
    <w:p w14:paraId="455738C3"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E677D9">
        <w:rPr>
          <w:color w:val="0D0D0D"/>
          <w:sz w:val="24"/>
          <w:szCs w:val="24"/>
          <w:highlight w:val="white"/>
        </w:rPr>
        <w:t xml:space="preserve">Obioha-Val, O. A. (2025). Bridging Gaps in Cybersecurity Governance: Leveraging Collaborative Digital Solutions. </w:t>
      </w:r>
      <w:r w:rsidRPr="00E677D9">
        <w:rPr>
          <w:i/>
          <w:color w:val="0D0D0D"/>
          <w:sz w:val="24"/>
          <w:szCs w:val="24"/>
          <w:highlight w:val="white"/>
        </w:rPr>
        <w:t>Asian Journal of Research in Computer Science</w:t>
      </w:r>
      <w:r w:rsidRPr="00E677D9">
        <w:rPr>
          <w:color w:val="0D0D0D"/>
          <w:sz w:val="24"/>
          <w:szCs w:val="24"/>
          <w:highlight w:val="white"/>
        </w:rPr>
        <w:t xml:space="preserve">, </w:t>
      </w:r>
      <w:r w:rsidRPr="00E677D9">
        <w:rPr>
          <w:i/>
          <w:color w:val="0D0D0D"/>
          <w:sz w:val="24"/>
          <w:szCs w:val="24"/>
          <w:highlight w:val="white"/>
        </w:rPr>
        <w:t>18</w:t>
      </w:r>
      <w:r w:rsidRPr="00E677D9">
        <w:rPr>
          <w:color w:val="0D0D0D"/>
          <w:sz w:val="24"/>
          <w:szCs w:val="24"/>
          <w:highlight w:val="white"/>
        </w:rPr>
        <w:t xml:space="preserve">(2), 82–100. </w:t>
      </w:r>
      <w:hyperlink r:id="rId66">
        <w:r w:rsidRPr="00E677D9">
          <w:rPr>
            <w:color w:val="1155CC"/>
            <w:sz w:val="24"/>
            <w:szCs w:val="24"/>
            <w:highlight w:val="white"/>
            <w:u w:val="single"/>
          </w:rPr>
          <w:t>https://doi.org/10.9734/ajrcos/2025/v18i2564</w:t>
        </w:r>
      </w:hyperlink>
      <w:r w:rsidRPr="00E677D9">
        <w:rPr>
          <w:color w:val="0D0D0D"/>
          <w:sz w:val="24"/>
          <w:szCs w:val="24"/>
          <w:highlight w:val="white"/>
        </w:rPr>
        <w:t xml:space="preserve"> </w:t>
      </w:r>
    </w:p>
    <w:p w14:paraId="3E2966B5"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proofErr w:type="spellStart"/>
      <w:r w:rsidRPr="00261B7A">
        <w:rPr>
          <w:color w:val="0D0D0D"/>
          <w:sz w:val="24"/>
          <w:szCs w:val="24"/>
          <w:highlight w:val="white"/>
          <w:lang w:val="es-ES"/>
        </w:rPr>
        <w:t>Obioha</w:t>
      </w:r>
      <w:proofErr w:type="spellEnd"/>
      <w:r w:rsidRPr="00261B7A">
        <w:rPr>
          <w:color w:val="0D0D0D"/>
          <w:sz w:val="24"/>
          <w:szCs w:val="24"/>
          <w:highlight w:val="white"/>
          <w:lang w:val="es-ES"/>
        </w:rPr>
        <w:t xml:space="preserve">-Val, O. A., </w:t>
      </w:r>
      <w:proofErr w:type="spellStart"/>
      <w:r w:rsidRPr="00261B7A">
        <w:rPr>
          <w:color w:val="0D0D0D"/>
          <w:sz w:val="24"/>
          <w:szCs w:val="24"/>
          <w:highlight w:val="white"/>
          <w:lang w:val="es-ES"/>
        </w:rPr>
        <w:t>Gbadebo</w:t>
      </w:r>
      <w:proofErr w:type="spellEnd"/>
      <w:r w:rsidRPr="00261B7A">
        <w:rPr>
          <w:color w:val="0D0D0D"/>
          <w:sz w:val="24"/>
          <w:szCs w:val="24"/>
          <w:highlight w:val="white"/>
          <w:lang w:val="es-ES"/>
        </w:rPr>
        <w:t xml:space="preserve">, M. O., Olaniyi, O. O., </w:t>
      </w:r>
      <w:proofErr w:type="spellStart"/>
      <w:r w:rsidRPr="00261B7A">
        <w:rPr>
          <w:color w:val="0D0D0D"/>
          <w:sz w:val="24"/>
          <w:szCs w:val="24"/>
          <w:highlight w:val="white"/>
          <w:lang w:val="es-ES"/>
        </w:rPr>
        <w:t>Chinye</w:t>
      </w:r>
      <w:proofErr w:type="spellEnd"/>
      <w:r w:rsidRPr="00261B7A">
        <w:rPr>
          <w:color w:val="0D0D0D"/>
          <w:sz w:val="24"/>
          <w:szCs w:val="24"/>
          <w:highlight w:val="white"/>
          <w:lang w:val="es-ES"/>
        </w:rPr>
        <w:t xml:space="preserve">, N. C., &amp; </w:t>
      </w:r>
      <w:proofErr w:type="spellStart"/>
      <w:r w:rsidRPr="00261B7A">
        <w:rPr>
          <w:color w:val="0D0D0D"/>
          <w:sz w:val="24"/>
          <w:szCs w:val="24"/>
          <w:highlight w:val="white"/>
          <w:lang w:val="es-ES"/>
        </w:rPr>
        <w:t>Balogun</w:t>
      </w:r>
      <w:proofErr w:type="spellEnd"/>
      <w:r w:rsidRPr="00261B7A">
        <w:rPr>
          <w:color w:val="0D0D0D"/>
          <w:sz w:val="24"/>
          <w:szCs w:val="24"/>
          <w:highlight w:val="white"/>
          <w:lang w:val="es-ES"/>
        </w:rPr>
        <w:t xml:space="preserve">, A. Y. (2025). </w:t>
      </w:r>
      <w:r w:rsidRPr="00E677D9">
        <w:rPr>
          <w:color w:val="0D0D0D"/>
          <w:sz w:val="24"/>
          <w:szCs w:val="24"/>
          <w:highlight w:val="white"/>
        </w:rPr>
        <w:t xml:space="preserve">Innovative Regulation of Open Source Intelligence and Deepfakes AI in Managing Public Trust. </w:t>
      </w:r>
      <w:r w:rsidRPr="00E677D9">
        <w:rPr>
          <w:i/>
          <w:color w:val="0D0D0D"/>
          <w:sz w:val="24"/>
          <w:szCs w:val="24"/>
          <w:highlight w:val="white"/>
        </w:rPr>
        <w:t>Journal of Engineering Research and Reports</w:t>
      </w:r>
      <w:r w:rsidRPr="00E677D9">
        <w:rPr>
          <w:color w:val="0D0D0D"/>
          <w:sz w:val="24"/>
          <w:szCs w:val="24"/>
          <w:highlight w:val="white"/>
        </w:rPr>
        <w:t xml:space="preserve">, </w:t>
      </w:r>
      <w:r w:rsidRPr="00E677D9">
        <w:rPr>
          <w:i/>
          <w:color w:val="0D0D0D"/>
          <w:sz w:val="24"/>
          <w:szCs w:val="24"/>
          <w:highlight w:val="white"/>
        </w:rPr>
        <w:t>27</w:t>
      </w:r>
      <w:r w:rsidRPr="00E677D9">
        <w:rPr>
          <w:color w:val="0D0D0D"/>
          <w:sz w:val="24"/>
          <w:szCs w:val="24"/>
          <w:highlight w:val="white"/>
        </w:rPr>
        <w:t xml:space="preserve">(2), 136–156. </w:t>
      </w:r>
      <w:hyperlink r:id="rId67">
        <w:r w:rsidRPr="00E677D9">
          <w:rPr>
            <w:color w:val="1155CC"/>
            <w:sz w:val="24"/>
            <w:szCs w:val="24"/>
            <w:highlight w:val="white"/>
            <w:u w:val="single"/>
          </w:rPr>
          <w:t>https://doi.org/10.9734/jerr/2025/v27i21400</w:t>
        </w:r>
      </w:hyperlink>
      <w:r w:rsidRPr="00E677D9">
        <w:rPr>
          <w:color w:val="0D0D0D"/>
          <w:sz w:val="24"/>
          <w:szCs w:val="24"/>
          <w:highlight w:val="white"/>
        </w:rPr>
        <w:t xml:space="preserve"> </w:t>
      </w:r>
    </w:p>
    <w:p w14:paraId="55560DBC"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proofErr w:type="spellStart"/>
      <w:r w:rsidRPr="00261B7A">
        <w:rPr>
          <w:color w:val="0D0D0D"/>
          <w:sz w:val="24"/>
          <w:szCs w:val="24"/>
          <w:highlight w:val="white"/>
          <w:lang w:val="es-ES"/>
        </w:rPr>
        <w:t>Obioha</w:t>
      </w:r>
      <w:proofErr w:type="spellEnd"/>
      <w:r w:rsidRPr="00261B7A">
        <w:rPr>
          <w:color w:val="0D0D0D"/>
          <w:sz w:val="24"/>
          <w:szCs w:val="24"/>
          <w:highlight w:val="white"/>
          <w:lang w:val="es-ES"/>
        </w:rPr>
        <w:t xml:space="preserve">-Val, O. A., Lawal, T. I., Olaniyi, O. O., </w:t>
      </w:r>
      <w:proofErr w:type="spellStart"/>
      <w:r w:rsidRPr="00261B7A">
        <w:rPr>
          <w:color w:val="0D0D0D"/>
          <w:sz w:val="24"/>
          <w:szCs w:val="24"/>
          <w:highlight w:val="white"/>
          <w:lang w:val="es-ES"/>
        </w:rPr>
        <w:t>Gbadebo</w:t>
      </w:r>
      <w:proofErr w:type="spellEnd"/>
      <w:r w:rsidRPr="00261B7A">
        <w:rPr>
          <w:color w:val="0D0D0D"/>
          <w:sz w:val="24"/>
          <w:szCs w:val="24"/>
          <w:highlight w:val="white"/>
          <w:lang w:val="es-ES"/>
        </w:rPr>
        <w:t xml:space="preserve">, M. O., &amp; </w:t>
      </w:r>
      <w:proofErr w:type="spellStart"/>
      <w:r w:rsidRPr="00261B7A">
        <w:rPr>
          <w:color w:val="0D0D0D"/>
          <w:sz w:val="24"/>
          <w:szCs w:val="24"/>
          <w:highlight w:val="white"/>
          <w:lang w:val="es-ES"/>
        </w:rPr>
        <w:t>Olisa</w:t>
      </w:r>
      <w:proofErr w:type="spellEnd"/>
      <w:r w:rsidRPr="00261B7A">
        <w:rPr>
          <w:color w:val="0D0D0D"/>
          <w:sz w:val="24"/>
          <w:szCs w:val="24"/>
          <w:highlight w:val="white"/>
          <w:lang w:val="es-ES"/>
        </w:rPr>
        <w:t xml:space="preserve">, A. O. (2025). </w:t>
      </w:r>
      <w:r w:rsidRPr="00E677D9">
        <w:rPr>
          <w:color w:val="0D0D0D"/>
          <w:sz w:val="24"/>
          <w:szCs w:val="24"/>
          <w:highlight w:val="white"/>
        </w:rPr>
        <w:t xml:space="preserve">Investigating the Feasibility and Risks of Leveraging Artificial Intelligence and Open Source Intelligence to Manage Predictive Cyber Threat Models. </w:t>
      </w:r>
      <w:r w:rsidRPr="00E677D9">
        <w:rPr>
          <w:i/>
          <w:color w:val="0D0D0D"/>
          <w:sz w:val="24"/>
          <w:szCs w:val="24"/>
          <w:highlight w:val="white"/>
        </w:rPr>
        <w:t>Journal of Engineering Research and Reports</w:t>
      </w:r>
      <w:r w:rsidRPr="00E677D9">
        <w:rPr>
          <w:color w:val="0D0D0D"/>
          <w:sz w:val="24"/>
          <w:szCs w:val="24"/>
          <w:highlight w:val="white"/>
        </w:rPr>
        <w:t xml:space="preserve">, </w:t>
      </w:r>
      <w:r w:rsidRPr="00E677D9">
        <w:rPr>
          <w:i/>
          <w:color w:val="0D0D0D"/>
          <w:sz w:val="24"/>
          <w:szCs w:val="24"/>
          <w:highlight w:val="white"/>
        </w:rPr>
        <w:t>27</w:t>
      </w:r>
      <w:r w:rsidRPr="00E677D9">
        <w:rPr>
          <w:color w:val="0D0D0D"/>
          <w:sz w:val="24"/>
          <w:szCs w:val="24"/>
          <w:highlight w:val="white"/>
        </w:rPr>
        <w:t xml:space="preserve">(2), 10–28. </w:t>
      </w:r>
      <w:hyperlink r:id="rId68">
        <w:r w:rsidRPr="00E677D9">
          <w:rPr>
            <w:color w:val="1155CC"/>
            <w:sz w:val="24"/>
            <w:szCs w:val="24"/>
            <w:highlight w:val="white"/>
            <w:u w:val="single"/>
          </w:rPr>
          <w:t>https://doi.org/10.9734/jerr/2025/v27i21390</w:t>
        </w:r>
      </w:hyperlink>
      <w:r w:rsidRPr="00E677D9">
        <w:rPr>
          <w:color w:val="0D0D0D"/>
          <w:sz w:val="24"/>
          <w:szCs w:val="24"/>
          <w:highlight w:val="white"/>
        </w:rPr>
        <w:t xml:space="preserve"> </w:t>
      </w:r>
    </w:p>
    <w:p w14:paraId="6159D949"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proofErr w:type="spellStart"/>
      <w:r w:rsidRPr="00261B7A">
        <w:rPr>
          <w:color w:val="0D0D0D"/>
          <w:sz w:val="24"/>
          <w:szCs w:val="24"/>
          <w:highlight w:val="white"/>
          <w:lang w:val="es-ES"/>
        </w:rPr>
        <w:t>Obioha</w:t>
      </w:r>
      <w:proofErr w:type="spellEnd"/>
      <w:r w:rsidRPr="00261B7A">
        <w:rPr>
          <w:color w:val="0D0D0D"/>
          <w:sz w:val="24"/>
          <w:szCs w:val="24"/>
          <w:highlight w:val="white"/>
          <w:lang w:val="es-ES"/>
        </w:rPr>
        <w:t xml:space="preserve">-Val, O. A., Olaniyi, O. O., </w:t>
      </w:r>
      <w:proofErr w:type="spellStart"/>
      <w:r w:rsidRPr="00261B7A">
        <w:rPr>
          <w:color w:val="0D0D0D"/>
          <w:sz w:val="24"/>
          <w:szCs w:val="24"/>
          <w:highlight w:val="white"/>
          <w:lang w:val="es-ES"/>
        </w:rPr>
        <w:t>Gbadebo</w:t>
      </w:r>
      <w:proofErr w:type="spellEnd"/>
      <w:r w:rsidRPr="00261B7A">
        <w:rPr>
          <w:color w:val="0D0D0D"/>
          <w:sz w:val="24"/>
          <w:szCs w:val="24"/>
          <w:highlight w:val="white"/>
          <w:lang w:val="es-ES"/>
        </w:rPr>
        <w:t xml:space="preserve">, M. O., </w:t>
      </w:r>
      <w:proofErr w:type="spellStart"/>
      <w:r w:rsidRPr="00261B7A">
        <w:rPr>
          <w:color w:val="0D0D0D"/>
          <w:sz w:val="24"/>
          <w:szCs w:val="24"/>
          <w:highlight w:val="white"/>
          <w:lang w:val="es-ES"/>
        </w:rPr>
        <w:t>Balogun</w:t>
      </w:r>
      <w:proofErr w:type="spellEnd"/>
      <w:r w:rsidRPr="00261B7A">
        <w:rPr>
          <w:color w:val="0D0D0D"/>
          <w:sz w:val="24"/>
          <w:szCs w:val="24"/>
          <w:highlight w:val="white"/>
          <w:lang w:val="es-ES"/>
        </w:rPr>
        <w:t xml:space="preserve">, A. Y., &amp; </w:t>
      </w:r>
      <w:proofErr w:type="spellStart"/>
      <w:r w:rsidRPr="00261B7A">
        <w:rPr>
          <w:color w:val="0D0D0D"/>
          <w:sz w:val="24"/>
          <w:szCs w:val="24"/>
          <w:highlight w:val="white"/>
          <w:lang w:val="es-ES"/>
        </w:rPr>
        <w:t>Olisa</w:t>
      </w:r>
      <w:proofErr w:type="spellEnd"/>
      <w:r w:rsidRPr="00261B7A">
        <w:rPr>
          <w:color w:val="0D0D0D"/>
          <w:sz w:val="24"/>
          <w:szCs w:val="24"/>
          <w:highlight w:val="white"/>
          <w:lang w:val="es-ES"/>
        </w:rPr>
        <w:t xml:space="preserve">, A. O. (2025). </w:t>
      </w:r>
      <w:r w:rsidRPr="00E677D9">
        <w:rPr>
          <w:color w:val="0D0D0D"/>
          <w:sz w:val="24"/>
          <w:szCs w:val="24"/>
          <w:highlight w:val="white"/>
        </w:rPr>
        <w:t xml:space="preserve">Cyber Espionage in the Age of Artificial Intelligence: A Comparative Study of State-Sponsored Campaign. </w:t>
      </w:r>
      <w:r w:rsidRPr="00E677D9">
        <w:rPr>
          <w:i/>
          <w:color w:val="0D0D0D"/>
          <w:sz w:val="24"/>
          <w:szCs w:val="24"/>
          <w:highlight w:val="white"/>
        </w:rPr>
        <w:t>Asian Journal of Research in Computer Science</w:t>
      </w:r>
      <w:r w:rsidRPr="00E677D9">
        <w:rPr>
          <w:color w:val="0D0D0D"/>
          <w:sz w:val="24"/>
          <w:szCs w:val="24"/>
          <w:highlight w:val="white"/>
        </w:rPr>
        <w:t xml:space="preserve">, </w:t>
      </w:r>
      <w:r w:rsidRPr="00E677D9">
        <w:rPr>
          <w:i/>
          <w:color w:val="0D0D0D"/>
          <w:sz w:val="24"/>
          <w:szCs w:val="24"/>
          <w:highlight w:val="white"/>
        </w:rPr>
        <w:t>18</w:t>
      </w:r>
      <w:r w:rsidRPr="00E677D9">
        <w:rPr>
          <w:color w:val="0D0D0D"/>
          <w:sz w:val="24"/>
          <w:szCs w:val="24"/>
          <w:highlight w:val="white"/>
        </w:rPr>
        <w:t xml:space="preserve">(1), 184–204. </w:t>
      </w:r>
      <w:hyperlink r:id="rId69">
        <w:r w:rsidRPr="00E677D9">
          <w:rPr>
            <w:color w:val="1155CC"/>
            <w:sz w:val="24"/>
            <w:szCs w:val="24"/>
            <w:highlight w:val="white"/>
            <w:u w:val="single"/>
          </w:rPr>
          <w:t>https://doi.org/10.9734/ajrcos/2025/v18i1557</w:t>
        </w:r>
      </w:hyperlink>
      <w:r w:rsidRPr="00E677D9">
        <w:rPr>
          <w:color w:val="0D0D0D"/>
          <w:sz w:val="24"/>
          <w:szCs w:val="24"/>
          <w:highlight w:val="white"/>
        </w:rPr>
        <w:t xml:space="preserve"> </w:t>
      </w:r>
    </w:p>
    <w:p w14:paraId="4EF1A640"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proofErr w:type="spellStart"/>
      <w:r w:rsidRPr="00261B7A">
        <w:rPr>
          <w:color w:val="0D0D0D"/>
          <w:sz w:val="24"/>
          <w:szCs w:val="24"/>
          <w:highlight w:val="white"/>
          <w:lang w:val="fr-FR"/>
        </w:rPr>
        <w:lastRenderedPageBreak/>
        <w:t>Ohri</w:t>
      </w:r>
      <w:proofErr w:type="spellEnd"/>
      <w:r w:rsidRPr="00261B7A">
        <w:rPr>
          <w:color w:val="0D0D0D"/>
          <w:sz w:val="24"/>
          <w:szCs w:val="24"/>
          <w:highlight w:val="white"/>
          <w:lang w:val="fr-FR"/>
        </w:rPr>
        <w:t xml:space="preserve">, P., Daniel, A., </w:t>
      </w:r>
      <w:proofErr w:type="spellStart"/>
      <w:r w:rsidRPr="00261B7A">
        <w:rPr>
          <w:color w:val="0D0D0D"/>
          <w:sz w:val="24"/>
          <w:szCs w:val="24"/>
          <w:highlight w:val="white"/>
          <w:lang w:val="fr-FR"/>
        </w:rPr>
        <w:t>Neogi</w:t>
      </w:r>
      <w:proofErr w:type="spellEnd"/>
      <w:r w:rsidRPr="00261B7A">
        <w:rPr>
          <w:color w:val="0D0D0D"/>
          <w:sz w:val="24"/>
          <w:szCs w:val="24"/>
          <w:highlight w:val="white"/>
          <w:lang w:val="fr-FR"/>
        </w:rPr>
        <w:t xml:space="preserve">, S. G., &amp; </w:t>
      </w:r>
      <w:proofErr w:type="spellStart"/>
      <w:r w:rsidRPr="00261B7A">
        <w:rPr>
          <w:color w:val="0D0D0D"/>
          <w:sz w:val="24"/>
          <w:szCs w:val="24"/>
          <w:highlight w:val="white"/>
          <w:lang w:val="fr-FR"/>
        </w:rPr>
        <w:t>Muttoo</w:t>
      </w:r>
      <w:proofErr w:type="spellEnd"/>
      <w:r w:rsidRPr="00261B7A">
        <w:rPr>
          <w:color w:val="0D0D0D"/>
          <w:sz w:val="24"/>
          <w:szCs w:val="24"/>
          <w:highlight w:val="white"/>
          <w:lang w:val="fr-FR"/>
        </w:rPr>
        <w:t xml:space="preserve">, S. K. (2024). </w:t>
      </w:r>
      <w:r w:rsidRPr="00E677D9">
        <w:rPr>
          <w:color w:val="0D0D0D"/>
          <w:sz w:val="24"/>
          <w:szCs w:val="24"/>
          <w:highlight w:val="white"/>
        </w:rPr>
        <w:t xml:space="preserve">Blockchain-based security framework for mitigating network attacks in multi-SDN controller environment. </w:t>
      </w:r>
      <w:r w:rsidRPr="00E677D9">
        <w:rPr>
          <w:i/>
          <w:color w:val="0D0D0D"/>
          <w:sz w:val="24"/>
          <w:szCs w:val="24"/>
          <w:highlight w:val="white"/>
        </w:rPr>
        <w:t>International Journal of Information Technology</w:t>
      </w:r>
      <w:r w:rsidRPr="00E677D9">
        <w:rPr>
          <w:color w:val="0D0D0D"/>
          <w:sz w:val="24"/>
          <w:szCs w:val="24"/>
          <w:highlight w:val="white"/>
        </w:rPr>
        <w:t xml:space="preserve">. </w:t>
      </w:r>
      <w:hyperlink r:id="rId70">
        <w:r w:rsidRPr="00E677D9">
          <w:rPr>
            <w:color w:val="1155CC"/>
            <w:sz w:val="24"/>
            <w:szCs w:val="24"/>
            <w:highlight w:val="white"/>
            <w:u w:val="single"/>
          </w:rPr>
          <w:t>https://doi.org/10.1007/s41870-024-01933-8</w:t>
        </w:r>
      </w:hyperlink>
      <w:r w:rsidRPr="00E677D9">
        <w:rPr>
          <w:color w:val="0D0D0D"/>
          <w:sz w:val="24"/>
          <w:szCs w:val="24"/>
          <w:highlight w:val="white"/>
        </w:rPr>
        <w:t xml:space="preserve"> </w:t>
      </w:r>
    </w:p>
    <w:p w14:paraId="2783D233"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proofErr w:type="spellStart"/>
      <w:r w:rsidRPr="00E677D9">
        <w:rPr>
          <w:color w:val="0D0D0D"/>
          <w:sz w:val="24"/>
          <w:szCs w:val="24"/>
          <w:highlight w:val="white"/>
        </w:rPr>
        <w:t>Okika</w:t>
      </w:r>
      <w:proofErr w:type="spellEnd"/>
      <w:r w:rsidRPr="00E677D9">
        <w:rPr>
          <w:color w:val="0D0D0D"/>
          <w:sz w:val="24"/>
          <w:szCs w:val="24"/>
          <w:highlight w:val="white"/>
        </w:rPr>
        <w:t xml:space="preserve">, N., Okoh, O. F., &amp; Etuk, E. E. (2025). Mitigating Insider Threats and Social Engineering Tactics in Advanced Persistent Threat Operations through </w:t>
      </w:r>
      <w:proofErr w:type="spellStart"/>
      <w:r w:rsidRPr="00E677D9">
        <w:rPr>
          <w:color w:val="0D0D0D"/>
          <w:sz w:val="24"/>
          <w:szCs w:val="24"/>
          <w:highlight w:val="white"/>
        </w:rPr>
        <w:t>Behavioral</w:t>
      </w:r>
      <w:proofErr w:type="spellEnd"/>
      <w:r w:rsidRPr="00E677D9">
        <w:rPr>
          <w:color w:val="0D0D0D"/>
          <w:sz w:val="24"/>
          <w:szCs w:val="24"/>
          <w:highlight w:val="white"/>
        </w:rPr>
        <w:t xml:space="preserve"> Analytics and Cybersecurity Training. </w:t>
      </w:r>
      <w:r w:rsidRPr="00E677D9">
        <w:rPr>
          <w:i/>
          <w:color w:val="0D0D0D"/>
          <w:sz w:val="24"/>
          <w:szCs w:val="24"/>
          <w:highlight w:val="white"/>
        </w:rPr>
        <w:t>ResearchGate</w:t>
      </w:r>
      <w:r w:rsidRPr="00E677D9">
        <w:rPr>
          <w:color w:val="0D0D0D"/>
          <w:sz w:val="24"/>
          <w:szCs w:val="24"/>
          <w:highlight w:val="white"/>
        </w:rPr>
        <w:t xml:space="preserve">, </w:t>
      </w:r>
      <w:r w:rsidRPr="00E677D9">
        <w:rPr>
          <w:i/>
          <w:color w:val="0D0D0D"/>
          <w:sz w:val="24"/>
          <w:szCs w:val="24"/>
          <w:highlight w:val="white"/>
        </w:rPr>
        <w:t>2</w:t>
      </w:r>
      <w:r w:rsidRPr="00E677D9">
        <w:rPr>
          <w:color w:val="0D0D0D"/>
          <w:sz w:val="24"/>
          <w:szCs w:val="24"/>
          <w:highlight w:val="white"/>
        </w:rPr>
        <w:t xml:space="preserve">(3), 11–27. </w:t>
      </w:r>
      <w:hyperlink r:id="rId71">
        <w:r w:rsidRPr="00E677D9">
          <w:rPr>
            <w:color w:val="1155CC"/>
            <w:sz w:val="24"/>
            <w:szCs w:val="24"/>
            <w:highlight w:val="white"/>
            <w:u w:val="single"/>
          </w:rPr>
          <w:t>https://www.researchgate.net/publication/389464287_Mitigating_Insider_Threats_and_Social_Engineering_Tactics_in_Advanced_Persistent_Threat_Operations_through_Behavioral_Analytics_and_Cybersecurity_Training</w:t>
        </w:r>
      </w:hyperlink>
      <w:r w:rsidRPr="00E677D9">
        <w:rPr>
          <w:color w:val="0D0D0D"/>
          <w:sz w:val="24"/>
          <w:szCs w:val="24"/>
          <w:highlight w:val="white"/>
        </w:rPr>
        <w:t xml:space="preserve"> </w:t>
      </w:r>
    </w:p>
    <w:p w14:paraId="0723A60E"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E677D9">
        <w:rPr>
          <w:color w:val="0D0D0D"/>
          <w:sz w:val="24"/>
          <w:szCs w:val="24"/>
          <w:highlight w:val="white"/>
        </w:rPr>
        <w:t xml:space="preserve">Olabanji, S. O., Marquis, Y., Adigwe, C. S., Ajayi, S. A., Oladoyinbo, T. O., &amp; Olaniyi, O. O. (2024, January 29). </w:t>
      </w:r>
      <w:r w:rsidRPr="00E677D9">
        <w:rPr>
          <w:i/>
          <w:color w:val="0D0D0D"/>
          <w:sz w:val="24"/>
          <w:szCs w:val="24"/>
          <w:highlight w:val="white"/>
        </w:rPr>
        <w:t xml:space="preserve">AI-Driven Cloud Security: Examining the Impact of User </w:t>
      </w:r>
      <w:proofErr w:type="spellStart"/>
      <w:r w:rsidRPr="00E677D9">
        <w:rPr>
          <w:i/>
          <w:color w:val="0D0D0D"/>
          <w:sz w:val="24"/>
          <w:szCs w:val="24"/>
          <w:highlight w:val="white"/>
        </w:rPr>
        <w:t>Behavior</w:t>
      </w:r>
      <w:proofErr w:type="spellEnd"/>
      <w:r w:rsidRPr="00E677D9">
        <w:rPr>
          <w:i/>
          <w:color w:val="0D0D0D"/>
          <w:sz w:val="24"/>
          <w:szCs w:val="24"/>
          <w:highlight w:val="white"/>
        </w:rPr>
        <w:t xml:space="preserve"> Analysis on Threat Detection</w:t>
      </w:r>
      <w:r w:rsidRPr="00E677D9">
        <w:rPr>
          <w:color w:val="0D0D0D"/>
          <w:sz w:val="24"/>
          <w:szCs w:val="24"/>
          <w:highlight w:val="white"/>
        </w:rPr>
        <w:t xml:space="preserve">. Social Science Research Network. </w:t>
      </w:r>
      <w:hyperlink r:id="rId72">
        <w:r w:rsidRPr="00E677D9">
          <w:rPr>
            <w:color w:val="1155CC"/>
            <w:sz w:val="24"/>
            <w:szCs w:val="24"/>
            <w:highlight w:val="white"/>
            <w:u w:val="single"/>
          </w:rPr>
          <w:t>https://doi.org/10.2139/ssrn.4709384</w:t>
        </w:r>
      </w:hyperlink>
      <w:r w:rsidRPr="00E677D9">
        <w:rPr>
          <w:color w:val="0D0D0D"/>
          <w:sz w:val="24"/>
          <w:szCs w:val="24"/>
          <w:highlight w:val="white"/>
        </w:rPr>
        <w:t xml:space="preserve"> </w:t>
      </w:r>
    </w:p>
    <w:p w14:paraId="7DA60B0C"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E677D9">
        <w:rPr>
          <w:color w:val="0D0D0D"/>
          <w:sz w:val="24"/>
          <w:szCs w:val="24"/>
          <w:highlight w:val="white"/>
        </w:rPr>
        <w:t xml:space="preserve">Oloyede, J. (2024). AI-Driven Cybersecurity Solutions: Enhancing </w:t>
      </w:r>
      <w:proofErr w:type="spellStart"/>
      <w:r w:rsidRPr="00E677D9">
        <w:rPr>
          <w:color w:val="0D0D0D"/>
          <w:sz w:val="24"/>
          <w:szCs w:val="24"/>
          <w:highlight w:val="white"/>
        </w:rPr>
        <w:t>Defense</w:t>
      </w:r>
      <w:proofErr w:type="spellEnd"/>
      <w:r w:rsidRPr="00E677D9">
        <w:rPr>
          <w:color w:val="0D0D0D"/>
          <w:sz w:val="24"/>
          <w:szCs w:val="24"/>
          <w:highlight w:val="white"/>
        </w:rPr>
        <w:t xml:space="preserve"> Mechanisms in the Digital Era. </w:t>
      </w:r>
      <w:r w:rsidRPr="00E677D9">
        <w:rPr>
          <w:i/>
          <w:color w:val="0D0D0D"/>
          <w:sz w:val="24"/>
          <w:szCs w:val="24"/>
          <w:highlight w:val="white"/>
        </w:rPr>
        <w:t>SSRN Electronic Journal</w:t>
      </w:r>
      <w:r w:rsidRPr="00E677D9">
        <w:rPr>
          <w:color w:val="0D0D0D"/>
          <w:sz w:val="24"/>
          <w:szCs w:val="24"/>
          <w:highlight w:val="white"/>
        </w:rPr>
        <w:t xml:space="preserve">. </w:t>
      </w:r>
      <w:hyperlink r:id="rId73">
        <w:r w:rsidRPr="00E677D9">
          <w:rPr>
            <w:color w:val="1155CC"/>
            <w:sz w:val="24"/>
            <w:szCs w:val="24"/>
            <w:highlight w:val="white"/>
            <w:u w:val="single"/>
          </w:rPr>
          <w:t>https://doi.org/10.2139/ssrn.4976103</w:t>
        </w:r>
      </w:hyperlink>
      <w:r w:rsidRPr="00E677D9">
        <w:rPr>
          <w:color w:val="0D0D0D"/>
          <w:sz w:val="24"/>
          <w:szCs w:val="24"/>
          <w:highlight w:val="white"/>
        </w:rPr>
        <w:t xml:space="preserve"> </w:t>
      </w:r>
    </w:p>
    <w:p w14:paraId="6602D2C1"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proofErr w:type="spellStart"/>
      <w:r w:rsidRPr="00E677D9">
        <w:rPr>
          <w:color w:val="0D0D0D"/>
          <w:sz w:val="24"/>
          <w:szCs w:val="24"/>
          <w:highlight w:val="white"/>
        </w:rPr>
        <w:t>Olutimehin</w:t>
      </w:r>
      <w:proofErr w:type="spellEnd"/>
      <w:r w:rsidRPr="00E677D9">
        <w:rPr>
          <w:color w:val="0D0D0D"/>
          <w:sz w:val="24"/>
          <w:szCs w:val="24"/>
          <w:highlight w:val="white"/>
        </w:rPr>
        <w:t xml:space="preserve">, A. T. (2025a). Advancing Cloud Security in Digital Finance: AI-Driven Threat Detection, Cryptographic Solutions, and Privacy Challenges. </w:t>
      </w:r>
      <w:r w:rsidRPr="00E677D9">
        <w:rPr>
          <w:i/>
          <w:color w:val="0D0D0D"/>
          <w:sz w:val="24"/>
          <w:szCs w:val="24"/>
          <w:highlight w:val="white"/>
        </w:rPr>
        <w:t>Journal of Engineering Research and Reports</w:t>
      </w:r>
      <w:r w:rsidRPr="00E677D9">
        <w:rPr>
          <w:color w:val="0D0D0D"/>
          <w:sz w:val="24"/>
          <w:szCs w:val="24"/>
          <w:highlight w:val="white"/>
        </w:rPr>
        <w:t xml:space="preserve">, </w:t>
      </w:r>
      <w:r w:rsidRPr="00E677D9">
        <w:rPr>
          <w:i/>
          <w:color w:val="0D0D0D"/>
          <w:sz w:val="24"/>
          <w:szCs w:val="24"/>
          <w:highlight w:val="white"/>
        </w:rPr>
        <w:t>27</w:t>
      </w:r>
      <w:r w:rsidRPr="00E677D9">
        <w:rPr>
          <w:color w:val="0D0D0D"/>
          <w:sz w:val="24"/>
          <w:szCs w:val="24"/>
          <w:highlight w:val="white"/>
        </w:rPr>
        <w:t xml:space="preserve">(3), 35–55. </w:t>
      </w:r>
      <w:hyperlink r:id="rId74">
        <w:r w:rsidRPr="00E677D9">
          <w:rPr>
            <w:color w:val="1155CC"/>
            <w:sz w:val="24"/>
            <w:szCs w:val="24"/>
            <w:highlight w:val="white"/>
            <w:u w:val="single"/>
          </w:rPr>
          <w:t>https://doi.org/10.9734/jerr/2025/v27i31416</w:t>
        </w:r>
      </w:hyperlink>
      <w:r w:rsidRPr="00E677D9">
        <w:rPr>
          <w:color w:val="0D0D0D"/>
          <w:sz w:val="24"/>
          <w:szCs w:val="24"/>
          <w:highlight w:val="white"/>
        </w:rPr>
        <w:t xml:space="preserve"> </w:t>
      </w:r>
    </w:p>
    <w:p w14:paraId="155C18A6"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proofErr w:type="spellStart"/>
      <w:r w:rsidRPr="00E677D9">
        <w:rPr>
          <w:color w:val="0D0D0D"/>
          <w:sz w:val="24"/>
          <w:szCs w:val="24"/>
          <w:highlight w:val="white"/>
        </w:rPr>
        <w:t>Olutimehin</w:t>
      </w:r>
      <w:proofErr w:type="spellEnd"/>
      <w:r w:rsidRPr="00E677D9">
        <w:rPr>
          <w:color w:val="0D0D0D"/>
          <w:sz w:val="24"/>
          <w:szCs w:val="24"/>
          <w:highlight w:val="white"/>
        </w:rPr>
        <w:t xml:space="preserve">, A. T. (2025b). Assessing the Effectiveness of Cybersecurity Frameworks in Mitigating Cyberattacks in the Banking Sector and its Applicability to Decentralized Finance (DeFi). </w:t>
      </w:r>
      <w:r w:rsidRPr="00E677D9">
        <w:rPr>
          <w:i/>
          <w:color w:val="0D0D0D"/>
          <w:sz w:val="24"/>
          <w:szCs w:val="24"/>
          <w:highlight w:val="white"/>
        </w:rPr>
        <w:t>Asian Journal of Research in Computer Science</w:t>
      </w:r>
      <w:r w:rsidRPr="00E677D9">
        <w:rPr>
          <w:color w:val="0D0D0D"/>
          <w:sz w:val="24"/>
          <w:szCs w:val="24"/>
          <w:highlight w:val="white"/>
        </w:rPr>
        <w:t xml:space="preserve">, </w:t>
      </w:r>
      <w:r w:rsidRPr="00E677D9">
        <w:rPr>
          <w:i/>
          <w:color w:val="0D0D0D"/>
          <w:sz w:val="24"/>
          <w:szCs w:val="24"/>
          <w:highlight w:val="white"/>
        </w:rPr>
        <w:t>18</w:t>
      </w:r>
      <w:r w:rsidRPr="00E677D9">
        <w:rPr>
          <w:color w:val="0D0D0D"/>
          <w:sz w:val="24"/>
          <w:szCs w:val="24"/>
          <w:highlight w:val="white"/>
        </w:rPr>
        <w:t xml:space="preserve">(3), 130–151. </w:t>
      </w:r>
      <w:hyperlink r:id="rId75">
        <w:r w:rsidRPr="00E677D9">
          <w:rPr>
            <w:color w:val="1155CC"/>
            <w:sz w:val="24"/>
            <w:szCs w:val="24"/>
            <w:highlight w:val="white"/>
            <w:u w:val="single"/>
          </w:rPr>
          <w:t>https://doi.org/10.9734/ajrcos/2025/v18i3583</w:t>
        </w:r>
      </w:hyperlink>
      <w:r w:rsidRPr="00E677D9">
        <w:rPr>
          <w:color w:val="0D0D0D"/>
          <w:sz w:val="24"/>
          <w:szCs w:val="24"/>
          <w:highlight w:val="white"/>
        </w:rPr>
        <w:t xml:space="preserve"> </w:t>
      </w:r>
    </w:p>
    <w:p w14:paraId="092A4650"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proofErr w:type="spellStart"/>
      <w:r w:rsidRPr="00E677D9">
        <w:rPr>
          <w:color w:val="0D0D0D"/>
          <w:sz w:val="24"/>
          <w:szCs w:val="24"/>
          <w:highlight w:val="white"/>
        </w:rPr>
        <w:t>Olutimehin</w:t>
      </w:r>
      <w:proofErr w:type="spellEnd"/>
      <w:r w:rsidRPr="00E677D9">
        <w:rPr>
          <w:color w:val="0D0D0D"/>
          <w:sz w:val="24"/>
          <w:szCs w:val="24"/>
          <w:highlight w:val="white"/>
        </w:rPr>
        <w:t xml:space="preserve">, A. T. (2025c). The Synergistic Role of Machine Learning, Deep Learning, and Reinforcement Learning in Strengthening Cyber Security Measures for Crypto Currency Platforms. </w:t>
      </w:r>
      <w:r w:rsidRPr="00E677D9">
        <w:rPr>
          <w:i/>
          <w:color w:val="0D0D0D"/>
          <w:sz w:val="24"/>
          <w:szCs w:val="24"/>
          <w:highlight w:val="white"/>
        </w:rPr>
        <w:t>Asian Journal of Research in Computer Science</w:t>
      </w:r>
      <w:r w:rsidRPr="00E677D9">
        <w:rPr>
          <w:color w:val="0D0D0D"/>
          <w:sz w:val="24"/>
          <w:szCs w:val="24"/>
          <w:highlight w:val="white"/>
        </w:rPr>
        <w:t xml:space="preserve">, </w:t>
      </w:r>
      <w:r w:rsidRPr="00E677D9">
        <w:rPr>
          <w:i/>
          <w:color w:val="0D0D0D"/>
          <w:sz w:val="24"/>
          <w:szCs w:val="24"/>
          <w:highlight w:val="white"/>
        </w:rPr>
        <w:t>18</w:t>
      </w:r>
      <w:r w:rsidRPr="00E677D9">
        <w:rPr>
          <w:color w:val="0D0D0D"/>
          <w:sz w:val="24"/>
          <w:szCs w:val="24"/>
          <w:highlight w:val="white"/>
        </w:rPr>
        <w:t xml:space="preserve">(3), 190–212. </w:t>
      </w:r>
      <w:hyperlink r:id="rId76">
        <w:r w:rsidRPr="00E677D9">
          <w:rPr>
            <w:color w:val="1155CC"/>
            <w:sz w:val="24"/>
            <w:szCs w:val="24"/>
            <w:highlight w:val="white"/>
            <w:u w:val="single"/>
          </w:rPr>
          <w:t>https://doi.org/10.9734/ajrcos/2025/v18i3586</w:t>
        </w:r>
      </w:hyperlink>
      <w:r w:rsidRPr="00E677D9">
        <w:rPr>
          <w:color w:val="0D0D0D"/>
          <w:sz w:val="24"/>
          <w:szCs w:val="24"/>
          <w:highlight w:val="white"/>
        </w:rPr>
        <w:t xml:space="preserve"> </w:t>
      </w:r>
    </w:p>
    <w:p w14:paraId="35D832C5"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proofErr w:type="spellStart"/>
      <w:r w:rsidRPr="00E677D9">
        <w:rPr>
          <w:color w:val="0D0D0D"/>
          <w:sz w:val="24"/>
          <w:szCs w:val="24"/>
          <w:highlight w:val="white"/>
        </w:rPr>
        <w:t>Olutimehin</w:t>
      </w:r>
      <w:proofErr w:type="spellEnd"/>
      <w:r w:rsidRPr="00E677D9">
        <w:rPr>
          <w:color w:val="0D0D0D"/>
          <w:sz w:val="24"/>
          <w:szCs w:val="24"/>
          <w:highlight w:val="white"/>
        </w:rPr>
        <w:t xml:space="preserve">, A. T., Ajayi, A. J., </w:t>
      </w:r>
      <w:proofErr w:type="spellStart"/>
      <w:r w:rsidRPr="00E677D9">
        <w:rPr>
          <w:color w:val="0D0D0D"/>
          <w:sz w:val="24"/>
          <w:szCs w:val="24"/>
          <w:highlight w:val="white"/>
        </w:rPr>
        <w:t>Metibemu</w:t>
      </w:r>
      <w:proofErr w:type="spellEnd"/>
      <w:r w:rsidRPr="00E677D9">
        <w:rPr>
          <w:color w:val="0D0D0D"/>
          <w:sz w:val="24"/>
          <w:szCs w:val="24"/>
          <w:highlight w:val="white"/>
        </w:rPr>
        <w:t xml:space="preserve">, O. C., Balogun, A. Y., Oladoyinbo, T. O., &amp; Olaniyi, O. O. (2025). Adversarial Threats to AI-Driven Systems: Exploring the Attack Surface of Machine Learning Models and Countermeasures. </w:t>
      </w:r>
      <w:r w:rsidRPr="00E677D9">
        <w:rPr>
          <w:i/>
          <w:color w:val="0D0D0D"/>
          <w:sz w:val="24"/>
          <w:szCs w:val="24"/>
          <w:highlight w:val="white"/>
        </w:rPr>
        <w:t>Journal of Engineering Research and Reports</w:t>
      </w:r>
      <w:r w:rsidRPr="00E677D9">
        <w:rPr>
          <w:color w:val="0D0D0D"/>
          <w:sz w:val="24"/>
          <w:szCs w:val="24"/>
          <w:highlight w:val="white"/>
        </w:rPr>
        <w:t xml:space="preserve">, </w:t>
      </w:r>
      <w:r w:rsidRPr="00E677D9">
        <w:rPr>
          <w:i/>
          <w:color w:val="0D0D0D"/>
          <w:sz w:val="24"/>
          <w:szCs w:val="24"/>
          <w:highlight w:val="white"/>
        </w:rPr>
        <w:t>27</w:t>
      </w:r>
      <w:r w:rsidRPr="00E677D9">
        <w:rPr>
          <w:color w:val="0D0D0D"/>
          <w:sz w:val="24"/>
          <w:szCs w:val="24"/>
          <w:highlight w:val="white"/>
        </w:rPr>
        <w:t xml:space="preserve">(2), 341–362. </w:t>
      </w:r>
      <w:hyperlink r:id="rId77">
        <w:r w:rsidRPr="00E677D9">
          <w:rPr>
            <w:color w:val="1155CC"/>
            <w:sz w:val="24"/>
            <w:szCs w:val="24"/>
            <w:highlight w:val="white"/>
            <w:u w:val="single"/>
          </w:rPr>
          <w:t>https://doi.org/10.9734/jerr/2025/v27i21413</w:t>
        </w:r>
      </w:hyperlink>
      <w:r w:rsidRPr="00E677D9">
        <w:rPr>
          <w:color w:val="0D0D0D"/>
          <w:sz w:val="24"/>
          <w:szCs w:val="24"/>
          <w:highlight w:val="white"/>
        </w:rPr>
        <w:t xml:space="preserve"> </w:t>
      </w:r>
    </w:p>
    <w:p w14:paraId="422082E3"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E677D9">
        <w:rPr>
          <w:color w:val="0D0D0D"/>
          <w:sz w:val="24"/>
          <w:szCs w:val="24"/>
          <w:highlight w:val="white"/>
        </w:rPr>
        <w:t xml:space="preserve">Ortiz, M. (2020). </w:t>
      </w:r>
      <w:proofErr w:type="spellStart"/>
      <w:r w:rsidRPr="00E677D9">
        <w:rPr>
          <w:i/>
          <w:color w:val="0D0D0D"/>
          <w:sz w:val="24"/>
          <w:szCs w:val="24"/>
          <w:highlight w:val="white"/>
        </w:rPr>
        <w:t>Ordr</w:t>
      </w:r>
      <w:proofErr w:type="spellEnd"/>
      <w:r w:rsidRPr="00E677D9">
        <w:rPr>
          <w:i/>
          <w:color w:val="0D0D0D"/>
          <w:sz w:val="24"/>
          <w:szCs w:val="24"/>
          <w:highlight w:val="white"/>
        </w:rPr>
        <w:t xml:space="preserve"> and Mayo Clinic: Securing </w:t>
      </w:r>
      <w:proofErr w:type="spellStart"/>
      <w:r w:rsidRPr="00E677D9">
        <w:rPr>
          <w:i/>
          <w:color w:val="0D0D0D"/>
          <w:sz w:val="24"/>
          <w:szCs w:val="24"/>
          <w:highlight w:val="white"/>
        </w:rPr>
        <w:t>IoMT</w:t>
      </w:r>
      <w:proofErr w:type="spellEnd"/>
      <w:r w:rsidRPr="00E677D9">
        <w:rPr>
          <w:i/>
          <w:color w:val="0D0D0D"/>
          <w:sz w:val="24"/>
          <w:szCs w:val="24"/>
          <w:highlight w:val="white"/>
        </w:rPr>
        <w:t xml:space="preserve"> and </w:t>
      </w:r>
      <w:proofErr w:type="spellStart"/>
      <w:r w:rsidRPr="00E677D9">
        <w:rPr>
          <w:i/>
          <w:color w:val="0D0D0D"/>
          <w:sz w:val="24"/>
          <w:szCs w:val="24"/>
          <w:highlight w:val="white"/>
        </w:rPr>
        <w:t>HIoT</w:t>
      </w:r>
      <w:proofErr w:type="spellEnd"/>
      <w:r w:rsidRPr="00E677D9">
        <w:rPr>
          <w:i/>
          <w:color w:val="0D0D0D"/>
          <w:sz w:val="24"/>
          <w:szCs w:val="24"/>
          <w:highlight w:val="white"/>
        </w:rPr>
        <w:t xml:space="preserve"> Devices</w:t>
      </w:r>
      <w:r w:rsidRPr="00E677D9">
        <w:rPr>
          <w:color w:val="0D0D0D"/>
          <w:sz w:val="24"/>
          <w:szCs w:val="24"/>
          <w:highlight w:val="white"/>
        </w:rPr>
        <w:t xml:space="preserve">. </w:t>
      </w:r>
      <w:proofErr w:type="spellStart"/>
      <w:r w:rsidRPr="00E677D9">
        <w:rPr>
          <w:color w:val="0D0D0D"/>
          <w:sz w:val="24"/>
          <w:szCs w:val="24"/>
          <w:highlight w:val="white"/>
        </w:rPr>
        <w:t>Ordr</w:t>
      </w:r>
      <w:proofErr w:type="spellEnd"/>
      <w:r w:rsidRPr="00E677D9">
        <w:rPr>
          <w:color w:val="0D0D0D"/>
          <w:sz w:val="24"/>
          <w:szCs w:val="24"/>
          <w:highlight w:val="white"/>
        </w:rPr>
        <w:t xml:space="preserve">. </w:t>
      </w:r>
      <w:hyperlink r:id="rId78">
        <w:r w:rsidRPr="00E677D9">
          <w:rPr>
            <w:color w:val="1155CC"/>
            <w:sz w:val="24"/>
            <w:szCs w:val="24"/>
            <w:highlight w:val="white"/>
            <w:u w:val="single"/>
          </w:rPr>
          <w:t>https://ordr.net/blog/securing-iomt-and-hiot-devices</w:t>
        </w:r>
      </w:hyperlink>
      <w:r w:rsidRPr="00E677D9">
        <w:rPr>
          <w:color w:val="0D0D0D"/>
          <w:sz w:val="24"/>
          <w:szCs w:val="24"/>
          <w:highlight w:val="white"/>
        </w:rPr>
        <w:t xml:space="preserve"> </w:t>
      </w:r>
    </w:p>
    <w:p w14:paraId="744A17B4"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E677D9">
        <w:rPr>
          <w:color w:val="0D0D0D"/>
          <w:sz w:val="24"/>
          <w:szCs w:val="24"/>
          <w:highlight w:val="white"/>
        </w:rPr>
        <w:t xml:space="preserve">Osborne, C. (2022). </w:t>
      </w:r>
      <w:r w:rsidRPr="00E677D9">
        <w:rPr>
          <w:i/>
          <w:color w:val="0D0D0D"/>
          <w:sz w:val="24"/>
          <w:szCs w:val="24"/>
          <w:highlight w:val="white"/>
        </w:rPr>
        <w:t>Staff negligence is now a major reason for insider security incidents</w:t>
      </w:r>
      <w:r w:rsidRPr="00E677D9">
        <w:rPr>
          <w:color w:val="0D0D0D"/>
          <w:sz w:val="24"/>
          <w:szCs w:val="24"/>
          <w:highlight w:val="white"/>
        </w:rPr>
        <w:t xml:space="preserve">. ZDNET. </w:t>
      </w:r>
      <w:hyperlink r:id="rId79">
        <w:r w:rsidRPr="00E677D9">
          <w:rPr>
            <w:color w:val="1155CC"/>
            <w:sz w:val="24"/>
            <w:szCs w:val="24"/>
            <w:highlight w:val="white"/>
            <w:u w:val="single"/>
          </w:rPr>
          <w:t>https://www.zdnet.com/article/employee-contractor-negligence-is-now-a-major-reason-for-insider-security-incidents/</w:t>
        </w:r>
      </w:hyperlink>
      <w:r w:rsidRPr="00E677D9">
        <w:rPr>
          <w:color w:val="0D0D0D"/>
          <w:sz w:val="24"/>
          <w:szCs w:val="24"/>
          <w:highlight w:val="white"/>
        </w:rPr>
        <w:t xml:space="preserve"> </w:t>
      </w:r>
    </w:p>
    <w:p w14:paraId="597C3B0B"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E677D9">
        <w:rPr>
          <w:color w:val="0D0D0D"/>
          <w:sz w:val="24"/>
          <w:szCs w:val="24"/>
          <w:highlight w:val="white"/>
        </w:rPr>
        <w:lastRenderedPageBreak/>
        <w:t xml:space="preserve">Paramesha, M., Rane, N. L., &amp; Rane, J. (2024). Artificial Intelligence, Machine Learning, and Deep Learning for Cybersecurity Solutions: A Review of Emerging Technologies and Applications. </w:t>
      </w:r>
      <w:r w:rsidRPr="00E677D9">
        <w:rPr>
          <w:i/>
          <w:color w:val="0D0D0D"/>
          <w:sz w:val="24"/>
          <w:szCs w:val="24"/>
          <w:highlight w:val="white"/>
        </w:rPr>
        <w:t>Partners Universal Multidisciplinary Research Journal</w:t>
      </w:r>
      <w:r w:rsidRPr="00E677D9">
        <w:rPr>
          <w:color w:val="0D0D0D"/>
          <w:sz w:val="24"/>
          <w:szCs w:val="24"/>
          <w:highlight w:val="white"/>
        </w:rPr>
        <w:t xml:space="preserve">, </w:t>
      </w:r>
      <w:r w:rsidRPr="00E677D9">
        <w:rPr>
          <w:i/>
          <w:color w:val="0D0D0D"/>
          <w:sz w:val="24"/>
          <w:szCs w:val="24"/>
          <w:highlight w:val="white"/>
        </w:rPr>
        <w:t>1</w:t>
      </w:r>
      <w:r w:rsidRPr="00E677D9">
        <w:rPr>
          <w:color w:val="0D0D0D"/>
          <w:sz w:val="24"/>
          <w:szCs w:val="24"/>
          <w:highlight w:val="white"/>
        </w:rPr>
        <w:t xml:space="preserve">(2), 84–109. </w:t>
      </w:r>
      <w:hyperlink r:id="rId80">
        <w:r w:rsidRPr="00E677D9">
          <w:rPr>
            <w:color w:val="1155CC"/>
            <w:sz w:val="24"/>
            <w:szCs w:val="24"/>
            <w:highlight w:val="white"/>
            <w:u w:val="single"/>
          </w:rPr>
          <w:t>https://doi.org/10.5281/zenodo.12827076</w:t>
        </w:r>
      </w:hyperlink>
      <w:r w:rsidRPr="00E677D9">
        <w:rPr>
          <w:color w:val="0D0D0D"/>
          <w:sz w:val="24"/>
          <w:szCs w:val="24"/>
          <w:highlight w:val="white"/>
        </w:rPr>
        <w:t xml:space="preserve"> </w:t>
      </w:r>
    </w:p>
    <w:p w14:paraId="0DF1E925"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proofErr w:type="spellStart"/>
      <w:r w:rsidRPr="00E677D9">
        <w:rPr>
          <w:color w:val="0D0D0D"/>
          <w:sz w:val="24"/>
          <w:szCs w:val="24"/>
          <w:highlight w:val="white"/>
        </w:rPr>
        <w:t>Petkauskas</w:t>
      </w:r>
      <w:proofErr w:type="spellEnd"/>
      <w:r w:rsidRPr="00E677D9">
        <w:rPr>
          <w:color w:val="0D0D0D"/>
          <w:sz w:val="24"/>
          <w:szCs w:val="24"/>
          <w:highlight w:val="white"/>
        </w:rPr>
        <w:t xml:space="preserve">, V., &amp; Schappert, S. (2023). </w:t>
      </w:r>
      <w:r w:rsidRPr="00E677D9">
        <w:rPr>
          <w:i/>
          <w:color w:val="0D0D0D"/>
          <w:sz w:val="24"/>
          <w:szCs w:val="24"/>
          <w:highlight w:val="white"/>
        </w:rPr>
        <w:t xml:space="preserve">Hive ransomware gang dismantled by FBI | </w:t>
      </w:r>
      <w:proofErr w:type="spellStart"/>
      <w:r w:rsidRPr="00E677D9">
        <w:rPr>
          <w:i/>
          <w:color w:val="0D0D0D"/>
          <w:sz w:val="24"/>
          <w:szCs w:val="24"/>
          <w:highlight w:val="white"/>
        </w:rPr>
        <w:t>Cybernews</w:t>
      </w:r>
      <w:proofErr w:type="spellEnd"/>
      <w:r w:rsidRPr="00E677D9">
        <w:rPr>
          <w:color w:val="0D0D0D"/>
          <w:sz w:val="24"/>
          <w:szCs w:val="24"/>
          <w:highlight w:val="white"/>
        </w:rPr>
        <w:t xml:space="preserve">. </w:t>
      </w:r>
      <w:proofErr w:type="spellStart"/>
      <w:r w:rsidRPr="00E677D9">
        <w:rPr>
          <w:color w:val="0D0D0D"/>
          <w:sz w:val="24"/>
          <w:szCs w:val="24"/>
          <w:highlight w:val="white"/>
        </w:rPr>
        <w:t>Cybernews</w:t>
      </w:r>
      <w:proofErr w:type="spellEnd"/>
      <w:r w:rsidRPr="00E677D9">
        <w:rPr>
          <w:color w:val="0D0D0D"/>
          <w:sz w:val="24"/>
          <w:szCs w:val="24"/>
          <w:highlight w:val="white"/>
        </w:rPr>
        <w:t xml:space="preserve">. </w:t>
      </w:r>
      <w:hyperlink r:id="rId81">
        <w:r w:rsidRPr="00E677D9">
          <w:rPr>
            <w:color w:val="1155CC"/>
            <w:sz w:val="24"/>
            <w:szCs w:val="24"/>
            <w:highlight w:val="white"/>
            <w:u w:val="single"/>
          </w:rPr>
          <w:t>https://cybernews.com/news/fbi-disrupts-hive-ransomware/</w:t>
        </w:r>
      </w:hyperlink>
      <w:r w:rsidRPr="00E677D9">
        <w:rPr>
          <w:color w:val="0D0D0D"/>
          <w:sz w:val="24"/>
          <w:szCs w:val="24"/>
          <w:highlight w:val="white"/>
        </w:rPr>
        <w:t xml:space="preserve"> </w:t>
      </w:r>
    </w:p>
    <w:p w14:paraId="1489E33F"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E677D9">
        <w:rPr>
          <w:color w:val="0D0D0D"/>
          <w:sz w:val="24"/>
          <w:szCs w:val="24"/>
          <w:highlight w:val="white"/>
        </w:rPr>
        <w:t xml:space="preserve">Pool, J., </w:t>
      </w:r>
      <w:proofErr w:type="spellStart"/>
      <w:r w:rsidRPr="00E677D9">
        <w:rPr>
          <w:color w:val="0D0D0D"/>
          <w:sz w:val="24"/>
          <w:szCs w:val="24"/>
          <w:highlight w:val="white"/>
        </w:rPr>
        <w:t>Akhlaghpour</w:t>
      </w:r>
      <w:proofErr w:type="spellEnd"/>
      <w:r w:rsidRPr="00E677D9">
        <w:rPr>
          <w:color w:val="0D0D0D"/>
          <w:sz w:val="24"/>
          <w:szCs w:val="24"/>
          <w:highlight w:val="white"/>
        </w:rPr>
        <w:t xml:space="preserve">, S., &amp; Burton-Jones, A. (2024). Unpacking the complexities of health record misuse: insights from Australian health services. </w:t>
      </w:r>
      <w:r w:rsidRPr="00E677D9">
        <w:rPr>
          <w:i/>
          <w:color w:val="0D0D0D"/>
          <w:sz w:val="24"/>
          <w:szCs w:val="24"/>
          <w:highlight w:val="white"/>
        </w:rPr>
        <w:t>Information Technology and People</w:t>
      </w:r>
      <w:r w:rsidRPr="00E677D9">
        <w:rPr>
          <w:color w:val="0D0D0D"/>
          <w:sz w:val="24"/>
          <w:szCs w:val="24"/>
          <w:highlight w:val="white"/>
        </w:rPr>
        <w:t xml:space="preserve">. </w:t>
      </w:r>
      <w:hyperlink r:id="rId82">
        <w:r w:rsidRPr="00E677D9">
          <w:rPr>
            <w:color w:val="1155CC"/>
            <w:sz w:val="24"/>
            <w:szCs w:val="24"/>
            <w:highlight w:val="white"/>
            <w:u w:val="single"/>
          </w:rPr>
          <w:t>https://doi.org/10.1108/itp-12-2022-0931</w:t>
        </w:r>
      </w:hyperlink>
      <w:r w:rsidRPr="00E677D9">
        <w:rPr>
          <w:color w:val="0D0D0D"/>
          <w:sz w:val="24"/>
          <w:szCs w:val="24"/>
          <w:highlight w:val="white"/>
        </w:rPr>
        <w:t xml:space="preserve"> </w:t>
      </w:r>
    </w:p>
    <w:p w14:paraId="08DFA136"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proofErr w:type="spellStart"/>
      <w:r w:rsidRPr="00E677D9">
        <w:rPr>
          <w:color w:val="0D0D0D"/>
          <w:sz w:val="24"/>
          <w:szCs w:val="24"/>
          <w:highlight w:val="white"/>
        </w:rPr>
        <w:t>Radoglou-Grammatikis</w:t>
      </w:r>
      <w:proofErr w:type="spellEnd"/>
      <w:r w:rsidRPr="00E677D9">
        <w:rPr>
          <w:color w:val="0D0D0D"/>
          <w:sz w:val="24"/>
          <w:szCs w:val="24"/>
          <w:highlight w:val="white"/>
        </w:rPr>
        <w:t xml:space="preserve">, P., </w:t>
      </w:r>
      <w:proofErr w:type="spellStart"/>
      <w:r w:rsidRPr="00E677D9">
        <w:rPr>
          <w:color w:val="0D0D0D"/>
          <w:sz w:val="24"/>
          <w:szCs w:val="24"/>
          <w:highlight w:val="white"/>
        </w:rPr>
        <w:t>Sarigiannidis</w:t>
      </w:r>
      <w:proofErr w:type="spellEnd"/>
      <w:r w:rsidRPr="00E677D9">
        <w:rPr>
          <w:color w:val="0D0D0D"/>
          <w:sz w:val="24"/>
          <w:szCs w:val="24"/>
          <w:highlight w:val="white"/>
        </w:rPr>
        <w:t xml:space="preserve">, P., Iturbe, E., Rios, E., Martinez, S., </w:t>
      </w:r>
      <w:proofErr w:type="spellStart"/>
      <w:r w:rsidRPr="00E677D9">
        <w:rPr>
          <w:color w:val="0D0D0D"/>
          <w:sz w:val="24"/>
          <w:szCs w:val="24"/>
          <w:highlight w:val="white"/>
        </w:rPr>
        <w:t>Sarigiannidis</w:t>
      </w:r>
      <w:proofErr w:type="spellEnd"/>
      <w:r w:rsidRPr="00E677D9">
        <w:rPr>
          <w:color w:val="0D0D0D"/>
          <w:sz w:val="24"/>
          <w:szCs w:val="24"/>
          <w:highlight w:val="white"/>
        </w:rPr>
        <w:t xml:space="preserve">, A., </w:t>
      </w:r>
      <w:proofErr w:type="spellStart"/>
      <w:r w:rsidRPr="00E677D9">
        <w:rPr>
          <w:color w:val="0D0D0D"/>
          <w:sz w:val="24"/>
          <w:szCs w:val="24"/>
          <w:highlight w:val="white"/>
        </w:rPr>
        <w:t>Eftathopoulos</w:t>
      </w:r>
      <w:proofErr w:type="spellEnd"/>
      <w:r w:rsidRPr="00E677D9">
        <w:rPr>
          <w:color w:val="0D0D0D"/>
          <w:sz w:val="24"/>
          <w:szCs w:val="24"/>
          <w:highlight w:val="white"/>
        </w:rPr>
        <w:t xml:space="preserve">, G., Spyridis, Y., </w:t>
      </w:r>
      <w:proofErr w:type="spellStart"/>
      <w:r w:rsidRPr="00E677D9">
        <w:rPr>
          <w:color w:val="0D0D0D"/>
          <w:sz w:val="24"/>
          <w:szCs w:val="24"/>
          <w:highlight w:val="white"/>
        </w:rPr>
        <w:t>Sesis</w:t>
      </w:r>
      <w:proofErr w:type="spellEnd"/>
      <w:r w:rsidRPr="00E677D9">
        <w:rPr>
          <w:color w:val="0D0D0D"/>
          <w:sz w:val="24"/>
          <w:szCs w:val="24"/>
          <w:highlight w:val="white"/>
        </w:rPr>
        <w:t xml:space="preserve">, A., </w:t>
      </w:r>
      <w:proofErr w:type="spellStart"/>
      <w:r w:rsidRPr="00E677D9">
        <w:rPr>
          <w:color w:val="0D0D0D"/>
          <w:sz w:val="24"/>
          <w:szCs w:val="24"/>
          <w:highlight w:val="white"/>
        </w:rPr>
        <w:t>Vakakis</w:t>
      </w:r>
      <w:proofErr w:type="spellEnd"/>
      <w:r w:rsidRPr="00E677D9">
        <w:rPr>
          <w:color w:val="0D0D0D"/>
          <w:sz w:val="24"/>
          <w:szCs w:val="24"/>
          <w:highlight w:val="white"/>
        </w:rPr>
        <w:t xml:space="preserve">, N., </w:t>
      </w:r>
      <w:proofErr w:type="spellStart"/>
      <w:r w:rsidRPr="00E677D9">
        <w:rPr>
          <w:color w:val="0D0D0D"/>
          <w:sz w:val="24"/>
          <w:szCs w:val="24"/>
          <w:highlight w:val="white"/>
        </w:rPr>
        <w:t>Tzovaras</w:t>
      </w:r>
      <w:proofErr w:type="spellEnd"/>
      <w:r w:rsidRPr="00E677D9">
        <w:rPr>
          <w:color w:val="0D0D0D"/>
          <w:sz w:val="24"/>
          <w:szCs w:val="24"/>
          <w:highlight w:val="white"/>
        </w:rPr>
        <w:t xml:space="preserve">, D., </w:t>
      </w:r>
      <w:proofErr w:type="spellStart"/>
      <w:r w:rsidRPr="00E677D9">
        <w:rPr>
          <w:color w:val="0D0D0D"/>
          <w:sz w:val="24"/>
          <w:szCs w:val="24"/>
          <w:highlight w:val="white"/>
        </w:rPr>
        <w:t>Kafetzakis</w:t>
      </w:r>
      <w:proofErr w:type="spellEnd"/>
      <w:r w:rsidRPr="00E677D9">
        <w:rPr>
          <w:color w:val="0D0D0D"/>
          <w:sz w:val="24"/>
          <w:szCs w:val="24"/>
          <w:highlight w:val="white"/>
        </w:rPr>
        <w:t xml:space="preserve">, E., </w:t>
      </w:r>
      <w:proofErr w:type="spellStart"/>
      <w:r w:rsidRPr="00E677D9">
        <w:rPr>
          <w:color w:val="0D0D0D"/>
          <w:sz w:val="24"/>
          <w:szCs w:val="24"/>
          <w:highlight w:val="white"/>
        </w:rPr>
        <w:t>Giannoulakis</w:t>
      </w:r>
      <w:proofErr w:type="spellEnd"/>
      <w:r w:rsidRPr="00E677D9">
        <w:rPr>
          <w:color w:val="0D0D0D"/>
          <w:sz w:val="24"/>
          <w:szCs w:val="24"/>
          <w:highlight w:val="white"/>
        </w:rPr>
        <w:t xml:space="preserve">, I., </w:t>
      </w:r>
      <w:proofErr w:type="spellStart"/>
      <w:r w:rsidRPr="00E677D9">
        <w:rPr>
          <w:color w:val="0D0D0D"/>
          <w:sz w:val="24"/>
          <w:szCs w:val="24"/>
          <w:highlight w:val="white"/>
        </w:rPr>
        <w:t>Tzifas</w:t>
      </w:r>
      <w:proofErr w:type="spellEnd"/>
      <w:r w:rsidRPr="00E677D9">
        <w:rPr>
          <w:color w:val="0D0D0D"/>
          <w:sz w:val="24"/>
          <w:szCs w:val="24"/>
          <w:highlight w:val="white"/>
        </w:rPr>
        <w:t xml:space="preserve">, M., </w:t>
      </w:r>
      <w:proofErr w:type="spellStart"/>
      <w:r w:rsidRPr="00E677D9">
        <w:rPr>
          <w:color w:val="0D0D0D"/>
          <w:sz w:val="24"/>
          <w:szCs w:val="24"/>
          <w:highlight w:val="white"/>
        </w:rPr>
        <w:t>Giannakoulias</w:t>
      </w:r>
      <w:proofErr w:type="spellEnd"/>
      <w:r w:rsidRPr="00E677D9">
        <w:rPr>
          <w:color w:val="0D0D0D"/>
          <w:sz w:val="24"/>
          <w:szCs w:val="24"/>
          <w:highlight w:val="white"/>
        </w:rPr>
        <w:t xml:space="preserve">, A., Angelopoulos, M., &amp; Ramos, F. (2021). SPEAR SIEM: A Security Information and Event Management system for the Smart Grid. </w:t>
      </w:r>
      <w:r w:rsidRPr="00E677D9">
        <w:rPr>
          <w:i/>
          <w:color w:val="0D0D0D"/>
          <w:sz w:val="24"/>
          <w:szCs w:val="24"/>
          <w:highlight w:val="white"/>
        </w:rPr>
        <w:t>Computer Networks</w:t>
      </w:r>
      <w:r w:rsidRPr="00E677D9">
        <w:rPr>
          <w:color w:val="0D0D0D"/>
          <w:sz w:val="24"/>
          <w:szCs w:val="24"/>
          <w:highlight w:val="white"/>
        </w:rPr>
        <w:t xml:space="preserve">, </w:t>
      </w:r>
      <w:r w:rsidRPr="00E677D9">
        <w:rPr>
          <w:i/>
          <w:color w:val="0D0D0D"/>
          <w:sz w:val="24"/>
          <w:szCs w:val="24"/>
          <w:highlight w:val="white"/>
        </w:rPr>
        <w:t>193</w:t>
      </w:r>
      <w:r w:rsidRPr="00E677D9">
        <w:rPr>
          <w:color w:val="0D0D0D"/>
          <w:sz w:val="24"/>
          <w:szCs w:val="24"/>
          <w:highlight w:val="white"/>
        </w:rPr>
        <w:t xml:space="preserve">, 108008. </w:t>
      </w:r>
      <w:hyperlink r:id="rId83">
        <w:r w:rsidRPr="00E677D9">
          <w:rPr>
            <w:color w:val="1155CC"/>
            <w:sz w:val="24"/>
            <w:szCs w:val="24"/>
            <w:highlight w:val="white"/>
            <w:u w:val="single"/>
          </w:rPr>
          <w:t>https://doi.org/10.1016/j.comnet.2021.108008</w:t>
        </w:r>
      </w:hyperlink>
      <w:r w:rsidRPr="00E677D9">
        <w:rPr>
          <w:color w:val="0D0D0D"/>
          <w:sz w:val="24"/>
          <w:szCs w:val="24"/>
          <w:highlight w:val="white"/>
        </w:rPr>
        <w:t xml:space="preserve"> </w:t>
      </w:r>
    </w:p>
    <w:p w14:paraId="06384660"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E677D9">
        <w:rPr>
          <w:color w:val="0D0D0D"/>
          <w:sz w:val="24"/>
          <w:szCs w:val="24"/>
          <w:highlight w:val="white"/>
        </w:rPr>
        <w:t xml:space="preserve">Repetto, M. (2023). Adaptive monitoring, detection, and response for agile digital service chains. </w:t>
      </w:r>
      <w:r w:rsidRPr="00E677D9">
        <w:rPr>
          <w:i/>
          <w:color w:val="0D0D0D"/>
          <w:sz w:val="24"/>
          <w:szCs w:val="24"/>
          <w:highlight w:val="white"/>
        </w:rPr>
        <w:t>Computers &amp; Security</w:t>
      </w:r>
      <w:r w:rsidRPr="00E677D9">
        <w:rPr>
          <w:color w:val="0D0D0D"/>
          <w:sz w:val="24"/>
          <w:szCs w:val="24"/>
          <w:highlight w:val="white"/>
        </w:rPr>
        <w:t xml:space="preserve">, </w:t>
      </w:r>
      <w:r w:rsidRPr="00E677D9">
        <w:rPr>
          <w:i/>
          <w:color w:val="0D0D0D"/>
          <w:sz w:val="24"/>
          <w:szCs w:val="24"/>
          <w:highlight w:val="white"/>
        </w:rPr>
        <w:t>132</w:t>
      </w:r>
      <w:r w:rsidRPr="00E677D9">
        <w:rPr>
          <w:color w:val="0D0D0D"/>
          <w:sz w:val="24"/>
          <w:szCs w:val="24"/>
          <w:highlight w:val="white"/>
        </w:rPr>
        <w:t xml:space="preserve">, 103343. </w:t>
      </w:r>
      <w:hyperlink r:id="rId84">
        <w:r w:rsidRPr="00E677D9">
          <w:rPr>
            <w:color w:val="1155CC"/>
            <w:sz w:val="24"/>
            <w:szCs w:val="24"/>
            <w:highlight w:val="white"/>
            <w:u w:val="single"/>
          </w:rPr>
          <w:t>https://doi.org/10.1016/j.cose.2023.103343</w:t>
        </w:r>
      </w:hyperlink>
      <w:r w:rsidRPr="00E677D9">
        <w:rPr>
          <w:color w:val="0D0D0D"/>
          <w:sz w:val="24"/>
          <w:szCs w:val="24"/>
          <w:highlight w:val="white"/>
        </w:rPr>
        <w:t xml:space="preserve"> </w:t>
      </w:r>
    </w:p>
    <w:p w14:paraId="37F0755E"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proofErr w:type="spellStart"/>
      <w:r w:rsidRPr="00E677D9">
        <w:rPr>
          <w:color w:val="0D0D0D"/>
          <w:sz w:val="24"/>
          <w:szCs w:val="24"/>
          <w:highlight w:val="white"/>
        </w:rPr>
        <w:t>Roshanaei</w:t>
      </w:r>
      <w:proofErr w:type="spellEnd"/>
      <w:r w:rsidRPr="00E677D9">
        <w:rPr>
          <w:color w:val="0D0D0D"/>
          <w:sz w:val="24"/>
          <w:szCs w:val="24"/>
          <w:highlight w:val="white"/>
        </w:rPr>
        <w:t xml:space="preserve">, M., Khan, M. R., &amp; Sylvester, N. N. (2024). Enhancing Cybersecurity through AI and ML: Strategies, Challenges, and Future Directions. </w:t>
      </w:r>
      <w:r w:rsidRPr="00E677D9">
        <w:rPr>
          <w:i/>
          <w:color w:val="0D0D0D"/>
          <w:sz w:val="24"/>
          <w:szCs w:val="24"/>
          <w:highlight w:val="white"/>
        </w:rPr>
        <w:t>Journal of Information Security</w:t>
      </w:r>
      <w:r w:rsidRPr="00E677D9">
        <w:rPr>
          <w:color w:val="0D0D0D"/>
          <w:sz w:val="24"/>
          <w:szCs w:val="24"/>
          <w:highlight w:val="white"/>
        </w:rPr>
        <w:t xml:space="preserve">, </w:t>
      </w:r>
      <w:r w:rsidRPr="00E677D9">
        <w:rPr>
          <w:i/>
          <w:color w:val="0D0D0D"/>
          <w:sz w:val="24"/>
          <w:szCs w:val="24"/>
          <w:highlight w:val="white"/>
        </w:rPr>
        <w:t>15</w:t>
      </w:r>
      <w:r w:rsidRPr="00E677D9">
        <w:rPr>
          <w:color w:val="0D0D0D"/>
          <w:sz w:val="24"/>
          <w:szCs w:val="24"/>
          <w:highlight w:val="white"/>
        </w:rPr>
        <w:t xml:space="preserve">(3), 320–339. </w:t>
      </w:r>
      <w:hyperlink r:id="rId85">
        <w:r w:rsidRPr="00E677D9">
          <w:rPr>
            <w:color w:val="1155CC"/>
            <w:sz w:val="24"/>
            <w:szCs w:val="24"/>
            <w:highlight w:val="white"/>
            <w:u w:val="single"/>
          </w:rPr>
          <w:t>https://doi.org/10.4236/jis.2024.153019</w:t>
        </w:r>
      </w:hyperlink>
      <w:r w:rsidRPr="00E677D9">
        <w:rPr>
          <w:color w:val="0D0D0D"/>
          <w:sz w:val="24"/>
          <w:szCs w:val="24"/>
          <w:highlight w:val="white"/>
        </w:rPr>
        <w:t xml:space="preserve"> </w:t>
      </w:r>
    </w:p>
    <w:p w14:paraId="1ED35C3C"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E677D9">
        <w:rPr>
          <w:color w:val="0D0D0D"/>
          <w:sz w:val="24"/>
          <w:szCs w:val="24"/>
          <w:highlight w:val="white"/>
        </w:rPr>
        <w:t xml:space="preserve">Ryan, M. W. (2021). Ransomware Revolution: The Rise of a Prodigious Cyber Threat. In </w:t>
      </w:r>
      <w:r w:rsidRPr="00E677D9">
        <w:rPr>
          <w:i/>
          <w:color w:val="0D0D0D"/>
          <w:sz w:val="24"/>
          <w:szCs w:val="24"/>
          <w:highlight w:val="white"/>
        </w:rPr>
        <w:t>Advances in information security</w:t>
      </w:r>
      <w:r w:rsidRPr="00E677D9">
        <w:rPr>
          <w:color w:val="0D0D0D"/>
          <w:sz w:val="24"/>
          <w:szCs w:val="24"/>
          <w:highlight w:val="white"/>
        </w:rPr>
        <w:t xml:space="preserve">. Springer New York. </w:t>
      </w:r>
      <w:hyperlink r:id="rId86">
        <w:r w:rsidRPr="00E677D9">
          <w:rPr>
            <w:color w:val="1155CC"/>
            <w:sz w:val="24"/>
            <w:szCs w:val="24"/>
            <w:highlight w:val="white"/>
            <w:u w:val="single"/>
          </w:rPr>
          <w:t>https://doi.org/10.1007/978-3-030-66583-8</w:t>
        </w:r>
      </w:hyperlink>
      <w:r w:rsidRPr="00E677D9">
        <w:rPr>
          <w:color w:val="0D0D0D"/>
          <w:sz w:val="24"/>
          <w:szCs w:val="24"/>
          <w:highlight w:val="white"/>
        </w:rPr>
        <w:t xml:space="preserve"> </w:t>
      </w:r>
    </w:p>
    <w:p w14:paraId="2D862F68"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proofErr w:type="spellStart"/>
      <w:r w:rsidRPr="00261B7A">
        <w:rPr>
          <w:color w:val="0D0D0D"/>
          <w:sz w:val="24"/>
          <w:szCs w:val="24"/>
          <w:highlight w:val="white"/>
          <w:lang w:val="es-ES"/>
        </w:rPr>
        <w:t>Salama</w:t>
      </w:r>
      <w:proofErr w:type="spellEnd"/>
      <w:r w:rsidRPr="00261B7A">
        <w:rPr>
          <w:color w:val="0D0D0D"/>
          <w:sz w:val="24"/>
          <w:szCs w:val="24"/>
          <w:highlight w:val="white"/>
          <w:lang w:val="es-ES"/>
        </w:rPr>
        <w:t xml:space="preserve">, R., </w:t>
      </w:r>
      <w:proofErr w:type="spellStart"/>
      <w:r w:rsidRPr="00261B7A">
        <w:rPr>
          <w:color w:val="0D0D0D"/>
          <w:sz w:val="24"/>
          <w:szCs w:val="24"/>
          <w:highlight w:val="white"/>
          <w:lang w:val="es-ES"/>
        </w:rPr>
        <w:t>Altrjman</w:t>
      </w:r>
      <w:proofErr w:type="spellEnd"/>
      <w:r w:rsidRPr="00261B7A">
        <w:rPr>
          <w:color w:val="0D0D0D"/>
          <w:sz w:val="24"/>
          <w:szCs w:val="24"/>
          <w:highlight w:val="white"/>
          <w:lang w:val="es-ES"/>
        </w:rPr>
        <w:t>, C., &amp; Al-</w:t>
      </w:r>
      <w:proofErr w:type="spellStart"/>
      <w:r w:rsidRPr="00261B7A">
        <w:rPr>
          <w:color w:val="0D0D0D"/>
          <w:sz w:val="24"/>
          <w:szCs w:val="24"/>
          <w:highlight w:val="white"/>
          <w:lang w:val="es-ES"/>
        </w:rPr>
        <w:t>Turjman</w:t>
      </w:r>
      <w:proofErr w:type="spellEnd"/>
      <w:r w:rsidRPr="00261B7A">
        <w:rPr>
          <w:color w:val="0D0D0D"/>
          <w:sz w:val="24"/>
          <w:szCs w:val="24"/>
          <w:highlight w:val="white"/>
          <w:lang w:val="es-ES"/>
        </w:rPr>
        <w:t xml:space="preserve">, F. (2024). </w:t>
      </w:r>
      <w:r w:rsidRPr="00E677D9">
        <w:rPr>
          <w:i/>
          <w:color w:val="0D0D0D"/>
          <w:sz w:val="24"/>
          <w:szCs w:val="24"/>
          <w:highlight w:val="white"/>
        </w:rPr>
        <w:t>8 - Healthcare cybersecurity challenges: a look at current and future trends</w:t>
      </w:r>
      <w:r w:rsidRPr="00E677D9">
        <w:rPr>
          <w:color w:val="0D0D0D"/>
          <w:sz w:val="24"/>
          <w:szCs w:val="24"/>
          <w:highlight w:val="white"/>
        </w:rPr>
        <w:t xml:space="preserve"> (F. Al-</w:t>
      </w:r>
      <w:proofErr w:type="spellStart"/>
      <w:r w:rsidRPr="00E677D9">
        <w:rPr>
          <w:color w:val="0D0D0D"/>
          <w:sz w:val="24"/>
          <w:szCs w:val="24"/>
          <w:highlight w:val="white"/>
        </w:rPr>
        <w:t>Turjman</w:t>
      </w:r>
      <w:proofErr w:type="spellEnd"/>
      <w:r w:rsidRPr="00E677D9">
        <w:rPr>
          <w:color w:val="0D0D0D"/>
          <w:sz w:val="24"/>
          <w:szCs w:val="24"/>
          <w:highlight w:val="white"/>
        </w:rPr>
        <w:t xml:space="preserve">, Ed.). ScienceDirect; Morgan Kaufmann. </w:t>
      </w:r>
      <w:hyperlink r:id="rId87">
        <w:r w:rsidRPr="00E677D9">
          <w:rPr>
            <w:color w:val="1155CC"/>
            <w:sz w:val="24"/>
            <w:szCs w:val="24"/>
            <w:highlight w:val="white"/>
            <w:u w:val="single"/>
          </w:rPr>
          <w:t>https://www.sciencedirect.com/science/article/pii/B9780443132681000030</w:t>
        </w:r>
      </w:hyperlink>
      <w:r w:rsidRPr="00E677D9">
        <w:rPr>
          <w:color w:val="0D0D0D"/>
          <w:sz w:val="24"/>
          <w:szCs w:val="24"/>
          <w:highlight w:val="white"/>
        </w:rPr>
        <w:t xml:space="preserve"> </w:t>
      </w:r>
    </w:p>
    <w:p w14:paraId="0FD578CF"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E677D9">
        <w:rPr>
          <w:color w:val="0D0D0D"/>
          <w:sz w:val="24"/>
          <w:szCs w:val="24"/>
          <w:highlight w:val="white"/>
        </w:rPr>
        <w:t xml:space="preserve">Sarker, I. H. (2022). Machine Learning for Intelligent Data Analysis and Automation in Cybersecurity: Current and Future Prospects. </w:t>
      </w:r>
      <w:r w:rsidRPr="00E677D9">
        <w:rPr>
          <w:i/>
          <w:color w:val="0D0D0D"/>
          <w:sz w:val="24"/>
          <w:szCs w:val="24"/>
          <w:highlight w:val="white"/>
        </w:rPr>
        <w:t>Annals of Data Science</w:t>
      </w:r>
      <w:r w:rsidRPr="00E677D9">
        <w:rPr>
          <w:color w:val="0D0D0D"/>
          <w:sz w:val="24"/>
          <w:szCs w:val="24"/>
          <w:highlight w:val="white"/>
        </w:rPr>
        <w:t xml:space="preserve">, </w:t>
      </w:r>
      <w:r w:rsidRPr="00E677D9">
        <w:rPr>
          <w:i/>
          <w:color w:val="0D0D0D"/>
          <w:sz w:val="24"/>
          <w:szCs w:val="24"/>
          <w:highlight w:val="white"/>
        </w:rPr>
        <w:t>10</w:t>
      </w:r>
      <w:r w:rsidRPr="00E677D9">
        <w:rPr>
          <w:color w:val="0D0D0D"/>
          <w:sz w:val="24"/>
          <w:szCs w:val="24"/>
          <w:highlight w:val="white"/>
        </w:rPr>
        <w:t xml:space="preserve">(1), 1473–1498. </w:t>
      </w:r>
      <w:hyperlink r:id="rId88">
        <w:r w:rsidRPr="00E677D9">
          <w:rPr>
            <w:color w:val="1155CC"/>
            <w:sz w:val="24"/>
            <w:szCs w:val="24"/>
            <w:highlight w:val="white"/>
            <w:u w:val="single"/>
          </w:rPr>
          <w:t>https://doi.org/10.1007/s40745-022-00444-2</w:t>
        </w:r>
      </w:hyperlink>
      <w:r w:rsidRPr="00E677D9">
        <w:rPr>
          <w:color w:val="0D0D0D"/>
          <w:sz w:val="24"/>
          <w:szCs w:val="24"/>
          <w:highlight w:val="white"/>
        </w:rPr>
        <w:t xml:space="preserve"> </w:t>
      </w:r>
    </w:p>
    <w:p w14:paraId="0B885061"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E677D9">
        <w:rPr>
          <w:color w:val="0D0D0D"/>
          <w:sz w:val="24"/>
          <w:szCs w:val="24"/>
          <w:highlight w:val="white"/>
        </w:rPr>
        <w:t>Sarker, I. H. (2023). Multi</w:t>
      </w:r>
      <w:r w:rsidRPr="00E677D9">
        <w:rPr>
          <w:rFonts w:ascii="Cambria Math" w:hAnsi="Cambria Math" w:cs="Cambria Math"/>
          <w:color w:val="0D0D0D"/>
          <w:sz w:val="24"/>
          <w:szCs w:val="24"/>
          <w:highlight w:val="white"/>
        </w:rPr>
        <w:t>‐</w:t>
      </w:r>
      <w:r w:rsidRPr="00E677D9">
        <w:rPr>
          <w:color w:val="0D0D0D"/>
          <w:sz w:val="24"/>
          <w:szCs w:val="24"/>
          <w:highlight w:val="white"/>
        </w:rPr>
        <w:t xml:space="preserve">aspects AI </w:t>
      </w:r>
      <w:r w:rsidRPr="00E677D9">
        <w:rPr>
          <w:rFonts w:ascii="Cambria Math" w:hAnsi="Cambria Math" w:cs="Cambria Math"/>
          <w:color w:val="0D0D0D"/>
          <w:sz w:val="24"/>
          <w:szCs w:val="24"/>
          <w:highlight w:val="white"/>
        </w:rPr>
        <w:t>‐</w:t>
      </w:r>
      <w:r w:rsidRPr="00E677D9">
        <w:rPr>
          <w:color w:val="0D0D0D"/>
          <w:sz w:val="24"/>
          <w:szCs w:val="24"/>
          <w:highlight w:val="white"/>
        </w:rPr>
        <w:t xml:space="preserve">based </w:t>
      </w:r>
      <w:proofErr w:type="spellStart"/>
      <w:r w:rsidRPr="00E677D9">
        <w:rPr>
          <w:color w:val="0D0D0D"/>
          <w:sz w:val="24"/>
          <w:szCs w:val="24"/>
          <w:highlight w:val="white"/>
        </w:rPr>
        <w:t>modeling</w:t>
      </w:r>
      <w:proofErr w:type="spellEnd"/>
      <w:r w:rsidRPr="00E677D9">
        <w:rPr>
          <w:color w:val="0D0D0D"/>
          <w:sz w:val="24"/>
          <w:szCs w:val="24"/>
          <w:highlight w:val="white"/>
        </w:rPr>
        <w:t xml:space="preserve"> and adversarial learning for cybersecurity intelligence and robustness: A comprehensive overview. </w:t>
      </w:r>
      <w:r w:rsidRPr="00E677D9">
        <w:rPr>
          <w:i/>
          <w:color w:val="0D0D0D"/>
          <w:sz w:val="24"/>
          <w:szCs w:val="24"/>
          <w:highlight w:val="white"/>
        </w:rPr>
        <w:t>SECURITY and PRIVACY</w:t>
      </w:r>
      <w:r w:rsidRPr="00E677D9">
        <w:rPr>
          <w:color w:val="0D0D0D"/>
          <w:sz w:val="24"/>
          <w:szCs w:val="24"/>
          <w:highlight w:val="white"/>
        </w:rPr>
        <w:t xml:space="preserve">, </w:t>
      </w:r>
      <w:r w:rsidRPr="00E677D9">
        <w:rPr>
          <w:i/>
          <w:color w:val="0D0D0D"/>
          <w:sz w:val="24"/>
          <w:szCs w:val="24"/>
          <w:highlight w:val="white"/>
        </w:rPr>
        <w:t>6</w:t>
      </w:r>
      <w:r w:rsidRPr="00E677D9">
        <w:rPr>
          <w:color w:val="0D0D0D"/>
          <w:sz w:val="24"/>
          <w:szCs w:val="24"/>
          <w:highlight w:val="white"/>
        </w:rPr>
        <w:t xml:space="preserve">(5). </w:t>
      </w:r>
      <w:hyperlink r:id="rId89">
        <w:r w:rsidRPr="00E677D9">
          <w:rPr>
            <w:color w:val="1155CC"/>
            <w:sz w:val="24"/>
            <w:szCs w:val="24"/>
            <w:highlight w:val="white"/>
            <w:u w:val="single"/>
          </w:rPr>
          <w:t>https://doi.org/10.1002/spy2.295</w:t>
        </w:r>
      </w:hyperlink>
      <w:r w:rsidRPr="00E677D9">
        <w:rPr>
          <w:color w:val="0D0D0D"/>
          <w:sz w:val="24"/>
          <w:szCs w:val="24"/>
          <w:highlight w:val="white"/>
        </w:rPr>
        <w:t xml:space="preserve"> </w:t>
      </w:r>
    </w:p>
    <w:p w14:paraId="07804F0A"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E677D9">
        <w:rPr>
          <w:color w:val="0D0D0D"/>
          <w:sz w:val="24"/>
          <w:szCs w:val="24"/>
          <w:highlight w:val="white"/>
        </w:rPr>
        <w:t xml:space="preserve">Senthilkumar, P., Asha, V., Kanaga Suba Raja, S., &amp; Samuel Peter James, I. (2024). Enhancing DNS and IoT Firewall Rule-Based Algorithms and Techniques. </w:t>
      </w:r>
      <w:r w:rsidRPr="00E677D9">
        <w:rPr>
          <w:i/>
          <w:color w:val="0D0D0D"/>
          <w:sz w:val="24"/>
          <w:szCs w:val="24"/>
          <w:highlight w:val="white"/>
        </w:rPr>
        <w:t xml:space="preserve">Lecture </w:t>
      </w:r>
      <w:r w:rsidRPr="00E677D9">
        <w:rPr>
          <w:i/>
          <w:color w:val="0D0D0D"/>
          <w:sz w:val="24"/>
          <w:szCs w:val="24"/>
          <w:highlight w:val="white"/>
        </w:rPr>
        <w:lastRenderedPageBreak/>
        <w:t>Notes in Electrical Engineering</w:t>
      </w:r>
      <w:r w:rsidRPr="00E677D9">
        <w:rPr>
          <w:color w:val="0D0D0D"/>
          <w:sz w:val="24"/>
          <w:szCs w:val="24"/>
          <w:highlight w:val="white"/>
        </w:rPr>
        <w:t xml:space="preserve">, 45–57. </w:t>
      </w:r>
      <w:hyperlink r:id="rId90">
        <w:r w:rsidRPr="00E677D9">
          <w:rPr>
            <w:color w:val="1155CC"/>
            <w:sz w:val="24"/>
            <w:szCs w:val="24"/>
            <w:highlight w:val="white"/>
            <w:u w:val="single"/>
          </w:rPr>
          <w:t>https://doi.org/10.1007/978-981-97-7616-0_4</w:t>
        </w:r>
      </w:hyperlink>
      <w:r w:rsidRPr="00E677D9">
        <w:rPr>
          <w:color w:val="0D0D0D"/>
          <w:sz w:val="24"/>
          <w:szCs w:val="24"/>
          <w:highlight w:val="white"/>
        </w:rPr>
        <w:t xml:space="preserve"> </w:t>
      </w:r>
    </w:p>
    <w:p w14:paraId="6064F624"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E677D9">
        <w:rPr>
          <w:color w:val="0D0D0D"/>
          <w:sz w:val="24"/>
          <w:szCs w:val="24"/>
          <w:highlight w:val="white"/>
        </w:rPr>
        <w:t xml:space="preserve">Sharma, D. P., Lashkari, A. H., &amp; </w:t>
      </w:r>
      <w:proofErr w:type="spellStart"/>
      <w:r w:rsidRPr="00E677D9">
        <w:rPr>
          <w:color w:val="0D0D0D"/>
          <w:sz w:val="24"/>
          <w:szCs w:val="24"/>
          <w:highlight w:val="white"/>
        </w:rPr>
        <w:t>Parizadeh</w:t>
      </w:r>
      <w:proofErr w:type="spellEnd"/>
      <w:r w:rsidRPr="00E677D9">
        <w:rPr>
          <w:color w:val="0D0D0D"/>
          <w:sz w:val="24"/>
          <w:szCs w:val="24"/>
          <w:highlight w:val="white"/>
        </w:rPr>
        <w:t xml:space="preserve">, M. (2024). Understanding Cybersecurity Management in Healthcare. In </w:t>
      </w:r>
      <w:r w:rsidRPr="00E677D9">
        <w:rPr>
          <w:i/>
          <w:color w:val="0D0D0D"/>
          <w:sz w:val="24"/>
          <w:szCs w:val="24"/>
          <w:highlight w:val="white"/>
        </w:rPr>
        <w:t>Progress in IS</w:t>
      </w:r>
      <w:r w:rsidRPr="00E677D9">
        <w:rPr>
          <w:color w:val="0D0D0D"/>
          <w:sz w:val="24"/>
          <w:szCs w:val="24"/>
          <w:highlight w:val="white"/>
        </w:rPr>
        <w:t xml:space="preserve">. Springer International Publishing. </w:t>
      </w:r>
      <w:hyperlink r:id="rId91">
        <w:r w:rsidRPr="00E677D9">
          <w:rPr>
            <w:color w:val="1155CC"/>
            <w:sz w:val="24"/>
            <w:szCs w:val="24"/>
            <w:highlight w:val="white"/>
            <w:u w:val="single"/>
          </w:rPr>
          <w:t>https://doi.org/10.1007/978-3-031-68034-2</w:t>
        </w:r>
      </w:hyperlink>
      <w:r w:rsidRPr="00E677D9">
        <w:rPr>
          <w:color w:val="0D0D0D"/>
          <w:sz w:val="24"/>
          <w:szCs w:val="24"/>
          <w:highlight w:val="white"/>
        </w:rPr>
        <w:t xml:space="preserve"> </w:t>
      </w:r>
    </w:p>
    <w:p w14:paraId="1C43B62C"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E677D9">
        <w:rPr>
          <w:color w:val="0D0D0D"/>
          <w:sz w:val="24"/>
          <w:szCs w:val="24"/>
          <w:highlight w:val="white"/>
        </w:rPr>
        <w:t xml:space="preserve">Singh, B., Kumar, R., &amp; Singh, V. P. (2021). Reinforcement learning in robotic applications: a comprehensive survey. </w:t>
      </w:r>
      <w:r w:rsidRPr="00E677D9">
        <w:rPr>
          <w:i/>
          <w:color w:val="0D0D0D"/>
          <w:sz w:val="24"/>
          <w:szCs w:val="24"/>
          <w:highlight w:val="white"/>
        </w:rPr>
        <w:t>Artificial Intelligence Review</w:t>
      </w:r>
      <w:r w:rsidRPr="00E677D9">
        <w:rPr>
          <w:color w:val="0D0D0D"/>
          <w:sz w:val="24"/>
          <w:szCs w:val="24"/>
          <w:highlight w:val="white"/>
        </w:rPr>
        <w:t xml:space="preserve">, </w:t>
      </w:r>
      <w:r w:rsidRPr="00E677D9">
        <w:rPr>
          <w:i/>
          <w:color w:val="0D0D0D"/>
          <w:sz w:val="24"/>
          <w:szCs w:val="24"/>
          <w:highlight w:val="white"/>
        </w:rPr>
        <w:t>55</w:t>
      </w:r>
      <w:r w:rsidRPr="00E677D9">
        <w:rPr>
          <w:color w:val="0D0D0D"/>
          <w:sz w:val="24"/>
          <w:szCs w:val="24"/>
          <w:highlight w:val="white"/>
        </w:rPr>
        <w:t xml:space="preserve">(2). </w:t>
      </w:r>
      <w:hyperlink r:id="rId92">
        <w:r w:rsidRPr="00E677D9">
          <w:rPr>
            <w:color w:val="1155CC"/>
            <w:sz w:val="24"/>
            <w:szCs w:val="24"/>
            <w:highlight w:val="white"/>
            <w:u w:val="single"/>
          </w:rPr>
          <w:t>https://doi.org/10.1007/s10462-021-09997-9</w:t>
        </w:r>
      </w:hyperlink>
      <w:r w:rsidRPr="00E677D9">
        <w:rPr>
          <w:color w:val="0D0D0D"/>
          <w:sz w:val="24"/>
          <w:szCs w:val="24"/>
          <w:highlight w:val="white"/>
        </w:rPr>
        <w:t xml:space="preserve"> </w:t>
      </w:r>
    </w:p>
    <w:p w14:paraId="6CB06975"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proofErr w:type="spellStart"/>
      <w:r w:rsidRPr="00E677D9">
        <w:rPr>
          <w:color w:val="0D0D0D"/>
          <w:sz w:val="24"/>
          <w:szCs w:val="24"/>
          <w:highlight w:val="white"/>
        </w:rPr>
        <w:t>Steimers</w:t>
      </w:r>
      <w:proofErr w:type="spellEnd"/>
      <w:r w:rsidRPr="00E677D9">
        <w:rPr>
          <w:color w:val="0D0D0D"/>
          <w:sz w:val="24"/>
          <w:szCs w:val="24"/>
          <w:highlight w:val="white"/>
        </w:rPr>
        <w:t xml:space="preserve">, A., &amp; Schneider, M. (2022). Sources of Risk of AI Systems. </w:t>
      </w:r>
      <w:r w:rsidRPr="00E677D9">
        <w:rPr>
          <w:i/>
          <w:color w:val="0D0D0D"/>
          <w:sz w:val="24"/>
          <w:szCs w:val="24"/>
          <w:highlight w:val="white"/>
        </w:rPr>
        <w:t>International Journal of Environmental Research and Public Health</w:t>
      </w:r>
      <w:r w:rsidRPr="00E677D9">
        <w:rPr>
          <w:color w:val="0D0D0D"/>
          <w:sz w:val="24"/>
          <w:szCs w:val="24"/>
          <w:highlight w:val="white"/>
        </w:rPr>
        <w:t xml:space="preserve">, </w:t>
      </w:r>
      <w:r w:rsidRPr="00E677D9">
        <w:rPr>
          <w:i/>
          <w:color w:val="0D0D0D"/>
          <w:sz w:val="24"/>
          <w:szCs w:val="24"/>
          <w:highlight w:val="white"/>
        </w:rPr>
        <w:t>19</w:t>
      </w:r>
      <w:r w:rsidRPr="00E677D9">
        <w:rPr>
          <w:color w:val="0D0D0D"/>
          <w:sz w:val="24"/>
          <w:szCs w:val="24"/>
          <w:highlight w:val="white"/>
        </w:rPr>
        <w:t xml:space="preserve">(6), 3641. </w:t>
      </w:r>
      <w:hyperlink r:id="rId93">
        <w:r w:rsidRPr="00E677D9">
          <w:rPr>
            <w:color w:val="1155CC"/>
            <w:sz w:val="24"/>
            <w:szCs w:val="24"/>
            <w:highlight w:val="white"/>
            <w:u w:val="single"/>
          </w:rPr>
          <w:t>https://doi.org/10.3390/ijerph19063641</w:t>
        </w:r>
      </w:hyperlink>
      <w:r w:rsidRPr="00E677D9">
        <w:rPr>
          <w:color w:val="0D0D0D"/>
          <w:sz w:val="24"/>
          <w:szCs w:val="24"/>
          <w:highlight w:val="white"/>
        </w:rPr>
        <w:t xml:space="preserve"> </w:t>
      </w:r>
    </w:p>
    <w:p w14:paraId="46CAA58A"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E677D9">
        <w:rPr>
          <w:color w:val="0D0D0D"/>
          <w:sz w:val="24"/>
          <w:szCs w:val="24"/>
          <w:highlight w:val="white"/>
        </w:rPr>
        <w:t xml:space="preserve">Tahmasebi, M. (2024). Beyond </w:t>
      </w:r>
      <w:proofErr w:type="spellStart"/>
      <w:r w:rsidRPr="00E677D9">
        <w:rPr>
          <w:color w:val="0D0D0D"/>
          <w:sz w:val="24"/>
          <w:szCs w:val="24"/>
          <w:highlight w:val="white"/>
        </w:rPr>
        <w:t>Defense</w:t>
      </w:r>
      <w:proofErr w:type="spellEnd"/>
      <w:r w:rsidRPr="00E677D9">
        <w:rPr>
          <w:color w:val="0D0D0D"/>
          <w:sz w:val="24"/>
          <w:szCs w:val="24"/>
          <w:highlight w:val="white"/>
        </w:rPr>
        <w:t xml:space="preserve">: Proactive Approaches to Disaster Recovery and Threat Intelligence in Modern Enterprises. </w:t>
      </w:r>
      <w:r w:rsidRPr="00E677D9">
        <w:rPr>
          <w:i/>
          <w:color w:val="0D0D0D"/>
          <w:sz w:val="24"/>
          <w:szCs w:val="24"/>
          <w:highlight w:val="white"/>
        </w:rPr>
        <w:t>Journal of Information Security</w:t>
      </w:r>
      <w:r w:rsidRPr="00E677D9">
        <w:rPr>
          <w:color w:val="0D0D0D"/>
          <w:sz w:val="24"/>
          <w:szCs w:val="24"/>
          <w:highlight w:val="white"/>
        </w:rPr>
        <w:t xml:space="preserve">, </w:t>
      </w:r>
      <w:r w:rsidRPr="00E677D9">
        <w:rPr>
          <w:i/>
          <w:color w:val="0D0D0D"/>
          <w:sz w:val="24"/>
          <w:szCs w:val="24"/>
          <w:highlight w:val="white"/>
        </w:rPr>
        <w:t>15</w:t>
      </w:r>
      <w:r w:rsidRPr="00E677D9">
        <w:rPr>
          <w:color w:val="0D0D0D"/>
          <w:sz w:val="24"/>
          <w:szCs w:val="24"/>
          <w:highlight w:val="white"/>
        </w:rPr>
        <w:t xml:space="preserve">(2), 106–133. </w:t>
      </w:r>
      <w:hyperlink r:id="rId94">
        <w:r w:rsidRPr="00E677D9">
          <w:rPr>
            <w:color w:val="1155CC"/>
            <w:sz w:val="24"/>
            <w:szCs w:val="24"/>
            <w:highlight w:val="white"/>
            <w:u w:val="single"/>
          </w:rPr>
          <w:t>https://doi.org/10.4236/jis.2024.152008</w:t>
        </w:r>
      </w:hyperlink>
      <w:r w:rsidRPr="00E677D9">
        <w:rPr>
          <w:color w:val="0D0D0D"/>
          <w:sz w:val="24"/>
          <w:szCs w:val="24"/>
          <w:highlight w:val="white"/>
        </w:rPr>
        <w:t xml:space="preserve"> </w:t>
      </w:r>
    </w:p>
    <w:p w14:paraId="673D78AC"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proofErr w:type="spellStart"/>
      <w:r w:rsidRPr="00E677D9">
        <w:rPr>
          <w:color w:val="0D0D0D"/>
          <w:sz w:val="24"/>
          <w:szCs w:val="24"/>
          <w:highlight w:val="white"/>
        </w:rPr>
        <w:t>Tanikonda</w:t>
      </w:r>
      <w:proofErr w:type="spellEnd"/>
      <w:r w:rsidRPr="00E677D9">
        <w:rPr>
          <w:color w:val="0D0D0D"/>
          <w:sz w:val="24"/>
          <w:szCs w:val="24"/>
          <w:highlight w:val="white"/>
        </w:rPr>
        <w:t xml:space="preserve">, A., Pandey, B. K., </w:t>
      </w:r>
      <w:proofErr w:type="spellStart"/>
      <w:r w:rsidRPr="00E677D9">
        <w:rPr>
          <w:color w:val="0D0D0D"/>
          <w:sz w:val="24"/>
          <w:szCs w:val="24"/>
          <w:highlight w:val="white"/>
        </w:rPr>
        <w:t>Peddinti</w:t>
      </w:r>
      <w:proofErr w:type="spellEnd"/>
      <w:r w:rsidRPr="00E677D9">
        <w:rPr>
          <w:color w:val="0D0D0D"/>
          <w:sz w:val="24"/>
          <w:szCs w:val="24"/>
          <w:highlight w:val="white"/>
        </w:rPr>
        <w:t xml:space="preserve">, S. R., &amp; Katragadda, S. R. (2025). Advanced AI-Driven Cybersecurity Solutions for Proactive Threat Detection and Response in Complex Ecosystems. </w:t>
      </w:r>
      <w:r w:rsidRPr="00E677D9">
        <w:rPr>
          <w:i/>
          <w:color w:val="0D0D0D"/>
          <w:sz w:val="24"/>
          <w:szCs w:val="24"/>
          <w:highlight w:val="white"/>
        </w:rPr>
        <w:t>SSRN Electronic Journal</w:t>
      </w:r>
      <w:r w:rsidRPr="00E677D9">
        <w:rPr>
          <w:color w:val="0D0D0D"/>
          <w:sz w:val="24"/>
          <w:szCs w:val="24"/>
          <w:highlight w:val="white"/>
        </w:rPr>
        <w:t xml:space="preserve">, </w:t>
      </w:r>
      <w:r w:rsidRPr="00E677D9">
        <w:rPr>
          <w:i/>
          <w:color w:val="0D0D0D"/>
          <w:sz w:val="24"/>
          <w:szCs w:val="24"/>
          <w:highlight w:val="white"/>
        </w:rPr>
        <w:t>3</w:t>
      </w:r>
      <w:r w:rsidRPr="00E677D9">
        <w:rPr>
          <w:color w:val="0D0D0D"/>
          <w:sz w:val="24"/>
          <w:szCs w:val="24"/>
          <w:highlight w:val="white"/>
        </w:rPr>
        <w:t xml:space="preserve">(1). </w:t>
      </w:r>
      <w:hyperlink r:id="rId95">
        <w:r w:rsidRPr="00E677D9">
          <w:rPr>
            <w:color w:val="1155CC"/>
            <w:sz w:val="24"/>
            <w:szCs w:val="24"/>
            <w:highlight w:val="white"/>
            <w:u w:val="single"/>
          </w:rPr>
          <w:t>https://doi.org/10.2139/ssrn.5102358</w:t>
        </w:r>
      </w:hyperlink>
      <w:r w:rsidRPr="00E677D9">
        <w:rPr>
          <w:color w:val="0D0D0D"/>
          <w:sz w:val="24"/>
          <w:szCs w:val="24"/>
          <w:highlight w:val="white"/>
        </w:rPr>
        <w:t xml:space="preserve"> </w:t>
      </w:r>
    </w:p>
    <w:p w14:paraId="3C4B3AA6"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E677D9">
        <w:rPr>
          <w:color w:val="0D0D0D"/>
          <w:sz w:val="24"/>
          <w:szCs w:val="24"/>
          <w:highlight w:val="white"/>
        </w:rPr>
        <w:t xml:space="preserve">Tariq, M. U. (2024). </w:t>
      </w:r>
      <w:r w:rsidRPr="00E677D9">
        <w:rPr>
          <w:i/>
          <w:color w:val="0D0D0D"/>
          <w:sz w:val="24"/>
          <w:szCs w:val="24"/>
          <w:highlight w:val="white"/>
        </w:rPr>
        <w:t>Enhancing Cybersecurity Protocols in Modern Healthcare Systems: Strategies and Best Practices</w:t>
      </w:r>
      <w:r w:rsidRPr="00E677D9">
        <w:rPr>
          <w:color w:val="0D0D0D"/>
          <w:sz w:val="24"/>
          <w:szCs w:val="24"/>
          <w:highlight w:val="white"/>
        </w:rPr>
        <w:t xml:space="preserve">. Www.igi-Global.com; IGI Global. </w:t>
      </w:r>
      <w:hyperlink r:id="rId96">
        <w:r w:rsidRPr="00E677D9">
          <w:rPr>
            <w:color w:val="1155CC"/>
            <w:sz w:val="24"/>
            <w:szCs w:val="24"/>
            <w:highlight w:val="white"/>
            <w:u w:val="single"/>
          </w:rPr>
          <w:t>https://www.igi-global.com/chapter/enhancing-cybersecurity-protocols-in-modern-healthcare-systems/342829</w:t>
        </w:r>
      </w:hyperlink>
      <w:r w:rsidRPr="00E677D9">
        <w:rPr>
          <w:color w:val="0D0D0D"/>
          <w:sz w:val="24"/>
          <w:szCs w:val="24"/>
          <w:highlight w:val="white"/>
        </w:rPr>
        <w:t xml:space="preserve"> </w:t>
      </w:r>
    </w:p>
    <w:p w14:paraId="2D15B5D1"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proofErr w:type="spellStart"/>
      <w:r w:rsidRPr="00E677D9">
        <w:rPr>
          <w:color w:val="0D0D0D"/>
          <w:sz w:val="24"/>
          <w:szCs w:val="24"/>
          <w:highlight w:val="white"/>
        </w:rPr>
        <w:t>Tschider</w:t>
      </w:r>
      <w:proofErr w:type="spellEnd"/>
      <w:r w:rsidRPr="00E677D9">
        <w:rPr>
          <w:color w:val="0D0D0D"/>
          <w:sz w:val="24"/>
          <w:szCs w:val="24"/>
          <w:highlight w:val="white"/>
        </w:rPr>
        <w:t xml:space="preserve">, C., </w:t>
      </w:r>
      <w:proofErr w:type="spellStart"/>
      <w:r w:rsidRPr="00E677D9">
        <w:rPr>
          <w:color w:val="0D0D0D"/>
          <w:sz w:val="24"/>
          <w:szCs w:val="24"/>
          <w:highlight w:val="white"/>
        </w:rPr>
        <w:t>Compagnucci</w:t>
      </w:r>
      <w:proofErr w:type="spellEnd"/>
      <w:r w:rsidRPr="00E677D9">
        <w:rPr>
          <w:color w:val="0D0D0D"/>
          <w:sz w:val="24"/>
          <w:szCs w:val="24"/>
          <w:highlight w:val="white"/>
        </w:rPr>
        <w:t xml:space="preserve">, M. C., &amp; </w:t>
      </w:r>
      <w:proofErr w:type="spellStart"/>
      <w:r w:rsidRPr="00E677D9">
        <w:rPr>
          <w:color w:val="0D0D0D"/>
          <w:sz w:val="24"/>
          <w:szCs w:val="24"/>
          <w:highlight w:val="white"/>
        </w:rPr>
        <w:t>Minssen</w:t>
      </w:r>
      <w:proofErr w:type="spellEnd"/>
      <w:r w:rsidRPr="00E677D9">
        <w:rPr>
          <w:color w:val="0D0D0D"/>
          <w:sz w:val="24"/>
          <w:szCs w:val="24"/>
          <w:highlight w:val="white"/>
        </w:rPr>
        <w:t xml:space="preserve">, T. (2024). The new EU–US data protection framework’s implications for healthcare. </w:t>
      </w:r>
      <w:r w:rsidRPr="00E677D9">
        <w:rPr>
          <w:i/>
          <w:color w:val="0D0D0D"/>
          <w:sz w:val="24"/>
          <w:szCs w:val="24"/>
          <w:highlight w:val="white"/>
        </w:rPr>
        <w:t>Journal of Law and the Biosciences</w:t>
      </w:r>
      <w:r w:rsidRPr="00E677D9">
        <w:rPr>
          <w:color w:val="0D0D0D"/>
          <w:sz w:val="24"/>
          <w:szCs w:val="24"/>
          <w:highlight w:val="white"/>
        </w:rPr>
        <w:t xml:space="preserve">, </w:t>
      </w:r>
      <w:r w:rsidRPr="00E677D9">
        <w:rPr>
          <w:i/>
          <w:color w:val="0D0D0D"/>
          <w:sz w:val="24"/>
          <w:szCs w:val="24"/>
          <w:highlight w:val="white"/>
        </w:rPr>
        <w:t>11</w:t>
      </w:r>
      <w:r w:rsidRPr="00E677D9">
        <w:rPr>
          <w:color w:val="0D0D0D"/>
          <w:sz w:val="24"/>
          <w:szCs w:val="24"/>
          <w:highlight w:val="white"/>
        </w:rPr>
        <w:t xml:space="preserve">(2). </w:t>
      </w:r>
      <w:hyperlink r:id="rId97">
        <w:r w:rsidRPr="00E677D9">
          <w:rPr>
            <w:color w:val="1155CC"/>
            <w:sz w:val="24"/>
            <w:szCs w:val="24"/>
            <w:highlight w:val="white"/>
            <w:u w:val="single"/>
          </w:rPr>
          <w:t>https://doi.org/10.1093/jlb/lsae022</w:t>
        </w:r>
      </w:hyperlink>
      <w:r w:rsidRPr="00E677D9">
        <w:rPr>
          <w:color w:val="0D0D0D"/>
          <w:sz w:val="24"/>
          <w:szCs w:val="24"/>
          <w:highlight w:val="white"/>
        </w:rPr>
        <w:t xml:space="preserve"> </w:t>
      </w:r>
    </w:p>
    <w:p w14:paraId="34ECDFA7" w14:textId="77777777" w:rsidR="00557214" w:rsidRPr="00261B7A"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lang w:val="es-ES"/>
        </w:rPr>
      </w:pPr>
      <w:proofErr w:type="spellStart"/>
      <w:r w:rsidRPr="00E677D9">
        <w:rPr>
          <w:color w:val="0D0D0D"/>
          <w:sz w:val="24"/>
          <w:szCs w:val="24"/>
          <w:highlight w:val="white"/>
        </w:rPr>
        <w:t>Turukmane</w:t>
      </w:r>
      <w:proofErr w:type="spellEnd"/>
      <w:r w:rsidRPr="00E677D9">
        <w:rPr>
          <w:color w:val="0D0D0D"/>
          <w:sz w:val="24"/>
          <w:szCs w:val="24"/>
          <w:highlight w:val="white"/>
        </w:rPr>
        <w:t xml:space="preserve">, A. V., </w:t>
      </w:r>
      <w:proofErr w:type="spellStart"/>
      <w:r w:rsidRPr="00E677D9">
        <w:rPr>
          <w:color w:val="0D0D0D"/>
          <w:sz w:val="24"/>
          <w:szCs w:val="24"/>
          <w:highlight w:val="white"/>
        </w:rPr>
        <w:t>Khekare</w:t>
      </w:r>
      <w:proofErr w:type="spellEnd"/>
      <w:r w:rsidRPr="00E677D9">
        <w:rPr>
          <w:color w:val="0D0D0D"/>
          <w:sz w:val="24"/>
          <w:szCs w:val="24"/>
          <w:highlight w:val="white"/>
        </w:rPr>
        <w:t xml:space="preserve">, G., Shelke, N., </w:t>
      </w:r>
      <w:proofErr w:type="spellStart"/>
      <w:r w:rsidRPr="00E677D9">
        <w:rPr>
          <w:color w:val="0D0D0D"/>
          <w:sz w:val="24"/>
          <w:szCs w:val="24"/>
          <w:highlight w:val="white"/>
        </w:rPr>
        <w:t>Sakarkar</w:t>
      </w:r>
      <w:proofErr w:type="spellEnd"/>
      <w:r w:rsidRPr="00E677D9">
        <w:rPr>
          <w:color w:val="0D0D0D"/>
          <w:sz w:val="24"/>
          <w:szCs w:val="24"/>
          <w:highlight w:val="white"/>
        </w:rPr>
        <w:t xml:space="preserve">, G., &amp; </w:t>
      </w:r>
      <w:proofErr w:type="spellStart"/>
      <w:r w:rsidRPr="00E677D9">
        <w:rPr>
          <w:color w:val="0D0D0D"/>
          <w:sz w:val="24"/>
          <w:szCs w:val="24"/>
          <w:highlight w:val="white"/>
        </w:rPr>
        <w:t>Buchade</w:t>
      </w:r>
      <w:proofErr w:type="spellEnd"/>
      <w:r w:rsidRPr="00E677D9">
        <w:rPr>
          <w:color w:val="0D0D0D"/>
          <w:sz w:val="24"/>
          <w:szCs w:val="24"/>
          <w:highlight w:val="white"/>
        </w:rPr>
        <w:t xml:space="preserve">, S. (2024). Evasion Techniques in Cybersecurity: An In-Depth Analysis. </w:t>
      </w:r>
      <w:r w:rsidRPr="00E677D9">
        <w:rPr>
          <w:i/>
          <w:color w:val="0D0D0D"/>
          <w:sz w:val="24"/>
          <w:szCs w:val="24"/>
          <w:highlight w:val="white"/>
        </w:rPr>
        <w:t>2024 International Conference on Artificial Intelligence and Quantum Computation-Based Sensor Application (ICAIQSA)</w:t>
      </w:r>
      <w:r w:rsidRPr="00E677D9">
        <w:rPr>
          <w:color w:val="0D0D0D"/>
          <w:sz w:val="24"/>
          <w:szCs w:val="24"/>
          <w:highlight w:val="white"/>
        </w:rPr>
        <w:t xml:space="preserve">, 1–9. </w:t>
      </w:r>
      <w:hyperlink r:id="rId98">
        <w:r w:rsidRPr="00261B7A">
          <w:rPr>
            <w:color w:val="1155CC"/>
            <w:sz w:val="24"/>
            <w:szCs w:val="24"/>
            <w:highlight w:val="white"/>
            <w:u w:val="single"/>
            <w:lang w:val="es-ES"/>
          </w:rPr>
          <w:t>https://doi.org/10.1109/icaiqsa64000.2024.10882284</w:t>
        </w:r>
      </w:hyperlink>
      <w:r w:rsidRPr="00261B7A">
        <w:rPr>
          <w:color w:val="0D0D0D"/>
          <w:sz w:val="24"/>
          <w:szCs w:val="24"/>
          <w:highlight w:val="white"/>
          <w:lang w:val="es-ES"/>
        </w:rPr>
        <w:t xml:space="preserve"> </w:t>
      </w:r>
    </w:p>
    <w:p w14:paraId="7E4CE381"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261B7A">
        <w:rPr>
          <w:color w:val="0D0D0D"/>
          <w:sz w:val="24"/>
          <w:szCs w:val="24"/>
          <w:highlight w:val="white"/>
          <w:lang w:val="es-ES"/>
        </w:rPr>
        <w:t xml:space="preserve">Val, O. O., </w:t>
      </w:r>
      <w:proofErr w:type="spellStart"/>
      <w:r w:rsidRPr="00261B7A">
        <w:rPr>
          <w:color w:val="0D0D0D"/>
          <w:sz w:val="24"/>
          <w:szCs w:val="24"/>
          <w:highlight w:val="white"/>
          <w:lang w:val="es-ES"/>
        </w:rPr>
        <w:t>Kolade</w:t>
      </w:r>
      <w:proofErr w:type="spellEnd"/>
      <w:r w:rsidRPr="00261B7A">
        <w:rPr>
          <w:color w:val="0D0D0D"/>
          <w:sz w:val="24"/>
          <w:szCs w:val="24"/>
          <w:highlight w:val="white"/>
          <w:lang w:val="es-ES"/>
        </w:rPr>
        <w:t xml:space="preserve">, T. M., </w:t>
      </w:r>
      <w:proofErr w:type="spellStart"/>
      <w:r w:rsidRPr="00261B7A">
        <w:rPr>
          <w:color w:val="0D0D0D"/>
          <w:sz w:val="24"/>
          <w:szCs w:val="24"/>
          <w:highlight w:val="white"/>
          <w:lang w:val="es-ES"/>
        </w:rPr>
        <w:t>Gbadebo</w:t>
      </w:r>
      <w:proofErr w:type="spellEnd"/>
      <w:r w:rsidRPr="00261B7A">
        <w:rPr>
          <w:color w:val="0D0D0D"/>
          <w:sz w:val="24"/>
          <w:szCs w:val="24"/>
          <w:highlight w:val="white"/>
          <w:lang w:val="es-ES"/>
        </w:rPr>
        <w:t xml:space="preserve">, M. O., </w:t>
      </w:r>
      <w:proofErr w:type="spellStart"/>
      <w:r w:rsidRPr="00261B7A">
        <w:rPr>
          <w:color w:val="0D0D0D"/>
          <w:sz w:val="24"/>
          <w:szCs w:val="24"/>
          <w:highlight w:val="white"/>
          <w:lang w:val="es-ES"/>
        </w:rPr>
        <w:t>Selesi</w:t>
      </w:r>
      <w:proofErr w:type="spellEnd"/>
      <w:r w:rsidRPr="00261B7A">
        <w:rPr>
          <w:color w:val="0D0D0D"/>
          <w:sz w:val="24"/>
          <w:szCs w:val="24"/>
          <w:highlight w:val="white"/>
          <w:lang w:val="es-ES"/>
        </w:rPr>
        <w:t xml:space="preserve">-Aina, O., Olateju, O. O., &amp; Olaniyi, O. O. (2024). </w:t>
      </w:r>
      <w:r w:rsidRPr="00E677D9">
        <w:rPr>
          <w:color w:val="0D0D0D"/>
          <w:sz w:val="24"/>
          <w:szCs w:val="24"/>
          <w:highlight w:val="white"/>
        </w:rPr>
        <w:t xml:space="preserve">Strengthening Cybersecurity Measures for the </w:t>
      </w:r>
      <w:proofErr w:type="spellStart"/>
      <w:r w:rsidRPr="00E677D9">
        <w:rPr>
          <w:color w:val="0D0D0D"/>
          <w:sz w:val="24"/>
          <w:szCs w:val="24"/>
          <w:highlight w:val="white"/>
        </w:rPr>
        <w:t>Defense</w:t>
      </w:r>
      <w:proofErr w:type="spellEnd"/>
      <w:r w:rsidRPr="00E677D9">
        <w:rPr>
          <w:color w:val="0D0D0D"/>
          <w:sz w:val="24"/>
          <w:szCs w:val="24"/>
          <w:highlight w:val="white"/>
        </w:rPr>
        <w:t xml:space="preserve"> of Critical Infrastructure in the United States. </w:t>
      </w:r>
      <w:r w:rsidRPr="00E677D9">
        <w:rPr>
          <w:i/>
          <w:color w:val="0D0D0D"/>
          <w:sz w:val="24"/>
          <w:szCs w:val="24"/>
          <w:highlight w:val="white"/>
        </w:rPr>
        <w:t>Asian Journal of Research in Computer Science</w:t>
      </w:r>
      <w:r w:rsidRPr="00E677D9">
        <w:rPr>
          <w:color w:val="0D0D0D"/>
          <w:sz w:val="24"/>
          <w:szCs w:val="24"/>
          <w:highlight w:val="white"/>
        </w:rPr>
        <w:t xml:space="preserve">, </w:t>
      </w:r>
      <w:r w:rsidRPr="00E677D9">
        <w:rPr>
          <w:i/>
          <w:color w:val="0D0D0D"/>
          <w:sz w:val="24"/>
          <w:szCs w:val="24"/>
          <w:highlight w:val="white"/>
        </w:rPr>
        <w:t>17</w:t>
      </w:r>
      <w:r w:rsidRPr="00E677D9">
        <w:rPr>
          <w:color w:val="0D0D0D"/>
          <w:sz w:val="24"/>
          <w:szCs w:val="24"/>
          <w:highlight w:val="white"/>
        </w:rPr>
        <w:t xml:space="preserve">(11), 25–45. </w:t>
      </w:r>
      <w:hyperlink r:id="rId99">
        <w:r w:rsidRPr="00E677D9">
          <w:rPr>
            <w:color w:val="1155CC"/>
            <w:sz w:val="24"/>
            <w:szCs w:val="24"/>
            <w:highlight w:val="white"/>
            <w:u w:val="single"/>
          </w:rPr>
          <w:t>https://doi.org/10.9734/ajrcos/2024/v17i11517</w:t>
        </w:r>
      </w:hyperlink>
      <w:r w:rsidRPr="00E677D9">
        <w:rPr>
          <w:color w:val="0D0D0D"/>
          <w:sz w:val="24"/>
          <w:szCs w:val="24"/>
          <w:highlight w:val="white"/>
        </w:rPr>
        <w:t xml:space="preserve"> </w:t>
      </w:r>
    </w:p>
    <w:p w14:paraId="66C0C3E5"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E677D9">
        <w:rPr>
          <w:color w:val="0D0D0D"/>
          <w:sz w:val="24"/>
          <w:szCs w:val="24"/>
          <w:highlight w:val="white"/>
        </w:rPr>
        <w:t xml:space="preserve">van Boven, L. S., Kusters, R. W. J., Tin, D., </w:t>
      </w:r>
      <w:proofErr w:type="spellStart"/>
      <w:r w:rsidRPr="00E677D9">
        <w:rPr>
          <w:color w:val="0D0D0D"/>
          <w:sz w:val="24"/>
          <w:szCs w:val="24"/>
          <w:highlight w:val="white"/>
        </w:rPr>
        <w:t>Osch</w:t>
      </w:r>
      <w:proofErr w:type="spellEnd"/>
      <w:r w:rsidRPr="00E677D9">
        <w:rPr>
          <w:color w:val="0D0D0D"/>
          <w:sz w:val="24"/>
          <w:szCs w:val="24"/>
          <w:highlight w:val="white"/>
        </w:rPr>
        <w:t xml:space="preserve">, van, De </w:t>
      </w:r>
      <w:proofErr w:type="spellStart"/>
      <w:r w:rsidRPr="00E677D9">
        <w:rPr>
          <w:color w:val="0D0D0D"/>
          <w:sz w:val="24"/>
          <w:szCs w:val="24"/>
          <w:highlight w:val="white"/>
        </w:rPr>
        <w:t>Cauwer</w:t>
      </w:r>
      <w:proofErr w:type="spellEnd"/>
      <w:r w:rsidRPr="00E677D9">
        <w:rPr>
          <w:color w:val="0D0D0D"/>
          <w:sz w:val="24"/>
          <w:szCs w:val="24"/>
          <w:highlight w:val="white"/>
        </w:rPr>
        <w:t xml:space="preserve">, H., </w:t>
      </w:r>
      <w:proofErr w:type="spellStart"/>
      <w:r w:rsidRPr="00E677D9">
        <w:rPr>
          <w:color w:val="0D0D0D"/>
          <w:sz w:val="24"/>
          <w:szCs w:val="24"/>
          <w:highlight w:val="white"/>
        </w:rPr>
        <w:t>Ketelings</w:t>
      </w:r>
      <w:proofErr w:type="spellEnd"/>
      <w:r w:rsidRPr="00E677D9">
        <w:rPr>
          <w:color w:val="0D0D0D"/>
          <w:sz w:val="24"/>
          <w:szCs w:val="24"/>
          <w:highlight w:val="white"/>
        </w:rPr>
        <w:t xml:space="preserve">, L., Rao, M., </w:t>
      </w:r>
      <w:proofErr w:type="spellStart"/>
      <w:r w:rsidRPr="00E677D9">
        <w:rPr>
          <w:color w:val="0D0D0D"/>
          <w:sz w:val="24"/>
          <w:szCs w:val="24"/>
          <w:highlight w:val="white"/>
        </w:rPr>
        <w:t>Dameff</w:t>
      </w:r>
      <w:proofErr w:type="spellEnd"/>
      <w:r w:rsidRPr="00E677D9">
        <w:rPr>
          <w:color w:val="0D0D0D"/>
          <w:sz w:val="24"/>
          <w:szCs w:val="24"/>
          <w:highlight w:val="white"/>
        </w:rPr>
        <w:t xml:space="preserve">, C., &amp; Barten, D. G. (2023). Hacking Acute Care: A Qualitative Study on the Health Care Impacts of Ransomware Attacks Against Hospitals. </w:t>
      </w:r>
      <w:r w:rsidRPr="00E677D9">
        <w:rPr>
          <w:i/>
          <w:color w:val="0D0D0D"/>
          <w:sz w:val="24"/>
          <w:szCs w:val="24"/>
          <w:highlight w:val="white"/>
        </w:rPr>
        <w:t>Annals of Emergency Medicine</w:t>
      </w:r>
      <w:r w:rsidRPr="00E677D9">
        <w:rPr>
          <w:color w:val="0D0D0D"/>
          <w:sz w:val="24"/>
          <w:szCs w:val="24"/>
          <w:highlight w:val="white"/>
        </w:rPr>
        <w:t xml:space="preserve">, </w:t>
      </w:r>
      <w:r w:rsidRPr="00E677D9">
        <w:rPr>
          <w:i/>
          <w:color w:val="0D0D0D"/>
          <w:sz w:val="24"/>
          <w:szCs w:val="24"/>
          <w:highlight w:val="white"/>
        </w:rPr>
        <w:t>83</w:t>
      </w:r>
      <w:r w:rsidRPr="00E677D9">
        <w:rPr>
          <w:color w:val="0D0D0D"/>
          <w:sz w:val="24"/>
          <w:szCs w:val="24"/>
          <w:highlight w:val="white"/>
        </w:rPr>
        <w:t xml:space="preserve">(1). </w:t>
      </w:r>
      <w:hyperlink r:id="rId100">
        <w:r w:rsidRPr="00E677D9">
          <w:rPr>
            <w:color w:val="1155CC"/>
            <w:sz w:val="24"/>
            <w:szCs w:val="24"/>
            <w:highlight w:val="white"/>
            <w:u w:val="single"/>
          </w:rPr>
          <w:t>https://doi.org/10.1016/j.annemergmed.2023.04.025</w:t>
        </w:r>
      </w:hyperlink>
      <w:r w:rsidRPr="00E677D9">
        <w:rPr>
          <w:color w:val="0D0D0D"/>
          <w:sz w:val="24"/>
          <w:szCs w:val="24"/>
          <w:highlight w:val="white"/>
        </w:rPr>
        <w:t xml:space="preserve"> </w:t>
      </w:r>
    </w:p>
    <w:p w14:paraId="0C282819"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proofErr w:type="spellStart"/>
      <w:proofErr w:type="gramStart"/>
      <w:r w:rsidRPr="00E677D9">
        <w:rPr>
          <w:color w:val="0D0D0D"/>
          <w:sz w:val="24"/>
          <w:szCs w:val="24"/>
          <w:highlight w:val="white"/>
        </w:rPr>
        <w:lastRenderedPageBreak/>
        <w:t>Vericon</w:t>
      </w:r>
      <w:proofErr w:type="spellEnd"/>
      <w:r w:rsidRPr="00E677D9">
        <w:rPr>
          <w:color w:val="0D0D0D"/>
          <w:sz w:val="24"/>
          <w:szCs w:val="24"/>
          <w:highlight w:val="white"/>
        </w:rPr>
        <w:t xml:space="preserve"> .</w:t>
      </w:r>
      <w:proofErr w:type="gramEnd"/>
      <w:r w:rsidRPr="00E677D9">
        <w:rPr>
          <w:color w:val="0D0D0D"/>
          <w:sz w:val="24"/>
          <w:szCs w:val="24"/>
          <w:highlight w:val="white"/>
        </w:rPr>
        <w:t xml:space="preserve"> (2024). </w:t>
      </w:r>
      <w:r w:rsidRPr="00E677D9">
        <w:rPr>
          <w:i/>
          <w:color w:val="0D0D0D"/>
          <w:sz w:val="24"/>
          <w:szCs w:val="24"/>
          <w:highlight w:val="white"/>
        </w:rPr>
        <w:t>2024 Data Breach Investigations Report</w:t>
      </w:r>
      <w:r w:rsidRPr="00E677D9">
        <w:rPr>
          <w:color w:val="0D0D0D"/>
          <w:sz w:val="24"/>
          <w:szCs w:val="24"/>
          <w:highlight w:val="white"/>
        </w:rPr>
        <w:t xml:space="preserve">. </w:t>
      </w:r>
      <w:hyperlink r:id="rId101">
        <w:r w:rsidRPr="00E677D9">
          <w:rPr>
            <w:color w:val="1155CC"/>
            <w:sz w:val="24"/>
            <w:szCs w:val="24"/>
            <w:highlight w:val="white"/>
            <w:u w:val="single"/>
          </w:rPr>
          <w:t>https://www.verizon.com/business/resources/Te3/reports/2024-dbir-data-breach-investigations-report.pdf?msockid=2e7b7a8ff19a6b6922d36e50f02e6a07</w:t>
        </w:r>
      </w:hyperlink>
      <w:r w:rsidRPr="00E677D9">
        <w:rPr>
          <w:color w:val="0D0D0D"/>
          <w:sz w:val="24"/>
          <w:szCs w:val="24"/>
          <w:highlight w:val="white"/>
        </w:rPr>
        <w:t xml:space="preserve"> </w:t>
      </w:r>
    </w:p>
    <w:p w14:paraId="7B96FCE1"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E677D9">
        <w:rPr>
          <w:color w:val="0D0D0D"/>
          <w:sz w:val="24"/>
          <w:szCs w:val="24"/>
          <w:highlight w:val="white"/>
        </w:rPr>
        <w:t xml:space="preserve">Wang, Z., Zhu, H., &amp; Sun, L. (2021). Social Engineering in Cybersecurity: Effect Mechanisms, Human Vulnerabilities and Attack Methods. </w:t>
      </w:r>
      <w:r w:rsidRPr="00E677D9">
        <w:rPr>
          <w:i/>
          <w:color w:val="0D0D0D"/>
          <w:sz w:val="24"/>
          <w:szCs w:val="24"/>
          <w:highlight w:val="white"/>
        </w:rPr>
        <w:t>IEEE Access</w:t>
      </w:r>
      <w:r w:rsidRPr="00E677D9">
        <w:rPr>
          <w:color w:val="0D0D0D"/>
          <w:sz w:val="24"/>
          <w:szCs w:val="24"/>
          <w:highlight w:val="white"/>
        </w:rPr>
        <w:t xml:space="preserve">, </w:t>
      </w:r>
      <w:r w:rsidRPr="00E677D9">
        <w:rPr>
          <w:i/>
          <w:color w:val="0D0D0D"/>
          <w:sz w:val="24"/>
          <w:szCs w:val="24"/>
          <w:highlight w:val="white"/>
        </w:rPr>
        <w:t>9</w:t>
      </w:r>
      <w:r w:rsidRPr="00E677D9">
        <w:rPr>
          <w:color w:val="0D0D0D"/>
          <w:sz w:val="24"/>
          <w:szCs w:val="24"/>
          <w:highlight w:val="white"/>
        </w:rPr>
        <w:t xml:space="preserve">(2169-3536), 11895–11910. </w:t>
      </w:r>
      <w:hyperlink r:id="rId102">
        <w:r w:rsidRPr="00E677D9">
          <w:rPr>
            <w:color w:val="1155CC"/>
            <w:sz w:val="24"/>
            <w:szCs w:val="24"/>
            <w:highlight w:val="white"/>
            <w:u w:val="single"/>
          </w:rPr>
          <w:t>https://doi.org/10.1109/access.2021.3051633</w:t>
        </w:r>
      </w:hyperlink>
      <w:r w:rsidRPr="00E677D9">
        <w:rPr>
          <w:color w:val="0D0D0D"/>
          <w:sz w:val="24"/>
          <w:szCs w:val="24"/>
          <w:highlight w:val="white"/>
        </w:rPr>
        <w:t xml:space="preserve"> </w:t>
      </w:r>
    </w:p>
    <w:p w14:paraId="6A702D9C"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E677D9">
        <w:rPr>
          <w:color w:val="0D0D0D"/>
          <w:sz w:val="24"/>
          <w:szCs w:val="24"/>
          <w:highlight w:val="white"/>
        </w:rPr>
        <w:t xml:space="preserve">Wickramasinghe, A. (2023). An Evaluation of Big Data-Driven Artificial Intelligence Algorithms for Automated Cybersecurity Risk Assessment and Mitigation. </w:t>
      </w:r>
      <w:r w:rsidRPr="00E677D9">
        <w:rPr>
          <w:i/>
          <w:color w:val="0D0D0D"/>
          <w:sz w:val="24"/>
          <w:szCs w:val="24"/>
          <w:highlight w:val="white"/>
        </w:rPr>
        <w:t>International Journal of Cybersecurity Risk Management, Forensics, and Compliance</w:t>
      </w:r>
      <w:r w:rsidRPr="00E677D9">
        <w:rPr>
          <w:color w:val="0D0D0D"/>
          <w:sz w:val="24"/>
          <w:szCs w:val="24"/>
          <w:highlight w:val="white"/>
        </w:rPr>
        <w:t xml:space="preserve">, </w:t>
      </w:r>
      <w:r w:rsidRPr="00E677D9">
        <w:rPr>
          <w:i/>
          <w:color w:val="0D0D0D"/>
          <w:sz w:val="24"/>
          <w:szCs w:val="24"/>
          <w:highlight w:val="white"/>
        </w:rPr>
        <w:t>7</w:t>
      </w:r>
      <w:r w:rsidRPr="00E677D9">
        <w:rPr>
          <w:color w:val="0D0D0D"/>
          <w:sz w:val="24"/>
          <w:szCs w:val="24"/>
          <w:highlight w:val="white"/>
        </w:rPr>
        <w:t xml:space="preserve">(12), 1–15. </w:t>
      </w:r>
      <w:hyperlink r:id="rId103">
        <w:r w:rsidRPr="00E677D9">
          <w:rPr>
            <w:color w:val="1155CC"/>
            <w:sz w:val="24"/>
            <w:szCs w:val="24"/>
            <w:highlight w:val="white"/>
            <w:u w:val="single"/>
          </w:rPr>
          <w:t>http://hashsci.com/index.php/IJCRFC/article/view/2023-12-04</w:t>
        </w:r>
      </w:hyperlink>
      <w:r w:rsidRPr="00E677D9">
        <w:rPr>
          <w:color w:val="0D0D0D"/>
          <w:sz w:val="24"/>
          <w:szCs w:val="24"/>
          <w:highlight w:val="white"/>
        </w:rPr>
        <w:t xml:space="preserve"> </w:t>
      </w:r>
    </w:p>
    <w:p w14:paraId="6C92ACD6" w14:textId="77777777" w:rsidR="00557214" w:rsidRPr="00E677D9" w:rsidRDefault="00B62E06" w:rsidP="00A818A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ind w:left="720" w:hanging="720"/>
        <w:jc w:val="both"/>
        <w:rPr>
          <w:color w:val="0D0D0D"/>
          <w:sz w:val="24"/>
          <w:szCs w:val="24"/>
          <w:highlight w:val="white"/>
        </w:rPr>
      </w:pPr>
      <w:r w:rsidRPr="00E677D9">
        <w:rPr>
          <w:color w:val="0D0D0D"/>
          <w:sz w:val="24"/>
          <w:szCs w:val="24"/>
          <w:highlight w:val="white"/>
        </w:rPr>
        <w:t xml:space="preserve">Zhang, L., &amp; Thing, V. L. L. (2021). Three Decades of Deception Techniques in Active Cyber </w:t>
      </w:r>
      <w:proofErr w:type="spellStart"/>
      <w:r w:rsidRPr="00E677D9">
        <w:rPr>
          <w:color w:val="0D0D0D"/>
          <w:sz w:val="24"/>
          <w:szCs w:val="24"/>
          <w:highlight w:val="white"/>
        </w:rPr>
        <w:t>Defense</w:t>
      </w:r>
      <w:proofErr w:type="spellEnd"/>
      <w:r w:rsidRPr="00E677D9">
        <w:rPr>
          <w:color w:val="0D0D0D"/>
          <w:sz w:val="24"/>
          <w:szCs w:val="24"/>
          <w:highlight w:val="white"/>
        </w:rPr>
        <w:t xml:space="preserve"> - Retrospect and Outlook. </w:t>
      </w:r>
      <w:r w:rsidRPr="00E677D9">
        <w:rPr>
          <w:i/>
          <w:color w:val="0D0D0D"/>
          <w:sz w:val="24"/>
          <w:szCs w:val="24"/>
          <w:highlight w:val="white"/>
        </w:rPr>
        <w:t>Computers &amp; Security</w:t>
      </w:r>
      <w:r w:rsidRPr="00E677D9">
        <w:rPr>
          <w:color w:val="0D0D0D"/>
          <w:sz w:val="24"/>
          <w:szCs w:val="24"/>
          <w:highlight w:val="white"/>
        </w:rPr>
        <w:t xml:space="preserve">, </w:t>
      </w:r>
      <w:r w:rsidRPr="00E677D9">
        <w:rPr>
          <w:i/>
          <w:color w:val="0D0D0D"/>
          <w:sz w:val="24"/>
          <w:szCs w:val="24"/>
          <w:highlight w:val="white"/>
        </w:rPr>
        <w:t>106</w:t>
      </w:r>
      <w:r w:rsidRPr="00E677D9">
        <w:rPr>
          <w:color w:val="0D0D0D"/>
          <w:sz w:val="24"/>
          <w:szCs w:val="24"/>
          <w:highlight w:val="white"/>
        </w:rPr>
        <w:t xml:space="preserve">, 102288. </w:t>
      </w:r>
      <w:hyperlink r:id="rId104">
        <w:r w:rsidRPr="00E677D9">
          <w:rPr>
            <w:color w:val="1155CC"/>
            <w:sz w:val="24"/>
            <w:szCs w:val="24"/>
            <w:highlight w:val="white"/>
            <w:u w:val="single"/>
          </w:rPr>
          <w:t>https://doi.org/10.1016/j.cose.2021.102288</w:t>
        </w:r>
      </w:hyperlink>
      <w:r w:rsidRPr="00E677D9">
        <w:rPr>
          <w:color w:val="0D0D0D"/>
          <w:sz w:val="24"/>
          <w:szCs w:val="24"/>
          <w:highlight w:val="white"/>
        </w:rPr>
        <w:t xml:space="preserve"> </w:t>
      </w:r>
    </w:p>
    <w:p w14:paraId="51FD6E8C" w14:textId="77777777" w:rsidR="00557214" w:rsidRPr="00E677D9" w:rsidRDefault="00557214" w:rsidP="00E677D9">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240" w:lineRule="auto"/>
        <w:jc w:val="both"/>
        <w:rPr>
          <w:color w:val="0D0D0D"/>
          <w:sz w:val="24"/>
          <w:szCs w:val="24"/>
          <w:highlight w:val="white"/>
        </w:rPr>
      </w:pPr>
    </w:p>
    <w:p w14:paraId="0286E4C7" w14:textId="77777777" w:rsidR="00557214" w:rsidRPr="00E677D9" w:rsidRDefault="00557214" w:rsidP="00E677D9">
      <w:pPr>
        <w:spacing w:after="240" w:line="240" w:lineRule="auto"/>
        <w:rPr>
          <w:sz w:val="24"/>
          <w:szCs w:val="24"/>
        </w:rPr>
      </w:pPr>
    </w:p>
    <w:p w14:paraId="0C0359B3" w14:textId="77777777" w:rsidR="00557214" w:rsidRPr="00E677D9" w:rsidRDefault="00557214" w:rsidP="00E677D9">
      <w:pPr>
        <w:spacing w:after="240" w:line="240" w:lineRule="auto"/>
        <w:rPr>
          <w:sz w:val="24"/>
          <w:szCs w:val="24"/>
        </w:rPr>
      </w:pPr>
    </w:p>
    <w:p w14:paraId="7794CC5E" w14:textId="77777777" w:rsidR="00557214" w:rsidRPr="00E677D9" w:rsidRDefault="00557214" w:rsidP="00E677D9">
      <w:pPr>
        <w:spacing w:after="240" w:line="240" w:lineRule="auto"/>
        <w:rPr>
          <w:sz w:val="24"/>
          <w:szCs w:val="24"/>
        </w:rPr>
      </w:pPr>
    </w:p>
    <w:p w14:paraId="227126A8" w14:textId="77777777" w:rsidR="00557214" w:rsidRPr="00E677D9" w:rsidRDefault="00557214" w:rsidP="00E677D9">
      <w:pPr>
        <w:spacing w:after="240" w:line="240" w:lineRule="auto"/>
        <w:rPr>
          <w:sz w:val="24"/>
          <w:szCs w:val="24"/>
        </w:rPr>
      </w:pPr>
    </w:p>
    <w:p w14:paraId="69E4B09A" w14:textId="77777777" w:rsidR="00557214" w:rsidRPr="00E677D9" w:rsidRDefault="00557214" w:rsidP="00E677D9">
      <w:pPr>
        <w:spacing w:after="240" w:line="240" w:lineRule="auto"/>
        <w:rPr>
          <w:sz w:val="24"/>
          <w:szCs w:val="24"/>
        </w:rPr>
      </w:pPr>
    </w:p>
    <w:p w14:paraId="0557FF48" w14:textId="77777777" w:rsidR="00557214" w:rsidRPr="00E677D9" w:rsidRDefault="00557214" w:rsidP="00E677D9">
      <w:pPr>
        <w:spacing w:after="240" w:line="240" w:lineRule="auto"/>
        <w:rPr>
          <w:sz w:val="24"/>
          <w:szCs w:val="24"/>
        </w:rPr>
      </w:pPr>
    </w:p>
    <w:p w14:paraId="1BE91FE3" w14:textId="77777777" w:rsidR="00557214" w:rsidRPr="00E677D9" w:rsidRDefault="00557214" w:rsidP="00E677D9">
      <w:pPr>
        <w:spacing w:after="240" w:line="240" w:lineRule="auto"/>
        <w:rPr>
          <w:sz w:val="24"/>
          <w:szCs w:val="24"/>
        </w:rPr>
      </w:pPr>
    </w:p>
    <w:sectPr w:rsidR="00557214" w:rsidRPr="00E677D9">
      <w:headerReference w:type="even" r:id="rId105"/>
      <w:headerReference w:type="default" r:id="rId106"/>
      <w:footerReference w:type="even" r:id="rId107"/>
      <w:footerReference w:type="default" r:id="rId108"/>
      <w:headerReference w:type="first" r:id="rId109"/>
      <w:footerReference w:type="first" r:id="rId1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B6040" w14:textId="77777777" w:rsidR="001966C0" w:rsidRDefault="001966C0" w:rsidP="002F0BCA">
      <w:pPr>
        <w:spacing w:line="240" w:lineRule="auto"/>
      </w:pPr>
      <w:r>
        <w:separator/>
      </w:r>
    </w:p>
  </w:endnote>
  <w:endnote w:type="continuationSeparator" w:id="0">
    <w:p w14:paraId="39A6484F" w14:textId="77777777" w:rsidR="001966C0" w:rsidRDefault="001966C0" w:rsidP="002F0B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enorite">
    <w:altName w:val="Calibri"/>
    <w:charset w:val="00"/>
    <w:family w:val="auto"/>
    <w:pitch w:val="variable"/>
    <w:sig w:usb0="80000003" w:usb1="00000001"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D8E59" w14:textId="77777777" w:rsidR="002F0BCA" w:rsidRDefault="002F0B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FDC5E" w14:textId="77777777" w:rsidR="002F0BCA" w:rsidRDefault="002F0B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EE127" w14:textId="77777777" w:rsidR="002F0BCA" w:rsidRDefault="002F0B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40385" w14:textId="77777777" w:rsidR="001966C0" w:rsidRDefault="001966C0" w:rsidP="002F0BCA">
      <w:pPr>
        <w:spacing w:line="240" w:lineRule="auto"/>
      </w:pPr>
      <w:r>
        <w:separator/>
      </w:r>
    </w:p>
  </w:footnote>
  <w:footnote w:type="continuationSeparator" w:id="0">
    <w:p w14:paraId="012E0C2B" w14:textId="77777777" w:rsidR="001966C0" w:rsidRDefault="001966C0" w:rsidP="002F0B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34592" w14:textId="47E043D2" w:rsidR="002F0BCA" w:rsidRDefault="002F0BCA">
    <w:pPr>
      <w:pStyle w:val="Header"/>
    </w:pPr>
    <w:r>
      <w:rPr>
        <w:noProof/>
      </w:rPr>
      <w:pict w14:anchorId="454D77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207813"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B7D3B" w14:textId="65DFEA6D" w:rsidR="002F0BCA" w:rsidRDefault="002F0BCA">
    <w:pPr>
      <w:pStyle w:val="Header"/>
    </w:pPr>
    <w:r>
      <w:rPr>
        <w:noProof/>
      </w:rPr>
      <w:pict w14:anchorId="5CA94C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207814"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F953D" w14:textId="6DA6F5A5" w:rsidR="002F0BCA" w:rsidRDefault="002F0BCA">
    <w:pPr>
      <w:pStyle w:val="Header"/>
    </w:pPr>
    <w:r>
      <w:rPr>
        <w:noProof/>
      </w:rPr>
      <w:pict w14:anchorId="351124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207812"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A5309"/>
    <w:multiLevelType w:val="multilevel"/>
    <w:tmpl w:val="90D0F0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48907DD8"/>
    <w:multiLevelType w:val="multilevel"/>
    <w:tmpl w:val="49E899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70176A57"/>
    <w:multiLevelType w:val="multilevel"/>
    <w:tmpl w:val="D5D042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214"/>
    <w:rsid w:val="000045AB"/>
    <w:rsid w:val="00061D74"/>
    <w:rsid w:val="0006394E"/>
    <w:rsid w:val="000764C5"/>
    <w:rsid w:val="000A501F"/>
    <w:rsid w:val="001044D5"/>
    <w:rsid w:val="001966C0"/>
    <w:rsid w:val="001C15FA"/>
    <w:rsid w:val="00215F5D"/>
    <w:rsid w:val="00243449"/>
    <w:rsid w:val="00261B7A"/>
    <w:rsid w:val="00267B8B"/>
    <w:rsid w:val="00275722"/>
    <w:rsid w:val="002F0BCA"/>
    <w:rsid w:val="00382CFA"/>
    <w:rsid w:val="003E03EF"/>
    <w:rsid w:val="004200AE"/>
    <w:rsid w:val="00483EF9"/>
    <w:rsid w:val="004875CC"/>
    <w:rsid w:val="004F03F3"/>
    <w:rsid w:val="00557214"/>
    <w:rsid w:val="00582E8B"/>
    <w:rsid w:val="005E52C1"/>
    <w:rsid w:val="006154CB"/>
    <w:rsid w:val="00653AF3"/>
    <w:rsid w:val="00653EFF"/>
    <w:rsid w:val="00736125"/>
    <w:rsid w:val="00766038"/>
    <w:rsid w:val="007A177C"/>
    <w:rsid w:val="00807FCF"/>
    <w:rsid w:val="008E0840"/>
    <w:rsid w:val="00945525"/>
    <w:rsid w:val="009E5CF0"/>
    <w:rsid w:val="00A736B6"/>
    <w:rsid w:val="00A818A2"/>
    <w:rsid w:val="00B62E06"/>
    <w:rsid w:val="00BA12FB"/>
    <w:rsid w:val="00C2091F"/>
    <w:rsid w:val="00C31721"/>
    <w:rsid w:val="00D03894"/>
    <w:rsid w:val="00D8123A"/>
    <w:rsid w:val="00DF3FFC"/>
    <w:rsid w:val="00E13C35"/>
    <w:rsid w:val="00E677D9"/>
    <w:rsid w:val="00E96360"/>
    <w:rsid w:val="00EF2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EBF38CC"/>
  <w15:docId w15:val="{4F02F586-AA4B-4A32-A625-520275DBD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BA12F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501F"/>
    <w:rPr>
      <w:color w:val="808080"/>
    </w:rPr>
  </w:style>
  <w:style w:type="character" w:customStyle="1" w:styleId="mord">
    <w:name w:val="mord"/>
    <w:basedOn w:val="DefaultParagraphFont"/>
    <w:rsid w:val="000A501F"/>
  </w:style>
  <w:style w:type="character" w:customStyle="1" w:styleId="vlist-s">
    <w:name w:val="vlist-s"/>
    <w:basedOn w:val="DefaultParagraphFont"/>
    <w:rsid w:val="000A501F"/>
  </w:style>
  <w:style w:type="character" w:customStyle="1" w:styleId="mrel">
    <w:name w:val="mrel"/>
    <w:basedOn w:val="DefaultParagraphFont"/>
    <w:rsid w:val="000A501F"/>
  </w:style>
  <w:style w:type="character" w:customStyle="1" w:styleId="mop">
    <w:name w:val="mop"/>
    <w:basedOn w:val="DefaultParagraphFont"/>
    <w:rsid w:val="000A501F"/>
  </w:style>
  <w:style w:type="character" w:customStyle="1" w:styleId="mbin">
    <w:name w:val="mbin"/>
    <w:basedOn w:val="DefaultParagraphFont"/>
    <w:rsid w:val="00653EFF"/>
  </w:style>
  <w:style w:type="paragraph" w:styleId="NoSpacing">
    <w:name w:val="No Spacing"/>
    <w:uiPriority w:val="1"/>
    <w:qFormat/>
    <w:rsid w:val="00483EF9"/>
    <w:pPr>
      <w:spacing w:line="240" w:lineRule="auto"/>
    </w:pPr>
  </w:style>
  <w:style w:type="paragraph" w:styleId="ListParagraph">
    <w:name w:val="List Paragraph"/>
    <w:basedOn w:val="Normal"/>
    <w:uiPriority w:val="34"/>
    <w:qFormat/>
    <w:rsid w:val="0006394E"/>
    <w:pPr>
      <w:ind w:left="720"/>
      <w:contextualSpacing/>
    </w:pPr>
  </w:style>
  <w:style w:type="paragraph" w:styleId="Header">
    <w:name w:val="header"/>
    <w:basedOn w:val="Normal"/>
    <w:link w:val="HeaderChar"/>
    <w:uiPriority w:val="99"/>
    <w:unhideWhenUsed/>
    <w:rsid w:val="002F0BCA"/>
    <w:pPr>
      <w:tabs>
        <w:tab w:val="center" w:pos="4680"/>
        <w:tab w:val="right" w:pos="9360"/>
      </w:tabs>
      <w:spacing w:line="240" w:lineRule="auto"/>
    </w:pPr>
  </w:style>
  <w:style w:type="character" w:customStyle="1" w:styleId="HeaderChar">
    <w:name w:val="Header Char"/>
    <w:basedOn w:val="DefaultParagraphFont"/>
    <w:link w:val="Header"/>
    <w:uiPriority w:val="99"/>
    <w:rsid w:val="002F0BCA"/>
  </w:style>
  <w:style w:type="paragraph" w:styleId="Footer">
    <w:name w:val="footer"/>
    <w:basedOn w:val="Normal"/>
    <w:link w:val="FooterChar"/>
    <w:uiPriority w:val="99"/>
    <w:unhideWhenUsed/>
    <w:rsid w:val="002F0BCA"/>
    <w:pPr>
      <w:tabs>
        <w:tab w:val="center" w:pos="4680"/>
        <w:tab w:val="right" w:pos="9360"/>
      </w:tabs>
      <w:spacing w:line="240" w:lineRule="auto"/>
    </w:pPr>
  </w:style>
  <w:style w:type="character" w:customStyle="1" w:styleId="FooterChar">
    <w:name w:val="Footer Char"/>
    <w:basedOn w:val="DefaultParagraphFont"/>
    <w:link w:val="Footer"/>
    <w:uiPriority w:val="99"/>
    <w:rsid w:val="002F0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7855">
      <w:bodyDiv w:val="1"/>
      <w:marLeft w:val="0"/>
      <w:marRight w:val="0"/>
      <w:marTop w:val="0"/>
      <w:marBottom w:val="0"/>
      <w:divBdr>
        <w:top w:val="none" w:sz="0" w:space="0" w:color="auto"/>
        <w:left w:val="none" w:sz="0" w:space="0" w:color="auto"/>
        <w:bottom w:val="none" w:sz="0" w:space="0" w:color="auto"/>
        <w:right w:val="none" w:sz="0" w:space="0" w:color="auto"/>
      </w:divBdr>
    </w:div>
    <w:div w:id="182284113">
      <w:bodyDiv w:val="1"/>
      <w:marLeft w:val="0"/>
      <w:marRight w:val="0"/>
      <w:marTop w:val="0"/>
      <w:marBottom w:val="0"/>
      <w:divBdr>
        <w:top w:val="none" w:sz="0" w:space="0" w:color="auto"/>
        <w:left w:val="none" w:sz="0" w:space="0" w:color="auto"/>
        <w:bottom w:val="none" w:sz="0" w:space="0" w:color="auto"/>
        <w:right w:val="none" w:sz="0" w:space="0" w:color="auto"/>
      </w:divBdr>
    </w:div>
    <w:div w:id="1462260343">
      <w:bodyDiv w:val="1"/>
      <w:marLeft w:val="0"/>
      <w:marRight w:val="0"/>
      <w:marTop w:val="0"/>
      <w:marBottom w:val="0"/>
      <w:divBdr>
        <w:top w:val="none" w:sz="0" w:space="0" w:color="auto"/>
        <w:left w:val="none" w:sz="0" w:space="0" w:color="auto"/>
        <w:bottom w:val="none" w:sz="0" w:space="0" w:color="auto"/>
        <w:right w:val="none" w:sz="0" w:space="0" w:color="auto"/>
      </w:divBdr>
    </w:div>
    <w:div w:id="1906141850">
      <w:bodyDiv w:val="1"/>
      <w:marLeft w:val="0"/>
      <w:marRight w:val="0"/>
      <w:marTop w:val="0"/>
      <w:marBottom w:val="0"/>
      <w:divBdr>
        <w:top w:val="none" w:sz="0" w:space="0" w:color="auto"/>
        <w:left w:val="none" w:sz="0" w:space="0" w:color="auto"/>
        <w:bottom w:val="none" w:sz="0" w:space="0" w:color="auto"/>
        <w:right w:val="none" w:sz="0" w:space="0" w:color="auto"/>
      </w:divBdr>
    </w:div>
    <w:div w:id="1950771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oi.org/10.2139/ssrn.4902351" TargetMode="External"/><Relationship Id="rId21" Type="http://schemas.openxmlformats.org/officeDocument/2006/relationships/hyperlink" Target="https://doi.org/10.1109/meco62516.2024.10577956" TargetMode="External"/><Relationship Id="rId42" Type="http://schemas.openxmlformats.org/officeDocument/2006/relationships/hyperlink" Target="https://my.clevelandclinic.org/departments/pathology/depts/artificial-intelligence-data-science" TargetMode="External"/><Relationship Id="rId47" Type="http://schemas.openxmlformats.org/officeDocument/2006/relationships/hyperlink" Target="https://doi.org/10.3390/systems12050165" TargetMode="External"/><Relationship Id="rId63" Type="http://schemas.openxmlformats.org/officeDocument/2006/relationships/hyperlink" Target="https://doi.org/10.1109/access.2024.3521945" TargetMode="External"/><Relationship Id="rId68" Type="http://schemas.openxmlformats.org/officeDocument/2006/relationships/hyperlink" Target="https://doi.org/10.9734/jerr/2025/v27i21390" TargetMode="External"/><Relationship Id="rId84" Type="http://schemas.openxmlformats.org/officeDocument/2006/relationships/hyperlink" Target="https://doi.org/10.1016/j.cose.2023.103343" TargetMode="External"/><Relationship Id="rId89" Type="http://schemas.openxmlformats.org/officeDocument/2006/relationships/hyperlink" Target="https://doi.org/10.1002/spy2.295" TargetMode="External"/><Relationship Id="rId112" Type="http://schemas.openxmlformats.org/officeDocument/2006/relationships/theme" Target="theme/theme1.xml"/><Relationship Id="rId16" Type="http://schemas.openxmlformats.org/officeDocument/2006/relationships/image" Target="media/image9.png"/><Relationship Id="rId107" Type="http://schemas.openxmlformats.org/officeDocument/2006/relationships/footer" Target="footer1.xml"/><Relationship Id="rId11" Type="http://schemas.openxmlformats.org/officeDocument/2006/relationships/image" Target="media/image4.png"/><Relationship Id="rId32" Type="http://schemas.openxmlformats.org/officeDocument/2006/relationships/hyperlink" Target="https://www.securityweek.com/change-healthcare-ransomware-attack-impacts-100-million-people/" TargetMode="External"/><Relationship Id="rId37" Type="http://schemas.openxmlformats.org/officeDocument/2006/relationships/hyperlink" Target="https://doi.org/10.9734/jerr/2025/v27i21399" TargetMode="External"/><Relationship Id="rId53" Type="http://schemas.openxmlformats.org/officeDocument/2006/relationships/hyperlink" Target="https://newsroom.ibm.com/2023-07-24-IBM-Report-Half-of-Breached-Organizations-Unwilling-to-Increase-Security-Spend-Despite-Soaring-Breach-Costs" TargetMode="External"/><Relationship Id="rId58" Type="http://schemas.openxmlformats.org/officeDocument/2006/relationships/hyperlink" Target="https://hammingate.com/index.php/GRPCGPM/article/view/2023-11-07" TargetMode="External"/><Relationship Id="rId74" Type="http://schemas.openxmlformats.org/officeDocument/2006/relationships/hyperlink" Target="https://doi.org/10.9734/jerr/2025/v27i31416" TargetMode="External"/><Relationship Id="rId79" Type="http://schemas.openxmlformats.org/officeDocument/2006/relationships/hyperlink" Target="https://www.zdnet.com/article/employee-contractor-negligence-is-now-a-major-reason-for-insider-security-incidents/" TargetMode="External"/><Relationship Id="rId102" Type="http://schemas.openxmlformats.org/officeDocument/2006/relationships/hyperlink" Target="https://doi.org/10.1109/access.2021.3051633" TargetMode="External"/><Relationship Id="rId5" Type="http://schemas.openxmlformats.org/officeDocument/2006/relationships/webSettings" Target="webSettings.xml"/><Relationship Id="rId90" Type="http://schemas.openxmlformats.org/officeDocument/2006/relationships/hyperlink" Target="https://doi.org/10.1007/978-981-97-7616-0_4" TargetMode="External"/><Relationship Id="rId95" Type="http://schemas.openxmlformats.org/officeDocument/2006/relationships/hyperlink" Target="https://doi.org/10.2139/ssrn.5102358" TargetMode="External"/><Relationship Id="rId22" Type="http://schemas.openxmlformats.org/officeDocument/2006/relationships/hyperlink" Target="https://doi.org/10.1016/j.eswa.2024.125681" TargetMode="External"/><Relationship Id="rId27" Type="http://schemas.openxmlformats.org/officeDocument/2006/relationships/hyperlink" Target="https://doi.org/10.9734/ajeba/2024/v24i111542" TargetMode="External"/><Relationship Id="rId43" Type="http://schemas.openxmlformats.org/officeDocument/2006/relationships/hyperlink" Target="https://www.ibm.com/think/x-force/save-time-money-data-breach-security-ai-automation" TargetMode="External"/><Relationship Id="rId48" Type="http://schemas.openxmlformats.org/officeDocument/2006/relationships/hyperlink" Target="https://doi.org/10.1080/08839514.2022.2037254" TargetMode="External"/><Relationship Id="rId64" Type="http://schemas.openxmlformats.org/officeDocument/2006/relationships/hyperlink" Target="https://ijetrm.com/issues/files/Nov-2024-21-1732196009-NOV37.pdf" TargetMode="External"/><Relationship Id="rId69" Type="http://schemas.openxmlformats.org/officeDocument/2006/relationships/hyperlink" Target="https://doi.org/10.9734/ajrcos/2025/v18i1557" TargetMode="External"/><Relationship Id="rId80" Type="http://schemas.openxmlformats.org/officeDocument/2006/relationships/hyperlink" Target="https://doi.org/10.5281/zenodo.12827076" TargetMode="External"/><Relationship Id="rId85" Type="http://schemas.openxmlformats.org/officeDocument/2006/relationships/hyperlink" Target="https://doi.org/10.4236/jis.2024.153019" TargetMode="External"/><Relationship Id="rId12" Type="http://schemas.openxmlformats.org/officeDocument/2006/relationships/image" Target="media/image5.png"/><Relationship Id="rId17" Type="http://schemas.openxmlformats.org/officeDocument/2006/relationships/image" Target="media/image10.png"/><Relationship Id="rId33" Type="http://schemas.openxmlformats.org/officeDocument/2006/relationships/hyperlink" Target="https://doi.org/10.3390/electronics12061333" TargetMode="External"/><Relationship Id="rId38" Type="http://schemas.openxmlformats.org/officeDocument/2006/relationships/hyperlink" Target="https://doi.org/10.3390/app13116610" TargetMode="External"/><Relationship Id="rId59" Type="http://schemas.openxmlformats.org/officeDocument/2006/relationships/hyperlink" Target="https://doi.org/10.2139/ssrn.5003638" TargetMode="External"/><Relationship Id="rId103" Type="http://schemas.openxmlformats.org/officeDocument/2006/relationships/hyperlink" Target="http://hashsci.com/index.php/IJCRFC/article/view/2023-12-04" TargetMode="External"/><Relationship Id="rId108" Type="http://schemas.openxmlformats.org/officeDocument/2006/relationships/footer" Target="footer2.xml"/><Relationship Id="rId54" Type="http://schemas.openxmlformats.org/officeDocument/2006/relationships/hyperlink" Target="https://doi.org/10.18535/ijsrm/v9i2.ec01" TargetMode="External"/><Relationship Id="rId70" Type="http://schemas.openxmlformats.org/officeDocument/2006/relationships/hyperlink" Target="https://doi.org/10.1007/s41870-024-01933-8" TargetMode="External"/><Relationship Id="rId75" Type="http://schemas.openxmlformats.org/officeDocument/2006/relationships/hyperlink" Target="https://doi.org/10.9734/ajrcos/2025/v18i3583" TargetMode="External"/><Relationship Id="rId91" Type="http://schemas.openxmlformats.org/officeDocument/2006/relationships/hyperlink" Target="https://doi.org/10.1007/978-3-031-68034-2" TargetMode="External"/><Relationship Id="rId96" Type="http://schemas.openxmlformats.org/officeDocument/2006/relationships/hyperlink" Target="https://www.igi-global.com/chapter/enhancing-cybersecurity-protocols-in-modern-healthcare-systems/34282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theaffine.com/index.php/IJACSTA/article/view/2023-12-07" TargetMode="External"/><Relationship Id="rId28" Type="http://schemas.openxmlformats.org/officeDocument/2006/relationships/hyperlink" Target="https://www.hipaajournal.com/commonspirit-health-issues-update-confirming-164-facilities-affected-by-ransomware-attack/" TargetMode="External"/><Relationship Id="rId36" Type="http://schemas.openxmlformats.org/officeDocument/2006/relationships/hyperlink" Target="https://doi.org/10.9734/jerr/2025/v27i31414" TargetMode="External"/><Relationship Id="rId49" Type="http://schemas.openxmlformats.org/officeDocument/2006/relationships/hyperlink" Target="https://doi.org/10.1007/978-3-031-82810-2_3" TargetMode="External"/><Relationship Id="rId57" Type="http://schemas.openxmlformats.org/officeDocument/2006/relationships/hyperlink" Target="https://doi.org/10.9734/ajrcos/2025/v18i1554" TargetMode="External"/><Relationship Id="rId106" Type="http://schemas.openxmlformats.org/officeDocument/2006/relationships/header" Target="header2.xml"/><Relationship Id="rId10" Type="http://schemas.openxmlformats.org/officeDocument/2006/relationships/image" Target="media/image3.png"/><Relationship Id="rId31" Type="http://schemas.openxmlformats.org/officeDocument/2006/relationships/hyperlink" Target="https://doi.org/10.5539/ibr.v17n6p74" TargetMode="External"/><Relationship Id="rId44" Type="http://schemas.openxmlformats.org/officeDocument/2006/relationships/hyperlink" Target="https://doi.org/10.1109/csci62032.2023.00144" TargetMode="External"/><Relationship Id="rId52" Type="http://schemas.openxmlformats.org/officeDocument/2006/relationships/hyperlink" Target="https://doi.org/10.1109/csnet64211.2024.10851751" TargetMode="External"/><Relationship Id="rId60" Type="http://schemas.openxmlformats.org/officeDocument/2006/relationships/hyperlink" Target="https://doi.org/10.1016/j.future.2022.03.001" TargetMode="External"/><Relationship Id="rId65" Type="http://schemas.openxmlformats.org/officeDocument/2006/relationships/hyperlink" Target="https://businessday.ng/interview/article/phishing-and-social-engineering-account-for-70-90-of-malicious-data-breaches-says-cyber-security-specialist/" TargetMode="External"/><Relationship Id="rId73" Type="http://schemas.openxmlformats.org/officeDocument/2006/relationships/hyperlink" Target="https://doi.org/10.2139/ssrn.4976103" TargetMode="External"/><Relationship Id="rId78" Type="http://schemas.openxmlformats.org/officeDocument/2006/relationships/hyperlink" Target="https://ordr.net/blog/securing-iomt-and-hiot-devices" TargetMode="External"/><Relationship Id="rId81" Type="http://schemas.openxmlformats.org/officeDocument/2006/relationships/hyperlink" Target="https://cybernews.com/news/fbi-disrupts-hive-ransomware/" TargetMode="External"/><Relationship Id="rId86" Type="http://schemas.openxmlformats.org/officeDocument/2006/relationships/hyperlink" Target="https://doi.org/10.1007/978-3-030-66583-8" TargetMode="External"/><Relationship Id="rId94" Type="http://schemas.openxmlformats.org/officeDocument/2006/relationships/hyperlink" Target="https://doi.org/10.4236/jis.2024.152008" TargetMode="External"/><Relationship Id="rId99" Type="http://schemas.openxmlformats.org/officeDocument/2006/relationships/hyperlink" Target="https://doi.org/10.9734/ajrcos/2024/v17i11517" TargetMode="External"/><Relationship Id="rId101" Type="http://schemas.openxmlformats.org/officeDocument/2006/relationships/hyperlink" Target="https://www.verizon.com/business/resources/Te3/reports/2024-dbir-data-breach-investigations-report.pdf?msockid=2e7b7a8ff19a6b6922d36e50f02e6a07"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hyperlink" Target="https://www.wired.com/story/confidant-health-therapy-records-database-exposure/" TargetMode="External"/><Relationship Id="rId109" Type="http://schemas.openxmlformats.org/officeDocument/2006/relationships/header" Target="header3.xml"/><Relationship Id="rId34" Type="http://schemas.openxmlformats.org/officeDocument/2006/relationships/hyperlink" Target="https://jjournals.ju.edu.jo/index.php/JMJ/article/view/2527" TargetMode="External"/><Relationship Id="rId50" Type="http://schemas.openxmlformats.org/officeDocument/2006/relationships/hyperlink" Target="https://doi.org/10.54692/ijeci.2023.0702154" TargetMode="External"/><Relationship Id="rId55" Type="http://schemas.openxmlformats.org/officeDocument/2006/relationships/hyperlink" Target="https://doi.org/10.1016/j.mayocp.2023.01.013" TargetMode="External"/><Relationship Id="rId76" Type="http://schemas.openxmlformats.org/officeDocument/2006/relationships/hyperlink" Target="https://doi.org/10.9734/ajrcos/2025/v18i3586" TargetMode="External"/><Relationship Id="rId97" Type="http://schemas.openxmlformats.org/officeDocument/2006/relationships/hyperlink" Target="https://doi.org/10.1093/jlb/lsae022" TargetMode="External"/><Relationship Id="rId104" Type="http://schemas.openxmlformats.org/officeDocument/2006/relationships/hyperlink" Target="https://doi.org/10.1016/j.cose.2021.102288" TargetMode="External"/><Relationship Id="rId7" Type="http://schemas.openxmlformats.org/officeDocument/2006/relationships/endnotes" Target="endnotes.xml"/><Relationship Id="rId71" Type="http://schemas.openxmlformats.org/officeDocument/2006/relationships/hyperlink" Target="https://www.researchgate.net/publication/389464287_Mitigating_Insider_Threats_and_Social_Engineering_Tactics_in_Advanced_Persistent_Threat_Operations_through_Behavioral_Analytics_and_Cybersecurity_Training" TargetMode="External"/><Relationship Id="rId92" Type="http://schemas.openxmlformats.org/officeDocument/2006/relationships/hyperlink" Target="https://doi.org/10.1007/s10462-021-09997-9" TargetMode="External"/><Relationship Id="rId2" Type="http://schemas.openxmlformats.org/officeDocument/2006/relationships/numbering" Target="numbering.xml"/><Relationship Id="rId29" Type="http://schemas.openxmlformats.org/officeDocument/2006/relationships/hyperlink" Target="https://doi.org/10.3390/app13127082" TargetMode="External"/><Relationship Id="rId24" Type="http://schemas.openxmlformats.org/officeDocument/2006/relationships/hyperlink" Target="https://doi.org/10.1109/icacfct53978.2021.9837349" TargetMode="External"/><Relationship Id="rId40" Type="http://schemas.openxmlformats.org/officeDocument/2006/relationships/hyperlink" Target="https://cyberlaw.ccdcoe.org/wiki/Ireland%E2%80%99s_Health_Service_Executive_ransomware_attack_(2021)" TargetMode="External"/><Relationship Id="rId45" Type="http://schemas.openxmlformats.org/officeDocument/2006/relationships/hyperlink" Target="https://doi.org/10.1109/icmcsi64620.2025.10883230" TargetMode="External"/><Relationship Id="rId66" Type="http://schemas.openxmlformats.org/officeDocument/2006/relationships/hyperlink" Target="https://doi.org/10.9734/ajrcos/2025/v18i2564" TargetMode="External"/><Relationship Id="rId87" Type="http://schemas.openxmlformats.org/officeDocument/2006/relationships/hyperlink" Target="https://www.sciencedirect.com/science/article/pii/B9780443132681000030" TargetMode="External"/><Relationship Id="rId110" Type="http://schemas.openxmlformats.org/officeDocument/2006/relationships/footer" Target="footer3.xml"/><Relationship Id="rId61" Type="http://schemas.openxmlformats.org/officeDocument/2006/relationships/hyperlink" Target="https://www.microsoft.com/en-us/security/security-insider/intelligence-reports/microsoft-digital-defense-report-2024?msockid=2e7b7a8ff19a6b6922d36e50f02e6a07" TargetMode="External"/><Relationship Id="rId82" Type="http://schemas.openxmlformats.org/officeDocument/2006/relationships/hyperlink" Target="https://doi.org/10.1108/itp-12-2022-0931" TargetMode="External"/><Relationship Id="rId19" Type="http://schemas.openxmlformats.org/officeDocument/2006/relationships/hyperlink" Target="https://doi.org/10.37502/ijsmr.2025.8211" TargetMode="External"/><Relationship Id="rId14" Type="http://schemas.openxmlformats.org/officeDocument/2006/relationships/image" Target="media/image7.png"/><Relationship Id="rId30" Type="http://schemas.openxmlformats.org/officeDocument/2006/relationships/hyperlink" Target="https://doi.org/10.1109/uemcon62879.2024.10754705" TargetMode="External"/><Relationship Id="rId35" Type="http://schemas.openxmlformats.org/officeDocument/2006/relationships/hyperlink" Target="https://doi.org/10.9734/ajrcos/2025/v18i1555" TargetMode="External"/><Relationship Id="rId56" Type="http://schemas.openxmlformats.org/officeDocument/2006/relationships/hyperlink" Target="https://media.neliti.com/media/publications/592396-the-most-recent-advances-and-uses-of-ai-40213b6c.pdf" TargetMode="External"/><Relationship Id="rId77" Type="http://schemas.openxmlformats.org/officeDocument/2006/relationships/hyperlink" Target="https://doi.org/10.9734/jerr/2025/v27i21413" TargetMode="External"/><Relationship Id="rId100" Type="http://schemas.openxmlformats.org/officeDocument/2006/relationships/hyperlink" Target="https://doi.org/10.1016/j.annemergmed.2023.04.025" TargetMode="External"/><Relationship Id="rId105"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https://www.healthstream.com/resource/blog/defending-against-phishing" TargetMode="External"/><Relationship Id="rId72" Type="http://schemas.openxmlformats.org/officeDocument/2006/relationships/hyperlink" Target="https://doi.org/10.2139/ssrn.4709384" TargetMode="External"/><Relationship Id="rId93" Type="http://schemas.openxmlformats.org/officeDocument/2006/relationships/hyperlink" Target="https://doi.org/10.3390/ijerph19063641" TargetMode="External"/><Relationship Id="rId98" Type="http://schemas.openxmlformats.org/officeDocument/2006/relationships/hyperlink" Target="https://doi.org/10.1109/icaiqsa64000.2024.10882284" TargetMode="External"/><Relationship Id="rId3" Type="http://schemas.openxmlformats.org/officeDocument/2006/relationships/styles" Target="styles.xml"/><Relationship Id="rId25" Type="http://schemas.openxmlformats.org/officeDocument/2006/relationships/hyperlink" Target="https://doi.org/10.9734/acri/2025/v25i21090" TargetMode="External"/><Relationship Id="rId46" Type="http://schemas.openxmlformats.org/officeDocument/2006/relationships/hyperlink" Target="https://doi.org/10.3390/educsci13121216" TargetMode="External"/><Relationship Id="rId67" Type="http://schemas.openxmlformats.org/officeDocument/2006/relationships/hyperlink" Target="https://doi.org/10.9734/jerr/2025/v27i21400" TargetMode="External"/><Relationship Id="rId20" Type="http://schemas.openxmlformats.org/officeDocument/2006/relationships/hyperlink" Target="https://doi.org/10.3390/healthcare12242587" TargetMode="External"/><Relationship Id="rId41" Type="http://schemas.openxmlformats.org/officeDocument/2006/relationships/hyperlink" Target="https://www.cisa.gov/news-events/cybersecurity-advisories/aa25-071a" TargetMode="External"/><Relationship Id="rId62" Type="http://schemas.openxmlformats.org/officeDocument/2006/relationships/hyperlink" Target="https://doi.org/10.1080/23311916.2023.2272358" TargetMode="External"/><Relationship Id="rId83" Type="http://schemas.openxmlformats.org/officeDocument/2006/relationships/hyperlink" Target="https://doi.org/10.1016/j.comnet.2021.108008" TargetMode="External"/><Relationship Id="rId88" Type="http://schemas.openxmlformats.org/officeDocument/2006/relationships/hyperlink" Target="https://doi.org/10.1007/s40745-022-00444-2" TargetMode="External"/><Relationship Id="rId11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5875C-90C7-45E0-8D17-5E8BA2625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33</Pages>
  <Words>11400</Words>
  <Characters>64980</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1084</cp:lastModifiedBy>
  <cp:revision>20</cp:revision>
  <dcterms:created xsi:type="dcterms:W3CDTF">2025-03-26T17:47:00Z</dcterms:created>
  <dcterms:modified xsi:type="dcterms:W3CDTF">2025-03-27T07:40:00Z</dcterms:modified>
</cp:coreProperties>
</file>