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D9E35" w14:textId="77777777" w:rsidR="000F5562" w:rsidRDefault="00566E79" w:rsidP="000F5562">
      <w:pPr>
        <w:jc w:val="center"/>
        <w:rPr>
          <w:rFonts w:ascii="Times New Roman" w:hAnsi="Times New Roman" w:cs="Times New Roman"/>
          <w:b/>
          <w:bCs/>
          <w:sz w:val="24"/>
          <w:szCs w:val="24"/>
        </w:rPr>
      </w:pPr>
      <w:r w:rsidRPr="00B60DF8">
        <w:rPr>
          <w:rFonts w:ascii="Times New Roman" w:hAnsi="Times New Roman" w:cs="Times New Roman"/>
          <w:b/>
          <w:bCs/>
          <w:sz w:val="24"/>
          <w:szCs w:val="24"/>
        </w:rPr>
        <w:t>Framework for Deep Learning Integration in Energy Grid Optimization to Enhance Efficiency and Reliability.</w:t>
      </w:r>
    </w:p>
    <w:p w14:paraId="7ECEB44D" w14:textId="77777777" w:rsidR="000869F8" w:rsidRDefault="000869F8" w:rsidP="000F5562">
      <w:pPr>
        <w:rPr>
          <w:rFonts w:ascii="Times New Roman" w:hAnsi="Times New Roman" w:cs="Times New Roman"/>
          <w:b/>
          <w:bCs/>
          <w:sz w:val="24"/>
          <w:szCs w:val="24"/>
        </w:rPr>
      </w:pPr>
    </w:p>
    <w:p w14:paraId="6975F086" w14:textId="344965AF" w:rsidR="0063508B" w:rsidRDefault="0063508B" w:rsidP="000F5562">
      <w:pP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___________________________________________________________________________</w:t>
      </w:r>
    </w:p>
    <w:p w14:paraId="06651967" w14:textId="61EB17D7" w:rsidR="00FD148A" w:rsidRPr="00FD148A" w:rsidRDefault="00FD148A" w:rsidP="000F5562">
      <w:pPr>
        <w:rPr>
          <w:rFonts w:ascii="Times New Roman" w:hAnsi="Times New Roman" w:cs="Times New Roman"/>
          <w:b/>
          <w:bCs/>
          <w:sz w:val="24"/>
          <w:szCs w:val="24"/>
        </w:rPr>
      </w:pPr>
      <w:r w:rsidRPr="00FD148A">
        <w:rPr>
          <w:rFonts w:ascii="Times New Roman" w:eastAsia="Times New Roman" w:hAnsi="Times New Roman" w:cs="Times New Roman"/>
          <w:b/>
          <w:bCs/>
          <w:kern w:val="0"/>
          <w:sz w:val="24"/>
          <w:szCs w:val="24"/>
          <w14:ligatures w14:val="none"/>
        </w:rPr>
        <w:t>Abstract</w:t>
      </w:r>
    </w:p>
    <w:p w14:paraId="374303A7" w14:textId="77777777" w:rsidR="00FC6020" w:rsidRDefault="00FD148A" w:rsidP="00B60DF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FD148A">
        <w:rPr>
          <w:rFonts w:ascii="Times New Roman" w:eastAsia="Times New Roman" w:hAnsi="Times New Roman" w:cs="Times New Roman"/>
          <w:kern w:val="0"/>
          <w:sz w:val="24"/>
          <w:szCs w:val="24"/>
          <w14:ligatures w14:val="none"/>
        </w:rPr>
        <w:t>The integration of deep learning (DL) into energy grid optimization presents transformative opportunities to enhance efficiency and reliability in modern power systems. This framework explores the application of DL algorithms in optimizing energy distribution, load forecasting, fault detection, and energy resource allocation. By leveraging vast datasets generated from smart meters, IoT devices, and renewable energy sources, DL models such as recurrent neural networks (RNNs), convolutional neural networks (CNNs), and transformers can predict consumption patterns, detect anomalies, and recommend adaptive grid management strategies in real-time.</w:t>
      </w:r>
      <w:r w:rsidR="000E0796">
        <w:rPr>
          <w:rFonts w:ascii="Times New Roman" w:eastAsia="Times New Roman" w:hAnsi="Times New Roman" w:cs="Times New Roman"/>
          <w:kern w:val="0"/>
          <w:sz w:val="24"/>
          <w:szCs w:val="24"/>
          <w14:ligatures w14:val="none"/>
        </w:rPr>
        <w:t xml:space="preserve"> </w:t>
      </w:r>
      <w:r w:rsidRPr="00FD148A">
        <w:rPr>
          <w:rFonts w:ascii="Times New Roman" w:eastAsia="Times New Roman" w:hAnsi="Times New Roman" w:cs="Times New Roman"/>
          <w:kern w:val="0"/>
          <w:sz w:val="24"/>
          <w:szCs w:val="24"/>
          <w14:ligatures w14:val="none"/>
        </w:rPr>
        <w:t>The proposed framework emphasizes key components, including data preprocessing for noise reduction, model selection tailored to grid-specific challenges, and iterative training for enhanced accuracy. A central focus is on hybrid approaches that combine DL with traditional optimization methods to balance computational efficiency and precision. Additionally, the framework incorporates a robust evaluation pipeline using metrics such as mean absolute percentage error (MAPE) for forecasting and F1 score for fault classification, ensuring reliable model performance.</w:t>
      </w:r>
      <w:r w:rsidR="000E0796">
        <w:rPr>
          <w:rFonts w:ascii="Times New Roman" w:eastAsia="Times New Roman" w:hAnsi="Times New Roman" w:cs="Times New Roman"/>
          <w:kern w:val="0"/>
          <w:sz w:val="24"/>
          <w:szCs w:val="24"/>
          <w14:ligatures w14:val="none"/>
        </w:rPr>
        <w:t xml:space="preserve"> </w:t>
      </w:r>
      <w:r w:rsidRPr="00FD148A">
        <w:rPr>
          <w:rFonts w:ascii="Times New Roman" w:eastAsia="Times New Roman" w:hAnsi="Times New Roman" w:cs="Times New Roman"/>
          <w:kern w:val="0"/>
          <w:sz w:val="24"/>
          <w:szCs w:val="24"/>
          <w14:ligatures w14:val="none"/>
        </w:rPr>
        <w:t>Scalability and adaptability are critical to this framework, enabling the integration of diverse energy sources, including wind, solar, and hydropower. This adaptability is bolstered by reinforcement learning algorithms, allowing dynamic adjustments in response to fluctuating energy demands and weather conditions. Furthermore, edge computing integration is highlighted to reduce latency and support decentralized grid operations.</w:t>
      </w:r>
      <w:r w:rsidR="000E0796">
        <w:rPr>
          <w:rFonts w:ascii="Times New Roman" w:eastAsia="Times New Roman" w:hAnsi="Times New Roman" w:cs="Times New Roman"/>
          <w:kern w:val="0"/>
          <w:sz w:val="24"/>
          <w:szCs w:val="24"/>
          <w14:ligatures w14:val="none"/>
        </w:rPr>
        <w:t xml:space="preserve"> </w:t>
      </w:r>
      <w:r w:rsidRPr="00FD148A">
        <w:rPr>
          <w:rFonts w:ascii="Times New Roman" w:eastAsia="Times New Roman" w:hAnsi="Times New Roman" w:cs="Times New Roman"/>
          <w:kern w:val="0"/>
          <w:sz w:val="24"/>
          <w:szCs w:val="24"/>
          <w14:ligatures w14:val="none"/>
        </w:rPr>
        <w:t>The framework also addresses challenges such as data security, interpretability, and regulatory compliance. A focus on ethical AI ensures that DL solutions align with industry standards and foster stakeholder trust. Case studies demonstrate the successful application of this framework in optimizing grid operations, reducing energy losses, and mitigating blackouts in both urban and rural settings.</w:t>
      </w:r>
      <w:r w:rsidR="000E0796">
        <w:rPr>
          <w:rFonts w:ascii="Times New Roman" w:eastAsia="Times New Roman" w:hAnsi="Times New Roman" w:cs="Times New Roman"/>
          <w:kern w:val="0"/>
          <w:sz w:val="24"/>
          <w:szCs w:val="24"/>
          <w14:ligatures w14:val="none"/>
        </w:rPr>
        <w:t xml:space="preserve"> </w:t>
      </w:r>
      <w:r w:rsidRPr="00FD148A">
        <w:rPr>
          <w:rFonts w:ascii="Times New Roman" w:eastAsia="Times New Roman" w:hAnsi="Times New Roman" w:cs="Times New Roman"/>
          <w:kern w:val="0"/>
          <w:sz w:val="24"/>
          <w:szCs w:val="24"/>
          <w14:ligatures w14:val="none"/>
        </w:rPr>
        <w:t>In conclusion, this framework positions deep learning as a cornerstone of the future energy grid, driving efficiency, reliability, and sustainability. Its implementation paves the way for smart, adaptive, and resilient energy infrastructures.</w:t>
      </w:r>
    </w:p>
    <w:p w14:paraId="15E3EA39" w14:textId="20EFF8DC" w:rsidR="00FD148A" w:rsidRPr="00FD148A" w:rsidRDefault="000E0796" w:rsidP="00B60DF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FD148A">
        <w:rPr>
          <w:rFonts w:ascii="Times New Roman" w:eastAsia="Times New Roman" w:hAnsi="Times New Roman" w:cs="Times New Roman"/>
          <w:b/>
          <w:bCs/>
          <w:kern w:val="0"/>
          <w:sz w:val="24"/>
          <w:szCs w:val="24"/>
          <w14:ligatures w14:val="none"/>
        </w:rPr>
        <w:t>KEYWORDS</w:t>
      </w:r>
      <w:r w:rsidR="00FD148A" w:rsidRPr="00FD148A">
        <w:rPr>
          <w:rFonts w:ascii="Times New Roman" w:eastAsia="Times New Roman" w:hAnsi="Times New Roman" w:cs="Times New Roman"/>
          <w:kern w:val="0"/>
          <w:sz w:val="24"/>
          <w:szCs w:val="24"/>
          <w14:ligatures w14:val="none"/>
        </w:rPr>
        <w:t xml:space="preserve">: </w:t>
      </w:r>
      <w:r w:rsidRPr="00FD148A">
        <w:rPr>
          <w:rFonts w:ascii="Times New Roman" w:eastAsia="Times New Roman" w:hAnsi="Times New Roman" w:cs="Times New Roman"/>
          <w:b/>
          <w:bCs/>
          <w:kern w:val="0"/>
          <w:sz w:val="24"/>
          <w:szCs w:val="24"/>
          <w14:ligatures w14:val="none"/>
        </w:rPr>
        <w:t>Deep Learning, Energy Grid Optimization, Efficiency, Reliability, Smart Grid, Renewable Energy, Load Forecasting, Fault Detection, Reinforcement Learning, Edge Computing.</w:t>
      </w:r>
    </w:p>
    <w:p w14:paraId="24B64081" w14:textId="77777777" w:rsidR="00FD148A" w:rsidRPr="00B60DF8" w:rsidRDefault="00FD148A" w:rsidP="00B60DF8">
      <w:pPr>
        <w:jc w:val="both"/>
        <w:rPr>
          <w:rFonts w:ascii="Times New Roman" w:hAnsi="Times New Roman" w:cs="Times New Roman"/>
          <w:sz w:val="24"/>
          <w:szCs w:val="24"/>
        </w:rPr>
      </w:pPr>
    </w:p>
    <w:p w14:paraId="5FA8D6C9" w14:textId="5DC5B965" w:rsidR="00FD148A" w:rsidRPr="00B60DF8" w:rsidRDefault="00B65D93" w:rsidP="00B60DF8">
      <w:pPr>
        <w:jc w:val="both"/>
        <w:rPr>
          <w:rFonts w:ascii="Times New Roman" w:hAnsi="Times New Roman" w:cs="Times New Roman"/>
          <w:sz w:val="24"/>
          <w:szCs w:val="24"/>
        </w:rPr>
      </w:pPr>
      <w:r w:rsidRPr="00B60DF8">
        <w:rPr>
          <w:rStyle w:val="Strong"/>
          <w:rFonts w:ascii="Times New Roman" w:hAnsi="Times New Roman" w:cs="Times New Roman"/>
          <w:sz w:val="24"/>
          <w:szCs w:val="24"/>
        </w:rPr>
        <w:t>1.0.</w:t>
      </w:r>
      <w:r w:rsidRPr="00B60DF8">
        <w:rPr>
          <w:rStyle w:val="Strong"/>
          <w:rFonts w:ascii="Times New Roman" w:hAnsi="Times New Roman" w:cs="Times New Roman"/>
          <w:sz w:val="24"/>
          <w:szCs w:val="24"/>
        </w:rPr>
        <w:tab/>
      </w:r>
      <w:r w:rsidR="00FD148A" w:rsidRPr="00B60DF8">
        <w:rPr>
          <w:rStyle w:val="Strong"/>
          <w:rFonts w:ascii="Times New Roman" w:hAnsi="Times New Roman" w:cs="Times New Roman"/>
          <w:sz w:val="24"/>
          <w:szCs w:val="24"/>
        </w:rPr>
        <w:t>Introduction</w:t>
      </w:r>
    </w:p>
    <w:p w14:paraId="1A8E04CC" w14:textId="3AFB51A2" w:rsidR="00B60DF8" w:rsidRPr="00B60DF8" w:rsidRDefault="00B60DF8" w:rsidP="00B60DF8">
      <w:pPr>
        <w:pStyle w:val="NormalWeb"/>
        <w:jc w:val="both"/>
      </w:pPr>
      <w:r w:rsidRPr="00B60DF8">
        <w:t>The energy sector is undergoing significant transformation, driven by the growing need for sustainability and the integration of renewable energy sources. However, energy grids face numerous challenges, including efficiency, reliability, and the complexity of integrating renewable energy sources like solar and wind</w:t>
      </w:r>
      <w:r w:rsidR="00E64090" w:rsidRPr="00E64090">
        <w:t xml:space="preserve"> (</w:t>
      </w:r>
      <w:proofErr w:type="spellStart"/>
      <w:r w:rsidR="00E64090" w:rsidRPr="00E64090">
        <w:t>Albannai</w:t>
      </w:r>
      <w:proofErr w:type="spellEnd"/>
      <w:r w:rsidR="00E64090" w:rsidRPr="00E64090">
        <w:t>, 2022, Das, 2022, Zhou, et al., 2022)</w:t>
      </w:r>
      <w:r w:rsidRPr="00B60DF8">
        <w:t xml:space="preserve">. Traditional grid management systems often struggle to meet the increasing demand for reliable, efficient, and sustainable energy distribution, especially with the fluctuating nature of renewable generation. These challenges necessitate innovative solutions to ensure grids </w:t>
      </w:r>
      <w:r w:rsidRPr="00B60DF8">
        <w:lastRenderedPageBreak/>
        <w:t>can accommodate changing energy landscapes and provide stable, cost-effective electricity</w:t>
      </w:r>
      <w:r w:rsidR="00C60E8F">
        <w:t xml:space="preserve"> (</w:t>
      </w:r>
      <w:r w:rsidR="00C60E8F" w:rsidRPr="0093122B">
        <w:t>Ahmad,</w:t>
      </w:r>
      <w:r w:rsidR="00C60E8F">
        <w:t xml:space="preserve"> et al., 2022)</w:t>
      </w:r>
      <w:r w:rsidRPr="00B60DF8">
        <w:t>.</w:t>
      </w:r>
    </w:p>
    <w:p w14:paraId="555AC56C" w14:textId="37A5AF41" w:rsidR="00B60DF8" w:rsidRPr="00B60DF8" w:rsidRDefault="00B60DF8" w:rsidP="00B60DF8">
      <w:pPr>
        <w:pStyle w:val="NormalWeb"/>
        <w:jc w:val="both"/>
      </w:pPr>
      <w:r w:rsidRPr="00B60DF8">
        <w:t>Deep learning (DL), a branch of artificial intelligence (AI), holds tremendous potential in addressing the complex problems faced by modern energy grids. DL algorithms, known for their ability to process large datasets and identify intricate patterns, can be leveraged to optimize grid operations, predict energy demand, improve load forecasting, and enhance fault detection. With its capacity to learn from historical data and adapt to real-time changes, DL can help manage the unpredictability of renewable energy sources and improve grid performance by optimizing power flow, minimizing losses, and reducing operational costs</w:t>
      </w:r>
      <w:r w:rsidR="00E64090">
        <w:t xml:space="preserve"> </w:t>
      </w:r>
      <w:r w:rsidR="00E64090" w:rsidRPr="00E64090">
        <w:t>(Moyne &amp; Iskandar, 2017, Mullen &amp; Morris, 2021)</w:t>
      </w:r>
      <w:r w:rsidRPr="00B60DF8">
        <w:t>. Additionally, DL can support the development of predictive maintenance strategies to prevent grid failures and enhance grid resilience.</w:t>
      </w:r>
    </w:p>
    <w:p w14:paraId="1654ACBC" w14:textId="64AC23CA" w:rsidR="00B60DF8" w:rsidRPr="00B60DF8" w:rsidRDefault="00B60DF8" w:rsidP="00B60DF8">
      <w:pPr>
        <w:pStyle w:val="NormalWeb"/>
        <w:jc w:val="both"/>
      </w:pPr>
      <w:r w:rsidRPr="00B60DF8">
        <w:t>This framework aims to propose a comprehensive approach to integrating deep learning into energy grid optimization. By harnessing the power of DL, the framework seeks to address key challenges related to energy grid performance, including demand forecasting, energy dispatch, and integration of renewable sources</w:t>
      </w:r>
      <w:r w:rsidR="00E64090">
        <w:t xml:space="preserve"> </w:t>
      </w:r>
      <w:r w:rsidR="00E64090" w:rsidRPr="00E64090">
        <w:t>(Miranda, et al., 2021, Mitra, Ahire &amp; Mallik, 2014)</w:t>
      </w:r>
      <w:r w:rsidRPr="00B60DF8">
        <w:t>. The goal is to develop intelligent systems that continuously improve grid operations by adapting to changing conditions and making real-time adjustments. This integration of DL technologies will not only optimize energy grid performance but also contribute to the broader goals of enhancing grid sustainability, reducing carbon emissions, and supporting the transition to a low-carbon energy future</w:t>
      </w:r>
      <w:r w:rsidR="00C60E8F">
        <w:t xml:space="preserve"> (</w:t>
      </w:r>
      <w:r w:rsidR="00C60E8F" w:rsidRPr="0093122B">
        <w:t>Ahmad,</w:t>
      </w:r>
      <w:r w:rsidR="00C60E8F">
        <w:t xml:space="preserve"> et al., 2021)</w:t>
      </w:r>
      <w:r w:rsidRPr="00B60DF8">
        <w:t>.</w:t>
      </w:r>
    </w:p>
    <w:p w14:paraId="49735C5F" w14:textId="1ECF1A9C" w:rsidR="00B60DF8" w:rsidRPr="00B60DF8" w:rsidRDefault="00B60DF8" w:rsidP="00B60DF8">
      <w:pPr>
        <w:pStyle w:val="NormalWeb"/>
        <w:jc w:val="both"/>
      </w:pPr>
      <w:r w:rsidRPr="00B60DF8">
        <w:t>The significance of this framework lies in its potential to revolutionize how energy grids operate, making them more efficient, reliable, and capable of supporting the widespread adoption of renewable energy. By improving grid management and operational decision-making through the power of deep learning, the framework offers a path toward a more sustainable, resilient, and intelligent energy infrastructure that can meet the growing demands of the 21st century</w:t>
      </w:r>
      <w:r w:rsidR="00E64090">
        <w:t xml:space="preserve"> </w:t>
      </w:r>
      <w:r w:rsidR="00E64090" w:rsidRPr="00E64090">
        <w:t>(Çam, 2022, Sridar, et al., 2022)</w:t>
      </w:r>
      <w:r w:rsidRPr="00B60DF8">
        <w:t>.</w:t>
      </w:r>
    </w:p>
    <w:p w14:paraId="540AE68D" w14:textId="77777777" w:rsidR="000E0796" w:rsidRDefault="000E0796" w:rsidP="00B60DF8">
      <w:pPr>
        <w:spacing w:after="0"/>
        <w:jc w:val="both"/>
        <w:rPr>
          <w:rStyle w:val="Strong"/>
          <w:rFonts w:ascii="Times New Roman" w:hAnsi="Times New Roman" w:cs="Times New Roman"/>
          <w:sz w:val="24"/>
          <w:szCs w:val="24"/>
        </w:rPr>
      </w:pPr>
    </w:p>
    <w:p w14:paraId="0FC5054A" w14:textId="7BDFCEBB" w:rsidR="00FD148A" w:rsidRPr="00B60DF8" w:rsidRDefault="00B65D93" w:rsidP="00B60DF8">
      <w:pPr>
        <w:spacing w:after="0"/>
        <w:jc w:val="both"/>
        <w:rPr>
          <w:rFonts w:ascii="Times New Roman" w:hAnsi="Times New Roman" w:cs="Times New Roman"/>
          <w:sz w:val="24"/>
          <w:szCs w:val="24"/>
        </w:rPr>
      </w:pPr>
      <w:r w:rsidRPr="00B60DF8">
        <w:rPr>
          <w:rStyle w:val="Strong"/>
          <w:rFonts w:ascii="Times New Roman" w:hAnsi="Times New Roman" w:cs="Times New Roman"/>
          <w:sz w:val="24"/>
          <w:szCs w:val="24"/>
        </w:rPr>
        <w:t>2.1.</w:t>
      </w:r>
      <w:r w:rsidRPr="00B60DF8">
        <w:rPr>
          <w:rStyle w:val="Strong"/>
          <w:rFonts w:ascii="Times New Roman" w:hAnsi="Times New Roman" w:cs="Times New Roman"/>
          <w:sz w:val="24"/>
          <w:szCs w:val="24"/>
        </w:rPr>
        <w:tab/>
      </w:r>
      <w:r w:rsidR="00FD148A" w:rsidRPr="00B60DF8">
        <w:rPr>
          <w:rStyle w:val="Strong"/>
          <w:rFonts w:ascii="Times New Roman" w:hAnsi="Times New Roman" w:cs="Times New Roman"/>
          <w:sz w:val="24"/>
          <w:szCs w:val="24"/>
        </w:rPr>
        <w:t>Literature Review</w:t>
      </w:r>
    </w:p>
    <w:p w14:paraId="59FC2322" w14:textId="5203AD63" w:rsidR="00B60DF8" w:rsidRPr="00B60DF8" w:rsidRDefault="00B60DF8" w:rsidP="00B60DF8">
      <w:pPr>
        <w:pStyle w:val="NormalWeb"/>
        <w:jc w:val="both"/>
      </w:pPr>
      <w:r w:rsidRPr="00B60DF8">
        <w:t>Energy grid optimization is crucial for improving the efficiency, reliability, and sustainability of power distribution systems. Traditional optimization techniques have been used for decades to manage grid operations, such as load forecasting, power flow management, fault detection, and resource allocation</w:t>
      </w:r>
      <w:r w:rsidR="00C60E8F">
        <w:t xml:space="preserve"> (</w:t>
      </w:r>
      <w:r w:rsidR="00C60E8F" w:rsidRPr="00F87B6E">
        <w:t>Antonopoulos,</w:t>
      </w:r>
      <w:r w:rsidR="00C60E8F">
        <w:t xml:space="preserve"> et al., 2020)</w:t>
      </w:r>
      <w:r w:rsidRPr="00B60DF8">
        <w:t>. However, these methods often fall short in addressing the complexities and dynamic nature of modern energy grids, especially with the growing integration of renewable energy sources. In recent years, deep learning (DL) has emerged as a powerful tool in the energy sector, offering the potential to revolutionize grid optimization</w:t>
      </w:r>
      <w:r w:rsidR="004A3111">
        <w:t xml:space="preserve"> </w:t>
      </w:r>
      <w:r w:rsidR="004A3111" w:rsidRPr="004A3111">
        <w:t>(</w:t>
      </w:r>
      <w:proofErr w:type="spellStart"/>
      <w:r w:rsidR="004A3111" w:rsidRPr="004A3111">
        <w:t>Osanov</w:t>
      </w:r>
      <w:proofErr w:type="spellEnd"/>
      <w:r w:rsidR="004A3111" w:rsidRPr="004A3111">
        <w:t xml:space="preserve"> &amp; Guest, 2016, Pecoraro, et al., 2019)</w:t>
      </w:r>
      <w:r w:rsidRPr="00B60DF8">
        <w:t>. This literature review explores the current optimization techniques, the applications of deep learning in energy grids, and the knowledge gaps that remain in the research and practical implementation of deep learning for grid optimization.</w:t>
      </w:r>
    </w:p>
    <w:p w14:paraId="38DCBDCC" w14:textId="636B6C38" w:rsidR="00B60DF8" w:rsidRDefault="00B60DF8" w:rsidP="00B60DF8">
      <w:pPr>
        <w:pStyle w:val="NormalWeb"/>
        <w:jc w:val="both"/>
      </w:pPr>
      <w:r w:rsidRPr="00B60DF8">
        <w:t xml:space="preserve">Traditional optimization techniques in energy grids primarily rely on mathematical models, linear programming, and heuristic methods to manage grid operations. These approaches have been widely used to optimize power flow, minimize losses, and ensure efficient resource allocation. For example, linear programming methods such as the optimal power </w:t>
      </w:r>
      <w:r w:rsidRPr="00B60DF8">
        <w:lastRenderedPageBreak/>
        <w:t>flow (OPF) problem have been employed to solve power distribution and load balancing issues in grids</w:t>
      </w:r>
      <w:r w:rsidR="004A3111">
        <w:t xml:space="preserve"> </w:t>
      </w:r>
      <w:r w:rsidR="004A3111" w:rsidRPr="004A3111">
        <w:t xml:space="preserve">(Li, et al., 2023, </w:t>
      </w:r>
      <w:proofErr w:type="spellStart"/>
      <w:r w:rsidR="004A3111" w:rsidRPr="004A3111">
        <w:t>Marougkas</w:t>
      </w:r>
      <w:proofErr w:type="spellEnd"/>
      <w:r w:rsidR="004A3111" w:rsidRPr="004A3111">
        <w:t>, et al., 2023, Xu, et al., 2023)</w:t>
      </w:r>
      <w:r w:rsidRPr="00B60DF8">
        <w:t>. Heuristic algorithms, such as genetic algorithms and simulated annealing, have been used to solve complex optimization problems in energy systems by mimicking natural processes. These methods, while effective in certain contexts, have limitations when applied to modern energy grids</w:t>
      </w:r>
      <w:r w:rsidR="00C60E8F">
        <w:t xml:space="preserve"> (</w:t>
      </w:r>
      <w:r w:rsidR="00C60E8F" w:rsidRPr="0093122B">
        <w:t>Aslam,</w:t>
      </w:r>
      <w:r w:rsidR="00C60E8F">
        <w:t xml:space="preserve"> et al., 2021)</w:t>
      </w:r>
      <w:r w:rsidRPr="00B60DF8">
        <w:t>.</w:t>
      </w:r>
      <w:r w:rsidR="000F5562">
        <w:t xml:space="preserve"> </w:t>
      </w:r>
      <w:r w:rsidR="000F5562" w:rsidRPr="00CE283D">
        <w:t>Ullah,</w:t>
      </w:r>
      <w:r w:rsidR="000F5562">
        <w:t xml:space="preserve"> et al., 2021, presented </w:t>
      </w:r>
      <w:r w:rsidR="000F5562" w:rsidRPr="000F5562">
        <w:t>Overview of a smart grid operation and the statistical details energy consumption in different sectors</w:t>
      </w:r>
      <w:r w:rsidR="000F5562">
        <w:t xml:space="preserve"> as shown in figure 1.</w:t>
      </w:r>
    </w:p>
    <w:p w14:paraId="0ABEF94B" w14:textId="07E5724E" w:rsidR="000F5562" w:rsidRDefault="000F5562" w:rsidP="00B60DF8">
      <w:pPr>
        <w:pStyle w:val="NormalWeb"/>
        <w:jc w:val="both"/>
      </w:pPr>
      <w:r>
        <w:rPr>
          <w:noProof/>
        </w:rPr>
        <w:drawing>
          <wp:inline distT="0" distB="0" distL="0" distR="0" wp14:anchorId="34CE410E" wp14:editId="3D4C4C9A">
            <wp:extent cx="4235450" cy="1843666"/>
            <wp:effectExtent l="0" t="0" r="0" b="4445"/>
            <wp:docPr id="1192801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6522" cy="1848486"/>
                    </a:xfrm>
                    <a:prstGeom prst="rect">
                      <a:avLst/>
                    </a:prstGeom>
                    <a:noFill/>
                  </pic:spPr>
                </pic:pic>
              </a:graphicData>
            </a:graphic>
          </wp:inline>
        </w:drawing>
      </w:r>
    </w:p>
    <w:p w14:paraId="5DA4A394" w14:textId="14429FE8" w:rsidR="000F5562" w:rsidRPr="000F5562" w:rsidRDefault="000F5562" w:rsidP="000F5562">
      <w:pPr>
        <w:pStyle w:val="NormalWeb"/>
        <w:jc w:val="both"/>
      </w:pPr>
      <w:r w:rsidRPr="000F5562">
        <w:rPr>
          <w:b/>
          <w:bCs/>
        </w:rPr>
        <w:t xml:space="preserve">Figure 1: </w:t>
      </w:r>
      <w:r w:rsidRPr="000F5562">
        <w:t>Overview of a smart grid operation and the statistical details energy consumption in different sectors</w:t>
      </w:r>
      <w:r>
        <w:t xml:space="preserve"> (</w:t>
      </w:r>
      <w:r w:rsidRPr="00CE283D">
        <w:t>Ullah,</w:t>
      </w:r>
      <w:r>
        <w:t xml:space="preserve"> et al., 2021)</w:t>
      </w:r>
    </w:p>
    <w:p w14:paraId="720B5C7D" w14:textId="102442BB" w:rsidR="000F5562" w:rsidRPr="00B60DF8" w:rsidRDefault="000F5562" w:rsidP="00B60DF8">
      <w:pPr>
        <w:pStyle w:val="NormalWeb"/>
        <w:jc w:val="both"/>
      </w:pPr>
    </w:p>
    <w:p w14:paraId="076A0AE9" w14:textId="79537C76" w:rsidR="00B60DF8" w:rsidRPr="00B60DF8" w:rsidRDefault="00B60DF8" w:rsidP="00B60DF8">
      <w:pPr>
        <w:pStyle w:val="NormalWeb"/>
        <w:jc w:val="both"/>
      </w:pPr>
      <w:r w:rsidRPr="00B60DF8">
        <w:t>The integration of renewable energy sources, such as solar and wind, introduces significant variability and uncertainty in energy generation. Traditional optimization methods struggle to handle this unpredictability, as they are typically designed for conventional, centralized energy generation systems</w:t>
      </w:r>
      <w:r w:rsidR="00C60E8F">
        <w:t xml:space="preserve"> (</w:t>
      </w:r>
      <w:r w:rsidR="00C60E8F" w:rsidRPr="0093122B">
        <w:t>Bhatti &amp; Danilovic, 2018</w:t>
      </w:r>
      <w:r w:rsidR="00C60E8F">
        <w:t>)</w:t>
      </w:r>
      <w:r w:rsidRPr="00B60DF8">
        <w:t>. Additionally, these methods often require manually defined parameters and assumptions about grid behavior, which can limit their adaptability to real-time changes. Furthermore, traditional optimization techniques face challenges in handling large-scale datasets generated by modern smart grids, which are equipped with sensors, smart meters, and advanced monitoring systems</w:t>
      </w:r>
      <w:r w:rsidR="004A3111">
        <w:t xml:space="preserve"> </w:t>
      </w:r>
      <w:r w:rsidR="004A3111" w:rsidRPr="004A3111">
        <w:t>(Del Rey, et al., 2011, Kumar &amp; Mahto, 2013)</w:t>
      </w:r>
      <w:r w:rsidRPr="00B60DF8">
        <w:t>. These systems generate vast amounts of real-time data, making it difficult for traditional methods to process and analyze effectively. Consequently, there is a need for more advanced optimization techniques that can handle these complexities and provide more accurate, dynamic, and adaptive solutions.</w:t>
      </w:r>
    </w:p>
    <w:p w14:paraId="0A315148" w14:textId="114C7C7E" w:rsidR="00B60DF8" w:rsidRPr="00B60DF8" w:rsidRDefault="00B60DF8" w:rsidP="00B60DF8">
      <w:pPr>
        <w:pStyle w:val="NormalWeb"/>
        <w:jc w:val="both"/>
      </w:pPr>
      <w:r w:rsidRPr="00B60DF8">
        <w:t>Deep learning, a subset of artificial intelligence (AI), has shown great promise in addressing these challenges. Deep learning algorithms, such as neural networks, convolutional neural networks (CNNs), and recurrent neural networks (RNNs), are capable of processing and learning from large datasets</w:t>
      </w:r>
      <w:r w:rsidR="00C60E8F">
        <w:t xml:space="preserve"> (</w:t>
      </w:r>
      <w:r w:rsidR="00C60E8F" w:rsidRPr="0093122B">
        <w:t>Bogdanov,</w:t>
      </w:r>
      <w:r w:rsidR="00C60E8F">
        <w:t xml:space="preserve"> et al., 2021)</w:t>
      </w:r>
      <w:r w:rsidRPr="00B60DF8">
        <w:t>. These algorithms can identify complex patterns and relationships within the data, making them ideal for handling the dynamic and multifaceted nature of modern energy grids</w:t>
      </w:r>
      <w:r w:rsidR="004A3111">
        <w:t xml:space="preserve"> </w:t>
      </w:r>
      <w:r w:rsidR="004A3111" w:rsidRPr="004A3111">
        <w:t>(Del Rey, et al., 2012, Nascimento, et al., 2019)</w:t>
      </w:r>
      <w:r w:rsidRPr="00B60DF8">
        <w:t xml:space="preserve">. One of the key advantages of deep learning in energy grid optimization is its ability to handle uncertainty and variability, especially in the context of renewable energy integration. For instance, RNNs and long short-term memory (LSTM) networks are particularly well-suited for time-series forecasting tasks, such as predicting energy demand and renewable energy generation. These models can learn from historical data to make accurate predictions, even in the presence of uncertainty and changing conditions. By providing accurate predictions, deep </w:t>
      </w:r>
      <w:r w:rsidRPr="00B60DF8">
        <w:lastRenderedPageBreak/>
        <w:t>learning can optimize the dispatch of energy resources, ensuring that the grid operates efficiently and reliably.</w:t>
      </w:r>
    </w:p>
    <w:p w14:paraId="7D564DE5" w14:textId="4040CA4A" w:rsidR="00FE137C" w:rsidRPr="00FE137C" w:rsidRDefault="00B60DF8" w:rsidP="00FE137C">
      <w:pPr>
        <w:pStyle w:val="NormalWeb"/>
        <w:jc w:val="both"/>
      </w:pPr>
      <w:r w:rsidRPr="00B60DF8">
        <w:t>Another significant advantage of deep learning is its ability to perform real-time monitoring and control of grid operations. Deep learning models can be trained to recognize abnormal patterns in grid behavior, such as faults or equipment failures, and trigger appropriate responses to mitigate risks. For example, CNNs have been applied to fault detection and classification in power grids, where they can analyze images from infrared cameras to detect overheating equipment or identify visual patterns associated with equipment failure</w:t>
      </w:r>
      <w:r w:rsidR="004A3111">
        <w:t xml:space="preserve"> </w:t>
      </w:r>
      <w:r w:rsidR="004A3111" w:rsidRPr="004A3111">
        <w:t>(Mohammadi, et al., 2023, Srivastava, et al., 2023)</w:t>
      </w:r>
      <w:r w:rsidRPr="00B60DF8">
        <w:t>. Similarly, deep reinforcement learning (DRL) has been used to optimize power flow and manage energy storage systems in real time. DRL algorithms learn from the grid's behavior and make decisions that maximize efficiency, minimize losses, and improve overall system performance</w:t>
      </w:r>
      <w:r w:rsidR="00C60E8F">
        <w:t xml:space="preserve"> (</w:t>
      </w:r>
      <w:r w:rsidR="00C60E8F" w:rsidRPr="0093122B">
        <w:t>Cantarero, 2020</w:t>
      </w:r>
      <w:r w:rsidR="00C60E8F">
        <w:t>)</w:t>
      </w:r>
      <w:r w:rsidRPr="00B60DF8">
        <w:t>. These advancements in deep learning offer the potential to create smarter, more adaptive energy grids that can respond to changing conditions and optimize performance autonomously.</w:t>
      </w:r>
      <w:r w:rsidR="00FE137C">
        <w:t xml:space="preserve"> </w:t>
      </w:r>
      <w:r w:rsidR="00FE137C" w:rsidRPr="00FE137C">
        <w:t>Figure 2</w:t>
      </w:r>
      <w:r w:rsidR="00FE137C">
        <w:t xml:space="preserve"> shows</w:t>
      </w:r>
      <w:r w:rsidR="00FE137C" w:rsidRPr="00FE137C">
        <w:t xml:space="preserve"> Operation Mechanism Optimization Framework of Power Grid Business </w:t>
      </w:r>
      <w:proofErr w:type="gramStart"/>
      <w:r w:rsidR="00FE137C" w:rsidRPr="00FE137C">
        <w:t>Organization</w:t>
      </w:r>
      <w:r w:rsidR="00FE137C">
        <w:t xml:space="preserve">  as</w:t>
      </w:r>
      <w:proofErr w:type="gramEnd"/>
      <w:r w:rsidR="00FE137C">
        <w:t xml:space="preserve"> presented by </w:t>
      </w:r>
      <w:r w:rsidR="00FE137C" w:rsidRPr="00242E41">
        <w:t>Meng, Cheng</w:t>
      </w:r>
      <w:r w:rsidR="00FE137C">
        <w:t xml:space="preserve"> </w:t>
      </w:r>
      <w:r w:rsidR="00FE137C" w:rsidRPr="00242E41">
        <w:t>&amp; Liu, 2021</w:t>
      </w:r>
      <w:r w:rsidR="00FE137C">
        <w:t>.</w:t>
      </w:r>
    </w:p>
    <w:p w14:paraId="2107F952" w14:textId="72F74AD7" w:rsidR="00B60DF8" w:rsidRDefault="00B60DF8" w:rsidP="00B60DF8">
      <w:pPr>
        <w:pStyle w:val="NormalWeb"/>
        <w:jc w:val="both"/>
      </w:pPr>
    </w:p>
    <w:p w14:paraId="2490311B" w14:textId="6C6C9AF6" w:rsidR="00DA22DC" w:rsidRDefault="00FE137C" w:rsidP="00B60DF8">
      <w:pPr>
        <w:pStyle w:val="NormalWeb"/>
        <w:jc w:val="both"/>
      </w:pPr>
      <w:r>
        <w:rPr>
          <w:noProof/>
        </w:rPr>
        <w:drawing>
          <wp:inline distT="0" distB="0" distL="0" distR="0" wp14:anchorId="29D5CBF9" wp14:editId="2F6F13E3">
            <wp:extent cx="4302867" cy="2708275"/>
            <wp:effectExtent l="0" t="0" r="2540" b="0"/>
            <wp:docPr id="15388500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0257" cy="2712926"/>
                    </a:xfrm>
                    <a:prstGeom prst="rect">
                      <a:avLst/>
                    </a:prstGeom>
                    <a:noFill/>
                  </pic:spPr>
                </pic:pic>
              </a:graphicData>
            </a:graphic>
          </wp:inline>
        </w:drawing>
      </w:r>
    </w:p>
    <w:p w14:paraId="79FD8A18" w14:textId="62D39DA0" w:rsidR="00FE137C" w:rsidRPr="00FE137C" w:rsidRDefault="00FE137C" w:rsidP="00FE137C">
      <w:pPr>
        <w:pStyle w:val="NormalWeb"/>
        <w:jc w:val="both"/>
      </w:pPr>
      <w:r w:rsidRPr="00FE137C">
        <w:rPr>
          <w:b/>
          <w:bCs/>
        </w:rPr>
        <w:t>Figure 2:</w:t>
      </w:r>
      <w:r>
        <w:t xml:space="preserve"> </w:t>
      </w:r>
      <w:r w:rsidRPr="00FE137C">
        <w:t>Operation Mechanism Optimization Framework of Power Grid Business Organization</w:t>
      </w:r>
      <w:r>
        <w:t xml:space="preserve"> (</w:t>
      </w:r>
      <w:r w:rsidRPr="00242E41">
        <w:t>Meng, Cheng &amp; Liu, 2021</w:t>
      </w:r>
      <w:r>
        <w:t>).</w:t>
      </w:r>
    </w:p>
    <w:p w14:paraId="5BE5B7CB" w14:textId="0EA7AD10" w:rsidR="00FE137C" w:rsidRPr="00B60DF8" w:rsidRDefault="00FE137C" w:rsidP="00B60DF8">
      <w:pPr>
        <w:pStyle w:val="NormalWeb"/>
        <w:jc w:val="both"/>
      </w:pPr>
    </w:p>
    <w:p w14:paraId="49F4812D" w14:textId="53BEDA6F" w:rsidR="00B60DF8" w:rsidRPr="00B60DF8" w:rsidRDefault="00B60DF8" w:rsidP="00B60DF8">
      <w:pPr>
        <w:pStyle w:val="NormalWeb"/>
        <w:jc w:val="both"/>
      </w:pPr>
      <w:r w:rsidRPr="00B60DF8">
        <w:t>There have been several key advancements in the application of deep learning for energy grid optimization. One area where deep learning has made a significant impact is in load forecasting. Accurate load forecasting is essential for ensuring that the grid can meet demand while avoiding overloading and minimizing energy waste</w:t>
      </w:r>
      <w:r w:rsidR="00C60E8F">
        <w:t xml:space="preserve"> (</w:t>
      </w:r>
      <w:r w:rsidR="00C60E8F" w:rsidRPr="00F87B6E">
        <w:t>Cheng &amp; Yu, 2019</w:t>
      </w:r>
      <w:r w:rsidR="00C60E8F">
        <w:t>)</w:t>
      </w:r>
      <w:r w:rsidRPr="00B60DF8">
        <w:t xml:space="preserve">. Traditional load forecasting methods, such as statistical models and regression analysis, have limitations when it comes to capturing complex patterns in demand data. Deep learning models, on the other hand, can learn from large historical datasets and identify intricate relationships between various factors that influence energy consumption, such as weather patterns, time of day, and economic activity. These models have been shown to provide more accurate load </w:t>
      </w:r>
      <w:r w:rsidRPr="00B60DF8">
        <w:lastRenderedPageBreak/>
        <w:t>forecasting compared to traditional methods, leading to better resource planning and grid optimization</w:t>
      </w:r>
      <w:r w:rsidR="004A3111">
        <w:t xml:space="preserve"> </w:t>
      </w:r>
      <w:r w:rsidR="004A3111" w:rsidRPr="004A3111">
        <w:t>(Ojo &amp; Lee, 2020, Plocher &amp; Panesar, 2019)</w:t>
      </w:r>
      <w:r w:rsidRPr="00B60DF8">
        <w:t>.</w:t>
      </w:r>
    </w:p>
    <w:p w14:paraId="440C72A4" w14:textId="27843775" w:rsidR="00B60DF8" w:rsidRPr="00B60DF8" w:rsidRDefault="00B60DF8" w:rsidP="00B60DF8">
      <w:pPr>
        <w:pStyle w:val="NormalWeb"/>
        <w:jc w:val="both"/>
      </w:pPr>
      <w:r w:rsidRPr="00B60DF8">
        <w:t>Another key application of deep learning in energy grids is in the optimization of energy storage systems. Energy storage plays a critical role in stabilizing the grid, especially with the integration of intermittent renewable energy sources. Deep learning algorithms can be used to predict the optimal times for charging and discharging energy storage systems based on factors such as energy demand, energy prices, and renewable generation forecasts</w:t>
      </w:r>
      <w:r w:rsidR="004A3111">
        <w:t xml:space="preserve"> </w:t>
      </w:r>
      <w:r w:rsidR="004A3111" w:rsidRPr="004A3111">
        <w:t>(Edwards, Weisz-</w:t>
      </w:r>
      <w:proofErr w:type="spellStart"/>
      <w:r w:rsidR="004A3111" w:rsidRPr="004A3111">
        <w:t>Patrault</w:t>
      </w:r>
      <w:proofErr w:type="spellEnd"/>
      <w:r w:rsidR="004A3111" w:rsidRPr="004A3111">
        <w:t xml:space="preserve"> &amp; </w:t>
      </w:r>
      <w:proofErr w:type="spellStart"/>
      <w:r w:rsidR="004A3111" w:rsidRPr="004A3111">
        <w:t>Charkaluk</w:t>
      </w:r>
      <w:proofErr w:type="spellEnd"/>
      <w:r w:rsidR="004A3111" w:rsidRPr="004A3111">
        <w:t>, 2023, Yuan, et al., 2023)</w:t>
      </w:r>
      <w:r w:rsidRPr="00B60DF8">
        <w:t>. These algorithms can also help to improve the efficiency of energy storage systems by identifying the best strategies for managing stored energy, reducing losses, and optimizing the lifespan of batteries</w:t>
      </w:r>
      <w:r w:rsidR="00C60E8F">
        <w:t xml:space="preserve"> (</w:t>
      </w:r>
      <w:r w:rsidR="00C60E8F" w:rsidRPr="0093122B">
        <w:t xml:space="preserve">Duchesne, </w:t>
      </w:r>
      <w:proofErr w:type="spellStart"/>
      <w:r w:rsidR="00C60E8F" w:rsidRPr="0093122B">
        <w:t>Karangelos</w:t>
      </w:r>
      <w:proofErr w:type="spellEnd"/>
      <w:r w:rsidR="00C60E8F" w:rsidRPr="0093122B">
        <w:t xml:space="preserve"> &amp; </w:t>
      </w:r>
      <w:proofErr w:type="spellStart"/>
      <w:r w:rsidR="00C60E8F" w:rsidRPr="0093122B">
        <w:t>Wehenkel</w:t>
      </w:r>
      <w:proofErr w:type="spellEnd"/>
      <w:r w:rsidR="00C60E8F" w:rsidRPr="0093122B">
        <w:t>, 2020</w:t>
      </w:r>
      <w:r w:rsidR="00C60E8F">
        <w:t>)</w:t>
      </w:r>
      <w:r w:rsidRPr="00B60DF8">
        <w:t>.</w:t>
      </w:r>
    </w:p>
    <w:p w14:paraId="2C96C882" w14:textId="0A128CC6" w:rsidR="00B60DF8" w:rsidRPr="00B60DF8" w:rsidRDefault="00B60DF8" w:rsidP="00B60DF8">
      <w:pPr>
        <w:pStyle w:val="NormalWeb"/>
        <w:jc w:val="both"/>
      </w:pPr>
      <w:r w:rsidRPr="00B60DF8">
        <w:t>Despite the promising advancements in deep learning applications for energy grid optimization, several knowledge gaps remain. One of the key challenges in the implementation of deep learning models is the need for high-quality, labeled data. Deep learning algorithms require large amounts of training data to achieve high accuracy, and in many cases, this data is not readily available or may be difficult to obtain</w:t>
      </w:r>
      <w:r w:rsidR="004A3111">
        <w:t xml:space="preserve"> </w:t>
      </w:r>
      <w:r w:rsidR="004A3111" w:rsidRPr="004A3111">
        <w:t>(</w:t>
      </w:r>
      <w:proofErr w:type="spellStart"/>
      <w:r w:rsidR="004A3111" w:rsidRPr="004A3111">
        <w:t>Mirkouei</w:t>
      </w:r>
      <w:proofErr w:type="spellEnd"/>
      <w:r w:rsidR="004A3111" w:rsidRPr="004A3111">
        <w:t>, et al., 2016, Najiha, Rahman &amp; Yusoff, 2016)</w:t>
      </w:r>
      <w:r w:rsidRPr="00B60DF8">
        <w:t>. In particular, real-time data from smart grids may be noisy or incomplete, which can affect the performance of deep learning models. Moreover, deep learning models can be computationally intensive, requiring significant processing power and resources</w:t>
      </w:r>
      <w:r w:rsidR="00C60E8F">
        <w:t xml:space="preserve"> (</w:t>
      </w:r>
      <w:r w:rsidR="00C60E8F" w:rsidRPr="00F87B6E">
        <w:t>Fan, Yan &amp; Wen, 2023</w:t>
      </w:r>
      <w:r w:rsidR="00C60E8F">
        <w:t>)</w:t>
      </w:r>
      <w:r w:rsidRPr="00B60DF8">
        <w:t>. This can be a limitation in some real-world applications, where computational resources may be constrained.</w:t>
      </w:r>
    </w:p>
    <w:p w14:paraId="2F96EF48" w14:textId="34E3F985" w:rsidR="00B60DF8" w:rsidRPr="00B60DF8" w:rsidRDefault="00B60DF8" w:rsidP="00B60DF8">
      <w:pPr>
        <w:pStyle w:val="NormalWeb"/>
        <w:jc w:val="both"/>
      </w:pPr>
      <w:r w:rsidRPr="00B60DF8">
        <w:t>Another gap in research is the lack of standardized methodologies for evaluating the performance of deep learning models in energy grid optimization. While there are several studies that demonstrate the effectiveness of deep learning algorithms in specific applications, there is a need for more comprehensive and standardized benchmarks that can assess the performance of these models across different grid optimization tasks</w:t>
      </w:r>
      <w:r w:rsidR="004A3111">
        <w:t xml:space="preserve"> </w:t>
      </w:r>
      <w:r w:rsidR="004A3111" w:rsidRPr="004A3111">
        <w:t xml:space="preserve">(Li, </w:t>
      </w:r>
      <w:proofErr w:type="spellStart"/>
      <w:r w:rsidR="004A3111" w:rsidRPr="004A3111">
        <w:t>Öchsner</w:t>
      </w:r>
      <w:proofErr w:type="spellEnd"/>
      <w:r w:rsidR="004A3111" w:rsidRPr="004A3111">
        <w:t xml:space="preserve"> &amp; Hall, 2019, Menard &amp; Menard, 2020)</w:t>
      </w:r>
      <w:r w:rsidRPr="00B60DF8">
        <w:t>. Furthermore, there is limited research on the integration of deep learning models with existing grid management systems. Energy grids often rely on legacy systems that are not designed to work with advanced AI techniques, and integrating deep learning with these systems presents technical and operational challenges</w:t>
      </w:r>
      <w:r w:rsidR="00C60E8F">
        <w:t xml:space="preserve"> (</w:t>
      </w:r>
      <w:proofErr w:type="spellStart"/>
      <w:r w:rsidR="00C60E8F" w:rsidRPr="00F87B6E">
        <w:t>Forootan</w:t>
      </w:r>
      <w:proofErr w:type="spellEnd"/>
      <w:r w:rsidR="00C60E8F" w:rsidRPr="00F87B6E">
        <w:t>,</w:t>
      </w:r>
      <w:r w:rsidR="00C60E8F">
        <w:t xml:space="preserve"> et al., 2022)</w:t>
      </w:r>
      <w:r w:rsidRPr="00B60DF8">
        <w:t>.</w:t>
      </w:r>
    </w:p>
    <w:p w14:paraId="0E49B058" w14:textId="3BEABD75" w:rsidR="00B60DF8" w:rsidRPr="00B60DF8" w:rsidRDefault="00B60DF8" w:rsidP="00B60DF8">
      <w:pPr>
        <w:pStyle w:val="NormalWeb"/>
        <w:jc w:val="both"/>
      </w:pPr>
      <w:r w:rsidRPr="00B60DF8">
        <w:t>Finally, while deep learning has shown promise in many areas of grid optimization, its practical implementation in real-world energy systems remains limited. Many of the studies in this area are still in the experimental phase, and there is a need for more pilot projects and case studies that demonstrate the scalability and effectiveness of deep learning models in large-scale grid operations</w:t>
      </w:r>
      <w:r w:rsidR="004A3111">
        <w:t xml:space="preserve"> </w:t>
      </w:r>
      <w:r w:rsidR="004A3111" w:rsidRPr="004A3111">
        <w:t>(Fang, et al., 2023, Kehrer, et al., 2023, Zhang, et al., 2023)</w:t>
      </w:r>
      <w:r w:rsidRPr="00B60DF8">
        <w:t>.</w:t>
      </w:r>
      <w:r w:rsidR="004A3111">
        <w:t xml:space="preserve"> </w:t>
      </w:r>
      <w:r w:rsidRPr="00B60DF8">
        <w:t>In conclusion, while deep learning has shown great potential in enhancing the efficiency, reliability, and sustainability of energy grids, there are still significant gaps in research and practical implementation. Addressing these challenges will be crucial for realizing the full potential of deep learning in energy grid optimization. Further research is needed to develop more accurate and efficient models, improve data quality and availability, and overcome the integration challenges associated with deep learning in existing grid infrastructure.</w:t>
      </w:r>
    </w:p>
    <w:p w14:paraId="243F79E6" w14:textId="77777777" w:rsidR="000E0796" w:rsidRDefault="000E0796" w:rsidP="00B60DF8">
      <w:pPr>
        <w:spacing w:after="0"/>
        <w:jc w:val="both"/>
        <w:rPr>
          <w:rStyle w:val="Strong"/>
          <w:rFonts w:ascii="Times New Roman" w:hAnsi="Times New Roman" w:cs="Times New Roman"/>
          <w:sz w:val="24"/>
          <w:szCs w:val="24"/>
        </w:rPr>
      </w:pPr>
    </w:p>
    <w:p w14:paraId="76F148A7" w14:textId="413B8A8F" w:rsidR="00B65D93" w:rsidRPr="00B60DF8" w:rsidRDefault="00B65D93" w:rsidP="0062478A">
      <w:pPr>
        <w:spacing w:before="240"/>
        <w:jc w:val="both"/>
        <w:rPr>
          <w:rFonts w:ascii="Times New Roman" w:hAnsi="Times New Roman" w:cs="Times New Roman"/>
          <w:sz w:val="24"/>
          <w:szCs w:val="24"/>
        </w:rPr>
      </w:pPr>
      <w:r w:rsidRPr="00B60DF8">
        <w:rPr>
          <w:rStyle w:val="Strong"/>
          <w:rFonts w:ascii="Times New Roman" w:hAnsi="Times New Roman" w:cs="Times New Roman"/>
          <w:sz w:val="24"/>
          <w:szCs w:val="24"/>
        </w:rPr>
        <w:t>2.2.</w:t>
      </w:r>
      <w:r w:rsidRPr="00B60DF8">
        <w:rPr>
          <w:rStyle w:val="Strong"/>
          <w:rFonts w:ascii="Times New Roman" w:hAnsi="Times New Roman" w:cs="Times New Roman"/>
          <w:sz w:val="24"/>
          <w:szCs w:val="24"/>
        </w:rPr>
        <w:tab/>
        <w:t>Methodology</w:t>
      </w:r>
    </w:p>
    <w:p w14:paraId="1A10B4EA" w14:textId="529AF0D9" w:rsidR="0062478A" w:rsidRPr="0062478A" w:rsidRDefault="0062478A" w:rsidP="0062478A">
      <w:pPr>
        <w:spacing w:before="240"/>
        <w:jc w:val="both"/>
        <w:rPr>
          <w:rFonts w:ascii="Times New Roman" w:eastAsia="Times New Roman" w:hAnsi="Times New Roman" w:cs="Times New Roman"/>
          <w:kern w:val="0"/>
          <w:sz w:val="24"/>
          <w:szCs w:val="24"/>
          <w14:ligatures w14:val="none"/>
        </w:rPr>
      </w:pPr>
      <w:r w:rsidRPr="0062478A">
        <w:rPr>
          <w:rFonts w:ascii="Times New Roman" w:eastAsia="Times New Roman" w:hAnsi="Times New Roman" w:cs="Times New Roman"/>
          <w:kern w:val="0"/>
          <w:sz w:val="24"/>
          <w:szCs w:val="24"/>
          <w14:ligatures w14:val="none"/>
        </w:rPr>
        <w:lastRenderedPageBreak/>
        <w:t>The methodology for developing a framework for integrating deep learning into energy grid optimization to enhance efficiency and reliability adheres to the Preferred Reporting Items for Systematic Reviews and Meta-Analyses (PRISMA) guidelines. The systematic process included four phases: identification, screening, eligibility, and inclusion.</w:t>
      </w:r>
      <w:r>
        <w:rPr>
          <w:rFonts w:ascii="Times New Roman" w:eastAsia="Times New Roman" w:hAnsi="Times New Roman" w:cs="Times New Roman"/>
          <w:kern w:val="0"/>
          <w:sz w:val="24"/>
          <w:szCs w:val="24"/>
          <w14:ligatures w14:val="none"/>
        </w:rPr>
        <w:t xml:space="preserve"> </w:t>
      </w:r>
      <w:r w:rsidRPr="0062478A">
        <w:rPr>
          <w:rFonts w:ascii="Times New Roman" w:eastAsia="Times New Roman" w:hAnsi="Times New Roman" w:cs="Times New Roman"/>
          <w:kern w:val="0"/>
          <w:sz w:val="24"/>
          <w:szCs w:val="24"/>
          <w14:ligatures w14:val="none"/>
        </w:rPr>
        <w:t>Relevant studies and reports were identified through comprehensive database searches of journals, conference proceedings, and institutional publications. Databases such as IEEE Xplore, Scopus, Web of Science, and SpringerLink were utilized, focusing on keywords like "deep learning," "energy grid optimization," "smart grids," "renewable energy," "AI in energy systems," and "energy reliability." References from key papers were also manually screened to expand the pool of relevant literature.</w:t>
      </w:r>
    </w:p>
    <w:p w14:paraId="42377E24" w14:textId="54D54640" w:rsidR="0062478A" w:rsidRPr="0062478A" w:rsidRDefault="0062478A" w:rsidP="0062478A">
      <w:pPr>
        <w:spacing w:before="240"/>
        <w:jc w:val="both"/>
        <w:rPr>
          <w:rFonts w:ascii="Times New Roman" w:eastAsia="Times New Roman" w:hAnsi="Times New Roman" w:cs="Times New Roman"/>
          <w:kern w:val="0"/>
          <w:sz w:val="24"/>
          <w:szCs w:val="24"/>
          <w14:ligatures w14:val="none"/>
        </w:rPr>
      </w:pPr>
      <w:r w:rsidRPr="0062478A">
        <w:rPr>
          <w:rFonts w:ascii="Times New Roman" w:eastAsia="Times New Roman" w:hAnsi="Times New Roman" w:cs="Times New Roman"/>
          <w:kern w:val="0"/>
          <w:sz w:val="24"/>
          <w:szCs w:val="24"/>
          <w14:ligatures w14:val="none"/>
        </w:rPr>
        <w:t>The initial pool of studies was screened based on titles and abstracts to ensure relevance to the topic. Studies that did not align with the scope of integrating deep learning into energy grid optimization or lacked robust methodological rigor were excluded. Duplicates were removed.</w:t>
      </w:r>
      <w:r>
        <w:rPr>
          <w:rFonts w:ascii="Times New Roman" w:eastAsia="Times New Roman" w:hAnsi="Times New Roman" w:cs="Times New Roman"/>
          <w:kern w:val="0"/>
          <w:sz w:val="24"/>
          <w:szCs w:val="24"/>
          <w14:ligatures w14:val="none"/>
        </w:rPr>
        <w:t xml:space="preserve"> </w:t>
      </w:r>
      <w:r w:rsidRPr="0062478A">
        <w:rPr>
          <w:rFonts w:ascii="Times New Roman" w:eastAsia="Times New Roman" w:hAnsi="Times New Roman" w:cs="Times New Roman"/>
          <w:kern w:val="0"/>
          <w:sz w:val="24"/>
          <w:szCs w:val="24"/>
          <w14:ligatures w14:val="none"/>
        </w:rPr>
        <w:t>Full-text articles were assessed for eligibility based on predefined inclusion criteria. These included relevance to deep learning applications in energy grids, empirical or simulation-based studies, and publications within the last decade to ensure methodological and technological relevance.</w:t>
      </w:r>
      <w:r>
        <w:rPr>
          <w:rFonts w:ascii="Times New Roman" w:eastAsia="Times New Roman" w:hAnsi="Times New Roman" w:cs="Times New Roman"/>
          <w:kern w:val="0"/>
          <w:sz w:val="24"/>
          <w:szCs w:val="24"/>
          <w14:ligatures w14:val="none"/>
        </w:rPr>
        <w:t xml:space="preserve"> </w:t>
      </w:r>
      <w:r w:rsidRPr="0062478A">
        <w:rPr>
          <w:rFonts w:ascii="Times New Roman" w:eastAsia="Times New Roman" w:hAnsi="Times New Roman" w:cs="Times New Roman"/>
          <w:kern w:val="0"/>
          <w:sz w:val="24"/>
          <w:szCs w:val="24"/>
          <w14:ligatures w14:val="none"/>
        </w:rPr>
        <w:t>Studies that satisfied the eligibility criteria were included in the final review. Data from the included studies were extracted and synthesized to identify trends, challenges, and gaps. Specific emphasis was placed on probabilistic machine learning, neural networks, reinforcement learning, and hybrid approaches.</w:t>
      </w:r>
    </w:p>
    <w:p w14:paraId="356CC064" w14:textId="7E8876C0" w:rsidR="00B65D93" w:rsidRDefault="0062478A" w:rsidP="0062478A">
      <w:pPr>
        <w:spacing w:before="240"/>
        <w:jc w:val="both"/>
        <w:rPr>
          <w:rFonts w:ascii="Times New Roman" w:eastAsia="Times New Roman" w:hAnsi="Times New Roman" w:cs="Times New Roman"/>
          <w:kern w:val="0"/>
          <w:sz w:val="24"/>
          <w:szCs w:val="24"/>
          <w14:ligatures w14:val="none"/>
        </w:rPr>
      </w:pPr>
      <w:r w:rsidRPr="0062478A">
        <w:rPr>
          <w:rFonts w:ascii="Times New Roman" w:eastAsia="Times New Roman" w:hAnsi="Times New Roman" w:cs="Times New Roman"/>
          <w:kern w:val="0"/>
          <w:sz w:val="24"/>
          <w:szCs w:val="24"/>
          <w14:ligatures w14:val="none"/>
        </w:rPr>
        <w:t>Data analysis involved summarizing findings across dimensions such as energy load forecasting, demand-side management, grid reliability, and the integration of renewable energy. Insights were categorized based on thematic patterns and technological approaches.</w:t>
      </w:r>
      <w:r>
        <w:rPr>
          <w:rFonts w:ascii="Times New Roman" w:eastAsia="Times New Roman" w:hAnsi="Times New Roman" w:cs="Times New Roman"/>
          <w:kern w:val="0"/>
          <w:sz w:val="24"/>
          <w:szCs w:val="24"/>
          <w14:ligatures w14:val="none"/>
        </w:rPr>
        <w:t xml:space="preserve"> </w:t>
      </w:r>
      <w:r w:rsidRPr="0062478A">
        <w:rPr>
          <w:rFonts w:ascii="Times New Roman" w:eastAsia="Times New Roman" w:hAnsi="Times New Roman" w:cs="Times New Roman"/>
          <w:kern w:val="0"/>
          <w:sz w:val="24"/>
          <w:szCs w:val="24"/>
          <w14:ligatures w14:val="none"/>
        </w:rPr>
        <w:t xml:space="preserve">The PRISMA flowchart </w:t>
      </w:r>
      <w:r>
        <w:rPr>
          <w:rFonts w:ascii="Times New Roman" w:eastAsia="Times New Roman" w:hAnsi="Times New Roman" w:cs="Times New Roman"/>
          <w:kern w:val="0"/>
          <w:sz w:val="24"/>
          <w:szCs w:val="24"/>
          <w14:ligatures w14:val="none"/>
        </w:rPr>
        <w:t xml:space="preserve">shown in figure 3 </w:t>
      </w:r>
      <w:r w:rsidRPr="0062478A">
        <w:rPr>
          <w:rFonts w:ascii="Times New Roman" w:eastAsia="Times New Roman" w:hAnsi="Times New Roman" w:cs="Times New Roman"/>
          <w:kern w:val="0"/>
          <w:sz w:val="24"/>
          <w:szCs w:val="24"/>
          <w14:ligatures w14:val="none"/>
        </w:rPr>
        <w:t>illustrates the systematic process used in the review.</w:t>
      </w:r>
      <w:r>
        <w:rPr>
          <w:rFonts w:ascii="Times New Roman" w:eastAsia="Times New Roman" w:hAnsi="Times New Roman" w:cs="Times New Roman"/>
          <w:kern w:val="0"/>
          <w:sz w:val="24"/>
          <w:szCs w:val="24"/>
          <w14:ligatures w14:val="none"/>
        </w:rPr>
        <w:t xml:space="preserve">  </w:t>
      </w:r>
      <w:r w:rsidRPr="0062478A">
        <w:rPr>
          <w:rFonts w:ascii="Times New Roman" w:eastAsia="Times New Roman" w:hAnsi="Times New Roman" w:cs="Times New Roman"/>
          <w:kern w:val="0"/>
          <w:sz w:val="24"/>
          <w:szCs w:val="24"/>
          <w14:ligatures w14:val="none"/>
        </w:rPr>
        <w:t xml:space="preserve">The PRISMA flowchart visually represents the systematic process for selecting studies in developing the framework for integrating deep learning into energy grid optimization. This structured methodology ensures rigor and relevance in addressing the research objectives. </w:t>
      </w:r>
    </w:p>
    <w:p w14:paraId="16EC0250" w14:textId="77777777" w:rsidR="0062478A" w:rsidRPr="0062478A" w:rsidRDefault="0062478A" w:rsidP="00B60DF8">
      <w:pPr>
        <w:spacing w:after="0"/>
        <w:jc w:val="both"/>
        <w:rPr>
          <w:rStyle w:val="Strong"/>
          <w:rFonts w:ascii="Times New Roman" w:hAnsi="Times New Roman" w:cs="Times New Roman"/>
          <w:sz w:val="24"/>
          <w:szCs w:val="24"/>
        </w:rPr>
      </w:pPr>
    </w:p>
    <w:p w14:paraId="0EB2A85A" w14:textId="0A452EB1" w:rsidR="00B65D93" w:rsidRDefault="0062478A" w:rsidP="00B60DF8">
      <w:pPr>
        <w:spacing w:after="0"/>
        <w:jc w:val="both"/>
        <w:rPr>
          <w:rStyle w:val="Strong"/>
          <w:rFonts w:ascii="Times New Roman" w:hAnsi="Times New Roman" w:cs="Times New Roman"/>
          <w:sz w:val="24"/>
          <w:szCs w:val="24"/>
        </w:rPr>
      </w:pPr>
      <w:r>
        <w:rPr>
          <w:rStyle w:val="Strong"/>
          <w:rFonts w:ascii="Times New Roman" w:hAnsi="Times New Roman" w:cs="Times New Roman"/>
          <w:noProof/>
          <w:sz w:val="24"/>
          <w:szCs w:val="24"/>
        </w:rPr>
        <w:drawing>
          <wp:inline distT="0" distB="0" distL="0" distR="0" wp14:anchorId="59BDC494" wp14:editId="1BCF3C69">
            <wp:extent cx="4303575" cy="2830230"/>
            <wp:effectExtent l="0" t="0" r="1905" b="8255"/>
            <wp:docPr id="1492251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0785" cy="2848125"/>
                    </a:xfrm>
                    <a:prstGeom prst="rect">
                      <a:avLst/>
                    </a:prstGeom>
                    <a:noFill/>
                  </pic:spPr>
                </pic:pic>
              </a:graphicData>
            </a:graphic>
          </wp:inline>
        </w:drawing>
      </w:r>
    </w:p>
    <w:p w14:paraId="4FB34FD1" w14:textId="6588D926" w:rsidR="0062478A" w:rsidRDefault="0062478A" w:rsidP="00B60DF8">
      <w:pPr>
        <w:spacing w:after="0"/>
        <w:jc w:val="both"/>
        <w:rPr>
          <w:rStyle w:val="Strong"/>
          <w:rFonts w:ascii="Times New Roman" w:hAnsi="Times New Roman" w:cs="Times New Roman"/>
          <w:b w:val="0"/>
          <w:bCs w:val="0"/>
          <w:sz w:val="24"/>
          <w:szCs w:val="24"/>
        </w:rPr>
      </w:pPr>
      <w:r w:rsidRPr="0062478A">
        <w:rPr>
          <w:rStyle w:val="Strong"/>
          <w:rFonts w:ascii="Times New Roman" w:hAnsi="Times New Roman" w:cs="Times New Roman"/>
          <w:sz w:val="24"/>
          <w:szCs w:val="24"/>
        </w:rPr>
        <w:lastRenderedPageBreak/>
        <w:t xml:space="preserve">Figure </w:t>
      </w:r>
      <w:r>
        <w:rPr>
          <w:rStyle w:val="Strong"/>
          <w:rFonts w:ascii="Times New Roman" w:hAnsi="Times New Roman" w:cs="Times New Roman"/>
          <w:sz w:val="24"/>
          <w:szCs w:val="24"/>
        </w:rPr>
        <w:t>3</w:t>
      </w:r>
      <w:r w:rsidRPr="0062478A">
        <w:rPr>
          <w:rStyle w:val="Strong"/>
          <w:rFonts w:ascii="Times New Roman" w:hAnsi="Times New Roman" w:cs="Times New Roman"/>
          <w:sz w:val="24"/>
          <w:szCs w:val="24"/>
        </w:rPr>
        <w:t xml:space="preserve">: </w:t>
      </w:r>
      <w:r w:rsidRPr="0062478A">
        <w:rPr>
          <w:rStyle w:val="Strong"/>
          <w:rFonts w:ascii="Times New Roman" w:hAnsi="Times New Roman" w:cs="Times New Roman"/>
          <w:b w:val="0"/>
          <w:bCs w:val="0"/>
          <w:sz w:val="24"/>
          <w:szCs w:val="24"/>
        </w:rPr>
        <w:t>PRISMA Flow chart of the study methodology</w:t>
      </w:r>
    </w:p>
    <w:p w14:paraId="5D5E7B3E" w14:textId="77777777" w:rsidR="0062478A" w:rsidRDefault="0062478A" w:rsidP="00B60DF8">
      <w:pPr>
        <w:spacing w:after="0"/>
        <w:jc w:val="both"/>
        <w:rPr>
          <w:rStyle w:val="Strong"/>
          <w:rFonts w:ascii="Times New Roman" w:hAnsi="Times New Roman" w:cs="Times New Roman"/>
          <w:b w:val="0"/>
          <w:bCs w:val="0"/>
          <w:sz w:val="24"/>
          <w:szCs w:val="24"/>
        </w:rPr>
      </w:pPr>
    </w:p>
    <w:p w14:paraId="152732A9" w14:textId="77777777" w:rsidR="0062478A" w:rsidRPr="0062478A" w:rsidRDefault="0062478A" w:rsidP="00B60DF8">
      <w:pPr>
        <w:spacing w:after="0"/>
        <w:jc w:val="both"/>
        <w:rPr>
          <w:rStyle w:val="Strong"/>
          <w:rFonts w:ascii="Times New Roman" w:hAnsi="Times New Roman" w:cs="Times New Roman"/>
          <w:b w:val="0"/>
          <w:bCs w:val="0"/>
          <w:sz w:val="24"/>
          <w:szCs w:val="24"/>
        </w:rPr>
      </w:pPr>
    </w:p>
    <w:p w14:paraId="79C76125" w14:textId="5E1DB9C6" w:rsidR="00FD148A" w:rsidRPr="00B60DF8" w:rsidRDefault="00B65D93" w:rsidP="00B60DF8">
      <w:pPr>
        <w:spacing w:after="0"/>
        <w:jc w:val="both"/>
        <w:rPr>
          <w:rFonts w:ascii="Times New Roman" w:hAnsi="Times New Roman" w:cs="Times New Roman"/>
          <w:sz w:val="24"/>
          <w:szCs w:val="24"/>
        </w:rPr>
      </w:pPr>
      <w:r w:rsidRPr="00B60DF8">
        <w:rPr>
          <w:rStyle w:val="Strong"/>
          <w:rFonts w:ascii="Times New Roman" w:hAnsi="Times New Roman" w:cs="Times New Roman"/>
          <w:sz w:val="24"/>
          <w:szCs w:val="24"/>
        </w:rPr>
        <w:t>2.3.</w:t>
      </w:r>
      <w:r w:rsidRPr="00B60DF8">
        <w:rPr>
          <w:rStyle w:val="Strong"/>
          <w:rFonts w:ascii="Times New Roman" w:hAnsi="Times New Roman" w:cs="Times New Roman"/>
          <w:sz w:val="24"/>
          <w:szCs w:val="24"/>
        </w:rPr>
        <w:tab/>
      </w:r>
      <w:r w:rsidR="00FD148A" w:rsidRPr="00B60DF8">
        <w:rPr>
          <w:rStyle w:val="Strong"/>
          <w:rFonts w:ascii="Times New Roman" w:hAnsi="Times New Roman" w:cs="Times New Roman"/>
          <w:sz w:val="24"/>
          <w:szCs w:val="24"/>
        </w:rPr>
        <w:t>Conceptual Framework</w:t>
      </w:r>
    </w:p>
    <w:p w14:paraId="474AF551" w14:textId="132204AD" w:rsidR="00B60DF8" w:rsidRPr="00B60DF8" w:rsidRDefault="00B60DF8" w:rsidP="00B60DF8">
      <w:pPr>
        <w:pStyle w:val="NormalWeb"/>
        <w:jc w:val="both"/>
      </w:pPr>
      <w:r w:rsidRPr="00B60DF8">
        <w:t>The conceptual framework for deep learning (DL) integration in energy grid optimization is designed to enhance the efficiency, reliability, and sustainability of modern energy grids. By leveraging advanced artificial intelligence techniques, specifically deep learning, the framework proposes a comprehensive and adaptable system for optimizing grid operations. The framework integrates various components that work synergistically to process data, apply sophisticated DL models, and evaluate the effectiveness of the optimization efforts</w:t>
      </w:r>
      <w:r w:rsidR="00C60E8F">
        <w:t xml:space="preserve"> (</w:t>
      </w:r>
      <w:proofErr w:type="spellStart"/>
      <w:r w:rsidR="00C60E8F" w:rsidRPr="0093122B">
        <w:t>Gawusu</w:t>
      </w:r>
      <w:proofErr w:type="spellEnd"/>
      <w:r w:rsidR="00C60E8F" w:rsidRPr="0093122B">
        <w:t>,</w:t>
      </w:r>
      <w:r w:rsidR="00C60E8F">
        <w:t xml:space="preserve"> et al., 2022)</w:t>
      </w:r>
      <w:r w:rsidRPr="00B60DF8">
        <w:t>.</w:t>
      </w:r>
    </w:p>
    <w:p w14:paraId="21B1FA98" w14:textId="1D006156" w:rsidR="00B60DF8" w:rsidRDefault="00B60DF8" w:rsidP="00B60DF8">
      <w:pPr>
        <w:pStyle w:val="NormalWeb"/>
        <w:jc w:val="both"/>
      </w:pPr>
      <w:r w:rsidRPr="00B60DF8">
        <w:t>One of the critical components of the framework is the data sources that provide the foundational information necessary for DL models to operate effectively. These data sources include smart meters, Internet of Things (IoT) devices, weather data, and grid sensors. Smart meters collect real-time information on electricity consumption at both the consumer and grid levels, offering granular insights into power usage patterns</w:t>
      </w:r>
      <w:r w:rsidR="000241AE">
        <w:t xml:space="preserve"> </w:t>
      </w:r>
      <w:r w:rsidR="000241AE" w:rsidRPr="000241AE">
        <w:t>(Ou, et al., 2015, Patra, Ajayan &amp; Narayanan, 2021)</w:t>
      </w:r>
      <w:r w:rsidRPr="00B60DF8">
        <w:t>. IoT devices extend this data collection to other aspects of grid performance, such as temperature, voltage, and load distribution. Weather data is essential for predicting energy production and consumption patterns, particularly with the integration of renewable energy sources, which are highly influenced by weather conditions</w:t>
      </w:r>
      <w:r w:rsidR="000241AE">
        <w:t xml:space="preserve"> </w:t>
      </w:r>
      <w:r w:rsidR="000241AE" w:rsidRPr="000241AE">
        <w:t>(Gadola &amp; Chindamo, 2019, Kelley &amp; Knowles, 2016)</w:t>
      </w:r>
      <w:r w:rsidRPr="00B60DF8">
        <w:t>. Grid sensors provide additional data on the status of the infrastructure, identifying potential issues such as faults or inefficiencies. The combination of these data sources enables the creation of a comprehensive dataset that deep learning models can use to make predictions, detect anomalies, and optimize grid operations</w:t>
      </w:r>
      <w:r w:rsidR="00C60E8F">
        <w:t xml:space="preserve"> (</w:t>
      </w:r>
      <w:proofErr w:type="spellStart"/>
      <w:r w:rsidR="00C60E8F" w:rsidRPr="0093122B">
        <w:t>Ghaffour</w:t>
      </w:r>
      <w:proofErr w:type="spellEnd"/>
      <w:r w:rsidR="00C60E8F" w:rsidRPr="0093122B">
        <w:t>,</w:t>
      </w:r>
      <w:r w:rsidR="00C60E8F">
        <w:t xml:space="preserve"> et al., 2015)</w:t>
      </w:r>
      <w:r w:rsidRPr="00B60DF8">
        <w:t>.</w:t>
      </w:r>
      <w:r w:rsidR="00067B85">
        <w:t xml:space="preserve"> </w:t>
      </w:r>
      <w:r w:rsidR="00067B85" w:rsidRPr="00067B85">
        <w:t>The smart grid framework</w:t>
      </w:r>
      <w:r w:rsidR="00067B85">
        <w:t xml:space="preserve"> presented by </w:t>
      </w:r>
      <w:r w:rsidR="00067B85" w:rsidRPr="00242E41">
        <w:t>Chen,</w:t>
      </w:r>
      <w:r w:rsidR="00067B85">
        <w:t xml:space="preserve"> et al., 2023, is shown in figure </w:t>
      </w:r>
      <w:r w:rsidR="009158BA">
        <w:t>4</w:t>
      </w:r>
      <w:r w:rsidR="00067B85">
        <w:t>.</w:t>
      </w:r>
    </w:p>
    <w:p w14:paraId="07CAB653" w14:textId="50D6F9DC" w:rsidR="00067B85" w:rsidRDefault="00067B85" w:rsidP="00B60DF8">
      <w:pPr>
        <w:pStyle w:val="NormalWeb"/>
        <w:jc w:val="both"/>
      </w:pPr>
      <w:r>
        <w:rPr>
          <w:noProof/>
        </w:rPr>
        <w:drawing>
          <wp:inline distT="0" distB="0" distL="0" distR="0" wp14:anchorId="40F0D8C9" wp14:editId="0744F7D4">
            <wp:extent cx="3640036" cy="1939925"/>
            <wp:effectExtent l="0" t="0" r="0" b="3175"/>
            <wp:docPr id="6475754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5043" cy="1942594"/>
                    </a:xfrm>
                    <a:prstGeom prst="rect">
                      <a:avLst/>
                    </a:prstGeom>
                    <a:noFill/>
                  </pic:spPr>
                </pic:pic>
              </a:graphicData>
            </a:graphic>
          </wp:inline>
        </w:drawing>
      </w:r>
    </w:p>
    <w:p w14:paraId="7F8678B0" w14:textId="2E756AED" w:rsidR="00067B85" w:rsidRPr="00B60DF8" w:rsidRDefault="00067B85" w:rsidP="00B60DF8">
      <w:pPr>
        <w:pStyle w:val="NormalWeb"/>
        <w:jc w:val="both"/>
      </w:pPr>
      <w:r w:rsidRPr="00067B85">
        <w:rPr>
          <w:b/>
          <w:bCs/>
        </w:rPr>
        <w:t xml:space="preserve">Figure </w:t>
      </w:r>
      <w:r w:rsidR="009158BA">
        <w:rPr>
          <w:b/>
          <w:bCs/>
        </w:rPr>
        <w:t>4</w:t>
      </w:r>
      <w:r w:rsidRPr="00067B85">
        <w:rPr>
          <w:b/>
          <w:bCs/>
        </w:rPr>
        <w:t>:</w:t>
      </w:r>
      <w:r>
        <w:t xml:space="preserve"> </w:t>
      </w:r>
      <w:r w:rsidRPr="00067B85">
        <w:t>The smart grid framework</w:t>
      </w:r>
      <w:r>
        <w:t xml:space="preserve"> (</w:t>
      </w:r>
      <w:r w:rsidRPr="00242E41">
        <w:t>Chen,</w:t>
      </w:r>
      <w:r>
        <w:t xml:space="preserve"> et al., 2023).</w:t>
      </w:r>
    </w:p>
    <w:p w14:paraId="43E76EB6" w14:textId="64020FBE" w:rsidR="00B60DF8" w:rsidRPr="00B60DF8" w:rsidRDefault="00B60DF8" w:rsidP="00B60DF8">
      <w:pPr>
        <w:pStyle w:val="NormalWeb"/>
        <w:jc w:val="both"/>
      </w:pPr>
      <w:r w:rsidRPr="00B60DF8">
        <w:t>Deep learning models, such as Recurrent Neural Networks (RNNs), Convolutional Neural Networks (CNNs), transformers, and hybrid approaches, play a central role in this framework. RNNs are particularly effective in handling time-series data, making them ideal for predicting energy demand and consumption patterns over time. CNNs, on the other hand, are powerful in recognizing spatial patterns in data, such as those related to grid layout and geographical distribution of power consumption</w:t>
      </w:r>
      <w:r w:rsidR="000241AE">
        <w:t xml:space="preserve"> </w:t>
      </w:r>
      <w:r w:rsidR="000241AE" w:rsidRPr="000241AE">
        <w:t xml:space="preserve">(Gómez-Tejedor, et al., 2020, </w:t>
      </w:r>
      <w:proofErr w:type="spellStart"/>
      <w:r w:rsidR="000241AE" w:rsidRPr="000241AE">
        <w:t>Khakifirooz</w:t>
      </w:r>
      <w:proofErr w:type="spellEnd"/>
      <w:r w:rsidR="000241AE" w:rsidRPr="000241AE">
        <w:t>, et al., 2019)</w:t>
      </w:r>
      <w:r w:rsidRPr="00B60DF8">
        <w:t xml:space="preserve">. Transformers, with their attention mechanisms, excel in handling large datasets </w:t>
      </w:r>
      <w:r w:rsidRPr="00B60DF8">
        <w:lastRenderedPageBreak/>
        <w:t>and identifying long-term dependencies across vast datasets, which is particularly useful when integrating complex energy systems</w:t>
      </w:r>
      <w:r w:rsidR="00C60E8F">
        <w:t xml:space="preserve"> (</w:t>
      </w:r>
      <w:r w:rsidR="00C60E8F" w:rsidRPr="0093122B">
        <w:t>Gielen,</w:t>
      </w:r>
      <w:r w:rsidR="00C60E8F">
        <w:t xml:space="preserve"> et al., 2019)</w:t>
      </w:r>
      <w:r w:rsidRPr="00B60DF8">
        <w:t>. Hybrid models that combine different types of neural networks can further improve performance by leveraging the strengths of each model for specific tasks, such as fault detection or load forecasting.</w:t>
      </w:r>
    </w:p>
    <w:p w14:paraId="208F1FA0" w14:textId="1610ABB8" w:rsidR="00B60DF8" w:rsidRPr="00B60DF8" w:rsidRDefault="00B60DF8" w:rsidP="00B60DF8">
      <w:pPr>
        <w:pStyle w:val="NormalWeb"/>
        <w:jc w:val="both"/>
      </w:pPr>
      <w:r w:rsidRPr="00B60DF8">
        <w:t>To assess the effectiveness of the deep learning models in optimizing the energy grid, the framework incorporates various evaluation metrics. Common performance indicators such as Mean Absolute Percentage Error (MAPE) and the F1 score provide quantitative measures of model accuracy and robustness. MAPE is particularly useful for assessing the model’s prediction accuracy, while the F1 score offers a balanced measure of precision and recall, which is important for tasks like fault detection where both false positives and false negatives can have significant consequences. These evaluation metrics ensure that the models not only perform well in terms of predictive accuracy but also in their ability to contribute to grid efficiency and reliability</w:t>
      </w:r>
      <w:r w:rsidR="000241AE">
        <w:t xml:space="preserve"> </w:t>
      </w:r>
      <w:r w:rsidR="000241AE" w:rsidRPr="000241AE">
        <w:t>(Grace &amp; John, 2019, Khaled, et al., 2014)</w:t>
      </w:r>
      <w:r w:rsidRPr="00B60DF8">
        <w:t>.</w:t>
      </w:r>
    </w:p>
    <w:p w14:paraId="2DBCF8FF" w14:textId="0D8643AC" w:rsidR="00B60DF8" w:rsidRPr="00B60DF8" w:rsidRDefault="00B60DF8" w:rsidP="00B60DF8">
      <w:pPr>
        <w:pStyle w:val="NormalWeb"/>
        <w:jc w:val="both"/>
      </w:pPr>
      <w:r w:rsidRPr="00B60DF8">
        <w:t>Scalability and adaptability are critical considerations in the framework, especially with the increasing integration of renewable energy sources and the need for real-time processing. Renewable energy sources, such as wind and solar, introduce variability into the energy supply, making it crucial for the energy grid to adapt dynamically to changing conditions</w:t>
      </w:r>
      <w:r w:rsidR="00C60E8F">
        <w:t xml:space="preserve"> (</w:t>
      </w:r>
      <w:r w:rsidR="00C60E8F" w:rsidRPr="0093122B">
        <w:t xml:space="preserve">Hafeez, </w:t>
      </w:r>
      <w:proofErr w:type="spellStart"/>
      <w:r w:rsidR="00C60E8F" w:rsidRPr="0093122B">
        <w:t>Alimgeer</w:t>
      </w:r>
      <w:proofErr w:type="spellEnd"/>
      <w:r w:rsidR="00C60E8F" w:rsidRPr="0093122B">
        <w:t xml:space="preserve"> &amp; Khan, 2020</w:t>
      </w:r>
      <w:r w:rsidR="00C60E8F">
        <w:t>)</w:t>
      </w:r>
      <w:r w:rsidRPr="00B60DF8">
        <w:t>. The deep learning models within the framework must be able to scale efficiently to handle large amounts of data generated by an expanding network of sensors and devices. Additionally, the framework must be adaptable to incorporate emerging technologies and new types of data, such as those coming from advanced grid systems or evolving renewable energy generation methods</w:t>
      </w:r>
      <w:r w:rsidR="000241AE">
        <w:t xml:space="preserve"> </w:t>
      </w:r>
      <w:r w:rsidR="000241AE" w:rsidRPr="000241AE">
        <w:t xml:space="preserve">(Li, et al., 2023, </w:t>
      </w:r>
      <w:proofErr w:type="spellStart"/>
      <w:r w:rsidR="000241AE" w:rsidRPr="000241AE">
        <w:t>Massaoudi</w:t>
      </w:r>
      <w:proofErr w:type="spellEnd"/>
      <w:r w:rsidR="000241AE" w:rsidRPr="000241AE">
        <w:t xml:space="preserve">, Abu-Rub &amp; </w:t>
      </w:r>
      <w:proofErr w:type="spellStart"/>
      <w:r w:rsidR="000241AE" w:rsidRPr="000241AE">
        <w:t>Ghrayeb</w:t>
      </w:r>
      <w:proofErr w:type="spellEnd"/>
      <w:r w:rsidR="000241AE" w:rsidRPr="000241AE">
        <w:t>, 2023)</w:t>
      </w:r>
      <w:r w:rsidRPr="00B60DF8">
        <w:t>. The real-time processing capability ensures that the energy grid can respond to changes in demand and supply almost instantaneously, making the system highly responsive to fluctuations in energy generation and consumption.</w:t>
      </w:r>
    </w:p>
    <w:p w14:paraId="45A90722" w14:textId="2132BE96" w:rsidR="00B60DF8" w:rsidRPr="00B60DF8" w:rsidRDefault="00B60DF8" w:rsidP="00B60DF8">
      <w:pPr>
        <w:pStyle w:val="NormalWeb"/>
        <w:jc w:val="both"/>
      </w:pPr>
      <w:r w:rsidRPr="00B60DF8">
        <w:t>However, the implementation of deep learning in energy grid optimization also presents a number of challenges that need to be addressed. One of the primary concerns is data security, as the integration of IoT devices and smart meters can create vulnerabilities in the grid system. The large volumes of sensitive data being collected and transmitted require robust security measures to protect against cyberattacks, data breaches, and unauthorized access</w:t>
      </w:r>
      <w:r w:rsidR="000241AE">
        <w:t xml:space="preserve"> </w:t>
      </w:r>
      <w:r w:rsidR="000241AE" w:rsidRPr="000241AE">
        <w:t>(</w:t>
      </w:r>
      <w:proofErr w:type="spellStart"/>
      <w:r w:rsidR="000241AE" w:rsidRPr="000241AE">
        <w:t>Grodotzki</w:t>
      </w:r>
      <w:proofErr w:type="spellEnd"/>
      <w:r w:rsidR="000241AE" w:rsidRPr="000241AE">
        <w:t xml:space="preserve">, </w:t>
      </w:r>
      <w:proofErr w:type="spellStart"/>
      <w:r w:rsidR="000241AE" w:rsidRPr="000241AE">
        <w:t>Ortelt</w:t>
      </w:r>
      <w:proofErr w:type="spellEnd"/>
      <w:r w:rsidR="000241AE" w:rsidRPr="000241AE">
        <w:t xml:space="preserve"> &amp; </w:t>
      </w:r>
      <w:proofErr w:type="spellStart"/>
      <w:r w:rsidR="000241AE" w:rsidRPr="000241AE">
        <w:t>Tekkaya</w:t>
      </w:r>
      <w:proofErr w:type="spellEnd"/>
      <w:r w:rsidR="000241AE" w:rsidRPr="000241AE">
        <w:t xml:space="preserve">, 2018, </w:t>
      </w:r>
      <w:proofErr w:type="spellStart"/>
      <w:r w:rsidR="000241AE" w:rsidRPr="000241AE">
        <w:t>Kriaa</w:t>
      </w:r>
      <w:proofErr w:type="spellEnd"/>
      <w:r w:rsidR="000241AE" w:rsidRPr="000241AE">
        <w:t>, 2016)</w:t>
      </w:r>
      <w:r w:rsidRPr="00B60DF8">
        <w:t>. Additionally, ethical considerations surrounding the use of artificial intelligence in energy systems must be carefully considered. For example, ensuring that deep learning models are transparent, interpretable, and free from bias is crucial to prevent the perpetuation of unfair practices in energy distribution or pricing</w:t>
      </w:r>
      <w:r w:rsidR="00C60E8F">
        <w:t xml:space="preserve"> (</w:t>
      </w:r>
      <w:r w:rsidR="00C60E8F" w:rsidRPr="00F87B6E">
        <w:t>Mazhar,</w:t>
      </w:r>
      <w:r w:rsidR="00C60E8F">
        <w:t xml:space="preserve"> et al., 2023)</w:t>
      </w:r>
      <w:r w:rsidRPr="00B60DF8">
        <w:t>. This also ties into the broader challenge of regulatory compliance, as energy grids are often subject to local, national, and international regulations that govern the use of AI, data privacy, and energy distribution.</w:t>
      </w:r>
    </w:p>
    <w:p w14:paraId="00837B8C" w14:textId="0270FA9C" w:rsidR="00B60DF8" w:rsidRPr="00B60DF8" w:rsidRDefault="00B60DF8" w:rsidP="00B60DF8">
      <w:pPr>
        <w:pStyle w:val="NormalWeb"/>
        <w:jc w:val="both"/>
      </w:pPr>
      <w:r w:rsidRPr="00B60DF8">
        <w:t>To address these challenges, the framework must incorporate solutions that prioritize data security, ethical AI practices, and adherence to regulatory standards. Data security can be achieved through encryption techniques, secure communication protocols, and decentralized data storage, which can reduce the risks associated with centralizing sensitive data</w:t>
      </w:r>
      <w:r w:rsidR="000241AE">
        <w:t xml:space="preserve"> </w:t>
      </w:r>
      <w:r w:rsidR="000241AE" w:rsidRPr="000241AE">
        <w:t>(</w:t>
      </w:r>
      <w:proofErr w:type="spellStart"/>
      <w:r w:rsidR="000241AE" w:rsidRPr="000241AE">
        <w:t>Gurmesa</w:t>
      </w:r>
      <w:proofErr w:type="spellEnd"/>
      <w:r w:rsidR="000241AE" w:rsidRPr="000241AE">
        <w:t xml:space="preserve"> &amp; </w:t>
      </w:r>
      <w:proofErr w:type="spellStart"/>
      <w:r w:rsidR="000241AE" w:rsidRPr="000241AE">
        <w:t>Lemu</w:t>
      </w:r>
      <w:proofErr w:type="spellEnd"/>
      <w:r w:rsidR="000241AE" w:rsidRPr="000241AE">
        <w:t>, 2023, Lamsal, Devkota &amp; Bhusal, 2023)</w:t>
      </w:r>
      <w:r w:rsidRPr="00B60DF8">
        <w:t xml:space="preserve">. Ethical AI practices can be supported through the development of explainable AI systems, which provide transparency in decision-making processes and ensure that models can be audited and understood by human operators. Regulatory compliance can be ensured by regularly updating the system to align with </w:t>
      </w:r>
      <w:r w:rsidRPr="00B60DF8">
        <w:lastRenderedPageBreak/>
        <w:t>changing laws and standards and by establishing clear governance structures that oversee the ethical and lawful use of AI in grid optimization</w:t>
      </w:r>
      <w:r w:rsidR="00C60E8F">
        <w:t xml:space="preserve"> (</w:t>
      </w:r>
      <w:proofErr w:type="spellStart"/>
      <w:r w:rsidR="00C60E8F" w:rsidRPr="00F87B6E">
        <w:t>Massaoudi</w:t>
      </w:r>
      <w:proofErr w:type="spellEnd"/>
      <w:r w:rsidR="00C60E8F" w:rsidRPr="00F87B6E">
        <w:t>,</w:t>
      </w:r>
      <w:r w:rsidR="00C60E8F">
        <w:t xml:space="preserve"> et al., 2021)</w:t>
      </w:r>
      <w:r w:rsidRPr="00B60DF8">
        <w:t>.</w:t>
      </w:r>
    </w:p>
    <w:p w14:paraId="4F275551" w14:textId="02AB702E" w:rsidR="00B60DF8" w:rsidRPr="00B60DF8" w:rsidRDefault="00B60DF8" w:rsidP="00B60DF8">
      <w:pPr>
        <w:pStyle w:val="NormalWeb"/>
        <w:jc w:val="both"/>
      </w:pPr>
      <w:r w:rsidRPr="00B60DF8">
        <w:t>In summary, the conceptual framework for deep learning integration in energy grid optimization is designed to harness the power of AI to enhance grid efficiency, reliability, and sustainability. By combining diverse data sources, employing advanced DL models, and utilizing robust evaluation metrics, the framework provides a comprehensive approach to optimizing energy grid operations</w:t>
      </w:r>
      <w:r w:rsidR="000241AE">
        <w:t xml:space="preserve"> </w:t>
      </w:r>
      <w:r w:rsidR="000241AE" w:rsidRPr="000241AE">
        <w:t>(</w:t>
      </w:r>
      <w:proofErr w:type="spellStart"/>
      <w:r w:rsidR="000241AE" w:rsidRPr="000241AE">
        <w:t>Hadgraft</w:t>
      </w:r>
      <w:proofErr w:type="spellEnd"/>
      <w:r w:rsidR="000241AE" w:rsidRPr="000241AE">
        <w:t xml:space="preserve"> &amp; </w:t>
      </w:r>
      <w:proofErr w:type="spellStart"/>
      <w:r w:rsidR="000241AE" w:rsidRPr="000241AE">
        <w:t>Kolmos</w:t>
      </w:r>
      <w:proofErr w:type="spellEnd"/>
      <w:r w:rsidR="000241AE" w:rsidRPr="000241AE">
        <w:t>, 2020, Kotsiopoulos, et al., 2021)</w:t>
      </w:r>
      <w:r w:rsidRPr="00B60DF8">
        <w:t>. The scalability and adaptability of the framework make it suitable for integrating renewable energy sources and enabling real-time processing. However, the framework must also address challenges related to data security, ethical AI practices, and regulatory compliance to ensure that the deep learning models can be safely and effectively deployed in real-world energy grid systems. Ultimately, this framework offers a promising path toward a more efficient, reliable, and sustainable energy grid</w:t>
      </w:r>
      <w:r w:rsidR="00C60E8F">
        <w:t xml:space="preserve"> (</w:t>
      </w:r>
      <w:proofErr w:type="spellStart"/>
      <w:r w:rsidR="00C60E8F" w:rsidRPr="0093122B">
        <w:t>Ourahou</w:t>
      </w:r>
      <w:proofErr w:type="spellEnd"/>
      <w:r w:rsidR="00C60E8F" w:rsidRPr="0093122B">
        <w:t>,</w:t>
      </w:r>
      <w:r w:rsidR="00C60E8F">
        <w:t xml:space="preserve"> et al., 2020)</w:t>
      </w:r>
      <w:r w:rsidRPr="00B60DF8">
        <w:t>.</w:t>
      </w:r>
    </w:p>
    <w:p w14:paraId="1991ACF8" w14:textId="77777777" w:rsidR="000E0796" w:rsidRDefault="000E0796" w:rsidP="00B60DF8">
      <w:pPr>
        <w:spacing w:after="0"/>
        <w:jc w:val="both"/>
        <w:rPr>
          <w:rStyle w:val="Strong"/>
          <w:rFonts w:ascii="Times New Roman" w:hAnsi="Times New Roman" w:cs="Times New Roman"/>
          <w:sz w:val="24"/>
          <w:szCs w:val="24"/>
        </w:rPr>
      </w:pPr>
    </w:p>
    <w:p w14:paraId="317CD025" w14:textId="32344040" w:rsidR="00FD148A" w:rsidRPr="00B60DF8" w:rsidRDefault="00B65D93" w:rsidP="00B60DF8">
      <w:pPr>
        <w:spacing w:after="0"/>
        <w:jc w:val="both"/>
        <w:rPr>
          <w:rFonts w:ascii="Times New Roman" w:hAnsi="Times New Roman" w:cs="Times New Roman"/>
          <w:sz w:val="24"/>
          <w:szCs w:val="24"/>
        </w:rPr>
      </w:pPr>
      <w:r w:rsidRPr="00B60DF8">
        <w:rPr>
          <w:rStyle w:val="Strong"/>
          <w:rFonts w:ascii="Times New Roman" w:hAnsi="Times New Roman" w:cs="Times New Roman"/>
          <w:sz w:val="24"/>
          <w:szCs w:val="24"/>
        </w:rPr>
        <w:t>2.4.</w:t>
      </w:r>
      <w:r w:rsidRPr="00B60DF8">
        <w:rPr>
          <w:rStyle w:val="Strong"/>
          <w:rFonts w:ascii="Times New Roman" w:hAnsi="Times New Roman" w:cs="Times New Roman"/>
          <w:sz w:val="24"/>
          <w:szCs w:val="24"/>
        </w:rPr>
        <w:tab/>
      </w:r>
      <w:r w:rsidR="00FD148A" w:rsidRPr="00B60DF8">
        <w:rPr>
          <w:rStyle w:val="Strong"/>
          <w:rFonts w:ascii="Times New Roman" w:hAnsi="Times New Roman" w:cs="Times New Roman"/>
          <w:sz w:val="24"/>
          <w:szCs w:val="24"/>
        </w:rPr>
        <w:t>Results and Discussion</w:t>
      </w:r>
    </w:p>
    <w:p w14:paraId="52641824" w14:textId="6EB6456F" w:rsidR="00B60DF8" w:rsidRPr="00B60DF8" w:rsidRDefault="00B60DF8" w:rsidP="00B60DF8">
      <w:pPr>
        <w:pStyle w:val="NormalWeb"/>
        <w:jc w:val="both"/>
      </w:pPr>
      <w:r w:rsidRPr="00B60DF8">
        <w:t>The results and discussion of the framework for deep learning (DL) integration in energy grid optimization to enhance efficiency and reliability offer valuable insights into the potential and challenges of applying advanced AI techniques to optimize energy systems. The findings derived from the PRISMA analysis reveal significant trends, highlight successful implementations, and identify key gaps in research and practical deployment</w:t>
      </w:r>
      <w:r w:rsidR="00C60E8F">
        <w:t xml:space="preserve"> (</w:t>
      </w:r>
      <w:r w:rsidR="00C60E8F" w:rsidRPr="0093122B">
        <w:t xml:space="preserve">Owusu &amp; </w:t>
      </w:r>
      <w:proofErr w:type="spellStart"/>
      <w:r w:rsidR="00C60E8F" w:rsidRPr="0093122B">
        <w:t>Asumadu</w:t>
      </w:r>
      <w:proofErr w:type="spellEnd"/>
      <w:r w:rsidR="00C60E8F" w:rsidRPr="0093122B">
        <w:t>-Sarkodie, 2016</w:t>
      </w:r>
      <w:r w:rsidR="00C60E8F">
        <w:t>)</w:t>
      </w:r>
      <w:r w:rsidRPr="00B60DF8">
        <w:t>.</w:t>
      </w:r>
    </w:p>
    <w:p w14:paraId="64FEF32B" w14:textId="61C0E1C6" w:rsidR="00B60DF8" w:rsidRPr="00B60DF8" w:rsidRDefault="00B60DF8" w:rsidP="00B60DF8">
      <w:pPr>
        <w:pStyle w:val="NormalWeb"/>
        <w:jc w:val="both"/>
      </w:pPr>
      <w:r w:rsidRPr="00B60DF8">
        <w:t>A comprehensive review of studies using the PRISMA framework points to several key trends in the integration of DL in energy grid optimization. One notable trend is the increasing adoption of DL models, such as Recurrent Neural Networks (RNNs), Convolutional Neural Networks (CNNs), and Transformers, in real-time grid optimization tasks. These models are employed in various domains, including demand forecasting, fault detection, energy load balancing, and predictive maintenance</w:t>
      </w:r>
      <w:r w:rsidR="000241AE">
        <w:t xml:space="preserve"> </w:t>
      </w:r>
      <w:r w:rsidR="000241AE" w:rsidRPr="000241AE">
        <w:t xml:space="preserve">(Hafiz, et al., 2020, Kumar, Prasad &amp; </w:t>
      </w:r>
      <w:proofErr w:type="spellStart"/>
      <w:r w:rsidR="000241AE" w:rsidRPr="000241AE">
        <w:t>Samikannu</w:t>
      </w:r>
      <w:proofErr w:type="spellEnd"/>
      <w:r w:rsidR="000241AE" w:rsidRPr="000241AE">
        <w:t>, 2018)</w:t>
      </w:r>
      <w:r w:rsidRPr="00B60DF8">
        <w:t>. The application of deep learning to energy grid optimization has been successful in enhancing predictive accuracy, reducing operational costs, and improving grid reliability, especially in systems that integrate renewable energy sources. Studies highlight the ability of DL models to process vast amounts of sensor data from smart meters, IoT devices, and weather stations, enabling precise predictions about energy demand and supply fluctuations</w:t>
      </w:r>
      <w:r w:rsidR="00B152E6">
        <w:t xml:space="preserve"> </w:t>
      </w:r>
      <w:r w:rsidR="00B152E6" w:rsidRPr="00B152E6">
        <w:t>(Ranjan, Samant &amp; Anand, 2017)</w:t>
      </w:r>
      <w:r w:rsidRPr="00B60DF8">
        <w:t>.</w:t>
      </w:r>
    </w:p>
    <w:p w14:paraId="23C3AD83" w14:textId="68468508" w:rsidR="00B60DF8" w:rsidRPr="00B60DF8" w:rsidRDefault="00B60DF8" w:rsidP="00B60DF8">
      <w:pPr>
        <w:pStyle w:val="NormalWeb"/>
        <w:jc w:val="both"/>
      </w:pPr>
      <w:r w:rsidRPr="00B60DF8">
        <w:t>Successful implementations of deep learning in energy grids are also prominent in several case studies. For example, one prominent case study involves the use of RNNs in forecasting energy consumption patterns for smart grid systems. This implementation enabled operators to predict peak loads with high accuracy, allowing for better load management and improved energy efficiency. In another case, CNNs were applied to detect faults in grid infrastructure by analyzing sensor data from transmission lines</w:t>
      </w:r>
      <w:r w:rsidR="00B152E6">
        <w:t xml:space="preserve"> </w:t>
      </w:r>
      <w:r w:rsidR="00B152E6" w:rsidRPr="00B152E6">
        <w:t>(Lee &amp; Kalos, 2014, Leydens &amp; Lucena, 2017)</w:t>
      </w:r>
      <w:r w:rsidRPr="00B60DF8">
        <w:t>. The deep learning model was able to detect anomalies and potential failures earlier than traditional methods, reducing downtime and maintenance costs. A third case study demonstrated the use of hybrid deep learning models that combined RNNs and CNNs to forecast both energy demand and supply, optimizing the distribution of renewable energy resources and improving overall grid performance</w:t>
      </w:r>
      <w:r w:rsidR="00C60E8F">
        <w:t xml:space="preserve"> (</w:t>
      </w:r>
      <w:r w:rsidR="00C60E8F" w:rsidRPr="0093122B">
        <w:t>Panda &amp; Das, 2021</w:t>
      </w:r>
      <w:r w:rsidR="00C60E8F">
        <w:t>)</w:t>
      </w:r>
      <w:r w:rsidRPr="00B60DF8">
        <w:t xml:space="preserve">. These case studies provide strong evidence that deep learning can significantly improve the performance of </w:t>
      </w:r>
      <w:r w:rsidRPr="00B60DF8">
        <w:lastRenderedPageBreak/>
        <w:t>energy grids, especially when dealing with the complexities introduced by renewable energy integration.</w:t>
      </w:r>
    </w:p>
    <w:p w14:paraId="24E43BDB" w14:textId="34D2142D" w:rsidR="00B60DF8" w:rsidRPr="00B60DF8" w:rsidRDefault="00B60DF8" w:rsidP="00B60DF8">
      <w:pPr>
        <w:pStyle w:val="NormalWeb"/>
        <w:jc w:val="both"/>
      </w:pPr>
      <w:r w:rsidRPr="00B60DF8">
        <w:t>Despite these successes, there are still several gaps in the application of DL for energy grid optimization. One such gap lies in the scalability of deep learning models for large-scale grids, especially in regions with extensive networks of smart meters and sensors</w:t>
      </w:r>
      <w:r w:rsidR="00C60E8F">
        <w:t xml:space="preserve"> (</w:t>
      </w:r>
      <w:r w:rsidR="00C60E8F" w:rsidRPr="0093122B">
        <w:t>Panda,</w:t>
      </w:r>
      <w:r w:rsidR="00C60E8F">
        <w:t xml:space="preserve"> et al., 2023)</w:t>
      </w:r>
      <w:r w:rsidRPr="00B60DF8">
        <w:t>. Many existing studies have focused on small-scale or localized applications, and there is limited research on the integration of DL models in national or global grids</w:t>
      </w:r>
      <w:r w:rsidR="00B152E6">
        <w:t xml:space="preserve"> </w:t>
      </w:r>
      <w:r w:rsidR="00B152E6" w:rsidRPr="00B152E6">
        <w:t xml:space="preserve">(Harr, Eichler &amp; </w:t>
      </w:r>
      <w:proofErr w:type="spellStart"/>
      <w:r w:rsidR="00B152E6" w:rsidRPr="00B152E6">
        <w:t>Renkl</w:t>
      </w:r>
      <w:proofErr w:type="spellEnd"/>
      <w:r w:rsidR="00B152E6" w:rsidRPr="00B152E6">
        <w:t xml:space="preserve">, 2015, </w:t>
      </w:r>
      <w:proofErr w:type="spellStart"/>
      <w:r w:rsidR="00B152E6" w:rsidRPr="00B152E6">
        <w:t>Kumpati</w:t>
      </w:r>
      <w:proofErr w:type="spellEnd"/>
      <w:r w:rsidR="00B152E6" w:rsidRPr="00B152E6">
        <w:t xml:space="preserve">, </w:t>
      </w:r>
      <w:proofErr w:type="spellStart"/>
      <w:r w:rsidR="00B152E6" w:rsidRPr="00B152E6">
        <w:t>Skarka</w:t>
      </w:r>
      <w:proofErr w:type="spellEnd"/>
      <w:r w:rsidR="00B152E6" w:rsidRPr="00B152E6">
        <w:t xml:space="preserve"> &amp; </w:t>
      </w:r>
      <w:proofErr w:type="spellStart"/>
      <w:r w:rsidR="00B152E6" w:rsidRPr="00B152E6">
        <w:t>Ontipuli</w:t>
      </w:r>
      <w:proofErr w:type="spellEnd"/>
      <w:r w:rsidR="00B152E6" w:rsidRPr="00B152E6">
        <w:t>, 2021)</w:t>
      </w:r>
      <w:r w:rsidRPr="00B60DF8">
        <w:t>. Another gap is the challenge of ensuring the interpretability and transparency of deep learning models. As energy grids become more reliant on AI for decision-making, it is essential that grid operators can understand and trust the model’s predictions and actions. This issue of model explainability is particularly critical when deep learning models are used for safety-critical applications such as fault detection and disaster recovery. Additionally, while DL models have shown great promise in improving the efficiency of grid operations, there is a lack of research addressing the ethical implications of AI deployment in energy systems, particularly with regard to data privacy and the potential for algorithmic bias.</w:t>
      </w:r>
    </w:p>
    <w:p w14:paraId="62D8FC0D" w14:textId="0CC288F7" w:rsidR="00B60DF8" w:rsidRPr="00B60DF8" w:rsidRDefault="00B60DF8" w:rsidP="00B60DF8">
      <w:pPr>
        <w:pStyle w:val="NormalWeb"/>
        <w:jc w:val="both"/>
      </w:pPr>
      <w:r w:rsidRPr="00B60DF8">
        <w:t>Comparative analysis between traditional optimization techniques and DL-based optimization reveals several important distinctions. Traditional optimization methods, such as rule-based systems, linear programming, and mathematical modeling, have been widely used in energy grid management</w:t>
      </w:r>
      <w:r w:rsidR="00C60E8F">
        <w:t xml:space="preserve"> (</w:t>
      </w:r>
      <w:r w:rsidR="00C60E8F" w:rsidRPr="0093122B">
        <w:t xml:space="preserve">Papadis &amp; </w:t>
      </w:r>
      <w:proofErr w:type="spellStart"/>
      <w:r w:rsidR="00C60E8F" w:rsidRPr="0093122B">
        <w:t>Tsatsaronis</w:t>
      </w:r>
      <w:proofErr w:type="spellEnd"/>
      <w:r w:rsidR="00C60E8F" w:rsidRPr="0093122B">
        <w:t>, 2020</w:t>
      </w:r>
      <w:r w:rsidR="00C60E8F">
        <w:t>)</w:t>
      </w:r>
      <w:r w:rsidRPr="00B60DF8">
        <w:t>. These approaches are effective for relatively simple grid configurations and stable energy supplies. However, traditional methods often struggle to cope with the dynamic nature of modern grids, especially those that incorporate renewable energy sources</w:t>
      </w:r>
      <w:r w:rsidR="00B152E6">
        <w:t xml:space="preserve"> </w:t>
      </w:r>
      <w:r w:rsidR="00B152E6" w:rsidRPr="00B152E6">
        <w:t>(Harrington, Bowen &amp; Zakrajsek, 2017, Mijumbi, et al., 2015)</w:t>
      </w:r>
      <w:r w:rsidRPr="00B60DF8">
        <w:t>. Renewable energy sources, such as solar and wind, are highly variable, making it difficult to predict supply patterns accurately using conventional techniques. Moreover, traditional methods often require manual intervention to adjust grid operations based on real-time data, which can be time-consuming and error-prone.</w:t>
      </w:r>
    </w:p>
    <w:p w14:paraId="394A611B" w14:textId="44AE78F2" w:rsidR="00B60DF8" w:rsidRPr="00B60DF8" w:rsidRDefault="00B60DF8" w:rsidP="00B60DF8">
      <w:pPr>
        <w:pStyle w:val="NormalWeb"/>
        <w:jc w:val="both"/>
      </w:pPr>
      <w:r w:rsidRPr="00B60DF8">
        <w:t>In contrast, deep learning models are particularly adept at handling the complexities of modern energy grids. By processing large amounts of real-time data, DL models can provide accurate predictions of energy demand, supply, and distribution, even in the presence of fluctuating renewable energy resources. Unlike traditional methods, DL models are capable of learning from historical data and continuously improving their performance over time</w:t>
      </w:r>
      <w:r w:rsidR="00B152E6">
        <w:t xml:space="preserve"> </w:t>
      </w:r>
      <w:r w:rsidR="00B152E6" w:rsidRPr="00B152E6">
        <w:t>(</w:t>
      </w:r>
      <w:proofErr w:type="spellStart"/>
      <w:r w:rsidR="00B152E6" w:rsidRPr="00B152E6">
        <w:t>Hassani</w:t>
      </w:r>
      <w:proofErr w:type="spellEnd"/>
      <w:r w:rsidR="00B152E6" w:rsidRPr="00B152E6">
        <w:t xml:space="preserve"> &amp; </w:t>
      </w:r>
      <w:proofErr w:type="spellStart"/>
      <w:r w:rsidR="00B152E6" w:rsidRPr="00B152E6">
        <w:t>Dackermann</w:t>
      </w:r>
      <w:proofErr w:type="spellEnd"/>
      <w:r w:rsidR="00B152E6" w:rsidRPr="00B152E6">
        <w:t>, 2023, Khanna, 2023, Zhang, et al., 2023)</w:t>
      </w:r>
      <w:r w:rsidRPr="00B60DF8">
        <w:t>. This ability to adapt and learn makes deep learning particularly useful in optimizing energy grid operations, as it can autonomously adjust grid settings based on real-time data without requiring manual intervention. Furthermore, DL models can detect subtle patterns and relationships in the data that may not be apparent using traditional methods, leading to more accurate predictions and better decision-making</w:t>
      </w:r>
      <w:r w:rsidR="00C60E8F">
        <w:t xml:space="preserve"> (</w:t>
      </w:r>
      <w:proofErr w:type="spellStart"/>
      <w:r w:rsidR="00C60E8F" w:rsidRPr="0093122B">
        <w:t>Petinrin</w:t>
      </w:r>
      <w:proofErr w:type="spellEnd"/>
      <w:r w:rsidR="00C60E8F" w:rsidRPr="0093122B">
        <w:t xml:space="preserve"> &amp; </w:t>
      </w:r>
      <w:proofErr w:type="spellStart"/>
      <w:r w:rsidR="00C60E8F" w:rsidRPr="0093122B">
        <w:t>Shaabanb</w:t>
      </w:r>
      <w:proofErr w:type="spellEnd"/>
      <w:r w:rsidR="00C60E8F" w:rsidRPr="0093122B">
        <w:t>, 2016</w:t>
      </w:r>
      <w:r w:rsidR="00C60E8F">
        <w:t>)</w:t>
      </w:r>
      <w:r w:rsidRPr="00B60DF8">
        <w:t>.</w:t>
      </w:r>
    </w:p>
    <w:p w14:paraId="757C0F3D" w14:textId="5757E981" w:rsidR="00B60DF8" w:rsidRPr="00B60DF8" w:rsidRDefault="00B60DF8" w:rsidP="00B60DF8">
      <w:pPr>
        <w:pStyle w:val="NormalWeb"/>
        <w:jc w:val="both"/>
      </w:pPr>
      <w:r w:rsidRPr="00B60DF8">
        <w:t>The practical implications of deep learning integration for grid operators and policymakers are profound. For grid operators, the use of deep learning models enables more efficient and reliable management of energy systems. By predicting demand fluctuations and optimizing energy distribution, DL models can help operators reduce energy waste, minimize costs, and ensure that energy is distributed efficiently across the grid. This can lead to substantial cost savings for both utilities and consumers, as well as a reduction in the environmental impact of energy production and consumption</w:t>
      </w:r>
      <w:r w:rsidR="00B152E6">
        <w:t xml:space="preserve"> </w:t>
      </w:r>
      <w:r w:rsidR="00B152E6" w:rsidRPr="00B152E6">
        <w:t>(Hernández-de-Menéndez, et al., 2019, Lauritzen, et al., 2019)</w:t>
      </w:r>
      <w:r w:rsidRPr="00B60DF8">
        <w:t xml:space="preserve">. Furthermore, deep learning models can improve grid reliability by providing early </w:t>
      </w:r>
      <w:r w:rsidRPr="00B60DF8">
        <w:lastRenderedPageBreak/>
        <w:t>warnings of potential faults and failures, allowing operators to take proactive measures to prevent outages and reduce maintenance costs</w:t>
      </w:r>
      <w:r w:rsidR="00121E2F">
        <w:t xml:space="preserve"> (</w:t>
      </w:r>
      <w:proofErr w:type="spellStart"/>
      <w:r w:rsidR="00121E2F" w:rsidRPr="0093122B">
        <w:t>Rocchetta</w:t>
      </w:r>
      <w:proofErr w:type="spellEnd"/>
      <w:r w:rsidR="00121E2F" w:rsidRPr="0093122B">
        <w:t>,</w:t>
      </w:r>
      <w:r w:rsidR="00121E2F">
        <w:t xml:space="preserve"> et al., 2019)</w:t>
      </w:r>
      <w:r w:rsidRPr="00B60DF8">
        <w:t>.</w:t>
      </w:r>
    </w:p>
    <w:p w14:paraId="33618D79" w14:textId="62095724" w:rsidR="00B60DF8" w:rsidRPr="00B60DF8" w:rsidRDefault="00B60DF8" w:rsidP="00B60DF8">
      <w:pPr>
        <w:pStyle w:val="NormalWeb"/>
        <w:jc w:val="both"/>
      </w:pPr>
      <w:r w:rsidRPr="00B60DF8">
        <w:t>For policymakers, the integration of deep learning into energy grid systems offers the opportunity to create more sustainable and resilient energy infrastructures. Policymakers can leverage the predictive capabilities of deep learning models to plan for future energy demand, integrate more renewable energy sources, and ensure that grid systems are capable of handling the increased complexity of modern energy markets</w:t>
      </w:r>
      <w:r w:rsidR="00B152E6">
        <w:t xml:space="preserve"> </w:t>
      </w:r>
      <w:r w:rsidR="00B152E6" w:rsidRPr="00B152E6">
        <w:t>(Hoang, et al., 2021, Kruse, Veltri &amp; Branscum, 2019)</w:t>
      </w:r>
      <w:r w:rsidRPr="00B60DF8">
        <w:t>. Additionally, deep learning can help policymakers identify areas where energy efficiency can be improved, ensuring that regulatory policies are aligned with the goal of reducing carbon emissions and promoting clean energy. As the energy sector continues to evolve, policymakers will play a critical role in supporting the development and deployment of AI-powered grid systems that contribute to a more sustainable and resilient energy future</w:t>
      </w:r>
      <w:r w:rsidR="00121E2F">
        <w:t xml:space="preserve"> (</w:t>
      </w:r>
      <w:proofErr w:type="spellStart"/>
      <w:r w:rsidR="00121E2F" w:rsidRPr="0093122B">
        <w:t>Sadeeq</w:t>
      </w:r>
      <w:proofErr w:type="spellEnd"/>
      <w:r w:rsidR="00121E2F">
        <w:t xml:space="preserve"> </w:t>
      </w:r>
      <w:r w:rsidR="00121E2F" w:rsidRPr="0093122B">
        <w:t xml:space="preserve">&amp; </w:t>
      </w:r>
      <w:proofErr w:type="spellStart"/>
      <w:r w:rsidR="00121E2F" w:rsidRPr="0093122B">
        <w:t>Zeebaree</w:t>
      </w:r>
      <w:proofErr w:type="spellEnd"/>
      <w:r w:rsidR="00121E2F" w:rsidRPr="0093122B">
        <w:t>, 2021</w:t>
      </w:r>
      <w:r w:rsidR="00121E2F">
        <w:t>)</w:t>
      </w:r>
      <w:r w:rsidRPr="00B60DF8">
        <w:t>.</w:t>
      </w:r>
    </w:p>
    <w:p w14:paraId="407D2D9A" w14:textId="71741B70" w:rsidR="00B60DF8" w:rsidRPr="00B60DF8" w:rsidRDefault="00B60DF8" w:rsidP="00B60DF8">
      <w:pPr>
        <w:pStyle w:val="NormalWeb"/>
        <w:jc w:val="both"/>
      </w:pPr>
      <w:r w:rsidRPr="00B60DF8">
        <w:t>In conclusion, the integration of deep learning in energy grid optimization holds immense potential for enhancing efficiency, reliability, and sustainability in modern energy systems. The findings from PRISMA analysis and case studies highlight the growing success of deep learning applications in energy grids, particularly in areas such as demand forecasting, fault detection, and load balancing</w:t>
      </w:r>
      <w:r w:rsidR="00121E2F">
        <w:t xml:space="preserve"> (</w:t>
      </w:r>
      <w:r w:rsidR="00121E2F" w:rsidRPr="0093122B">
        <w:t>Said, 2022</w:t>
      </w:r>
      <w:r w:rsidR="00121E2F">
        <w:t>)</w:t>
      </w:r>
      <w:r w:rsidRPr="00B60DF8">
        <w:t>. However, gaps remain in terms of scalability, interpretability, and ethical considerations. A comparative analysis of traditional and DL-based optimization techniques reveals that deep learning offers several advantages over conventional methods, especially in dealing with the dynamic nature of modern grids</w:t>
      </w:r>
      <w:r w:rsidR="00E20EC5">
        <w:t xml:space="preserve"> </w:t>
      </w:r>
      <w:r w:rsidR="00E20EC5" w:rsidRPr="00E20EC5">
        <w:t>(Hu, Wang &amp; Jiang, 2021, Kot, et al., 2021)</w:t>
      </w:r>
      <w:r w:rsidRPr="00B60DF8">
        <w:t>. Finally, the practical benefits for grid operators and policymakers underscore the importance of adopting deep learning technologies to improve grid performance, reduce costs, and enhance the sustainability of energy systems. As the energy sector continues to evolve, the role of artificial intelligence, particularly deep learning, will be crucial in shaping the future of energy grid optimization.</w:t>
      </w:r>
    </w:p>
    <w:p w14:paraId="5AFED2F2" w14:textId="77777777" w:rsidR="000E0796" w:rsidRDefault="000E0796" w:rsidP="00B60DF8">
      <w:pPr>
        <w:spacing w:after="0"/>
        <w:jc w:val="both"/>
        <w:rPr>
          <w:rStyle w:val="Strong"/>
          <w:rFonts w:ascii="Times New Roman" w:hAnsi="Times New Roman" w:cs="Times New Roman"/>
          <w:sz w:val="24"/>
          <w:szCs w:val="24"/>
        </w:rPr>
      </w:pPr>
    </w:p>
    <w:p w14:paraId="5420B476" w14:textId="04A57825" w:rsidR="00FD148A" w:rsidRPr="00B60DF8" w:rsidRDefault="00B65D93" w:rsidP="00B60DF8">
      <w:pPr>
        <w:spacing w:after="0"/>
        <w:jc w:val="both"/>
        <w:rPr>
          <w:rFonts w:ascii="Times New Roman" w:hAnsi="Times New Roman" w:cs="Times New Roman"/>
          <w:sz w:val="24"/>
          <w:szCs w:val="24"/>
        </w:rPr>
      </w:pPr>
      <w:r w:rsidRPr="00B60DF8">
        <w:rPr>
          <w:rStyle w:val="Strong"/>
          <w:rFonts w:ascii="Times New Roman" w:hAnsi="Times New Roman" w:cs="Times New Roman"/>
          <w:sz w:val="24"/>
          <w:szCs w:val="24"/>
        </w:rPr>
        <w:t>2.5.</w:t>
      </w:r>
      <w:r w:rsidRPr="00B60DF8">
        <w:rPr>
          <w:rStyle w:val="Strong"/>
          <w:rFonts w:ascii="Times New Roman" w:hAnsi="Times New Roman" w:cs="Times New Roman"/>
          <w:sz w:val="24"/>
          <w:szCs w:val="24"/>
        </w:rPr>
        <w:tab/>
      </w:r>
      <w:r w:rsidR="00FD148A" w:rsidRPr="00B60DF8">
        <w:rPr>
          <w:rStyle w:val="Strong"/>
          <w:rFonts w:ascii="Times New Roman" w:hAnsi="Times New Roman" w:cs="Times New Roman"/>
          <w:sz w:val="24"/>
          <w:szCs w:val="24"/>
        </w:rPr>
        <w:t>Proposed Framework Implementation</w:t>
      </w:r>
    </w:p>
    <w:p w14:paraId="40504719" w14:textId="256A87E0" w:rsidR="00B60DF8" w:rsidRPr="00B60DF8" w:rsidRDefault="00B60DF8" w:rsidP="00B60DF8">
      <w:pPr>
        <w:pStyle w:val="NormalWeb"/>
        <w:jc w:val="both"/>
      </w:pPr>
      <w:r w:rsidRPr="00B60DF8">
        <w:t>The proposed framework for implementing deep learning (DL) integration into energy grid optimization aims to enhance the efficiency and reliability of modern energy systems. The integration of deep learning models into grid management involves several key steps, including data preprocessing, model training, deployment, and continuous monitoring. These steps ensure that deep learning models can make accurate predictions, adapt to real-time changes, and optimize energy grid operations for improved efficiency and reliability</w:t>
      </w:r>
      <w:r w:rsidR="00E20EC5">
        <w:t xml:space="preserve"> </w:t>
      </w:r>
      <w:r w:rsidR="00E20EC5" w:rsidRPr="00E20EC5">
        <w:t xml:space="preserve">(Hu, et al., 2019, Konak, Clark &amp; </w:t>
      </w:r>
      <w:proofErr w:type="spellStart"/>
      <w:r w:rsidR="00E20EC5" w:rsidRPr="00E20EC5">
        <w:t>Nasereddin</w:t>
      </w:r>
      <w:proofErr w:type="spellEnd"/>
      <w:r w:rsidR="00E20EC5" w:rsidRPr="00E20EC5">
        <w:t>, 2014)</w:t>
      </w:r>
      <w:r w:rsidRPr="00B60DF8">
        <w:t>. Furthermore, the framework includes hybrid approaches combining DL with conventional optimization methods, reinforcement learning for dynamic adjustments, and the role of edge computing to reduce latency and improve real-time decision-making</w:t>
      </w:r>
      <w:r w:rsidR="00121E2F">
        <w:t xml:space="preserve"> (</w:t>
      </w:r>
      <w:r w:rsidR="00121E2F" w:rsidRPr="0093122B">
        <w:t>Sen &amp; Ganguly, 2017</w:t>
      </w:r>
      <w:r w:rsidR="00121E2F">
        <w:t>)</w:t>
      </w:r>
      <w:r w:rsidRPr="00B60DF8">
        <w:t>.</w:t>
      </w:r>
    </w:p>
    <w:p w14:paraId="62C46AF6" w14:textId="2741C3AB" w:rsidR="00B60DF8" w:rsidRPr="00B60DF8" w:rsidRDefault="00B60DF8" w:rsidP="00B60DF8">
      <w:pPr>
        <w:pStyle w:val="NormalWeb"/>
        <w:jc w:val="both"/>
      </w:pPr>
      <w:r w:rsidRPr="00B60DF8">
        <w:t>The first critical step in the implementation of deep learning models for grid optimization is data preprocessing and cleaning. Energy grids generate massive amounts of data from various sources, including smart meters, weather sensors, IoT devices, and grid infrastructure. This data is often noisy, incomplete, and inconsistent, making it challenging to apply machine learning models effectively</w:t>
      </w:r>
      <w:r w:rsidR="00121E2F">
        <w:t xml:space="preserve"> (</w:t>
      </w:r>
      <w:r w:rsidR="00121E2F" w:rsidRPr="00F87B6E">
        <w:t>Shi,</w:t>
      </w:r>
      <w:r w:rsidR="00121E2F">
        <w:t xml:space="preserve"> et al., 2020)</w:t>
      </w:r>
      <w:r w:rsidRPr="00B60DF8">
        <w:t xml:space="preserve">. Therefore, preprocessing and cleaning are essential to ensure that the data used for training the deep learning models is accurate and reliable. This step involves removing duplicates, filling in missing values, and transforming </w:t>
      </w:r>
      <w:r w:rsidRPr="00B60DF8">
        <w:lastRenderedPageBreak/>
        <w:t>raw data into a format suitable for deep learning algorithms. Data normalization and standardization techniques are often employed to ensure that the data is on a consistent scale, which helps improve the performance and accuracy of the models</w:t>
      </w:r>
      <w:r w:rsidR="00E20EC5">
        <w:t xml:space="preserve"> </w:t>
      </w:r>
      <w:r w:rsidR="00E20EC5" w:rsidRPr="00E20EC5">
        <w:t>(</w:t>
      </w:r>
      <w:proofErr w:type="spellStart"/>
      <w:r w:rsidR="00E20EC5" w:rsidRPr="00E20EC5">
        <w:t>Negendahl</w:t>
      </w:r>
      <w:proofErr w:type="spellEnd"/>
      <w:r w:rsidR="00E20EC5" w:rsidRPr="00E20EC5">
        <w:t xml:space="preserve">, 2015, </w:t>
      </w:r>
      <w:proofErr w:type="spellStart"/>
      <w:r w:rsidR="00E20EC5" w:rsidRPr="00E20EC5">
        <w:t>Pamungkas</w:t>
      </w:r>
      <w:proofErr w:type="spellEnd"/>
      <w:r w:rsidR="00E20EC5" w:rsidRPr="00E20EC5">
        <w:t xml:space="preserve">, </w:t>
      </w:r>
      <w:proofErr w:type="spellStart"/>
      <w:r w:rsidR="00E20EC5" w:rsidRPr="00E20EC5">
        <w:t>Widiastuti</w:t>
      </w:r>
      <w:proofErr w:type="spellEnd"/>
      <w:r w:rsidR="00E20EC5" w:rsidRPr="00E20EC5">
        <w:t xml:space="preserve"> &amp; </w:t>
      </w:r>
      <w:proofErr w:type="spellStart"/>
      <w:r w:rsidR="00E20EC5" w:rsidRPr="00E20EC5">
        <w:t>Suharno</w:t>
      </w:r>
      <w:proofErr w:type="spellEnd"/>
      <w:r w:rsidR="00E20EC5" w:rsidRPr="00E20EC5">
        <w:t>, 2019)</w:t>
      </w:r>
      <w:r w:rsidRPr="00B60DF8">
        <w:t>. Proper data preprocessing also involves identifying and correcting errors that could lead to biased predictions, ensuring the model’s ability to generalize across various grid configurations.</w:t>
      </w:r>
    </w:p>
    <w:p w14:paraId="24485A40" w14:textId="09947756" w:rsidR="00B60DF8" w:rsidRPr="00B60DF8" w:rsidRDefault="00B60DF8" w:rsidP="00B60DF8">
      <w:pPr>
        <w:pStyle w:val="NormalWeb"/>
        <w:jc w:val="both"/>
      </w:pPr>
      <w:r w:rsidRPr="00B60DF8">
        <w:t>Once the data is cleaned and prepared, the next step is model training and validation. The choice of deep learning model plays a crucial role in the overall success of the optimization framework. Different types of deep learning models, such as Recurrent Neural Networks (RNNs), Convolutional Neural Networks (CNNs), and Transformers, are commonly used in energy grid optimization tasks like demand forecasting, fault detection, and load balancing. The models are trained on historical data to learn patterns and relationships that can predict future grid behavior</w:t>
      </w:r>
      <w:r w:rsidR="00E20EC5">
        <w:t xml:space="preserve"> </w:t>
      </w:r>
      <w:r w:rsidR="00E20EC5" w:rsidRPr="00E20EC5">
        <w:t xml:space="preserve">(Hwang, Huang &amp; Wu, 2016, </w:t>
      </w:r>
      <w:proofErr w:type="spellStart"/>
      <w:r w:rsidR="00E20EC5" w:rsidRPr="00E20EC5">
        <w:t>Konstantakopoulos</w:t>
      </w:r>
      <w:proofErr w:type="spellEnd"/>
      <w:r w:rsidR="00E20EC5" w:rsidRPr="00E20EC5">
        <w:t>, et al., 2019)</w:t>
      </w:r>
      <w:r w:rsidRPr="00B60DF8">
        <w:t>. This training process typically involves the use of large-scale datasets, as deep learning models require substantial data to capture complex patterns. During training, the models are iteratively adjusted through backpropagation, minimizing the error between the model's predictions and the actual outcomes</w:t>
      </w:r>
      <w:r w:rsidR="00121E2F">
        <w:t xml:space="preserve"> (</w:t>
      </w:r>
      <w:proofErr w:type="spellStart"/>
      <w:r w:rsidR="00121E2F" w:rsidRPr="0093122B">
        <w:t>Suberu</w:t>
      </w:r>
      <w:proofErr w:type="spellEnd"/>
      <w:r w:rsidR="00121E2F" w:rsidRPr="0093122B">
        <w:t>, Mustafa &amp; Bashir, 2014</w:t>
      </w:r>
      <w:r w:rsidR="00121E2F">
        <w:t>)</w:t>
      </w:r>
      <w:r w:rsidRPr="00B60DF8">
        <w:t>. Once the model is trained, it is validated using a separate dataset to evaluate its accuracy and robustness. Validation ensures that the model is capable of generalizing to unseen data and will perform well when deployed in a real-world environment.</w:t>
      </w:r>
    </w:p>
    <w:p w14:paraId="06BB1EE6" w14:textId="0630C5E6" w:rsidR="00B60DF8" w:rsidRPr="00B60DF8" w:rsidRDefault="00B60DF8" w:rsidP="00B60DF8">
      <w:pPr>
        <w:pStyle w:val="NormalWeb"/>
        <w:jc w:val="both"/>
      </w:pPr>
      <w:r w:rsidRPr="00B60DF8">
        <w:t>After the training and validation process, the next phase is the deployment of the deep learning models in the energy grid environment. Deployment involves integrating the trained models into the grid’s existing infrastructure, where they can start processing real-time data and making predictions</w:t>
      </w:r>
      <w:r w:rsidR="00121E2F">
        <w:t xml:space="preserve"> (</w:t>
      </w:r>
      <w:r w:rsidR="00121E2F" w:rsidRPr="0093122B">
        <w:t>Thilakarathne,</w:t>
      </w:r>
      <w:r w:rsidR="00121E2F">
        <w:t xml:space="preserve"> et al., 2020)</w:t>
      </w:r>
      <w:r w:rsidRPr="00B60DF8">
        <w:t>. In this phase, monitoring is essential to track the model’s performance and identify any potential issues or discrepancies in its predictions. Real-time monitoring allows grid operators to detect if the models are underperforming or if the data inputs have changed significantly, which could require retraining the models. Moreover, continuous feedback loops are established to refine the model’s predictions and make adjustments as needed</w:t>
      </w:r>
      <w:r w:rsidR="00E20EC5">
        <w:t xml:space="preserve"> </w:t>
      </w:r>
      <w:r w:rsidR="00E20EC5" w:rsidRPr="00E20EC5">
        <w:t xml:space="preserve">(Infield &amp; </w:t>
      </w:r>
      <w:proofErr w:type="spellStart"/>
      <w:r w:rsidR="00E20EC5" w:rsidRPr="00E20EC5">
        <w:t>Freris</w:t>
      </w:r>
      <w:proofErr w:type="spellEnd"/>
      <w:r w:rsidR="00E20EC5" w:rsidRPr="00E20EC5">
        <w:t>, 2020, Kruse, 2018)</w:t>
      </w:r>
      <w:r w:rsidRPr="00B60DF8">
        <w:t>. This iterative process ensures that the deep learning models remain accurate and effective over time.</w:t>
      </w:r>
    </w:p>
    <w:p w14:paraId="539D0245" w14:textId="18CDBCE0" w:rsidR="00B60DF8" w:rsidRPr="00B60DF8" w:rsidRDefault="00B60DF8" w:rsidP="00B60DF8">
      <w:pPr>
        <w:pStyle w:val="NormalWeb"/>
        <w:jc w:val="both"/>
      </w:pPr>
      <w:r w:rsidRPr="00B60DF8">
        <w:t>Hybrid approaches that combine deep learning with traditional optimization techniques represent another crucial aspect of the proposed framework. While deep learning models offer substantial advantages in handling large datasets and complex patterns, conventional optimization methods still play an essential role in energy grid management. For example, traditional methods such as linear programming, mixed-integer programming, and rule-based optimization systems have been widely used to balance supply and demand, optimize resource allocation, and improve grid reliability</w:t>
      </w:r>
      <w:r w:rsidR="00E20EC5">
        <w:t xml:space="preserve"> </w:t>
      </w:r>
      <w:r w:rsidR="00E20EC5" w:rsidRPr="00E20EC5">
        <w:t>(Liu, 2017, Melly, et al., 2020)</w:t>
      </w:r>
      <w:r w:rsidRPr="00B60DF8">
        <w:t>. By combining deep learning models with these conventional approaches, grid operators can leverage the strengths of both techniques. Deep learning can be used for predictive analytics and anomaly detection, while traditional optimization methods can be employed for decision-making and constraint management</w:t>
      </w:r>
      <w:r w:rsidR="00121E2F">
        <w:t xml:space="preserve"> (</w:t>
      </w:r>
      <w:r w:rsidR="00121E2F" w:rsidRPr="0093122B">
        <w:t>Zhang, Han &amp; Deng, 2018</w:t>
      </w:r>
      <w:r w:rsidR="00121E2F">
        <w:t>)</w:t>
      </w:r>
      <w:r w:rsidRPr="00B60DF8">
        <w:t>. This hybrid approach allows for a more holistic and robust solution, improving both the accuracy of predictions and the efficiency of decision-making.</w:t>
      </w:r>
    </w:p>
    <w:p w14:paraId="496CEB0E" w14:textId="0D955C74" w:rsidR="00B60DF8" w:rsidRPr="00B60DF8" w:rsidRDefault="00B60DF8" w:rsidP="00B60DF8">
      <w:pPr>
        <w:pStyle w:val="NormalWeb"/>
        <w:jc w:val="both"/>
      </w:pPr>
      <w:r w:rsidRPr="00B60DF8">
        <w:t xml:space="preserve">Reinforcement learning (RL) is another powerful technique that can enhance the framework’s ability to adapt to real-time demands. Reinforcement learning is an area of machine learning </w:t>
      </w:r>
      <w:r w:rsidRPr="00B60DF8">
        <w:lastRenderedPageBreak/>
        <w:t>where an agent learns by interacting with an environment and receiving feedback in the form of rewards or penalties. In the context of energy grid optimization, RL can be used to make dynamic adjustments to the grid based on real-time data. For instance, RL algorithms can optimize energy distribution by learning the best actions to take at each time step, such as adjusting the load or switching energy sources, to minimize costs or prevent blackouts</w:t>
      </w:r>
      <w:r w:rsidR="00E20EC5">
        <w:t xml:space="preserve"> </w:t>
      </w:r>
      <w:r w:rsidR="00E20EC5" w:rsidRPr="00E20EC5">
        <w:t xml:space="preserve">(Jamison, Kolmos &amp; </w:t>
      </w:r>
      <w:proofErr w:type="spellStart"/>
      <w:r w:rsidR="00E20EC5" w:rsidRPr="00E20EC5">
        <w:t>Holgaard</w:t>
      </w:r>
      <w:proofErr w:type="spellEnd"/>
      <w:r w:rsidR="00E20EC5" w:rsidRPr="00E20EC5">
        <w:t xml:space="preserve">, 2014, </w:t>
      </w:r>
      <w:proofErr w:type="spellStart"/>
      <w:r w:rsidR="00E20EC5" w:rsidRPr="00E20EC5">
        <w:t>Lackéus</w:t>
      </w:r>
      <w:proofErr w:type="spellEnd"/>
      <w:r w:rsidR="00E20EC5" w:rsidRPr="00E20EC5">
        <w:t xml:space="preserve"> &amp; Williams Middleton, 2015)</w:t>
      </w:r>
      <w:r w:rsidRPr="00B60DF8">
        <w:t>. The key advantage of reinforcement learning in energy grid optimization is its ability to continuously adapt to changing conditions. Unlike traditional optimization methods, which often require static assumptions about grid behavior, reinforcement learning can learn from experience and adapt its strategy based on real-time data. This flexibility makes it especially useful in environments where grid conditions are unpredictable, such as those involving fluctuating renewable energy sources.</w:t>
      </w:r>
    </w:p>
    <w:p w14:paraId="728257B1" w14:textId="79BBDF78" w:rsidR="00B60DF8" w:rsidRPr="00B60DF8" w:rsidRDefault="00B60DF8" w:rsidP="00B60DF8">
      <w:pPr>
        <w:pStyle w:val="NormalWeb"/>
        <w:jc w:val="both"/>
      </w:pPr>
      <w:r w:rsidRPr="00B60DF8">
        <w:t>Incorporating edge computing into the framework is crucial for addressing issues related to latency and decentralization. Energy grids generate vast amounts of data that need to be processed in real-time to optimize grid operations. Traditionally, data from grid sensors is sent to centralized servers or cloud-based systems for analysis, which can introduce significant delays due to data transmission and processing times. Edge computing mitigates these issues by processing data closer to the source, at the edge of the network, where sensors and IoT devices are located</w:t>
      </w:r>
      <w:r w:rsidR="00E20EC5">
        <w:t xml:space="preserve"> </w:t>
      </w:r>
      <w:r w:rsidR="00E20EC5" w:rsidRPr="00E20EC5">
        <w:t>(</w:t>
      </w:r>
      <w:proofErr w:type="spellStart"/>
      <w:r w:rsidR="00E20EC5" w:rsidRPr="00E20EC5">
        <w:t>Kabeyi</w:t>
      </w:r>
      <w:proofErr w:type="spellEnd"/>
      <w:r w:rsidR="00E20EC5" w:rsidRPr="00E20EC5">
        <w:t xml:space="preserve"> &amp; Olanrewaju, 2022, Saeedi, et al., 2022)</w:t>
      </w:r>
      <w:r w:rsidRPr="00B60DF8">
        <w:t>. This decentralization reduces the amount of data that needs to be transmitted to central servers and allows for faster decision-making. By processing data locally, edge computing enables quicker responses to real-time changes in grid conditions, such as sudden spikes in demand or fluctuations in renewable energy supply. This capability is essential for ensuring the reliability and efficiency of energy grid systems, especially in dynamic environments where every second counts.</w:t>
      </w:r>
    </w:p>
    <w:p w14:paraId="0D6B18D1" w14:textId="2CC4E79A" w:rsidR="00B60DF8" w:rsidRPr="00B60DF8" w:rsidRDefault="00B60DF8" w:rsidP="00B60DF8">
      <w:pPr>
        <w:pStyle w:val="NormalWeb"/>
        <w:jc w:val="both"/>
      </w:pPr>
      <w:r w:rsidRPr="00B60DF8">
        <w:t>The implementation of the proposed framework will lead to significant improvements in energy grid optimization, particularly in enhancing the efficiency and reliability of energy systems. By integrating deep learning models, hybrid approaches, reinforcement learning, and edge computing, the framework will enable grid operators to make more accurate predictions, optimize resource distribution, and respond to real-time changes in grid conditions</w:t>
      </w:r>
      <w:r w:rsidR="009E7A99">
        <w:t xml:space="preserve"> (</w:t>
      </w:r>
      <w:r w:rsidR="009E7A99" w:rsidRPr="009E7A99">
        <w:t xml:space="preserve">Kapilan, Vidhya &amp; Gao, 2021, </w:t>
      </w:r>
      <w:proofErr w:type="spellStart"/>
      <w:r w:rsidR="009E7A99" w:rsidRPr="009E7A99">
        <w:t>Kolus</w:t>
      </w:r>
      <w:proofErr w:type="spellEnd"/>
      <w:r w:rsidR="009E7A99" w:rsidRPr="009E7A99">
        <w:t>, Wells &amp; Neumann, 2018)</w:t>
      </w:r>
      <w:r w:rsidRPr="00B60DF8">
        <w:t xml:space="preserve">. The combination of these advanced techniques will not only improve operational efficiency but also facilitate the integration of renewable energy sources, leading to a more sustainable energy grid. Furthermore, the ability to adapt to real-time demands will enhance grid reliability and reduce the risk of outages or system </w:t>
      </w:r>
      <w:proofErr w:type="gramStart"/>
      <w:r w:rsidRPr="00B60DF8">
        <w:t>failures</w:t>
      </w:r>
      <w:r w:rsidR="00136249">
        <w:t xml:space="preserve"> </w:t>
      </w:r>
      <w:r w:rsidRPr="00B60DF8">
        <w:t>.</w:t>
      </w:r>
      <w:proofErr w:type="gramEnd"/>
      <w:r w:rsidRPr="00B60DF8">
        <w:t xml:space="preserve"> Overall, the proposed framework represents a forward-thinking solution to the challenges facing modern energy grids, and its implementation will pave the way for more intelligent, efficient, and resilient energy systems.</w:t>
      </w:r>
    </w:p>
    <w:p w14:paraId="0857DE2F" w14:textId="77777777" w:rsidR="000E0796" w:rsidRDefault="000E0796" w:rsidP="00B60DF8">
      <w:pPr>
        <w:spacing w:after="0"/>
        <w:jc w:val="both"/>
        <w:rPr>
          <w:rStyle w:val="Strong"/>
          <w:rFonts w:ascii="Times New Roman" w:hAnsi="Times New Roman" w:cs="Times New Roman"/>
          <w:sz w:val="24"/>
          <w:szCs w:val="24"/>
        </w:rPr>
      </w:pPr>
    </w:p>
    <w:p w14:paraId="51CA6CFD" w14:textId="7CEF6DE5" w:rsidR="00FD148A" w:rsidRPr="00B60DF8" w:rsidRDefault="00B65D93" w:rsidP="00B60DF8">
      <w:pPr>
        <w:spacing w:after="0"/>
        <w:jc w:val="both"/>
        <w:rPr>
          <w:rFonts w:ascii="Times New Roman" w:hAnsi="Times New Roman" w:cs="Times New Roman"/>
          <w:sz w:val="24"/>
          <w:szCs w:val="24"/>
        </w:rPr>
      </w:pPr>
      <w:r w:rsidRPr="00B60DF8">
        <w:rPr>
          <w:rStyle w:val="Strong"/>
          <w:rFonts w:ascii="Times New Roman" w:hAnsi="Times New Roman" w:cs="Times New Roman"/>
          <w:sz w:val="24"/>
          <w:szCs w:val="24"/>
        </w:rPr>
        <w:t>2.6.</w:t>
      </w:r>
      <w:r w:rsidRPr="00B60DF8">
        <w:rPr>
          <w:rStyle w:val="Strong"/>
          <w:rFonts w:ascii="Times New Roman" w:hAnsi="Times New Roman" w:cs="Times New Roman"/>
          <w:sz w:val="24"/>
          <w:szCs w:val="24"/>
        </w:rPr>
        <w:tab/>
      </w:r>
      <w:r w:rsidR="00FD148A" w:rsidRPr="00B60DF8">
        <w:rPr>
          <w:rStyle w:val="Strong"/>
          <w:rFonts w:ascii="Times New Roman" w:hAnsi="Times New Roman" w:cs="Times New Roman"/>
          <w:sz w:val="24"/>
          <w:szCs w:val="24"/>
        </w:rPr>
        <w:t>Challenges and Solutions</w:t>
      </w:r>
    </w:p>
    <w:p w14:paraId="15C5737A" w14:textId="26EF0C88" w:rsidR="00B60DF8" w:rsidRPr="00B60DF8" w:rsidRDefault="00B60DF8" w:rsidP="00B60DF8">
      <w:pPr>
        <w:pStyle w:val="NormalWeb"/>
        <w:jc w:val="both"/>
      </w:pPr>
      <w:r w:rsidRPr="00B60DF8">
        <w:t>The integration of deep learning (DL) into energy grid optimization presents several challenges that need to be addressed to ensure the successful implementation and deployment of the framework. These challenges encompass issues related to data security and privacy, interpretability of deep learning models, and regulatory compliance. As the reliance on AI-driven technologies in the energy sector increases, overcoming these obstacles is crucial to optimizing grid operations while maintaining public trust, transparency, and legal conformity</w:t>
      </w:r>
      <w:r w:rsidR="00136249">
        <w:t xml:space="preserve"> </w:t>
      </w:r>
      <w:r w:rsidR="00136249" w:rsidRPr="00136249">
        <w:t>(</w:t>
      </w:r>
      <w:proofErr w:type="spellStart"/>
      <w:r w:rsidR="00136249" w:rsidRPr="00136249">
        <w:t>Kanetaki</w:t>
      </w:r>
      <w:proofErr w:type="spellEnd"/>
      <w:r w:rsidR="00136249" w:rsidRPr="00136249">
        <w:t>, et al., 2022, Li, Su &amp; Zhu, 2022)</w:t>
      </w:r>
      <w:r w:rsidRPr="00B60DF8">
        <w:t>.</w:t>
      </w:r>
    </w:p>
    <w:p w14:paraId="52EBD54D" w14:textId="40D8F06F" w:rsidR="00B60DF8" w:rsidRPr="00B60DF8" w:rsidRDefault="00B60DF8" w:rsidP="00B60DF8">
      <w:pPr>
        <w:pStyle w:val="NormalWeb"/>
        <w:jc w:val="both"/>
      </w:pPr>
      <w:r w:rsidRPr="00B60DF8">
        <w:lastRenderedPageBreak/>
        <w:t>One of the foremost challenges in integrating deep learning into energy grid optimization is data security and privacy. Energy grids generate a large volume of sensitive data, ranging from energy consumption patterns and production forecasts to real-time information on infrastructure status. This data, if compromised, can not only lead to privacy breaches but can also be exploited for malicious purposes, affecting the integrity and security of the grid. Ensuring that data remains secure throughout its collection, transmission, and storage is of paramount importance</w:t>
      </w:r>
      <w:r w:rsidR="00136249">
        <w:t xml:space="preserve"> </w:t>
      </w:r>
      <w:r w:rsidR="00136249" w:rsidRPr="00136249">
        <w:t>(</w:t>
      </w:r>
      <w:proofErr w:type="spellStart"/>
      <w:r w:rsidR="00136249" w:rsidRPr="00136249">
        <w:t>Ramasesh</w:t>
      </w:r>
      <w:proofErr w:type="spellEnd"/>
      <w:r w:rsidR="00136249" w:rsidRPr="00136249">
        <w:t xml:space="preserve"> &amp; Browning, 2014, Ren, et al., 2019)</w:t>
      </w:r>
      <w:r w:rsidRPr="00B60DF8">
        <w:t>. Energy grids, particularly smart grids, are increasingly connected to a wide range of devices, sensors, and external data sources, creating potential vulnerabilities in the system. Furthermore, deep learning models require vast amounts of data to make accurate predictions, and this data often contains personally identifiable information (PII) or confidential operational details. To address this challenge, robust cybersecurity measures must be implemented at every level of the energy grid infrastructure. These measures include encryption, secure communication protocols, and multi-factor authentication to ensure that data is protected both in transit and at rest. Additionally, data anonymization techniques can be employed to reduce the risk of privacy violations by removing identifiable information from datasets before they are used for model training. Incorporating advanced security measures such as blockchain for data verification and access control can also help prevent unauthorized access to grid data and ensure its integrity.</w:t>
      </w:r>
    </w:p>
    <w:p w14:paraId="3C62DDD7" w14:textId="75D7E663" w:rsidR="00B60DF8" w:rsidRPr="00B60DF8" w:rsidRDefault="00B60DF8" w:rsidP="00B60DF8">
      <w:pPr>
        <w:pStyle w:val="NormalWeb"/>
        <w:jc w:val="both"/>
      </w:pPr>
      <w:r w:rsidRPr="00B60DF8">
        <w:t>Interpretability of deep learning models is another significant challenge when integrating them into energy grid optimization. Deep learning algorithms, particularly complex models such as neural networks, are often described as "black boxes" because they make decisions based on patterns that are not easily interpretable by humans. This lack of transparency poses a serious concern in applications where decisions made by AI systems have direct implications on grid management and energy distribution</w:t>
      </w:r>
      <w:r w:rsidR="009E7A99">
        <w:t xml:space="preserve"> </w:t>
      </w:r>
      <w:r w:rsidR="009E7A99" w:rsidRPr="009E7A99">
        <w:t>(Muhammed Raji, et al., 2023, Özel, Shokri &amp; Loizeau, 2023)</w:t>
      </w:r>
      <w:r w:rsidRPr="00B60DF8">
        <w:t>. Grid operators and stakeholders need to understand the rationale behind the decisions made by deep learning models, especially when it comes to critical aspects such as load balancing, fault detection, and energy forecasting. If a model makes a prediction that results in a system failure or an energy shortage, understanding the underlying factors driving that decision is essential to rectify the issue and prevent it from happening again. Addressing this challenge requires the development of more transparent deep learning models that are explainable and interpretable. Techniques such as attention mechanisms, which highlight the most important features influencing a model’s decision, and interpretable machine learning models, such as decision trees or rule-based systems, can help make deep learning models more understandable. Additionally, the integration of domain knowledge into the training process can improve the interpretability of models. This can involve incorporating grid-specific constraints and performance indicators into the learning algorithm, which helps the model to align its predictions with operational goals and makes it easier for grid operators to assess the model’s reasoning.</w:t>
      </w:r>
    </w:p>
    <w:p w14:paraId="37E5460A" w14:textId="7167E679" w:rsidR="00B60DF8" w:rsidRPr="00B60DF8" w:rsidRDefault="00B60DF8" w:rsidP="00B60DF8">
      <w:pPr>
        <w:pStyle w:val="NormalWeb"/>
        <w:jc w:val="both"/>
      </w:pPr>
      <w:r w:rsidRPr="00B60DF8">
        <w:t>Another crucial challenge in the integration of deep learning into energy grid optimization is regulatory compliance. The energy sector is heavily regulated, with numerous standards and protocols governing grid operations, data usage, and safety. These regulations are often complex and vary between jurisdictions, adding a layer of complexity for grid operators who seek to adopt AI-driven optimization methods. For example, regulations may govern how data is collected, stored, and shared, especially when dealing with sensitive customer information or operational data that could be subject to privacy laws</w:t>
      </w:r>
      <w:r w:rsidR="009E7A99">
        <w:t xml:space="preserve"> </w:t>
      </w:r>
      <w:r w:rsidR="009E7A99" w:rsidRPr="009E7A99">
        <w:t>(Kayode-</w:t>
      </w:r>
      <w:proofErr w:type="spellStart"/>
      <w:r w:rsidR="009E7A99" w:rsidRPr="009E7A99">
        <w:t>Ajala</w:t>
      </w:r>
      <w:proofErr w:type="spellEnd"/>
      <w:r w:rsidR="009E7A99" w:rsidRPr="009E7A99">
        <w:t xml:space="preserve">, 2023, </w:t>
      </w:r>
      <w:proofErr w:type="spellStart"/>
      <w:r w:rsidR="009E7A99" w:rsidRPr="009E7A99">
        <w:t>Kopelmann</w:t>
      </w:r>
      <w:proofErr w:type="spellEnd"/>
      <w:r w:rsidR="009E7A99" w:rsidRPr="009E7A99">
        <w:t>, et al., 2023, Wall, 2023)</w:t>
      </w:r>
      <w:r w:rsidRPr="00B60DF8">
        <w:t>. Furthermore, energy grids must adhere to safety standards and operational protocols, which may conflict with the autonomous decision-</w:t>
      </w:r>
      <w:r w:rsidRPr="00B60DF8">
        <w:lastRenderedPageBreak/>
        <w:t>making capabilities of deep learning models. Compliance with these regulations is not only necessary to avoid legal penalties but also to ensure that the integration of DL models does not compromise grid safety or the reliability of energy supply. To overcome these regulatory challenges, it is essential to align the deep learning framework with existing industry standards. This can involve working closely with regulatory bodies to ensure that the use of AI technologies in energy grid optimization complies with data protection laws, environmental regulations, and safety standards. One potential solution is to adopt a flexible, adaptive approach to regulation, where the framework can be updated in response to changes in regulatory requirements or the development of new industry standards. Additionally, industry collaboration is essential to establish common guidelines for AI integration in energy systems, which can help harmonize regulatory compliance across different regions and jurisdictions.</w:t>
      </w:r>
    </w:p>
    <w:p w14:paraId="71BCCBAA" w14:textId="77777777" w:rsidR="00B60DF8" w:rsidRPr="00B60DF8" w:rsidRDefault="00B60DF8" w:rsidP="00B60DF8">
      <w:pPr>
        <w:pStyle w:val="NormalWeb"/>
        <w:jc w:val="both"/>
      </w:pPr>
      <w:r w:rsidRPr="00B60DF8">
        <w:t>Moreover, addressing these challenges requires a multi-disciplinary approach, involving collaboration between energy grid operators, AI experts, cybersecurity specialists, and regulatory bodies. This interdisciplinary collaboration can help to develop solutions that balance the need for advanced optimization techniques with the requirements for security, transparency, and compliance. It also involves fostering a culture of continuous improvement and adaptation to ensure that the deep learning models remain effective and aligned with regulatory changes and emerging cybersecurity threats. Regular audits and assessments of the AI system can also help ensure that the model is performing as expected and in accordance with industry standards.</w:t>
      </w:r>
    </w:p>
    <w:p w14:paraId="72DE3762" w14:textId="32273A1D" w:rsidR="00B60DF8" w:rsidRPr="00B60DF8" w:rsidRDefault="00B60DF8" w:rsidP="00B60DF8">
      <w:pPr>
        <w:pStyle w:val="NormalWeb"/>
        <w:jc w:val="both"/>
      </w:pPr>
      <w:r w:rsidRPr="00B60DF8">
        <w:t>In addition to these primary challenges, there are other practical hurdles associated with the deployment of deep learning in energy grid optimization. One such challenge is the integration of disparate data sources from various parts of the grid. Energy grids often consist of a mix of legacy systems and new technologies, and integrating these systems into a cohesive framework for deep learning-based optimization can be complex and costly. Furthermore, training deep learning models to handle the vast amount of data generated by energy grids requires substantial computational resources</w:t>
      </w:r>
      <w:r w:rsidR="00426E90">
        <w:t xml:space="preserve"> </w:t>
      </w:r>
      <w:r w:rsidR="00426E90" w:rsidRPr="00426E90">
        <w:t>(</w:t>
      </w:r>
      <w:proofErr w:type="spellStart"/>
      <w:r w:rsidR="00426E90" w:rsidRPr="00426E90">
        <w:t>Podgórski</w:t>
      </w:r>
      <w:proofErr w:type="spellEnd"/>
      <w:r w:rsidR="00426E90" w:rsidRPr="00426E90">
        <w:t>, et al., 2020, Qian, et al., 2020)</w:t>
      </w:r>
      <w:r w:rsidRPr="00B60DF8">
        <w:t>. This can present a significant barrier, particularly for smaller grid operators with limited access to high-performance computing infrastructure. Solutions to these challenges may include developing lightweight models that can run on less powerful hardware or utilizing cloud-based platforms to provide the necessary computational resources for training and deployment.</w:t>
      </w:r>
    </w:p>
    <w:p w14:paraId="51FFA9E7" w14:textId="77777777" w:rsidR="00B60DF8" w:rsidRPr="00B60DF8" w:rsidRDefault="00B60DF8" w:rsidP="00B60DF8">
      <w:pPr>
        <w:pStyle w:val="NormalWeb"/>
        <w:jc w:val="both"/>
      </w:pPr>
      <w:r w:rsidRPr="00B60DF8">
        <w:t>Despite these challenges, deep learning offers significant potential to optimize energy grid operations by improving efficiency, reliability, and sustainability. By addressing issues related to data security and privacy, interpretability, and regulatory compliance, the integration of deep learning can be achieved in a way that benefits all stakeholders. Developing transparent, interpretable models, ensuring robust cybersecurity measures, and aligning with regulatory standards will help foster the adoption of deep learning in energy grids, enabling them to handle the increasing demands of modern energy systems, integrate renewable energy sources, and enhance grid stability and reliability.</w:t>
      </w:r>
    </w:p>
    <w:p w14:paraId="6E6DBAFE" w14:textId="77777777" w:rsidR="000E0796" w:rsidRDefault="000E0796" w:rsidP="00B60DF8">
      <w:pPr>
        <w:spacing w:after="0"/>
        <w:jc w:val="both"/>
        <w:rPr>
          <w:rStyle w:val="Strong"/>
          <w:rFonts w:ascii="Times New Roman" w:hAnsi="Times New Roman" w:cs="Times New Roman"/>
          <w:sz w:val="24"/>
          <w:szCs w:val="24"/>
        </w:rPr>
      </w:pPr>
    </w:p>
    <w:p w14:paraId="78127B58" w14:textId="2DF36B72" w:rsidR="00FD148A" w:rsidRPr="00B60DF8" w:rsidRDefault="00B65D93" w:rsidP="00B60DF8">
      <w:pPr>
        <w:spacing w:after="0"/>
        <w:jc w:val="both"/>
        <w:rPr>
          <w:rFonts w:ascii="Times New Roman" w:hAnsi="Times New Roman" w:cs="Times New Roman"/>
          <w:sz w:val="24"/>
          <w:szCs w:val="24"/>
        </w:rPr>
      </w:pPr>
      <w:r w:rsidRPr="00B60DF8">
        <w:rPr>
          <w:rStyle w:val="Strong"/>
          <w:rFonts w:ascii="Times New Roman" w:hAnsi="Times New Roman" w:cs="Times New Roman"/>
          <w:sz w:val="24"/>
          <w:szCs w:val="24"/>
        </w:rPr>
        <w:t>2.7.</w:t>
      </w:r>
      <w:r w:rsidRPr="00B60DF8">
        <w:rPr>
          <w:rStyle w:val="Strong"/>
          <w:rFonts w:ascii="Times New Roman" w:hAnsi="Times New Roman" w:cs="Times New Roman"/>
          <w:sz w:val="24"/>
          <w:szCs w:val="24"/>
        </w:rPr>
        <w:tab/>
      </w:r>
      <w:r w:rsidR="00FD148A" w:rsidRPr="00B60DF8">
        <w:rPr>
          <w:rStyle w:val="Strong"/>
          <w:rFonts w:ascii="Times New Roman" w:hAnsi="Times New Roman" w:cs="Times New Roman"/>
          <w:sz w:val="24"/>
          <w:szCs w:val="24"/>
        </w:rPr>
        <w:t>Conclusion and Future Directions</w:t>
      </w:r>
    </w:p>
    <w:p w14:paraId="1A9D64F4" w14:textId="77777777" w:rsidR="00B60DF8" w:rsidRPr="00B60DF8" w:rsidRDefault="00B60DF8" w:rsidP="00B60DF8">
      <w:pPr>
        <w:pStyle w:val="NormalWeb"/>
        <w:jc w:val="both"/>
      </w:pPr>
      <w:r w:rsidRPr="00B60DF8">
        <w:t xml:space="preserve">The integration of deep learning (DL) into energy grid optimization represents a transformative advancement in the way grid systems are managed, optimized, and evolved to </w:t>
      </w:r>
      <w:r w:rsidRPr="00B60DF8">
        <w:lastRenderedPageBreak/>
        <w:t>meet the challenges of the modern energy landscape. By leveraging advanced DL techniques, the energy sector can enhance the efficiency, reliability, and sustainability of grids, facilitating better energy distribution, fault detection, and demand forecasting. The application of DL in optimizing energy grids offers significant benefits, including the ability to process vast amounts of data, identify complex patterns, and provide real-time insights into grid performance. As a result, DL not only helps in maximizing the use of renewable energy sources but also plays a crucial role in stabilizing grids and improving overall system resilience.</w:t>
      </w:r>
    </w:p>
    <w:p w14:paraId="2336B291" w14:textId="77777777" w:rsidR="00B60DF8" w:rsidRPr="00B60DF8" w:rsidRDefault="00B60DF8" w:rsidP="00B60DF8">
      <w:pPr>
        <w:pStyle w:val="NormalWeb"/>
        <w:jc w:val="both"/>
      </w:pPr>
      <w:r w:rsidRPr="00B60DF8">
        <w:t>Through this framework, several key contributions have been highlighted, including the development of a comprehensive methodology for integrating deep learning into energy grid optimization. The use of data sources such as smart meters, IoT devices, and grid sensors, combined with DL models like recurrent neural networks (RNNs), convolutional neural networks (CNNs), and transformers, provides a robust foundation for achieving real-time optimization. Additionally, evaluation metrics such as mean absolute percentage error (MAPE) and the F1 score offer reliable ways to measure model performance and effectiveness. By incorporating hybrid approaches that combine DL with conventional optimization methods and reinforcing the use of reinforcement learning, dynamic adjustments to grid demands are also made more feasible.</w:t>
      </w:r>
    </w:p>
    <w:p w14:paraId="046D3AEC" w14:textId="77777777" w:rsidR="00B60DF8" w:rsidRPr="00B60DF8" w:rsidRDefault="00B60DF8" w:rsidP="00B60DF8">
      <w:pPr>
        <w:pStyle w:val="NormalWeb"/>
        <w:jc w:val="both"/>
      </w:pPr>
      <w:r w:rsidRPr="00B60DF8">
        <w:t>Despite the significant progress in integrating deep learning into energy grids, several challenges remain. Data security and privacy concerns continue to be a critical issue, as the increasing interconnectivity of grid systems raises the risk of cybersecurity threats. Ensuring the interpretability of DL models is equally important to foster trust and transparency among stakeholders. Additionally, navigating regulatory compliance and ensuring that deep learning-based optimizations align with industry standards and safety protocols will require continued collaboration between researchers, grid operators, and regulators.</w:t>
      </w:r>
    </w:p>
    <w:p w14:paraId="6D7A25D5" w14:textId="77777777" w:rsidR="00B60DF8" w:rsidRDefault="00B60DF8" w:rsidP="00B60DF8">
      <w:pPr>
        <w:pStyle w:val="NormalWeb"/>
        <w:jc w:val="both"/>
      </w:pPr>
      <w:r w:rsidRPr="00B60DF8">
        <w:t>Looking toward the future, there are numerous research areas that warrant exploration. Enhancing the interpretability of DL models is one such area, as it will allow for greater trust and usability in practical applications. Another promising direction is the integration of quantum computing to further enhance computational efficiency and tackle the increasing complexity of grid systems. Moreover, ethical considerations regarding the use of artificial intelligence in grid management, such as ensuring fairness, transparency, and accountability, will be crucial for widespread adoption. As energy grids continue to evolve and become more complex, the role of DL in optimizing these systems will only grow, and addressing the challenges and exploring new research areas will be pivotal in ensuring the continued success of this transformative technology in the energy sector.</w:t>
      </w:r>
    </w:p>
    <w:p w14:paraId="7AA494A9" w14:textId="77777777" w:rsidR="00364A29" w:rsidRPr="003A29C6" w:rsidRDefault="00364A29" w:rsidP="00364A29">
      <w:pPr>
        <w:jc w:val="both"/>
        <w:outlineLvl w:val="0"/>
        <w:rPr>
          <w:rFonts w:ascii="Arial" w:hAnsi="Arial" w:cs="Arial"/>
        </w:rPr>
      </w:pPr>
      <w:r w:rsidRPr="003A29C6">
        <w:rPr>
          <w:rFonts w:ascii="Arial" w:hAnsi="Arial" w:cs="Arial"/>
          <w:b/>
          <w:bCs/>
        </w:rPr>
        <w:t>COMPETING INTERESTS DISCLAIMER:</w:t>
      </w:r>
    </w:p>
    <w:p w14:paraId="16E801F2" w14:textId="77777777" w:rsidR="00364A29" w:rsidRDefault="00364A29" w:rsidP="00364A29">
      <w:r w:rsidRPr="00A10EDE">
        <w:t>Authors have declared that they have no known competing financial interests OR non-financial interests OR personal relationships that could have appeared to influence the work reported in this paper.</w:t>
      </w:r>
    </w:p>
    <w:p w14:paraId="45FF39E8" w14:textId="77777777" w:rsidR="00364A29" w:rsidRPr="00B60DF8" w:rsidRDefault="00364A29" w:rsidP="00B60DF8">
      <w:pPr>
        <w:pStyle w:val="NormalWeb"/>
        <w:jc w:val="both"/>
      </w:pPr>
    </w:p>
    <w:p w14:paraId="0E202D16" w14:textId="77777777" w:rsidR="000E0796" w:rsidRDefault="000E0796" w:rsidP="00B60DF8">
      <w:pPr>
        <w:spacing w:after="0"/>
        <w:jc w:val="both"/>
        <w:rPr>
          <w:rStyle w:val="Strong"/>
          <w:rFonts w:ascii="Times New Roman" w:hAnsi="Times New Roman" w:cs="Times New Roman"/>
          <w:sz w:val="24"/>
          <w:szCs w:val="24"/>
        </w:rPr>
      </w:pPr>
    </w:p>
    <w:p w14:paraId="50B2139C" w14:textId="02ABA687" w:rsidR="00FD148A" w:rsidRPr="00B60DF8" w:rsidRDefault="00FD148A" w:rsidP="00B60DF8">
      <w:pPr>
        <w:spacing w:after="0"/>
        <w:jc w:val="both"/>
        <w:rPr>
          <w:rFonts w:ascii="Times New Roman" w:hAnsi="Times New Roman" w:cs="Times New Roman"/>
          <w:sz w:val="24"/>
          <w:szCs w:val="24"/>
        </w:rPr>
      </w:pPr>
      <w:r w:rsidRPr="00B60DF8">
        <w:rPr>
          <w:rStyle w:val="Strong"/>
          <w:rFonts w:ascii="Times New Roman" w:hAnsi="Times New Roman" w:cs="Times New Roman"/>
          <w:sz w:val="24"/>
          <w:szCs w:val="24"/>
        </w:rPr>
        <w:t>References</w:t>
      </w:r>
    </w:p>
    <w:p w14:paraId="2860AA12" w14:textId="273196E4" w:rsidR="00FD148A" w:rsidRDefault="00FD148A" w:rsidP="00B60DF8">
      <w:pPr>
        <w:spacing w:after="0"/>
        <w:jc w:val="both"/>
        <w:rPr>
          <w:rFonts w:ascii="Times New Roman" w:hAnsi="Times New Roman" w:cs="Times New Roman"/>
          <w:sz w:val="24"/>
          <w:szCs w:val="24"/>
        </w:rPr>
      </w:pPr>
    </w:p>
    <w:p w14:paraId="2822C9EF"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 w:name="_Hlk188034110"/>
      <w:r w:rsidRPr="00F02313">
        <w:rPr>
          <w:rFonts w:ascii="Times New Roman" w:hAnsi="Times New Roman" w:cs="Times New Roman"/>
          <w:sz w:val="24"/>
          <w:szCs w:val="24"/>
        </w:rPr>
        <w:lastRenderedPageBreak/>
        <w:t xml:space="preserve">Ahmad, </w:t>
      </w:r>
      <w:bookmarkEnd w:id="1"/>
      <w:r w:rsidRPr="00F02313">
        <w:rPr>
          <w:rFonts w:ascii="Times New Roman" w:hAnsi="Times New Roman" w:cs="Times New Roman"/>
          <w:sz w:val="24"/>
          <w:szCs w:val="24"/>
        </w:rPr>
        <w:t xml:space="preserve">T., </w:t>
      </w:r>
      <w:proofErr w:type="spellStart"/>
      <w:r w:rsidRPr="00F02313">
        <w:rPr>
          <w:rFonts w:ascii="Times New Roman" w:hAnsi="Times New Roman" w:cs="Times New Roman"/>
          <w:sz w:val="24"/>
          <w:szCs w:val="24"/>
        </w:rPr>
        <w:t>Madonski</w:t>
      </w:r>
      <w:proofErr w:type="spellEnd"/>
      <w:r w:rsidRPr="00F02313">
        <w:rPr>
          <w:rFonts w:ascii="Times New Roman" w:hAnsi="Times New Roman" w:cs="Times New Roman"/>
          <w:sz w:val="24"/>
          <w:szCs w:val="24"/>
        </w:rPr>
        <w:t>, R., Zhang, D., Huang, C., &amp; Mujeeb, A. (2022). Data-driven probabilistic machine learning in sustainable smart energy/smart energy systems: Key developments, challenges, and future research opportunities in the context of smart grid paradigm. </w:t>
      </w:r>
      <w:r w:rsidRPr="00F02313">
        <w:rPr>
          <w:rFonts w:ascii="Times New Roman" w:hAnsi="Times New Roman" w:cs="Times New Roman"/>
          <w:i/>
          <w:iCs/>
          <w:sz w:val="24"/>
          <w:szCs w:val="24"/>
        </w:rPr>
        <w:t>Renewable and Sustainable Energy Reviews</w:t>
      </w:r>
      <w:r w:rsidRPr="00F02313">
        <w:rPr>
          <w:rFonts w:ascii="Times New Roman" w:hAnsi="Times New Roman" w:cs="Times New Roman"/>
          <w:sz w:val="24"/>
          <w:szCs w:val="24"/>
        </w:rPr>
        <w:t>, </w:t>
      </w:r>
      <w:r w:rsidRPr="00F02313">
        <w:rPr>
          <w:rFonts w:ascii="Times New Roman" w:hAnsi="Times New Roman" w:cs="Times New Roman"/>
          <w:i/>
          <w:iCs/>
          <w:sz w:val="24"/>
          <w:szCs w:val="24"/>
        </w:rPr>
        <w:t>160</w:t>
      </w:r>
      <w:r w:rsidRPr="00F02313">
        <w:rPr>
          <w:rFonts w:ascii="Times New Roman" w:hAnsi="Times New Roman" w:cs="Times New Roman"/>
          <w:sz w:val="24"/>
          <w:szCs w:val="24"/>
        </w:rPr>
        <w:t>, 112128.</w:t>
      </w:r>
    </w:p>
    <w:p w14:paraId="59A9AD44"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2" w:name="_Hlk188034130"/>
      <w:r w:rsidRPr="00F02313">
        <w:rPr>
          <w:rFonts w:ascii="Times New Roman" w:hAnsi="Times New Roman" w:cs="Times New Roman"/>
          <w:sz w:val="24"/>
          <w:szCs w:val="24"/>
        </w:rPr>
        <w:t xml:space="preserve">Ahmad, </w:t>
      </w:r>
      <w:bookmarkEnd w:id="2"/>
      <w:r w:rsidRPr="00F02313">
        <w:rPr>
          <w:rFonts w:ascii="Times New Roman" w:hAnsi="Times New Roman" w:cs="Times New Roman"/>
          <w:sz w:val="24"/>
          <w:szCs w:val="24"/>
        </w:rPr>
        <w:t>T., Zhang, D., Huang, C., Zhang, H., Dai, N., Song, Y., &amp; Chen, H. (2021). Artificial intelligence in sustainable energy industry: Status Quo, challenges and opportunities. </w:t>
      </w:r>
      <w:r w:rsidRPr="00F02313">
        <w:rPr>
          <w:rFonts w:ascii="Times New Roman" w:hAnsi="Times New Roman" w:cs="Times New Roman"/>
          <w:i/>
          <w:iCs/>
          <w:sz w:val="24"/>
          <w:szCs w:val="24"/>
        </w:rPr>
        <w:t>Journal of Cleaner Production</w:t>
      </w:r>
      <w:r w:rsidRPr="00F02313">
        <w:rPr>
          <w:rFonts w:ascii="Times New Roman" w:hAnsi="Times New Roman" w:cs="Times New Roman"/>
          <w:sz w:val="24"/>
          <w:szCs w:val="24"/>
        </w:rPr>
        <w:t>, </w:t>
      </w:r>
      <w:r w:rsidRPr="00F02313">
        <w:rPr>
          <w:rFonts w:ascii="Times New Roman" w:hAnsi="Times New Roman" w:cs="Times New Roman"/>
          <w:i/>
          <w:iCs/>
          <w:sz w:val="24"/>
          <w:szCs w:val="24"/>
        </w:rPr>
        <w:t>289</w:t>
      </w:r>
      <w:r w:rsidRPr="00F02313">
        <w:rPr>
          <w:rFonts w:ascii="Times New Roman" w:hAnsi="Times New Roman" w:cs="Times New Roman"/>
          <w:sz w:val="24"/>
          <w:szCs w:val="24"/>
        </w:rPr>
        <w:t>, 125834.</w:t>
      </w:r>
    </w:p>
    <w:p w14:paraId="5D68E291"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proofErr w:type="spellStart"/>
      <w:r w:rsidRPr="002A0D74">
        <w:rPr>
          <w:rFonts w:ascii="Times New Roman" w:hAnsi="Times New Roman" w:cs="Times New Roman"/>
          <w:color w:val="222222"/>
          <w:sz w:val="24"/>
          <w:szCs w:val="24"/>
          <w:shd w:val="clear" w:color="auto" w:fill="FFFFFF"/>
        </w:rPr>
        <w:t>Albannai</w:t>
      </w:r>
      <w:proofErr w:type="spellEnd"/>
      <w:r w:rsidRPr="002A0D74">
        <w:rPr>
          <w:rFonts w:ascii="Times New Roman" w:hAnsi="Times New Roman" w:cs="Times New Roman"/>
          <w:color w:val="222222"/>
          <w:sz w:val="24"/>
          <w:szCs w:val="24"/>
          <w:shd w:val="clear" w:color="auto" w:fill="FFFFFF"/>
        </w:rPr>
        <w:t>, A. I. (2022). A brief review on the common defects in wire arc additive manufacturing. </w:t>
      </w:r>
      <w:r w:rsidRPr="002A0D74">
        <w:rPr>
          <w:rFonts w:ascii="Times New Roman" w:hAnsi="Times New Roman" w:cs="Times New Roman"/>
          <w:i/>
          <w:iCs/>
          <w:color w:val="222222"/>
          <w:sz w:val="24"/>
          <w:szCs w:val="24"/>
          <w:shd w:val="clear" w:color="auto" w:fill="FFFFFF"/>
        </w:rPr>
        <w:t>Int. J. Curr. Sci. Res. Rev</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5</w:t>
      </w:r>
      <w:r w:rsidRPr="002A0D74">
        <w:rPr>
          <w:rFonts w:ascii="Times New Roman" w:hAnsi="Times New Roman" w:cs="Times New Roman"/>
          <w:color w:val="222222"/>
          <w:sz w:val="24"/>
          <w:szCs w:val="24"/>
          <w:shd w:val="clear" w:color="auto" w:fill="FFFFFF"/>
        </w:rPr>
        <w:t>, 4556-4576.</w:t>
      </w:r>
    </w:p>
    <w:p w14:paraId="1BC8BEDA"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3" w:name="_Hlk188034145"/>
      <w:r w:rsidRPr="00F02313">
        <w:rPr>
          <w:rFonts w:ascii="Times New Roman" w:hAnsi="Times New Roman" w:cs="Times New Roman"/>
          <w:sz w:val="24"/>
          <w:szCs w:val="24"/>
        </w:rPr>
        <w:t xml:space="preserve">Antonopoulos, </w:t>
      </w:r>
      <w:bookmarkEnd w:id="3"/>
      <w:r w:rsidRPr="00F02313">
        <w:rPr>
          <w:rFonts w:ascii="Times New Roman" w:hAnsi="Times New Roman" w:cs="Times New Roman"/>
          <w:sz w:val="24"/>
          <w:szCs w:val="24"/>
        </w:rPr>
        <w:t xml:space="preserve">I., Robu, V., </w:t>
      </w:r>
      <w:proofErr w:type="spellStart"/>
      <w:r w:rsidRPr="00F02313">
        <w:rPr>
          <w:rFonts w:ascii="Times New Roman" w:hAnsi="Times New Roman" w:cs="Times New Roman"/>
          <w:sz w:val="24"/>
          <w:szCs w:val="24"/>
        </w:rPr>
        <w:t>Couraud</w:t>
      </w:r>
      <w:proofErr w:type="spellEnd"/>
      <w:r w:rsidRPr="00F02313">
        <w:rPr>
          <w:rFonts w:ascii="Times New Roman" w:hAnsi="Times New Roman" w:cs="Times New Roman"/>
          <w:sz w:val="24"/>
          <w:szCs w:val="24"/>
        </w:rPr>
        <w:t xml:space="preserve">, B., </w:t>
      </w:r>
      <w:proofErr w:type="spellStart"/>
      <w:r w:rsidRPr="00F02313">
        <w:rPr>
          <w:rFonts w:ascii="Times New Roman" w:hAnsi="Times New Roman" w:cs="Times New Roman"/>
          <w:sz w:val="24"/>
          <w:szCs w:val="24"/>
        </w:rPr>
        <w:t>Kirli</w:t>
      </w:r>
      <w:proofErr w:type="spellEnd"/>
      <w:r w:rsidRPr="00F02313">
        <w:rPr>
          <w:rFonts w:ascii="Times New Roman" w:hAnsi="Times New Roman" w:cs="Times New Roman"/>
          <w:sz w:val="24"/>
          <w:szCs w:val="24"/>
        </w:rPr>
        <w:t xml:space="preserve">, D., Norbu, S., </w:t>
      </w:r>
      <w:proofErr w:type="spellStart"/>
      <w:r w:rsidRPr="00F02313">
        <w:rPr>
          <w:rFonts w:ascii="Times New Roman" w:hAnsi="Times New Roman" w:cs="Times New Roman"/>
          <w:sz w:val="24"/>
          <w:szCs w:val="24"/>
        </w:rPr>
        <w:t>Kiprakis</w:t>
      </w:r>
      <w:proofErr w:type="spellEnd"/>
      <w:r w:rsidRPr="00F02313">
        <w:rPr>
          <w:rFonts w:ascii="Times New Roman" w:hAnsi="Times New Roman" w:cs="Times New Roman"/>
          <w:sz w:val="24"/>
          <w:szCs w:val="24"/>
        </w:rPr>
        <w:t>, A., ... &amp; Wattam, S. (2020). Artificial intelligence and machine learning approaches to energy demand-side response: A systematic review. </w:t>
      </w:r>
      <w:r w:rsidRPr="00F02313">
        <w:rPr>
          <w:rFonts w:ascii="Times New Roman" w:hAnsi="Times New Roman" w:cs="Times New Roman"/>
          <w:i/>
          <w:iCs/>
          <w:sz w:val="24"/>
          <w:szCs w:val="24"/>
        </w:rPr>
        <w:t>Renewable and Sustainable Energy Reviews</w:t>
      </w:r>
      <w:r w:rsidRPr="00F02313">
        <w:rPr>
          <w:rFonts w:ascii="Times New Roman" w:hAnsi="Times New Roman" w:cs="Times New Roman"/>
          <w:sz w:val="24"/>
          <w:szCs w:val="24"/>
        </w:rPr>
        <w:t>, </w:t>
      </w:r>
      <w:r w:rsidRPr="00F02313">
        <w:rPr>
          <w:rFonts w:ascii="Times New Roman" w:hAnsi="Times New Roman" w:cs="Times New Roman"/>
          <w:i/>
          <w:iCs/>
          <w:sz w:val="24"/>
          <w:szCs w:val="24"/>
        </w:rPr>
        <w:t>130</w:t>
      </w:r>
      <w:r w:rsidRPr="00F02313">
        <w:rPr>
          <w:rFonts w:ascii="Times New Roman" w:hAnsi="Times New Roman" w:cs="Times New Roman"/>
          <w:sz w:val="24"/>
          <w:szCs w:val="24"/>
        </w:rPr>
        <w:t>, 109899.</w:t>
      </w:r>
    </w:p>
    <w:p w14:paraId="7F4E736E"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4" w:name="_Hlk188034185"/>
      <w:r w:rsidRPr="00F02313">
        <w:rPr>
          <w:rFonts w:ascii="Times New Roman" w:hAnsi="Times New Roman" w:cs="Times New Roman"/>
          <w:sz w:val="24"/>
          <w:szCs w:val="24"/>
        </w:rPr>
        <w:t xml:space="preserve">Aslam, </w:t>
      </w:r>
      <w:bookmarkEnd w:id="4"/>
      <w:r w:rsidRPr="00F02313">
        <w:rPr>
          <w:rFonts w:ascii="Times New Roman" w:hAnsi="Times New Roman" w:cs="Times New Roman"/>
          <w:sz w:val="24"/>
          <w:szCs w:val="24"/>
        </w:rPr>
        <w:t xml:space="preserve">S., </w:t>
      </w:r>
      <w:proofErr w:type="spellStart"/>
      <w:r w:rsidRPr="00F02313">
        <w:rPr>
          <w:rFonts w:ascii="Times New Roman" w:hAnsi="Times New Roman" w:cs="Times New Roman"/>
          <w:sz w:val="24"/>
          <w:szCs w:val="24"/>
        </w:rPr>
        <w:t>Herodotou</w:t>
      </w:r>
      <w:proofErr w:type="spellEnd"/>
      <w:r w:rsidRPr="00F02313">
        <w:rPr>
          <w:rFonts w:ascii="Times New Roman" w:hAnsi="Times New Roman" w:cs="Times New Roman"/>
          <w:sz w:val="24"/>
          <w:szCs w:val="24"/>
        </w:rPr>
        <w:t>, H., Mohsin, S. M., Javaid, N., Ashraf, N., &amp; Aslam, S. (2021). A survey on deep learning methods for power load and renewable energy forecasting in smart microgrids. </w:t>
      </w:r>
      <w:r w:rsidRPr="00F02313">
        <w:rPr>
          <w:rFonts w:ascii="Times New Roman" w:hAnsi="Times New Roman" w:cs="Times New Roman"/>
          <w:i/>
          <w:iCs/>
          <w:sz w:val="24"/>
          <w:szCs w:val="24"/>
        </w:rPr>
        <w:t>Renewable and Sustainable Energy Reviews</w:t>
      </w:r>
      <w:r w:rsidRPr="00F02313">
        <w:rPr>
          <w:rFonts w:ascii="Times New Roman" w:hAnsi="Times New Roman" w:cs="Times New Roman"/>
          <w:sz w:val="24"/>
          <w:szCs w:val="24"/>
        </w:rPr>
        <w:t>, </w:t>
      </w:r>
      <w:r w:rsidRPr="00F02313">
        <w:rPr>
          <w:rFonts w:ascii="Times New Roman" w:hAnsi="Times New Roman" w:cs="Times New Roman"/>
          <w:i/>
          <w:iCs/>
          <w:sz w:val="24"/>
          <w:szCs w:val="24"/>
        </w:rPr>
        <w:t>144</w:t>
      </w:r>
      <w:r w:rsidRPr="00F02313">
        <w:rPr>
          <w:rFonts w:ascii="Times New Roman" w:hAnsi="Times New Roman" w:cs="Times New Roman"/>
          <w:sz w:val="24"/>
          <w:szCs w:val="24"/>
        </w:rPr>
        <w:t>, 110992.</w:t>
      </w:r>
    </w:p>
    <w:p w14:paraId="7FAF32AD"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5" w:name="_Hlk188034200"/>
      <w:r w:rsidRPr="00F02313">
        <w:rPr>
          <w:rFonts w:ascii="Times New Roman" w:hAnsi="Times New Roman" w:cs="Times New Roman"/>
          <w:sz w:val="24"/>
          <w:szCs w:val="24"/>
        </w:rPr>
        <w:t>Bhatti, H. J., &amp; Danilovic, M. (2018</w:t>
      </w:r>
      <w:bookmarkEnd w:id="5"/>
      <w:r w:rsidRPr="00F02313">
        <w:rPr>
          <w:rFonts w:ascii="Times New Roman" w:hAnsi="Times New Roman" w:cs="Times New Roman"/>
          <w:sz w:val="24"/>
          <w:szCs w:val="24"/>
        </w:rPr>
        <w:t>). Making the world more sustainable: enabling localized energy generation and distribution on decentralized smart grid systems. </w:t>
      </w:r>
      <w:r w:rsidRPr="00F02313">
        <w:rPr>
          <w:rFonts w:ascii="Times New Roman" w:hAnsi="Times New Roman" w:cs="Times New Roman"/>
          <w:i/>
          <w:iCs/>
          <w:sz w:val="24"/>
          <w:szCs w:val="24"/>
        </w:rPr>
        <w:t>World Journal of Engineering and Technology</w:t>
      </w:r>
      <w:r w:rsidRPr="00F02313">
        <w:rPr>
          <w:rFonts w:ascii="Times New Roman" w:hAnsi="Times New Roman" w:cs="Times New Roman"/>
          <w:sz w:val="24"/>
          <w:szCs w:val="24"/>
        </w:rPr>
        <w:t>, </w:t>
      </w:r>
      <w:r w:rsidRPr="00F02313">
        <w:rPr>
          <w:rFonts w:ascii="Times New Roman" w:hAnsi="Times New Roman" w:cs="Times New Roman"/>
          <w:i/>
          <w:iCs/>
          <w:sz w:val="24"/>
          <w:szCs w:val="24"/>
        </w:rPr>
        <w:t>6</w:t>
      </w:r>
      <w:r w:rsidRPr="00F02313">
        <w:rPr>
          <w:rFonts w:ascii="Times New Roman" w:hAnsi="Times New Roman" w:cs="Times New Roman"/>
          <w:sz w:val="24"/>
          <w:szCs w:val="24"/>
        </w:rPr>
        <w:t>(2), 350-382.</w:t>
      </w:r>
    </w:p>
    <w:p w14:paraId="7F381074"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6" w:name="_Hlk188034218"/>
      <w:r w:rsidRPr="00F02313">
        <w:rPr>
          <w:rFonts w:ascii="Times New Roman" w:hAnsi="Times New Roman" w:cs="Times New Roman"/>
          <w:sz w:val="24"/>
          <w:szCs w:val="24"/>
        </w:rPr>
        <w:t xml:space="preserve">Bogdanov, </w:t>
      </w:r>
      <w:bookmarkEnd w:id="6"/>
      <w:r w:rsidRPr="00F02313">
        <w:rPr>
          <w:rFonts w:ascii="Times New Roman" w:hAnsi="Times New Roman" w:cs="Times New Roman"/>
          <w:sz w:val="24"/>
          <w:szCs w:val="24"/>
        </w:rPr>
        <w:t xml:space="preserve">D., Ram, M., </w:t>
      </w:r>
      <w:proofErr w:type="spellStart"/>
      <w:r w:rsidRPr="00F02313">
        <w:rPr>
          <w:rFonts w:ascii="Times New Roman" w:hAnsi="Times New Roman" w:cs="Times New Roman"/>
          <w:sz w:val="24"/>
          <w:szCs w:val="24"/>
        </w:rPr>
        <w:t>Aghahosseini</w:t>
      </w:r>
      <w:proofErr w:type="spellEnd"/>
      <w:r w:rsidRPr="00F02313">
        <w:rPr>
          <w:rFonts w:ascii="Times New Roman" w:hAnsi="Times New Roman" w:cs="Times New Roman"/>
          <w:sz w:val="24"/>
          <w:szCs w:val="24"/>
        </w:rPr>
        <w:t xml:space="preserve">, A., </w:t>
      </w:r>
      <w:proofErr w:type="spellStart"/>
      <w:r w:rsidRPr="00F02313">
        <w:rPr>
          <w:rFonts w:ascii="Times New Roman" w:hAnsi="Times New Roman" w:cs="Times New Roman"/>
          <w:sz w:val="24"/>
          <w:szCs w:val="24"/>
        </w:rPr>
        <w:t>Gulagi</w:t>
      </w:r>
      <w:proofErr w:type="spellEnd"/>
      <w:r w:rsidRPr="00F02313">
        <w:rPr>
          <w:rFonts w:ascii="Times New Roman" w:hAnsi="Times New Roman" w:cs="Times New Roman"/>
          <w:sz w:val="24"/>
          <w:szCs w:val="24"/>
        </w:rPr>
        <w:t xml:space="preserve">, A., </w:t>
      </w:r>
      <w:proofErr w:type="spellStart"/>
      <w:r w:rsidRPr="00F02313">
        <w:rPr>
          <w:rFonts w:ascii="Times New Roman" w:hAnsi="Times New Roman" w:cs="Times New Roman"/>
          <w:sz w:val="24"/>
          <w:szCs w:val="24"/>
        </w:rPr>
        <w:t>Oyewo</w:t>
      </w:r>
      <w:proofErr w:type="spellEnd"/>
      <w:r w:rsidRPr="00F02313">
        <w:rPr>
          <w:rFonts w:ascii="Times New Roman" w:hAnsi="Times New Roman" w:cs="Times New Roman"/>
          <w:sz w:val="24"/>
          <w:szCs w:val="24"/>
        </w:rPr>
        <w:t>, A. S., Child, M., ... &amp; Breyer, C. (2021). Low-cost renewable electricity as the key driver of the global energy transition towards sustainability. </w:t>
      </w:r>
      <w:r w:rsidRPr="00F02313">
        <w:rPr>
          <w:rFonts w:ascii="Times New Roman" w:hAnsi="Times New Roman" w:cs="Times New Roman"/>
          <w:i/>
          <w:iCs/>
          <w:sz w:val="24"/>
          <w:szCs w:val="24"/>
        </w:rPr>
        <w:t>Energy</w:t>
      </w:r>
      <w:r w:rsidRPr="00F02313">
        <w:rPr>
          <w:rFonts w:ascii="Times New Roman" w:hAnsi="Times New Roman" w:cs="Times New Roman"/>
          <w:sz w:val="24"/>
          <w:szCs w:val="24"/>
        </w:rPr>
        <w:t>, </w:t>
      </w:r>
      <w:r w:rsidRPr="00F02313">
        <w:rPr>
          <w:rFonts w:ascii="Times New Roman" w:hAnsi="Times New Roman" w:cs="Times New Roman"/>
          <w:i/>
          <w:iCs/>
          <w:sz w:val="24"/>
          <w:szCs w:val="24"/>
        </w:rPr>
        <w:t>227</w:t>
      </w:r>
      <w:r w:rsidRPr="00F02313">
        <w:rPr>
          <w:rFonts w:ascii="Times New Roman" w:hAnsi="Times New Roman" w:cs="Times New Roman"/>
          <w:sz w:val="24"/>
          <w:szCs w:val="24"/>
        </w:rPr>
        <w:t>, 120467.</w:t>
      </w:r>
    </w:p>
    <w:p w14:paraId="24DC2ADA"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Çam, G. (2022). Prospects of producing aluminum parts by wire arc additive manufacturing (WAAM). </w:t>
      </w:r>
      <w:r w:rsidRPr="002A0D74">
        <w:rPr>
          <w:rFonts w:ascii="Times New Roman" w:hAnsi="Times New Roman" w:cs="Times New Roman"/>
          <w:i/>
          <w:iCs/>
          <w:color w:val="222222"/>
          <w:sz w:val="24"/>
          <w:szCs w:val="24"/>
          <w:shd w:val="clear" w:color="auto" w:fill="FFFFFF"/>
        </w:rPr>
        <w:t>Materials Today: Proceedings</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62</w:t>
      </w:r>
      <w:r w:rsidRPr="002A0D74">
        <w:rPr>
          <w:rFonts w:ascii="Times New Roman" w:hAnsi="Times New Roman" w:cs="Times New Roman"/>
          <w:color w:val="222222"/>
          <w:sz w:val="24"/>
          <w:szCs w:val="24"/>
          <w:shd w:val="clear" w:color="auto" w:fill="FFFFFF"/>
        </w:rPr>
        <w:t>, 77-85.</w:t>
      </w:r>
    </w:p>
    <w:p w14:paraId="2D64B8A6"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7" w:name="_Hlk188034232"/>
      <w:r w:rsidRPr="00F02313">
        <w:rPr>
          <w:rFonts w:ascii="Times New Roman" w:hAnsi="Times New Roman" w:cs="Times New Roman"/>
          <w:sz w:val="24"/>
          <w:szCs w:val="24"/>
        </w:rPr>
        <w:t>Cantarero, M. M. V. (2020</w:t>
      </w:r>
      <w:bookmarkEnd w:id="7"/>
      <w:r w:rsidRPr="00F02313">
        <w:rPr>
          <w:rFonts w:ascii="Times New Roman" w:hAnsi="Times New Roman" w:cs="Times New Roman"/>
          <w:sz w:val="24"/>
          <w:szCs w:val="24"/>
        </w:rPr>
        <w:t>). Of renewable energy, energy democracy, and sustainable development: A roadmap to accelerate the energy transition in developing countries. </w:t>
      </w:r>
      <w:r w:rsidRPr="00F02313">
        <w:rPr>
          <w:rFonts w:ascii="Times New Roman" w:hAnsi="Times New Roman" w:cs="Times New Roman"/>
          <w:i/>
          <w:iCs/>
          <w:sz w:val="24"/>
          <w:szCs w:val="24"/>
        </w:rPr>
        <w:t>Energy Research &amp; Social Science</w:t>
      </w:r>
      <w:r w:rsidRPr="00F02313">
        <w:rPr>
          <w:rFonts w:ascii="Times New Roman" w:hAnsi="Times New Roman" w:cs="Times New Roman"/>
          <w:sz w:val="24"/>
          <w:szCs w:val="24"/>
        </w:rPr>
        <w:t>, </w:t>
      </w:r>
      <w:r w:rsidRPr="00F02313">
        <w:rPr>
          <w:rFonts w:ascii="Times New Roman" w:hAnsi="Times New Roman" w:cs="Times New Roman"/>
          <w:i/>
          <w:iCs/>
          <w:sz w:val="24"/>
          <w:szCs w:val="24"/>
        </w:rPr>
        <w:t>70</w:t>
      </w:r>
      <w:r w:rsidRPr="00F02313">
        <w:rPr>
          <w:rFonts w:ascii="Times New Roman" w:hAnsi="Times New Roman" w:cs="Times New Roman"/>
          <w:sz w:val="24"/>
          <w:szCs w:val="24"/>
        </w:rPr>
        <w:t>, 101716.</w:t>
      </w:r>
    </w:p>
    <w:p w14:paraId="0C0C8EC7" w14:textId="77777777" w:rsidR="001634D7" w:rsidRPr="001634D7" w:rsidRDefault="001634D7" w:rsidP="001634D7">
      <w:pPr>
        <w:pStyle w:val="ListParagraph"/>
        <w:numPr>
          <w:ilvl w:val="0"/>
          <w:numId w:val="10"/>
        </w:numPr>
        <w:jc w:val="both"/>
        <w:rPr>
          <w:rFonts w:ascii="Times New Roman" w:hAnsi="Times New Roman" w:cs="Times New Roman"/>
          <w:sz w:val="24"/>
          <w:szCs w:val="24"/>
        </w:rPr>
      </w:pPr>
      <w:r w:rsidRPr="001634D7">
        <w:rPr>
          <w:rFonts w:ascii="Times New Roman" w:hAnsi="Times New Roman" w:cs="Times New Roman"/>
          <w:sz w:val="24"/>
          <w:szCs w:val="24"/>
        </w:rPr>
        <w:t xml:space="preserve">Chen, Z., Amani, A. M., Yu, X., &amp; Jalili, M. (2023). Control and </w:t>
      </w:r>
      <w:proofErr w:type="spellStart"/>
      <w:r w:rsidRPr="001634D7">
        <w:rPr>
          <w:rFonts w:ascii="Times New Roman" w:hAnsi="Times New Roman" w:cs="Times New Roman"/>
          <w:sz w:val="24"/>
          <w:szCs w:val="24"/>
        </w:rPr>
        <w:t>optimisation</w:t>
      </w:r>
      <w:proofErr w:type="spellEnd"/>
      <w:r w:rsidRPr="001634D7">
        <w:rPr>
          <w:rFonts w:ascii="Times New Roman" w:hAnsi="Times New Roman" w:cs="Times New Roman"/>
          <w:sz w:val="24"/>
          <w:szCs w:val="24"/>
        </w:rPr>
        <w:t xml:space="preserve"> of power grids using smart meter data: A review. </w:t>
      </w:r>
      <w:r w:rsidRPr="001634D7">
        <w:rPr>
          <w:rFonts w:ascii="Times New Roman" w:hAnsi="Times New Roman" w:cs="Times New Roman"/>
          <w:i/>
          <w:iCs/>
          <w:sz w:val="24"/>
          <w:szCs w:val="24"/>
        </w:rPr>
        <w:t>Sensors</w:t>
      </w:r>
      <w:r w:rsidRPr="001634D7">
        <w:rPr>
          <w:rFonts w:ascii="Times New Roman" w:hAnsi="Times New Roman" w:cs="Times New Roman"/>
          <w:sz w:val="24"/>
          <w:szCs w:val="24"/>
        </w:rPr>
        <w:t>, </w:t>
      </w:r>
      <w:r w:rsidRPr="001634D7">
        <w:rPr>
          <w:rFonts w:ascii="Times New Roman" w:hAnsi="Times New Roman" w:cs="Times New Roman"/>
          <w:i/>
          <w:iCs/>
          <w:sz w:val="24"/>
          <w:szCs w:val="24"/>
        </w:rPr>
        <w:t>23</w:t>
      </w:r>
      <w:r w:rsidRPr="001634D7">
        <w:rPr>
          <w:rFonts w:ascii="Times New Roman" w:hAnsi="Times New Roman" w:cs="Times New Roman"/>
          <w:sz w:val="24"/>
          <w:szCs w:val="24"/>
        </w:rPr>
        <w:t>(4), 2118.</w:t>
      </w:r>
    </w:p>
    <w:p w14:paraId="58CE0CEF"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8" w:name="_Hlk188034248"/>
      <w:r w:rsidRPr="00F02313">
        <w:rPr>
          <w:rFonts w:ascii="Times New Roman" w:hAnsi="Times New Roman" w:cs="Times New Roman"/>
          <w:sz w:val="24"/>
          <w:szCs w:val="24"/>
        </w:rPr>
        <w:t>Cheng, L., &amp; Yu, T. (2019</w:t>
      </w:r>
      <w:bookmarkEnd w:id="8"/>
      <w:r w:rsidRPr="00F02313">
        <w:rPr>
          <w:rFonts w:ascii="Times New Roman" w:hAnsi="Times New Roman" w:cs="Times New Roman"/>
          <w:sz w:val="24"/>
          <w:szCs w:val="24"/>
        </w:rPr>
        <w:t>). A new generation of AI: A review and perspective on machine learning technologies applied to smart energy and electric power systems. </w:t>
      </w:r>
      <w:r w:rsidRPr="00F02313">
        <w:rPr>
          <w:rFonts w:ascii="Times New Roman" w:hAnsi="Times New Roman" w:cs="Times New Roman"/>
          <w:i/>
          <w:iCs/>
          <w:sz w:val="24"/>
          <w:szCs w:val="24"/>
        </w:rPr>
        <w:t>International Journal of Energy Research</w:t>
      </w:r>
      <w:r w:rsidRPr="00F02313">
        <w:rPr>
          <w:rFonts w:ascii="Times New Roman" w:hAnsi="Times New Roman" w:cs="Times New Roman"/>
          <w:sz w:val="24"/>
          <w:szCs w:val="24"/>
        </w:rPr>
        <w:t>, </w:t>
      </w:r>
      <w:r w:rsidRPr="00F02313">
        <w:rPr>
          <w:rFonts w:ascii="Times New Roman" w:hAnsi="Times New Roman" w:cs="Times New Roman"/>
          <w:i/>
          <w:iCs/>
          <w:sz w:val="24"/>
          <w:szCs w:val="24"/>
        </w:rPr>
        <w:t>43</w:t>
      </w:r>
      <w:r w:rsidRPr="00F02313">
        <w:rPr>
          <w:rFonts w:ascii="Times New Roman" w:hAnsi="Times New Roman" w:cs="Times New Roman"/>
          <w:sz w:val="24"/>
          <w:szCs w:val="24"/>
        </w:rPr>
        <w:t>(6), 1928-1973.</w:t>
      </w:r>
    </w:p>
    <w:p w14:paraId="73D2FFD8"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Del Rey, R., Alba, J., Arenas, J. P., &amp; Sanchis, V. (2011). Sound absorbing materials made of recycled polyurethane foam. </w:t>
      </w:r>
      <w:r w:rsidRPr="002A0D74">
        <w:rPr>
          <w:rFonts w:ascii="Times New Roman" w:hAnsi="Times New Roman" w:cs="Times New Roman"/>
          <w:i/>
          <w:iCs/>
          <w:sz w:val="24"/>
          <w:szCs w:val="24"/>
        </w:rPr>
        <w:t xml:space="preserve">Proceedings of the </w:t>
      </w:r>
      <w:proofErr w:type="spellStart"/>
      <w:r w:rsidRPr="002A0D74">
        <w:rPr>
          <w:rFonts w:ascii="Times New Roman" w:hAnsi="Times New Roman" w:cs="Times New Roman"/>
          <w:i/>
          <w:iCs/>
          <w:sz w:val="24"/>
          <w:szCs w:val="24"/>
        </w:rPr>
        <w:t>Intrenoise</w:t>
      </w:r>
      <w:proofErr w:type="spellEnd"/>
      <w:r w:rsidRPr="002A0D74">
        <w:rPr>
          <w:rFonts w:ascii="Times New Roman" w:hAnsi="Times New Roman" w:cs="Times New Roman"/>
          <w:sz w:val="24"/>
          <w:szCs w:val="24"/>
        </w:rPr>
        <w:t>.</w:t>
      </w:r>
    </w:p>
    <w:p w14:paraId="00ADE534"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Del Rey, R., Alba, J., Arenas, J. P., &amp; Sanchis, V. J. (2012). An empirical modelling of porous sound absorbing materials made of recycled foam. </w:t>
      </w:r>
      <w:r w:rsidRPr="002A0D74">
        <w:rPr>
          <w:rFonts w:ascii="Times New Roman" w:hAnsi="Times New Roman" w:cs="Times New Roman"/>
          <w:i/>
          <w:iCs/>
          <w:sz w:val="24"/>
          <w:szCs w:val="24"/>
        </w:rPr>
        <w:t>Applied Acoustics</w:t>
      </w:r>
      <w:r w:rsidRPr="002A0D74">
        <w:rPr>
          <w:rFonts w:ascii="Times New Roman" w:hAnsi="Times New Roman" w:cs="Times New Roman"/>
          <w:sz w:val="24"/>
          <w:szCs w:val="24"/>
        </w:rPr>
        <w:t>, </w:t>
      </w:r>
      <w:r w:rsidRPr="002A0D74">
        <w:rPr>
          <w:rFonts w:ascii="Times New Roman" w:hAnsi="Times New Roman" w:cs="Times New Roman"/>
          <w:i/>
          <w:iCs/>
          <w:sz w:val="24"/>
          <w:szCs w:val="24"/>
        </w:rPr>
        <w:t>73</w:t>
      </w:r>
      <w:r w:rsidRPr="002A0D74">
        <w:rPr>
          <w:rFonts w:ascii="Times New Roman" w:hAnsi="Times New Roman" w:cs="Times New Roman"/>
          <w:sz w:val="24"/>
          <w:szCs w:val="24"/>
        </w:rPr>
        <w:t>(6-7), 604-609.</w:t>
      </w:r>
    </w:p>
    <w:p w14:paraId="2A3EA660"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9" w:name="_Hlk188034267"/>
      <w:r w:rsidRPr="00F02313">
        <w:rPr>
          <w:rFonts w:ascii="Times New Roman" w:hAnsi="Times New Roman" w:cs="Times New Roman"/>
          <w:sz w:val="24"/>
          <w:szCs w:val="24"/>
        </w:rPr>
        <w:t xml:space="preserve">Duchesne, L., </w:t>
      </w:r>
      <w:proofErr w:type="spellStart"/>
      <w:r w:rsidRPr="00F02313">
        <w:rPr>
          <w:rFonts w:ascii="Times New Roman" w:hAnsi="Times New Roman" w:cs="Times New Roman"/>
          <w:sz w:val="24"/>
          <w:szCs w:val="24"/>
        </w:rPr>
        <w:t>Karangelos</w:t>
      </w:r>
      <w:proofErr w:type="spellEnd"/>
      <w:r w:rsidRPr="00F02313">
        <w:rPr>
          <w:rFonts w:ascii="Times New Roman" w:hAnsi="Times New Roman" w:cs="Times New Roman"/>
          <w:sz w:val="24"/>
          <w:szCs w:val="24"/>
        </w:rPr>
        <w:t xml:space="preserve">, E., &amp; </w:t>
      </w:r>
      <w:proofErr w:type="spellStart"/>
      <w:r w:rsidRPr="00F02313">
        <w:rPr>
          <w:rFonts w:ascii="Times New Roman" w:hAnsi="Times New Roman" w:cs="Times New Roman"/>
          <w:sz w:val="24"/>
          <w:szCs w:val="24"/>
        </w:rPr>
        <w:t>Wehenkel</w:t>
      </w:r>
      <w:proofErr w:type="spellEnd"/>
      <w:r w:rsidRPr="00F02313">
        <w:rPr>
          <w:rFonts w:ascii="Times New Roman" w:hAnsi="Times New Roman" w:cs="Times New Roman"/>
          <w:sz w:val="24"/>
          <w:szCs w:val="24"/>
        </w:rPr>
        <w:t>, L. (2020</w:t>
      </w:r>
      <w:bookmarkEnd w:id="9"/>
      <w:r w:rsidRPr="00F02313">
        <w:rPr>
          <w:rFonts w:ascii="Times New Roman" w:hAnsi="Times New Roman" w:cs="Times New Roman"/>
          <w:sz w:val="24"/>
          <w:szCs w:val="24"/>
        </w:rPr>
        <w:t>). Recent developments in machine learning for energy systems reliability management. </w:t>
      </w:r>
      <w:r w:rsidRPr="00F02313">
        <w:rPr>
          <w:rFonts w:ascii="Times New Roman" w:hAnsi="Times New Roman" w:cs="Times New Roman"/>
          <w:i/>
          <w:iCs/>
          <w:sz w:val="24"/>
          <w:szCs w:val="24"/>
        </w:rPr>
        <w:t>Proceedings of the IEEE</w:t>
      </w:r>
      <w:r w:rsidRPr="00F02313">
        <w:rPr>
          <w:rFonts w:ascii="Times New Roman" w:hAnsi="Times New Roman" w:cs="Times New Roman"/>
          <w:sz w:val="24"/>
          <w:szCs w:val="24"/>
        </w:rPr>
        <w:t>, </w:t>
      </w:r>
      <w:r w:rsidRPr="00F02313">
        <w:rPr>
          <w:rFonts w:ascii="Times New Roman" w:hAnsi="Times New Roman" w:cs="Times New Roman"/>
          <w:i/>
          <w:iCs/>
          <w:sz w:val="24"/>
          <w:szCs w:val="24"/>
        </w:rPr>
        <w:t>108</w:t>
      </w:r>
      <w:r w:rsidRPr="00F02313">
        <w:rPr>
          <w:rFonts w:ascii="Times New Roman" w:hAnsi="Times New Roman" w:cs="Times New Roman"/>
          <w:sz w:val="24"/>
          <w:szCs w:val="24"/>
        </w:rPr>
        <w:t>(9), 1656-1676.</w:t>
      </w:r>
    </w:p>
    <w:p w14:paraId="40818A57"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Edwards, A., Weisz-</w:t>
      </w:r>
      <w:proofErr w:type="spellStart"/>
      <w:r w:rsidRPr="002A0D74">
        <w:rPr>
          <w:rFonts w:ascii="Times New Roman" w:hAnsi="Times New Roman" w:cs="Times New Roman"/>
          <w:color w:val="222222"/>
          <w:sz w:val="24"/>
          <w:szCs w:val="24"/>
          <w:shd w:val="clear" w:color="auto" w:fill="FFFFFF"/>
        </w:rPr>
        <w:t>Patrault</w:t>
      </w:r>
      <w:proofErr w:type="spellEnd"/>
      <w:r w:rsidRPr="002A0D74">
        <w:rPr>
          <w:rFonts w:ascii="Times New Roman" w:hAnsi="Times New Roman" w:cs="Times New Roman"/>
          <w:color w:val="222222"/>
          <w:sz w:val="24"/>
          <w:szCs w:val="24"/>
          <w:shd w:val="clear" w:color="auto" w:fill="FFFFFF"/>
        </w:rPr>
        <w:t xml:space="preserve">, D., &amp; </w:t>
      </w:r>
      <w:proofErr w:type="spellStart"/>
      <w:r w:rsidRPr="002A0D74">
        <w:rPr>
          <w:rFonts w:ascii="Times New Roman" w:hAnsi="Times New Roman" w:cs="Times New Roman"/>
          <w:color w:val="222222"/>
          <w:sz w:val="24"/>
          <w:szCs w:val="24"/>
          <w:shd w:val="clear" w:color="auto" w:fill="FFFFFF"/>
        </w:rPr>
        <w:t>Charkaluk</w:t>
      </w:r>
      <w:proofErr w:type="spellEnd"/>
      <w:r w:rsidRPr="002A0D74">
        <w:rPr>
          <w:rFonts w:ascii="Times New Roman" w:hAnsi="Times New Roman" w:cs="Times New Roman"/>
          <w:color w:val="222222"/>
          <w:sz w:val="24"/>
          <w:szCs w:val="24"/>
          <w:shd w:val="clear" w:color="auto" w:fill="FFFFFF"/>
        </w:rPr>
        <w:t>, E. (2023). Analysis and fast modelling of microstructures in duplex stainless steel formed by directed energy deposition additive manufacturing. </w:t>
      </w:r>
      <w:r w:rsidRPr="002A0D74">
        <w:rPr>
          <w:rFonts w:ascii="Times New Roman" w:hAnsi="Times New Roman" w:cs="Times New Roman"/>
          <w:i/>
          <w:iCs/>
          <w:color w:val="222222"/>
          <w:sz w:val="24"/>
          <w:szCs w:val="24"/>
          <w:shd w:val="clear" w:color="auto" w:fill="FFFFFF"/>
        </w:rPr>
        <w:t>Additive Manufacturing</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61</w:t>
      </w:r>
      <w:r w:rsidRPr="002A0D74">
        <w:rPr>
          <w:rFonts w:ascii="Times New Roman" w:hAnsi="Times New Roman" w:cs="Times New Roman"/>
          <w:color w:val="222222"/>
          <w:sz w:val="24"/>
          <w:szCs w:val="24"/>
          <w:shd w:val="clear" w:color="auto" w:fill="FFFFFF"/>
        </w:rPr>
        <w:t>, 103300.</w:t>
      </w:r>
    </w:p>
    <w:p w14:paraId="44A50C4D"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0" w:name="_Hlk188034305"/>
      <w:r w:rsidRPr="00F02313">
        <w:rPr>
          <w:rFonts w:ascii="Times New Roman" w:hAnsi="Times New Roman" w:cs="Times New Roman"/>
          <w:sz w:val="24"/>
          <w:szCs w:val="24"/>
        </w:rPr>
        <w:t>Fan, Z., Yan, Z., &amp; Wen, S. (2023</w:t>
      </w:r>
      <w:bookmarkEnd w:id="10"/>
      <w:r w:rsidRPr="00F02313">
        <w:rPr>
          <w:rFonts w:ascii="Times New Roman" w:hAnsi="Times New Roman" w:cs="Times New Roman"/>
          <w:sz w:val="24"/>
          <w:szCs w:val="24"/>
        </w:rPr>
        <w:t>). Deep learning and artificial intelligence in sustainability: a review of SDGs, renewable energy, and environmental health. </w:t>
      </w:r>
      <w:r w:rsidRPr="00F02313">
        <w:rPr>
          <w:rFonts w:ascii="Times New Roman" w:hAnsi="Times New Roman" w:cs="Times New Roman"/>
          <w:i/>
          <w:iCs/>
          <w:sz w:val="24"/>
          <w:szCs w:val="24"/>
        </w:rPr>
        <w:t>Sustainability</w:t>
      </w:r>
      <w:r w:rsidRPr="00F02313">
        <w:rPr>
          <w:rFonts w:ascii="Times New Roman" w:hAnsi="Times New Roman" w:cs="Times New Roman"/>
          <w:sz w:val="24"/>
          <w:szCs w:val="24"/>
        </w:rPr>
        <w:t>, </w:t>
      </w:r>
      <w:r w:rsidRPr="00F02313">
        <w:rPr>
          <w:rFonts w:ascii="Times New Roman" w:hAnsi="Times New Roman" w:cs="Times New Roman"/>
          <w:i/>
          <w:iCs/>
          <w:sz w:val="24"/>
          <w:szCs w:val="24"/>
        </w:rPr>
        <w:t>15</w:t>
      </w:r>
      <w:r w:rsidRPr="00F02313">
        <w:rPr>
          <w:rFonts w:ascii="Times New Roman" w:hAnsi="Times New Roman" w:cs="Times New Roman"/>
          <w:sz w:val="24"/>
          <w:szCs w:val="24"/>
        </w:rPr>
        <w:t>(18), 13493.</w:t>
      </w:r>
    </w:p>
    <w:p w14:paraId="0AD5BC4B"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lastRenderedPageBreak/>
        <w:t>Fang, H., Ge, H., Zhang, Q., Liu, Y., &amp; Yao, J. (2023). Numerical simulation of microstructure evolution during laser directed energy deposition for Inconel 718 using cellular automaton method coupled with Eulerian multiphase. </w:t>
      </w:r>
      <w:r w:rsidRPr="002A0D74">
        <w:rPr>
          <w:rFonts w:ascii="Times New Roman" w:hAnsi="Times New Roman" w:cs="Times New Roman"/>
          <w:i/>
          <w:iCs/>
          <w:color w:val="222222"/>
          <w:sz w:val="24"/>
          <w:szCs w:val="24"/>
          <w:shd w:val="clear" w:color="auto" w:fill="FFFFFF"/>
        </w:rPr>
        <w:t>International Journal of Heat and Mass Transfer</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216</w:t>
      </w:r>
      <w:r w:rsidRPr="002A0D74">
        <w:rPr>
          <w:rFonts w:ascii="Times New Roman" w:hAnsi="Times New Roman" w:cs="Times New Roman"/>
          <w:color w:val="222222"/>
          <w:sz w:val="24"/>
          <w:szCs w:val="24"/>
          <w:shd w:val="clear" w:color="auto" w:fill="FFFFFF"/>
        </w:rPr>
        <w:t>, 124554.</w:t>
      </w:r>
    </w:p>
    <w:p w14:paraId="44A54650"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1" w:name="_Hlk188034325"/>
      <w:proofErr w:type="spellStart"/>
      <w:r w:rsidRPr="00F02313">
        <w:rPr>
          <w:rFonts w:ascii="Times New Roman" w:hAnsi="Times New Roman" w:cs="Times New Roman"/>
          <w:sz w:val="24"/>
          <w:szCs w:val="24"/>
        </w:rPr>
        <w:t>Forootan</w:t>
      </w:r>
      <w:proofErr w:type="spellEnd"/>
      <w:r w:rsidRPr="00F02313">
        <w:rPr>
          <w:rFonts w:ascii="Times New Roman" w:hAnsi="Times New Roman" w:cs="Times New Roman"/>
          <w:sz w:val="24"/>
          <w:szCs w:val="24"/>
        </w:rPr>
        <w:t xml:space="preserve">, </w:t>
      </w:r>
      <w:bookmarkEnd w:id="11"/>
      <w:r w:rsidRPr="00F02313">
        <w:rPr>
          <w:rFonts w:ascii="Times New Roman" w:hAnsi="Times New Roman" w:cs="Times New Roman"/>
          <w:sz w:val="24"/>
          <w:szCs w:val="24"/>
        </w:rPr>
        <w:t>M. M., Larki, I., Zahedi, R., &amp; Ahmadi, A. (2022). Machine learning and deep learning in energy systems: A review. </w:t>
      </w:r>
      <w:r w:rsidRPr="00F02313">
        <w:rPr>
          <w:rFonts w:ascii="Times New Roman" w:hAnsi="Times New Roman" w:cs="Times New Roman"/>
          <w:i/>
          <w:iCs/>
          <w:sz w:val="24"/>
          <w:szCs w:val="24"/>
        </w:rPr>
        <w:t>Sustainability</w:t>
      </w:r>
      <w:r w:rsidRPr="00F02313">
        <w:rPr>
          <w:rFonts w:ascii="Times New Roman" w:hAnsi="Times New Roman" w:cs="Times New Roman"/>
          <w:sz w:val="24"/>
          <w:szCs w:val="24"/>
        </w:rPr>
        <w:t>, </w:t>
      </w:r>
      <w:r w:rsidRPr="00F02313">
        <w:rPr>
          <w:rFonts w:ascii="Times New Roman" w:hAnsi="Times New Roman" w:cs="Times New Roman"/>
          <w:i/>
          <w:iCs/>
          <w:sz w:val="24"/>
          <w:szCs w:val="24"/>
        </w:rPr>
        <w:t>14</w:t>
      </w:r>
      <w:r w:rsidRPr="00F02313">
        <w:rPr>
          <w:rFonts w:ascii="Times New Roman" w:hAnsi="Times New Roman" w:cs="Times New Roman"/>
          <w:sz w:val="24"/>
          <w:szCs w:val="24"/>
        </w:rPr>
        <w:t>(8), 4832.</w:t>
      </w:r>
    </w:p>
    <w:p w14:paraId="13874654"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Gadola, M., &amp; Chindamo, D. (2019). Experiential learning in engineering education: The role of student design competitions and a case study. </w:t>
      </w:r>
      <w:r w:rsidRPr="002A0D74">
        <w:rPr>
          <w:rFonts w:ascii="Times New Roman" w:hAnsi="Times New Roman" w:cs="Times New Roman"/>
          <w:i/>
          <w:iCs/>
          <w:sz w:val="24"/>
          <w:szCs w:val="24"/>
        </w:rPr>
        <w:t>International Journal of Mechanical Engineering Education</w:t>
      </w:r>
      <w:r w:rsidRPr="002A0D74">
        <w:rPr>
          <w:rFonts w:ascii="Times New Roman" w:hAnsi="Times New Roman" w:cs="Times New Roman"/>
          <w:sz w:val="24"/>
          <w:szCs w:val="24"/>
        </w:rPr>
        <w:t>, </w:t>
      </w:r>
      <w:r w:rsidRPr="002A0D74">
        <w:rPr>
          <w:rFonts w:ascii="Times New Roman" w:hAnsi="Times New Roman" w:cs="Times New Roman"/>
          <w:i/>
          <w:iCs/>
          <w:sz w:val="24"/>
          <w:szCs w:val="24"/>
        </w:rPr>
        <w:t>47</w:t>
      </w:r>
      <w:r w:rsidRPr="002A0D74">
        <w:rPr>
          <w:rFonts w:ascii="Times New Roman" w:hAnsi="Times New Roman" w:cs="Times New Roman"/>
          <w:sz w:val="24"/>
          <w:szCs w:val="24"/>
        </w:rPr>
        <w:t>(1), 3-22.</w:t>
      </w:r>
    </w:p>
    <w:p w14:paraId="47A1C122"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2" w:name="_Hlk188034346"/>
      <w:proofErr w:type="spellStart"/>
      <w:r w:rsidRPr="00F02313">
        <w:rPr>
          <w:rFonts w:ascii="Times New Roman" w:hAnsi="Times New Roman" w:cs="Times New Roman"/>
          <w:sz w:val="24"/>
          <w:szCs w:val="24"/>
        </w:rPr>
        <w:t>Gawusu</w:t>
      </w:r>
      <w:proofErr w:type="spellEnd"/>
      <w:r w:rsidRPr="00F02313">
        <w:rPr>
          <w:rFonts w:ascii="Times New Roman" w:hAnsi="Times New Roman" w:cs="Times New Roman"/>
          <w:sz w:val="24"/>
          <w:szCs w:val="24"/>
        </w:rPr>
        <w:t xml:space="preserve">, </w:t>
      </w:r>
      <w:bookmarkEnd w:id="12"/>
      <w:r w:rsidRPr="00F02313">
        <w:rPr>
          <w:rFonts w:ascii="Times New Roman" w:hAnsi="Times New Roman" w:cs="Times New Roman"/>
          <w:sz w:val="24"/>
          <w:szCs w:val="24"/>
        </w:rPr>
        <w:t xml:space="preserve">S., Zhang, X., </w:t>
      </w:r>
      <w:proofErr w:type="spellStart"/>
      <w:r w:rsidRPr="00F02313">
        <w:rPr>
          <w:rFonts w:ascii="Times New Roman" w:hAnsi="Times New Roman" w:cs="Times New Roman"/>
          <w:sz w:val="24"/>
          <w:szCs w:val="24"/>
        </w:rPr>
        <w:t>Jamatutu</w:t>
      </w:r>
      <w:proofErr w:type="spellEnd"/>
      <w:r w:rsidRPr="00F02313">
        <w:rPr>
          <w:rFonts w:ascii="Times New Roman" w:hAnsi="Times New Roman" w:cs="Times New Roman"/>
          <w:sz w:val="24"/>
          <w:szCs w:val="24"/>
        </w:rPr>
        <w:t xml:space="preserve">, S. A., Ahmed, A., Amadu, A. A., &amp; </w:t>
      </w:r>
      <w:proofErr w:type="spellStart"/>
      <w:r w:rsidRPr="00F02313">
        <w:rPr>
          <w:rFonts w:ascii="Times New Roman" w:hAnsi="Times New Roman" w:cs="Times New Roman"/>
          <w:sz w:val="24"/>
          <w:szCs w:val="24"/>
        </w:rPr>
        <w:t>Djam</w:t>
      </w:r>
      <w:proofErr w:type="spellEnd"/>
      <w:r w:rsidRPr="00F02313">
        <w:rPr>
          <w:rFonts w:ascii="Times New Roman" w:hAnsi="Times New Roman" w:cs="Times New Roman"/>
          <w:sz w:val="24"/>
          <w:szCs w:val="24"/>
        </w:rPr>
        <w:t xml:space="preserve"> </w:t>
      </w:r>
      <w:proofErr w:type="spellStart"/>
      <w:r w:rsidRPr="00F02313">
        <w:rPr>
          <w:rFonts w:ascii="Times New Roman" w:hAnsi="Times New Roman" w:cs="Times New Roman"/>
          <w:sz w:val="24"/>
          <w:szCs w:val="24"/>
        </w:rPr>
        <w:t>Miensah</w:t>
      </w:r>
      <w:proofErr w:type="spellEnd"/>
      <w:r w:rsidRPr="00F02313">
        <w:rPr>
          <w:rFonts w:ascii="Times New Roman" w:hAnsi="Times New Roman" w:cs="Times New Roman"/>
          <w:sz w:val="24"/>
          <w:szCs w:val="24"/>
        </w:rPr>
        <w:t>, E. (2022). The dynamics of green supply chain management within the framework of renewable energy. </w:t>
      </w:r>
      <w:r w:rsidRPr="00F02313">
        <w:rPr>
          <w:rFonts w:ascii="Times New Roman" w:hAnsi="Times New Roman" w:cs="Times New Roman"/>
          <w:i/>
          <w:iCs/>
          <w:sz w:val="24"/>
          <w:szCs w:val="24"/>
        </w:rPr>
        <w:t>International Journal of Energy Research</w:t>
      </w:r>
      <w:r w:rsidRPr="00F02313">
        <w:rPr>
          <w:rFonts w:ascii="Times New Roman" w:hAnsi="Times New Roman" w:cs="Times New Roman"/>
          <w:sz w:val="24"/>
          <w:szCs w:val="24"/>
        </w:rPr>
        <w:t>, </w:t>
      </w:r>
      <w:r w:rsidRPr="00F02313">
        <w:rPr>
          <w:rFonts w:ascii="Times New Roman" w:hAnsi="Times New Roman" w:cs="Times New Roman"/>
          <w:i/>
          <w:iCs/>
          <w:sz w:val="24"/>
          <w:szCs w:val="24"/>
        </w:rPr>
        <w:t>46</w:t>
      </w:r>
      <w:r w:rsidRPr="00F02313">
        <w:rPr>
          <w:rFonts w:ascii="Times New Roman" w:hAnsi="Times New Roman" w:cs="Times New Roman"/>
          <w:sz w:val="24"/>
          <w:szCs w:val="24"/>
        </w:rPr>
        <w:t>(2), 684-711.</w:t>
      </w:r>
    </w:p>
    <w:p w14:paraId="237B0D2B"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3" w:name="_Hlk188034361"/>
      <w:proofErr w:type="spellStart"/>
      <w:r w:rsidRPr="00F02313">
        <w:rPr>
          <w:rFonts w:ascii="Times New Roman" w:hAnsi="Times New Roman" w:cs="Times New Roman"/>
          <w:sz w:val="24"/>
          <w:szCs w:val="24"/>
        </w:rPr>
        <w:t>Ghaffour</w:t>
      </w:r>
      <w:proofErr w:type="spellEnd"/>
      <w:r w:rsidRPr="00F02313">
        <w:rPr>
          <w:rFonts w:ascii="Times New Roman" w:hAnsi="Times New Roman" w:cs="Times New Roman"/>
          <w:sz w:val="24"/>
          <w:szCs w:val="24"/>
        </w:rPr>
        <w:t xml:space="preserve">, </w:t>
      </w:r>
      <w:bookmarkEnd w:id="13"/>
      <w:r w:rsidRPr="00F02313">
        <w:rPr>
          <w:rFonts w:ascii="Times New Roman" w:hAnsi="Times New Roman" w:cs="Times New Roman"/>
          <w:sz w:val="24"/>
          <w:szCs w:val="24"/>
        </w:rPr>
        <w:t>N., Bundschuh, J., Mahmoudi, H., &amp; Goosen, M. F. (2015). Renewable energy-driven desalination technologies: A comprehensive review on challenges and potential applications of integrated systems. </w:t>
      </w:r>
      <w:r w:rsidRPr="00F02313">
        <w:rPr>
          <w:rFonts w:ascii="Times New Roman" w:hAnsi="Times New Roman" w:cs="Times New Roman"/>
          <w:i/>
          <w:iCs/>
          <w:sz w:val="24"/>
          <w:szCs w:val="24"/>
        </w:rPr>
        <w:t>Desalination</w:t>
      </w:r>
      <w:r w:rsidRPr="00F02313">
        <w:rPr>
          <w:rFonts w:ascii="Times New Roman" w:hAnsi="Times New Roman" w:cs="Times New Roman"/>
          <w:sz w:val="24"/>
          <w:szCs w:val="24"/>
        </w:rPr>
        <w:t>, </w:t>
      </w:r>
      <w:r w:rsidRPr="00F02313">
        <w:rPr>
          <w:rFonts w:ascii="Times New Roman" w:hAnsi="Times New Roman" w:cs="Times New Roman"/>
          <w:i/>
          <w:iCs/>
          <w:sz w:val="24"/>
          <w:szCs w:val="24"/>
        </w:rPr>
        <w:t>356</w:t>
      </w:r>
      <w:r w:rsidRPr="00F02313">
        <w:rPr>
          <w:rFonts w:ascii="Times New Roman" w:hAnsi="Times New Roman" w:cs="Times New Roman"/>
          <w:sz w:val="24"/>
          <w:szCs w:val="24"/>
        </w:rPr>
        <w:t>, 94-114.</w:t>
      </w:r>
    </w:p>
    <w:p w14:paraId="42B4FFF7"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4" w:name="_Hlk188034374"/>
      <w:r w:rsidRPr="00F02313">
        <w:rPr>
          <w:rFonts w:ascii="Times New Roman" w:hAnsi="Times New Roman" w:cs="Times New Roman"/>
          <w:sz w:val="24"/>
          <w:szCs w:val="24"/>
        </w:rPr>
        <w:t xml:space="preserve">Gielen, </w:t>
      </w:r>
      <w:bookmarkEnd w:id="14"/>
      <w:r w:rsidRPr="00F02313">
        <w:rPr>
          <w:rFonts w:ascii="Times New Roman" w:hAnsi="Times New Roman" w:cs="Times New Roman"/>
          <w:sz w:val="24"/>
          <w:szCs w:val="24"/>
        </w:rPr>
        <w:t xml:space="preserve">D., </w:t>
      </w:r>
      <w:proofErr w:type="spellStart"/>
      <w:r w:rsidRPr="00F02313">
        <w:rPr>
          <w:rFonts w:ascii="Times New Roman" w:hAnsi="Times New Roman" w:cs="Times New Roman"/>
          <w:sz w:val="24"/>
          <w:szCs w:val="24"/>
        </w:rPr>
        <w:t>Gorini</w:t>
      </w:r>
      <w:proofErr w:type="spellEnd"/>
      <w:r w:rsidRPr="00F02313">
        <w:rPr>
          <w:rFonts w:ascii="Times New Roman" w:hAnsi="Times New Roman" w:cs="Times New Roman"/>
          <w:sz w:val="24"/>
          <w:szCs w:val="24"/>
        </w:rPr>
        <w:t>, R., Wagner, N., Leme, R., Gutierrez, L., Prakash, G., ... &amp; Renner, M. (2019). Global energy transformation: a roadmap to 2050.</w:t>
      </w:r>
    </w:p>
    <w:p w14:paraId="34CC7C4D"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Gómez-Tejedor, J. A., Vidaurre, A., Tort-</w:t>
      </w:r>
      <w:proofErr w:type="spellStart"/>
      <w:r w:rsidRPr="002A0D74">
        <w:rPr>
          <w:rFonts w:ascii="Times New Roman" w:hAnsi="Times New Roman" w:cs="Times New Roman"/>
          <w:sz w:val="24"/>
          <w:szCs w:val="24"/>
        </w:rPr>
        <w:t>Ausina</w:t>
      </w:r>
      <w:proofErr w:type="spellEnd"/>
      <w:r w:rsidRPr="002A0D74">
        <w:rPr>
          <w:rFonts w:ascii="Times New Roman" w:hAnsi="Times New Roman" w:cs="Times New Roman"/>
          <w:sz w:val="24"/>
          <w:szCs w:val="24"/>
        </w:rPr>
        <w:t>, I., Molina-Mateo, J., Serrano, M. A., Meseguer-Dueñas, J. M., ... &amp; Riera, J. (2020). Effectiveness of flip teaching on engineering students' performance in the physics lab. </w:t>
      </w:r>
      <w:r w:rsidRPr="002A0D74">
        <w:rPr>
          <w:rFonts w:ascii="Times New Roman" w:hAnsi="Times New Roman" w:cs="Times New Roman"/>
          <w:i/>
          <w:iCs/>
          <w:sz w:val="24"/>
          <w:szCs w:val="24"/>
        </w:rPr>
        <w:t>Computers &amp; Education</w:t>
      </w:r>
      <w:r w:rsidRPr="002A0D74">
        <w:rPr>
          <w:rFonts w:ascii="Times New Roman" w:hAnsi="Times New Roman" w:cs="Times New Roman"/>
          <w:sz w:val="24"/>
          <w:szCs w:val="24"/>
        </w:rPr>
        <w:t>, </w:t>
      </w:r>
      <w:r w:rsidRPr="002A0D74">
        <w:rPr>
          <w:rFonts w:ascii="Times New Roman" w:hAnsi="Times New Roman" w:cs="Times New Roman"/>
          <w:i/>
          <w:iCs/>
          <w:sz w:val="24"/>
          <w:szCs w:val="24"/>
        </w:rPr>
        <w:t>144</w:t>
      </w:r>
      <w:r w:rsidRPr="002A0D74">
        <w:rPr>
          <w:rFonts w:ascii="Times New Roman" w:hAnsi="Times New Roman" w:cs="Times New Roman"/>
          <w:sz w:val="24"/>
          <w:szCs w:val="24"/>
        </w:rPr>
        <w:t>, 103708.</w:t>
      </w:r>
    </w:p>
    <w:p w14:paraId="23C95A16"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Grace, E. O., &amp; John, A. (2019). Recent advances in non-destructive testing of concretes and structures: An outlook. </w:t>
      </w:r>
      <w:r w:rsidRPr="002A0D74">
        <w:rPr>
          <w:rFonts w:ascii="Times New Roman" w:hAnsi="Times New Roman" w:cs="Times New Roman"/>
          <w:i/>
          <w:iCs/>
          <w:sz w:val="24"/>
          <w:szCs w:val="24"/>
        </w:rPr>
        <w:t>Journal of Civil Engineering and Construction Technology</w:t>
      </w:r>
      <w:r w:rsidRPr="002A0D74">
        <w:rPr>
          <w:rFonts w:ascii="Times New Roman" w:hAnsi="Times New Roman" w:cs="Times New Roman"/>
          <w:sz w:val="24"/>
          <w:szCs w:val="24"/>
        </w:rPr>
        <w:t>, </w:t>
      </w:r>
      <w:r w:rsidRPr="002A0D74">
        <w:rPr>
          <w:rFonts w:ascii="Times New Roman" w:hAnsi="Times New Roman" w:cs="Times New Roman"/>
          <w:i/>
          <w:iCs/>
          <w:sz w:val="24"/>
          <w:szCs w:val="24"/>
        </w:rPr>
        <w:t>10</w:t>
      </w:r>
      <w:r w:rsidRPr="002A0D74">
        <w:rPr>
          <w:rFonts w:ascii="Times New Roman" w:hAnsi="Times New Roman" w:cs="Times New Roman"/>
          <w:sz w:val="24"/>
          <w:szCs w:val="24"/>
        </w:rPr>
        <w:t>(3), 20-31.</w:t>
      </w:r>
    </w:p>
    <w:p w14:paraId="7E91B5BC"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Grodotzki</w:t>
      </w:r>
      <w:proofErr w:type="spellEnd"/>
      <w:r w:rsidRPr="002A0D74">
        <w:rPr>
          <w:rFonts w:ascii="Times New Roman" w:hAnsi="Times New Roman" w:cs="Times New Roman"/>
          <w:sz w:val="24"/>
          <w:szCs w:val="24"/>
        </w:rPr>
        <w:t xml:space="preserve">, J., Ortelt, T. R., &amp; </w:t>
      </w:r>
      <w:proofErr w:type="spellStart"/>
      <w:r w:rsidRPr="002A0D74">
        <w:rPr>
          <w:rFonts w:ascii="Times New Roman" w:hAnsi="Times New Roman" w:cs="Times New Roman"/>
          <w:sz w:val="24"/>
          <w:szCs w:val="24"/>
        </w:rPr>
        <w:t>Tekkaya</w:t>
      </w:r>
      <w:proofErr w:type="spellEnd"/>
      <w:r w:rsidRPr="002A0D74">
        <w:rPr>
          <w:rFonts w:ascii="Times New Roman" w:hAnsi="Times New Roman" w:cs="Times New Roman"/>
          <w:sz w:val="24"/>
          <w:szCs w:val="24"/>
        </w:rPr>
        <w:t>, A. E. (2018). Remote and virtual labs for engineering education 4.0: achievements of the ELLI project at the TU Dortmund University. </w:t>
      </w:r>
      <w:r w:rsidRPr="002A0D74">
        <w:rPr>
          <w:rFonts w:ascii="Times New Roman" w:hAnsi="Times New Roman" w:cs="Times New Roman"/>
          <w:i/>
          <w:iCs/>
          <w:sz w:val="24"/>
          <w:szCs w:val="24"/>
        </w:rPr>
        <w:t>Procedia manufacturing</w:t>
      </w:r>
      <w:r w:rsidRPr="002A0D74">
        <w:rPr>
          <w:rFonts w:ascii="Times New Roman" w:hAnsi="Times New Roman" w:cs="Times New Roman"/>
          <w:sz w:val="24"/>
          <w:szCs w:val="24"/>
        </w:rPr>
        <w:t>, </w:t>
      </w:r>
      <w:r w:rsidRPr="002A0D74">
        <w:rPr>
          <w:rFonts w:ascii="Times New Roman" w:hAnsi="Times New Roman" w:cs="Times New Roman"/>
          <w:i/>
          <w:iCs/>
          <w:sz w:val="24"/>
          <w:szCs w:val="24"/>
        </w:rPr>
        <w:t>26</w:t>
      </w:r>
      <w:r w:rsidRPr="002A0D74">
        <w:rPr>
          <w:rFonts w:ascii="Times New Roman" w:hAnsi="Times New Roman" w:cs="Times New Roman"/>
          <w:sz w:val="24"/>
          <w:szCs w:val="24"/>
        </w:rPr>
        <w:t>, 1349-1360.</w:t>
      </w:r>
    </w:p>
    <w:p w14:paraId="36F5F2E5"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proofErr w:type="spellStart"/>
      <w:r w:rsidRPr="002A0D74">
        <w:rPr>
          <w:rFonts w:ascii="Times New Roman" w:hAnsi="Times New Roman" w:cs="Times New Roman"/>
          <w:color w:val="222222"/>
          <w:sz w:val="24"/>
          <w:szCs w:val="24"/>
          <w:shd w:val="clear" w:color="auto" w:fill="FFFFFF"/>
        </w:rPr>
        <w:t>Gurmesa</w:t>
      </w:r>
      <w:proofErr w:type="spellEnd"/>
      <w:r w:rsidRPr="002A0D74">
        <w:rPr>
          <w:rFonts w:ascii="Times New Roman" w:hAnsi="Times New Roman" w:cs="Times New Roman"/>
          <w:color w:val="222222"/>
          <w:sz w:val="24"/>
          <w:szCs w:val="24"/>
          <w:shd w:val="clear" w:color="auto" w:fill="FFFFFF"/>
        </w:rPr>
        <w:t>, F. D., &amp; Lemu, H. G. (2023). Literature Review on Thermomechanical Modelling and Analysis of Residual Stress Effects in Wire Arc Additive Manufacturing. </w:t>
      </w:r>
      <w:r w:rsidRPr="002A0D74">
        <w:rPr>
          <w:rFonts w:ascii="Times New Roman" w:hAnsi="Times New Roman" w:cs="Times New Roman"/>
          <w:i/>
          <w:iCs/>
          <w:color w:val="222222"/>
          <w:sz w:val="24"/>
          <w:szCs w:val="24"/>
          <w:shd w:val="clear" w:color="auto" w:fill="FFFFFF"/>
        </w:rPr>
        <w:t>Metals</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13</w:t>
      </w:r>
      <w:r w:rsidRPr="002A0D74">
        <w:rPr>
          <w:rFonts w:ascii="Times New Roman" w:hAnsi="Times New Roman" w:cs="Times New Roman"/>
          <w:color w:val="222222"/>
          <w:sz w:val="24"/>
          <w:szCs w:val="24"/>
          <w:shd w:val="clear" w:color="auto" w:fill="FFFFFF"/>
        </w:rPr>
        <w:t>(3), 526.</w:t>
      </w:r>
    </w:p>
    <w:p w14:paraId="14740FF0"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Hadgraft</w:t>
      </w:r>
      <w:proofErr w:type="spellEnd"/>
      <w:r w:rsidRPr="002A0D74">
        <w:rPr>
          <w:rFonts w:ascii="Times New Roman" w:hAnsi="Times New Roman" w:cs="Times New Roman"/>
          <w:sz w:val="24"/>
          <w:szCs w:val="24"/>
        </w:rPr>
        <w:t>, R. G., &amp; Kolmos, A. (2020). Emerging learning environments in engineering education. </w:t>
      </w:r>
      <w:r w:rsidRPr="002A0D74">
        <w:rPr>
          <w:rFonts w:ascii="Times New Roman" w:hAnsi="Times New Roman" w:cs="Times New Roman"/>
          <w:i/>
          <w:iCs/>
          <w:sz w:val="24"/>
          <w:szCs w:val="24"/>
        </w:rPr>
        <w:t>Australasian Journal of Engineering Education</w:t>
      </w:r>
      <w:r w:rsidRPr="002A0D74">
        <w:rPr>
          <w:rFonts w:ascii="Times New Roman" w:hAnsi="Times New Roman" w:cs="Times New Roman"/>
          <w:sz w:val="24"/>
          <w:szCs w:val="24"/>
        </w:rPr>
        <w:t>, </w:t>
      </w:r>
      <w:r w:rsidRPr="002A0D74">
        <w:rPr>
          <w:rFonts w:ascii="Times New Roman" w:hAnsi="Times New Roman" w:cs="Times New Roman"/>
          <w:i/>
          <w:iCs/>
          <w:sz w:val="24"/>
          <w:szCs w:val="24"/>
        </w:rPr>
        <w:t>25</w:t>
      </w:r>
      <w:r w:rsidRPr="002A0D74">
        <w:rPr>
          <w:rFonts w:ascii="Times New Roman" w:hAnsi="Times New Roman" w:cs="Times New Roman"/>
          <w:sz w:val="24"/>
          <w:szCs w:val="24"/>
        </w:rPr>
        <w:t>(1), 3-16.</w:t>
      </w:r>
    </w:p>
    <w:p w14:paraId="43942E5F"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r w:rsidRPr="00F02313">
        <w:rPr>
          <w:rFonts w:ascii="Times New Roman" w:hAnsi="Times New Roman" w:cs="Times New Roman"/>
          <w:sz w:val="24"/>
          <w:szCs w:val="24"/>
        </w:rPr>
        <w:t xml:space="preserve">Hafeez, G., </w:t>
      </w:r>
      <w:proofErr w:type="spellStart"/>
      <w:r w:rsidRPr="00F02313">
        <w:rPr>
          <w:rFonts w:ascii="Times New Roman" w:hAnsi="Times New Roman" w:cs="Times New Roman"/>
          <w:sz w:val="24"/>
          <w:szCs w:val="24"/>
        </w:rPr>
        <w:t>Alimgeer</w:t>
      </w:r>
      <w:proofErr w:type="spellEnd"/>
      <w:r w:rsidRPr="00F02313">
        <w:rPr>
          <w:rFonts w:ascii="Times New Roman" w:hAnsi="Times New Roman" w:cs="Times New Roman"/>
          <w:sz w:val="24"/>
          <w:szCs w:val="24"/>
        </w:rPr>
        <w:t>, K. S., &amp; Khan, I. (2020). Electric load forecasting based on deep learning and optimized by heuristic algorithm in smart grid. </w:t>
      </w:r>
      <w:r w:rsidRPr="00F02313">
        <w:rPr>
          <w:rFonts w:ascii="Times New Roman" w:hAnsi="Times New Roman" w:cs="Times New Roman"/>
          <w:i/>
          <w:iCs/>
          <w:sz w:val="24"/>
          <w:szCs w:val="24"/>
        </w:rPr>
        <w:t>Applied Energy</w:t>
      </w:r>
      <w:r w:rsidRPr="00F02313">
        <w:rPr>
          <w:rFonts w:ascii="Times New Roman" w:hAnsi="Times New Roman" w:cs="Times New Roman"/>
          <w:sz w:val="24"/>
          <w:szCs w:val="24"/>
        </w:rPr>
        <w:t>, </w:t>
      </w:r>
      <w:r w:rsidRPr="00F02313">
        <w:rPr>
          <w:rFonts w:ascii="Times New Roman" w:hAnsi="Times New Roman" w:cs="Times New Roman"/>
          <w:i/>
          <w:iCs/>
          <w:sz w:val="24"/>
          <w:szCs w:val="24"/>
        </w:rPr>
        <w:t>269</w:t>
      </w:r>
      <w:r w:rsidRPr="00F02313">
        <w:rPr>
          <w:rFonts w:ascii="Times New Roman" w:hAnsi="Times New Roman" w:cs="Times New Roman"/>
          <w:sz w:val="24"/>
          <w:szCs w:val="24"/>
        </w:rPr>
        <w:t>, 114915.</w:t>
      </w:r>
    </w:p>
    <w:p w14:paraId="26C3D798"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Hafiz, F., Awal, M. A., de Queiroz, A. R., &amp; Husain, I. (2020). Real-time stochastic optimization of energy storage management using deep learning-based forecasts for residential PV applications. </w:t>
      </w:r>
      <w:r w:rsidRPr="002A0D74">
        <w:rPr>
          <w:rFonts w:ascii="Times New Roman" w:hAnsi="Times New Roman" w:cs="Times New Roman"/>
          <w:i/>
          <w:iCs/>
          <w:sz w:val="24"/>
          <w:szCs w:val="24"/>
        </w:rPr>
        <w:t>IEEE Transactions on Industry Applications</w:t>
      </w:r>
      <w:r w:rsidRPr="002A0D74">
        <w:rPr>
          <w:rFonts w:ascii="Times New Roman" w:hAnsi="Times New Roman" w:cs="Times New Roman"/>
          <w:sz w:val="24"/>
          <w:szCs w:val="24"/>
        </w:rPr>
        <w:t>, </w:t>
      </w:r>
      <w:r w:rsidRPr="002A0D74">
        <w:rPr>
          <w:rFonts w:ascii="Times New Roman" w:hAnsi="Times New Roman" w:cs="Times New Roman"/>
          <w:i/>
          <w:iCs/>
          <w:sz w:val="24"/>
          <w:szCs w:val="24"/>
        </w:rPr>
        <w:t>56</w:t>
      </w:r>
      <w:r w:rsidRPr="002A0D74">
        <w:rPr>
          <w:rFonts w:ascii="Times New Roman" w:hAnsi="Times New Roman" w:cs="Times New Roman"/>
          <w:sz w:val="24"/>
          <w:szCs w:val="24"/>
        </w:rPr>
        <w:t>(3), 2216-2226.</w:t>
      </w:r>
    </w:p>
    <w:p w14:paraId="423296F8"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Harr, N., Eichler, A., &amp; </w:t>
      </w:r>
      <w:proofErr w:type="spellStart"/>
      <w:r w:rsidRPr="002A0D74">
        <w:rPr>
          <w:rFonts w:ascii="Times New Roman" w:hAnsi="Times New Roman" w:cs="Times New Roman"/>
          <w:sz w:val="24"/>
          <w:szCs w:val="24"/>
        </w:rPr>
        <w:t>Renkl</w:t>
      </w:r>
      <w:proofErr w:type="spellEnd"/>
      <w:r w:rsidRPr="002A0D74">
        <w:rPr>
          <w:rFonts w:ascii="Times New Roman" w:hAnsi="Times New Roman" w:cs="Times New Roman"/>
          <w:sz w:val="24"/>
          <w:szCs w:val="24"/>
        </w:rPr>
        <w:t>, A. (2015). Integrated learning: Ways of fostering the applicability of teachers’ pedagogical and psychological knowledge. </w:t>
      </w:r>
      <w:r w:rsidRPr="002A0D74">
        <w:rPr>
          <w:rFonts w:ascii="Times New Roman" w:hAnsi="Times New Roman" w:cs="Times New Roman"/>
          <w:i/>
          <w:iCs/>
          <w:sz w:val="24"/>
          <w:szCs w:val="24"/>
        </w:rPr>
        <w:t>Frontiers in psychology</w:t>
      </w:r>
      <w:r w:rsidRPr="002A0D74">
        <w:rPr>
          <w:rFonts w:ascii="Times New Roman" w:hAnsi="Times New Roman" w:cs="Times New Roman"/>
          <w:sz w:val="24"/>
          <w:szCs w:val="24"/>
        </w:rPr>
        <w:t>, </w:t>
      </w:r>
      <w:r w:rsidRPr="002A0D74">
        <w:rPr>
          <w:rFonts w:ascii="Times New Roman" w:hAnsi="Times New Roman" w:cs="Times New Roman"/>
          <w:i/>
          <w:iCs/>
          <w:sz w:val="24"/>
          <w:szCs w:val="24"/>
        </w:rPr>
        <w:t>6</w:t>
      </w:r>
      <w:r w:rsidRPr="002A0D74">
        <w:rPr>
          <w:rFonts w:ascii="Times New Roman" w:hAnsi="Times New Roman" w:cs="Times New Roman"/>
          <w:sz w:val="24"/>
          <w:szCs w:val="24"/>
        </w:rPr>
        <w:t>, 738.</w:t>
      </w:r>
    </w:p>
    <w:p w14:paraId="29D67D24"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Harrington, C., Bowen, J. A., &amp; Zakrajsek, T. D. (2017). </w:t>
      </w:r>
      <w:r w:rsidRPr="002A0D74">
        <w:rPr>
          <w:rFonts w:ascii="Times New Roman" w:hAnsi="Times New Roman" w:cs="Times New Roman"/>
          <w:i/>
          <w:iCs/>
          <w:sz w:val="24"/>
          <w:szCs w:val="24"/>
        </w:rPr>
        <w:t>Dynamic lecturing: Research-based strategies to enhance lecture effectiveness</w:t>
      </w:r>
      <w:r w:rsidRPr="002A0D74">
        <w:rPr>
          <w:rFonts w:ascii="Times New Roman" w:hAnsi="Times New Roman" w:cs="Times New Roman"/>
          <w:sz w:val="24"/>
          <w:szCs w:val="24"/>
        </w:rPr>
        <w:t>. Routledge.</w:t>
      </w:r>
    </w:p>
    <w:p w14:paraId="248B87C6"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lastRenderedPageBreak/>
        <w:t xml:space="preserve">Hassani, S., &amp; </w:t>
      </w:r>
      <w:proofErr w:type="spellStart"/>
      <w:r w:rsidRPr="002A0D74">
        <w:rPr>
          <w:rFonts w:ascii="Times New Roman" w:hAnsi="Times New Roman" w:cs="Times New Roman"/>
          <w:sz w:val="24"/>
          <w:szCs w:val="24"/>
        </w:rPr>
        <w:t>Dackermann</w:t>
      </w:r>
      <w:proofErr w:type="spellEnd"/>
      <w:r w:rsidRPr="002A0D74">
        <w:rPr>
          <w:rFonts w:ascii="Times New Roman" w:hAnsi="Times New Roman" w:cs="Times New Roman"/>
          <w:sz w:val="24"/>
          <w:szCs w:val="24"/>
        </w:rPr>
        <w:t>, U. (2023). A systematic review of advanced sensor technologies for non-destructive testing and structural health monitoring. </w:t>
      </w:r>
      <w:r w:rsidRPr="002A0D74">
        <w:rPr>
          <w:rFonts w:ascii="Times New Roman" w:hAnsi="Times New Roman" w:cs="Times New Roman"/>
          <w:i/>
          <w:iCs/>
          <w:sz w:val="24"/>
          <w:szCs w:val="24"/>
        </w:rPr>
        <w:t>Sensors</w:t>
      </w:r>
      <w:r w:rsidRPr="002A0D74">
        <w:rPr>
          <w:rFonts w:ascii="Times New Roman" w:hAnsi="Times New Roman" w:cs="Times New Roman"/>
          <w:sz w:val="24"/>
          <w:szCs w:val="24"/>
        </w:rPr>
        <w:t>, </w:t>
      </w:r>
      <w:r w:rsidRPr="002A0D74">
        <w:rPr>
          <w:rFonts w:ascii="Times New Roman" w:hAnsi="Times New Roman" w:cs="Times New Roman"/>
          <w:i/>
          <w:iCs/>
          <w:sz w:val="24"/>
          <w:szCs w:val="24"/>
        </w:rPr>
        <w:t>23</w:t>
      </w:r>
      <w:r w:rsidRPr="002A0D74">
        <w:rPr>
          <w:rFonts w:ascii="Times New Roman" w:hAnsi="Times New Roman" w:cs="Times New Roman"/>
          <w:sz w:val="24"/>
          <w:szCs w:val="24"/>
        </w:rPr>
        <w:t>(4), 2204.</w:t>
      </w:r>
    </w:p>
    <w:p w14:paraId="17E48B87"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Hernández-de-Menéndez, M., Vallejo Guevara, A., </w:t>
      </w:r>
      <w:proofErr w:type="spellStart"/>
      <w:r w:rsidRPr="002A0D74">
        <w:rPr>
          <w:rFonts w:ascii="Times New Roman" w:hAnsi="Times New Roman" w:cs="Times New Roman"/>
          <w:sz w:val="24"/>
          <w:szCs w:val="24"/>
        </w:rPr>
        <w:t>Tudón</w:t>
      </w:r>
      <w:proofErr w:type="spellEnd"/>
      <w:r w:rsidRPr="002A0D74">
        <w:rPr>
          <w:rFonts w:ascii="Times New Roman" w:hAnsi="Times New Roman" w:cs="Times New Roman"/>
          <w:sz w:val="24"/>
          <w:szCs w:val="24"/>
        </w:rPr>
        <w:t xml:space="preserve"> Martínez, J. C., Hernández Alcántara, D., &amp; Morales-Menendez, R. (2019). Active learning in engineering education. A review of fundamentals, best practices and experiences. </w:t>
      </w:r>
      <w:r w:rsidRPr="002A0D74">
        <w:rPr>
          <w:rFonts w:ascii="Times New Roman" w:hAnsi="Times New Roman" w:cs="Times New Roman"/>
          <w:i/>
          <w:iCs/>
          <w:sz w:val="24"/>
          <w:szCs w:val="24"/>
        </w:rPr>
        <w:t>International Journal on Interactive Design and Manufacturing (</w:t>
      </w:r>
      <w:proofErr w:type="spellStart"/>
      <w:r w:rsidRPr="002A0D74">
        <w:rPr>
          <w:rFonts w:ascii="Times New Roman" w:hAnsi="Times New Roman" w:cs="Times New Roman"/>
          <w:i/>
          <w:iCs/>
          <w:sz w:val="24"/>
          <w:szCs w:val="24"/>
        </w:rPr>
        <w:t>IJIDeM</w:t>
      </w:r>
      <w:proofErr w:type="spellEnd"/>
      <w:r w:rsidRPr="002A0D74">
        <w:rPr>
          <w:rFonts w:ascii="Times New Roman" w:hAnsi="Times New Roman" w:cs="Times New Roman"/>
          <w:i/>
          <w:iCs/>
          <w:sz w:val="24"/>
          <w:szCs w:val="24"/>
        </w:rPr>
        <w:t>)</w:t>
      </w:r>
      <w:r w:rsidRPr="002A0D74">
        <w:rPr>
          <w:rFonts w:ascii="Times New Roman" w:hAnsi="Times New Roman" w:cs="Times New Roman"/>
          <w:sz w:val="24"/>
          <w:szCs w:val="24"/>
        </w:rPr>
        <w:t>, </w:t>
      </w:r>
      <w:r w:rsidRPr="002A0D74">
        <w:rPr>
          <w:rFonts w:ascii="Times New Roman" w:hAnsi="Times New Roman" w:cs="Times New Roman"/>
          <w:i/>
          <w:iCs/>
          <w:sz w:val="24"/>
          <w:szCs w:val="24"/>
        </w:rPr>
        <w:t>13</w:t>
      </w:r>
      <w:r w:rsidRPr="002A0D74">
        <w:rPr>
          <w:rFonts w:ascii="Times New Roman" w:hAnsi="Times New Roman" w:cs="Times New Roman"/>
          <w:sz w:val="24"/>
          <w:szCs w:val="24"/>
        </w:rPr>
        <w:t>, 909-922.</w:t>
      </w:r>
    </w:p>
    <w:p w14:paraId="35C9704B"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Hoang, A. T., </w:t>
      </w:r>
      <w:proofErr w:type="spellStart"/>
      <w:r w:rsidRPr="002A0D74">
        <w:rPr>
          <w:rFonts w:ascii="Times New Roman" w:hAnsi="Times New Roman" w:cs="Times New Roman"/>
          <w:sz w:val="24"/>
          <w:szCs w:val="24"/>
        </w:rPr>
        <w:t>Nižetić</w:t>
      </w:r>
      <w:proofErr w:type="spellEnd"/>
      <w:r w:rsidRPr="002A0D74">
        <w:rPr>
          <w:rFonts w:ascii="Times New Roman" w:hAnsi="Times New Roman" w:cs="Times New Roman"/>
          <w:sz w:val="24"/>
          <w:szCs w:val="24"/>
        </w:rPr>
        <w:t xml:space="preserve">, S., </w:t>
      </w:r>
      <w:proofErr w:type="spellStart"/>
      <w:r w:rsidRPr="002A0D74">
        <w:rPr>
          <w:rFonts w:ascii="Times New Roman" w:hAnsi="Times New Roman" w:cs="Times New Roman"/>
          <w:sz w:val="24"/>
          <w:szCs w:val="24"/>
        </w:rPr>
        <w:t>Olcer</w:t>
      </w:r>
      <w:proofErr w:type="spellEnd"/>
      <w:r w:rsidRPr="002A0D74">
        <w:rPr>
          <w:rFonts w:ascii="Times New Roman" w:hAnsi="Times New Roman" w:cs="Times New Roman"/>
          <w:sz w:val="24"/>
          <w:szCs w:val="24"/>
        </w:rPr>
        <w:t>, A. I., Ong, H. C., Chen, W. H., Chong, C. T., ... &amp; Nguyen, X. P. (2021). Impacts of COVID-19 pandemic on the global energy system and the shift progress to renewable energy: Opportunities, challenges, and policy implications. </w:t>
      </w:r>
      <w:r w:rsidRPr="002A0D74">
        <w:rPr>
          <w:rFonts w:ascii="Times New Roman" w:hAnsi="Times New Roman" w:cs="Times New Roman"/>
          <w:i/>
          <w:iCs/>
          <w:sz w:val="24"/>
          <w:szCs w:val="24"/>
        </w:rPr>
        <w:t>Energy Policy</w:t>
      </w:r>
      <w:r w:rsidRPr="002A0D74">
        <w:rPr>
          <w:rFonts w:ascii="Times New Roman" w:hAnsi="Times New Roman" w:cs="Times New Roman"/>
          <w:sz w:val="24"/>
          <w:szCs w:val="24"/>
        </w:rPr>
        <w:t>, </w:t>
      </w:r>
      <w:r w:rsidRPr="002A0D74">
        <w:rPr>
          <w:rFonts w:ascii="Times New Roman" w:hAnsi="Times New Roman" w:cs="Times New Roman"/>
          <w:i/>
          <w:iCs/>
          <w:sz w:val="24"/>
          <w:szCs w:val="24"/>
        </w:rPr>
        <w:t>154</w:t>
      </w:r>
      <w:r w:rsidRPr="002A0D74">
        <w:rPr>
          <w:rFonts w:ascii="Times New Roman" w:hAnsi="Times New Roman" w:cs="Times New Roman"/>
          <w:sz w:val="24"/>
          <w:szCs w:val="24"/>
        </w:rPr>
        <w:t>, 112322.</w:t>
      </w:r>
    </w:p>
    <w:p w14:paraId="0BE5B435"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Hu, F., Wang, X., &amp; Jiang, P. (2021, June). Research on Flipped Classroom Model of Information Technology Based on Online Teaching System. In </w:t>
      </w:r>
      <w:r w:rsidRPr="002A0D74">
        <w:rPr>
          <w:rFonts w:ascii="Times New Roman" w:hAnsi="Times New Roman" w:cs="Times New Roman"/>
          <w:i/>
          <w:iCs/>
          <w:sz w:val="24"/>
          <w:szCs w:val="24"/>
        </w:rPr>
        <w:t>2021 IEEE 3rd International Conference on Computer Science and Educational Informatization (CSEI)</w:t>
      </w:r>
      <w:r w:rsidRPr="002A0D74">
        <w:rPr>
          <w:rFonts w:ascii="Times New Roman" w:hAnsi="Times New Roman" w:cs="Times New Roman"/>
          <w:sz w:val="24"/>
          <w:szCs w:val="24"/>
        </w:rPr>
        <w:t> (pp. 14-17). IEEE.</w:t>
      </w:r>
    </w:p>
    <w:p w14:paraId="063F0942"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Hu, X., Zhang, H., Song, Y., Wu, C., Yang, Q., Shi, Z., ... &amp; Chen, W. (2019). Implementation of flipped classroom combined with problem-based learning: an approach to promote learning about hyperthyroidism in the endocrinology internship. </w:t>
      </w:r>
      <w:r w:rsidRPr="002A0D74">
        <w:rPr>
          <w:rFonts w:ascii="Times New Roman" w:hAnsi="Times New Roman" w:cs="Times New Roman"/>
          <w:i/>
          <w:iCs/>
          <w:sz w:val="24"/>
          <w:szCs w:val="24"/>
        </w:rPr>
        <w:t>BMC Medical Education</w:t>
      </w:r>
      <w:r w:rsidRPr="002A0D74">
        <w:rPr>
          <w:rFonts w:ascii="Times New Roman" w:hAnsi="Times New Roman" w:cs="Times New Roman"/>
          <w:sz w:val="24"/>
          <w:szCs w:val="24"/>
        </w:rPr>
        <w:t>, </w:t>
      </w:r>
      <w:r w:rsidRPr="002A0D74">
        <w:rPr>
          <w:rFonts w:ascii="Times New Roman" w:hAnsi="Times New Roman" w:cs="Times New Roman"/>
          <w:i/>
          <w:iCs/>
          <w:sz w:val="24"/>
          <w:szCs w:val="24"/>
        </w:rPr>
        <w:t>19</w:t>
      </w:r>
      <w:r w:rsidRPr="002A0D74">
        <w:rPr>
          <w:rFonts w:ascii="Times New Roman" w:hAnsi="Times New Roman" w:cs="Times New Roman"/>
          <w:sz w:val="24"/>
          <w:szCs w:val="24"/>
        </w:rPr>
        <w:t>, 1-8.</w:t>
      </w:r>
    </w:p>
    <w:p w14:paraId="3B52DEB3"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Hwang, B. N., Huang, C. Y., &amp; Wu, C. H. (2016). A TOE approach to establish a green supply chain adoption decision model in the semiconductor industry. </w:t>
      </w:r>
      <w:r w:rsidRPr="002A0D74">
        <w:rPr>
          <w:rFonts w:ascii="Times New Roman" w:hAnsi="Times New Roman" w:cs="Times New Roman"/>
          <w:i/>
          <w:iCs/>
          <w:sz w:val="24"/>
          <w:szCs w:val="24"/>
        </w:rPr>
        <w:t>Sustainability</w:t>
      </w:r>
      <w:r w:rsidRPr="002A0D74">
        <w:rPr>
          <w:rFonts w:ascii="Times New Roman" w:hAnsi="Times New Roman" w:cs="Times New Roman"/>
          <w:sz w:val="24"/>
          <w:szCs w:val="24"/>
        </w:rPr>
        <w:t>, </w:t>
      </w:r>
      <w:r w:rsidRPr="002A0D74">
        <w:rPr>
          <w:rFonts w:ascii="Times New Roman" w:hAnsi="Times New Roman" w:cs="Times New Roman"/>
          <w:i/>
          <w:iCs/>
          <w:sz w:val="24"/>
          <w:szCs w:val="24"/>
        </w:rPr>
        <w:t>8</w:t>
      </w:r>
      <w:r w:rsidRPr="002A0D74">
        <w:rPr>
          <w:rFonts w:ascii="Times New Roman" w:hAnsi="Times New Roman" w:cs="Times New Roman"/>
          <w:sz w:val="24"/>
          <w:szCs w:val="24"/>
        </w:rPr>
        <w:t>(2), 168.</w:t>
      </w:r>
    </w:p>
    <w:p w14:paraId="75365BEE"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Infield, D., &amp; </w:t>
      </w:r>
      <w:proofErr w:type="spellStart"/>
      <w:r w:rsidRPr="002A0D74">
        <w:rPr>
          <w:rFonts w:ascii="Times New Roman" w:hAnsi="Times New Roman" w:cs="Times New Roman"/>
          <w:sz w:val="24"/>
          <w:szCs w:val="24"/>
        </w:rPr>
        <w:t>Freris</w:t>
      </w:r>
      <w:proofErr w:type="spellEnd"/>
      <w:r w:rsidRPr="002A0D74">
        <w:rPr>
          <w:rFonts w:ascii="Times New Roman" w:hAnsi="Times New Roman" w:cs="Times New Roman"/>
          <w:sz w:val="24"/>
          <w:szCs w:val="24"/>
        </w:rPr>
        <w:t>, L. (2020). </w:t>
      </w:r>
      <w:r w:rsidRPr="002A0D74">
        <w:rPr>
          <w:rFonts w:ascii="Times New Roman" w:hAnsi="Times New Roman" w:cs="Times New Roman"/>
          <w:i/>
          <w:iCs/>
          <w:sz w:val="24"/>
          <w:szCs w:val="24"/>
        </w:rPr>
        <w:t>Renewable energy in power systems</w:t>
      </w:r>
      <w:r w:rsidRPr="002A0D74">
        <w:rPr>
          <w:rFonts w:ascii="Times New Roman" w:hAnsi="Times New Roman" w:cs="Times New Roman"/>
          <w:sz w:val="24"/>
          <w:szCs w:val="24"/>
        </w:rPr>
        <w:t>. John Wiley &amp; Sons.</w:t>
      </w:r>
    </w:p>
    <w:p w14:paraId="4171B0AC"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Jamison, A., Kolmos, A., &amp; Holgaard, J. E. (2014). Hybrid learning: An integrative approach to engineering education. </w:t>
      </w:r>
      <w:r w:rsidRPr="002A0D74">
        <w:rPr>
          <w:rFonts w:ascii="Times New Roman" w:hAnsi="Times New Roman" w:cs="Times New Roman"/>
          <w:i/>
          <w:iCs/>
          <w:sz w:val="24"/>
          <w:szCs w:val="24"/>
        </w:rPr>
        <w:t>Journal of Engineering Education</w:t>
      </w:r>
      <w:r w:rsidRPr="002A0D74">
        <w:rPr>
          <w:rFonts w:ascii="Times New Roman" w:hAnsi="Times New Roman" w:cs="Times New Roman"/>
          <w:sz w:val="24"/>
          <w:szCs w:val="24"/>
        </w:rPr>
        <w:t>, </w:t>
      </w:r>
      <w:r w:rsidRPr="002A0D74">
        <w:rPr>
          <w:rFonts w:ascii="Times New Roman" w:hAnsi="Times New Roman" w:cs="Times New Roman"/>
          <w:i/>
          <w:iCs/>
          <w:sz w:val="24"/>
          <w:szCs w:val="24"/>
        </w:rPr>
        <w:t>103</w:t>
      </w:r>
      <w:r w:rsidRPr="002A0D74">
        <w:rPr>
          <w:rFonts w:ascii="Times New Roman" w:hAnsi="Times New Roman" w:cs="Times New Roman"/>
          <w:sz w:val="24"/>
          <w:szCs w:val="24"/>
        </w:rPr>
        <w:t>(2), 253-273.</w:t>
      </w:r>
    </w:p>
    <w:p w14:paraId="41939006"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Kabeyi</w:t>
      </w:r>
      <w:proofErr w:type="spellEnd"/>
      <w:r w:rsidRPr="002A0D74">
        <w:rPr>
          <w:rFonts w:ascii="Times New Roman" w:hAnsi="Times New Roman" w:cs="Times New Roman"/>
          <w:sz w:val="24"/>
          <w:szCs w:val="24"/>
        </w:rPr>
        <w:t>, M. J. B., &amp; Olanrewaju, O. A. (2022). Sustainable energy transition for renewable and low carbon grid electricity generation and supply. </w:t>
      </w:r>
      <w:r w:rsidRPr="002A0D74">
        <w:rPr>
          <w:rFonts w:ascii="Times New Roman" w:hAnsi="Times New Roman" w:cs="Times New Roman"/>
          <w:i/>
          <w:iCs/>
          <w:sz w:val="24"/>
          <w:szCs w:val="24"/>
        </w:rPr>
        <w:t>Frontiers in Energy research</w:t>
      </w:r>
      <w:r w:rsidRPr="002A0D74">
        <w:rPr>
          <w:rFonts w:ascii="Times New Roman" w:hAnsi="Times New Roman" w:cs="Times New Roman"/>
          <w:sz w:val="24"/>
          <w:szCs w:val="24"/>
        </w:rPr>
        <w:t>, </w:t>
      </w:r>
      <w:r w:rsidRPr="002A0D74">
        <w:rPr>
          <w:rFonts w:ascii="Times New Roman" w:hAnsi="Times New Roman" w:cs="Times New Roman"/>
          <w:i/>
          <w:iCs/>
          <w:sz w:val="24"/>
          <w:szCs w:val="24"/>
        </w:rPr>
        <w:t>9</w:t>
      </w:r>
      <w:r w:rsidRPr="002A0D74">
        <w:rPr>
          <w:rFonts w:ascii="Times New Roman" w:hAnsi="Times New Roman" w:cs="Times New Roman"/>
          <w:sz w:val="24"/>
          <w:szCs w:val="24"/>
        </w:rPr>
        <w:t>, 743114.</w:t>
      </w:r>
    </w:p>
    <w:p w14:paraId="55091257"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Kanetaki</w:t>
      </w:r>
      <w:proofErr w:type="spellEnd"/>
      <w:r w:rsidRPr="002A0D74">
        <w:rPr>
          <w:rFonts w:ascii="Times New Roman" w:hAnsi="Times New Roman" w:cs="Times New Roman"/>
          <w:sz w:val="24"/>
          <w:szCs w:val="24"/>
        </w:rPr>
        <w:t xml:space="preserve">, Z., Stergiou, C., Bekas, G., Jacques, S., </w:t>
      </w:r>
      <w:proofErr w:type="spellStart"/>
      <w:r w:rsidRPr="002A0D74">
        <w:rPr>
          <w:rFonts w:ascii="Times New Roman" w:hAnsi="Times New Roman" w:cs="Times New Roman"/>
          <w:sz w:val="24"/>
          <w:szCs w:val="24"/>
        </w:rPr>
        <w:t>Troussas</w:t>
      </w:r>
      <w:proofErr w:type="spellEnd"/>
      <w:r w:rsidRPr="002A0D74">
        <w:rPr>
          <w:rFonts w:ascii="Times New Roman" w:hAnsi="Times New Roman" w:cs="Times New Roman"/>
          <w:sz w:val="24"/>
          <w:szCs w:val="24"/>
        </w:rPr>
        <w:t xml:space="preserve">, C., </w:t>
      </w:r>
      <w:proofErr w:type="spellStart"/>
      <w:r w:rsidRPr="002A0D74">
        <w:rPr>
          <w:rFonts w:ascii="Times New Roman" w:hAnsi="Times New Roman" w:cs="Times New Roman"/>
          <w:sz w:val="24"/>
          <w:szCs w:val="24"/>
        </w:rPr>
        <w:t>Sgouropoulou</w:t>
      </w:r>
      <w:proofErr w:type="spellEnd"/>
      <w:r w:rsidRPr="002A0D74">
        <w:rPr>
          <w:rFonts w:ascii="Times New Roman" w:hAnsi="Times New Roman" w:cs="Times New Roman"/>
          <w:sz w:val="24"/>
          <w:szCs w:val="24"/>
        </w:rPr>
        <w:t>, C., &amp; Ouahabi, A. (2022). Grade prediction modeling in hybrid learning environments for sustainable engineering education. </w:t>
      </w:r>
      <w:r w:rsidRPr="002A0D74">
        <w:rPr>
          <w:rFonts w:ascii="Times New Roman" w:hAnsi="Times New Roman" w:cs="Times New Roman"/>
          <w:i/>
          <w:iCs/>
          <w:sz w:val="24"/>
          <w:szCs w:val="24"/>
        </w:rPr>
        <w:t>Sustainability</w:t>
      </w:r>
      <w:r w:rsidRPr="002A0D74">
        <w:rPr>
          <w:rFonts w:ascii="Times New Roman" w:hAnsi="Times New Roman" w:cs="Times New Roman"/>
          <w:sz w:val="24"/>
          <w:szCs w:val="24"/>
        </w:rPr>
        <w:t>, </w:t>
      </w:r>
      <w:r w:rsidRPr="002A0D74">
        <w:rPr>
          <w:rFonts w:ascii="Times New Roman" w:hAnsi="Times New Roman" w:cs="Times New Roman"/>
          <w:i/>
          <w:iCs/>
          <w:sz w:val="24"/>
          <w:szCs w:val="24"/>
        </w:rPr>
        <w:t>14</w:t>
      </w:r>
      <w:r w:rsidRPr="002A0D74">
        <w:rPr>
          <w:rFonts w:ascii="Times New Roman" w:hAnsi="Times New Roman" w:cs="Times New Roman"/>
          <w:sz w:val="24"/>
          <w:szCs w:val="24"/>
        </w:rPr>
        <w:t>(9), 5205.</w:t>
      </w:r>
    </w:p>
    <w:p w14:paraId="58117D7A"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Kapilan, N., Vidhya, P., &amp; Gao, X. Z. (2021). Virtual laboratory: A boon to the mechanical engineering education during covid-19 pandemic. </w:t>
      </w:r>
      <w:r w:rsidRPr="002A0D74">
        <w:rPr>
          <w:rFonts w:ascii="Times New Roman" w:hAnsi="Times New Roman" w:cs="Times New Roman"/>
          <w:i/>
          <w:iCs/>
          <w:sz w:val="24"/>
          <w:szCs w:val="24"/>
        </w:rPr>
        <w:t>Higher Education for the Future</w:t>
      </w:r>
      <w:r w:rsidRPr="002A0D74">
        <w:rPr>
          <w:rFonts w:ascii="Times New Roman" w:hAnsi="Times New Roman" w:cs="Times New Roman"/>
          <w:sz w:val="24"/>
          <w:szCs w:val="24"/>
        </w:rPr>
        <w:t>, </w:t>
      </w:r>
      <w:r w:rsidRPr="002A0D74">
        <w:rPr>
          <w:rFonts w:ascii="Times New Roman" w:hAnsi="Times New Roman" w:cs="Times New Roman"/>
          <w:i/>
          <w:iCs/>
          <w:sz w:val="24"/>
          <w:szCs w:val="24"/>
        </w:rPr>
        <w:t>8</w:t>
      </w:r>
      <w:r w:rsidRPr="002A0D74">
        <w:rPr>
          <w:rFonts w:ascii="Times New Roman" w:hAnsi="Times New Roman" w:cs="Times New Roman"/>
          <w:sz w:val="24"/>
          <w:szCs w:val="24"/>
        </w:rPr>
        <w:t>(1), 31-46.</w:t>
      </w:r>
    </w:p>
    <w:p w14:paraId="3207A469"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Kayode-Ajala, O. (2023). Applications of Cyber Threat Intelligence (CTI) in financial institutions and challenges in its adoption. </w:t>
      </w:r>
      <w:r w:rsidRPr="002A0D74">
        <w:rPr>
          <w:rFonts w:ascii="Times New Roman" w:hAnsi="Times New Roman" w:cs="Times New Roman"/>
          <w:i/>
          <w:iCs/>
          <w:sz w:val="24"/>
          <w:szCs w:val="24"/>
        </w:rPr>
        <w:t>Applied Research in Artificial Intelligence and Cloud Computing</w:t>
      </w:r>
      <w:r w:rsidRPr="002A0D74">
        <w:rPr>
          <w:rFonts w:ascii="Times New Roman" w:hAnsi="Times New Roman" w:cs="Times New Roman"/>
          <w:sz w:val="24"/>
          <w:szCs w:val="24"/>
        </w:rPr>
        <w:t>, </w:t>
      </w:r>
      <w:r w:rsidRPr="002A0D74">
        <w:rPr>
          <w:rFonts w:ascii="Times New Roman" w:hAnsi="Times New Roman" w:cs="Times New Roman"/>
          <w:i/>
          <w:iCs/>
          <w:sz w:val="24"/>
          <w:szCs w:val="24"/>
        </w:rPr>
        <w:t>6</w:t>
      </w:r>
      <w:r w:rsidRPr="002A0D74">
        <w:rPr>
          <w:rFonts w:ascii="Times New Roman" w:hAnsi="Times New Roman" w:cs="Times New Roman"/>
          <w:sz w:val="24"/>
          <w:szCs w:val="24"/>
        </w:rPr>
        <w:t>(8), 1-21.</w:t>
      </w:r>
    </w:p>
    <w:p w14:paraId="6A3B29FB"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Kehrer, L., </w:t>
      </w:r>
      <w:proofErr w:type="spellStart"/>
      <w:r w:rsidRPr="002A0D74">
        <w:rPr>
          <w:rFonts w:ascii="Times New Roman" w:hAnsi="Times New Roman" w:cs="Times New Roman"/>
          <w:sz w:val="24"/>
          <w:szCs w:val="24"/>
        </w:rPr>
        <w:t>Keursten</w:t>
      </w:r>
      <w:proofErr w:type="spellEnd"/>
      <w:r w:rsidRPr="002A0D74">
        <w:rPr>
          <w:rFonts w:ascii="Times New Roman" w:hAnsi="Times New Roman" w:cs="Times New Roman"/>
          <w:sz w:val="24"/>
          <w:szCs w:val="24"/>
        </w:rPr>
        <w:t xml:space="preserve">, J., Hirschberg, V., &amp; </w:t>
      </w:r>
      <w:proofErr w:type="spellStart"/>
      <w:r w:rsidRPr="002A0D74">
        <w:rPr>
          <w:rFonts w:ascii="Times New Roman" w:hAnsi="Times New Roman" w:cs="Times New Roman"/>
          <w:sz w:val="24"/>
          <w:szCs w:val="24"/>
        </w:rPr>
        <w:t>Böhlke</w:t>
      </w:r>
      <w:proofErr w:type="spellEnd"/>
      <w:r w:rsidRPr="002A0D74">
        <w:rPr>
          <w:rFonts w:ascii="Times New Roman" w:hAnsi="Times New Roman" w:cs="Times New Roman"/>
          <w:sz w:val="24"/>
          <w:szCs w:val="24"/>
        </w:rPr>
        <w:t>, T. (2023). Dynamic mechanical analysis of PA 6 under hydrothermal influences and viscoelastic material modeling. </w:t>
      </w:r>
      <w:r w:rsidRPr="002A0D74">
        <w:rPr>
          <w:rFonts w:ascii="Times New Roman" w:hAnsi="Times New Roman" w:cs="Times New Roman"/>
          <w:i/>
          <w:iCs/>
          <w:sz w:val="24"/>
          <w:szCs w:val="24"/>
        </w:rPr>
        <w:t>Journal of Thermoplastic Composite Materials</w:t>
      </w:r>
      <w:r w:rsidRPr="002A0D74">
        <w:rPr>
          <w:rFonts w:ascii="Times New Roman" w:hAnsi="Times New Roman" w:cs="Times New Roman"/>
          <w:sz w:val="24"/>
          <w:szCs w:val="24"/>
        </w:rPr>
        <w:t>, </w:t>
      </w:r>
      <w:r w:rsidRPr="002A0D74">
        <w:rPr>
          <w:rFonts w:ascii="Times New Roman" w:hAnsi="Times New Roman" w:cs="Times New Roman"/>
          <w:i/>
          <w:iCs/>
          <w:sz w:val="24"/>
          <w:szCs w:val="24"/>
        </w:rPr>
        <w:t>36</w:t>
      </w:r>
      <w:r w:rsidRPr="002A0D74">
        <w:rPr>
          <w:rFonts w:ascii="Times New Roman" w:hAnsi="Times New Roman" w:cs="Times New Roman"/>
          <w:sz w:val="24"/>
          <w:szCs w:val="24"/>
        </w:rPr>
        <w:t>(11), 4630-4664.</w:t>
      </w:r>
    </w:p>
    <w:p w14:paraId="7AC67A37"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Kelley, T. R., &amp; Knowles, J. G. (2016). A conceptual framework for integrated STEM education. </w:t>
      </w:r>
      <w:r w:rsidRPr="002A0D74">
        <w:rPr>
          <w:rFonts w:ascii="Times New Roman" w:hAnsi="Times New Roman" w:cs="Times New Roman"/>
          <w:i/>
          <w:iCs/>
          <w:sz w:val="24"/>
          <w:szCs w:val="24"/>
        </w:rPr>
        <w:t>International Journal of STEM education</w:t>
      </w:r>
      <w:r w:rsidRPr="002A0D74">
        <w:rPr>
          <w:rFonts w:ascii="Times New Roman" w:hAnsi="Times New Roman" w:cs="Times New Roman"/>
          <w:sz w:val="24"/>
          <w:szCs w:val="24"/>
        </w:rPr>
        <w:t>, </w:t>
      </w:r>
      <w:r w:rsidRPr="002A0D74">
        <w:rPr>
          <w:rFonts w:ascii="Times New Roman" w:hAnsi="Times New Roman" w:cs="Times New Roman"/>
          <w:i/>
          <w:iCs/>
          <w:sz w:val="24"/>
          <w:szCs w:val="24"/>
        </w:rPr>
        <w:t>3</w:t>
      </w:r>
      <w:r w:rsidRPr="002A0D74">
        <w:rPr>
          <w:rFonts w:ascii="Times New Roman" w:hAnsi="Times New Roman" w:cs="Times New Roman"/>
          <w:sz w:val="24"/>
          <w:szCs w:val="24"/>
        </w:rPr>
        <w:t>, 1-11.</w:t>
      </w:r>
    </w:p>
    <w:p w14:paraId="2B4B8FBC"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Khakifirooz</w:t>
      </w:r>
      <w:proofErr w:type="spellEnd"/>
      <w:r w:rsidRPr="002A0D74">
        <w:rPr>
          <w:rFonts w:ascii="Times New Roman" w:hAnsi="Times New Roman" w:cs="Times New Roman"/>
          <w:sz w:val="24"/>
          <w:szCs w:val="24"/>
        </w:rPr>
        <w:t xml:space="preserve">, M., Fathi, M., Chien, C. F., &amp; </w:t>
      </w:r>
      <w:proofErr w:type="spellStart"/>
      <w:r w:rsidRPr="002A0D74">
        <w:rPr>
          <w:rFonts w:ascii="Times New Roman" w:hAnsi="Times New Roman" w:cs="Times New Roman"/>
          <w:sz w:val="24"/>
          <w:szCs w:val="24"/>
        </w:rPr>
        <w:t>Pardalos</w:t>
      </w:r>
      <w:proofErr w:type="spellEnd"/>
      <w:r w:rsidRPr="002A0D74">
        <w:rPr>
          <w:rFonts w:ascii="Times New Roman" w:hAnsi="Times New Roman" w:cs="Times New Roman"/>
          <w:sz w:val="24"/>
          <w:szCs w:val="24"/>
        </w:rPr>
        <w:t xml:space="preserve">, P. M. (2019). Management suggestions for process control of semiconductor manufacturing: An operations </w:t>
      </w:r>
      <w:r w:rsidRPr="002A0D74">
        <w:rPr>
          <w:rFonts w:ascii="Times New Roman" w:hAnsi="Times New Roman" w:cs="Times New Roman"/>
          <w:sz w:val="24"/>
          <w:szCs w:val="24"/>
        </w:rPr>
        <w:lastRenderedPageBreak/>
        <w:t>research and data science perspective. </w:t>
      </w:r>
      <w:r w:rsidRPr="002A0D74">
        <w:rPr>
          <w:rFonts w:ascii="Times New Roman" w:hAnsi="Times New Roman" w:cs="Times New Roman"/>
          <w:i/>
          <w:iCs/>
          <w:sz w:val="24"/>
          <w:szCs w:val="24"/>
        </w:rPr>
        <w:t>Computational Intelligence and Optimization Methods for Control Engineering</w:t>
      </w:r>
      <w:r w:rsidRPr="002A0D74">
        <w:rPr>
          <w:rFonts w:ascii="Times New Roman" w:hAnsi="Times New Roman" w:cs="Times New Roman"/>
          <w:sz w:val="24"/>
          <w:szCs w:val="24"/>
        </w:rPr>
        <w:t>, 245-274.</w:t>
      </w:r>
    </w:p>
    <w:p w14:paraId="0CD5ED9A"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Khaled, A., Gulikers, J., Biemans, H., van der Wel, M., &amp; Mulder, M. (2014). Characteristics of hands-on simulations with added value for innovative secondary and higher vocational education. </w:t>
      </w:r>
      <w:r w:rsidRPr="002A0D74">
        <w:rPr>
          <w:rFonts w:ascii="Times New Roman" w:hAnsi="Times New Roman" w:cs="Times New Roman"/>
          <w:i/>
          <w:iCs/>
          <w:sz w:val="24"/>
          <w:szCs w:val="24"/>
        </w:rPr>
        <w:t>Journal of Vocational Education &amp; Training</w:t>
      </w:r>
      <w:r w:rsidRPr="002A0D74">
        <w:rPr>
          <w:rFonts w:ascii="Times New Roman" w:hAnsi="Times New Roman" w:cs="Times New Roman"/>
          <w:sz w:val="24"/>
          <w:szCs w:val="24"/>
        </w:rPr>
        <w:t>, </w:t>
      </w:r>
      <w:r w:rsidRPr="002A0D74">
        <w:rPr>
          <w:rFonts w:ascii="Times New Roman" w:hAnsi="Times New Roman" w:cs="Times New Roman"/>
          <w:i/>
          <w:iCs/>
          <w:sz w:val="24"/>
          <w:szCs w:val="24"/>
        </w:rPr>
        <w:t>66</w:t>
      </w:r>
      <w:r w:rsidRPr="002A0D74">
        <w:rPr>
          <w:rFonts w:ascii="Times New Roman" w:hAnsi="Times New Roman" w:cs="Times New Roman"/>
          <w:sz w:val="24"/>
          <w:szCs w:val="24"/>
        </w:rPr>
        <w:t>(4), 462-490.</w:t>
      </w:r>
    </w:p>
    <w:p w14:paraId="0608D94F"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Khanna, V. K. (2023). </w:t>
      </w:r>
      <w:r w:rsidRPr="002A0D74">
        <w:rPr>
          <w:rFonts w:ascii="Times New Roman" w:hAnsi="Times New Roman" w:cs="Times New Roman"/>
          <w:i/>
          <w:iCs/>
          <w:sz w:val="24"/>
          <w:szCs w:val="24"/>
        </w:rPr>
        <w:t>Extreme-temperature and harsh-environment electronics: physics, technology and applications</w:t>
      </w:r>
      <w:r w:rsidRPr="002A0D74">
        <w:rPr>
          <w:rFonts w:ascii="Times New Roman" w:hAnsi="Times New Roman" w:cs="Times New Roman"/>
          <w:sz w:val="24"/>
          <w:szCs w:val="24"/>
        </w:rPr>
        <w:t>. IOP Publishing.</w:t>
      </w:r>
    </w:p>
    <w:p w14:paraId="1C854D32"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Kolus</w:t>
      </w:r>
      <w:proofErr w:type="spellEnd"/>
      <w:r w:rsidRPr="002A0D74">
        <w:rPr>
          <w:rFonts w:ascii="Times New Roman" w:hAnsi="Times New Roman" w:cs="Times New Roman"/>
          <w:sz w:val="24"/>
          <w:szCs w:val="24"/>
        </w:rPr>
        <w:t>, A., Wells, R., &amp; Neumann, P. (2018). Production quality and human factors engineering: A systematic review and theoretical framework. </w:t>
      </w:r>
      <w:r w:rsidRPr="002A0D74">
        <w:rPr>
          <w:rFonts w:ascii="Times New Roman" w:hAnsi="Times New Roman" w:cs="Times New Roman"/>
          <w:i/>
          <w:iCs/>
          <w:sz w:val="24"/>
          <w:szCs w:val="24"/>
        </w:rPr>
        <w:t>Applied ergonomics</w:t>
      </w:r>
      <w:r w:rsidRPr="002A0D74">
        <w:rPr>
          <w:rFonts w:ascii="Times New Roman" w:hAnsi="Times New Roman" w:cs="Times New Roman"/>
          <w:sz w:val="24"/>
          <w:szCs w:val="24"/>
        </w:rPr>
        <w:t>, </w:t>
      </w:r>
      <w:r w:rsidRPr="002A0D74">
        <w:rPr>
          <w:rFonts w:ascii="Times New Roman" w:hAnsi="Times New Roman" w:cs="Times New Roman"/>
          <w:i/>
          <w:iCs/>
          <w:sz w:val="24"/>
          <w:szCs w:val="24"/>
        </w:rPr>
        <w:t>73</w:t>
      </w:r>
      <w:r w:rsidRPr="002A0D74">
        <w:rPr>
          <w:rFonts w:ascii="Times New Roman" w:hAnsi="Times New Roman" w:cs="Times New Roman"/>
          <w:sz w:val="24"/>
          <w:szCs w:val="24"/>
        </w:rPr>
        <w:t>, 55-89.</w:t>
      </w:r>
    </w:p>
    <w:p w14:paraId="40EF320F"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Konak, A., Clark, T. K., &amp; </w:t>
      </w:r>
      <w:proofErr w:type="spellStart"/>
      <w:r w:rsidRPr="002A0D74">
        <w:rPr>
          <w:rFonts w:ascii="Times New Roman" w:hAnsi="Times New Roman" w:cs="Times New Roman"/>
          <w:sz w:val="24"/>
          <w:szCs w:val="24"/>
        </w:rPr>
        <w:t>Nasereddin</w:t>
      </w:r>
      <w:proofErr w:type="spellEnd"/>
      <w:r w:rsidRPr="002A0D74">
        <w:rPr>
          <w:rFonts w:ascii="Times New Roman" w:hAnsi="Times New Roman" w:cs="Times New Roman"/>
          <w:sz w:val="24"/>
          <w:szCs w:val="24"/>
        </w:rPr>
        <w:t>, M. (2014). Using Kolb's Experiential Learning Cycle to improve student learning in virtual computer laboratories. </w:t>
      </w:r>
      <w:r w:rsidRPr="002A0D74">
        <w:rPr>
          <w:rFonts w:ascii="Times New Roman" w:hAnsi="Times New Roman" w:cs="Times New Roman"/>
          <w:i/>
          <w:iCs/>
          <w:sz w:val="24"/>
          <w:szCs w:val="24"/>
        </w:rPr>
        <w:t>Computers &amp; Education</w:t>
      </w:r>
      <w:r w:rsidRPr="002A0D74">
        <w:rPr>
          <w:rFonts w:ascii="Times New Roman" w:hAnsi="Times New Roman" w:cs="Times New Roman"/>
          <w:sz w:val="24"/>
          <w:szCs w:val="24"/>
        </w:rPr>
        <w:t>, </w:t>
      </w:r>
      <w:r w:rsidRPr="002A0D74">
        <w:rPr>
          <w:rFonts w:ascii="Times New Roman" w:hAnsi="Times New Roman" w:cs="Times New Roman"/>
          <w:i/>
          <w:iCs/>
          <w:sz w:val="24"/>
          <w:szCs w:val="24"/>
        </w:rPr>
        <w:t>72</w:t>
      </w:r>
      <w:r w:rsidRPr="002A0D74">
        <w:rPr>
          <w:rFonts w:ascii="Times New Roman" w:hAnsi="Times New Roman" w:cs="Times New Roman"/>
          <w:sz w:val="24"/>
          <w:szCs w:val="24"/>
        </w:rPr>
        <w:t>, 11-22.</w:t>
      </w:r>
    </w:p>
    <w:p w14:paraId="33603A73"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Konstantakopoulos</w:t>
      </w:r>
      <w:proofErr w:type="spellEnd"/>
      <w:r w:rsidRPr="002A0D74">
        <w:rPr>
          <w:rFonts w:ascii="Times New Roman" w:hAnsi="Times New Roman" w:cs="Times New Roman"/>
          <w:sz w:val="24"/>
          <w:szCs w:val="24"/>
        </w:rPr>
        <w:t xml:space="preserve">, I. C., Barkan, A. R., He, S., </w:t>
      </w:r>
      <w:proofErr w:type="spellStart"/>
      <w:r w:rsidRPr="002A0D74">
        <w:rPr>
          <w:rFonts w:ascii="Times New Roman" w:hAnsi="Times New Roman" w:cs="Times New Roman"/>
          <w:sz w:val="24"/>
          <w:szCs w:val="24"/>
        </w:rPr>
        <w:t>Veeravalli</w:t>
      </w:r>
      <w:proofErr w:type="spellEnd"/>
      <w:r w:rsidRPr="002A0D74">
        <w:rPr>
          <w:rFonts w:ascii="Times New Roman" w:hAnsi="Times New Roman" w:cs="Times New Roman"/>
          <w:sz w:val="24"/>
          <w:szCs w:val="24"/>
        </w:rPr>
        <w:t>, T., Liu, H., &amp; Spanos, C. (2019). A deep learning and gamification approach to improving human-building interaction and energy efficiency in smart infrastructure. </w:t>
      </w:r>
      <w:r w:rsidRPr="002A0D74">
        <w:rPr>
          <w:rFonts w:ascii="Times New Roman" w:hAnsi="Times New Roman" w:cs="Times New Roman"/>
          <w:i/>
          <w:iCs/>
          <w:sz w:val="24"/>
          <w:szCs w:val="24"/>
        </w:rPr>
        <w:t>Applied energy</w:t>
      </w:r>
      <w:r w:rsidRPr="002A0D74">
        <w:rPr>
          <w:rFonts w:ascii="Times New Roman" w:hAnsi="Times New Roman" w:cs="Times New Roman"/>
          <w:sz w:val="24"/>
          <w:szCs w:val="24"/>
        </w:rPr>
        <w:t>, </w:t>
      </w:r>
      <w:r w:rsidRPr="002A0D74">
        <w:rPr>
          <w:rFonts w:ascii="Times New Roman" w:hAnsi="Times New Roman" w:cs="Times New Roman"/>
          <w:i/>
          <w:iCs/>
          <w:sz w:val="24"/>
          <w:szCs w:val="24"/>
        </w:rPr>
        <w:t>237</w:t>
      </w:r>
      <w:r w:rsidRPr="002A0D74">
        <w:rPr>
          <w:rFonts w:ascii="Times New Roman" w:hAnsi="Times New Roman" w:cs="Times New Roman"/>
          <w:sz w:val="24"/>
          <w:szCs w:val="24"/>
        </w:rPr>
        <w:t>, 810-821.</w:t>
      </w:r>
    </w:p>
    <w:p w14:paraId="0DAF0ED2"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Kopelmann</w:t>
      </w:r>
      <w:proofErr w:type="spellEnd"/>
      <w:r w:rsidRPr="002A0D74">
        <w:rPr>
          <w:rFonts w:ascii="Times New Roman" w:hAnsi="Times New Roman" w:cs="Times New Roman"/>
          <w:sz w:val="24"/>
          <w:szCs w:val="24"/>
        </w:rPr>
        <w:t xml:space="preserve">, K., Bruns, M., </w:t>
      </w:r>
      <w:proofErr w:type="spellStart"/>
      <w:r w:rsidRPr="002A0D74">
        <w:rPr>
          <w:rFonts w:ascii="Times New Roman" w:hAnsi="Times New Roman" w:cs="Times New Roman"/>
          <w:sz w:val="24"/>
          <w:szCs w:val="24"/>
        </w:rPr>
        <w:t>Nocke</w:t>
      </w:r>
      <w:proofErr w:type="spellEnd"/>
      <w:r w:rsidRPr="002A0D74">
        <w:rPr>
          <w:rFonts w:ascii="Times New Roman" w:hAnsi="Times New Roman" w:cs="Times New Roman"/>
          <w:sz w:val="24"/>
          <w:szCs w:val="24"/>
        </w:rPr>
        <w:t xml:space="preserve">, A., </w:t>
      </w:r>
      <w:proofErr w:type="spellStart"/>
      <w:r w:rsidRPr="002A0D74">
        <w:rPr>
          <w:rFonts w:ascii="Times New Roman" w:hAnsi="Times New Roman" w:cs="Times New Roman"/>
          <w:sz w:val="24"/>
          <w:szCs w:val="24"/>
        </w:rPr>
        <w:t>Beitelschmidt</w:t>
      </w:r>
      <w:proofErr w:type="spellEnd"/>
      <w:r w:rsidRPr="002A0D74">
        <w:rPr>
          <w:rFonts w:ascii="Times New Roman" w:hAnsi="Times New Roman" w:cs="Times New Roman"/>
          <w:sz w:val="24"/>
          <w:szCs w:val="24"/>
        </w:rPr>
        <w:t>, M., &amp; Cherif, C. (2023). Characterization of the Viscoelastic Properties of Yarn Materials: Dynamic Mechanical Analysis in Longitudinal Direction. </w:t>
      </w:r>
      <w:r w:rsidRPr="002A0D74">
        <w:rPr>
          <w:rFonts w:ascii="Times New Roman" w:hAnsi="Times New Roman" w:cs="Times New Roman"/>
          <w:i/>
          <w:iCs/>
          <w:sz w:val="24"/>
          <w:szCs w:val="24"/>
        </w:rPr>
        <w:t>Textiles</w:t>
      </w:r>
      <w:r w:rsidRPr="002A0D74">
        <w:rPr>
          <w:rFonts w:ascii="Times New Roman" w:hAnsi="Times New Roman" w:cs="Times New Roman"/>
          <w:sz w:val="24"/>
          <w:szCs w:val="24"/>
        </w:rPr>
        <w:t>, </w:t>
      </w:r>
      <w:r w:rsidRPr="002A0D74">
        <w:rPr>
          <w:rFonts w:ascii="Times New Roman" w:hAnsi="Times New Roman" w:cs="Times New Roman"/>
          <w:i/>
          <w:iCs/>
          <w:sz w:val="24"/>
          <w:szCs w:val="24"/>
        </w:rPr>
        <w:t>3</w:t>
      </w:r>
      <w:r w:rsidRPr="002A0D74">
        <w:rPr>
          <w:rFonts w:ascii="Times New Roman" w:hAnsi="Times New Roman" w:cs="Times New Roman"/>
          <w:sz w:val="24"/>
          <w:szCs w:val="24"/>
        </w:rPr>
        <w:t>(3), 307-318.</w:t>
      </w:r>
    </w:p>
    <w:p w14:paraId="0FD834E1"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Kot, P., Muradov, M., </w:t>
      </w:r>
      <w:proofErr w:type="spellStart"/>
      <w:r w:rsidRPr="002A0D74">
        <w:rPr>
          <w:rFonts w:ascii="Times New Roman" w:hAnsi="Times New Roman" w:cs="Times New Roman"/>
          <w:sz w:val="24"/>
          <w:szCs w:val="24"/>
        </w:rPr>
        <w:t>Gkantou</w:t>
      </w:r>
      <w:proofErr w:type="spellEnd"/>
      <w:r w:rsidRPr="002A0D74">
        <w:rPr>
          <w:rFonts w:ascii="Times New Roman" w:hAnsi="Times New Roman" w:cs="Times New Roman"/>
          <w:sz w:val="24"/>
          <w:szCs w:val="24"/>
        </w:rPr>
        <w:t>, M., Kamaris, G. S., Hashim, K., &amp; Yeboah, D. (2021). Recent advancements in non-destructive testing techniques for structural health monitoring. </w:t>
      </w:r>
      <w:r w:rsidRPr="002A0D74">
        <w:rPr>
          <w:rFonts w:ascii="Times New Roman" w:hAnsi="Times New Roman" w:cs="Times New Roman"/>
          <w:i/>
          <w:iCs/>
          <w:sz w:val="24"/>
          <w:szCs w:val="24"/>
        </w:rPr>
        <w:t>Applied Sciences</w:t>
      </w:r>
      <w:r w:rsidRPr="002A0D74">
        <w:rPr>
          <w:rFonts w:ascii="Times New Roman" w:hAnsi="Times New Roman" w:cs="Times New Roman"/>
          <w:sz w:val="24"/>
          <w:szCs w:val="24"/>
        </w:rPr>
        <w:t>, </w:t>
      </w:r>
      <w:r w:rsidRPr="002A0D74">
        <w:rPr>
          <w:rFonts w:ascii="Times New Roman" w:hAnsi="Times New Roman" w:cs="Times New Roman"/>
          <w:i/>
          <w:iCs/>
          <w:sz w:val="24"/>
          <w:szCs w:val="24"/>
        </w:rPr>
        <w:t>11</w:t>
      </w:r>
      <w:r w:rsidRPr="002A0D74">
        <w:rPr>
          <w:rFonts w:ascii="Times New Roman" w:hAnsi="Times New Roman" w:cs="Times New Roman"/>
          <w:sz w:val="24"/>
          <w:szCs w:val="24"/>
        </w:rPr>
        <w:t>(6), 2750.</w:t>
      </w:r>
    </w:p>
    <w:p w14:paraId="7471641E"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Kotsiopoulos, T., </w:t>
      </w:r>
      <w:proofErr w:type="spellStart"/>
      <w:r w:rsidRPr="002A0D74">
        <w:rPr>
          <w:rFonts w:ascii="Times New Roman" w:hAnsi="Times New Roman" w:cs="Times New Roman"/>
          <w:sz w:val="24"/>
          <w:szCs w:val="24"/>
        </w:rPr>
        <w:t>Sarigiannidis</w:t>
      </w:r>
      <w:proofErr w:type="spellEnd"/>
      <w:r w:rsidRPr="002A0D74">
        <w:rPr>
          <w:rFonts w:ascii="Times New Roman" w:hAnsi="Times New Roman" w:cs="Times New Roman"/>
          <w:sz w:val="24"/>
          <w:szCs w:val="24"/>
        </w:rPr>
        <w:t xml:space="preserve">, P., Ioannidis, D., &amp; </w:t>
      </w:r>
      <w:proofErr w:type="spellStart"/>
      <w:r w:rsidRPr="002A0D74">
        <w:rPr>
          <w:rFonts w:ascii="Times New Roman" w:hAnsi="Times New Roman" w:cs="Times New Roman"/>
          <w:sz w:val="24"/>
          <w:szCs w:val="24"/>
        </w:rPr>
        <w:t>Tzovaras</w:t>
      </w:r>
      <w:proofErr w:type="spellEnd"/>
      <w:r w:rsidRPr="002A0D74">
        <w:rPr>
          <w:rFonts w:ascii="Times New Roman" w:hAnsi="Times New Roman" w:cs="Times New Roman"/>
          <w:sz w:val="24"/>
          <w:szCs w:val="24"/>
        </w:rPr>
        <w:t>, D. (2021). Machine learning and deep learning in smart manufacturing: The smart grid paradigm. </w:t>
      </w:r>
      <w:r w:rsidRPr="002A0D74">
        <w:rPr>
          <w:rFonts w:ascii="Times New Roman" w:hAnsi="Times New Roman" w:cs="Times New Roman"/>
          <w:i/>
          <w:iCs/>
          <w:sz w:val="24"/>
          <w:szCs w:val="24"/>
        </w:rPr>
        <w:t>Computer Science Review</w:t>
      </w:r>
      <w:r w:rsidRPr="002A0D74">
        <w:rPr>
          <w:rFonts w:ascii="Times New Roman" w:hAnsi="Times New Roman" w:cs="Times New Roman"/>
          <w:sz w:val="24"/>
          <w:szCs w:val="24"/>
        </w:rPr>
        <w:t>, </w:t>
      </w:r>
      <w:r w:rsidRPr="002A0D74">
        <w:rPr>
          <w:rFonts w:ascii="Times New Roman" w:hAnsi="Times New Roman" w:cs="Times New Roman"/>
          <w:i/>
          <w:iCs/>
          <w:sz w:val="24"/>
          <w:szCs w:val="24"/>
        </w:rPr>
        <w:t>40</w:t>
      </w:r>
      <w:r w:rsidRPr="002A0D74">
        <w:rPr>
          <w:rFonts w:ascii="Times New Roman" w:hAnsi="Times New Roman" w:cs="Times New Roman"/>
          <w:sz w:val="24"/>
          <w:szCs w:val="24"/>
        </w:rPr>
        <w:t>, 100341.</w:t>
      </w:r>
    </w:p>
    <w:p w14:paraId="3D1ABE92"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Kriaa</w:t>
      </w:r>
      <w:proofErr w:type="spellEnd"/>
      <w:r w:rsidRPr="002A0D74">
        <w:rPr>
          <w:rFonts w:ascii="Times New Roman" w:hAnsi="Times New Roman" w:cs="Times New Roman"/>
          <w:sz w:val="24"/>
          <w:szCs w:val="24"/>
        </w:rPr>
        <w:t>, S. (2016). </w:t>
      </w:r>
      <w:r w:rsidRPr="002A0D74">
        <w:rPr>
          <w:rFonts w:ascii="Times New Roman" w:hAnsi="Times New Roman" w:cs="Times New Roman"/>
          <w:i/>
          <w:iCs/>
          <w:sz w:val="24"/>
          <w:szCs w:val="24"/>
        </w:rPr>
        <w:t>Joint safety and security modeling for risk assessment in cyber physical systems</w:t>
      </w:r>
      <w:r w:rsidRPr="002A0D74">
        <w:rPr>
          <w:rFonts w:ascii="Times New Roman" w:hAnsi="Times New Roman" w:cs="Times New Roman"/>
          <w:sz w:val="24"/>
          <w:szCs w:val="24"/>
        </w:rPr>
        <w:t xml:space="preserve"> (Doctoral dissertation, </w:t>
      </w:r>
      <w:proofErr w:type="spellStart"/>
      <w:r w:rsidRPr="002A0D74">
        <w:rPr>
          <w:rFonts w:ascii="Times New Roman" w:hAnsi="Times New Roman" w:cs="Times New Roman"/>
          <w:sz w:val="24"/>
          <w:szCs w:val="24"/>
        </w:rPr>
        <w:t>Université</w:t>
      </w:r>
      <w:proofErr w:type="spellEnd"/>
      <w:r w:rsidRPr="002A0D74">
        <w:rPr>
          <w:rFonts w:ascii="Times New Roman" w:hAnsi="Times New Roman" w:cs="Times New Roman"/>
          <w:sz w:val="24"/>
          <w:szCs w:val="24"/>
        </w:rPr>
        <w:t xml:space="preserve"> Paris </w:t>
      </w:r>
      <w:proofErr w:type="spellStart"/>
      <w:r w:rsidRPr="002A0D74">
        <w:rPr>
          <w:rFonts w:ascii="Times New Roman" w:hAnsi="Times New Roman" w:cs="Times New Roman"/>
          <w:sz w:val="24"/>
          <w:szCs w:val="24"/>
        </w:rPr>
        <w:t>Saclay</w:t>
      </w:r>
      <w:proofErr w:type="spellEnd"/>
      <w:r w:rsidRPr="002A0D74">
        <w:rPr>
          <w:rFonts w:ascii="Times New Roman" w:hAnsi="Times New Roman" w:cs="Times New Roman"/>
          <w:sz w:val="24"/>
          <w:szCs w:val="24"/>
        </w:rPr>
        <w:t xml:space="preserve"> (</w:t>
      </w:r>
      <w:proofErr w:type="spellStart"/>
      <w:r w:rsidRPr="002A0D74">
        <w:rPr>
          <w:rFonts w:ascii="Times New Roman" w:hAnsi="Times New Roman" w:cs="Times New Roman"/>
          <w:sz w:val="24"/>
          <w:szCs w:val="24"/>
        </w:rPr>
        <w:t>COmUE</w:t>
      </w:r>
      <w:proofErr w:type="spellEnd"/>
      <w:r w:rsidRPr="002A0D74">
        <w:rPr>
          <w:rFonts w:ascii="Times New Roman" w:hAnsi="Times New Roman" w:cs="Times New Roman"/>
          <w:sz w:val="24"/>
          <w:szCs w:val="24"/>
        </w:rPr>
        <w:t>)).</w:t>
      </w:r>
    </w:p>
    <w:p w14:paraId="460DC1A1"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Kruse, T. M. (2018). Integrating Environment, Safety and Health Management Systems in Support of Lean Outcomes.</w:t>
      </w:r>
    </w:p>
    <w:p w14:paraId="18CA081F"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Kruse, T., Veltri, A., &amp; Branscum, A. (2019). Integrating safety, health and environmental management systems: A conceptual framework for achieving lean enterprise outcomes. </w:t>
      </w:r>
      <w:r w:rsidRPr="002A0D74">
        <w:rPr>
          <w:rFonts w:ascii="Times New Roman" w:hAnsi="Times New Roman" w:cs="Times New Roman"/>
          <w:i/>
          <w:iCs/>
          <w:sz w:val="24"/>
          <w:szCs w:val="24"/>
        </w:rPr>
        <w:t>Journal of safety research</w:t>
      </w:r>
      <w:r w:rsidRPr="002A0D74">
        <w:rPr>
          <w:rFonts w:ascii="Times New Roman" w:hAnsi="Times New Roman" w:cs="Times New Roman"/>
          <w:sz w:val="24"/>
          <w:szCs w:val="24"/>
        </w:rPr>
        <w:t>, </w:t>
      </w:r>
      <w:r w:rsidRPr="002A0D74">
        <w:rPr>
          <w:rFonts w:ascii="Times New Roman" w:hAnsi="Times New Roman" w:cs="Times New Roman"/>
          <w:i/>
          <w:iCs/>
          <w:sz w:val="24"/>
          <w:szCs w:val="24"/>
        </w:rPr>
        <w:t>71</w:t>
      </w:r>
      <w:r w:rsidRPr="002A0D74">
        <w:rPr>
          <w:rFonts w:ascii="Times New Roman" w:hAnsi="Times New Roman" w:cs="Times New Roman"/>
          <w:sz w:val="24"/>
          <w:szCs w:val="24"/>
        </w:rPr>
        <w:t>, 259-271.</w:t>
      </w:r>
    </w:p>
    <w:p w14:paraId="19A63D71"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Kumar, S., &amp; Mahto, D. G. (2013). Recent trends in industrial and other engineering applications of </w:t>
      </w:r>
      <w:proofErr w:type="spellStart"/>
      <w:proofErr w:type="gramStart"/>
      <w:r w:rsidRPr="002A0D74">
        <w:rPr>
          <w:rFonts w:ascii="Times New Roman" w:hAnsi="Times New Roman" w:cs="Times New Roman"/>
          <w:sz w:val="24"/>
          <w:szCs w:val="24"/>
        </w:rPr>
        <w:t>non destructive</w:t>
      </w:r>
      <w:proofErr w:type="spellEnd"/>
      <w:proofErr w:type="gramEnd"/>
      <w:r w:rsidRPr="002A0D74">
        <w:rPr>
          <w:rFonts w:ascii="Times New Roman" w:hAnsi="Times New Roman" w:cs="Times New Roman"/>
          <w:sz w:val="24"/>
          <w:szCs w:val="24"/>
        </w:rPr>
        <w:t xml:space="preserve"> testing: a review. </w:t>
      </w:r>
      <w:r w:rsidRPr="002A0D74">
        <w:rPr>
          <w:rFonts w:ascii="Times New Roman" w:hAnsi="Times New Roman" w:cs="Times New Roman"/>
          <w:i/>
          <w:iCs/>
          <w:sz w:val="24"/>
          <w:szCs w:val="24"/>
        </w:rPr>
        <w:t>International Journal of Scientific &amp; Engineering Research</w:t>
      </w:r>
      <w:r w:rsidRPr="002A0D74">
        <w:rPr>
          <w:rFonts w:ascii="Times New Roman" w:hAnsi="Times New Roman" w:cs="Times New Roman"/>
          <w:sz w:val="24"/>
          <w:szCs w:val="24"/>
        </w:rPr>
        <w:t>, </w:t>
      </w:r>
      <w:r w:rsidRPr="002A0D74">
        <w:rPr>
          <w:rFonts w:ascii="Times New Roman" w:hAnsi="Times New Roman" w:cs="Times New Roman"/>
          <w:i/>
          <w:iCs/>
          <w:sz w:val="24"/>
          <w:szCs w:val="24"/>
        </w:rPr>
        <w:t>4</w:t>
      </w:r>
      <w:r w:rsidRPr="002A0D74">
        <w:rPr>
          <w:rFonts w:ascii="Times New Roman" w:hAnsi="Times New Roman" w:cs="Times New Roman"/>
          <w:sz w:val="24"/>
          <w:szCs w:val="24"/>
        </w:rPr>
        <w:t>(9).</w:t>
      </w:r>
    </w:p>
    <w:p w14:paraId="198FEA06"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Kumar, V. S., Prasad, J., &amp; </w:t>
      </w:r>
      <w:proofErr w:type="spellStart"/>
      <w:r w:rsidRPr="002A0D74">
        <w:rPr>
          <w:rFonts w:ascii="Times New Roman" w:hAnsi="Times New Roman" w:cs="Times New Roman"/>
          <w:sz w:val="24"/>
          <w:szCs w:val="24"/>
        </w:rPr>
        <w:t>Samikannu</w:t>
      </w:r>
      <w:proofErr w:type="spellEnd"/>
      <w:r w:rsidRPr="002A0D74">
        <w:rPr>
          <w:rFonts w:ascii="Times New Roman" w:hAnsi="Times New Roman" w:cs="Times New Roman"/>
          <w:sz w:val="24"/>
          <w:szCs w:val="24"/>
        </w:rPr>
        <w:t>, R. (2018). A critical review of cyber security and cyber terrorism–threats to critical infrastructure in the energy sector. </w:t>
      </w:r>
      <w:r w:rsidRPr="002A0D74">
        <w:rPr>
          <w:rFonts w:ascii="Times New Roman" w:hAnsi="Times New Roman" w:cs="Times New Roman"/>
          <w:i/>
          <w:iCs/>
          <w:sz w:val="24"/>
          <w:szCs w:val="24"/>
        </w:rPr>
        <w:t>International Journal of Critical Infrastructures</w:t>
      </w:r>
      <w:r w:rsidRPr="002A0D74">
        <w:rPr>
          <w:rFonts w:ascii="Times New Roman" w:hAnsi="Times New Roman" w:cs="Times New Roman"/>
          <w:sz w:val="24"/>
          <w:szCs w:val="24"/>
        </w:rPr>
        <w:t>, </w:t>
      </w:r>
      <w:r w:rsidRPr="002A0D74">
        <w:rPr>
          <w:rFonts w:ascii="Times New Roman" w:hAnsi="Times New Roman" w:cs="Times New Roman"/>
          <w:i/>
          <w:iCs/>
          <w:sz w:val="24"/>
          <w:szCs w:val="24"/>
        </w:rPr>
        <w:t>14</w:t>
      </w:r>
      <w:r w:rsidRPr="002A0D74">
        <w:rPr>
          <w:rFonts w:ascii="Times New Roman" w:hAnsi="Times New Roman" w:cs="Times New Roman"/>
          <w:sz w:val="24"/>
          <w:szCs w:val="24"/>
        </w:rPr>
        <w:t>(2), 101-119.</w:t>
      </w:r>
    </w:p>
    <w:p w14:paraId="4111B714"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Kumpati</w:t>
      </w:r>
      <w:proofErr w:type="spellEnd"/>
      <w:r w:rsidRPr="002A0D74">
        <w:rPr>
          <w:rFonts w:ascii="Times New Roman" w:hAnsi="Times New Roman" w:cs="Times New Roman"/>
          <w:sz w:val="24"/>
          <w:szCs w:val="24"/>
        </w:rPr>
        <w:t xml:space="preserve">, R., Skarka, W., &amp; </w:t>
      </w:r>
      <w:proofErr w:type="spellStart"/>
      <w:r w:rsidRPr="002A0D74">
        <w:rPr>
          <w:rFonts w:ascii="Times New Roman" w:hAnsi="Times New Roman" w:cs="Times New Roman"/>
          <w:sz w:val="24"/>
          <w:szCs w:val="24"/>
        </w:rPr>
        <w:t>Ontipuli</w:t>
      </w:r>
      <w:proofErr w:type="spellEnd"/>
      <w:r w:rsidRPr="002A0D74">
        <w:rPr>
          <w:rFonts w:ascii="Times New Roman" w:hAnsi="Times New Roman" w:cs="Times New Roman"/>
          <w:sz w:val="24"/>
          <w:szCs w:val="24"/>
        </w:rPr>
        <w:t>, S. K. (2021). Current trends in integration of nondestructive testing methods for engineered materials testing. </w:t>
      </w:r>
      <w:r w:rsidRPr="002A0D74">
        <w:rPr>
          <w:rFonts w:ascii="Times New Roman" w:hAnsi="Times New Roman" w:cs="Times New Roman"/>
          <w:i/>
          <w:iCs/>
          <w:sz w:val="24"/>
          <w:szCs w:val="24"/>
        </w:rPr>
        <w:t>Sensors</w:t>
      </w:r>
      <w:r w:rsidRPr="002A0D74">
        <w:rPr>
          <w:rFonts w:ascii="Times New Roman" w:hAnsi="Times New Roman" w:cs="Times New Roman"/>
          <w:sz w:val="24"/>
          <w:szCs w:val="24"/>
        </w:rPr>
        <w:t>, </w:t>
      </w:r>
      <w:r w:rsidRPr="002A0D74">
        <w:rPr>
          <w:rFonts w:ascii="Times New Roman" w:hAnsi="Times New Roman" w:cs="Times New Roman"/>
          <w:i/>
          <w:iCs/>
          <w:sz w:val="24"/>
          <w:szCs w:val="24"/>
        </w:rPr>
        <w:t>21</w:t>
      </w:r>
      <w:r w:rsidRPr="002A0D74">
        <w:rPr>
          <w:rFonts w:ascii="Times New Roman" w:hAnsi="Times New Roman" w:cs="Times New Roman"/>
          <w:sz w:val="24"/>
          <w:szCs w:val="24"/>
        </w:rPr>
        <w:t>(18), 6175.</w:t>
      </w:r>
    </w:p>
    <w:p w14:paraId="5FA95E5E"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Lackéus</w:t>
      </w:r>
      <w:proofErr w:type="spellEnd"/>
      <w:r w:rsidRPr="002A0D74">
        <w:rPr>
          <w:rFonts w:ascii="Times New Roman" w:hAnsi="Times New Roman" w:cs="Times New Roman"/>
          <w:sz w:val="24"/>
          <w:szCs w:val="24"/>
        </w:rPr>
        <w:t>, M., &amp; Williams Middleton, K. (2015). Venture creation programs: bridging entrepreneurship education and technology transfer. </w:t>
      </w:r>
      <w:r w:rsidRPr="002A0D74">
        <w:rPr>
          <w:rFonts w:ascii="Times New Roman" w:hAnsi="Times New Roman" w:cs="Times New Roman"/>
          <w:i/>
          <w:iCs/>
          <w:sz w:val="24"/>
          <w:szCs w:val="24"/>
        </w:rPr>
        <w:t>Education+ training</w:t>
      </w:r>
      <w:r w:rsidRPr="002A0D74">
        <w:rPr>
          <w:rFonts w:ascii="Times New Roman" w:hAnsi="Times New Roman" w:cs="Times New Roman"/>
          <w:sz w:val="24"/>
          <w:szCs w:val="24"/>
        </w:rPr>
        <w:t>, </w:t>
      </w:r>
      <w:r w:rsidRPr="002A0D74">
        <w:rPr>
          <w:rFonts w:ascii="Times New Roman" w:hAnsi="Times New Roman" w:cs="Times New Roman"/>
          <w:i/>
          <w:iCs/>
          <w:sz w:val="24"/>
          <w:szCs w:val="24"/>
        </w:rPr>
        <w:t>57</w:t>
      </w:r>
      <w:r w:rsidRPr="002A0D74">
        <w:rPr>
          <w:rFonts w:ascii="Times New Roman" w:hAnsi="Times New Roman" w:cs="Times New Roman"/>
          <w:sz w:val="24"/>
          <w:szCs w:val="24"/>
        </w:rPr>
        <w:t>(1), 48-73.</w:t>
      </w:r>
    </w:p>
    <w:p w14:paraId="7F962FC2"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lastRenderedPageBreak/>
        <w:t>Lamsal, R. R., Devkota, A., &amp; Bhusal, M. S. (2023). Navigating Global Challenges: The Crucial Role of Semiconductors in Advancing Globalization. </w:t>
      </w:r>
      <w:r w:rsidRPr="002A0D74">
        <w:rPr>
          <w:rFonts w:ascii="Times New Roman" w:hAnsi="Times New Roman" w:cs="Times New Roman"/>
          <w:i/>
          <w:iCs/>
          <w:sz w:val="24"/>
          <w:szCs w:val="24"/>
        </w:rPr>
        <w:t>Journal of The Institution of Engineers (India): Series B</w:t>
      </w:r>
      <w:r w:rsidRPr="002A0D74">
        <w:rPr>
          <w:rFonts w:ascii="Times New Roman" w:hAnsi="Times New Roman" w:cs="Times New Roman"/>
          <w:sz w:val="24"/>
          <w:szCs w:val="24"/>
        </w:rPr>
        <w:t>, </w:t>
      </w:r>
      <w:r w:rsidRPr="002A0D74">
        <w:rPr>
          <w:rFonts w:ascii="Times New Roman" w:hAnsi="Times New Roman" w:cs="Times New Roman"/>
          <w:i/>
          <w:iCs/>
          <w:sz w:val="24"/>
          <w:szCs w:val="24"/>
        </w:rPr>
        <w:t>104</w:t>
      </w:r>
      <w:r w:rsidRPr="002A0D74">
        <w:rPr>
          <w:rFonts w:ascii="Times New Roman" w:hAnsi="Times New Roman" w:cs="Times New Roman"/>
          <w:sz w:val="24"/>
          <w:szCs w:val="24"/>
        </w:rPr>
        <w:t>(6), 1389-1399.</w:t>
      </w:r>
    </w:p>
    <w:p w14:paraId="3FB33018"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Lauritzen, P., Reichard, J., Ahmed, S., &amp; Safa, M. (2019). Review of non-destructive testing methods for physical condition monitoring in the port industry. </w:t>
      </w:r>
      <w:r w:rsidRPr="002A0D74">
        <w:rPr>
          <w:rFonts w:ascii="Times New Roman" w:hAnsi="Times New Roman" w:cs="Times New Roman"/>
          <w:i/>
          <w:iCs/>
          <w:sz w:val="24"/>
          <w:szCs w:val="24"/>
        </w:rPr>
        <w:t>Journal of Construction Engineering</w:t>
      </w:r>
      <w:r w:rsidRPr="002A0D74">
        <w:rPr>
          <w:rFonts w:ascii="Times New Roman" w:hAnsi="Times New Roman" w:cs="Times New Roman"/>
          <w:sz w:val="24"/>
          <w:szCs w:val="24"/>
        </w:rPr>
        <w:t>, </w:t>
      </w:r>
      <w:r w:rsidRPr="002A0D74">
        <w:rPr>
          <w:rFonts w:ascii="Times New Roman" w:hAnsi="Times New Roman" w:cs="Times New Roman"/>
          <w:i/>
          <w:iCs/>
          <w:sz w:val="24"/>
          <w:szCs w:val="24"/>
        </w:rPr>
        <w:t>2</w:t>
      </w:r>
      <w:r w:rsidRPr="002A0D74">
        <w:rPr>
          <w:rFonts w:ascii="Times New Roman" w:hAnsi="Times New Roman" w:cs="Times New Roman"/>
          <w:sz w:val="24"/>
          <w:szCs w:val="24"/>
        </w:rPr>
        <w:t>(2), 103-111.</w:t>
      </w:r>
    </w:p>
    <w:p w14:paraId="5848E40E"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Lee, S., &amp; Kalos, N. (2014). Non-destructive testing methods in the US for bridge inspection and maintenance. </w:t>
      </w:r>
      <w:r w:rsidRPr="002A0D74">
        <w:rPr>
          <w:rFonts w:ascii="Times New Roman" w:hAnsi="Times New Roman" w:cs="Times New Roman"/>
          <w:i/>
          <w:iCs/>
          <w:sz w:val="24"/>
          <w:szCs w:val="24"/>
        </w:rPr>
        <w:t>KSCE Journal of civil engineering</w:t>
      </w:r>
      <w:r w:rsidRPr="002A0D74">
        <w:rPr>
          <w:rFonts w:ascii="Times New Roman" w:hAnsi="Times New Roman" w:cs="Times New Roman"/>
          <w:sz w:val="24"/>
          <w:szCs w:val="24"/>
        </w:rPr>
        <w:t>, </w:t>
      </w:r>
      <w:r w:rsidRPr="002A0D74">
        <w:rPr>
          <w:rFonts w:ascii="Times New Roman" w:hAnsi="Times New Roman" w:cs="Times New Roman"/>
          <w:i/>
          <w:iCs/>
          <w:sz w:val="24"/>
          <w:szCs w:val="24"/>
        </w:rPr>
        <w:t>18</w:t>
      </w:r>
      <w:r w:rsidRPr="002A0D74">
        <w:rPr>
          <w:rFonts w:ascii="Times New Roman" w:hAnsi="Times New Roman" w:cs="Times New Roman"/>
          <w:sz w:val="24"/>
          <w:szCs w:val="24"/>
        </w:rPr>
        <w:t>(5), 1322-1331.</w:t>
      </w:r>
    </w:p>
    <w:p w14:paraId="7F61D708"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Leydens, J. A., &amp; Lucena, J. C. (2017). </w:t>
      </w:r>
      <w:r w:rsidRPr="002A0D74">
        <w:rPr>
          <w:rFonts w:ascii="Times New Roman" w:hAnsi="Times New Roman" w:cs="Times New Roman"/>
          <w:i/>
          <w:iCs/>
          <w:sz w:val="24"/>
          <w:szCs w:val="24"/>
        </w:rPr>
        <w:t>Engineering justice: Transforming engineering education and practice</w:t>
      </w:r>
      <w:r w:rsidRPr="002A0D74">
        <w:rPr>
          <w:rFonts w:ascii="Times New Roman" w:hAnsi="Times New Roman" w:cs="Times New Roman"/>
          <w:sz w:val="24"/>
          <w:szCs w:val="24"/>
        </w:rPr>
        <w:t>. John Wiley &amp; Sons.</w:t>
      </w:r>
    </w:p>
    <w:p w14:paraId="678347F6"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Li, H., </w:t>
      </w:r>
      <w:proofErr w:type="spellStart"/>
      <w:r w:rsidRPr="002A0D74">
        <w:rPr>
          <w:rFonts w:ascii="Times New Roman" w:hAnsi="Times New Roman" w:cs="Times New Roman"/>
          <w:sz w:val="24"/>
          <w:szCs w:val="24"/>
        </w:rPr>
        <w:t>Öchsner</w:t>
      </w:r>
      <w:proofErr w:type="spellEnd"/>
      <w:r w:rsidRPr="002A0D74">
        <w:rPr>
          <w:rFonts w:ascii="Times New Roman" w:hAnsi="Times New Roman" w:cs="Times New Roman"/>
          <w:sz w:val="24"/>
          <w:szCs w:val="24"/>
        </w:rPr>
        <w:t>, A., &amp; Hall, W. (2019). Application of experiential learning to improve student engagement and experience in a mechanical engineering course. </w:t>
      </w:r>
      <w:r w:rsidRPr="002A0D74">
        <w:rPr>
          <w:rFonts w:ascii="Times New Roman" w:hAnsi="Times New Roman" w:cs="Times New Roman"/>
          <w:i/>
          <w:iCs/>
          <w:sz w:val="24"/>
          <w:szCs w:val="24"/>
        </w:rPr>
        <w:t>European Journal of Engineering Education</w:t>
      </w:r>
      <w:r w:rsidRPr="002A0D74">
        <w:rPr>
          <w:rFonts w:ascii="Times New Roman" w:hAnsi="Times New Roman" w:cs="Times New Roman"/>
          <w:sz w:val="24"/>
          <w:szCs w:val="24"/>
        </w:rPr>
        <w:t>, </w:t>
      </w:r>
      <w:r w:rsidRPr="002A0D74">
        <w:rPr>
          <w:rFonts w:ascii="Times New Roman" w:hAnsi="Times New Roman" w:cs="Times New Roman"/>
          <w:i/>
          <w:iCs/>
          <w:sz w:val="24"/>
          <w:szCs w:val="24"/>
        </w:rPr>
        <w:t>44</w:t>
      </w:r>
      <w:r w:rsidRPr="002A0D74">
        <w:rPr>
          <w:rFonts w:ascii="Times New Roman" w:hAnsi="Times New Roman" w:cs="Times New Roman"/>
          <w:sz w:val="24"/>
          <w:szCs w:val="24"/>
        </w:rPr>
        <w:t>(3), 283-293.</w:t>
      </w:r>
    </w:p>
    <w:p w14:paraId="326CA486"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 xml:space="preserve">Li, S. H., Kumar, P., Chandra, S., &amp; </w:t>
      </w:r>
      <w:proofErr w:type="spellStart"/>
      <w:r w:rsidRPr="002A0D74">
        <w:rPr>
          <w:rFonts w:ascii="Times New Roman" w:hAnsi="Times New Roman" w:cs="Times New Roman"/>
          <w:color w:val="222222"/>
          <w:sz w:val="24"/>
          <w:szCs w:val="24"/>
          <w:shd w:val="clear" w:color="auto" w:fill="FFFFFF"/>
        </w:rPr>
        <w:t>Ramamurty</w:t>
      </w:r>
      <w:proofErr w:type="spellEnd"/>
      <w:r w:rsidRPr="002A0D74">
        <w:rPr>
          <w:rFonts w:ascii="Times New Roman" w:hAnsi="Times New Roman" w:cs="Times New Roman"/>
          <w:color w:val="222222"/>
          <w:sz w:val="24"/>
          <w:szCs w:val="24"/>
          <w:shd w:val="clear" w:color="auto" w:fill="FFFFFF"/>
        </w:rPr>
        <w:t>, U. (2023). Directed energy deposition of metals: processing, microstructures, and mechanical properties. </w:t>
      </w:r>
      <w:r w:rsidRPr="002A0D74">
        <w:rPr>
          <w:rFonts w:ascii="Times New Roman" w:hAnsi="Times New Roman" w:cs="Times New Roman"/>
          <w:i/>
          <w:iCs/>
          <w:color w:val="222222"/>
          <w:sz w:val="24"/>
          <w:szCs w:val="24"/>
          <w:shd w:val="clear" w:color="auto" w:fill="FFFFFF"/>
        </w:rPr>
        <w:t>International Materials Reviews</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68</w:t>
      </w:r>
      <w:r w:rsidRPr="002A0D74">
        <w:rPr>
          <w:rFonts w:ascii="Times New Roman" w:hAnsi="Times New Roman" w:cs="Times New Roman"/>
          <w:color w:val="222222"/>
          <w:sz w:val="24"/>
          <w:szCs w:val="24"/>
          <w:shd w:val="clear" w:color="auto" w:fill="FFFFFF"/>
        </w:rPr>
        <w:t>(6), 605-647.</w:t>
      </w:r>
    </w:p>
    <w:p w14:paraId="0CF081B3"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Li, Y., Su, C., &amp; Zhu, J. (2022). Comprehensive review of wire arc additive manufacturing: Hardware system, physical process, monitoring, property characterization, application and future prospects. </w:t>
      </w:r>
      <w:r w:rsidRPr="002A0D74">
        <w:rPr>
          <w:rFonts w:ascii="Times New Roman" w:hAnsi="Times New Roman" w:cs="Times New Roman"/>
          <w:i/>
          <w:iCs/>
          <w:color w:val="222222"/>
          <w:sz w:val="24"/>
          <w:szCs w:val="24"/>
          <w:shd w:val="clear" w:color="auto" w:fill="FFFFFF"/>
        </w:rPr>
        <w:t>Results in Engineering</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13</w:t>
      </w:r>
      <w:r w:rsidRPr="002A0D74">
        <w:rPr>
          <w:rFonts w:ascii="Times New Roman" w:hAnsi="Times New Roman" w:cs="Times New Roman"/>
          <w:color w:val="222222"/>
          <w:sz w:val="24"/>
          <w:szCs w:val="24"/>
          <w:shd w:val="clear" w:color="auto" w:fill="FFFFFF"/>
        </w:rPr>
        <w:t>, 100330.</w:t>
      </w:r>
    </w:p>
    <w:p w14:paraId="01AC5B6A"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Li, Z., Mi, B., Ma, X., Liu, P., Ma, F., Zhang, K., ... &amp; Li, W. (2023). Review of thin-film resistor sensors: Exploring materials, classification, and preparation techniques. </w:t>
      </w:r>
      <w:r w:rsidRPr="002A0D74">
        <w:rPr>
          <w:rFonts w:ascii="Times New Roman" w:hAnsi="Times New Roman" w:cs="Times New Roman"/>
          <w:i/>
          <w:iCs/>
          <w:sz w:val="24"/>
          <w:szCs w:val="24"/>
        </w:rPr>
        <w:t>Chemical Engineering Journal</w:t>
      </w:r>
      <w:r w:rsidRPr="002A0D74">
        <w:rPr>
          <w:rFonts w:ascii="Times New Roman" w:hAnsi="Times New Roman" w:cs="Times New Roman"/>
          <w:sz w:val="24"/>
          <w:szCs w:val="24"/>
        </w:rPr>
        <w:t>, 147029.</w:t>
      </w:r>
    </w:p>
    <w:p w14:paraId="4C3BAB80"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Liu, Y. (2017). Renovation of a mechanical engineering senior design class to an industry-tied and team-oriented course. </w:t>
      </w:r>
      <w:r w:rsidRPr="002A0D74">
        <w:rPr>
          <w:rFonts w:ascii="Times New Roman" w:hAnsi="Times New Roman" w:cs="Times New Roman"/>
          <w:i/>
          <w:iCs/>
          <w:sz w:val="24"/>
          <w:szCs w:val="24"/>
        </w:rPr>
        <w:t>European Journal of Engineering Education</w:t>
      </w:r>
      <w:r w:rsidRPr="002A0D74">
        <w:rPr>
          <w:rFonts w:ascii="Times New Roman" w:hAnsi="Times New Roman" w:cs="Times New Roman"/>
          <w:sz w:val="24"/>
          <w:szCs w:val="24"/>
        </w:rPr>
        <w:t>, </w:t>
      </w:r>
      <w:r w:rsidRPr="002A0D74">
        <w:rPr>
          <w:rFonts w:ascii="Times New Roman" w:hAnsi="Times New Roman" w:cs="Times New Roman"/>
          <w:i/>
          <w:iCs/>
          <w:sz w:val="24"/>
          <w:szCs w:val="24"/>
        </w:rPr>
        <w:t>42</w:t>
      </w:r>
      <w:r w:rsidRPr="002A0D74">
        <w:rPr>
          <w:rFonts w:ascii="Times New Roman" w:hAnsi="Times New Roman" w:cs="Times New Roman"/>
          <w:sz w:val="24"/>
          <w:szCs w:val="24"/>
        </w:rPr>
        <w:t>(6), 800-811.</w:t>
      </w:r>
    </w:p>
    <w:p w14:paraId="282F3DF9"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Marougkas</w:t>
      </w:r>
      <w:proofErr w:type="spellEnd"/>
      <w:r w:rsidRPr="002A0D74">
        <w:rPr>
          <w:rFonts w:ascii="Times New Roman" w:hAnsi="Times New Roman" w:cs="Times New Roman"/>
          <w:sz w:val="24"/>
          <w:szCs w:val="24"/>
        </w:rPr>
        <w:t xml:space="preserve">, A., </w:t>
      </w:r>
      <w:proofErr w:type="spellStart"/>
      <w:r w:rsidRPr="002A0D74">
        <w:rPr>
          <w:rFonts w:ascii="Times New Roman" w:hAnsi="Times New Roman" w:cs="Times New Roman"/>
          <w:sz w:val="24"/>
          <w:szCs w:val="24"/>
        </w:rPr>
        <w:t>Troussas</w:t>
      </w:r>
      <w:proofErr w:type="spellEnd"/>
      <w:r w:rsidRPr="002A0D74">
        <w:rPr>
          <w:rFonts w:ascii="Times New Roman" w:hAnsi="Times New Roman" w:cs="Times New Roman"/>
          <w:sz w:val="24"/>
          <w:szCs w:val="24"/>
        </w:rPr>
        <w:t xml:space="preserve">, C., </w:t>
      </w:r>
      <w:proofErr w:type="spellStart"/>
      <w:r w:rsidRPr="002A0D74">
        <w:rPr>
          <w:rFonts w:ascii="Times New Roman" w:hAnsi="Times New Roman" w:cs="Times New Roman"/>
          <w:sz w:val="24"/>
          <w:szCs w:val="24"/>
        </w:rPr>
        <w:t>Krouska</w:t>
      </w:r>
      <w:proofErr w:type="spellEnd"/>
      <w:r w:rsidRPr="002A0D74">
        <w:rPr>
          <w:rFonts w:ascii="Times New Roman" w:hAnsi="Times New Roman" w:cs="Times New Roman"/>
          <w:sz w:val="24"/>
          <w:szCs w:val="24"/>
        </w:rPr>
        <w:t xml:space="preserve">, A., &amp; </w:t>
      </w:r>
      <w:proofErr w:type="spellStart"/>
      <w:r w:rsidRPr="002A0D74">
        <w:rPr>
          <w:rFonts w:ascii="Times New Roman" w:hAnsi="Times New Roman" w:cs="Times New Roman"/>
          <w:sz w:val="24"/>
          <w:szCs w:val="24"/>
        </w:rPr>
        <w:t>Sgouropoulou</w:t>
      </w:r>
      <w:proofErr w:type="spellEnd"/>
      <w:r w:rsidRPr="002A0D74">
        <w:rPr>
          <w:rFonts w:ascii="Times New Roman" w:hAnsi="Times New Roman" w:cs="Times New Roman"/>
          <w:sz w:val="24"/>
          <w:szCs w:val="24"/>
        </w:rPr>
        <w:t>, C. (2023). Virtual reality in education: a review of learning theories, approaches and methodologies for the last decade. </w:t>
      </w:r>
      <w:r w:rsidRPr="002A0D74">
        <w:rPr>
          <w:rFonts w:ascii="Times New Roman" w:hAnsi="Times New Roman" w:cs="Times New Roman"/>
          <w:i/>
          <w:iCs/>
          <w:sz w:val="24"/>
          <w:szCs w:val="24"/>
        </w:rPr>
        <w:t>Electronics</w:t>
      </w:r>
      <w:r w:rsidRPr="002A0D74">
        <w:rPr>
          <w:rFonts w:ascii="Times New Roman" w:hAnsi="Times New Roman" w:cs="Times New Roman"/>
          <w:sz w:val="24"/>
          <w:szCs w:val="24"/>
        </w:rPr>
        <w:t>, </w:t>
      </w:r>
      <w:r w:rsidRPr="002A0D74">
        <w:rPr>
          <w:rFonts w:ascii="Times New Roman" w:hAnsi="Times New Roman" w:cs="Times New Roman"/>
          <w:i/>
          <w:iCs/>
          <w:sz w:val="24"/>
          <w:szCs w:val="24"/>
        </w:rPr>
        <w:t>12</w:t>
      </w:r>
      <w:r w:rsidRPr="002A0D74">
        <w:rPr>
          <w:rFonts w:ascii="Times New Roman" w:hAnsi="Times New Roman" w:cs="Times New Roman"/>
          <w:sz w:val="24"/>
          <w:szCs w:val="24"/>
        </w:rPr>
        <w:t>(13), 2832.</w:t>
      </w:r>
    </w:p>
    <w:p w14:paraId="3769363A"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Massaoudi</w:t>
      </w:r>
      <w:proofErr w:type="spellEnd"/>
      <w:r w:rsidRPr="002A0D74">
        <w:rPr>
          <w:rFonts w:ascii="Times New Roman" w:hAnsi="Times New Roman" w:cs="Times New Roman"/>
          <w:sz w:val="24"/>
          <w:szCs w:val="24"/>
        </w:rPr>
        <w:t xml:space="preserve">, M. S., Abu-Rub, H., &amp; </w:t>
      </w:r>
      <w:proofErr w:type="spellStart"/>
      <w:r w:rsidRPr="002A0D74">
        <w:rPr>
          <w:rFonts w:ascii="Times New Roman" w:hAnsi="Times New Roman" w:cs="Times New Roman"/>
          <w:sz w:val="24"/>
          <w:szCs w:val="24"/>
        </w:rPr>
        <w:t>Ghrayeb</w:t>
      </w:r>
      <w:proofErr w:type="spellEnd"/>
      <w:r w:rsidRPr="002A0D74">
        <w:rPr>
          <w:rFonts w:ascii="Times New Roman" w:hAnsi="Times New Roman" w:cs="Times New Roman"/>
          <w:sz w:val="24"/>
          <w:szCs w:val="24"/>
        </w:rPr>
        <w:t>, A. (2023). Navigating the landscape of deep reinforcement learning for power system stability control: A review. </w:t>
      </w:r>
      <w:r w:rsidRPr="002A0D74">
        <w:rPr>
          <w:rFonts w:ascii="Times New Roman" w:hAnsi="Times New Roman" w:cs="Times New Roman"/>
          <w:i/>
          <w:iCs/>
          <w:sz w:val="24"/>
          <w:szCs w:val="24"/>
        </w:rPr>
        <w:t>IEEE Access</w:t>
      </w:r>
      <w:r w:rsidRPr="002A0D74">
        <w:rPr>
          <w:rFonts w:ascii="Times New Roman" w:hAnsi="Times New Roman" w:cs="Times New Roman"/>
          <w:sz w:val="24"/>
          <w:szCs w:val="24"/>
        </w:rPr>
        <w:t>, </w:t>
      </w:r>
      <w:r w:rsidRPr="002A0D74">
        <w:rPr>
          <w:rFonts w:ascii="Times New Roman" w:hAnsi="Times New Roman" w:cs="Times New Roman"/>
          <w:i/>
          <w:iCs/>
          <w:sz w:val="24"/>
          <w:szCs w:val="24"/>
        </w:rPr>
        <w:t>11</w:t>
      </w:r>
      <w:r w:rsidRPr="002A0D74">
        <w:rPr>
          <w:rFonts w:ascii="Times New Roman" w:hAnsi="Times New Roman" w:cs="Times New Roman"/>
          <w:sz w:val="24"/>
          <w:szCs w:val="24"/>
        </w:rPr>
        <w:t>, 134298-134317.</w:t>
      </w:r>
    </w:p>
    <w:p w14:paraId="5A520E75"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proofErr w:type="spellStart"/>
      <w:r w:rsidRPr="00F02313">
        <w:rPr>
          <w:rFonts w:ascii="Times New Roman" w:hAnsi="Times New Roman" w:cs="Times New Roman"/>
          <w:sz w:val="24"/>
          <w:szCs w:val="24"/>
        </w:rPr>
        <w:t>Massaoudi</w:t>
      </w:r>
      <w:proofErr w:type="spellEnd"/>
      <w:r w:rsidRPr="00F02313">
        <w:rPr>
          <w:rFonts w:ascii="Times New Roman" w:hAnsi="Times New Roman" w:cs="Times New Roman"/>
          <w:sz w:val="24"/>
          <w:szCs w:val="24"/>
        </w:rPr>
        <w:t xml:space="preserve">, M., Abu-Rub, H., Refaat, S. S., </w:t>
      </w:r>
      <w:proofErr w:type="spellStart"/>
      <w:r w:rsidRPr="00F02313">
        <w:rPr>
          <w:rFonts w:ascii="Times New Roman" w:hAnsi="Times New Roman" w:cs="Times New Roman"/>
          <w:sz w:val="24"/>
          <w:szCs w:val="24"/>
        </w:rPr>
        <w:t>Chihi</w:t>
      </w:r>
      <w:proofErr w:type="spellEnd"/>
      <w:r w:rsidRPr="00F02313">
        <w:rPr>
          <w:rFonts w:ascii="Times New Roman" w:hAnsi="Times New Roman" w:cs="Times New Roman"/>
          <w:sz w:val="24"/>
          <w:szCs w:val="24"/>
        </w:rPr>
        <w:t>, I., &amp; Oueslati, F. S. (2021). Deep learning in smart grid technology: A review of recent advancements and future prospects. </w:t>
      </w:r>
      <w:r w:rsidRPr="00F02313">
        <w:rPr>
          <w:rFonts w:ascii="Times New Roman" w:hAnsi="Times New Roman" w:cs="Times New Roman"/>
          <w:i/>
          <w:iCs/>
          <w:sz w:val="24"/>
          <w:szCs w:val="24"/>
        </w:rPr>
        <w:t>IEEE Access</w:t>
      </w:r>
      <w:r w:rsidRPr="00F02313">
        <w:rPr>
          <w:rFonts w:ascii="Times New Roman" w:hAnsi="Times New Roman" w:cs="Times New Roman"/>
          <w:sz w:val="24"/>
          <w:szCs w:val="24"/>
        </w:rPr>
        <w:t>, </w:t>
      </w:r>
      <w:r w:rsidRPr="00F02313">
        <w:rPr>
          <w:rFonts w:ascii="Times New Roman" w:hAnsi="Times New Roman" w:cs="Times New Roman"/>
          <w:i/>
          <w:iCs/>
          <w:sz w:val="24"/>
          <w:szCs w:val="24"/>
        </w:rPr>
        <w:t>9</w:t>
      </w:r>
      <w:r w:rsidRPr="00F02313">
        <w:rPr>
          <w:rFonts w:ascii="Times New Roman" w:hAnsi="Times New Roman" w:cs="Times New Roman"/>
          <w:sz w:val="24"/>
          <w:szCs w:val="24"/>
        </w:rPr>
        <w:t>, 54558-54578.</w:t>
      </w:r>
    </w:p>
    <w:p w14:paraId="190191F9"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r w:rsidRPr="00F02313">
        <w:rPr>
          <w:rFonts w:ascii="Times New Roman" w:hAnsi="Times New Roman" w:cs="Times New Roman"/>
          <w:sz w:val="24"/>
          <w:szCs w:val="24"/>
        </w:rPr>
        <w:t xml:space="preserve">Mazhar, T., Irfan, H. M., Haq, I., Ullah, I., Ashraf, M., </w:t>
      </w:r>
      <w:proofErr w:type="spellStart"/>
      <w:r w:rsidRPr="00F02313">
        <w:rPr>
          <w:rFonts w:ascii="Times New Roman" w:hAnsi="Times New Roman" w:cs="Times New Roman"/>
          <w:sz w:val="24"/>
          <w:szCs w:val="24"/>
        </w:rPr>
        <w:t>Shloul</w:t>
      </w:r>
      <w:proofErr w:type="spellEnd"/>
      <w:r w:rsidRPr="00F02313">
        <w:rPr>
          <w:rFonts w:ascii="Times New Roman" w:hAnsi="Times New Roman" w:cs="Times New Roman"/>
          <w:sz w:val="24"/>
          <w:szCs w:val="24"/>
        </w:rPr>
        <w:t xml:space="preserve">, T. A., ... &amp; </w:t>
      </w:r>
      <w:proofErr w:type="spellStart"/>
      <w:r w:rsidRPr="00F02313">
        <w:rPr>
          <w:rFonts w:ascii="Times New Roman" w:hAnsi="Times New Roman" w:cs="Times New Roman"/>
          <w:sz w:val="24"/>
          <w:szCs w:val="24"/>
        </w:rPr>
        <w:t>Elkamchouchi</w:t>
      </w:r>
      <w:proofErr w:type="spellEnd"/>
      <w:r w:rsidRPr="00F02313">
        <w:rPr>
          <w:rFonts w:ascii="Times New Roman" w:hAnsi="Times New Roman" w:cs="Times New Roman"/>
          <w:sz w:val="24"/>
          <w:szCs w:val="24"/>
        </w:rPr>
        <w:t>, D. H. (2023). Analysis of challenges and solutions of IoT in smart grids using AI and machine learning techniques: A review. </w:t>
      </w:r>
      <w:r w:rsidRPr="00F02313">
        <w:rPr>
          <w:rFonts w:ascii="Times New Roman" w:hAnsi="Times New Roman" w:cs="Times New Roman"/>
          <w:i/>
          <w:iCs/>
          <w:sz w:val="24"/>
          <w:szCs w:val="24"/>
        </w:rPr>
        <w:t>Electronics</w:t>
      </w:r>
      <w:r w:rsidRPr="00F02313">
        <w:rPr>
          <w:rFonts w:ascii="Times New Roman" w:hAnsi="Times New Roman" w:cs="Times New Roman"/>
          <w:sz w:val="24"/>
          <w:szCs w:val="24"/>
        </w:rPr>
        <w:t>, </w:t>
      </w:r>
      <w:r w:rsidRPr="00F02313">
        <w:rPr>
          <w:rFonts w:ascii="Times New Roman" w:hAnsi="Times New Roman" w:cs="Times New Roman"/>
          <w:i/>
          <w:iCs/>
          <w:sz w:val="24"/>
          <w:szCs w:val="24"/>
        </w:rPr>
        <w:t>12</w:t>
      </w:r>
      <w:r w:rsidRPr="00F02313">
        <w:rPr>
          <w:rFonts w:ascii="Times New Roman" w:hAnsi="Times New Roman" w:cs="Times New Roman"/>
          <w:sz w:val="24"/>
          <w:szCs w:val="24"/>
        </w:rPr>
        <w:t>(1), 242.</w:t>
      </w:r>
    </w:p>
    <w:p w14:paraId="6C49AD69"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Melly, S. K., Liu, L., Liu, Y., &amp; Leng, J. (2020). Active composites based on shape memory polymers: overview, fabrication methods, applications, and future prospects. </w:t>
      </w:r>
      <w:r w:rsidRPr="002A0D74">
        <w:rPr>
          <w:rFonts w:ascii="Times New Roman" w:hAnsi="Times New Roman" w:cs="Times New Roman"/>
          <w:i/>
          <w:iCs/>
          <w:sz w:val="24"/>
          <w:szCs w:val="24"/>
        </w:rPr>
        <w:t>Journal of Materials Science</w:t>
      </w:r>
      <w:r w:rsidRPr="002A0D74">
        <w:rPr>
          <w:rFonts w:ascii="Times New Roman" w:hAnsi="Times New Roman" w:cs="Times New Roman"/>
          <w:sz w:val="24"/>
          <w:szCs w:val="24"/>
        </w:rPr>
        <w:t>, </w:t>
      </w:r>
      <w:r w:rsidRPr="002A0D74">
        <w:rPr>
          <w:rFonts w:ascii="Times New Roman" w:hAnsi="Times New Roman" w:cs="Times New Roman"/>
          <w:i/>
          <w:iCs/>
          <w:sz w:val="24"/>
          <w:szCs w:val="24"/>
        </w:rPr>
        <w:t>55</w:t>
      </w:r>
      <w:r w:rsidRPr="002A0D74">
        <w:rPr>
          <w:rFonts w:ascii="Times New Roman" w:hAnsi="Times New Roman" w:cs="Times New Roman"/>
          <w:sz w:val="24"/>
          <w:szCs w:val="24"/>
        </w:rPr>
        <w:t>, 10975-11051.</w:t>
      </w:r>
    </w:p>
    <w:p w14:paraId="618E7893"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Menard, K. P., &amp; Menard, N. (2020). </w:t>
      </w:r>
      <w:r w:rsidRPr="002A0D74">
        <w:rPr>
          <w:rFonts w:ascii="Times New Roman" w:hAnsi="Times New Roman" w:cs="Times New Roman"/>
          <w:i/>
          <w:iCs/>
          <w:sz w:val="24"/>
          <w:szCs w:val="24"/>
        </w:rPr>
        <w:t>Dynamic mechanical analysis</w:t>
      </w:r>
      <w:r w:rsidRPr="002A0D74">
        <w:rPr>
          <w:rFonts w:ascii="Times New Roman" w:hAnsi="Times New Roman" w:cs="Times New Roman"/>
          <w:sz w:val="24"/>
          <w:szCs w:val="24"/>
        </w:rPr>
        <w:t>. CRC press.</w:t>
      </w:r>
    </w:p>
    <w:p w14:paraId="31B47ABE" w14:textId="77777777" w:rsidR="001634D7" w:rsidRPr="001634D7" w:rsidRDefault="001634D7" w:rsidP="001634D7">
      <w:pPr>
        <w:pStyle w:val="ListParagraph"/>
        <w:numPr>
          <w:ilvl w:val="0"/>
          <w:numId w:val="10"/>
        </w:numPr>
        <w:jc w:val="both"/>
        <w:rPr>
          <w:rFonts w:ascii="Times New Roman" w:hAnsi="Times New Roman" w:cs="Times New Roman"/>
          <w:sz w:val="24"/>
          <w:szCs w:val="24"/>
        </w:rPr>
      </w:pPr>
      <w:r w:rsidRPr="001634D7">
        <w:rPr>
          <w:rFonts w:ascii="Times New Roman" w:hAnsi="Times New Roman" w:cs="Times New Roman"/>
          <w:sz w:val="24"/>
          <w:szCs w:val="24"/>
        </w:rPr>
        <w:t>Meng, W., Cheng, J., &amp; Liu, J. (2021, April). Research on operation mechanism optimization framework of power grid business organization under the new circumstances. In </w:t>
      </w:r>
      <w:r w:rsidRPr="001634D7">
        <w:rPr>
          <w:rFonts w:ascii="Times New Roman" w:hAnsi="Times New Roman" w:cs="Times New Roman"/>
          <w:i/>
          <w:iCs/>
          <w:sz w:val="24"/>
          <w:szCs w:val="24"/>
        </w:rPr>
        <w:t>Journal of Physics: Conference Series</w:t>
      </w:r>
      <w:r w:rsidRPr="001634D7">
        <w:rPr>
          <w:rFonts w:ascii="Times New Roman" w:hAnsi="Times New Roman" w:cs="Times New Roman"/>
          <w:sz w:val="24"/>
          <w:szCs w:val="24"/>
        </w:rPr>
        <w:t> (Vol. 1848, No. 1, p. 012142). IOP Publishing.</w:t>
      </w:r>
    </w:p>
    <w:p w14:paraId="73D58E9B"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lastRenderedPageBreak/>
        <w:t xml:space="preserve">Mensah, R. A., Shanmugam, V., Narayanan, S., Renner, J. S., Babu, K., </w:t>
      </w:r>
      <w:proofErr w:type="spellStart"/>
      <w:r w:rsidRPr="002A0D74">
        <w:rPr>
          <w:rFonts w:ascii="Times New Roman" w:hAnsi="Times New Roman" w:cs="Times New Roman"/>
          <w:sz w:val="24"/>
          <w:szCs w:val="24"/>
        </w:rPr>
        <w:t>Neisiany</w:t>
      </w:r>
      <w:proofErr w:type="spellEnd"/>
      <w:r w:rsidRPr="002A0D74">
        <w:rPr>
          <w:rFonts w:ascii="Times New Roman" w:hAnsi="Times New Roman" w:cs="Times New Roman"/>
          <w:sz w:val="24"/>
          <w:szCs w:val="24"/>
        </w:rPr>
        <w:t>, R. E., ... &amp; Das, O. (2022). A review of sustainable and environment-friendly flame retardants used in plastics. </w:t>
      </w:r>
      <w:r w:rsidRPr="002A0D74">
        <w:rPr>
          <w:rFonts w:ascii="Times New Roman" w:hAnsi="Times New Roman" w:cs="Times New Roman"/>
          <w:i/>
          <w:iCs/>
          <w:sz w:val="24"/>
          <w:szCs w:val="24"/>
        </w:rPr>
        <w:t>Polymer Testing</w:t>
      </w:r>
      <w:r w:rsidRPr="002A0D74">
        <w:rPr>
          <w:rFonts w:ascii="Times New Roman" w:hAnsi="Times New Roman" w:cs="Times New Roman"/>
          <w:sz w:val="24"/>
          <w:szCs w:val="24"/>
        </w:rPr>
        <w:t>, </w:t>
      </w:r>
      <w:r w:rsidRPr="002A0D74">
        <w:rPr>
          <w:rFonts w:ascii="Times New Roman" w:hAnsi="Times New Roman" w:cs="Times New Roman"/>
          <w:i/>
          <w:iCs/>
          <w:sz w:val="24"/>
          <w:szCs w:val="24"/>
        </w:rPr>
        <w:t>108</w:t>
      </w:r>
      <w:r w:rsidRPr="002A0D74">
        <w:rPr>
          <w:rFonts w:ascii="Times New Roman" w:hAnsi="Times New Roman" w:cs="Times New Roman"/>
          <w:sz w:val="24"/>
          <w:szCs w:val="24"/>
        </w:rPr>
        <w:t>, 107511.</w:t>
      </w:r>
    </w:p>
    <w:p w14:paraId="62CCCA5D"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Mijumbi, R., Serrat, J., </w:t>
      </w:r>
      <w:proofErr w:type="spellStart"/>
      <w:r w:rsidRPr="002A0D74">
        <w:rPr>
          <w:rFonts w:ascii="Times New Roman" w:hAnsi="Times New Roman" w:cs="Times New Roman"/>
          <w:sz w:val="24"/>
          <w:szCs w:val="24"/>
        </w:rPr>
        <w:t>Gorricho</w:t>
      </w:r>
      <w:proofErr w:type="spellEnd"/>
      <w:r w:rsidRPr="002A0D74">
        <w:rPr>
          <w:rFonts w:ascii="Times New Roman" w:hAnsi="Times New Roman" w:cs="Times New Roman"/>
          <w:sz w:val="24"/>
          <w:szCs w:val="24"/>
        </w:rPr>
        <w:t xml:space="preserve">, J. L., Bouten, N., De Turck, F., &amp; </w:t>
      </w:r>
      <w:proofErr w:type="spellStart"/>
      <w:r w:rsidRPr="002A0D74">
        <w:rPr>
          <w:rFonts w:ascii="Times New Roman" w:hAnsi="Times New Roman" w:cs="Times New Roman"/>
          <w:sz w:val="24"/>
          <w:szCs w:val="24"/>
        </w:rPr>
        <w:t>Boutaba</w:t>
      </w:r>
      <w:proofErr w:type="spellEnd"/>
      <w:r w:rsidRPr="002A0D74">
        <w:rPr>
          <w:rFonts w:ascii="Times New Roman" w:hAnsi="Times New Roman" w:cs="Times New Roman"/>
          <w:sz w:val="24"/>
          <w:szCs w:val="24"/>
        </w:rPr>
        <w:t>, R. (2015). Network function virtualization: State-of-the-art and research challenges. </w:t>
      </w:r>
      <w:r w:rsidRPr="002A0D74">
        <w:rPr>
          <w:rFonts w:ascii="Times New Roman" w:hAnsi="Times New Roman" w:cs="Times New Roman"/>
          <w:i/>
          <w:iCs/>
          <w:sz w:val="24"/>
          <w:szCs w:val="24"/>
        </w:rPr>
        <w:t>IEEE Communications surveys &amp; tutorials</w:t>
      </w:r>
      <w:r w:rsidRPr="002A0D74">
        <w:rPr>
          <w:rFonts w:ascii="Times New Roman" w:hAnsi="Times New Roman" w:cs="Times New Roman"/>
          <w:sz w:val="24"/>
          <w:szCs w:val="24"/>
        </w:rPr>
        <w:t>, </w:t>
      </w:r>
      <w:r w:rsidRPr="002A0D74">
        <w:rPr>
          <w:rFonts w:ascii="Times New Roman" w:hAnsi="Times New Roman" w:cs="Times New Roman"/>
          <w:i/>
          <w:iCs/>
          <w:sz w:val="24"/>
          <w:szCs w:val="24"/>
        </w:rPr>
        <w:t>18</w:t>
      </w:r>
      <w:r w:rsidRPr="002A0D74">
        <w:rPr>
          <w:rFonts w:ascii="Times New Roman" w:hAnsi="Times New Roman" w:cs="Times New Roman"/>
          <w:sz w:val="24"/>
          <w:szCs w:val="24"/>
        </w:rPr>
        <w:t>(1), 236-262.</w:t>
      </w:r>
    </w:p>
    <w:p w14:paraId="657C4DF0"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Miranda, J., Navarrete, C., Noguez, J., Molina-Espinosa, J. M., Ramírez-Montoya, M. S., Navarro-</w:t>
      </w:r>
      <w:proofErr w:type="spellStart"/>
      <w:r w:rsidRPr="002A0D74">
        <w:rPr>
          <w:rFonts w:ascii="Times New Roman" w:hAnsi="Times New Roman" w:cs="Times New Roman"/>
          <w:sz w:val="24"/>
          <w:szCs w:val="24"/>
        </w:rPr>
        <w:t>Tuch</w:t>
      </w:r>
      <w:proofErr w:type="spellEnd"/>
      <w:r w:rsidRPr="002A0D74">
        <w:rPr>
          <w:rFonts w:ascii="Times New Roman" w:hAnsi="Times New Roman" w:cs="Times New Roman"/>
          <w:sz w:val="24"/>
          <w:szCs w:val="24"/>
        </w:rPr>
        <w:t>, S. A., ... &amp; Molina, A. (2021). The core components of education 4.0 in higher education: Three case studies in engineering education. </w:t>
      </w:r>
      <w:r w:rsidRPr="002A0D74">
        <w:rPr>
          <w:rFonts w:ascii="Times New Roman" w:hAnsi="Times New Roman" w:cs="Times New Roman"/>
          <w:i/>
          <w:iCs/>
          <w:sz w:val="24"/>
          <w:szCs w:val="24"/>
        </w:rPr>
        <w:t>Computers &amp; Electrical Engineering</w:t>
      </w:r>
      <w:r w:rsidRPr="002A0D74">
        <w:rPr>
          <w:rFonts w:ascii="Times New Roman" w:hAnsi="Times New Roman" w:cs="Times New Roman"/>
          <w:sz w:val="24"/>
          <w:szCs w:val="24"/>
        </w:rPr>
        <w:t>, </w:t>
      </w:r>
      <w:r w:rsidRPr="002A0D74">
        <w:rPr>
          <w:rFonts w:ascii="Times New Roman" w:hAnsi="Times New Roman" w:cs="Times New Roman"/>
          <w:i/>
          <w:iCs/>
          <w:sz w:val="24"/>
          <w:szCs w:val="24"/>
        </w:rPr>
        <w:t>93</w:t>
      </w:r>
      <w:r w:rsidRPr="002A0D74">
        <w:rPr>
          <w:rFonts w:ascii="Times New Roman" w:hAnsi="Times New Roman" w:cs="Times New Roman"/>
          <w:sz w:val="24"/>
          <w:szCs w:val="24"/>
        </w:rPr>
        <w:t>, 107278.</w:t>
      </w:r>
    </w:p>
    <w:p w14:paraId="6CC6EF90"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Mirkouei</w:t>
      </w:r>
      <w:proofErr w:type="spellEnd"/>
      <w:r w:rsidRPr="002A0D74">
        <w:rPr>
          <w:rFonts w:ascii="Times New Roman" w:hAnsi="Times New Roman" w:cs="Times New Roman"/>
          <w:sz w:val="24"/>
          <w:szCs w:val="24"/>
        </w:rPr>
        <w:t xml:space="preserve">, A., </w:t>
      </w:r>
      <w:proofErr w:type="spellStart"/>
      <w:r w:rsidRPr="002A0D74">
        <w:rPr>
          <w:rFonts w:ascii="Times New Roman" w:hAnsi="Times New Roman" w:cs="Times New Roman"/>
          <w:sz w:val="24"/>
          <w:szCs w:val="24"/>
        </w:rPr>
        <w:t>Bhinge</w:t>
      </w:r>
      <w:proofErr w:type="spellEnd"/>
      <w:r w:rsidRPr="002A0D74">
        <w:rPr>
          <w:rFonts w:ascii="Times New Roman" w:hAnsi="Times New Roman" w:cs="Times New Roman"/>
          <w:sz w:val="24"/>
          <w:szCs w:val="24"/>
        </w:rPr>
        <w:t>, R., McCoy, C., Haapala, K. R., &amp; Dornfeld, D. A. (2016). A pedagogical module framework to improve scaffolded active learning in manufacturing engineering education. </w:t>
      </w:r>
      <w:r w:rsidRPr="002A0D74">
        <w:rPr>
          <w:rFonts w:ascii="Times New Roman" w:hAnsi="Times New Roman" w:cs="Times New Roman"/>
          <w:i/>
          <w:iCs/>
          <w:sz w:val="24"/>
          <w:szCs w:val="24"/>
        </w:rPr>
        <w:t>Procedia Manufacturing</w:t>
      </w:r>
      <w:r w:rsidRPr="002A0D74">
        <w:rPr>
          <w:rFonts w:ascii="Times New Roman" w:hAnsi="Times New Roman" w:cs="Times New Roman"/>
          <w:sz w:val="24"/>
          <w:szCs w:val="24"/>
        </w:rPr>
        <w:t>, </w:t>
      </w:r>
      <w:r w:rsidRPr="002A0D74">
        <w:rPr>
          <w:rFonts w:ascii="Times New Roman" w:hAnsi="Times New Roman" w:cs="Times New Roman"/>
          <w:i/>
          <w:iCs/>
          <w:sz w:val="24"/>
          <w:szCs w:val="24"/>
        </w:rPr>
        <w:t>5</w:t>
      </w:r>
      <w:r w:rsidRPr="002A0D74">
        <w:rPr>
          <w:rFonts w:ascii="Times New Roman" w:hAnsi="Times New Roman" w:cs="Times New Roman"/>
          <w:sz w:val="24"/>
          <w:szCs w:val="24"/>
        </w:rPr>
        <w:t>, 1128-1142.</w:t>
      </w:r>
    </w:p>
    <w:p w14:paraId="26E15F6D"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Mitra, S., Ahire, A., &amp; Mallik, B. P. (2014). Investigation of accelerated aging </w:t>
      </w:r>
      <w:proofErr w:type="spellStart"/>
      <w:r w:rsidRPr="002A0D74">
        <w:rPr>
          <w:rFonts w:ascii="Times New Roman" w:hAnsi="Times New Roman" w:cs="Times New Roman"/>
          <w:sz w:val="24"/>
          <w:szCs w:val="24"/>
        </w:rPr>
        <w:t>behaviour</w:t>
      </w:r>
      <w:proofErr w:type="spellEnd"/>
      <w:r w:rsidRPr="002A0D74">
        <w:rPr>
          <w:rFonts w:ascii="Times New Roman" w:hAnsi="Times New Roman" w:cs="Times New Roman"/>
          <w:sz w:val="24"/>
          <w:szCs w:val="24"/>
        </w:rPr>
        <w:t xml:space="preserve"> of </w:t>
      </w:r>
      <w:proofErr w:type="gramStart"/>
      <w:r w:rsidRPr="002A0D74">
        <w:rPr>
          <w:rFonts w:ascii="Times New Roman" w:hAnsi="Times New Roman" w:cs="Times New Roman"/>
          <w:sz w:val="24"/>
          <w:szCs w:val="24"/>
        </w:rPr>
        <w:t>high performance</w:t>
      </w:r>
      <w:proofErr w:type="gramEnd"/>
      <w:r w:rsidRPr="002A0D74">
        <w:rPr>
          <w:rFonts w:ascii="Times New Roman" w:hAnsi="Times New Roman" w:cs="Times New Roman"/>
          <w:sz w:val="24"/>
          <w:szCs w:val="24"/>
        </w:rPr>
        <w:t xml:space="preserve"> industrial coatings by dynamic mechanical analysis. </w:t>
      </w:r>
      <w:r w:rsidRPr="002A0D74">
        <w:rPr>
          <w:rFonts w:ascii="Times New Roman" w:hAnsi="Times New Roman" w:cs="Times New Roman"/>
          <w:i/>
          <w:iCs/>
          <w:sz w:val="24"/>
          <w:szCs w:val="24"/>
        </w:rPr>
        <w:t>Progress in Organic Coatings</w:t>
      </w:r>
      <w:r w:rsidRPr="002A0D74">
        <w:rPr>
          <w:rFonts w:ascii="Times New Roman" w:hAnsi="Times New Roman" w:cs="Times New Roman"/>
          <w:sz w:val="24"/>
          <w:szCs w:val="24"/>
        </w:rPr>
        <w:t>, </w:t>
      </w:r>
      <w:r w:rsidRPr="002A0D74">
        <w:rPr>
          <w:rFonts w:ascii="Times New Roman" w:hAnsi="Times New Roman" w:cs="Times New Roman"/>
          <w:i/>
          <w:iCs/>
          <w:sz w:val="24"/>
          <w:szCs w:val="24"/>
        </w:rPr>
        <w:t>77</w:t>
      </w:r>
      <w:r w:rsidRPr="002A0D74">
        <w:rPr>
          <w:rFonts w:ascii="Times New Roman" w:hAnsi="Times New Roman" w:cs="Times New Roman"/>
          <w:sz w:val="24"/>
          <w:szCs w:val="24"/>
        </w:rPr>
        <w:t>(11), 1816-1825.</w:t>
      </w:r>
    </w:p>
    <w:p w14:paraId="2F1692AB"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Mohammadi, A., </w:t>
      </w:r>
      <w:proofErr w:type="spellStart"/>
      <w:r w:rsidRPr="002A0D74">
        <w:rPr>
          <w:rFonts w:ascii="Times New Roman" w:hAnsi="Times New Roman" w:cs="Times New Roman"/>
          <w:sz w:val="24"/>
          <w:szCs w:val="24"/>
        </w:rPr>
        <w:t>Doctorsafaei</w:t>
      </w:r>
      <w:proofErr w:type="spellEnd"/>
      <w:r w:rsidRPr="002A0D74">
        <w:rPr>
          <w:rFonts w:ascii="Times New Roman" w:hAnsi="Times New Roman" w:cs="Times New Roman"/>
          <w:sz w:val="24"/>
          <w:szCs w:val="24"/>
        </w:rPr>
        <w:t xml:space="preserve">, A., </w:t>
      </w:r>
      <w:proofErr w:type="spellStart"/>
      <w:r w:rsidRPr="002A0D74">
        <w:rPr>
          <w:rFonts w:ascii="Times New Roman" w:hAnsi="Times New Roman" w:cs="Times New Roman"/>
          <w:sz w:val="24"/>
          <w:szCs w:val="24"/>
        </w:rPr>
        <w:t>Ghodsieh</w:t>
      </w:r>
      <w:proofErr w:type="spellEnd"/>
      <w:r w:rsidRPr="002A0D74">
        <w:rPr>
          <w:rFonts w:ascii="Times New Roman" w:hAnsi="Times New Roman" w:cs="Times New Roman"/>
          <w:sz w:val="24"/>
          <w:szCs w:val="24"/>
        </w:rPr>
        <w:t xml:space="preserve">, M., &amp; </w:t>
      </w:r>
      <w:proofErr w:type="spellStart"/>
      <w:r w:rsidRPr="002A0D74">
        <w:rPr>
          <w:rFonts w:ascii="Times New Roman" w:hAnsi="Times New Roman" w:cs="Times New Roman"/>
          <w:sz w:val="24"/>
          <w:szCs w:val="24"/>
        </w:rPr>
        <w:t>Beigi-Boroujeni</w:t>
      </w:r>
      <w:proofErr w:type="spellEnd"/>
      <w:r w:rsidRPr="002A0D74">
        <w:rPr>
          <w:rFonts w:ascii="Times New Roman" w:hAnsi="Times New Roman" w:cs="Times New Roman"/>
          <w:sz w:val="24"/>
          <w:szCs w:val="24"/>
        </w:rPr>
        <w:t>, S. (2023). Polyurethane foams. In </w:t>
      </w:r>
      <w:r w:rsidRPr="002A0D74">
        <w:rPr>
          <w:rFonts w:ascii="Times New Roman" w:hAnsi="Times New Roman" w:cs="Times New Roman"/>
          <w:i/>
          <w:iCs/>
          <w:sz w:val="24"/>
          <w:szCs w:val="24"/>
        </w:rPr>
        <w:t>Polymeric Foams: Fundamentals and Types of Foams (Volume 1)</w:t>
      </w:r>
      <w:r w:rsidRPr="002A0D74">
        <w:rPr>
          <w:rFonts w:ascii="Times New Roman" w:hAnsi="Times New Roman" w:cs="Times New Roman"/>
          <w:sz w:val="24"/>
          <w:szCs w:val="24"/>
        </w:rPr>
        <w:t> (pp. 143-159). American Chemical Society.</w:t>
      </w:r>
    </w:p>
    <w:p w14:paraId="10057B32"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 xml:space="preserve">Mostafaei, A., </w:t>
      </w:r>
      <w:proofErr w:type="spellStart"/>
      <w:r w:rsidRPr="002A0D74">
        <w:rPr>
          <w:rFonts w:ascii="Times New Roman" w:hAnsi="Times New Roman" w:cs="Times New Roman"/>
          <w:color w:val="222222"/>
          <w:sz w:val="24"/>
          <w:szCs w:val="24"/>
          <w:shd w:val="clear" w:color="auto" w:fill="FFFFFF"/>
        </w:rPr>
        <w:t>Ghiaasiaan</w:t>
      </w:r>
      <w:proofErr w:type="spellEnd"/>
      <w:r w:rsidRPr="002A0D74">
        <w:rPr>
          <w:rFonts w:ascii="Times New Roman" w:hAnsi="Times New Roman" w:cs="Times New Roman"/>
          <w:color w:val="222222"/>
          <w:sz w:val="24"/>
          <w:szCs w:val="24"/>
          <w:shd w:val="clear" w:color="auto" w:fill="FFFFFF"/>
        </w:rPr>
        <w:t xml:space="preserve">, R., Ho, I. T., Strayer, S., Chang, K. C., </w:t>
      </w:r>
      <w:proofErr w:type="spellStart"/>
      <w:r w:rsidRPr="002A0D74">
        <w:rPr>
          <w:rFonts w:ascii="Times New Roman" w:hAnsi="Times New Roman" w:cs="Times New Roman"/>
          <w:color w:val="222222"/>
          <w:sz w:val="24"/>
          <w:szCs w:val="24"/>
          <w:shd w:val="clear" w:color="auto" w:fill="FFFFFF"/>
        </w:rPr>
        <w:t>Shamsaei</w:t>
      </w:r>
      <w:proofErr w:type="spellEnd"/>
      <w:r w:rsidRPr="002A0D74">
        <w:rPr>
          <w:rFonts w:ascii="Times New Roman" w:hAnsi="Times New Roman" w:cs="Times New Roman"/>
          <w:color w:val="222222"/>
          <w:sz w:val="24"/>
          <w:szCs w:val="24"/>
          <w:shd w:val="clear" w:color="auto" w:fill="FFFFFF"/>
        </w:rPr>
        <w:t>, N., ... &amp; To, A. C. (2023). Additive manufacturing of nickel-based superalloys: A state-of-the-art review on process-structure-defect-property relationship. </w:t>
      </w:r>
      <w:r w:rsidRPr="002A0D74">
        <w:rPr>
          <w:rFonts w:ascii="Times New Roman" w:hAnsi="Times New Roman" w:cs="Times New Roman"/>
          <w:i/>
          <w:iCs/>
          <w:color w:val="222222"/>
          <w:sz w:val="24"/>
          <w:szCs w:val="24"/>
          <w:shd w:val="clear" w:color="auto" w:fill="FFFFFF"/>
        </w:rPr>
        <w:t>Progress in Materials Science</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136</w:t>
      </w:r>
      <w:r w:rsidRPr="002A0D74">
        <w:rPr>
          <w:rFonts w:ascii="Times New Roman" w:hAnsi="Times New Roman" w:cs="Times New Roman"/>
          <w:color w:val="222222"/>
          <w:sz w:val="24"/>
          <w:szCs w:val="24"/>
          <w:shd w:val="clear" w:color="auto" w:fill="FFFFFF"/>
        </w:rPr>
        <w:t>, 101108.</w:t>
      </w:r>
    </w:p>
    <w:p w14:paraId="3D53F52C"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Moyne, J., &amp; Iskandar, J. (2017). Big data analytics for smart manufacturing: Case studies in semiconductor manufacturing. </w:t>
      </w:r>
      <w:r w:rsidRPr="002A0D74">
        <w:rPr>
          <w:rFonts w:ascii="Times New Roman" w:hAnsi="Times New Roman" w:cs="Times New Roman"/>
          <w:i/>
          <w:iCs/>
          <w:sz w:val="24"/>
          <w:szCs w:val="24"/>
        </w:rPr>
        <w:t>Processes</w:t>
      </w:r>
      <w:r w:rsidRPr="002A0D74">
        <w:rPr>
          <w:rFonts w:ascii="Times New Roman" w:hAnsi="Times New Roman" w:cs="Times New Roman"/>
          <w:sz w:val="24"/>
          <w:szCs w:val="24"/>
        </w:rPr>
        <w:t>, </w:t>
      </w:r>
      <w:r w:rsidRPr="002A0D74">
        <w:rPr>
          <w:rFonts w:ascii="Times New Roman" w:hAnsi="Times New Roman" w:cs="Times New Roman"/>
          <w:i/>
          <w:iCs/>
          <w:sz w:val="24"/>
          <w:szCs w:val="24"/>
        </w:rPr>
        <w:t>5</w:t>
      </w:r>
      <w:r w:rsidRPr="002A0D74">
        <w:rPr>
          <w:rFonts w:ascii="Times New Roman" w:hAnsi="Times New Roman" w:cs="Times New Roman"/>
          <w:sz w:val="24"/>
          <w:szCs w:val="24"/>
        </w:rPr>
        <w:t>(3), 39.</w:t>
      </w:r>
    </w:p>
    <w:p w14:paraId="58F161D0"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Muecklich</w:t>
      </w:r>
      <w:proofErr w:type="spellEnd"/>
      <w:r w:rsidRPr="002A0D74">
        <w:rPr>
          <w:rFonts w:ascii="Times New Roman" w:hAnsi="Times New Roman" w:cs="Times New Roman"/>
          <w:sz w:val="24"/>
          <w:szCs w:val="24"/>
        </w:rPr>
        <w:t xml:space="preserve">, N., Sikora, I., Paraskevas, A., &amp; </w:t>
      </w:r>
      <w:proofErr w:type="spellStart"/>
      <w:r w:rsidRPr="002A0D74">
        <w:rPr>
          <w:rFonts w:ascii="Times New Roman" w:hAnsi="Times New Roman" w:cs="Times New Roman"/>
          <w:sz w:val="24"/>
          <w:szCs w:val="24"/>
        </w:rPr>
        <w:t>Padhra</w:t>
      </w:r>
      <w:proofErr w:type="spellEnd"/>
      <w:r w:rsidRPr="002A0D74">
        <w:rPr>
          <w:rFonts w:ascii="Times New Roman" w:hAnsi="Times New Roman" w:cs="Times New Roman"/>
          <w:sz w:val="24"/>
          <w:szCs w:val="24"/>
        </w:rPr>
        <w:t>, A. (2023). Safety and reliability in aviation–A systematic scoping review of normal accident theory, high-reliability theory, and resilience engineering in aviation. </w:t>
      </w:r>
      <w:r w:rsidRPr="002A0D74">
        <w:rPr>
          <w:rFonts w:ascii="Times New Roman" w:hAnsi="Times New Roman" w:cs="Times New Roman"/>
          <w:i/>
          <w:iCs/>
          <w:sz w:val="24"/>
          <w:szCs w:val="24"/>
        </w:rPr>
        <w:t>Safety science</w:t>
      </w:r>
      <w:r w:rsidRPr="002A0D74">
        <w:rPr>
          <w:rFonts w:ascii="Times New Roman" w:hAnsi="Times New Roman" w:cs="Times New Roman"/>
          <w:sz w:val="24"/>
          <w:szCs w:val="24"/>
        </w:rPr>
        <w:t>, </w:t>
      </w:r>
      <w:r w:rsidRPr="002A0D74">
        <w:rPr>
          <w:rFonts w:ascii="Times New Roman" w:hAnsi="Times New Roman" w:cs="Times New Roman"/>
          <w:i/>
          <w:iCs/>
          <w:sz w:val="24"/>
          <w:szCs w:val="24"/>
        </w:rPr>
        <w:t>162</w:t>
      </w:r>
      <w:r w:rsidRPr="002A0D74">
        <w:rPr>
          <w:rFonts w:ascii="Times New Roman" w:hAnsi="Times New Roman" w:cs="Times New Roman"/>
          <w:sz w:val="24"/>
          <w:szCs w:val="24"/>
        </w:rPr>
        <w:t>, 106097.</w:t>
      </w:r>
    </w:p>
    <w:p w14:paraId="3F4257AE"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Muhammed Raji, A., </w:t>
      </w:r>
      <w:proofErr w:type="spellStart"/>
      <w:r w:rsidRPr="002A0D74">
        <w:rPr>
          <w:rFonts w:ascii="Times New Roman" w:hAnsi="Times New Roman" w:cs="Times New Roman"/>
          <w:sz w:val="24"/>
          <w:szCs w:val="24"/>
        </w:rPr>
        <w:t>Hambali</w:t>
      </w:r>
      <w:proofErr w:type="spellEnd"/>
      <w:r w:rsidRPr="002A0D74">
        <w:rPr>
          <w:rFonts w:ascii="Times New Roman" w:hAnsi="Times New Roman" w:cs="Times New Roman"/>
          <w:sz w:val="24"/>
          <w:szCs w:val="24"/>
        </w:rPr>
        <w:t xml:space="preserve">, H. U., Khan, Z. I., Binti Mohamad, Z., Azman, H., &amp; </w:t>
      </w:r>
      <w:proofErr w:type="spellStart"/>
      <w:r w:rsidRPr="002A0D74">
        <w:rPr>
          <w:rFonts w:ascii="Times New Roman" w:hAnsi="Times New Roman" w:cs="Times New Roman"/>
          <w:sz w:val="24"/>
          <w:szCs w:val="24"/>
        </w:rPr>
        <w:t>Ogabi</w:t>
      </w:r>
      <w:proofErr w:type="spellEnd"/>
      <w:r w:rsidRPr="002A0D74">
        <w:rPr>
          <w:rFonts w:ascii="Times New Roman" w:hAnsi="Times New Roman" w:cs="Times New Roman"/>
          <w:sz w:val="24"/>
          <w:szCs w:val="24"/>
        </w:rPr>
        <w:t>, R. (2023). Emerging trends in flame retardancy of rigid polyurethane foam and its composites: A review. </w:t>
      </w:r>
      <w:r w:rsidRPr="002A0D74">
        <w:rPr>
          <w:rFonts w:ascii="Times New Roman" w:hAnsi="Times New Roman" w:cs="Times New Roman"/>
          <w:i/>
          <w:iCs/>
          <w:sz w:val="24"/>
          <w:szCs w:val="24"/>
        </w:rPr>
        <w:t>Journal of Cellular Plastics</w:t>
      </w:r>
      <w:r w:rsidRPr="002A0D74">
        <w:rPr>
          <w:rFonts w:ascii="Times New Roman" w:hAnsi="Times New Roman" w:cs="Times New Roman"/>
          <w:sz w:val="24"/>
          <w:szCs w:val="24"/>
        </w:rPr>
        <w:t>, </w:t>
      </w:r>
      <w:r w:rsidRPr="002A0D74">
        <w:rPr>
          <w:rFonts w:ascii="Times New Roman" w:hAnsi="Times New Roman" w:cs="Times New Roman"/>
          <w:i/>
          <w:iCs/>
          <w:sz w:val="24"/>
          <w:szCs w:val="24"/>
        </w:rPr>
        <w:t>59</w:t>
      </w:r>
      <w:r w:rsidRPr="002A0D74">
        <w:rPr>
          <w:rFonts w:ascii="Times New Roman" w:hAnsi="Times New Roman" w:cs="Times New Roman"/>
          <w:sz w:val="24"/>
          <w:szCs w:val="24"/>
        </w:rPr>
        <w:t>(1), 65-122.</w:t>
      </w:r>
    </w:p>
    <w:p w14:paraId="6F2A965C"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Mullen, E., &amp; Morris, M. A. (2021). Green nanofabrication opportunities in the semiconductor industry: A life cycle perspective. </w:t>
      </w:r>
      <w:r w:rsidRPr="002A0D74">
        <w:rPr>
          <w:rFonts w:ascii="Times New Roman" w:hAnsi="Times New Roman" w:cs="Times New Roman"/>
          <w:i/>
          <w:iCs/>
          <w:sz w:val="24"/>
          <w:szCs w:val="24"/>
        </w:rPr>
        <w:t>Nanomaterials</w:t>
      </w:r>
      <w:r w:rsidRPr="002A0D74">
        <w:rPr>
          <w:rFonts w:ascii="Times New Roman" w:hAnsi="Times New Roman" w:cs="Times New Roman"/>
          <w:sz w:val="24"/>
          <w:szCs w:val="24"/>
        </w:rPr>
        <w:t>, </w:t>
      </w:r>
      <w:r w:rsidRPr="002A0D74">
        <w:rPr>
          <w:rFonts w:ascii="Times New Roman" w:hAnsi="Times New Roman" w:cs="Times New Roman"/>
          <w:i/>
          <w:iCs/>
          <w:sz w:val="24"/>
          <w:szCs w:val="24"/>
        </w:rPr>
        <w:t>11</w:t>
      </w:r>
      <w:r w:rsidRPr="002A0D74">
        <w:rPr>
          <w:rFonts w:ascii="Times New Roman" w:hAnsi="Times New Roman" w:cs="Times New Roman"/>
          <w:sz w:val="24"/>
          <w:szCs w:val="24"/>
        </w:rPr>
        <w:t>(5), 1085.</w:t>
      </w:r>
    </w:p>
    <w:p w14:paraId="4FD733B1"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Najiha, M. S., Rahman, M. M., &amp; Yusoff, A. R. (2016). Environmental impacts and hazards associated with metal working fluids and recent advances in the sustainable systems: A review. </w:t>
      </w:r>
      <w:r w:rsidRPr="002A0D74">
        <w:rPr>
          <w:rFonts w:ascii="Times New Roman" w:hAnsi="Times New Roman" w:cs="Times New Roman"/>
          <w:i/>
          <w:iCs/>
          <w:sz w:val="24"/>
          <w:szCs w:val="24"/>
        </w:rPr>
        <w:t>Renewable and Sustainable Energy Reviews</w:t>
      </w:r>
      <w:r w:rsidRPr="002A0D74">
        <w:rPr>
          <w:rFonts w:ascii="Times New Roman" w:hAnsi="Times New Roman" w:cs="Times New Roman"/>
          <w:sz w:val="24"/>
          <w:szCs w:val="24"/>
        </w:rPr>
        <w:t>, </w:t>
      </w:r>
      <w:r w:rsidRPr="002A0D74">
        <w:rPr>
          <w:rFonts w:ascii="Times New Roman" w:hAnsi="Times New Roman" w:cs="Times New Roman"/>
          <w:i/>
          <w:iCs/>
          <w:sz w:val="24"/>
          <w:szCs w:val="24"/>
        </w:rPr>
        <w:t>60</w:t>
      </w:r>
      <w:r w:rsidRPr="002A0D74">
        <w:rPr>
          <w:rFonts w:ascii="Times New Roman" w:hAnsi="Times New Roman" w:cs="Times New Roman"/>
          <w:sz w:val="24"/>
          <w:szCs w:val="24"/>
        </w:rPr>
        <w:t>, 1008-1031.</w:t>
      </w:r>
    </w:p>
    <w:p w14:paraId="0DE6F947"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Nascimento, D. L. M., Alencastro, V., </w:t>
      </w:r>
      <w:proofErr w:type="spellStart"/>
      <w:r w:rsidRPr="002A0D74">
        <w:rPr>
          <w:rFonts w:ascii="Times New Roman" w:hAnsi="Times New Roman" w:cs="Times New Roman"/>
          <w:sz w:val="24"/>
          <w:szCs w:val="24"/>
        </w:rPr>
        <w:t>Quelhas</w:t>
      </w:r>
      <w:proofErr w:type="spellEnd"/>
      <w:r w:rsidRPr="002A0D74">
        <w:rPr>
          <w:rFonts w:ascii="Times New Roman" w:hAnsi="Times New Roman" w:cs="Times New Roman"/>
          <w:sz w:val="24"/>
          <w:szCs w:val="24"/>
        </w:rPr>
        <w:t>, O. L. G., Caiado, R. G. G., Garza-Reyes, J. A., Rocha-Lona, L., &amp; Tortorella, G. (2019). Exploring Industry 4.0 technologies to enable circular economy practices in a manufacturing context: A business model proposal. </w:t>
      </w:r>
      <w:r w:rsidRPr="002A0D74">
        <w:rPr>
          <w:rFonts w:ascii="Times New Roman" w:hAnsi="Times New Roman" w:cs="Times New Roman"/>
          <w:i/>
          <w:iCs/>
          <w:sz w:val="24"/>
          <w:szCs w:val="24"/>
        </w:rPr>
        <w:t>Journal of manufacturing technology management</w:t>
      </w:r>
      <w:r w:rsidRPr="002A0D74">
        <w:rPr>
          <w:rFonts w:ascii="Times New Roman" w:hAnsi="Times New Roman" w:cs="Times New Roman"/>
          <w:sz w:val="24"/>
          <w:szCs w:val="24"/>
        </w:rPr>
        <w:t>, </w:t>
      </w:r>
      <w:r w:rsidRPr="002A0D74">
        <w:rPr>
          <w:rFonts w:ascii="Times New Roman" w:hAnsi="Times New Roman" w:cs="Times New Roman"/>
          <w:i/>
          <w:iCs/>
          <w:sz w:val="24"/>
          <w:szCs w:val="24"/>
        </w:rPr>
        <w:t>30</w:t>
      </w:r>
      <w:r w:rsidRPr="002A0D74">
        <w:rPr>
          <w:rFonts w:ascii="Times New Roman" w:hAnsi="Times New Roman" w:cs="Times New Roman"/>
          <w:sz w:val="24"/>
          <w:szCs w:val="24"/>
        </w:rPr>
        <w:t>(3), 607-627.</w:t>
      </w:r>
    </w:p>
    <w:p w14:paraId="70F5C273"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Negendahl, K. (2015). Building performance simulation in the early design stage: An introduction to integrated dynamic models. </w:t>
      </w:r>
      <w:r w:rsidRPr="002A0D74">
        <w:rPr>
          <w:rFonts w:ascii="Times New Roman" w:hAnsi="Times New Roman" w:cs="Times New Roman"/>
          <w:i/>
          <w:iCs/>
          <w:sz w:val="24"/>
          <w:szCs w:val="24"/>
        </w:rPr>
        <w:t>Automation in construction</w:t>
      </w:r>
      <w:r w:rsidRPr="002A0D74">
        <w:rPr>
          <w:rFonts w:ascii="Times New Roman" w:hAnsi="Times New Roman" w:cs="Times New Roman"/>
          <w:sz w:val="24"/>
          <w:szCs w:val="24"/>
        </w:rPr>
        <w:t>, </w:t>
      </w:r>
      <w:r w:rsidRPr="002A0D74">
        <w:rPr>
          <w:rFonts w:ascii="Times New Roman" w:hAnsi="Times New Roman" w:cs="Times New Roman"/>
          <w:i/>
          <w:iCs/>
          <w:sz w:val="24"/>
          <w:szCs w:val="24"/>
        </w:rPr>
        <w:t>54</w:t>
      </w:r>
      <w:r w:rsidRPr="002A0D74">
        <w:rPr>
          <w:rFonts w:ascii="Times New Roman" w:hAnsi="Times New Roman" w:cs="Times New Roman"/>
          <w:sz w:val="24"/>
          <w:szCs w:val="24"/>
        </w:rPr>
        <w:t>, 39-53.</w:t>
      </w:r>
    </w:p>
    <w:p w14:paraId="1F31B5AF"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Ojo, A. T., &amp; Lee, P. I. (2020). Applications of dynamic mechanical analysis in the engineering of amorphous solid dispersions. </w:t>
      </w:r>
      <w:r w:rsidRPr="002A0D74">
        <w:rPr>
          <w:rFonts w:ascii="Times New Roman" w:hAnsi="Times New Roman" w:cs="Times New Roman"/>
          <w:i/>
          <w:iCs/>
          <w:sz w:val="24"/>
          <w:szCs w:val="24"/>
        </w:rPr>
        <w:t>Pharmaceutical Fronts</w:t>
      </w:r>
      <w:r w:rsidRPr="002A0D74">
        <w:rPr>
          <w:rFonts w:ascii="Times New Roman" w:hAnsi="Times New Roman" w:cs="Times New Roman"/>
          <w:sz w:val="24"/>
          <w:szCs w:val="24"/>
        </w:rPr>
        <w:t>, </w:t>
      </w:r>
      <w:r w:rsidRPr="002A0D74">
        <w:rPr>
          <w:rFonts w:ascii="Times New Roman" w:hAnsi="Times New Roman" w:cs="Times New Roman"/>
          <w:i/>
          <w:iCs/>
          <w:sz w:val="24"/>
          <w:szCs w:val="24"/>
        </w:rPr>
        <w:t>2</w:t>
      </w:r>
      <w:r w:rsidRPr="002A0D74">
        <w:rPr>
          <w:rFonts w:ascii="Times New Roman" w:hAnsi="Times New Roman" w:cs="Times New Roman"/>
          <w:sz w:val="24"/>
          <w:szCs w:val="24"/>
        </w:rPr>
        <w:t>(01), e55-e63.</w:t>
      </w:r>
    </w:p>
    <w:p w14:paraId="5113B072"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lastRenderedPageBreak/>
        <w:t>Osanov</w:t>
      </w:r>
      <w:proofErr w:type="spellEnd"/>
      <w:r w:rsidRPr="002A0D74">
        <w:rPr>
          <w:rFonts w:ascii="Times New Roman" w:hAnsi="Times New Roman" w:cs="Times New Roman"/>
          <w:sz w:val="24"/>
          <w:szCs w:val="24"/>
        </w:rPr>
        <w:t>, M., &amp; Guest, J. K. (2016). Topology optimization for architected materials design. </w:t>
      </w:r>
      <w:r w:rsidRPr="002A0D74">
        <w:rPr>
          <w:rFonts w:ascii="Times New Roman" w:hAnsi="Times New Roman" w:cs="Times New Roman"/>
          <w:i/>
          <w:iCs/>
          <w:sz w:val="24"/>
          <w:szCs w:val="24"/>
        </w:rPr>
        <w:t>Annual Review of Materials Research</w:t>
      </w:r>
      <w:r w:rsidRPr="002A0D74">
        <w:rPr>
          <w:rFonts w:ascii="Times New Roman" w:hAnsi="Times New Roman" w:cs="Times New Roman"/>
          <w:sz w:val="24"/>
          <w:szCs w:val="24"/>
        </w:rPr>
        <w:t>, </w:t>
      </w:r>
      <w:r w:rsidRPr="002A0D74">
        <w:rPr>
          <w:rFonts w:ascii="Times New Roman" w:hAnsi="Times New Roman" w:cs="Times New Roman"/>
          <w:i/>
          <w:iCs/>
          <w:sz w:val="24"/>
          <w:szCs w:val="24"/>
        </w:rPr>
        <w:t>46</w:t>
      </w:r>
      <w:r w:rsidRPr="002A0D74">
        <w:rPr>
          <w:rFonts w:ascii="Times New Roman" w:hAnsi="Times New Roman" w:cs="Times New Roman"/>
          <w:sz w:val="24"/>
          <w:szCs w:val="24"/>
        </w:rPr>
        <w:t>(1), 211-233.</w:t>
      </w:r>
    </w:p>
    <w:p w14:paraId="7B64F641"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Ou, R., Xie, Y., Wang, Q., Sui, S., &amp; Wolcott, M. P. (2015). Material pocket dynamic mechanical analysis: a novel tool to study thermal transition in wood fibers plasticized by an ionic liquid (IL). </w:t>
      </w:r>
      <w:proofErr w:type="spellStart"/>
      <w:r w:rsidRPr="002A0D74">
        <w:rPr>
          <w:rFonts w:ascii="Times New Roman" w:hAnsi="Times New Roman" w:cs="Times New Roman"/>
          <w:i/>
          <w:iCs/>
          <w:sz w:val="24"/>
          <w:szCs w:val="24"/>
        </w:rPr>
        <w:t>Holzforschung</w:t>
      </w:r>
      <w:proofErr w:type="spellEnd"/>
      <w:r w:rsidRPr="002A0D74">
        <w:rPr>
          <w:rFonts w:ascii="Times New Roman" w:hAnsi="Times New Roman" w:cs="Times New Roman"/>
          <w:sz w:val="24"/>
          <w:szCs w:val="24"/>
        </w:rPr>
        <w:t>, </w:t>
      </w:r>
      <w:r w:rsidRPr="002A0D74">
        <w:rPr>
          <w:rFonts w:ascii="Times New Roman" w:hAnsi="Times New Roman" w:cs="Times New Roman"/>
          <w:i/>
          <w:iCs/>
          <w:sz w:val="24"/>
          <w:szCs w:val="24"/>
        </w:rPr>
        <w:t>69</w:t>
      </w:r>
      <w:r w:rsidRPr="002A0D74">
        <w:rPr>
          <w:rFonts w:ascii="Times New Roman" w:hAnsi="Times New Roman" w:cs="Times New Roman"/>
          <w:sz w:val="24"/>
          <w:szCs w:val="24"/>
        </w:rPr>
        <w:t>(2), 223-232.</w:t>
      </w:r>
    </w:p>
    <w:p w14:paraId="6B480A94"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5" w:name="_Hlk188034554"/>
      <w:proofErr w:type="spellStart"/>
      <w:r w:rsidRPr="00F02313">
        <w:rPr>
          <w:rFonts w:ascii="Times New Roman" w:hAnsi="Times New Roman" w:cs="Times New Roman"/>
          <w:sz w:val="24"/>
          <w:szCs w:val="24"/>
        </w:rPr>
        <w:t>Ourahou</w:t>
      </w:r>
      <w:proofErr w:type="spellEnd"/>
      <w:r w:rsidRPr="00F02313">
        <w:rPr>
          <w:rFonts w:ascii="Times New Roman" w:hAnsi="Times New Roman" w:cs="Times New Roman"/>
          <w:sz w:val="24"/>
          <w:szCs w:val="24"/>
        </w:rPr>
        <w:t xml:space="preserve">, </w:t>
      </w:r>
      <w:bookmarkEnd w:id="15"/>
      <w:r w:rsidRPr="00F02313">
        <w:rPr>
          <w:rFonts w:ascii="Times New Roman" w:hAnsi="Times New Roman" w:cs="Times New Roman"/>
          <w:sz w:val="24"/>
          <w:szCs w:val="24"/>
        </w:rPr>
        <w:t xml:space="preserve">M., </w:t>
      </w:r>
      <w:proofErr w:type="spellStart"/>
      <w:r w:rsidRPr="00F02313">
        <w:rPr>
          <w:rFonts w:ascii="Times New Roman" w:hAnsi="Times New Roman" w:cs="Times New Roman"/>
          <w:sz w:val="24"/>
          <w:szCs w:val="24"/>
        </w:rPr>
        <w:t>Ayrir</w:t>
      </w:r>
      <w:proofErr w:type="spellEnd"/>
      <w:r w:rsidRPr="00F02313">
        <w:rPr>
          <w:rFonts w:ascii="Times New Roman" w:hAnsi="Times New Roman" w:cs="Times New Roman"/>
          <w:sz w:val="24"/>
          <w:szCs w:val="24"/>
        </w:rPr>
        <w:t>, W., Hassouni, B. E., &amp; Haddi, A. (2020). Review on smart grid control and reliability in presence of renewable energies: Challenges and prospects. </w:t>
      </w:r>
      <w:r w:rsidRPr="00F02313">
        <w:rPr>
          <w:rFonts w:ascii="Times New Roman" w:hAnsi="Times New Roman" w:cs="Times New Roman"/>
          <w:i/>
          <w:iCs/>
          <w:sz w:val="24"/>
          <w:szCs w:val="24"/>
        </w:rPr>
        <w:t>Mathematics and computers in simulation</w:t>
      </w:r>
      <w:r w:rsidRPr="00F02313">
        <w:rPr>
          <w:rFonts w:ascii="Times New Roman" w:hAnsi="Times New Roman" w:cs="Times New Roman"/>
          <w:sz w:val="24"/>
          <w:szCs w:val="24"/>
        </w:rPr>
        <w:t>, </w:t>
      </w:r>
      <w:r w:rsidRPr="00F02313">
        <w:rPr>
          <w:rFonts w:ascii="Times New Roman" w:hAnsi="Times New Roman" w:cs="Times New Roman"/>
          <w:i/>
          <w:iCs/>
          <w:sz w:val="24"/>
          <w:szCs w:val="24"/>
        </w:rPr>
        <w:t>167</w:t>
      </w:r>
      <w:r w:rsidRPr="00F02313">
        <w:rPr>
          <w:rFonts w:ascii="Times New Roman" w:hAnsi="Times New Roman" w:cs="Times New Roman"/>
          <w:sz w:val="24"/>
          <w:szCs w:val="24"/>
        </w:rPr>
        <w:t>, 19-31.</w:t>
      </w:r>
    </w:p>
    <w:p w14:paraId="45CAD06B"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6" w:name="_Hlk188034569"/>
      <w:r w:rsidRPr="00F02313">
        <w:rPr>
          <w:rFonts w:ascii="Times New Roman" w:hAnsi="Times New Roman" w:cs="Times New Roman"/>
          <w:sz w:val="24"/>
          <w:szCs w:val="24"/>
        </w:rPr>
        <w:t xml:space="preserve">Owusu, P. A., &amp; </w:t>
      </w:r>
      <w:proofErr w:type="spellStart"/>
      <w:r w:rsidRPr="00F02313">
        <w:rPr>
          <w:rFonts w:ascii="Times New Roman" w:hAnsi="Times New Roman" w:cs="Times New Roman"/>
          <w:sz w:val="24"/>
          <w:szCs w:val="24"/>
        </w:rPr>
        <w:t>Asumadu</w:t>
      </w:r>
      <w:proofErr w:type="spellEnd"/>
      <w:r w:rsidRPr="00F02313">
        <w:rPr>
          <w:rFonts w:ascii="Times New Roman" w:hAnsi="Times New Roman" w:cs="Times New Roman"/>
          <w:sz w:val="24"/>
          <w:szCs w:val="24"/>
        </w:rPr>
        <w:t>-Sarkodie, S. (2016</w:t>
      </w:r>
      <w:bookmarkEnd w:id="16"/>
      <w:r w:rsidRPr="00F02313">
        <w:rPr>
          <w:rFonts w:ascii="Times New Roman" w:hAnsi="Times New Roman" w:cs="Times New Roman"/>
          <w:sz w:val="24"/>
          <w:szCs w:val="24"/>
        </w:rPr>
        <w:t>). A review of renewable energy sources, sustainability issues and climate change mitigation. </w:t>
      </w:r>
      <w:r w:rsidRPr="00F02313">
        <w:rPr>
          <w:rFonts w:ascii="Times New Roman" w:hAnsi="Times New Roman" w:cs="Times New Roman"/>
          <w:i/>
          <w:iCs/>
          <w:sz w:val="24"/>
          <w:szCs w:val="24"/>
        </w:rPr>
        <w:t>Cogent Engineering</w:t>
      </w:r>
      <w:r w:rsidRPr="00F02313">
        <w:rPr>
          <w:rFonts w:ascii="Times New Roman" w:hAnsi="Times New Roman" w:cs="Times New Roman"/>
          <w:sz w:val="24"/>
          <w:szCs w:val="24"/>
        </w:rPr>
        <w:t>, </w:t>
      </w:r>
      <w:r w:rsidRPr="00F02313">
        <w:rPr>
          <w:rFonts w:ascii="Times New Roman" w:hAnsi="Times New Roman" w:cs="Times New Roman"/>
          <w:i/>
          <w:iCs/>
          <w:sz w:val="24"/>
          <w:szCs w:val="24"/>
        </w:rPr>
        <w:t>3</w:t>
      </w:r>
      <w:r w:rsidRPr="00F02313">
        <w:rPr>
          <w:rFonts w:ascii="Times New Roman" w:hAnsi="Times New Roman" w:cs="Times New Roman"/>
          <w:sz w:val="24"/>
          <w:szCs w:val="24"/>
        </w:rPr>
        <w:t>(1), 1167990.</w:t>
      </w:r>
    </w:p>
    <w:p w14:paraId="10AA6E11"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 xml:space="preserve">Özel, T., Shokri, H., &amp; Loizeau, R. (2023). A review on wire-fed directed energy </w:t>
      </w:r>
      <w:proofErr w:type="gramStart"/>
      <w:r w:rsidRPr="002A0D74">
        <w:rPr>
          <w:rFonts w:ascii="Times New Roman" w:hAnsi="Times New Roman" w:cs="Times New Roman"/>
          <w:color w:val="222222"/>
          <w:sz w:val="24"/>
          <w:szCs w:val="24"/>
          <w:shd w:val="clear" w:color="auto" w:fill="FFFFFF"/>
        </w:rPr>
        <w:t>deposition based</w:t>
      </w:r>
      <w:proofErr w:type="gramEnd"/>
      <w:r w:rsidRPr="002A0D74">
        <w:rPr>
          <w:rFonts w:ascii="Times New Roman" w:hAnsi="Times New Roman" w:cs="Times New Roman"/>
          <w:color w:val="222222"/>
          <w:sz w:val="24"/>
          <w:szCs w:val="24"/>
          <w:shd w:val="clear" w:color="auto" w:fill="FFFFFF"/>
        </w:rPr>
        <w:t xml:space="preserve"> metal additive manufacturing. </w:t>
      </w:r>
      <w:r w:rsidRPr="002A0D74">
        <w:rPr>
          <w:rFonts w:ascii="Times New Roman" w:hAnsi="Times New Roman" w:cs="Times New Roman"/>
          <w:i/>
          <w:iCs/>
          <w:color w:val="222222"/>
          <w:sz w:val="24"/>
          <w:szCs w:val="24"/>
          <w:shd w:val="clear" w:color="auto" w:fill="FFFFFF"/>
        </w:rPr>
        <w:t>Journal of Manufacturing and Materials Processing</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7</w:t>
      </w:r>
      <w:r w:rsidRPr="002A0D74">
        <w:rPr>
          <w:rFonts w:ascii="Times New Roman" w:hAnsi="Times New Roman" w:cs="Times New Roman"/>
          <w:color w:val="222222"/>
          <w:sz w:val="24"/>
          <w:szCs w:val="24"/>
          <w:shd w:val="clear" w:color="auto" w:fill="FFFFFF"/>
        </w:rPr>
        <w:t>(1), 45.</w:t>
      </w:r>
    </w:p>
    <w:p w14:paraId="754D49CE"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Pamungkas</w:t>
      </w:r>
      <w:proofErr w:type="spellEnd"/>
      <w:r w:rsidRPr="002A0D74">
        <w:rPr>
          <w:rFonts w:ascii="Times New Roman" w:hAnsi="Times New Roman" w:cs="Times New Roman"/>
          <w:sz w:val="24"/>
          <w:szCs w:val="24"/>
        </w:rPr>
        <w:t xml:space="preserve">, S. F., </w:t>
      </w:r>
      <w:proofErr w:type="spellStart"/>
      <w:r w:rsidRPr="002A0D74">
        <w:rPr>
          <w:rFonts w:ascii="Times New Roman" w:hAnsi="Times New Roman" w:cs="Times New Roman"/>
          <w:sz w:val="24"/>
          <w:szCs w:val="24"/>
        </w:rPr>
        <w:t>Widiastuti</w:t>
      </w:r>
      <w:proofErr w:type="spellEnd"/>
      <w:r w:rsidRPr="002A0D74">
        <w:rPr>
          <w:rFonts w:ascii="Times New Roman" w:hAnsi="Times New Roman" w:cs="Times New Roman"/>
          <w:sz w:val="24"/>
          <w:szCs w:val="24"/>
        </w:rPr>
        <w:t xml:space="preserve">, I., &amp; </w:t>
      </w:r>
      <w:proofErr w:type="spellStart"/>
      <w:r w:rsidRPr="002A0D74">
        <w:rPr>
          <w:rFonts w:ascii="Times New Roman" w:hAnsi="Times New Roman" w:cs="Times New Roman"/>
          <w:sz w:val="24"/>
          <w:szCs w:val="24"/>
        </w:rPr>
        <w:t>Suharno</w:t>
      </w:r>
      <w:proofErr w:type="spellEnd"/>
      <w:r w:rsidRPr="002A0D74">
        <w:rPr>
          <w:rFonts w:ascii="Times New Roman" w:hAnsi="Times New Roman" w:cs="Times New Roman"/>
          <w:sz w:val="24"/>
          <w:szCs w:val="24"/>
        </w:rPr>
        <w:t>, S. (2019, June). Kolb’s experiential learning for vocational education in mechanical engineering: A review. In </w:t>
      </w:r>
      <w:r w:rsidRPr="002A0D74">
        <w:rPr>
          <w:rFonts w:ascii="Times New Roman" w:hAnsi="Times New Roman" w:cs="Times New Roman"/>
          <w:i/>
          <w:iCs/>
          <w:sz w:val="24"/>
          <w:szCs w:val="24"/>
        </w:rPr>
        <w:t>AIP Conference Proceedings</w:t>
      </w:r>
      <w:r w:rsidRPr="002A0D74">
        <w:rPr>
          <w:rFonts w:ascii="Times New Roman" w:hAnsi="Times New Roman" w:cs="Times New Roman"/>
          <w:sz w:val="24"/>
          <w:szCs w:val="24"/>
        </w:rPr>
        <w:t> (Vol. 2114, No. 1). AIP Publishing.</w:t>
      </w:r>
    </w:p>
    <w:p w14:paraId="3115568D"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7" w:name="_Hlk188034597"/>
      <w:r w:rsidRPr="00F02313">
        <w:rPr>
          <w:rFonts w:ascii="Times New Roman" w:hAnsi="Times New Roman" w:cs="Times New Roman"/>
          <w:sz w:val="24"/>
          <w:szCs w:val="24"/>
        </w:rPr>
        <w:t>Panda, D. K., &amp; Das, S. (2021</w:t>
      </w:r>
      <w:bookmarkEnd w:id="17"/>
      <w:r w:rsidRPr="00F02313">
        <w:rPr>
          <w:rFonts w:ascii="Times New Roman" w:hAnsi="Times New Roman" w:cs="Times New Roman"/>
          <w:sz w:val="24"/>
          <w:szCs w:val="24"/>
        </w:rPr>
        <w:t>). Smart grid architecture model for control, optimization and data analytics of future power networks with more renewable energy. </w:t>
      </w:r>
      <w:r w:rsidRPr="00F02313">
        <w:rPr>
          <w:rFonts w:ascii="Times New Roman" w:hAnsi="Times New Roman" w:cs="Times New Roman"/>
          <w:i/>
          <w:iCs/>
          <w:sz w:val="24"/>
          <w:szCs w:val="24"/>
        </w:rPr>
        <w:t>Journal of Cleaner Production</w:t>
      </w:r>
      <w:r w:rsidRPr="00F02313">
        <w:rPr>
          <w:rFonts w:ascii="Times New Roman" w:hAnsi="Times New Roman" w:cs="Times New Roman"/>
          <w:sz w:val="24"/>
          <w:szCs w:val="24"/>
        </w:rPr>
        <w:t>, </w:t>
      </w:r>
      <w:r w:rsidRPr="00F02313">
        <w:rPr>
          <w:rFonts w:ascii="Times New Roman" w:hAnsi="Times New Roman" w:cs="Times New Roman"/>
          <w:i/>
          <w:iCs/>
          <w:sz w:val="24"/>
          <w:szCs w:val="24"/>
        </w:rPr>
        <w:t>301</w:t>
      </w:r>
      <w:r w:rsidRPr="00F02313">
        <w:rPr>
          <w:rFonts w:ascii="Times New Roman" w:hAnsi="Times New Roman" w:cs="Times New Roman"/>
          <w:sz w:val="24"/>
          <w:szCs w:val="24"/>
        </w:rPr>
        <w:t>, 126877.</w:t>
      </w:r>
    </w:p>
    <w:p w14:paraId="1AA63CA9"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8" w:name="_Hlk188034617"/>
      <w:r w:rsidRPr="00F02313">
        <w:rPr>
          <w:rFonts w:ascii="Times New Roman" w:hAnsi="Times New Roman" w:cs="Times New Roman"/>
          <w:sz w:val="24"/>
          <w:szCs w:val="24"/>
        </w:rPr>
        <w:t xml:space="preserve">Panda, </w:t>
      </w:r>
      <w:bookmarkEnd w:id="18"/>
      <w:r w:rsidRPr="00F02313">
        <w:rPr>
          <w:rFonts w:ascii="Times New Roman" w:hAnsi="Times New Roman" w:cs="Times New Roman"/>
          <w:sz w:val="24"/>
          <w:szCs w:val="24"/>
        </w:rPr>
        <w:t>S., Mohanty, S., Rout, P. K., Sahu, B. K., Parida, S. M., Samanta, I. S., ... &amp; Prokop, L. (2023). A comprehensive review on demand side management and market design for renewable energy support and integration. </w:t>
      </w:r>
      <w:r w:rsidRPr="00F02313">
        <w:rPr>
          <w:rFonts w:ascii="Times New Roman" w:hAnsi="Times New Roman" w:cs="Times New Roman"/>
          <w:i/>
          <w:iCs/>
          <w:sz w:val="24"/>
          <w:szCs w:val="24"/>
        </w:rPr>
        <w:t>Energy Reports</w:t>
      </w:r>
      <w:r w:rsidRPr="00F02313">
        <w:rPr>
          <w:rFonts w:ascii="Times New Roman" w:hAnsi="Times New Roman" w:cs="Times New Roman"/>
          <w:sz w:val="24"/>
          <w:szCs w:val="24"/>
        </w:rPr>
        <w:t>, </w:t>
      </w:r>
      <w:r w:rsidRPr="00F02313">
        <w:rPr>
          <w:rFonts w:ascii="Times New Roman" w:hAnsi="Times New Roman" w:cs="Times New Roman"/>
          <w:i/>
          <w:iCs/>
          <w:sz w:val="24"/>
          <w:szCs w:val="24"/>
        </w:rPr>
        <w:t>10</w:t>
      </w:r>
      <w:r w:rsidRPr="00F02313">
        <w:rPr>
          <w:rFonts w:ascii="Times New Roman" w:hAnsi="Times New Roman" w:cs="Times New Roman"/>
          <w:sz w:val="24"/>
          <w:szCs w:val="24"/>
        </w:rPr>
        <w:t>, 2228-2250.</w:t>
      </w:r>
    </w:p>
    <w:p w14:paraId="7671E646"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Panicker, S. (2023). Knowledge-based Modelling of Additive Manufacturing for Sustainability Performance Analysis and Decision Making.</w:t>
      </w:r>
    </w:p>
    <w:p w14:paraId="0A9C0531"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9" w:name="_Hlk188034632"/>
      <w:r w:rsidRPr="00F02313">
        <w:rPr>
          <w:rFonts w:ascii="Times New Roman" w:hAnsi="Times New Roman" w:cs="Times New Roman"/>
          <w:sz w:val="24"/>
          <w:szCs w:val="24"/>
        </w:rPr>
        <w:t xml:space="preserve">Papadis, E., &amp; </w:t>
      </w:r>
      <w:proofErr w:type="spellStart"/>
      <w:r w:rsidRPr="00F02313">
        <w:rPr>
          <w:rFonts w:ascii="Times New Roman" w:hAnsi="Times New Roman" w:cs="Times New Roman"/>
          <w:sz w:val="24"/>
          <w:szCs w:val="24"/>
        </w:rPr>
        <w:t>Tsatsaronis</w:t>
      </w:r>
      <w:proofErr w:type="spellEnd"/>
      <w:r w:rsidRPr="00F02313">
        <w:rPr>
          <w:rFonts w:ascii="Times New Roman" w:hAnsi="Times New Roman" w:cs="Times New Roman"/>
          <w:sz w:val="24"/>
          <w:szCs w:val="24"/>
        </w:rPr>
        <w:t>, G. (2020</w:t>
      </w:r>
      <w:bookmarkEnd w:id="19"/>
      <w:r w:rsidRPr="00F02313">
        <w:rPr>
          <w:rFonts w:ascii="Times New Roman" w:hAnsi="Times New Roman" w:cs="Times New Roman"/>
          <w:sz w:val="24"/>
          <w:szCs w:val="24"/>
        </w:rPr>
        <w:t>). Challenges in the decarbonization of the energy sector. </w:t>
      </w:r>
      <w:r w:rsidRPr="00F02313">
        <w:rPr>
          <w:rFonts w:ascii="Times New Roman" w:hAnsi="Times New Roman" w:cs="Times New Roman"/>
          <w:i/>
          <w:iCs/>
          <w:sz w:val="24"/>
          <w:szCs w:val="24"/>
        </w:rPr>
        <w:t>Energy</w:t>
      </w:r>
      <w:r w:rsidRPr="00F02313">
        <w:rPr>
          <w:rFonts w:ascii="Times New Roman" w:hAnsi="Times New Roman" w:cs="Times New Roman"/>
          <w:sz w:val="24"/>
          <w:szCs w:val="24"/>
        </w:rPr>
        <w:t>, </w:t>
      </w:r>
      <w:r w:rsidRPr="00F02313">
        <w:rPr>
          <w:rFonts w:ascii="Times New Roman" w:hAnsi="Times New Roman" w:cs="Times New Roman"/>
          <w:i/>
          <w:iCs/>
          <w:sz w:val="24"/>
          <w:szCs w:val="24"/>
        </w:rPr>
        <w:t>205</w:t>
      </w:r>
      <w:r w:rsidRPr="00F02313">
        <w:rPr>
          <w:rFonts w:ascii="Times New Roman" w:hAnsi="Times New Roman" w:cs="Times New Roman"/>
          <w:sz w:val="24"/>
          <w:szCs w:val="24"/>
        </w:rPr>
        <w:t>, 118025.</w:t>
      </w:r>
    </w:p>
    <w:p w14:paraId="1E7FE2B9"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Patra, S., Ajayan, P. M., &amp; Narayanan, T. N. (2021). Dynamic mechanical analysis in materials science: The Novice’s Tale. </w:t>
      </w:r>
      <w:r w:rsidRPr="002A0D74">
        <w:rPr>
          <w:rFonts w:ascii="Times New Roman" w:hAnsi="Times New Roman" w:cs="Times New Roman"/>
          <w:i/>
          <w:iCs/>
          <w:sz w:val="24"/>
          <w:szCs w:val="24"/>
        </w:rPr>
        <w:t>Oxford Open Materials Science</w:t>
      </w:r>
      <w:r w:rsidRPr="002A0D74">
        <w:rPr>
          <w:rFonts w:ascii="Times New Roman" w:hAnsi="Times New Roman" w:cs="Times New Roman"/>
          <w:sz w:val="24"/>
          <w:szCs w:val="24"/>
        </w:rPr>
        <w:t>, </w:t>
      </w:r>
      <w:r w:rsidRPr="002A0D74">
        <w:rPr>
          <w:rFonts w:ascii="Times New Roman" w:hAnsi="Times New Roman" w:cs="Times New Roman"/>
          <w:i/>
          <w:iCs/>
          <w:sz w:val="24"/>
          <w:szCs w:val="24"/>
        </w:rPr>
        <w:t>1</w:t>
      </w:r>
      <w:r w:rsidRPr="002A0D74">
        <w:rPr>
          <w:rFonts w:ascii="Times New Roman" w:hAnsi="Times New Roman" w:cs="Times New Roman"/>
          <w:sz w:val="24"/>
          <w:szCs w:val="24"/>
        </w:rPr>
        <w:t>(1), itaa001.</w:t>
      </w:r>
    </w:p>
    <w:p w14:paraId="2B299658"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Pecoraro, E., Pizzo, B., Salvini, A., &amp; </w:t>
      </w:r>
      <w:proofErr w:type="spellStart"/>
      <w:r w:rsidRPr="002A0D74">
        <w:rPr>
          <w:rFonts w:ascii="Times New Roman" w:hAnsi="Times New Roman" w:cs="Times New Roman"/>
          <w:sz w:val="24"/>
          <w:szCs w:val="24"/>
        </w:rPr>
        <w:t>Macchioni</w:t>
      </w:r>
      <w:proofErr w:type="spellEnd"/>
      <w:r w:rsidRPr="002A0D74">
        <w:rPr>
          <w:rFonts w:ascii="Times New Roman" w:hAnsi="Times New Roman" w:cs="Times New Roman"/>
          <w:sz w:val="24"/>
          <w:szCs w:val="24"/>
        </w:rPr>
        <w:t xml:space="preserve">, N. (2019). Dynamic mechanical analysis (DMA) at room temperature of archaeological wood treated with various </w:t>
      </w:r>
      <w:proofErr w:type="spellStart"/>
      <w:r w:rsidRPr="002A0D74">
        <w:rPr>
          <w:rFonts w:ascii="Times New Roman" w:hAnsi="Times New Roman" w:cs="Times New Roman"/>
          <w:sz w:val="24"/>
          <w:szCs w:val="24"/>
        </w:rPr>
        <w:t>consolidants</w:t>
      </w:r>
      <w:proofErr w:type="spellEnd"/>
      <w:r w:rsidRPr="002A0D74">
        <w:rPr>
          <w:rFonts w:ascii="Times New Roman" w:hAnsi="Times New Roman" w:cs="Times New Roman"/>
          <w:sz w:val="24"/>
          <w:szCs w:val="24"/>
        </w:rPr>
        <w:t>. </w:t>
      </w:r>
      <w:proofErr w:type="spellStart"/>
      <w:r w:rsidRPr="002A0D74">
        <w:rPr>
          <w:rFonts w:ascii="Times New Roman" w:hAnsi="Times New Roman" w:cs="Times New Roman"/>
          <w:i/>
          <w:iCs/>
          <w:sz w:val="24"/>
          <w:szCs w:val="24"/>
        </w:rPr>
        <w:t>Holzforschung</w:t>
      </w:r>
      <w:proofErr w:type="spellEnd"/>
      <w:r w:rsidRPr="002A0D74">
        <w:rPr>
          <w:rFonts w:ascii="Times New Roman" w:hAnsi="Times New Roman" w:cs="Times New Roman"/>
          <w:sz w:val="24"/>
          <w:szCs w:val="24"/>
        </w:rPr>
        <w:t>, </w:t>
      </w:r>
      <w:r w:rsidRPr="002A0D74">
        <w:rPr>
          <w:rFonts w:ascii="Times New Roman" w:hAnsi="Times New Roman" w:cs="Times New Roman"/>
          <w:i/>
          <w:iCs/>
          <w:sz w:val="24"/>
          <w:szCs w:val="24"/>
        </w:rPr>
        <w:t>73</w:t>
      </w:r>
      <w:r w:rsidRPr="002A0D74">
        <w:rPr>
          <w:rFonts w:ascii="Times New Roman" w:hAnsi="Times New Roman" w:cs="Times New Roman"/>
          <w:sz w:val="24"/>
          <w:szCs w:val="24"/>
        </w:rPr>
        <w:t>(8), 757-772.</w:t>
      </w:r>
    </w:p>
    <w:p w14:paraId="75797E37"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20" w:name="_Hlk188034667"/>
      <w:proofErr w:type="spellStart"/>
      <w:r w:rsidRPr="00F02313">
        <w:rPr>
          <w:rFonts w:ascii="Times New Roman" w:hAnsi="Times New Roman" w:cs="Times New Roman"/>
          <w:sz w:val="24"/>
          <w:szCs w:val="24"/>
        </w:rPr>
        <w:t>Petinrin</w:t>
      </w:r>
      <w:proofErr w:type="spellEnd"/>
      <w:r w:rsidRPr="00F02313">
        <w:rPr>
          <w:rFonts w:ascii="Times New Roman" w:hAnsi="Times New Roman" w:cs="Times New Roman"/>
          <w:sz w:val="24"/>
          <w:szCs w:val="24"/>
        </w:rPr>
        <w:t xml:space="preserve">, J. O., &amp; </w:t>
      </w:r>
      <w:proofErr w:type="spellStart"/>
      <w:r w:rsidRPr="00F02313">
        <w:rPr>
          <w:rFonts w:ascii="Times New Roman" w:hAnsi="Times New Roman" w:cs="Times New Roman"/>
          <w:sz w:val="24"/>
          <w:szCs w:val="24"/>
        </w:rPr>
        <w:t>Shaabanb</w:t>
      </w:r>
      <w:proofErr w:type="spellEnd"/>
      <w:r w:rsidRPr="00F02313">
        <w:rPr>
          <w:rFonts w:ascii="Times New Roman" w:hAnsi="Times New Roman" w:cs="Times New Roman"/>
          <w:sz w:val="24"/>
          <w:szCs w:val="24"/>
        </w:rPr>
        <w:t>, M. (2016</w:t>
      </w:r>
      <w:bookmarkEnd w:id="20"/>
      <w:r w:rsidRPr="00F02313">
        <w:rPr>
          <w:rFonts w:ascii="Times New Roman" w:hAnsi="Times New Roman" w:cs="Times New Roman"/>
          <w:sz w:val="24"/>
          <w:szCs w:val="24"/>
        </w:rPr>
        <w:t>). Impact of renewable generation on voltage control in distribution systems. </w:t>
      </w:r>
      <w:r w:rsidRPr="00F02313">
        <w:rPr>
          <w:rFonts w:ascii="Times New Roman" w:hAnsi="Times New Roman" w:cs="Times New Roman"/>
          <w:i/>
          <w:iCs/>
          <w:sz w:val="24"/>
          <w:szCs w:val="24"/>
        </w:rPr>
        <w:t>Renewable and Sustainable Energy Reviews</w:t>
      </w:r>
      <w:r w:rsidRPr="00F02313">
        <w:rPr>
          <w:rFonts w:ascii="Times New Roman" w:hAnsi="Times New Roman" w:cs="Times New Roman"/>
          <w:sz w:val="24"/>
          <w:szCs w:val="24"/>
        </w:rPr>
        <w:t>, </w:t>
      </w:r>
      <w:r w:rsidRPr="00F02313">
        <w:rPr>
          <w:rFonts w:ascii="Times New Roman" w:hAnsi="Times New Roman" w:cs="Times New Roman"/>
          <w:i/>
          <w:iCs/>
          <w:sz w:val="24"/>
          <w:szCs w:val="24"/>
        </w:rPr>
        <w:t>65</w:t>
      </w:r>
      <w:r w:rsidRPr="00F02313">
        <w:rPr>
          <w:rFonts w:ascii="Times New Roman" w:hAnsi="Times New Roman" w:cs="Times New Roman"/>
          <w:sz w:val="24"/>
          <w:szCs w:val="24"/>
        </w:rPr>
        <w:t>, 770-783.</w:t>
      </w:r>
    </w:p>
    <w:p w14:paraId="50EBF26D"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Plocher, J., &amp; Panesar, A. (2019). Review on design and structural </w:t>
      </w:r>
      <w:proofErr w:type="spellStart"/>
      <w:r w:rsidRPr="002A0D74">
        <w:rPr>
          <w:rFonts w:ascii="Times New Roman" w:hAnsi="Times New Roman" w:cs="Times New Roman"/>
          <w:sz w:val="24"/>
          <w:szCs w:val="24"/>
        </w:rPr>
        <w:t>optimisation</w:t>
      </w:r>
      <w:proofErr w:type="spellEnd"/>
      <w:r w:rsidRPr="002A0D74">
        <w:rPr>
          <w:rFonts w:ascii="Times New Roman" w:hAnsi="Times New Roman" w:cs="Times New Roman"/>
          <w:sz w:val="24"/>
          <w:szCs w:val="24"/>
        </w:rPr>
        <w:t xml:space="preserve"> in additive manufacturing: Towards next-generation lightweight structures. </w:t>
      </w:r>
      <w:r w:rsidRPr="002A0D74">
        <w:rPr>
          <w:rFonts w:ascii="Times New Roman" w:hAnsi="Times New Roman" w:cs="Times New Roman"/>
          <w:i/>
          <w:iCs/>
          <w:sz w:val="24"/>
          <w:szCs w:val="24"/>
        </w:rPr>
        <w:t>Materials &amp; Design</w:t>
      </w:r>
      <w:r w:rsidRPr="002A0D74">
        <w:rPr>
          <w:rFonts w:ascii="Times New Roman" w:hAnsi="Times New Roman" w:cs="Times New Roman"/>
          <w:sz w:val="24"/>
          <w:szCs w:val="24"/>
        </w:rPr>
        <w:t>, </w:t>
      </w:r>
      <w:r w:rsidRPr="002A0D74">
        <w:rPr>
          <w:rFonts w:ascii="Times New Roman" w:hAnsi="Times New Roman" w:cs="Times New Roman"/>
          <w:i/>
          <w:iCs/>
          <w:sz w:val="24"/>
          <w:szCs w:val="24"/>
        </w:rPr>
        <w:t>183</w:t>
      </w:r>
      <w:r w:rsidRPr="002A0D74">
        <w:rPr>
          <w:rFonts w:ascii="Times New Roman" w:hAnsi="Times New Roman" w:cs="Times New Roman"/>
          <w:sz w:val="24"/>
          <w:szCs w:val="24"/>
        </w:rPr>
        <w:t>, 108164.</w:t>
      </w:r>
    </w:p>
    <w:p w14:paraId="06C00F8D"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Podgórski</w:t>
      </w:r>
      <w:proofErr w:type="spellEnd"/>
      <w:r w:rsidRPr="002A0D74">
        <w:rPr>
          <w:rFonts w:ascii="Times New Roman" w:hAnsi="Times New Roman" w:cs="Times New Roman"/>
          <w:sz w:val="24"/>
          <w:szCs w:val="24"/>
        </w:rPr>
        <w:t>, M., Spurgin, N., Mavila, S., &amp; Bowman, C. N. (2020). Mixed mechanisms of bond exchange in covalent adaptable networks: monitoring the contribution of reversible exchange and reversible addition in thiol–succinic anhydride dynamic networks. </w:t>
      </w:r>
      <w:r w:rsidRPr="002A0D74">
        <w:rPr>
          <w:rFonts w:ascii="Times New Roman" w:hAnsi="Times New Roman" w:cs="Times New Roman"/>
          <w:i/>
          <w:iCs/>
          <w:sz w:val="24"/>
          <w:szCs w:val="24"/>
        </w:rPr>
        <w:t>Polymer Chemistry</w:t>
      </w:r>
      <w:r w:rsidRPr="002A0D74">
        <w:rPr>
          <w:rFonts w:ascii="Times New Roman" w:hAnsi="Times New Roman" w:cs="Times New Roman"/>
          <w:sz w:val="24"/>
          <w:szCs w:val="24"/>
        </w:rPr>
        <w:t>, </w:t>
      </w:r>
      <w:r w:rsidRPr="002A0D74">
        <w:rPr>
          <w:rFonts w:ascii="Times New Roman" w:hAnsi="Times New Roman" w:cs="Times New Roman"/>
          <w:i/>
          <w:iCs/>
          <w:sz w:val="24"/>
          <w:szCs w:val="24"/>
        </w:rPr>
        <w:t>11</w:t>
      </w:r>
      <w:r w:rsidRPr="002A0D74">
        <w:rPr>
          <w:rFonts w:ascii="Times New Roman" w:hAnsi="Times New Roman" w:cs="Times New Roman"/>
          <w:sz w:val="24"/>
          <w:szCs w:val="24"/>
        </w:rPr>
        <w:t>(33), 5365-5376.</w:t>
      </w:r>
    </w:p>
    <w:p w14:paraId="1121406F"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lastRenderedPageBreak/>
        <w:t xml:space="preserve">Qian, Q., </w:t>
      </w:r>
      <w:proofErr w:type="spellStart"/>
      <w:r w:rsidRPr="002A0D74">
        <w:rPr>
          <w:rFonts w:ascii="Times New Roman" w:hAnsi="Times New Roman" w:cs="Times New Roman"/>
          <w:sz w:val="24"/>
          <w:szCs w:val="24"/>
        </w:rPr>
        <w:t>Asinger</w:t>
      </w:r>
      <w:proofErr w:type="spellEnd"/>
      <w:r w:rsidRPr="002A0D74">
        <w:rPr>
          <w:rFonts w:ascii="Times New Roman" w:hAnsi="Times New Roman" w:cs="Times New Roman"/>
          <w:sz w:val="24"/>
          <w:szCs w:val="24"/>
        </w:rPr>
        <w:t>, P. A., Lee, M. J., Han, G., Mizrahi Rodriguez, K., Lin, S., ... &amp; Smith, Z. P. (2020). MOF-based membranes for gas separations. </w:t>
      </w:r>
      <w:r w:rsidRPr="002A0D74">
        <w:rPr>
          <w:rFonts w:ascii="Times New Roman" w:hAnsi="Times New Roman" w:cs="Times New Roman"/>
          <w:i/>
          <w:iCs/>
          <w:sz w:val="24"/>
          <w:szCs w:val="24"/>
        </w:rPr>
        <w:t>Chemical reviews</w:t>
      </w:r>
      <w:r w:rsidRPr="002A0D74">
        <w:rPr>
          <w:rFonts w:ascii="Times New Roman" w:hAnsi="Times New Roman" w:cs="Times New Roman"/>
          <w:sz w:val="24"/>
          <w:szCs w:val="24"/>
        </w:rPr>
        <w:t>, </w:t>
      </w:r>
      <w:r w:rsidRPr="002A0D74">
        <w:rPr>
          <w:rFonts w:ascii="Times New Roman" w:hAnsi="Times New Roman" w:cs="Times New Roman"/>
          <w:i/>
          <w:iCs/>
          <w:sz w:val="24"/>
          <w:szCs w:val="24"/>
        </w:rPr>
        <w:t>120</w:t>
      </w:r>
      <w:r w:rsidRPr="002A0D74">
        <w:rPr>
          <w:rFonts w:ascii="Times New Roman" w:hAnsi="Times New Roman" w:cs="Times New Roman"/>
          <w:sz w:val="24"/>
          <w:szCs w:val="24"/>
        </w:rPr>
        <w:t>(16), 8161-8266.</w:t>
      </w:r>
    </w:p>
    <w:p w14:paraId="43B19C3E"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Ramasesh</w:t>
      </w:r>
      <w:proofErr w:type="spellEnd"/>
      <w:r w:rsidRPr="002A0D74">
        <w:rPr>
          <w:rFonts w:ascii="Times New Roman" w:hAnsi="Times New Roman" w:cs="Times New Roman"/>
          <w:sz w:val="24"/>
          <w:szCs w:val="24"/>
        </w:rPr>
        <w:t>, R. V., &amp; Browning, T. R. (2014). A conceptual framework for tackling knowable unknown unknowns in project management. </w:t>
      </w:r>
      <w:r w:rsidRPr="002A0D74">
        <w:rPr>
          <w:rFonts w:ascii="Times New Roman" w:hAnsi="Times New Roman" w:cs="Times New Roman"/>
          <w:i/>
          <w:iCs/>
          <w:sz w:val="24"/>
          <w:szCs w:val="24"/>
        </w:rPr>
        <w:t>Journal of operations management</w:t>
      </w:r>
      <w:r w:rsidRPr="002A0D74">
        <w:rPr>
          <w:rFonts w:ascii="Times New Roman" w:hAnsi="Times New Roman" w:cs="Times New Roman"/>
          <w:sz w:val="24"/>
          <w:szCs w:val="24"/>
        </w:rPr>
        <w:t>, </w:t>
      </w:r>
      <w:r w:rsidRPr="002A0D74">
        <w:rPr>
          <w:rFonts w:ascii="Times New Roman" w:hAnsi="Times New Roman" w:cs="Times New Roman"/>
          <w:i/>
          <w:iCs/>
          <w:sz w:val="24"/>
          <w:szCs w:val="24"/>
        </w:rPr>
        <w:t>32</w:t>
      </w:r>
      <w:r w:rsidRPr="002A0D74">
        <w:rPr>
          <w:rFonts w:ascii="Times New Roman" w:hAnsi="Times New Roman" w:cs="Times New Roman"/>
          <w:sz w:val="24"/>
          <w:szCs w:val="24"/>
        </w:rPr>
        <w:t>(4), 190-204.</w:t>
      </w:r>
    </w:p>
    <w:p w14:paraId="0FC3E007"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Ranjan, R., Samant, R., &amp; Anand, S. (2017). Integration of design for manufacturing methods with topology optimization in additive manufacturing. </w:t>
      </w:r>
      <w:r w:rsidRPr="002A0D74">
        <w:rPr>
          <w:rFonts w:ascii="Times New Roman" w:hAnsi="Times New Roman" w:cs="Times New Roman"/>
          <w:i/>
          <w:iCs/>
          <w:sz w:val="24"/>
          <w:szCs w:val="24"/>
        </w:rPr>
        <w:t>Journal of Manufacturing Science and Engineering</w:t>
      </w:r>
      <w:r w:rsidRPr="002A0D74">
        <w:rPr>
          <w:rFonts w:ascii="Times New Roman" w:hAnsi="Times New Roman" w:cs="Times New Roman"/>
          <w:sz w:val="24"/>
          <w:szCs w:val="24"/>
        </w:rPr>
        <w:t>, </w:t>
      </w:r>
      <w:r w:rsidRPr="002A0D74">
        <w:rPr>
          <w:rFonts w:ascii="Times New Roman" w:hAnsi="Times New Roman" w:cs="Times New Roman"/>
          <w:i/>
          <w:iCs/>
          <w:sz w:val="24"/>
          <w:szCs w:val="24"/>
        </w:rPr>
        <w:t>139</w:t>
      </w:r>
      <w:r w:rsidRPr="002A0D74">
        <w:rPr>
          <w:rFonts w:ascii="Times New Roman" w:hAnsi="Times New Roman" w:cs="Times New Roman"/>
          <w:sz w:val="24"/>
          <w:szCs w:val="24"/>
        </w:rPr>
        <w:t>(6), 061007.</w:t>
      </w:r>
    </w:p>
    <w:p w14:paraId="6876166D"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Ren, S., Zhang, Y., Liu, Y., Sakao, T., Huisingh, D., &amp; Almeida, C. M. (2019). A comprehensive review of big data analytics throughout product lifecycle to support sustainable smart manufacturing: A framework, challenges and future research directions. </w:t>
      </w:r>
      <w:r w:rsidRPr="002A0D74">
        <w:rPr>
          <w:rFonts w:ascii="Times New Roman" w:hAnsi="Times New Roman" w:cs="Times New Roman"/>
          <w:i/>
          <w:iCs/>
          <w:sz w:val="24"/>
          <w:szCs w:val="24"/>
        </w:rPr>
        <w:t>Journal of cleaner production</w:t>
      </w:r>
      <w:r w:rsidRPr="002A0D74">
        <w:rPr>
          <w:rFonts w:ascii="Times New Roman" w:hAnsi="Times New Roman" w:cs="Times New Roman"/>
          <w:sz w:val="24"/>
          <w:szCs w:val="24"/>
        </w:rPr>
        <w:t>, </w:t>
      </w:r>
      <w:r w:rsidRPr="002A0D74">
        <w:rPr>
          <w:rFonts w:ascii="Times New Roman" w:hAnsi="Times New Roman" w:cs="Times New Roman"/>
          <w:i/>
          <w:iCs/>
          <w:sz w:val="24"/>
          <w:szCs w:val="24"/>
        </w:rPr>
        <w:t>210</w:t>
      </w:r>
      <w:r w:rsidRPr="002A0D74">
        <w:rPr>
          <w:rFonts w:ascii="Times New Roman" w:hAnsi="Times New Roman" w:cs="Times New Roman"/>
          <w:sz w:val="24"/>
          <w:szCs w:val="24"/>
        </w:rPr>
        <w:t>, 1343-1365.</w:t>
      </w:r>
    </w:p>
    <w:p w14:paraId="1547420B"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21" w:name="_Hlk188034689"/>
      <w:proofErr w:type="spellStart"/>
      <w:r w:rsidRPr="00F02313">
        <w:rPr>
          <w:rFonts w:ascii="Times New Roman" w:hAnsi="Times New Roman" w:cs="Times New Roman"/>
          <w:sz w:val="24"/>
          <w:szCs w:val="24"/>
        </w:rPr>
        <w:t>Rocchetta</w:t>
      </w:r>
      <w:proofErr w:type="spellEnd"/>
      <w:r w:rsidRPr="00F02313">
        <w:rPr>
          <w:rFonts w:ascii="Times New Roman" w:hAnsi="Times New Roman" w:cs="Times New Roman"/>
          <w:sz w:val="24"/>
          <w:szCs w:val="24"/>
        </w:rPr>
        <w:t xml:space="preserve">, </w:t>
      </w:r>
      <w:bookmarkEnd w:id="21"/>
      <w:r w:rsidRPr="00F02313">
        <w:rPr>
          <w:rFonts w:ascii="Times New Roman" w:hAnsi="Times New Roman" w:cs="Times New Roman"/>
          <w:sz w:val="24"/>
          <w:szCs w:val="24"/>
        </w:rPr>
        <w:t xml:space="preserve">R., Bellani, L., Compare, M., Zio, E., &amp; </w:t>
      </w:r>
      <w:proofErr w:type="spellStart"/>
      <w:r w:rsidRPr="00F02313">
        <w:rPr>
          <w:rFonts w:ascii="Times New Roman" w:hAnsi="Times New Roman" w:cs="Times New Roman"/>
          <w:sz w:val="24"/>
          <w:szCs w:val="24"/>
        </w:rPr>
        <w:t>Patelli</w:t>
      </w:r>
      <w:proofErr w:type="spellEnd"/>
      <w:r w:rsidRPr="00F02313">
        <w:rPr>
          <w:rFonts w:ascii="Times New Roman" w:hAnsi="Times New Roman" w:cs="Times New Roman"/>
          <w:sz w:val="24"/>
          <w:szCs w:val="24"/>
        </w:rPr>
        <w:t>, E. (2019). A reinforcement learning framework for optimal operation and maintenance of power grids. </w:t>
      </w:r>
      <w:r w:rsidRPr="00F02313">
        <w:rPr>
          <w:rFonts w:ascii="Times New Roman" w:hAnsi="Times New Roman" w:cs="Times New Roman"/>
          <w:i/>
          <w:iCs/>
          <w:sz w:val="24"/>
          <w:szCs w:val="24"/>
        </w:rPr>
        <w:t>Applied energy</w:t>
      </w:r>
      <w:r w:rsidRPr="00F02313">
        <w:rPr>
          <w:rFonts w:ascii="Times New Roman" w:hAnsi="Times New Roman" w:cs="Times New Roman"/>
          <w:sz w:val="24"/>
          <w:szCs w:val="24"/>
        </w:rPr>
        <w:t>, </w:t>
      </w:r>
      <w:r w:rsidRPr="00F02313">
        <w:rPr>
          <w:rFonts w:ascii="Times New Roman" w:hAnsi="Times New Roman" w:cs="Times New Roman"/>
          <w:i/>
          <w:iCs/>
          <w:sz w:val="24"/>
          <w:szCs w:val="24"/>
        </w:rPr>
        <w:t>241</w:t>
      </w:r>
      <w:r w:rsidRPr="00F02313">
        <w:rPr>
          <w:rFonts w:ascii="Times New Roman" w:hAnsi="Times New Roman" w:cs="Times New Roman"/>
          <w:sz w:val="24"/>
          <w:szCs w:val="24"/>
        </w:rPr>
        <w:t>, 291-301.</w:t>
      </w:r>
    </w:p>
    <w:p w14:paraId="69BD6FCB"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22" w:name="_Hlk188034735"/>
      <w:r w:rsidRPr="00F02313">
        <w:rPr>
          <w:rFonts w:ascii="Times New Roman" w:hAnsi="Times New Roman" w:cs="Times New Roman"/>
          <w:sz w:val="24"/>
          <w:szCs w:val="24"/>
        </w:rPr>
        <w:t xml:space="preserve">Sadeeq, M. A., &amp; </w:t>
      </w:r>
      <w:proofErr w:type="spellStart"/>
      <w:r w:rsidRPr="00F02313">
        <w:rPr>
          <w:rFonts w:ascii="Times New Roman" w:hAnsi="Times New Roman" w:cs="Times New Roman"/>
          <w:sz w:val="24"/>
          <w:szCs w:val="24"/>
        </w:rPr>
        <w:t>Zeebaree</w:t>
      </w:r>
      <w:proofErr w:type="spellEnd"/>
      <w:r w:rsidRPr="00F02313">
        <w:rPr>
          <w:rFonts w:ascii="Times New Roman" w:hAnsi="Times New Roman" w:cs="Times New Roman"/>
          <w:sz w:val="24"/>
          <w:szCs w:val="24"/>
        </w:rPr>
        <w:t>, S. (2021</w:t>
      </w:r>
      <w:bookmarkEnd w:id="22"/>
      <w:r w:rsidRPr="00F02313">
        <w:rPr>
          <w:rFonts w:ascii="Times New Roman" w:hAnsi="Times New Roman" w:cs="Times New Roman"/>
          <w:sz w:val="24"/>
          <w:szCs w:val="24"/>
        </w:rPr>
        <w:t>). Energy management for internet of things via distributed systems. </w:t>
      </w:r>
      <w:r w:rsidRPr="00F02313">
        <w:rPr>
          <w:rFonts w:ascii="Times New Roman" w:hAnsi="Times New Roman" w:cs="Times New Roman"/>
          <w:i/>
          <w:iCs/>
          <w:sz w:val="24"/>
          <w:szCs w:val="24"/>
        </w:rPr>
        <w:t>Journal of Applied Science and Technology Trends</w:t>
      </w:r>
      <w:r w:rsidRPr="00F02313">
        <w:rPr>
          <w:rFonts w:ascii="Times New Roman" w:hAnsi="Times New Roman" w:cs="Times New Roman"/>
          <w:sz w:val="24"/>
          <w:szCs w:val="24"/>
        </w:rPr>
        <w:t>, </w:t>
      </w:r>
      <w:r w:rsidRPr="00F02313">
        <w:rPr>
          <w:rFonts w:ascii="Times New Roman" w:hAnsi="Times New Roman" w:cs="Times New Roman"/>
          <w:i/>
          <w:iCs/>
          <w:sz w:val="24"/>
          <w:szCs w:val="24"/>
        </w:rPr>
        <w:t>2</w:t>
      </w:r>
      <w:r w:rsidRPr="00F02313">
        <w:rPr>
          <w:rFonts w:ascii="Times New Roman" w:hAnsi="Times New Roman" w:cs="Times New Roman"/>
          <w:sz w:val="24"/>
          <w:szCs w:val="24"/>
        </w:rPr>
        <w:t>(02), 80-92.</w:t>
      </w:r>
    </w:p>
    <w:p w14:paraId="2376A9BF"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Saeedi, A., </w:t>
      </w:r>
      <w:proofErr w:type="spellStart"/>
      <w:r w:rsidRPr="002A0D74">
        <w:rPr>
          <w:rFonts w:ascii="Times New Roman" w:hAnsi="Times New Roman" w:cs="Times New Roman"/>
          <w:sz w:val="24"/>
          <w:szCs w:val="24"/>
        </w:rPr>
        <w:t>Eslami-Farsani</w:t>
      </w:r>
      <w:proofErr w:type="spellEnd"/>
      <w:r w:rsidRPr="002A0D74">
        <w:rPr>
          <w:rFonts w:ascii="Times New Roman" w:hAnsi="Times New Roman" w:cs="Times New Roman"/>
          <w:sz w:val="24"/>
          <w:szCs w:val="24"/>
        </w:rPr>
        <w:t xml:space="preserve">, R., </w:t>
      </w:r>
      <w:proofErr w:type="spellStart"/>
      <w:r w:rsidRPr="002A0D74">
        <w:rPr>
          <w:rFonts w:ascii="Times New Roman" w:hAnsi="Times New Roman" w:cs="Times New Roman"/>
          <w:sz w:val="24"/>
          <w:szCs w:val="24"/>
        </w:rPr>
        <w:t>Ebrahimnezhad-Khaljiri</w:t>
      </w:r>
      <w:proofErr w:type="spellEnd"/>
      <w:r w:rsidRPr="002A0D74">
        <w:rPr>
          <w:rFonts w:ascii="Times New Roman" w:hAnsi="Times New Roman" w:cs="Times New Roman"/>
          <w:sz w:val="24"/>
          <w:szCs w:val="24"/>
        </w:rPr>
        <w:t>, H., &amp; Najafi, M. (2022). Dynamic mechanical analysis of epoxy/natural fiber composites. In </w:t>
      </w:r>
      <w:r w:rsidRPr="002A0D74">
        <w:rPr>
          <w:rFonts w:ascii="Times New Roman" w:hAnsi="Times New Roman" w:cs="Times New Roman"/>
          <w:i/>
          <w:iCs/>
          <w:sz w:val="24"/>
          <w:szCs w:val="24"/>
        </w:rPr>
        <w:t>Handbook of Epoxy/Fiber Composites</w:t>
      </w:r>
      <w:r w:rsidRPr="002A0D74">
        <w:rPr>
          <w:rFonts w:ascii="Times New Roman" w:hAnsi="Times New Roman" w:cs="Times New Roman"/>
          <w:sz w:val="24"/>
          <w:szCs w:val="24"/>
        </w:rPr>
        <w:t> (pp. 1-28). Singapore: Springer Singapore.</w:t>
      </w:r>
    </w:p>
    <w:p w14:paraId="1A5AC68D"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23" w:name="_Hlk188034757"/>
      <w:r w:rsidRPr="00F02313">
        <w:rPr>
          <w:rFonts w:ascii="Times New Roman" w:hAnsi="Times New Roman" w:cs="Times New Roman"/>
          <w:sz w:val="24"/>
          <w:szCs w:val="24"/>
        </w:rPr>
        <w:t>Said, D. (2022</w:t>
      </w:r>
      <w:bookmarkEnd w:id="23"/>
      <w:r w:rsidRPr="00F02313">
        <w:rPr>
          <w:rFonts w:ascii="Times New Roman" w:hAnsi="Times New Roman" w:cs="Times New Roman"/>
          <w:sz w:val="24"/>
          <w:szCs w:val="24"/>
        </w:rPr>
        <w:t>). A survey on information communication technologies in modern demand-side management for smart grids: Challenges, solutions, and opportunities. </w:t>
      </w:r>
      <w:r w:rsidRPr="00F02313">
        <w:rPr>
          <w:rFonts w:ascii="Times New Roman" w:hAnsi="Times New Roman" w:cs="Times New Roman"/>
          <w:i/>
          <w:iCs/>
          <w:sz w:val="24"/>
          <w:szCs w:val="24"/>
        </w:rPr>
        <w:t>IEEE Engineering Management Review</w:t>
      </w:r>
      <w:r w:rsidRPr="00F02313">
        <w:rPr>
          <w:rFonts w:ascii="Times New Roman" w:hAnsi="Times New Roman" w:cs="Times New Roman"/>
          <w:sz w:val="24"/>
          <w:szCs w:val="24"/>
        </w:rPr>
        <w:t>, </w:t>
      </w:r>
      <w:r w:rsidRPr="00F02313">
        <w:rPr>
          <w:rFonts w:ascii="Times New Roman" w:hAnsi="Times New Roman" w:cs="Times New Roman"/>
          <w:i/>
          <w:iCs/>
          <w:sz w:val="24"/>
          <w:szCs w:val="24"/>
        </w:rPr>
        <w:t>51</w:t>
      </w:r>
      <w:r w:rsidRPr="00F02313">
        <w:rPr>
          <w:rFonts w:ascii="Times New Roman" w:hAnsi="Times New Roman" w:cs="Times New Roman"/>
          <w:sz w:val="24"/>
          <w:szCs w:val="24"/>
        </w:rPr>
        <w:t>(1), 76-107.</w:t>
      </w:r>
    </w:p>
    <w:p w14:paraId="277FD19C"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24" w:name="_Hlk188034773"/>
      <w:r w:rsidRPr="00F02313">
        <w:rPr>
          <w:rFonts w:ascii="Times New Roman" w:hAnsi="Times New Roman" w:cs="Times New Roman"/>
          <w:sz w:val="24"/>
          <w:szCs w:val="24"/>
        </w:rPr>
        <w:t>Sen, S., &amp; Ganguly, S. (2017</w:t>
      </w:r>
      <w:bookmarkEnd w:id="24"/>
      <w:r w:rsidRPr="00F02313">
        <w:rPr>
          <w:rFonts w:ascii="Times New Roman" w:hAnsi="Times New Roman" w:cs="Times New Roman"/>
          <w:sz w:val="24"/>
          <w:szCs w:val="24"/>
        </w:rPr>
        <w:t>). Opportunities, barriers and issues with renewable energy development–A discussion. </w:t>
      </w:r>
      <w:r w:rsidRPr="00F02313">
        <w:rPr>
          <w:rFonts w:ascii="Times New Roman" w:hAnsi="Times New Roman" w:cs="Times New Roman"/>
          <w:i/>
          <w:iCs/>
          <w:sz w:val="24"/>
          <w:szCs w:val="24"/>
        </w:rPr>
        <w:t>Renewable and sustainable energy reviews</w:t>
      </w:r>
      <w:r w:rsidRPr="00F02313">
        <w:rPr>
          <w:rFonts w:ascii="Times New Roman" w:hAnsi="Times New Roman" w:cs="Times New Roman"/>
          <w:sz w:val="24"/>
          <w:szCs w:val="24"/>
        </w:rPr>
        <w:t>, </w:t>
      </w:r>
      <w:r w:rsidRPr="00F02313">
        <w:rPr>
          <w:rFonts w:ascii="Times New Roman" w:hAnsi="Times New Roman" w:cs="Times New Roman"/>
          <w:i/>
          <w:iCs/>
          <w:sz w:val="24"/>
          <w:szCs w:val="24"/>
        </w:rPr>
        <w:t>69</w:t>
      </w:r>
      <w:r w:rsidRPr="00F02313">
        <w:rPr>
          <w:rFonts w:ascii="Times New Roman" w:hAnsi="Times New Roman" w:cs="Times New Roman"/>
          <w:sz w:val="24"/>
          <w:szCs w:val="24"/>
        </w:rPr>
        <w:t>, 1170-1181.</w:t>
      </w:r>
    </w:p>
    <w:p w14:paraId="6D9924F6"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Shi, L., Wang, J., Xu, S., Li, J., Chen, C., Hu, T., ... &amp; Ren, Z. (2023). Modeling of epitaxial growth of single crystal superalloys fabricated by directed energy deposition. </w:t>
      </w:r>
      <w:r w:rsidRPr="002A0D74">
        <w:rPr>
          <w:rFonts w:ascii="Times New Roman" w:hAnsi="Times New Roman" w:cs="Times New Roman"/>
          <w:i/>
          <w:iCs/>
          <w:color w:val="222222"/>
          <w:sz w:val="24"/>
          <w:szCs w:val="24"/>
          <w:shd w:val="clear" w:color="auto" w:fill="FFFFFF"/>
        </w:rPr>
        <w:t>Materials Today Communications</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35</w:t>
      </w:r>
      <w:r w:rsidRPr="002A0D74">
        <w:rPr>
          <w:rFonts w:ascii="Times New Roman" w:hAnsi="Times New Roman" w:cs="Times New Roman"/>
          <w:color w:val="222222"/>
          <w:sz w:val="24"/>
          <w:szCs w:val="24"/>
          <w:shd w:val="clear" w:color="auto" w:fill="FFFFFF"/>
        </w:rPr>
        <w:t>, 105899.</w:t>
      </w:r>
    </w:p>
    <w:p w14:paraId="272BE2A9"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25" w:name="_Hlk188034793"/>
      <w:r w:rsidRPr="00F02313">
        <w:rPr>
          <w:rFonts w:ascii="Times New Roman" w:hAnsi="Times New Roman" w:cs="Times New Roman"/>
          <w:sz w:val="24"/>
          <w:szCs w:val="24"/>
        </w:rPr>
        <w:t xml:space="preserve">Shi, </w:t>
      </w:r>
      <w:bookmarkEnd w:id="25"/>
      <w:r w:rsidRPr="00F02313">
        <w:rPr>
          <w:rFonts w:ascii="Times New Roman" w:hAnsi="Times New Roman" w:cs="Times New Roman"/>
          <w:sz w:val="24"/>
          <w:szCs w:val="24"/>
        </w:rPr>
        <w:t>Z., Yao, W., Li, Z., Zeng, L., Zhao, Y., Zhang, R., ... &amp; Wen, J. (2020). Artificial intelligence techniques for stability analysis and control in smart grids: Methodologies, applications, challenges and future directions. </w:t>
      </w:r>
      <w:r w:rsidRPr="00F02313">
        <w:rPr>
          <w:rFonts w:ascii="Times New Roman" w:hAnsi="Times New Roman" w:cs="Times New Roman"/>
          <w:i/>
          <w:iCs/>
          <w:sz w:val="24"/>
          <w:szCs w:val="24"/>
        </w:rPr>
        <w:t>Applied Energy</w:t>
      </w:r>
      <w:r w:rsidRPr="00F02313">
        <w:rPr>
          <w:rFonts w:ascii="Times New Roman" w:hAnsi="Times New Roman" w:cs="Times New Roman"/>
          <w:sz w:val="24"/>
          <w:szCs w:val="24"/>
        </w:rPr>
        <w:t>, </w:t>
      </w:r>
      <w:r w:rsidRPr="00F02313">
        <w:rPr>
          <w:rFonts w:ascii="Times New Roman" w:hAnsi="Times New Roman" w:cs="Times New Roman"/>
          <w:i/>
          <w:iCs/>
          <w:sz w:val="24"/>
          <w:szCs w:val="24"/>
        </w:rPr>
        <w:t>278</w:t>
      </w:r>
      <w:r w:rsidRPr="00F02313">
        <w:rPr>
          <w:rFonts w:ascii="Times New Roman" w:hAnsi="Times New Roman" w:cs="Times New Roman"/>
          <w:sz w:val="24"/>
          <w:szCs w:val="24"/>
        </w:rPr>
        <w:t>, 115733.</w:t>
      </w:r>
    </w:p>
    <w:p w14:paraId="59A33972"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Sridar, S., Sargent, N., Wang, X., Klecka, M. A., &amp; Xiong, W. (2022). Determination of location-specific solidification cracking susceptibility for a mixed dissimilar alloy processed by wire-arc additive manufacturing. </w:t>
      </w:r>
      <w:r w:rsidRPr="002A0D74">
        <w:rPr>
          <w:rFonts w:ascii="Times New Roman" w:hAnsi="Times New Roman" w:cs="Times New Roman"/>
          <w:i/>
          <w:iCs/>
          <w:color w:val="222222"/>
          <w:sz w:val="24"/>
          <w:szCs w:val="24"/>
          <w:shd w:val="clear" w:color="auto" w:fill="FFFFFF"/>
        </w:rPr>
        <w:t>Metals</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12</w:t>
      </w:r>
      <w:r w:rsidRPr="002A0D74">
        <w:rPr>
          <w:rFonts w:ascii="Times New Roman" w:hAnsi="Times New Roman" w:cs="Times New Roman"/>
          <w:color w:val="222222"/>
          <w:sz w:val="24"/>
          <w:szCs w:val="24"/>
          <w:shd w:val="clear" w:color="auto" w:fill="FFFFFF"/>
        </w:rPr>
        <w:t>(2), 284.</w:t>
      </w:r>
    </w:p>
    <w:p w14:paraId="65DFB243"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 xml:space="preserve">Srivastava, M., </w:t>
      </w:r>
      <w:proofErr w:type="spellStart"/>
      <w:r w:rsidRPr="002A0D74">
        <w:rPr>
          <w:rFonts w:ascii="Times New Roman" w:hAnsi="Times New Roman" w:cs="Times New Roman"/>
          <w:color w:val="222222"/>
          <w:sz w:val="24"/>
          <w:szCs w:val="24"/>
          <w:shd w:val="clear" w:color="auto" w:fill="FFFFFF"/>
        </w:rPr>
        <w:t>Rathee</w:t>
      </w:r>
      <w:proofErr w:type="spellEnd"/>
      <w:r w:rsidRPr="002A0D74">
        <w:rPr>
          <w:rFonts w:ascii="Times New Roman" w:hAnsi="Times New Roman" w:cs="Times New Roman"/>
          <w:color w:val="222222"/>
          <w:sz w:val="24"/>
          <w:szCs w:val="24"/>
          <w:shd w:val="clear" w:color="auto" w:fill="FFFFFF"/>
        </w:rPr>
        <w:t xml:space="preserve">, S., Tiwari, A., &amp; Dongre, M. (2023). Wire arc additive manufacturing of metals: A review on processes, materials and their </w:t>
      </w:r>
      <w:proofErr w:type="spellStart"/>
      <w:r w:rsidRPr="002A0D74">
        <w:rPr>
          <w:rFonts w:ascii="Times New Roman" w:hAnsi="Times New Roman" w:cs="Times New Roman"/>
          <w:color w:val="222222"/>
          <w:sz w:val="24"/>
          <w:szCs w:val="24"/>
          <w:shd w:val="clear" w:color="auto" w:fill="FFFFFF"/>
        </w:rPr>
        <w:t>behaviour</w:t>
      </w:r>
      <w:proofErr w:type="spellEnd"/>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Materials Chemistry and Physics</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294</w:t>
      </w:r>
      <w:r w:rsidRPr="002A0D74">
        <w:rPr>
          <w:rFonts w:ascii="Times New Roman" w:hAnsi="Times New Roman" w:cs="Times New Roman"/>
          <w:color w:val="222222"/>
          <w:sz w:val="24"/>
          <w:szCs w:val="24"/>
          <w:shd w:val="clear" w:color="auto" w:fill="FFFFFF"/>
        </w:rPr>
        <w:t>, 126988.</w:t>
      </w:r>
    </w:p>
    <w:p w14:paraId="51C6AB1A"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26" w:name="_Hlk188034810"/>
      <w:proofErr w:type="spellStart"/>
      <w:r w:rsidRPr="00F02313">
        <w:rPr>
          <w:rFonts w:ascii="Times New Roman" w:hAnsi="Times New Roman" w:cs="Times New Roman"/>
          <w:sz w:val="24"/>
          <w:szCs w:val="24"/>
        </w:rPr>
        <w:t>Suberu</w:t>
      </w:r>
      <w:proofErr w:type="spellEnd"/>
      <w:r w:rsidRPr="00F02313">
        <w:rPr>
          <w:rFonts w:ascii="Times New Roman" w:hAnsi="Times New Roman" w:cs="Times New Roman"/>
          <w:sz w:val="24"/>
          <w:szCs w:val="24"/>
        </w:rPr>
        <w:t>, M. Y., Mustafa, M. W., &amp; Bashir, N. (2014</w:t>
      </w:r>
      <w:bookmarkEnd w:id="26"/>
      <w:r w:rsidRPr="00F02313">
        <w:rPr>
          <w:rFonts w:ascii="Times New Roman" w:hAnsi="Times New Roman" w:cs="Times New Roman"/>
          <w:sz w:val="24"/>
          <w:szCs w:val="24"/>
        </w:rPr>
        <w:t>). Energy storage systems for renewable energy power sector integration and mitigation of intermittency. </w:t>
      </w:r>
      <w:r w:rsidRPr="00F02313">
        <w:rPr>
          <w:rFonts w:ascii="Times New Roman" w:hAnsi="Times New Roman" w:cs="Times New Roman"/>
          <w:i/>
          <w:iCs/>
          <w:sz w:val="24"/>
          <w:szCs w:val="24"/>
        </w:rPr>
        <w:t>Renewable and Sustainable Energy Reviews</w:t>
      </w:r>
      <w:r w:rsidRPr="00F02313">
        <w:rPr>
          <w:rFonts w:ascii="Times New Roman" w:hAnsi="Times New Roman" w:cs="Times New Roman"/>
          <w:sz w:val="24"/>
          <w:szCs w:val="24"/>
        </w:rPr>
        <w:t>, </w:t>
      </w:r>
      <w:r w:rsidRPr="00F02313">
        <w:rPr>
          <w:rFonts w:ascii="Times New Roman" w:hAnsi="Times New Roman" w:cs="Times New Roman"/>
          <w:i/>
          <w:iCs/>
          <w:sz w:val="24"/>
          <w:szCs w:val="24"/>
        </w:rPr>
        <w:t>35</w:t>
      </w:r>
      <w:r w:rsidRPr="00F02313">
        <w:rPr>
          <w:rFonts w:ascii="Times New Roman" w:hAnsi="Times New Roman" w:cs="Times New Roman"/>
          <w:sz w:val="24"/>
          <w:szCs w:val="24"/>
        </w:rPr>
        <w:t>, 499-514.</w:t>
      </w:r>
    </w:p>
    <w:p w14:paraId="4D9EDA76"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27" w:name="_Hlk188034832"/>
      <w:r w:rsidRPr="00F02313">
        <w:rPr>
          <w:rFonts w:ascii="Times New Roman" w:hAnsi="Times New Roman" w:cs="Times New Roman"/>
          <w:sz w:val="24"/>
          <w:szCs w:val="24"/>
        </w:rPr>
        <w:lastRenderedPageBreak/>
        <w:t xml:space="preserve">Thilakarathne, </w:t>
      </w:r>
      <w:bookmarkEnd w:id="27"/>
      <w:r w:rsidRPr="00F02313">
        <w:rPr>
          <w:rFonts w:ascii="Times New Roman" w:hAnsi="Times New Roman" w:cs="Times New Roman"/>
          <w:sz w:val="24"/>
          <w:szCs w:val="24"/>
        </w:rPr>
        <w:t xml:space="preserve">N. N., </w:t>
      </w:r>
      <w:proofErr w:type="spellStart"/>
      <w:r w:rsidRPr="00F02313">
        <w:rPr>
          <w:rFonts w:ascii="Times New Roman" w:hAnsi="Times New Roman" w:cs="Times New Roman"/>
          <w:sz w:val="24"/>
          <w:szCs w:val="24"/>
        </w:rPr>
        <w:t>Kagita</w:t>
      </w:r>
      <w:proofErr w:type="spellEnd"/>
      <w:r w:rsidRPr="00F02313">
        <w:rPr>
          <w:rFonts w:ascii="Times New Roman" w:hAnsi="Times New Roman" w:cs="Times New Roman"/>
          <w:sz w:val="24"/>
          <w:szCs w:val="24"/>
        </w:rPr>
        <w:t>, M. K., Lanka, S., &amp; Ahmad, H. (2020). Smart grid: a survey of architectural elements, machine learning and deep learning applications and future directions. </w:t>
      </w:r>
      <w:proofErr w:type="spellStart"/>
      <w:r w:rsidRPr="00F02313">
        <w:rPr>
          <w:rFonts w:ascii="Times New Roman" w:hAnsi="Times New Roman" w:cs="Times New Roman"/>
          <w:i/>
          <w:iCs/>
          <w:sz w:val="24"/>
          <w:szCs w:val="24"/>
        </w:rPr>
        <w:t>arXiv</w:t>
      </w:r>
      <w:proofErr w:type="spellEnd"/>
      <w:r w:rsidRPr="00F02313">
        <w:rPr>
          <w:rFonts w:ascii="Times New Roman" w:hAnsi="Times New Roman" w:cs="Times New Roman"/>
          <w:i/>
          <w:iCs/>
          <w:sz w:val="24"/>
          <w:szCs w:val="24"/>
        </w:rPr>
        <w:t xml:space="preserve"> preprint arXiv:2010.08094</w:t>
      </w:r>
      <w:r w:rsidRPr="00F02313">
        <w:rPr>
          <w:rFonts w:ascii="Times New Roman" w:hAnsi="Times New Roman" w:cs="Times New Roman"/>
          <w:sz w:val="24"/>
          <w:szCs w:val="24"/>
        </w:rPr>
        <w:t>.</w:t>
      </w:r>
    </w:p>
    <w:p w14:paraId="622FCEC9" w14:textId="77777777" w:rsidR="001634D7" w:rsidRPr="001634D7" w:rsidRDefault="001634D7" w:rsidP="001634D7">
      <w:pPr>
        <w:pStyle w:val="ListParagraph"/>
        <w:numPr>
          <w:ilvl w:val="0"/>
          <w:numId w:val="10"/>
        </w:numPr>
        <w:jc w:val="both"/>
        <w:rPr>
          <w:rFonts w:ascii="Times New Roman" w:hAnsi="Times New Roman" w:cs="Times New Roman"/>
          <w:sz w:val="24"/>
          <w:szCs w:val="24"/>
        </w:rPr>
      </w:pPr>
      <w:r w:rsidRPr="001634D7">
        <w:rPr>
          <w:rFonts w:ascii="Times New Roman" w:hAnsi="Times New Roman" w:cs="Times New Roman"/>
          <w:sz w:val="24"/>
          <w:szCs w:val="24"/>
        </w:rPr>
        <w:t>Ullah, F. U. M., Khan, N., Hussain, T., Lee, M. Y., &amp; Baik, S. W. (2021). Diving deep into short-term electricity load forecasting: comparative analysis and a novel framework. </w:t>
      </w:r>
      <w:r w:rsidRPr="001634D7">
        <w:rPr>
          <w:rFonts w:ascii="Times New Roman" w:hAnsi="Times New Roman" w:cs="Times New Roman"/>
          <w:i/>
          <w:iCs/>
          <w:sz w:val="24"/>
          <w:szCs w:val="24"/>
        </w:rPr>
        <w:t>Mathematics</w:t>
      </w:r>
      <w:r w:rsidRPr="001634D7">
        <w:rPr>
          <w:rFonts w:ascii="Times New Roman" w:hAnsi="Times New Roman" w:cs="Times New Roman"/>
          <w:sz w:val="24"/>
          <w:szCs w:val="24"/>
        </w:rPr>
        <w:t>, </w:t>
      </w:r>
      <w:r w:rsidRPr="001634D7">
        <w:rPr>
          <w:rFonts w:ascii="Times New Roman" w:hAnsi="Times New Roman" w:cs="Times New Roman"/>
          <w:i/>
          <w:iCs/>
          <w:sz w:val="24"/>
          <w:szCs w:val="24"/>
        </w:rPr>
        <w:t>9</w:t>
      </w:r>
      <w:r w:rsidRPr="001634D7">
        <w:rPr>
          <w:rFonts w:ascii="Times New Roman" w:hAnsi="Times New Roman" w:cs="Times New Roman"/>
          <w:sz w:val="24"/>
          <w:szCs w:val="24"/>
        </w:rPr>
        <w:t>(6), 611.</w:t>
      </w:r>
    </w:p>
    <w:p w14:paraId="5F1CE0C4"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Wall, A. (2023). </w:t>
      </w:r>
      <w:r w:rsidRPr="002A0D74">
        <w:rPr>
          <w:rFonts w:ascii="Times New Roman" w:hAnsi="Times New Roman" w:cs="Times New Roman"/>
          <w:i/>
          <w:iCs/>
          <w:color w:val="222222"/>
          <w:sz w:val="24"/>
          <w:szCs w:val="24"/>
          <w:shd w:val="clear" w:color="auto" w:fill="FFFFFF"/>
        </w:rPr>
        <w:t>On the development of a novel solidification crack test for additive manufacturing</w:t>
      </w:r>
      <w:r w:rsidRPr="002A0D74">
        <w:rPr>
          <w:rFonts w:ascii="Times New Roman" w:hAnsi="Times New Roman" w:cs="Times New Roman"/>
          <w:color w:val="222222"/>
          <w:sz w:val="24"/>
          <w:szCs w:val="24"/>
          <w:shd w:val="clear" w:color="auto" w:fill="FFFFFF"/>
        </w:rPr>
        <w:t> (Doctoral dissertation, University of British Columbia).</w:t>
      </w:r>
    </w:p>
    <w:p w14:paraId="71E7A0AF"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Xu, S., Lu, H., Wang, J., Shi, L., Chen, C., Hu, T., &amp; Ren, Z. (2023). Multi-scale modeling and experimental study on microstructure of Ni-based superalloys in additive manufacturing. </w:t>
      </w:r>
      <w:r w:rsidRPr="002A0D74">
        <w:rPr>
          <w:rFonts w:ascii="Times New Roman" w:hAnsi="Times New Roman" w:cs="Times New Roman"/>
          <w:i/>
          <w:iCs/>
          <w:color w:val="222222"/>
          <w:sz w:val="24"/>
          <w:szCs w:val="24"/>
          <w:shd w:val="clear" w:color="auto" w:fill="FFFFFF"/>
        </w:rPr>
        <w:t>Metallurgical and Materials Transactions A</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54</w:t>
      </w:r>
      <w:r w:rsidRPr="002A0D74">
        <w:rPr>
          <w:rFonts w:ascii="Times New Roman" w:hAnsi="Times New Roman" w:cs="Times New Roman"/>
          <w:color w:val="222222"/>
          <w:sz w:val="24"/>
          <w:szCs w:val="24"/>
          <w:shd w:val="clear" w:color="auto" w:fill="FFFFFF"/>
        </w:rPr>
        <w:t>(10), 3897-3911.</w:t>
      </w:r>
    </w:p>
    <w:p w14:paraId="5E0C3F7A"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Yuan, L., Ju, S., Huang, S., Spinelli, I., Yang, J., Shen, C., ... &amp; Kitt, A. (2023). Validation and application of cellular automaton model for microstructure evolution in IN718 during directed energy deposition. </w:t>
      </w:r>
      <w:r w:rsidRPr="002A0D74">
        <w:rPr>
          <w:rFonts w:ascii="Times New Roman" w:hAnsi="Times New Roman" w:cs="Times New Roman"/>
          <w:i/>
          <w:iCs/>
          <w:color w:val="222222"/>
          <w:sz w:val="24"/>
          <w:szCs w:val="24"/>
          <w:shd w:val="clear" w:color="auto" w:fill="FFFFFF"/>
        </w:rPr>
        <w:t>Computational Materials Science</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230</w:t>
      </w:r>
      <w:r w:rsidRPr="002A0D74">
        <w:rPr>
          <w:rFonts w:ascii="Times New Roman" w:hAnsi="Times New Roman" w:cs="Times New Roman"/>
          <w:color w:val="222222"/>
          <w:sz w:val="24"/>
          <w:szCs w:val="24"/>
          <w:shd w:val="clear" w:color="auto" w:fill="FFFFFF"/>
        </w:rPr>
        <w:t>, 112450.</w:t>
      </w:r>
    </w:p>
    <w:p w14:paraId="16EC065C" w14:textId="77777777" w:rsidR="001634D7" w:rsidRDefault="001634D7" w:rsidP="00300F7E">
      <w:pPr>
        <w:pStyle w:val="ListParagraph"/>
        <w:numPr>
          <w:ilvl w:val="0"/>
          <w:numId w:val="10"/>
        </w:numPr>
        <w:jc w:val="both"/>
        <w:rPr>
          <w:rFonts w:ascii="Times New Roman" w:hAnsi="Times New Roman" w:cs="Times New Roman"/>
          <w:sz w:val="24"/>
          <w:szCs w:val="24"/>
        </w:rPr>
      </w:pPr>
      <w:bookmarkStart w:id="28" w:name="_Hlk188034868"/>
      <w:r w:rsidRPr="00F02313">
        <w:rPr>
          <w:rFonts w:ascii="Times New Roman" w:hAnsi="Times New Roman" w:cs="Times New Roman"/>
          <w:sz w:val="24"/>
          <w:szCs w:val="24"/>
        </w:rPr>
        <w:t>Zhang, D., Han, X., &amp; Deng, C. (2018</w:t>
      </w:r>
      <w:bookmarkEnd w:id="28"/>
      <w:r w:rsidRPr="00F02313">
        <w:rPr>
          <w:rFonts w:ascii="Times New Roman" w:hAnsi="Times New Roman" w:cs="Times New Roman"/>
          <w:sz w:val="24"/>
          <w:szCs w:val="24"/>
        </w:rPr>
        <w:t>). Review on the research and practice of deep learning and reinforcement learning in smart grids. </w:t>
      </w:r>
      <w:r w:rsidRPr="00F02313">
        <w:rPr>
          <w:rFonts w:ascii="Times New Roman" w:hAnsi="Times New Roman" w:cs="Times New Roman"/>
          <w:i/>
          <w:iCs/>
          <w:sz w:val="24"/>
          <w:szCs w:val="24"/>
        </w:rPr>
        <w:t>CSEE Journal of Power and Energy Systems</w:t>
      </w:r>
      <w:r w:rsidRPr="00F02313">
        <w:rPr>
          <w:rFonts w:ascii="Times New Roman" w:hAnsi="Times New Roman" w:cs="Times New Roman"/>
          <w:sz w:val="24"/>
          <w:szCs w:val="24"/>
        </w:rPr>
        <w:t>, </w:t>
      </w:r>
      <w:r w:rsidRPr="00F02313">
        <w:rPr>
          <w:rFonts w:ascii="Times New Roman" w:hAnsi="Times New Roman" w:cs="Times New Roman"/>
          <w:i/>
          <w:iCs/>
          <w:sz w:val="24"/>
          <w:szCs w:val="24"/>
        </w:rPr>
        <w:t>4</w:t>
      </w:r>
      <w:r w:rsidRPr="00F02313">
        <w:rPr>
          <w:rFonts w:ascii="Times New Roman" w:hAnsi="Times New Roman" w:cs="Times New Roman"/>
          <w:sz w:val="24"/>
          <w:szCs w:val="24"/>
        </w:rPr>
        <w:t>(3), 362-370.</w:t>
      </w:r>
    </w:p>
    <w:p w14:paraId="77BCC57E"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Zhang, X., Gong, T., Xiao, Y., &amp; Sun, Y. (2023). Dynamic mechanical properties and penetration behavior of reactive nano-inorganic cement-based composites. </w:t>
      </w:r>
      <w:r w:rsidRPr="002A0D74">
        <w:rPr>
          <w:rFonts w:ascii="Times New Roman" w:hAnsi="Times New Roman" w:cs="Times New Roman"/>
          <w:i/>
          <w:iCs/>
          <w:sz w:val="24"/>
          <w:szCs w:val="24"/>
        </w:rPr>
        <w:t>International Journal of Impact Engineering</w:t>
      </w:r>
      <w:r w:rsidRPr="002A0D74">
        <w:rPr>
          <w:rFonts w:ascii="Times New Roman" w:hAnsi="Times New Roman" w:cs="Times New Roman"/>
          <w:sz w:val="24"/>
          <w:szCs w:val="24"/>
        </w:rPr>
        <w:t>, </w:t>
      </w:r>
      <w:r w:rsidRPr="002A0D74">
        <w:rPr>
          <w:rFonts w:ascii="Times New Roman" w:hAnsi="Times New Roman" w:cs="Times New Roman"/>
          <w:i/>
          <w:iCs/>
          <w:sz w:val="24"/>
          <w:szCs w:val="24"/>
        </w:rPr>
        <w:t>173</w:t>
      </w:r>
      <w:r w:rsidRPr="002A0D74">
        <w:rPr>
          <w:rFonts w:ascii="Times New Roman" w:hAnsi="Times New Roman" w:cs="Times New Roman"/>
          <w:sz w:val="24"/>
          <w:szCs w:val="24"/>
        </w:rPr>
        <w:t>, 104455.</w:t>
      </w:r>
    </w:p>
    <w:p w14:paraId="1FF17D51"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Zhang, Y., Lei, P., Wang, L., &amp; Yang, J. (2023). Effects of Strain Rate and Fiber Content on the Dynamic Mechanical Properties of Sisal Fiber Cement-Based Composites. </w:t>
      </w:r>
      <w:r w:rsidRPr="002A0D74">
        <w:rPr>
          <w:rFonts w:ascii="Times New Roman" w:hAnsi="Times New Roman" w:cs="Times New Roman"/>
          <w:i/>
          <w:iCs/>
          <w:sz w:val="24"/>
          <w:szCs w:val="24"/>
        </w:rPr>
        <w:t>Journal of Renewable Materials</w:t>
      </w:r>
      <w:r w:rsidRPr="002A0D74">
        <w:rPr>
          <w:rFonts w:ascii="Times New Roman" w:hAnsi="Times New Roman" w:cs="Times New Roman"/>
          <w:sz w:val="24"/>
          <w:szCs w:val="24"/>
        </w:rPr>
        <w:t>, </w:t>
      </w:r>
      <w:r w:rsidRPr="002A0D74">
        <w:rPr>
          <w:rFonts w:ascii="Times New Roman" w:hAnsi="Times New Roman" w:cs="Times New Roman"/>
          <w:i/>
          <w:iCs/>
          <w:sz w:val="24"/>
          <w:szCs w:val="24"/>
        </w:rPr>
        <w:t>11</w:t>
      </w:r>
      <w:r w:rsidRPr="002A0D74">
        <w:rPr>
          <w:rFonts w:ascii="Times New Roman" w:hAnsi="Times New Roman" w:cs="Times New Roman"/>
          <w:sz w:val="24"/>
          <w:szCs w:val="24"/>
        </w:rPr>
        <w:t>(1).</w:t>
      </w:r>
    </w:p>
    <w:p w14:paraId="0E6160B9" w14:textId="77777777" w:rsidR="001634D7"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 xml:space="preserve">Zhou, T., Qiu, Z., Li, Y., Ma, Y., Tao, W., Dong, B., ... &amp; Li, H. (2022): Wire Arc Additive Manufacturing of Nickel-based Superalloy and </w:t>
      </w:r>
      <w:proofErr w:type="gramStart"/>
      <w:r w:rsidRPr="002A0D74">
        <w:rPr>
          <w:rFonts w:ascii="Times New Roman" w:hAnsi="Times New Roman" w:cs="Times New Roman"/>
          <w:color w:val="222222"/>
          <w:sz w:val="24"/>
          <w:szCs w:val="24"/>
          <w:shd w:val="clear" w:color="auto" w:fill="FFFFFF"/>
        </w:rPr>
        <w:t>Stainless Steel</w:t>
      </w:r>
      <w:proofErr w:type="gramEnd"/>
      <w:r w:rsidRPr="002A0D74">
        <w:rPr>
          <w:rFonts w:ascii="Times New Roman" w:hAnsi="Times New Roman" w:cs="Times New Roman"/>
          <w:color w:val="222222"/>
          <w:sz w:val="24"/>
          <w:szCs w:val="24"/>
          <w:shd w:val="clear" w:color="auto" w:fill="FFFFFF"/>
        </w:rPr>
        <w:t xml:space="preserve"> Dissimilar Material Component. In </w:t>
      </w:r>
      <w:r w:rsidRPr="002A0D74">
        <w:rPr>
          <w:rFonts w:ascii="Times New Roman" w:hAnsi="Times New Roman" w:cs="Times New Roman"/>
          <w:i/>
          <w:iCs/>
          <w:color w:val="222222"/>
          <w:sz w:val="24"/>
          <w:szCs w:val="24"/>
          <w:shd w:val="clear" w:color="auto" w:fill="FFFFFF"/>
        </w:rPr>
        <w:t>Materials for Land, Air, and Space Transportation</w:t>
      </w:r>
      <w:r w:rsidRPr="002A0D74">
        <w:rPr>
          <w:rFonts w:ascii="Times New Roman" w:hAnsi="Times New Roman" w:cs="Times New Roman"/>
          <w:color w:val="222222"/>
          <w:sz w:val="24"/>
          <w:szCs w:val="24"/>
          <w:shd w:val="clear" w:color="auto" w:fill="FFFFFF"/>
        </w:rPr>
        <w:t> (pp. 334-386). CRC Press.</w:t>
      </w:r>
    </w:p>
    <w:sectPr w:rsidR="001634D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4C130" w14:textId="77777777" w:rsidR="006504B9" w:rsidRDefault="006504B9" w:rsidP="0063508B">
      <w:pPr>
        <w:spacing w:after="0" w:line="240" w:lineRule="auto"/>
      </w:pPr>
      <w:r>
        <w:separator/>
      </w:r>
    </w:p>
  </w:endnote>
  <w:endnote w:type="continuationSeparator" w:id="0">
    <w:p w14:paraId="26807A0D" w14:textId="77777777" w:rsidR="006504B9" w:rsidRDefault="006504B9" w:rsidP="0063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18C" w14:textId="77777777" w:rsidR="000869F8" w:rsidRDefault="00086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656E" w14:textId="77777777" w:rsidR="000869F8" w:rsidRDefault="00086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8571A" w14:textId="77777777" w:rsidR="000869F8" w:rsidRDefault="00086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F71DE" w14:textId="77777777" w:rsidR="006504B9" w:rsidRDefault="006504B9" w:rsidP="0063508B">
      <w:pPr>
        <w:spacing w:after="0" w:line="240" w:lineRule="auto"/>
      </w:pPr>
      <w:r>
        <w:separator/>
      </w:r>
    </w:p>
  </w:footnote>
  <w:footnote w:type="continuationSeparator" w:id="0">
    <w:p w14:paraId="548A1669" w14:textId="77777777" w:rsidR="006504B9" w:rsidRDefault="006504B9" w:rsidP="00635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2327A" w14:textId="64DC13B3" w:rsidR="000869F8" w:rsidRDefault="000869F8">
    <w:pPr>
      <w:pStyle w:val="Header"/>
    </w:pPr>
    <w:r>
      <w:rPr>
        <w:noProof/>
      </w:rPr>
      <w:pict w14:anchorId="096E3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16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C1324" w14:textId="32D02D8B" w:rsidR="000869F8" w:rsidRDefault="000869F8">
    <w:pPr>
      <w:pStyle w:val="Header"/>
    </w:pPr>
    <w:r>
      <w:rPr>
        <w:noProof/>
      </w:rPr>
      <w:pict w14:anchorId="71CF2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16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AB741" w14:textId="33EB0DA8" w:rsidR="000869F8" w:rsidRDefault="000869F8">
    <w:pPr>
      <w:pStyle w:val="Header"/>
    </w:pPr>
    <w:r>
      <w:rPr>
        <w:noProof/>
      </w:rPr>
      <w:pict w14:anchorId="41534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16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2DF6"/>
    <w:multiLevelType w:val="multilevel"/>
    <w:tmpl w:val="F726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92969"/>
    <w:multiLevelType w:val="multilevel"/>
    <w:tmpl w:val="C870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84051"/>
    <w:multiLevelType w:val="multilevel"/>
    <w:tmpl w:val="3438A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F170C"/>
    <w:multiLevelType w:val="multilevel"/>
    <w:tmpl w:val="B1B6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87A38"/>
    <w:multiLevelType w:val="multilevel"/>
    <w:tmpl w:val="FB18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C55C5"/>
    <w:multiLevelType w:val="hybridMultilevel"/>
    <w:tmpl w:val="57A83A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CE948C0"/>
    <w:multiLevelType w:val="multilevel"/>
    <w:tmpl w:val="5978A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B93641"/>
    <w:multiLevelType w:val="multilevel"/>
    <w:tmpl w:val="2E4EF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9B57B9"/>
    <w:multiLevelType w:val="multilevel"/>
    <w:tmpl w:val="4B80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025187"/>
    <w:multiLevelType w:val="multilevel"/>
    <w:tmpl w:val="D864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7"/>
  </w:num>
  <w:num w:numId="4">
    <w:abstractNumId w:val="2"/>
  </w:num>
  <w:num w:numId="5">
    <w:abstractNumId w:val="3"/>
  </w:num>
  <w:num w:numId="6">
    <w:abstractNumId w:val="6"/>
  </w:num>
  <w:num w:numId="7">
    <w:abstractNumId w:val="0"/>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E79"/>
    <w:rsid w:val="000241AE"/>
    <w:rsid w:val="0006195A"/>
    <w:rsid w:val="00067B85"/>
    <w:rsid w:val="000869F8"/>
    <w:rsid w:val="000E0796"/>
    <w:rsid w:val="000F0CDC"/>
    <w:rsid w:val="000F5562"/>
    <w:rsid w:val="00121E2F"/>
    <w:rsid w:val="00136249"/>
    <w:rsid w:val="001634D7"/>
    <w:rsid w:val="0028161E"/>
    <w:rsid w:val="002A0D74"/>
    <w:rsid w:val="00300F7E"/>
    <w:rsid w:val="00364A29"/>
    <w:rsid w:val="00375E79"/>
    <w:rsid w:val="003821DE"/>
    <w:rsid w:val="00426E90"/>
    <w:rsid w:val="004A3111"/>
    <w:rsid w:val="00566E79"/>
    <w:rsid w:val="0062478A"/>
    <w:rsid w:val="0063508B"/>
    <w:rsid w:val="006504B9"/>
    <w:rsid w:val="007956A9"/>
    <w:rsid w:val="009158BA"/>
    <w:rsid w:val="009554D3"/>
    <w:rsid w:val="009856C4"/>
    <w:rsid w:val="009E7A99"/>
    <w:rsid w:val="00AA7C8F"/>
    <w:rsid w:val="00AF0A25"/>
    <w:rsid w:val="00B13660"/>
    <w:rsid w:val="00B152E6"/>
    <w:rsid w:val="00B60DF8"/>
    <w:rsid w:val="00B65D93"/>
    <w:rsid w:val="00BB1B93"/>
    <w:rsid w:val="00C01857"/>
    <w:rsid w:val="00C1183C"/>
    <w:rsid w:val="00C60E8F"/>
    <w:rsid w:val="00D96FAA"/>
    <w:rsid w:val="00DA22DC"/>
    <w:rsid w:val="00E20EC5"/>
    <w:rsid w:val="00E51AEE"/>
    <w:rsid w:val="00E64090"/>
    <w:rsid w:val="00F56C0B"/>
    <w:rsid w:val="00FC6020"/>
    <w:rsid w:val="00FD148A"/>
    <w:rsid w:val="00FE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418AFB"/>
  <w15:docId w15:val="{7FEDB2C9-397F-4388-83DD-BA37736C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5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D148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FD14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148A"/>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FD14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D148A"/>
    <w:rPr>
      <w:b/>
      <w:bCs/>
    </w:rPr>
  </w:style>
  <w:style w:type="character" w:customStyle="1" w:styleId="Heading4Char">
    <w:name w:val="Heading 4 Char"/>
    <w:basedOn w:val="DefaultParagraphFont"/>
    <w:link w:val="Heading4"/>
    <w:uiPriority w:val="9"/>
    <w:semiHidden/>
    <w:rsid w:val="00FD148A"/>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FD148A"/>
    <w:rPr>
      <w:i/>
      <w:iCs/>
    </w:rPr>
  </w:style>
  <w:style w:type="paragraph" w:styleId="ListParagraph">
    <w:name w:val="List Paragraph"/>
    <w:basedOn w:val="Normal"/>
    <w:uiPriority w:val="34"/>
    <w:qFormat/>
    <w:rsid w:val="00B65D93"/>
    <w:pPr>
      <w:ind w:left="720"/>
      <w:contextualSpacing/>
    </w:pPr>
  </w:style>
  <w:style w:type="character" w:customStyle="1" w:styleId="Heading1Char">
    <w:name w:val="Heading 1 Char"/>
    <w:basedOn w:val="DefaultParagraphFont"/>
    <w:link w:val="Heading1"/>
    <w:uiPriority w:val="9"/>
    <w:rsid w:val="000F5562"/>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6350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08B"/>
    <w:rPr>
      <w:sz w:val="20"/>
      <w:szCs w:val="20"/>
    </w:rPr>
  </w:style>
  <w:style w:type="character" w:styleId="FootnoteReference">
    <w:name w:val="footnote reference"/>
    <w:basedOn w:val="DefaultParagraphFont"/>
    <w:uiPriority w:val="99"/>
    <w:semiHidden/>
    <w:unhideWhenUsed/>
    <w:rsid w:val="0063508B"/>
    <w:rPr>
      <w:vertAlign w:val="superscript"/>
    </w:rPr>
  </w:style>
  <w:style w:type="paragraph" w:styleId="BalloonText">
    <w:name w:val="Balloon Text"/>
    <w:basedOn w:val="Normal"/>
    <w:link w:val="BalloonTextChar"/>
    <w:uiPriority w:val="99"/>
    <w:semiHidden/>
    <w:unhideWhenUsed/>
    <w:rsid w:val="00635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08B"/>
    <w:rPr>
      <w:rFonts w:ascii="Tahoma" w:hAnsi="Tahoma" w:cs="Tahoma"/>
      <w:sz w:val="16"/>
      <w:szCs w:val="16"/>
    </w:rPr>
  </w:style>
  <w:style w:type="character" w:styleId="Hyperlink">
    <w:name w:val="Hyperlink"/>
    <w:basedOn w:val="DefaultParagraphFont"/>
    <w:uiPriority w:val="99"/>
    <w:unhideWhenUsed/>
    <w:rsid w:val="000F0CDC"/>
    <w:rPr>
      <w:color w:val="0563C1" w:themeColor="hyperlink"/>
      <w:u w:val="single"/>
    </w:rPr>
  </w:style>
  <w:style w:type="paragraph" w:styleId="Header">
    <w:name w:val="header"/>
    <w:basedOn w:val="Normal"/>
    <w:link w:val="HeaderChar"/>
    <w:uiPriority w:val="99"/>
    <w:unhideWhenUsed/>
    <w:rsid w:val="00086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9F8"/>
  </w:style>
  <w:style w:type="paragraph" w:styleId="Footer">
    <w:name w:val="footer"/>
    <w:basedOn w:val="Normal"/>
    <w:link w:val="FooterChar"/>
    <w:uiPriority w:val="99"/>
    <w:unhideWhenUsed/>
    <w:rsid w:val="00086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5518">
      <w:bodyDiv w:val="1"/>
      <w:marLeft w:val="0"/>
      <w:marRight w:val="0"/>
      <w:marTop w:val="0"/>
      <w:marBottom w:val="0"/>
      <w:divBdr>
        <w:top w:val="none" w:sz="0" w:space="0" w:color="auto"/>
        <w:left w:val="none" w:sz="0" w:space="0" w:color="auto"/>
        <w:bottom w:val="none" w:sz="0" w:space="0" w:color="auto"/>
        <w:right w:val="none" w:sz="0" w:space="0" w:color="auto"/>
      </w:divBdr>
    </w:div>
    <w:div w:id="177626401">
      <w:bodyDiv w:val="1"/>
      <w:marLeft w:val="0"/>
      <w:marRight w:val="0"/>
      <w:marTop w:val="0"/>
      <w:marBottom w:val="0"/>
      <w:divBdr>
        <w:top w:val="none" w:sz="0" w:space="0" w:color="auto"/>
        <w:left w:val="none" w:sz="0" w:space="0" w:color="auto"/>
        <w:bottom w:val="none" w:sz="0" w:space="0" w:color="auto"/>
        <w:right w:val="none" w:sz="0" w:space="0" w:color="auto"/>
      </w:divBdr>
    </w:div>
    <w:div w:id="342779214">
      <w:bodyDiv w:val="1"/>
      <w:marLeft w:val="0"/>
      <w:marRight w:val="0"/>
      <w:marTop w:val="0"/>
      <w:marBottom w:val="0"/>
      <w:divBdr>
        <w:top w:val="none" w:sz="0" w:space="0" w:color="auto"/>
        <w:left w:val="none" w:sz="0" w:space="0" w:color="auto"/>
        <w:bottom w:val="none" w:sz="0" w:space="0" w:color="auto"/>
        <w:right w:val="none" w:sz="0" w:space="0" w:color="auto"/>
      </w:divBdr>
    </w:div>
    <w:div w:id="451634101">
      <w:bodyDiv w:val="1"/>
      <w:marLeft w:val="0"/>
      <w:marRight w:val="0"/>
      <w:marTop w:val="0"/>
      <w:marBottom w:val="0"/>
      <w:divBdr>
        <w:top w:val="none" w:sz="0" w:space="0" w:color="auto"/>
        <w:left w:val="none" w:sz="0" w:space="0" w:color="auto"/>
        <w:bottom w:val="none" w:sz="0" w:space="0" w:color="auto"/>
        <w:right w:val="none" w:sz="0" w:space="0" w:color="auto"/>
      </w:divBdr>
    </w:div>
    <w:div w:id="557590828">
      <w:bodyDiv w:val="1"/>
      <w:marLeft w:val="0"/>
      <w:marRight w:val="0"/>
      <w:marTop w:val="0"/>
      <w:marBottom w:val="0"/>
      <w:divBdr>
        <w:top w:val="none" w:sz="0" w:space="0" w:color="auto"/>
        <w:left w:val="none" w:sz="0" w:space="0" w:color="auto"/>
        <w:bottom w:val="none" w:sz="0" w:space="0" w:color="auto"/>
        <w:right w:val="none" w:sz="0" w:space="0" w:color="auto"/>
      </w:divBdr>
    </w:div>
    <w:div w:id="951977776">
      <w:bodyDiv w:val="1"/>
      <w:marLeft w:val="0"/>
      <w:marRight w:val="0"/>
      <w:marTop w:val="0"/>
      <w:marBottom w:val="0"/>
      <w:divBdr>
        <w:top w:val="none" w:sz="0" w:space="0" w:color="auto"/>
        <w:left w:val="none" w:sz="0" w:space="0" w:color="auto"/>
        <w:bottom w:val="none" w:sz="0" w:space="0" w:color="auto"/>
        <w:right w:val="none" w:sz="0" w:space="0" w:color="auto"/>
      </w:divBdr>
    </w:div>
    <w:div w:id="1168715660">
      <w:bodyDiv w:val="1"/>
      <w:marLeft w:val="0"/>
      <w:marRight w:val="0"/>
      <w:marTop w:val="0"/>
      <w:marBottom w:val="0"/>
      <w:divBdr>
        <w:top w:val="none" w:sz="0" w:space="0" w:color="auto"/>
        <w:left w:val="none" w:sz="0" w:space="0" w:color="auto"/>
        <w:bottom w:val="none" w:sz="0" w:space="0" w:color="auto"/>
        <w:right w:val="none" w:sz="0" w:space="0" w:color="auto"/>
      </w:divBdr>
    </w:div>
    <w:div w:id="1220433478">
      <w:bodyDiv w:val="1"/>
      <w:marLeft w:val="0"/>
      <w:marRight w:val="0"/>
      <w:marTop w:val="0"/>
      <w:marBottom w:val="0"/>
      <w:divBdr>
        <w:top w:val="none" w:sz="0" w:space="0" w:color="auto"/>
        <w:left w:val="none" w:sz="0" w:space="0" w:color="auto"/>
        <w:bottom w:val="none" w:sz="0" w:space="0" w:color="auto"/>
        <w:right w:val="none" w:sz="0" w:space="0" w:color="auto"/>
      </w:divBdr>
    </w:div>
    <w:div w:id="1298216434">
      <w:bodyDiv w:val="1"/>
      <w:marLeft w:val="0"/>
      <w:marRight w:val="0"/>
      <w:marTop w:val="0"/>
      <w:marBottom w:val="0"/>
      <w:divBdr>
        <w:top w:val="none" w:sz="0" w:space="0" w:color="auto"/>
        <w:left w:val="none" w:sz="0" w:space="0" w:color="auto"/>
        <w:bottom w:val="none" w:sz="0" w:space="0" w:color="auto"/>
        <w:right w:val="none" w:sz="0" w:space="0" w:color="auto"/>
      </w:divBdr>
    </w:div>
    <w:div w:id="1341810512">
      <w:bodyDiv w:val="1"/>
      <w:marLeft w:val="0"/>
      <w:marRight w:val="0"/>
      <w:marTop w:val="0"/>
      <w:marBottom w:val="0"/>
      <w:divBdr>
        <w:top w:val="none" w:sz="0" w:space="0" w:color="auto"/>
        <w:left w:val="none" w:sz="0" w:space="0" w:color="auto"/>
        <w:bottom w:val="none" w:sz="0" w:space="0" w:color="auto"/>
        <w:right w:val="none" w:sz="0" w:space="0" w:color="auto"/>
      </w:divBdr>
    </w:div>
    <w:div w:id="1863208410">
      <w:bodyDiv w:val="1"/>
      <w:marLeft w:val="0"/>
      <w:marRight w:val="0"/>
      <w:marTop w:val="0"/>
      <w:marBottom w:val="0"/>
      <w:divBdr>
        <w:top w:val="none" w:sz="0" w:space="0" w:color="auto"/>
        <w:left w:val="none" w:sz="0" w:space="0" w:color="auto"/>
        <w:bottom w:val="none" w:sz="0" w:space="0" w:color="auto"/>
        <w:right w:val="none" w:sz="0" w:space="0" w:color="auto"/>
      </w:divBdr>
    </w:div>
    <w:div w:id="1890649809">
      <w:bodyDiv w:val="1"/>
      <w:marLeft w:val="0"/>
      <w:marRight w:val="0"/>
      <w:marTop w:val="0"/>
      <w:marBottom w:val="0"/>
      <w:divBdr>
        <w:top w:val="none" w:sz="0" w:space="0" w:color="auto"/>
        <w:left w:val="none" w:sz="0" w:space="0" w:color="auto"/>
        <w:bottom w:val="none" w:sz="0" w:space="0" w:color="auto"/>
        <w:right w:val="none" w:sz="0" w:space="0" w:color="auto"/>
      </w:divBdr>
    </w:div>
    <w:div w:id="1928270867">
      <w:bodyDiv w:val="1"/>
      <w:marLeft w:val="0"/>
      <w:marRight w:val="0"/>
      <w:marTop w:val="0"/>
      <w:marBottom w:val="0"/>
      <w:divBdr>
        <w:top w:val="none" w:sz="0" w:space="0" w:color="auto"/>
        <w:left w:val="none" w:sz="0" w:space="0" w:color="auto"/>
        <w:bottom w:val="none" w:sz="0" w:space="0" w:color="auto"/>
        <w:right w:val="none" w:sz="0" w:space="0" w:color="auto"/>
      </w:divBdr>
    </w:div>
    <w:div w:id="2111702383">
      <w:bodyDiv w:val="1"/>
      <w:marLeft w:val="0"/>
      <w:marRight w:val="0"/>
      <w:marTop w:val="0"/>
      <w:marBottom w:val="0"/>
      <w:divBdr>
        <w:top w:val="none" w:sz="0" w:space="0" w:color="auto"/>
        <w:left w:val="none" w:sz="0" w:space="0" w:color="auto"/>
        <w:bottom w:val="none" w:sz="0" w:space="0" w:color="auto"/>
        <w:right w:val="none" w:sz="0" w:space="0" w:color="auto"/>
      </w:divBdr>
    </w:div>
    <w:div w:id="21389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25</Pages>
  <Words>12199</Words>
  <Characters>69540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1084</cp:lastModifiedBy>
  <cp:revision>22</cp:revision>
  <dcterms:created xsi:type="dcterms:W3CDTF">2025-01-16T21:29:00Z</dcterms:created>
  <dcterms:modified xsi:type="dcterms:W3CDTF">2025-01-21T06:32:00Z</dcterms:modified>
</cp:coreProperties>
</file>