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E9600" w14:textId="5600C90B" w:rsidR="00987754" w:rsidRPr="00987754" w:rsidRDefault="00987754" w:rsidP="00987754">
      <w:pPr>
        <w:spacing w:line="480" w:lineRule="auto"/>
        <w:rPr>
          <w:rFonts w:ascii="Times New Roman" w:hAnsi="Times New Roman" w:cs="Times New Roman"/>
          <w:b/>
          <w:bCs/>
          <w:i/>
          <w:iCs/>
          <w:u w:val="single"/>
        </w:rPr>
      </w:pPr>
      <w:r w:rsidRPr="00987754">
        <w:rPr>
          <w:rFonts w:ascii="Times New Roman" w:hAnsi="Times New Roman" w:cs="Times New Roman"/>
          <w:b/>
          <w:bCs/>
          <w:i/>
          <w:iCs/>
          <w:u w:val="single"/>
        </w:rPr>
        <w:t>Review Article</w:t>
      </w:r>
    </w:p>
    <w:p w14:paraId="310E0513" w14:textId="2034FF30" w:rsidR="002B0F29" w:rsidRDefault="002B0F29" w:rsidP="002B0F29">
      <w:pPr>
        <w:spacing w:line="480" w:lineRule="auto"/>
        <w:jc w:val="center"/>
        <w:rPr>
          <w:rFonts w:ascii="Times New Roman" w:hAnsi="Times New Roman" w:cs="Times New Roman"/>
          <w:b/>
          <w:bCs/>
        </w:rPr>
      </w:pPr>
      <w:r w:rsidRPr="002B0F29">
        <w:rPr>
          <w:rFonts w:ascii="Times New Roman" w:hAnsi="Times New Roman" w:cs="Times New Roman"/>
          <w:b/>
          <w:bCs/>
        </w:rPr>
        <w:t>INNOVATIVE FUNDING MODELS AND FINANCIAL FRAMEWORKS FOR OPTIMIZING SUSTAINABLE ENERGY PROJECTS IN THE U.S.A.</w:t>
      </w:r>
    </w:p>
    <w:p w14:paraId="02EBAD2D" w14:textId="77777777" w:rsidR="008907F8" w:rsidRDefault="008907F8" w:rsidP="00A83843">
      <w:pPr>
        <w:pStyle w:val="Heading1"/>
        <w:spacing w:line="480" w:lineRule="auto"/>
        <w:jc w:val="both"/>
        <w:rPr>
          <w:rFonts w:ascii="Times New Roman" w:hAnsi="Times New Roman" w:cs="Times New Roman"/>
          <w:b/>
          <w:bCs/>
          <w:color w:val="auto"/>
          <w:sz w:val="24"/>
          <w:szCs w:val="24"/>
        </w:rPr>
      </w:pPr>
    </w:p>
    <w:p w14:paraId="4DCA819C" w14:textId="68B856ED" w:rsidR="00A55C9C" w:rsidRPr="00A83843" w:rsidRDefault="00A55C9C" w:rsidP="00A83843">
      <w:pPr>
        <w:pStyle w:val="Heading1"/>
        <w:spacing w:line="480" w:lineRule="auto"/>
        <w:jc w:val="both"/>
        <w:rPr>
          <w:rFonts w:ascii="Times New Roman" w:hAnsi="Times New Roman" w:cs="Times New Roman"/>
          <w:b/>
          <w:bCs/>
          <w:color w:val="auto"/>
          <w:sz w:val="24"/>
          <w:szCs w:val="24"/>
        </w:rPr>
      </w:pPr>
      <w:bookmarkStart w:id="0" w:name="_GoBack"/>
      <w:bookmarkEnd w:id="0"/>
      <w:r w:rsidRPr="00A83843">
        <w:rPr>
          <w:rFonts w:ascii="Times New Roman" w:hAnsi="Times New Roman" w:cs="Times New Roman"/>
          <w:b/>
          <w:bCs/>
          <w:color w:val="auto"/>
          <w:sz w:val="24"/>
          <w:szCs w:val="24"/>
        </w:rPr>
        <w:t>Abstract</w:t>
      </w:r>
    </w:p>
    <w:p w14:paraId="562F69A5" w14:textId="06698F20" w:rsidR="00A55C9C" w:rsidRDefault="00A55C9C" w:rsidP="00D83C5D">
      <w:pPr>
        <w:spacing w:line="240" w:lineRule="auto"/>
        <w:jc w:val="both"/>
        <w:rPr>
          <w:rFonts w:ascii="Times New Roman" w:hAnsi="Times New Roman" w:cs="Times New Roman"/>
        </w:rPr>
      </w:pPr>
      <w:r w:rsidRPr="00A55C9C">
        <w:rPr>
          <w:rFonts w:ascii="Times New Roman" w:hAnsi="Times New Roman" w:cs="Times New Roman"/>
        </w:rPr>
        <w:t>In the United States, economic growth, energy security, and climate change mitigation are the main forces behind the shift to sustainable energy. Innovative finance approaches are necessary because financial limitations continue to be a significant obstacle to the scaling of renewable energy projects. The development of conventional and new financial frameworks, such as state and federal incentives, green bonds, PPPs, blockchain-based finance, and energy-as-a-service (EaaS) models, is examined in this paper. Investment flows, risk-reduction tactics and the scaling potential of these financial instruments are all examined in this mixed-method study. Results show that revolving loan funds, community choice aggregation (CCA), and government-backed tax credits have all been instrumental in increasing the use of renewable energy. Widespread implementation is nevertheless hampered by issues like market volatility, regulatory uncertainty, and technological infrastructure constraints. Tokenized digital assets, decentralized finance models and AI-driven investment analytics are examples of advanced financial technologies that are revolutionizing energy financing and opening up new avenues for robust and democratized investment structures. The study also emphasizes how important Environmental, Social, and Governance (ESG) investing is, as it is increasingly influencing capital allocation choices to support sustainable energy initiatives. According to forecasting research, the sustainable energy transition can be accelerated and financial risks decreased by combining FinTech, AI, and blockchain solutions with policy-driven incentives.</w:t>
      </w:r>
      <w:r>
        <w:rPr>
          <w:rFonts w:ascii="Times New Roman" w:hAnsi="Times New Roman" w:cs="Times New Roman"/>
        </w:rPr>
        <w:t xml:space="preserve"> </w:t>
      </w:r>
      <w:r w:rsidRPr="00A55C9C">
        <w:rPr>
          <w:rFonts w:ascii="Times New Roman" w:hAnsi="Times New Roman" w:cs="Times New Roman"/>
        </w:rPr>
        <w:t>Enhancing regulatory stability, growing public-private collaborations, and incorporating AI-powered financial decision-making tools are some of the recommendations made to maximize energy finance. To ensure a sustainable and scalable road towards a low-carbon future, the United States should fortify its clean energy finance ecosystem by utilizing a blend of private sector involvement, legislative support, and technical advancements.</w:t>
      </w:r>
    </w:p>
    <w:p w14:paraId="26D6A1D6" w14:textId="77777777" w:rsidR="00A83843" w:rsidRPr="00A55C9C" w:rsidRDefault="00A83843" w:rsidP="00D83C5D">
      <w:pPr>
        <w:spacing w:line="240" w:lineRule="auto"/>
        <w:jc w:val="both"/>
        <w:rPr>
          <w:rFonts w:ascii="Times New Roman" w:hAnsi="Times New Roman" w:cs="Times New Roman"/>
        </w:rPr>
      </w:pPr>
    </w:p>
    <w:p w14:paraId="571972A3" w14:textId="4D58DF47" w:rsidR="00A83843" w:rsidRPr="00A83843" w:rsidRDefault="00A83843" w:rsidP="00A83843">
      <w:pPr>
        <w:spacing w:after="0" w:line="240" w:lineRule="auto"/>
        <w:jc w:val="both"/>
        <w:rPr>
          <w:rFonts w:ascii="Times New Roman" w:hAnsi="Times New Roman" w:cs="Times New Roman"/>
        </w:rPr>
      </w:pPr>
      <w:r>
        <w:rPr>
          <w:rFonts w:ascii="Times New Roman" w:hAnsi="Times New Roman" w:cs="Times New Roman"/>
          <w:b/>
          <w:bCs/>
        </w:rPr>
        <w:t xml:space="preserve">Keywords: </w:t>
      </w:r>
      <w:r w:rsidRPr="00A83843">
        <w:rPr>
          <w:rFonts w:ascii="Times New Roman" w:hAnsi="Times New Roman" w:cs="Times New Roman"/>
          <w:i/>
          <w:iCs/>
        </w:rPr>
        <w:t>Sustainable Energy Finance, Innovative Funding Models, Public-Private Partnerships (PPPs), FinTech in Renewable Energy</w:t>
      </w:r>
    </w:p>
    <w:p w14:paraId="7880D4EF" w14:textId="77777777" w:rsidR="00631470" w:rsidRDefault="00631470" w:rsidP="002B0F29">
      <w:pPr>
        <w:spacing w:line="480" w:lineRule="auto"/>
        <w:jc w:val="both"/>
        <w:rPr>
          <w:rFonts w:ascii="Times New Roman" w:hAnsi="Times New Roman" w:cs="Times New Roman"/>
        </w:rPr>
      </w:pPr>
    </w:p>
    <w:p w14:paraId="5E7FD481" w14:textId="16C111F2" w:rsidR="00631470" w:rsidRPr="00631470" w:rsidRDefault="00631470" w:rsidP="00FE0275">
      <w:pPr>
        <w:pStyle w:val="Heading1"/>
        <w:numPr>
          <w:ilvl w:val="0"/>
          <w:numId w:val="3"/>
        </w:numPr>
        <w:spacing w:line="480" w:lineRule="auto"/>
        <w:jc w:val="both"/>
        <w:rPr>
          <w:rFonts w:ascii="Times New Roman" w:hAnsi="Times New Roman" w:cs="Times New Roman"/>
          <w:b/>
          <w:bCs/>
          <w:color w:val="auto"/>
          <w:sz w:val="24"/>
          <w:szCs w:val="24"/>
        </w:rPr>
      </w:pPr>
      <w:r w:rsidRPr="00631470">
        <w:rPr>
          <w:rFonts w:ascii="Times New Roman" w:hAnsi="Times New Roman" w:cs="Times New Roman"/>
          <w:b/>
          <w:bCs/>
          <w:color w:val="auto"/>
          <w:sz w:val="24"/>
          <w:szCs w:val="24"/>
        </w:rPr>
        <w:lastRenderedPageBreak/>
        <w:t xml:space="preserve">Introduction  </w:t>
      </w:r>
    </w:p>
    <w:p w14:paraId="22DC6D86" w14:textId="75B7AF3C" w:rsidR="00631470" w:rsidRDefault="00631470" w:rsidP="00574CFA">
      <w:pPr>
        <w:spacing w:line="480" w:lineRule="auto"/>
        <w:jc w:val="both"/>
        <w:rPr>
          <w:rFonts w:ascii="Times New Roman" w:hAnsi="Times New Roman" w:cs="Times New Roman"/>
        </w:rPr>
      </w:pPr>
      <w:r w:rsidRPr="00631470">
        <w:rPr>
          <w:rFonts w:ascii="Times New Roman" w:hAnsi="Times New Roman" w:cs="Times New Roman"/>
        </w:rPr>
        <w:t>The transition to sustainable energy in the United States has become a critical priority, driven by climate change concerns, energy security needs, and economic growth opportunities. As one of the largest energy consumers globally, the U.S. has committed to reducing greenhouse gas (GHG) emissions by investing in renewable energy sources such as solar, wind, hydro, and bioenergy</w:t>
      </w:r>
      <w:r w:rsidR="00902221">
        <w:rPr>
          <w:rFonts w:ascii="Times New Roman" w:hAnsi="Times New Roman" w:cs="Times New Roman"/>
        </w:rPr>
        <w:t xml:space="preserve"> </w:t>
      </w:r>
      <w:r w:rsidR="00902221">
        <w:rPr>
          <w:rFonts w:ascii="Times New Roman" w:hAnsi="Times New Roman" w:cs="Times New Roman"/>
        </w:rPr>
        <w:fldChar w:fldCharType="begin" w:fldLock="1"/>
      </w:r>
      <w:r w:rsidR="00B26C97">
        <w:rPr>
          <w:rFonts w:ascii="Times New Roman" w:hAnsi="Times New Roman" w:cs="Times New Roman"/>
        </w:rPr>
        <w:instrText>ADDIN CSL_CITATION {"citationItems":[{"id":"ITEM-1","itemData":{"DOI":"10.1080/00207233.2017.1403758","ISSN":"10290400","abstract":"Renewable energy can address increasing energy demand while mitigating the effects of climate change. High capital costs and long payback periods require most projects to secure financing for a portion of the initial costs. Market-based incentives and policies can be credited with lowering development costs, but these come with uncertainties and expiration dates. To secure financing, project developers have turned to innovative mechanisms. This paper presents case studies of innovative financing for renewable energy development in North America. Examples include financing through public capital vehicles, hybrid and carbon bonds, and through corporate power purchase agreements. The objective is to determine which mechanisms or which components of these financing packages are replicable for the purpose of encouraging developers to seek the most advantageous solutions.","author":[{"dropping-particle":"","family":"Miller","given":"Lindsay","non-dropping-particle":"","parse-names":false,"suffix":""},{"dropping-particle":"","family":"Carriveau","given":"Rupp","non-dropping-particle":"","parse-names":false,"suffix":""},{"dropping-particle":"","family":"Harper","given":"Scott","non-dropping-particle":"","parse-names":false,"suffix":""}],"container-title":"International Journal of Environmental Studies","id":"ITEM-1","issue":"1","issued":{"date-parts":[["2018"]]},"page":"121-134","publisher":"Routledge","title":"Innovative financing for renewable energy project development–recent case studies in North America","type":"article-journal","volume":"75"},"uris":["http://www.mendeley.com/documents/?uuid=a620deb5-ab5b-413e-ac71-0cee569b00ca"]},{"id":"ITEM-2","itemData":{"DOI":"10.1038/nclimate3125","ISSN":"17586798","abstract":"Current intended nationally determined contributions (INDCs) are insufficient to meet the Paris Agreement goal of limiting temperature change to between 1.5 and 2.0 °C above pre-industrial levels, so the effectiveness of existing INDCs will be crucial to further progress. Here we assess the likely range of US greenhouse gas (GHG) emissions in 2025 and whether the US's INDC can be met, on the basis of updated historical and projected estimates. We group US INDC policies into three categories reflecting potential future policies, and model 17 policies across these categories. With all modelled policies included, the upper end of the uncertainty range overlaps with the 2025 INDC target, but the required reductions are not achieved using reference values. Even if all modelled policies are implemented, additional GHG reduction is probably required; we discuss several potential policies.","author":[{"dropping-particle":"","family":"Greenblatt","given":"Jeffery B.","non-dropping-particle":"","parse-names":false,"suffix":""},{"dropping-particle":"","family":"Wei","given":"Max","non-dropping-particle":"","parse-names":false,"suffix":""}],"container-title":"Nature Climate Change","id":"ITEM-2","issue":"12","issued":{"date-parts":[["2016"]]},"page":"1090-1093","title":"Assessment of the climate commitments and additional mitigation policies of the United States","type":"article-journal","volume":"6"},"uris":["http://www.mendeley.com/documents/?uuid=659668d9-08b6-404a-89fc-1ca32d3fa6b6"]}],"mendeley":{"formattedCitation":"(Greenblatt &amp; Wei, 2016; Miller et al., 2018)","plainTextFormattedCitation":"(Greenblatt &amp; Wei, 2016; Miller et al., 2018)","previouslyFormattedCitation":"(Greenblatt &amp; Wei, 2016; Miller et al., 2018)"},"properties":{"noteIndex":0},"schema":"https://github.com/citation-style-language/schema/raw/master/csl-citation.json"}</w:instrText>
      </w:r>
      <w:r w:rsidR="00902221">
        <w:rPr>
          <w:rFonts w:ascii="Times New Roman" w:hAnsi="Times New Roman" w:cs="Times New Roman"/>
        </w:rPr>
        <w:fldChar w:fldCharType="separate"/>
      </w:r>
      <w:r w:rsidR="00AB26F9" w:rsidRPr="00AB26F9">
        <w:rPr>
          <w:rFonts w:ascii="Times New Roman" w:hAnsi="Times New Roman" w:cs="Times New Roman"/>
          <w:noProof/>
        </w:rPr>
        <w:t>(Greenblatt &amp; Wei, 2016; Miller et al., 2018)</w:t>
      </w:r>
      <w:r w:rsidR="00902221">
        <w:rPr>
          <w:rFonts w:ascii="Times New Roman" w:hAnsi="Times New Roman" w:cs="Times New Roman"/>
        </w:rPr>
        <w:fldChar w:fldCharType="end"/>
      </w:r>
      <w:r w:rsidRPr="00631470">
        <w:rPr>
          <w:rFonts w:ascii="Times New Roman" w:hAnsi="Times New Roman" w:cs="Times New Roman"/>
        </w:rPr>
        <w:t xml:space="preserve">. </w:t>
      </w:r>
      <w:r w:rsidR="00AB26F9" w:rsidRPr="00AB26F9">
        <w:rPr>
          <w:rFonts w:ascii="Times New Roman" w:hAnsi="Times New Roman" w:cs="Times New Roman"/>
        </w:rPr>
        <w:t>This shift has been expedited by federal regulations that offer incentives for clean energy projects, such as the Clean Energy for America Act and the Inflation Reduction Act (IRA) of 2022. Financial limitations, however, continue to be a significant barrier to expanding sustainable energy projects in spite of significant advancements. Large-scale deployment and infrastructure development frequently lack the funds required by traditional funding methods. As a result, creative finance models have emerged that aim to maximize public funds, draw in private investments, and establish long-term, sustainable financial frameworks for clean energy projects</w:t>
      </w:r>
      <w:r w:rsidRPr="00631470">
        <w:rPr>
          <w:rFonts w:ascii="Times New Roman" w:hAnsi="Times New Roman" w:cs="Times New Roman"/>
        </w:rPr>
        <w:t xml:space="preserve"> </w:t>
      </w:r>
      <w:r w:rsidR="00B26C97">
        <w:rPr>
          <w:rFonts w:ascii="Times New Roman" w:hAnsi="Times New Roman" w:cs="Times New Roman"/>
        </w:rPr>
        <w:fldChar w:fldCharType="begin" w:fldLock="1"/>
      </w:r>
      <w:r w:rsidR="00FA20BC">
        <w:rPr>
          <w:rFonts w:ascii="Times New Roman" w:hAnsi="Times New Roman" w:cs="Times New Roman"/>
        </w:rPr>
        <w:instrText>ADDIN CSL_CITATION {"citationItems":[{"id":"ITEM-1","itemData":{"abstract":"Clean energy tax credits and other provisions included in the bill would increase energy production at home and accelerate energy innovation abroad. Additionally, by investing in disadvantaged communities, prioritizing projects that reutilize retired fossil fuel infrastructure and employ displaced workers, and including incentives for climate-smart agricultural practices, the IRA would make meaningful progress towards a fair, equitable, and economic clean energy transition. Recent modeling by Rhodium Group highlights the substantial emissions reduction impact of these provisions. Under a business-as-usual scenario, the United States is on track to reduce greenhouse gas (GHG) emissions by between 24% to 35% by 2030 compared to 2005 levels. Should the IRA become law, this would increase to between 31% to 44% by 2030","author":[{"dropping-particle":"","family":"Bipartisan Policy Center","given":"","non-dropping-particle":"","parse-names":false,"suffix":""}],"id":"ITEM-1","issued":{"date-parts":[["2022"]]},"page":"1-22","title":"Inflation Reduction Act Summary","type":"article-journal"},"uris":["http://www.mendeley.com/documents/?uuid=c0ed6737-f9f2-4698-8478-5924981cb1b1"]},{"id":"ITEM-2","itemData":{"author":[{"dropping-particle":"","family":"Buckley","given":"Tim","non-dropping-particle":"","parse-names":false,"suffix":""},{"dropping-particle":"","family":"Energy","given":"Climate","non-dropping-particle":"","parse-names":false,"suffix":""},{"dropping-particle":"","family":"Pollard","given":"Matt","non-dropping-particle":"","parse-names":false,"suffix":""}],"id":"ITEM-2","issue":"August","issued":{"date-parts":[["2022"]]},"title":"The Inflation Reduction Act ( IRA ) and Associated Programs","type":"article-journal"},"uris":["http://www.mendeley.com/documents/?uuid=2a720c69-320b-404d-8c0c-54fece8a904e"]}],"mendeley":{"formattedCitation":"(Bipartisan Policy Center, 2022; Buckley et al., 2022)","plainTextFormattedCitation":"(Bipartisan Policy Center, 2022; Buckley et al., 2022)","previouslyFormattedCitation":"(Bipartisan Policy Center, 2022; Buckley et al., 2022)"},"properties":{"noteIndex":0},"schema":"https://github.com/citation-style-language/schema/raw/master/csl-citation.json"}</w:instrText>
      </w:r>
      <w:r w:rsidR="00B26C97">
        <w:rPr>
          <w:rFonts w:ascii="Times New Roman" w:hAnsi="Times New Roman" w:cs="Times New Roman"/>
        </w:rPr>
        <w:fldChar w:fldCharType="separate"/>
      </w:r>
      <w:r w:rsidR="00B26C97" w:rsidRPr="00B26C97">
        <w:rPr>
          <w:rFonts w:ascii="Times New Roman" w:hAnsi="Times New Roman" w:cs="Times New Roman"/>
          <w:noProof/>
        </w:rPr>
        <w:t>(Bipartisan Policy Center, 2022; Buckley et al., 2022)</w:t>
      </w:r>
      <w:r w:rsidR="00B26C97">
        <w:rPr>
          <w:rFonts w:ascii="Times New Roman" w:hAnsi="Times New Roman" w:cs="Times New Roman"/>
        </w:rPr>
        <w:fldChar w:fldCharType="end"/>
      </w:r>
      <w:r w:rsidRPr="00631470">
        <w:rPr>
          <w:rFonts w:ascii="Times New Roman" w:hAnsi="Times New Roman" w:cs="Times New Roman"/>
        </w:rPr>
        <w:t>.</w:t>
      </w:r>
      <w:r w:rsidR="00CB480F">
        <w:rPr>
          <w:rFonts w:ascii="Times New Roman" w:hAnsi="Times New Roman" w:cs="Times New Roman"/>
        </w:rPr>
        <w:t xml:space="preserve"> </w:t>
      </w:r>
      <w:r w:rsidR="00AB26F9" w:rsidRPr="00AB26F9">
        <w:rPr>
          <w:rFonts w:ascii="Times New Roman" w:hAnsi="Times New Roman" w:cs="Times New Roman"/>
        </w:rPr>
        <w:t xml:space="preserve">By filling in financial gaps and lowering investment risks, creative funding methods are essential to promoting sustainable energy growth in the United States. Federal grants, subsidies, and tax credits like the Production Tax Credit (PTC) and Investment Tax Credit (ITC) are the mainstays of traditional project financing </w:t>
      </w:r>
      <w:r w:rsidR="00FA20BC">
        <w:rPr>
          <w:rFonts w:ascii="Times New Roman" w:hAnsi="Times New Roman" w:cs="Times New Roman"/>
        </w:rPr>
        <w:fldChar w:fldCharType="begin" w:fldLock="1"/>
      </w:r>
      <w:r w:rsidR="006E0C0C">
        <w:rPr>
          <w:rFonts w:ascii="Times New Roman" w:hAnsi="Times New Roman" w:cs="Times New Roman"/>
        </w:rPr>
        <w:instrText>ADDIN CSL_CITATION {"citationItems":[{"id":"ITEM-1","itemData":{"ISBN":"8133593557","abstract":"In 2017, global investment in renewables and energy efficiency declined by 3% and there is a risk that it will slow further; clearly fossil fuels still dominate energy investment. This could threaten the expansion of green energy needed to provide energy security and meet climate and clean air goals. Several developed and developing economies are still following pro-coal energy policies and the extra CO2 generated by new coal-fired power plants could more than wipe out any reductions in emissions made by other nations. Finance is the engine of development of infrastructure projects, including energy projects. Generally financial institutions show more interest in fossil fuel projects than green projects, mainly because there are still several risks associated with these new technologies and they offer a lower rate of return. If we want to achieve sustainable development goals, we need to open a new file for green projects and scale up the financing of investments that provide environmental benefits, through new financial instruments and new policies, such as green bonds, green banks, carbon market instruments, fiscal policy, green central banking, financial technologies, community-based green funds, etc., which are collectively known as “green finance”.","author":[{"dropping-particle":"","family":"Sachs","given":"Jeffrey D","non-dropping-particle":"","parse-names":false,"suffix":""},{"dropping-particle":"","family":"Woo","given":"Wing Thye","non-dropping-particle":"","parse-names":false,"suffix":""},{"dropping-particle":"","family":"Yoshino","given":"Naoyuki","non-dropping-particle":"","parse-names":false,"suffix":""},{"dropping-particle":"","family":"Taghizadeh-Hesary","given":"Farhad","non-dropping-particle":"","parse-names":false,"suffix":""}],"container-title":"Institute of sciences. ADBI Working Paper Series","id":"ITEM-1","issue":"917","issued":{"date-parts":[["2019"]]},"title":"WHY IS GREEN FINANCE IMPORTANT? Asian Development Bank Institute","type":"article-journal"},"uris":["http://www.mendeley.com/documents/?uuid=b6c2ebec-78c3-49a1-baa4-e0550cebf80a"]},{"id":"ITEM-2","itemData":{"DOI":"10.1007/s11625-016-0383-3","ISSN":"18624057","abstract":"On 25 September, 2015, world leaders met at the United Nations in New York, where they adopted the Sustainable Development Goals. These 17 goals and 169 targets set out an agenda for sustainable development for all nations that embraces economic growth, social inclusion, and environmental protection. Now, the agenda moves from agreeing the goals to implementing and ultimately achieving them. Across the goals, 42 targets focus on means of implementation, and the final goal, Goal 17, is entirely devoted to means of implementation. However, these implementation targets are largely silent about interlinkages and interdependencies among goals. This leaves open the possibility of perverse outcomes and unrealised synergies. We demonstrate that there must be greater attention on interlinkages in three areas: across sectors (e.g., finance, agriculture, energy, and transport), across societal actors (local authorities, government agencies, private sector, and civil society), and between and among low, medium and high income countries. Drawing on a global sustainability science and practice perspective, we provide seven recommendations to improve these interlinkages at both global and national levels, in relation to the UN’s categories of means of implementation: finance, technology, capacity building, trade, policy coherence, partnerships, and, finally, data, monitoring and accountability.","author":[{"dropping-particle":"","family":"Stafford-Smith","given":"Mark","non-dropping-particle":"","parse-names":false,"suffix":""},{"dropping-particle":"","family":"Griggs","given":"David","non-dropping-particle":"","parse-names":false,"suffix":""},{"dropping-particle":"","family":"Gaffney","given":"Owen","non-dropping-particle":"","parse-names":false,"suffix":""},{"dropping-particle":"","family":"Ullah","given":"Farooq","non-dropping-particle":"","parse-names":false,"suffix":""},{"dropping-particle":"","family":"Reyers","given":"Belinda","non-dropping-particle":"","parse-names":false,"suffix":""},{"dropping-particle":"","family":"Kanie","given":"Norichika","non-dropping-particle":"","parse-names":false,"suffix":""},{"dropping-particle":"","family":"Stigson","given":"Bjorn","non-dropping-particle":"","parse-names":false,"suffix":""},{"dropping-particle":"","family":"Shrivastava","given":"Paul","non-dropping-particle":"","parse-names":false,"suffix":""},{"dropping-particle":"","family":"Leach","given":"Melissa","non-dropping-particle":"","parse-names":false,"suffix":""},{"dropping-particle":"","family":"O’Connell","given":"Deborah","non-dropping-particle":"","parse-names":false,"suffix":""}],"container-title":"Sustainability Science","id":"ITEM-2","issue":"6","issued":{"date-parts":[["2017"]]},"page":"911-919","publisher":"Springer Japan","title":"Integration: the key to implementing the Sustainable Development Goals","type":"article-journal","volume":"12"},"uris":["http://www.mendeley.com/documents/?uuid=242c117c-3cc3-4896-b3c7-1aa74ee10ae2"]}],"mendeley":{"formattedCitation":"(Sachs et al., 2019; Stafford-Smith et al., 2017)","plainTextFormattedCitation":"(Sachs et al., 2019; Stafford-Smith et al., 2017)","previouslyFormattedCitation":"(Sachs et al., 2019; Stafford-Smith et al., 2017)"},"properties":{"noteIndex":0},"schema":"https://github.com/citation-style-language/schema/raw/master/csl-citation.json"}</w:instrText>
      </w:r>
      <w:r w:rsidR="00FA20BC">
        <w:rPr>
          <w:rFonts w:ascii="Times New Roman" w:hAnsi="Times New Roman" w:cs="Times New Roman"/>
        </w:rPr>
        <w:fldChar w:fldCharType="separate"/>
      </w:r>
      <w:r w:rsidR="00FA20BC" w:rsidRPr="00FA20BC">
        <w:rPr>
          <w:rFonts w:ascii="Times New Roman" w:hAnsi="Times New Roman" w:cs="Times New Roman"/>
          <w:noProof/>
        </w:rPr>
        <w:t>(Sachs et al., 2019; Stafford-Smith et al., 2017)</w:t>
      </w:r>
      <w:r w:rsidR="00FA20BC">
        <w:rPr>
          <w:rFonts w:ascii="Times New Roman" w:hAnsi="Times New Roman" w:cs="Times New Roman"/>
        </w:rPr>
        <w:fldChar w:fldCharType="end"/>
      </w:r>
      <w:r w:rsidR="00AB26F9" w:rsidRPr="00AB26F9">
        <w:rPr>
          <w:rFonts w:ascii="Times New Roman" w:hAnsi="Times New Roman" w:cs="Times New Roman"/>
        </w:rPr>
        <w:t>. However, political unpredictability and financial limitations frequently affect these channels, resulting in uneven funding for renewable energy initiatives.</w:t>
      </w:r>
      <w:r w:rsidRPr="00631470">
        <w:rPr>
          <w:rFonts w:ascii="Times New Roman" w:hAnsi="Times New Roman" w:cs="Times New Roman"/>
        </w:rPr>
        <w:t xml:space="preserve"> </w:t>
      </w:r>
      <w:r w:rsidR="00AB26F9" w:rsidRPr="00AB26F9">
        <w:rPr>
          <w:rFonts w:ascii="Times New Roman" w:hAnsi="Times New Roman" w:cs="Times New Roman"/>
        </w:rPr>
        <w:t xml:space="preserve">Alternative routes to obtaining funding, however, are offered by cutting-edge models including blockchain-based financing, energy-as-a-service (EaaS), green bonds, and public-private partnerships (PPPs). With sustainability-linked returns, green bonds, for instance, have become popular as a way to encourage </w:t>
      </w:r>
      <w:r w:rsidR="002B6A18">
        <w:rPr>
          <w:rFonts w:ascii="Times New Roman" w:hAnsi="Times New Roman" w:cs="Times New Roman"/>
        </w:rPr>
        <w:t>private-sector</w:t>
      </w:r>
      <w:r w:rsidR="00AB26F9" w:rsidRPr="00AB26F9">
        <w:rPr>
          <w:rFonts w:ascii="Times New Roman" w:hAnsi="Times New Roman" w:cs="Times New Roman"/>
        </w:rPr>
        <w:t xml:space="preserve"> investment while guaranteeing responsibility. PPPs allow public and private organizations to work together, utilizing </w:t>
      </w:r>
      <w:r w:rsidR="00AB26F9" w:rsidRPr="00AB26F9">
        <w:rPr>
          <w:rFonts w:ascii="Times New Roman" w:hAnsi="Times New Roman" w:cs="Times New Roman"/>
        </w:rPr>
        <w:lastRenderedPageBreak/>
        <w:t>resources and risks that are shared to expedite project completion</w:t>
      </w:r>
      <w:r w:rsidRPr="00631470">
        <w:rPr>
          <w:rFonts w:ascii="Times New Roman" w:hAnsi="Times New Roman" w:cs="Times New Roman"/>
        </w:rPr>
        <w:t xml:space="preserve"> </w:t>
      </w:r>
      <w:r w:rsidR="006E0C0C">
        <w:rPr>
          <w:rFonts w:ascii="Times New Roman" w:hAnsi="Times New Roman" w:cs="Times New Roman"/>
        </w:rPr>
        <w:fldChar w:fldCharType="begin" w:fldLock="1"/>
      </w:r>
      <w:r w:rsidR="00725837">
        <w:rPr>
          <w:rFonts w:ascii="Times New Roman" w:hAnsi="Times New Roman" w:cs="Times New Roman"/>
        </w:rPr>
        <w:instrText>ADDIN CSL_CITATION {"citationItems":[{"id":"ITEM-1","itemData":{"author":[{"dropping-particle":"","family":"Ogunyemi","given":"Feyisayo Michael","non-dropping-particle":"","parse-names":false,"suffix":""},{"dropping-particle":"","family":"Ishola","given":"Akinwale Omowumi","non-dropping-particle":"","parse-names":false,"suffix":""}],"id":"ITEM-1","issue":"December","issued":{"date-parts":[["2024"]]},"title":"Supporting the Green Energy Transition in U . S . SMEs : A Sustainable Finance and Consulting Approach","type":"article-journal"},"uris":["http://www.mendeley.com/documents/?uuid=6c13edef-c247-48fb-a0f0-15887a742bd1"]},{"id":"ITEM-2","itemData":{"DOI":"10.51594/estj.v5i7.1359","ISSN":"2708-8944","abstract":"The integration of renewable energy into the U.S. electricity grid is a multifaceted challenge that demands innovative project management approaches. This review article explores the current landscape of renewable energy integration in the United States, emphasizing the diversity of renewable sources such as solar, wind, hydropower, geothermal, and biomass. It examines the state of integration, highlighting significant progress and persistent challenges, particularly in grid stability, regional variations, and regulatory frameworks. Key stakeholders, including federal and state agencies, utilities, independent power producers, and advocacy organizations, play pivotal roles in shaping the renewable energy sector. The article delves into the critical importance of project management, outlining how effective coordination, risk mitigation, and performance optimization are essential for successful project execution. Various tools and techniques, including advanced analytics, agile methodologies, and stakeholder engagement strategies, are analyzed for their effectiveness in navigating the complexities of renewable energy projects. The review also addresses the emerging trends and innovations in project management, such as the adoption of artificial intelligence, machine learning, and sustainability-focused frameworks, which are poised to revolutionize the sector. It concludes with practical recommendations for project managers, emphasizing the need for flexibility, technological awareness, stakeholder collaboration, and data-driven decision-making to overcome challenges and drive the transition to a sustainable energy future. By providing a comprehensive overview and actionable insights, this article aims to equip project managers and stakeholders with the knowledge needed to successfully integrate renewable energy into the U.S. grid, thereby contributing to the nation's goal of a resilient and sustainable energy system.\r Keywords: Renewable Energy, Project Management, Grid Integration, Stakeholder Engagement, Sustainability, Technological Advancements, Energy Transition, Review.","author":[{"dropping-particle":"","family":"Adewale Wasiu Adegboyega","given":"","non-dropping-particle":"","parse-names":false,"suffix":""},{"dropping-particle":"","family":"Emmanuel Chigozie Ani","given":"","non-dropping-particle":"","parse-names":false,"suffix":""},{"dropping-particle":"","family":"Stephen Opeyemi Oladunni","given":"","non-dropping-particle":"","parse-names":false,"suffix":""},{"dropping-particle":"","family":"Abrar Shahriar Pramanik","given":"","non-dropping-particle":"","parse-names":false,"suffix":""}],"container-title":"Engineering Science &amp; Technology Journal","id":"ITEM-2","issue":"7","issued":{"date-parts":[["2024"]]},"page":"2364-2378","title":"Project management tools in renewable energy integration: A review of U.S. perspectives","type":"article-journal","volume":"5"},"uris":["http://www.mendeley.com/documents/?uuid=61183bf6-f9ee-45e6-8345-3c918beafd8d"]}],"mendeley":{"formattedCitation":"(Adewale Wasiu Adegboyega et al., 2024; Ogunyemi &amp; Ishola, 2024)","plainTextFormattedCitation":"(Adewale Wasiu Adegboyega et al., 2024; Ogunyemi &amp; Ishola, 2024)","previouslyFormattedCitation":"(Adewale Wasiu Adegboyega et al., 2024; Ogunyemi &amp; Ishola, 2024)"},"properties":{"noteIndex":0},"schema":"https://github.com/citation-style-language/schema/raw/master/csl-citation.json"}</w:instrText>
      </w:r>
      <w:r w:rsidR="006E0C0C">
        <w:rPr>
          <w:rFonts w:ascii="Times New Roman" w:hAnsi="Times New Roman" w:cs="Times New Roman"/>
        </w:rPr>
        <w:fldChar w:fldCharType="separate"/>
      </w:r>
      <w:r w:rsidR="006E0C0C" w:rsidRPr="006E0C0C">
        <w:rPr>
          <w:rFonts w:ascii="Times New Roman" w:hAnsi="Times New Roman" w:cs="Times New Roman"/>
          <w:noProof/>
        </w:rPr>
        <w:t>(Adewale Wasiu Adegboyega et al., 2024; Ogunyemi &amp; Ishola, 2024)</w:t>
      </w:r>
      <w:r w:rsidR="006E0C0C">
        <w:rPr>
          <w:rFonts w:ascii="Times New Roman" w:hAnsi="Times New Roman" w:cs="Times New Roman"/>
        </w:rPr>
        <w:fldChar w:fldCharType="end"/>
      </w:r>
      <w:r w:rsidRPr="00631470">
        <w:rPr>
          <w:rFonts w:ascii="Times New Roman" w:hAnsi="Times New Roman" w:cs="Times New Roman"/>
        </w:rPr>
        <w:t xml:space="preserve">. </w:t>
      </w:r>
      <w:r w:rsidR="00574CFA" w:rsidRPr="00574CFA">
        <w:rPr>
          <w:rFonts w:ascii="Times New Roman" w:hAnsi="Times New Roman" w:cs="Times New Roman"/>
        </w:rPr>
        <w:t xml:space="preserve">Furthermore, local communities are empowered to invest in renewable projects through community-based finance models like crowdfunding and community choice aggregation (CCA), which promote equitable energy access and public participation. These strategies aid in reducing reliance on government subsidies, diversifying sources of funding, and building stronger financial structures for the renewable energy industry. </w:t>
      </w:r>
      <w:r w:rsidR="00574CFA">
        <w:rPr>
          <w:rFonts w:ascii="Times New Roman" w:hAnsi="Times New Roman" w:cs="Times New Roman"/>
        </w:rPr>
        <w:t xml:space="preserve"> </w:t>
      </w:r>
      <w:r w:rsidR="00574CFA" w:rsidRPr="00574CFA">
        <w:rPr>
          <w:rFonts w:ascii="Times New Roman" w:hAnsi="Times New Roman" w:cs="Times New Roman"/>
        </w:rPr>
        <w:t>Through an analysis of their effects on investment flows, risk mitigation, and scalability, this research seeks to determine how well new funding models optimize sustainable energy projects in the United States</w:t>
      </w:r>
      <w:r w:rsidR="00725837">
        <w:rPr>
          <w:rFonts w:ascii="Times New Roman" w:hAnsi="Times New Roman" w:cs="Times New Roman"/>
        </w:rPr>
        <w:t xml:space="preserve"> </w:t>
      </w:r>
      <w:r w:rsidR="00725837">
        <w:rPr>
          <w:rFonts w:ascii="Times New Roman" w:hAnsi="Times New Roman" w:cs="Times New Roman"/>
        </w:rPr>
        <w:fldChar w:fldCharType="begin" w:fldLock="1"/>
      </w:r>
      <w:r w:rsidR="008F0636">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w:instrText>
      </w:r>
      <w:r w:rsidR="008F0636">
        <w:rPr>
          <w:rFonts w:ascii="MS Gothic" w:eastAsia="MS Gothic" w:hAnsi="MS Gothic" w:cs="MS Gothic" w:hint="eastAsia"/>
        </w:rPr>
        <w:instrText>済無</w:instrText>
      </w:r>
      <w:r w:rsidR="008F0636">
        <w:rPr>
          <w:rFonts w:ascii="Times New Roman" w:hAnsi="Times New Roman" w:cs="Times New Roman"/>
        </w:rPr>
        <w:instrText>No Title No Title No Title","type":"article-journal"},"uris":["http://www.mendeley.com/documents/?uuid=ba1dd0cb-f3af-4b0f-995b-f410592fbc47"]},{"id":"ITEM-2","itemData":{"DOI":"10.1016/j.rser.2020.109716","ISSN":"18790690","abstract":"This study reviews the development of shared (community) solar and community choice aggregation in the U.S. states of California and New York. Both states are leaders in energy-transition policy in the U.S., but they have different trajectories for the two forms of energy decentralization. Shared solar is more advanced in New York, but community choice is more advanced in California. Using a field theory framework, the comparative review of the trajectories of energy decentralization shows how differences in restructuring and regulatory rules affect outcomes. Differences in the rules for retail competition and authority for utilities to own distributed generation assets, plus the role of civil society and the attention from elected officials, shape the intensity of conflict and outcomes. They also contribute to the development of different types of community choice in the two states. In addition to showing how institutional conditions associated with different types of restructured markets shape the opportunities for decentralized energy, the study also examines how the efforts of actors to gain support for and to legitimate their policy preferences involve reference to broad social values.","author":[{"dropping-particle":"","family":"Hess","given":"David J.","non-dropping-particle":"","parse-names":false,"suffix":""},{"dropping-particle":"","family":"Lee","given":"Dasom","non-dropping-particle":"","parse-names":false,"suffix":""}],"container-title":"Renewable and Sustainable Energy Reviews","id":"ITEM-2","issued":{"date-parts":[["2020"]]},"page":"109716","publisher":"Elsevier Ltd","title":"Energy decentralization in California and New York: Conflicts in the politics of shared solar and community choice","type":"article-journal","volume":"121"},"uris":["http://www.mendeley.com/documents/?uuid=c37f8f67-3f24-43ed-9723-91c99b9c0d92"]}],"mendeley":{"formattedCitation":"(Adolph, 2016; Hess &amp; Lee, 2020)","plainTextFormattedCitation":"(Adolph, 2016; Hess &amp; Lee, 2020)","previouslyFormattedCitation":"(Adolph, 2016; Hess &amp; Lee, 2020)"},"properties":{"noteIndex":0},"schema":"https://github.com/citation-style-language/schema/raw/master/csl-citation.json"}</w:instrText>
      </w:r>
      <w:r w:rsidR="00725837">
        <w:rPr>
          <w:rFonts w:ascii="Times New Roman" w:hAnsi="Times New Roman" w:cs="Times New Roman"/>
        </w:rPr>
        <w:fldChar w:fldCharType="separate"/>
      </w:r>
      <w:r w:rsidR="00725837" w:rsidRPr="00725837">
        <w:rPr>
          <w:rFonts w:ascii="Times New Roman" w:hAnsi="Times New Roman" w:cs="Times New Roman"/>
          <w:noProof/>
        </w:rPr>
        <w:t>(Adolph, 2016; Hess &amp; Lee, 2020)</w:t>
      </w:r>
      <w:r w:rsidR="00725837">
        <w:rPr>
          <w:rFonts w:ascii="Times New Roman" w:hAnsi="Times New Roman" w:cs="Times New Roman"/>
        </w:rPr>
        <w:fldChar w:fldCharType="end"/>
      </w:r>
      <w:r w:rsidR="00574CFA" w:rsidRPr="00574CFA">
        <w:rPr>
          <w:rFonts w:ascii="Times New Roman" w:hAnsi="Times New Roman" w:cs="Times New Roman"/>
        </w:rPr>
        <w:t>.</w:t>
      </w:r>
      <w:r w:rsidR="00C417B5">
        <w:rPr>
          <w:rFonts w:ascii="Times New Roman" w:hAnsi="Times New Roman" w:cs="Times New Roman"/>
        </w:rPr>
        <w:t xml:space="preserve">  </w:t>
      </w:r>
      <w:r w:rsidR="00574CFA" w:rsidRPr="00574CFA">
        <w:rPr>
          <w:rFonts w:ascii="Times New Roman" w:hAnsi="Times New Roman" w:cs="Times New Roman"/>
        </w:rPr>
        <w:t xml:space="preserve">The importance of carbon credit trading, power purchase agreements (PPAs), revolving loan funds, green banks, and impact investment in promoting clean energy transitions is specifically examined. The research also finds important obstacles to the broad adoption of these funding systems, including market volatility, regulatory hurdles, and technology limitations. By highlighting best practices and lessons learned, it also assesses case studies of successful implementation in other states. </w:t>
      </w:r>
      <w:r w:rsidRPr="00631470">
        <w:rPr>
          <w:rFonts w:ascii="Times New Roman" w:hAnsi="Times New Roman" w:cs="Times New Roman"/>
        </w:rPr>
        <w:t>By synthesizing insights from recent policy frameworks, financial trends, and industry innovations, this study provides recommendations for policymakers, investors, and stakeholders to enhance financial resilience and accelerate the transition to a low-carbon economy.</w:t>
      </w:r>
    </w:p>
    <w:p w14:paraId="003E950A" w14:textId="01BF6732" w:rsidR="00C45F8A" w:rsidRPr="00C45F8A" w:rsidRDefault="00C45F8A" w:rsidP="00FE0275">
      <w:pPr>
        <w:pStyle w:val="Heading1"/>
        <w:numPr>
          <w:ilvl w:val="0"/>
          <w:numId w:val="3"/>
        </w:numPr>
        <w:spacing w:before="0" w:line="480" w:lineRule="auto"/>
        <w:jc w:val="both"/>
        <w:rPr>
          <w:rFonts w:ascii="Times New Roman" w:hAnsi="Times New Roman" w:cs="Times New Roman"/>
          <w:b/>
          <w:bCs/>
          <w:color w:val="auto"/>
          <w:sz w:val="24"/>
          <w:szCs w:val="24"/>
        </w:rPr>
      </w:pPr>
      <w:r w:rsidRPr="00C45F8A">
        <w:rPr>
          <w:rFonts w:ascii="Times New Roman" w:hAnsi="Times New Roman" w:cs="Times New Roman"/>
          <w:b/>
          <w:bCs/>
          <w:color w:val="auto"/>
          <w:sz w:val="24"/>
          <w:szCs w:val="24"/>
        </w:rPr>
        <w:t>Overview of the U.S. Sustainable Energy Sector</w:t>
      </w:r>
    </w:p>
    <w:p w14:paraId="5B98276E" w14:textId="2C72F371" w:rsidR="00CE3C48" w:rsidRDefault="008F0636" w:rsidP="00DC16D3">
      <w:pPr>
        <w:spacing w:line="480" w:lineRule="auto"/>
        <w:jc w:val="both"/>
        <w:rPr>
          <w:rFonts w:ascii="Times New Roman" w:hAnsi="Times New Roman" w:cs="Times New Roman"/>
        </w:rPr>
      </w:pPr>
      <w:r w:rsidRPr="008F0636">
        <w:rPr>
          <w:rFonts w:ascii="Times New Roman" w:hAnsi="Times New Roman" w:cs="Times New Roman"/>
        </w:rPr>
        <w:t>The expansion of the U.S. sustainable energy sector has been significantly influenced by recent technological advancements, legislative measures, and rising public awareness of climate change. The increased adoption of renewable energy sources such as solar, wind, hydro, and bioenergy has reached unprecedented levels</w:t>
      </w:r>
      <w:r w:rsidR="00B803A9">
        <w:rPr>
          <w:rFonts w:ascii="Times New Roman" w:hAnsi="Times New Roman" w:cs="Times New Roman"/>
        </w:rPr>
        <w:t xml:space="preserve"> </w:t>
      </w:r>
      <w:r w:rsidR="00B803A9">
        <w:rPr>
          <w:rFonts w:ascii="Times New Roman" w:hAnsi="Times New Roman" w:cs="Times New Roman"/>
        </w:rPr>
        <w:fldChar w:fldCharType="begin" w:fldLock="1"/>
      </w:r>
      <w:r w:rsidR="00B803A9">
        <w:rPr>
          <w:rFonts w:ascii="Times New Roman" w:hAnsi="Times New Roman" w:cs="Times New Roman"/>
        </w:rPr>
        <w:instrText>ADDIN CSL_CITATION {"citationItems":[{"id":"ITEM-1","itemData":{"DOI":"10.3390/su12125078","ISSN":"20711050","abstract":"Meeting the rising energy demand and limiting its environmental impact are the two intertwined issues faced in the 21st century. Governments in different countries have been engaged in developing regulations and related policies to encourage environment friendly renewable energy generation along with conservation strategies and technological innovations. It is important to develop sustainable energy policies and provide relevant and suitable policy recommendations for end-users. This study presents a review on sustainable energy policy for promotion of renewable energy by introducing the development history of energy policy in five countries, i.e., the United States, Germany, the United Kingdom, Denmark and China. A survey of the articles aimed at promoting the development of sustainable energy policies and their modelling is carried out. It is observed that energy-efficiency standard is one of the most popular strategy for building energy saving, which is dynamic and renewed based on the current available technologies. Feed-in-tariff has been widely applied to encourage the application of renewable energy, which is demonstrated successfully in different countries. Building energy performance certification schemes should be enhanced in terms of reliable database system and information transparency to pave the way for future net-zero energy building and smart cities.","author":[{"dropping-particle":"","family":"Lu","given":"Yuehong","non-dropping-particle":"","parse-names":false,"suffix":""},{"dropping-particle":"","family":"Khan","given":"Zafar A.","non-dropping-particle":"","parse-names":false,"suffix":""},{"dropping-particle":"","family":"Alvarez-Alvarado","given":"Manuel S.","non-dropping-particle":"","parse-names":false,"suffix":""},{"dropping-particle":"","family":"Zhang","given":"Yang","non-dropping-particle":"","parse-names":false,"suffix":""},{"dropping-particle":"","family":"Huang","given":"Zhijia","non-dropping-particle":"","parse-names":false,"suffix":""},{"dropping-particle":"","family":"Imran","given":"Muhammad","non-dropping-particle":"","parse-names":false,"suffix":""}],"container-title":"Sustainability (Switzerland)","id":"ITEM-1","issue":"12","issued":{"date-parts":[["2020"]]},"page":"1-30","title":"A critical review of sustainable energy policies for the promotion of renewable energy sources","type":"article-journal","volume":"12"},"uris":["http://www.mendeley.com/documents/?uuid=82ca4746-dfc5-4851-9d4f-cb335fc69856"]},{"id":"ITEM-2","itemData":{"DOI":"10.1016/j.energy.2014.02.044","ISSN":"03605442","abstract":"In a clean energy economy, green businesses play a central role by utilizing renewable energy technologies and employing green labor forces to provide clean energy services and goods. This paper aims at analyzing factors driving the growth and survival of green businesses in the U.S. states, with hypotheses proposed on the impacts from clean energy policies and tax incentives, labor market conditions, and economic and political environments. A fixed effect regression analysis is applied with a panel data set of 48 continental states from 1998 to 2007 in the United States. The statistical analysis with a longitudinal data set reveals that the adoption of renewable energy policies, the permission of renewable energy credits imports, the stringency of minimum wage legislations, and presence of clean energy business associations are the major driving forces of the green business development in the U.S. states. © 2014 Elsevier Ltd.","author":[{"dropping-particle":"","family":"Yi","given":"Hongtao","non-dropping-particle":"","parse-names":false,"suffix":""}],"container-title":"Energy","id":"ITEM-2","issued":{"date-parts":[["2014"]]},"page":"922-929","title":"Green businesses in a clean energy economy: Analyzing drivers of green business growth in U.S. states","type":"article-journal","volume":"68"},"uris":["http://www.mendeley.com/documents/?uuid=9e3da55f-4940-42c1-b8c3-59c11d7c1a32"]}],"mendeley":{"formattedCitation":"(Lu et al., 2020; Yi, 2014)","plainTextFormattedCitation":"(Lu et al., 2020; Yi, 2014)","previouslyFormattedCitation":"(Lu et al., 2020; Yi, 2014)"},"properties":{"noteIndex":0},"schema":"https://github.com/citation-style-language/schema/raw/master/csl-citation.json"}</w:instrText>
      </w:r>
      <w:r w:rsidR="00B803A9">
        <w:rPr>
          <w:rFonts w:ascii="Times New Roman" w:hAnsi="Times New Roman" w:cs="Times New Roman"/>
        </w:rPr>
        <w:fldChar w:fldCharType="separate"/>
      </w:r>
      <w:r w:rsidR="00B803A9" w:rsidRPr="00B803A9">
        <w:rPr>
          <w:rFonts w:ascii="Times New Roman" w:hAnsi="Times New Roman" w:cs="Times New Roman"/>
          <w:noProof/>
        </w:rPr>
        <w:t>(Lu et al., 2020; Yi, 2014)</w:t>
      </w:r>
      <w:r w:rsidR="00B803A9">
        <w:rPr>
          <w:rFonts w:ascii="Times New Roman" w:hAnsi="Times New Roman" w:cs="Times New Roman"/>
        </w:rPr>
        <w:fldChar w:fldCharType="end"/>
      </w:r>
      <w:r w:rsidRPr="008F0636">
        <w:rPr>
          <w:rFonts w:ascii="Times New Roman" w:hAnsi="Times New Roman" w:cs="Times New Roman"/>
        </w:rPr>
        <w:t>. In 2022, wind power additions in the United States amounted to 8.5 gigawatts (GW).</w:t>
      </w:r>
      <w:r>
        <w:rPr>
          <w:rFonts w:ascii="Times New Roman" w:hAnsi="Times New Roman" w:cs="Times New Roman"/>
        </w:rPr>
        <w:t xml:space="preserve"> </w:t>
      </w:r>
      <w:r w:rsidRPr="008F0636">
        <w:rPr>
          <w:rFonts w:ascii="Times New Roman" w:hAnsi="Times New Roman" w:cs="Times New Roman"/>
        </w:rPr>
        <w:t xml:space="preserve">Historically, the growth of wind power has been </w:t>
      </w:r>
      <w:r w:rsidRPr="008F0636">
        <w:rPr>
          <w:rFonts w:ascii="Times New Roman" w:hAnsi="Times New Roman" w:cs="Times New Roman"/>
        </w:rPr>
        <w:lastRenderedPageBreak/>
        <w:t>supported by the primary federal incentive—the production tax credit (PTC)—and various state-level policies. Additionally, long-term enhancements in wind power technologies' cost-efficiency and performance have been instrumental in driving wind power additions</w:t>
      </w:r>
      <w:r w:rsidR="00B803A9">
        <w:rPr>
          <w:rFonts w:ascii="Times New Roman" w:hAnsi="Times New Roman" w:cs="Times New Roman"/>
        </w:rPr>
        <w:t xml:space="preserve"> </w:t>
      </w:r>
      <w:r w:rsidR="00B803A9">
        <w:rPr>
          <w:rFonts w:ascii="Times New Roman" w:hAnsi="Times New Roman" w:cs="Times New Roman"/>
        </w:rPr>
        <w:fldChar w:fldCharType="begin" w:fldLock="1"/>
      </w:r>
      <w:r w:rsidR="00B803A9">
        <w:rPr>
          <w:rFonts w:ascii="Times New Roman" w:hAnsi="Times New Roman" w:cs="Times New Roman"/>
        </w:rPr>
        <w:instrText>ADDIN CSL_CITATION {"citationItems":[{"id":"ITEM-1","itemData":{"abstract":"Wind power additions in the United States totaled 8.5 gigawatts (GW) in 2022. Wind power growth has historically been supported by the industry’s primary federal incentive—the production tax credit (PTC)—as well as myriad state-level policies. Long-term improvements in the cost and performance of wind power technologies have also been key drivers for wind additions. Nonetheless, 2022 was a relatively slow year in terms of new wind power deployment—the lowest since 2018—due in part to ongoing supply chain pressures, higher interest rates, and interconnection and siting challenges, but also the reduction in the value of the PTC that was in place up until the passage of the Inflation Reduction Act (IRA) in August 2022.","author":[{"dropping-particle":"","family":"Wiser","given":"Ryan","non-dropping-particle":"","parse-names":false,"suffix":""},{"dropping-particle":"","family":"Bollinger","given":"Mark","non-dropping-particle":"","parse-names":false,"suffix":""},{"dropping-particle":"","family":"Hoen","given":"Ben","non-dropping-particle":"","parse-names":false,"suffix":""},{"dropping-particle":"","family":"Millstein","given":"Dev","non-dropping-particle":"","parse-names":false,"suffix":""},{"dropping-particle":"","family":"Rand","given":"Joe","non-dropping-particle":"","parse-names":false,"suffix":""},{"dropping-particle":"","family":"Barbose","given":"Galen","non-dropping-particle":"","parse-names":false,"suffix":""},{"dropping-particle":"","family":"Darghouth","given":"Naïm","non-dropping-particle":"","parse-names":false,"suffix":""},{"dropping-particle":"","family":"Gorman","given":"Will","non-dropping-particle":"","parse-names":false,"suffix":""},{"dropping-particle":"","family":"Jeong","given":"Seongeun","non-dropping-particle":"","parse-names":false,"suffix":""},{"dropping-particle":"","family":"O'Shaughnessy","given":"Eric","non-dropping-particle":"","parse-names":false,"suffix":""},{"dropping-particle":"","family":"Paulos","given":"Bentham","non-dropping-particle":"","parse-names":false,"suffix":""}],"id":"ITEM-1","issued":{"date-parts":[["2023"]]},"title":"Land-Based Wind Market Report: 2023 Edition","type":"article-journal"},"uris":["http://www.mendeley.com/documents/?uuid=d6e3899d-c5f7-4b22-8301-09ce9cde5e8c"]}],"mendeley":{"formattedCitation":"(Wiser et al., 2023)","plainTextFormattedCitation":"(Wiser et al., 2023)","previouslyFormattedCitation":"(Wiser et al., 2023)"},"properties":{"noteIndex":0},"schema":"https://github.com/citation-style-language/schema/raw/master/csl-citation.json"}</w:instrText>
      </w:r>
      <w:r w:rsidR="00B803A9">
        <w:rPr>
          <w:rFonts w:ascii="Times New Roman" w:hAnsi="Times New Roman" w:cs="Times New Roman"/>
        </w:rPr>
        <w:fldChar w:fldCharType="separate"/>
      </w:r>
      <w:r w:rsidR="00B803A9" w:rsidRPr="00B803A9">
        <w:rPr>
          <w:rFonts w:ascii="Times New Roman" w:hAnsi="Times New Roman" w:cs="Times New Roman"/>
          <w:noProof/>
        </w:rPr>
        <w:t>(Wiser et al., 2023)</w:t>
      </w:r>
      <w:r w:rsidR="00B803A9">
        <w:rPr>
          <w:rFonts w:ascii="Times New Roman" w:hAnsi="Times New Roman" w:cs="Times New Roman"/>
        </w:rPr>
        <w:fldChar w:fldCharType="end"/>
      </w:r>
      <w:r w:rsidRPr="008F0636">
        <w:rPr>
          <w:rFonts w:ascii="Times New Roman" w:hAnsi="Times New Roman" w:cs="Times New Roman"/>
        </w:rPr>
        <w:t>. However, 2022 witnessed a relatively slow year in terms of new wind power deployment—the lowest since 2018—due in part to ongoing supply chain pressures, higher interest rates, interconnection</w:t>
      </w:r>
      <w:r w:rsidR="00D9084A">
        <w:rPr>
          <w:rFonts w:ascii="Times New Roman" w:hAnsi="Times New Roman" w:cs="Times New Roman"/>
        </w:rPr>
        <w:t>,</w:t>
      </w:r>
      <w:r w:rsidRPr="008F0636">
        <w:rPr>
          <w:rFonts w:ascii="Times New Roman" w:hAnsi="Times New Roman" w:cs="Times New Roman"/>
        </w:rPr>
        <w:t xml:space="preserve"> and siting challenges, and a reduction in the value of the PTC </w:t>
      </w:r>
      <w:r w:rsidR="00D9084A">
        <w:rPr>
          <w:rFonts w:ascii="Times New Roman" w:hAnsi="Times New Roman" w:cs="Times New Roman"/>
        </w:rPr>
        <w:t>before</w:t>
      </w:r>
      <w:r w:rsidRPr="008F0636">
        <w:rPr>
          <w:rFonts w:ascii="Times New Roman" w:hAnsi="Times New Roman" w:cs="Times New Roman"/>
        </w:rPr>
        <w:t xml:space="preserve"> the enactment of the Inflation Reduction Act (IRA) in August 2022.</w:t>
      </w:r>
      <w:r>
        <w:rPr>
          <w:rFonts w:ascii="Times New Roman" w:hAnsi="Times New Roman" w:cs="Times New Roman"/>
        </w:rPr>
        <w:t xml:space="preserve"> </w:t>
      </w:r>
      <w:r w:rsidRPr="008F0636">
        <w:rPr>
          <w:rFonts w:ascii="Times New Roman" w:hAnsi="Times New Roman" w:cs="Times New Roman"/>
        </w:rPr>
        <w:t xml:space="preserve">The IRA represents a considerable investment in climate and energy in the United </w:t>
      </w:r>
      <w:r w:rsidR="00CE3C48">
        <w:rPr>
          <w:rFonts w:ascii="Times New Roman" w:hAnsi="Times New Roman" w:cs="Times New Roman"/>
        </w:rPr>
        <w:t>States</w:t>
      </w:r>
      <w:r w:rsidRPr="008F0636">
        <w:rPr>
          <w:rFonts w:ascii="Times New Roman" w:hAnsi="Times New Roman" w:cs="Times New Roman"/>
        </w:rPr>
        <w:t xml:space="preserve"> history, bolstering the country's capacity to address climate change, invest in domestic energy production, and transition to clean energy sources</w:t>
      </w:r>
      <w:r w:rsidR="00CE3C48">
        <w:rPr>
          <w:rFonts w:ascii="Times New Roman" w:hAnsi="Times New Roman" w:cs="Times New Roman"/>
        </w:rPr>
        <w:t xml:space="preserve"> as shown in Figure 1</w:t>
      </w:r>
      <w:r w:rsidRPr="008F0636">
        <w:rPr>
          <w:rFonts w:ascii="Times New Roman" w:hAnsi="Times New Roman" w:cs="Times New Roman"/>
        </w:rPr>
        <w:t xml:space="preserve">. </w:t>
      </w:r>
    </w:p>
    <w:p w14:paraId="5EE16509" w14:textId="0E962714" w:rsidR="00291272" w:rsidRDefault="00291272" w:rsidP="00DC16D3">
      <w:pPr>
        <w:spacing w:line="480" w:lineRule="auto"/>
        <w:jc w:val="both"/>
        <w:rPr>
          <w:rFonts w:ascii="Times New Roman" w:hAnsi="Times New Roman" w:cs="Times New Roman"/>
        </w:rPr>
      </w:pPr>
      <w:r w:rsidRPr="00291272">
        <w:rPr>
          <w:rFonts w:ascii="Times New Roman" w:hAnsi="Times New Roman" w:cs="Times New Roman"/>
          <w:noProof/>
        </w:rPr>
        <w:drawing>
          <wp:inline distT="0" distB="0" distL="0" distR="0" wp14:anchorId="3165E7B5" wp14:editId="79C68875">
            <wp:extent cx="5943600" cy="2879090"/>
            <wp:effectExtent l="0" t="0" r="0" b="0"/>
            <wp:docPr id="16456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684" name=""/>
                    <pic:cNvPicPr/>
                  </pic:nvPicPr>
                  <pic:blipFill>
                    <a:blip r:embed="rId8"/>
                    <a:stretch>
                      <a:fillRect/>
                    </a:stretch>
                  </pic:blipFill>
                  <pic:spPr>
                    <a:xfrm>
                      <a:off x="0" y="0"/>
                      <a:ext cx="5943600" cy="2879090"/>
                    </a:xfrm>
                    <a:prstGeom prst="rect">
                      <a:avLst/>
                    </a:prstGeom>
                  </pic:spPr>
                </pic:pic>
              </a:graphicData>
            </a:graphic>
          </wp:inline>
        </w:drawing>
      </w:r>
    </w:p>
    <w:p w14:paraId="4D26F37F" w14:textId="75AC0C4D" w:rsidR="00737EBF" w:rsidRPr="007479B7" w:rsidRDefault="003B1B64" w:rsidP="007479B7">
      <w:pPr>
        <w:spacing w:line="240" w:lineRule="auto"/>
        <w:jc w:val="both"/>
        <w:rPr>
          <w:rFonts w:ascii="Times New Roman" w:hAnsi="Times New Roman" w:cs="Times New Roman"/>
          <w:b/>
          <w:bCs/>
        </w:rPr>
      </w:pPr>
      <w:r w:rsidRPr="007479B7">
        <w:rPr>
          <w:rFonts w:ascii="Times New Roman" w:hAnsi="Times New Roman" w:cs="Times New Roman"/>
          <w:b/>
          <w:bCs/>
        </w:rPr>
        <w:t xml:space="preserve">Fig. </w:t>
      </w:r>
      <w:r w:rsidR="00A7448B">
        <w:rPr>
          <w:rFonts w:ascii="Times New Roman" w:hAnsi="Times New Roman" w:cs="Times New Roman"/>
          <w:b/>
          <w:bCs/>
        </w:rPr>
        <w:t>1</w:t>
      </w:r>
      <w:r w:rsidRPr="007479B7">
        <w:rPr>
          <w:rFonts w:ascii="Times New Roman" w:hAnsi="Times New Roman" w:cs="Times New Roman"/>
          <w:b/>
          <w:bCs/>
        </w:rPr>
        <w:t>: The transition from the existing to the new electrical system components</w:t>
      </w:r>
      <w:r w:rsidR="007479B7" w:rsidRPr="007479B7">
        <w:rPr>
          <w:rFonts w:ascii="Times New Roman" w:hAnsi="Times New Roman" w:cs="Times New Roman"/>
          <w:b/>
          <w:bCs/>
        </w:rPr>
        <w:t xml:space="preserve"> </w:t>
      </w:r>
      <w:r w:rsidR="007479B7" w:rsidRPr="007479B7">
        <w:rPr>
          <w:rFonts w:ascii="Times New Roman" w:hAnsi="Times New Roman" w:cs="Times New Roman"/>
          <w:b/>
          <w:bCs/>
        </w:rPr>
        <w:fldChar w:fldCharType="begin" w:fldLock="1"/>
      </w:r>
      <w:r w:rsidR="008B3EA6">
        <w:rPr>
          <w:rFonts w:ascii="Times New Roman" w:hAnsi="Times New Roman" w:cs="Times New Roman"/>
          <w:b/>
          <w:bCs/>
        </w:rPr>
        <w:instrText>ADDIN CSL_CITATION {"citationItems":[{"id":"ITEM-1","itemData":{"abstract":"The traditional electric power grid connected large central generating stations through a high- voltage (HV) transmission system to a distribution system that directly fed customer demand. Generating stations consisted primarily of steam stations that used fossil fuels and hydro turbines that turned high inertia turbines to produce electricity. The transmission system grew from local and regional grids into a large interconnected network that was managed by coordinated operating and planning procedures. Peak demand and energy consumption grew at predictable rates, and technology evolved in a relatively well-defined operational and regulatory environment.","author":[{"dropping-particle":"","family":"Henderson","given":"Michael","non-dropping-particle":"","parse-names":false,"suffix":""},{"dropping-particle":"","family":"Novosel","given":"Damir","non-dropping-particle":"","parse-names":false,"suffix":""},{"dropping-particle":"","family":"Crow","given":"Mariesa","non-dropping-particle":"","parse-names":false,"suffix":""}],"container-title":"IEEE Technology Trend Paper","id":"ITEM-1","issue":"November","issued":{"date-parts":[["2017"]]},"page":"17","title":"Electric Power Grid Modernization Trends, Challenges, and Opportunities","type":"article-journal"},"uris":["http://www.mendeley.com/documents/?uuid=2cb1d71e-4116-40e5-91c4-0627696c244c"]}],"mendeley":{"formattedCitation":"(Henderson et al., 2017)","plainTextFormattedCitation":"(Henderson et al., 2017)","previouslyFormattedCitation":"(Henderson et al., 2017)"},"properties":{"noteIndex":0},"schema":"https://github.com/citation-style-language/schema/raw/master/csl-citation.json"}</w:instrText>
      </w:r>
      <w:r w:rsidR="007479B7" w:rsidRPr="007479B7">
        <w:rPr>
          <w:rFonts w:ascii="Times New Roman" w:hAnsi="Times New Roman" w:cs="Times New Roman"/>
          <w:b/>
          <w:bCs/>
        </w:rPr>
        <w:fldChar w:fldCharType="separate"/>
      </w:r>
      <w:r w:rsidR="007479B7" w:rsidRPr="007479B7">
        <w:rPr>
          <w:rFonts w:ascii="Times New Roman" w:hAnsi="Times New Roman" w:cs="Times New Roman"/>
          <w:b/>
          <w:bCs/>
          <w:noProof/>
        </w:rPr>
        <w:t>(Henderson et al., 2017)</w:t>
      </w:r>
      <w:r w:rsidR="007479B7" w:rsidRPr="007479B7">
        <w:rPr>
          <w:rFonts w:ascii="Times New Roman" w:hAnsi="Times New Roman" w:cs="Times New Roman"/>
          <w:b/>
          <w:bCs/>
        </w:rPr>
        <w:fldChar w:fldCharType="end"/>
      </w:r>
    </w:p>
    <w:p w14:paraId="479F7D96" w14:textId="2890CAEE" w:rsidR="00DC16D3" w:rsidRDefault="008F0636" w:rsidP="00DC16D3">
      <w:pPr>
        <w:spacing w:line="480" w:lineRule="auto"/>
        <w:jc w:val="both"/>
        <w:rPr>
          <w:rFonts w:ascii="Times New Roman" w:hAnsi="Times New Roman" w:cs="Times New Roman"/>
        </w:rPr>
      </w:pPr>
      <w:r w:rsidRPr="008F0636">
        <w:rPr>
          <w:rFonts w:ascii="Times New Roman" w:hAnsi="Times New Roman" w:cs="Times New Roman"/>
        </w:rPr>
        <w:t xml:space="preserve">The legislation encompasses a wide range of tax laws and allocates resources to improve services and technology for easier tax filing. It also allows new methods for eligible taxpayers to receive their credits, such as elective payment, applicable credits, and transfer options </w:t>
      </w:r>
      <w:r>
        <w:rPr>
          <w:rFonts w:ascii="Times New Roman" w:hAnsi="Times New Roman" w:cs="Times New Roman"/>
        </w:rPr>
        <w:fldChar w:fldCharType="begin" w:fldLock="1"/>
      </w:r>
      <w:r w:rsidR="007B7DDA">
        <w:rPr>
          <w:rFonts w:ascii="Times New Roman" w:hAnsi="Times New Roman" w:cs="Times New Roman"/>
        </w:rPr>
        <w:instrText>ADDIN CSL_CITATION {"citationItems":[{"id":"ITEM-1","itemData":{"DOI":"10.1016/j.energy.2014.02.044","ISSN":"03605442","abstract":"In a clean energy economy, green businesses play a central role by utilizing renewable energy technologies and employing green labor forces to provide clean energy services and goods. This paper aims at analyzing factors driving the growth and survival of green businesses in the U.S. states, with hypotheses proposed on the impacts from clean energy policies and tax incentives, labor market conditions, and economic and political environments. A fixed effect regression analysis is applied with a panel data set of 48 continental states from 1998 to 2007 in the United States. The statistical analysis with a longitudinal data set reveals that the adoption of renewable energy policies, the permission of renewable energy credits imports, the stringency of minimum wage legislations, and presence of clean energy business associations are the major driving forces of the green business development in the U.S. states. © 2014 Elsevier Ltd.","author":[{"dropping-particle":"","family":"Yi","given":"Hongtao","non-dropping-particle":"","parse-names":false,"suffix":""}],"container-title":"Energy","id":"ITEM-1","issued":{"date-parts":[["2014"]]},"page":"922-929","title":"Green businesses in a clean energy economy: Analyzing drivers of green business growth in U.S. states","type":"article-journal","volume":"68"},"uris":["http://www.mendeley.com/documents/?uuid=9e3da55f-4940-42c1-b8c3-59c11d7c1a32"]},{"id":"ITEM-2","itemData":{"abstract":"Wind power additions in the United States totaled 8.5 gigawatts (GW) in 2022. Wind power growth has historically been supported by the industry’s primary federal incentive—the production tax credit (PTC)—as well as myriad state-level policies. Long-term improvements in the cost and performance of wind power technologies have also been key drivers for wind additions. Nonetheless, 2022 was a relatively slow year in terms of new wind power deployment—the lowest since 2018—due in part to ongoing supply chain pressures, higher interest rates, and interconnection and siting challenges, but also the reduction in the value of the PTC that was in place up until the passage of the Inflation Reduction Act (IRA) in August 2022.","author":[{"dropping-particle":"","family":"Wiser","given":"Ryan","non-dropping-particle":"","parse-names":false,"suffix":""},{"dropping-particle":"","family":"Bollinger","given":"Mark","non-dropping-particle":"","parse-names":false,"suffix":""},{"dropping-particle":"","family":"Hoen","given":"Ben","non-dropping-particle":"","parse-names":false,"suffix":""},{"dropping-particle":"","family":"Millstein","given":"Dev","non-dropping-particle":"","parse-names":false,"suffix":""},{"dropping-particle":"","family":"Rand","given":"Joe","non-dropping-particle":"","parse-names":false,"suffix":""},{"dropping-particle":"","family":"Barbose","given":"Galen","non-dropping-particle":"","parse-names":false,"suffix":""},{"dropping-particle":"","family":"Darghouth","given":"Naïm","non-dropping-particle":"","parse-names":false,"suffix":""},{"dropping-particle":"","family":"Gorman","given":"Will","non-dropping-particle":"","parse-names":false,"suffix":""},{"dropping-particle":"","family":"Jeong","given":"Seongeun","non-dropping-particle":"","parse-names":false,"suffix":""},{"dropping-particle":"","family":"O'Shaughnessy","given":"Eric","non-dropping-particle":"","parse-names":false,"suffix":""},{"dropping-particle":"","family":"Paulos","given":"Bentham","non-dropping-particle":"","parse-names":false,"suffix":""}],"id":"ITEM-2","issued":{"date-parts":[["2023"]]},"title":"Land-Based Wind Market Report: 2023 Edition","type":"article-journal"},"uris":["http://www.mendeley.com/documents/?uuid=d6e3899d-c5f7-4b22-8301-09ce9cde5e8c"]}],"mendeley":{"formattedCitation":"(Wiser et al., 2023; Yi, 2014)","plainTextFormattedCitation":"(Wiser et al., 2023; Yi, 2014)","previouslyFormattedCitation":"(Wiser et al., 2023; Yi, 2014)"},"properties":{"noteIndex":0},"schema":"https://github.com/citation-style-language/schema/raw/master/csl-citation.json"}</w:instrText>
      </w:r>
      <w:r>
        <w:rPr>
          <w:rFonts w:ascii="Times New Roman" w:hAnsi="Times New Roman" w:cs="Times New Roman"/>
        </w:rPr>
        <w:fldChar w:fldCharType="separate"/>
      </w:r>
      <w:r w:rsidR="00F1542E" w:rsidRPr="00F1542E">
        <w:rPr>
          <w:rFonts w:ascii="Times New Roman" w:hAnsi="Times New Roman" w:cs="Times New Roman"/>
          <w:noProof/>
        </w:rPr>
        <w:t xml:space="preserve">(Wiser et al., 2023; </w:t>
      </w:r>
      <w:r w:rsidR="00F1542E" w:rsidRPr="00F1542E">
        <w:rPr>
          <w:rFonts w:ascii="Times New Roman" w:hAnsi="Times New Roman" w:cs="Times New Roman"/>
          <w:noProof/>
        </w:rPr>
        <w:lastRenderedPageBreak/>
        <w:t>Yi, 2014)</w:t>
      </w:r>
      <w:r>
        <w:rPr>
          <w:rFonts w:ascii="Times New Roman" w:hAnsi="Times New Roman" w:cs="Times New Roman"/>
        </w:rPr>
        <w:fldChar w:fldCharType="end"/>
      </w:r>
      <w:r w:rsidRPr="008F0636">
        <w:rPr>
          <w:rFonts w:ascii="Times New Roman" w:hAnsi="Times New Roman" w:cs="Times New Roman"/>
        </w:rPr>
        <w:t xml:space="preserve">. </w:t>
      </w:r>
      <w:r w:rsidR="00DC16D3" w:rsidRPr="00DC16D3">
        <w:rPr>
          <w:rFonts w:ascii="Times New Roman" w:hAnsi="Times New Roman" w:cs="Times New Roman"/>
        </w:rPr>
        <w:t>Key factors driving the growth of the renewable energy sector in the U.S. include government policies, declining costs of solar and wind technologies, increased adoption of battery storage systems, and advancements in offshore wind energy</w:t>
      </w:r>
      <w:r w:rsidR="007B7DDA">
        <w:rPr>
          <w:rFonts w:ascii="Times New Roman" w:hAnsi="Times New Roman" w:cs="Times New Roman"/>
        </w:rPr>
        <w:t xml:space="preserve"> </w:t>
      </w:r>
      <w:r w:rsidR="007B7DDA">
        <w:rPr>
          <w:rFonts w:ascii="Times New Roman" w:hAnsi="Times New Roman" w:cs="Times New Roman"/>
        </w:rPr>
        <w:fldChar w:fldCharType="begin" w:fldLock="1"/>
      </w:r>
      <w:r w:rsidR="00DF500A">
        <w:rPr>
          <w:rFonts w:ascii="Times New Roman" w:hAnsi="Times New Roman" w:cs="Times New Roman"/>
        </w:rPr>
        <w:instrText>ADDIN CSL_CITATION {"citationItems":[{"id":"ITEM-1","itemData":{"DOI":"10.1016/j.enpol.2003.12.018","ISSN":"03014215","abstract":"In the United States, there has been substantial recent growth in wind energy generating capacity, with growth averaging 24 percent annually during the past five years. About 1700 MW of wind energy capacity was installed in 2001, while another 410 MW became operational in 2002. During 2003, development activity has remained strong, with an estimated 1600 MW of capacity installed. With this growth, an increasing number of States are experiencing investment in wind energy projects: currently about half of all States host at least one wind power project. This paper explores the key factors at play in the 12 States in which a substantial amount of wind energy capacity has been developed or planned. Some of the factors that are examined include policy drivers, such as Renewable Portfolio Standards (RPS), Federal and State financial incentives; as well as market drivers, such as consumer demand for green power, natural gas price volatility, and wholesale market rules. © 2004 Elsevier Ltd. All rights reserved.","author":[{"dropping-particle":"","family":"Bird","given":"Lori","non-dropping-particle":"","parse-names":false,"suffix":""},{"dropping-particle":"","family":"Bolinger","given":"Mark","non-dropping-particle":"","parse-names":false,"suffix":""},{"dropping-particle":"","family":"Gagliano","given":"Troy","non-dropping-particle":"","parse-names":false,"suffix":""},{"dropping-particle":"","family":"Wiser","given":"Ryan","non-dropping-particle":"","parse-names":false,"suffix":""},{"dropping-particle":"","family":"Brown","given":"Matthew","non-dropping-particle":"","parse-names":false,"suffix":""},{"dropping-particle":"","family":"Parsons","given":"Brian","non-dropping-particle":"","parse-names":false,"suffix":""}],"container-title":"Energy Policy","id":"ITEM-1","issue":"11","issued":{"date-parts":[["2005"]]},"page":"1397-1407","title":"Policies and market factors driving wind power development in the United States","type":"article-journal","volume":"33"},"uris":["http://www.mendeley.com/documents/?uuid=11b2991c-a933-4a99-8cd2-f554ff5ace5f"]}],"mendeley":{"formattedCitation":"(Bird et al., 2005)","plainTextFormattedCitation":"(Bird et al., 2005)","previouslyFormattedCitation":"(Bird et al., 2005)"},"properties":{"noteIndex":0},"schema":"https://github.com/citation-style-language/schema/raw/master/csl-citation.json"}</w:instrText>
      </w:r>
      <w:r w:rsidR="007B7DDA">
        <w:rPr>
          <w:rFonts w:ascii="Times New Roman" w:hAnsi="Times New Roman" w:cs="Times New Roman"/>
        </w:rPr>
        <w:fldChar w:fldCharType="separate"/>
      </w:r>
      <w:r w:rsidR="007B7DDA" w:rsidRPr="007B7DDA">
        <w:rPr>
          <w:rFonts w:ascii="Times New Roman" w:hAnsi="Times New Roman" w:cs="Times New Roman"/>
          <w:noProof/>
        </w:rPr>
        <w:t>(Bird et al., 2005)</w:t>
      </w:r>
      <w:r w:rsidR="007B7DDA">
        <w:rPr>
          <w:rFonts w:ascii="Times New Roman" w:hAnsi="Times New Roman" w:cs="Times New Roman"/>
        </w:rPr>
        <w:fldChar w:fldCharType="end"/>
      </w:r>
      <w:r w:rsidR="00DC16D3" w:rsidRPr="00DC16D3">
        <w:rPr>
          <w:rFonts w:ascii="Times New Roman" w:hAnsi="Times New Roman" w:cs="Times New Roman"/>
        </w:rPr>
        <w:t>.</w:t>
      </w:r>
      <w:r w:rsidR="00DC16D3">
        <w:rPr>
          <w:rFonts w:ascii="Times New Roman" w:hAnsi="Times New Roman" w:cs="Times New Roman"/>
        </w:rPr>
        <w:t xml:space="preserve"> </w:t>
      </w:r>
      <w:r w:rsidR="00DC16D3" w:rsidRPr="00DC16D3">
        <w:rPr>
          <w:rFonts w:ascii="Times New Roman" w:hAnsi="Times New Roman" w:cs="Times New Roman"/>
        </w:rPr>
        <w:t xml:space="preserve">Government initiatives, such as the Inflation Reduction Act (IRA) of 2022, have played a crucial role in promoting clean energy projects through tax credits, grants, and subsidies. State-level renewable portfolio standards have also spurred utilities to incorporate more renewable energy into the grid </w:t>
      </w:r>
      <w:r w:rsidR="00DF500A">
        <w:rPr>
          <w:rFonts w:ascii="Times New Roman" w:hAnsi="Times New Roman" w:cs="Times New Roman"/>
        </w:rPr>
        <w:fldChar w:fldCharType="begin" w:fldLock="1"/>
      </w:r>
      <w:r w:rsidR="008E2BBA">
        <w:rPr>
          <w:rFonts w:ascii="Times New Roman" w:hAnsi="Times New Roman" w:cs="Times New Roman"/>
        </w:rPr>
        <w:instrText>ADDIN CSL_CITATION {"citationItems":[{"id":"ITEM-1","itemData":{"DOI":"10.1080/09644016.2024.2437886","ISSN":"17438934","abstract":"In August 2022, the US Congress surprisingly adopted the Inflation Reduction Act (IRA), which included an ambitious package of decarbonization policies. Drawing on political economy perspectives and document analysis, this article explains the policy process that shaped the IRA. The policymaking process of the IRA is explored through an analytical framework adapted to the polarized political situation in the US, where traditional lawmaking strategies like seeking bipartisan compromise or conventional use of legislative procedures are largely defunct. The analysis shows how the economic shocks induced by the COVID-19 pandemic and the Ukraine war generated a window of opportunity for a strengthened pro-climate interest coalition to employ novel policy ideas and creative institutional governance to instigate the enactment of the IRA. The combination of decarbonization policies in the IRA embodied a compromise policy package that all Democrats in Congress could accept, although its durability in a polarized legislature remains uncertain.","author":[{"dropping-particle":"","family":"Bang","given":"Guri","non-dropping-particle":"","parse-names":false,"suffix":""}],"container-title":"Environmental Politics","id":"ITEM-1","issue":"00","issued":{"date-parts":[["2024"]]},"page":"1-22","publisher":"Routledge","title":"The U.S. Inflation Reduction Act: Climate policy as economic crisis response","type":"article-journal","volume":"00"},"uris":["http://www.mendeley.com/documents/?uuid=f0191679-b772-4688-a838-3c7376f64c31"]}],"mendeley":{"formattedCitation":"(Bang, 2024)","plainTextFormattedCitation":"(Bang, 2024)","previouslyFormattedCitation":"(Bang, 2024)"},"properties":{"noteIndex":0},"schema":"https://github.com/citation-style-language/schema/raw/master/csl-citation.json"}</w:instrText>
      </w:r>
      <w:r w:rsidR="00DF500A">
        <w:rPr>
          <w:rFonts w:ascii="Times New Roman" w:hAnsi="Times New Roman" w:cs="Times New Roman"/>
        </w:rPr>
        <w:fldChar w:fldCharType="separate"/>
      </w:r>
      <w:r w:rsidR="00DF500A" w:rsidRPr="00DF500A">
        <w:rPr>
          <w:rFonts w:ascii="Times New Roman" w:hAnsi="Times New Roman" w:cs="Times New Roman"/>
          <w:noProof/>
        </w:rPr>
        <w:t>(Bang, 2024)</w:t>
      </w:r>
      <w:r w:rsidR="00DF500A">
        <w:rPr>
          <w:rFonts w:ascii="Times New Roman" w:hAnsi="Times New Roman" w:cs="Times New Roman"/>
        </w:rPr>
        <w:fldChar w:fldCharType="end"/>
      </w:r>
      <w:r w:rsidR="00DC16D3" w:rsidRPr="00DC16D3">
        <w:rPr>
          <w:rFonts w:ascii="Times New Roman" w:hAnsi="Times New Roman" w:cs="Times New Roman"/>
        </w:rPr>
        <w:t>.</w:t>
      </w:r>
      <w:r w:rsidR="00DC16D3">
        <w:rPr>
          <w:rFonts w:ascii="Times New Roman" w:hAnsi="Times New Roman" w:cs="Times New Roman"/>
        </w:rPr>
        <w:t xml:space="preserve"> </w:t>
      </w:r>
      <w:r w:rsidR="00DC16D3" w:rsidRPr="00DC16D3">
        <w:rPr>
          <w:rFonts w:ascii="Times New Roman" w:hAnsi="Times New Roman" w:cs="Times New Roman"/>
        </w:rPr>
        <w:t>The costs of solar photovoltaic (PV) systems and wind energy technologies have dropped by about 80% and 60% over the past decade, making them more cost-competitive with fossil fuels</w:t>
      </w:r>
      <w:r w:rsidR="005A2995">
        <w:rPr>
          <w:rFonts w:ascii="Times New Roman" w:hAnsi="Times New Roman" w:cs="Times New Roman"/>
        </w:rPr>
        <w:t xml:space="preserve"> as shown in Figure </w:t>
      </w:r>
      <w:r w:rsidR="00CE3C48">
        <w:rPr>
          <w:rFonts w:ascii="Times New Roman" w:hAnsi="Times New Roman" w:cs="Times New Roman"/>
        </w:rPr>
        <w:t>2</w:t>
      </w:r>
      <w:r w:rsidR="00DC16D3" w:rsidRPr="00DC16D3">
        <w:rPr>
          <w:rFonts w:ascii="Times New Roman" w:hAnsi="Times New Roman" w:cs="Times New Roman"/>
        </w:rPr>
        <w:t>. Additionally, the rise of battery storage systems has been pivotal for balancing variable renewable energy generation and ensuring grid stability. The Department of Energy (DOE) has launched several programs, like the Energy Storage Grand Challenge, to advance battery technology and boost energy storage capacity (DOE, 2023).</w:t>
      </w:r>
      <w:r w:rsidR="00DC16D3">
        <w:rPr>
          <w:rFonts w:ascii="Times New Roman" w:hAnsi="Times New Roman" w:cs="Times New Roman"/>
        </w:rPr>
        <w:t xml:space="preserve"> </w:t>
      </w:r>
      <w:r w:rsidR="00DC16D3" w:rsidRPr="00DC16D3">
        <w:rPr>
          <w:rFonts w:ascii="Times New Roman" w:hAnsi="Times New Roman" w:cs="Times New Roman"/>
        </w:rPr>
        <w:t xml:space="preserve">Offshore wind energy is another emerging area with significant potential, as the Biden administration targets 30 GW of offshore wind capacity by 2030, supporting multiple large-scale projects along the East Coast </w:t>
      </w:r>
      <w:r w:rsidR="002025E3">
        <w:rPr>
          <w:rFonts w:ascii="Times New Roman" w:hAnsi="Times New Roman" w:cs="Times New Roman"/>
        </w:rPr>
        <w:fldChar w:fldCharType="begin" w:fldLock="1"/>
      </w:r>
      <w:r w:rsidR="007479B7">
        <w:rPr>
          <w:rFonts w:ascii="Times New Roman" w:hAnsi="Times New Roman" w:cs="Times New Roman"/>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Falling","type":"article-journal"},"uris":["http://www.mendeley.com/documents/?uuid=6fe9ff0d-84d8-4920-8ad8-74cff7ba5a28"]},{"id":"ITEM-2","itemData":{"author":[{"dropping-particle":"","family":"US Department of Energy (DOE)","given":"","non-dropping-particle":"","parse-names":false,"suffix":""}],"id":"ITEM-2","issue":"December","issued":{"date-parts":[["2020"]]},"title":"Energy storage grand challenge roadmap. https://www.energy.gov/energy-storage-grand-challenge/articles/energy-storage-grand-challenge-roadmap. [Accessed 26 October 2023]","type":"article-journal"},"uris":["http://www.mendeley.com/documents/?uuid=22c02b37-0f4d-4187-b884-7e61f1aacb4c"]},{"id":"ITEM-3","itemData":{"DOI":"10.1016/j.rser.2020.109716","ISSN":"18790690","abstract":"This study reviews the development of shared (community) solar and community choice aggregation in the U.S. states of California and New York. Both states are leaders in energy-transition policy in the U.S., but they have different trajectories for the two forms of energy decentralization. Shared solar is more advanced in New York, but community choice is more advanced in California. Using a field theory framework, the comparative review of the trajectories of energy decentralization shows how differences in restructuring and regulatory rules affect outcomes. Differences in the rules for retail competition and authority for utilities to own distributed generation assets, plus the role of civil society and the attention from elected officials, shape the intensity of conflict and outcomes. They also contribute to the development of different types of community choice in the two states. In addition to showing how institutional conditions associated with different types of restructured markets shape the opportunities for decentralized energy, the study also examines how the efforts of actors to gain support for and to legitimate their policy preferences involve reference to broad social values.","author":[{"dropping-particle":"","family":"Hess","given":"David J.","non-dropping-particle":"","parse-names":false,"suffix":""},{"dropping-particle":"","family":"Lee","given":"Dasom","non-dropping-particle":"","parse-names":false,"suffix":""}],"container-title":"Renewable and Sustainable Energy Reviews","id":"ITEM-3","issued":{"date-parts":[["2020"]]},"page":"109716","publisher":"Elsevier Ltd","title":"Energy decentralization in California and New York: Conflicts in the politics of shared solar and community choice","type":"article-journal","volume":"121"},"uris":["http://www.mendeley.com/documents/?uuid=c37f8f67-3f24-43ed-9723-91c99b9c0d92"]}],"mendeley":{"formattedCitation":"(Hess &amp; Lee, 2020; US Department of Energy (DOE), 2020; Usd &amp; Usd, 2016)","plainTextFormattedCitation":"(Hess &amp; Lee, 2020; US Department of Energy (DOE), 2020; Usd &amp; Usd, 2016)","previouslyFormattedCitation":"(Hess &amp; Lee, 2020; US Department of Energy (DOE), 2020; Usd &amp; Usd, 2016)"},"properties":{"noteIndex":0},"schema":"https://github.com/citation-style-language/schema/raw/master/csl-citation.json"}</w:instrText>
      </w:r>
      <w:r w:rsidR="002025E3">
        <w:rPr>
          <w:rFonts w:ascii="Times New Roman" w:hAnsi="Times New Roman" w:cs="Times New Roman"/>
        </w:rPr>
        <w:fldChar w:fldCharType="separate"/>
      </w:r>
      <w:r w:rsidR="00C93E46" w:rsidRPr="00C93E46">
        <w:rPr>
          <w:rFonts w:ascii="Times New Roman" w:hAnsi="Times New Roman" w:cs="Times New Roman"/>
          <w:noProof/>
        </w:rPr>
        <w:t>(Hess &amp; Lee, 2020; US Department of Energy (DOE), 2020; Usd &amp; Usd, 2016)</w:t>
      </w:r>
      <w:r w:rsidR="002025E3">
        <w:rPr>
          <w:rFonts w:ascii="Times New Roman" w:hAnsi="Times New Roman" w:cs="Times New Roman"/>
        </w:rPr>
        <w:fldChar w:fldCharType="end"/>
      </w:r>
      <w:r w:rsidR="00DC16D3" w:rsidRPr="00DC16D3">
        <w:rPr>
          <w:rFonts w:ascii="Times New Roman" w:hAnsi="Times New Roman" w:cs="Times New Roman"/>
        </w:rPr>
        <w:t>. The increased adoption of distributed energy resources, such as community solar, microgrids, and rooftop solar installations, empowers consumers to generate energy, bolstering energy resilience at the local level.</w:t>
      </w:r>
      <w:r w:rsidR="00DC16D3">
        <w:rPr>
          <w:rFonts w:ascii="Times New Roman" w:hAnsi="Times New Roman" w:cs="Times New Roman"/>
        </w:rPr>
        <w:t xml:space="preserve"> </w:t>
      </w:r>
      <w:r w:rsidR="00DC16D3" w:rsidRPr="00DC16D3">
        <w:rPr>
          <w:rFonts w:ascii="Times New Roman" w:hAnsi="Times New Roman" w:cs="Times New Roman"/>
        </w:rPr>
        <w:t xml:space="preserve">Despite the substantial progress, challenges persist. These include grid modernization requirements, transmission infrastructure limitations, and supply chain disruptions impacting renewable energy deployment </w:t>
      </w:r>
      <w:r w:rsidR="008B3EA6">
        <w:rPr>
          <w:rFonts w:ascii="Times New Roman" w:hAnsi="Times New Roman" w:cs="Times New Roman"/>
        </w:rPr>
        <w:fldChar w:fldCharType="begin" w:fldLock="1"/>
      </w:r>
      <w:r w:rsidR="004B0E13">
        <w:rPr>
          <w:rFonts w:ascii="Times New Roman" w:hAnsi="Times New Roman" w:cs="Times New Roman"/>
        </w:rPr>
        <w:instrText>ADDIN CSL_CITATION {"citationItems":[{"id":"ITEM-1","itemData":{"abstract":"The traditional electric power grid connected large central generating stations through a high- voltage (HV) transmission system to a distribution system that directly fed customer demand. Generating stations consisted primarily of steam stations that used fossil fuels and hydro turbines that turned high inertia turbines to produce electricity. The transmission system grew from local and regional grids into a large interconnected network that was managed by coordinated operating and planning procedures. Peak demand and energy consumption grew at predictable rates, and technology evolved in a relatively well-defined operational and regulatory environment.","author":[{"dropping-particle":"","family":"Henderson","given":"Michael","non-dropping-particle":"","parse-names":false,"suffix":""},{"dropping-particle":"","family":"Novosel","given":"Damir","non-dropping-particle":"","parse-names":false,"suffix":""},{"dropping-particle":"","family":"Crow","given":"Mariesa","non-dropping-particle":"","parse-names":false,"suffix":""}],"container-title":"IEEE Technology Trend Paper","id":"ITEM-1","issue":"November","issued":{"date-parts":[["2017"]]},"page":"17","title":"Electric Power Grid Modernization Trends, Challenges, and Opportunities","type":"article-journal"},"uris":["http://www.mendeley.com/documents/?uuid=2cb1d71e-4116-40e5-91c4-0627696c244c"]}],"mendeley":{"formattedCitation":"(Henderson et al., 2017)","plainTextFormattedCitation":"(Henderson et al., 2017)","previouslyFormattedCitation":"(Henderson et al., 2017)"},"properties":{"noteIndex":0},"schema":"https://github.com/citation-style-language/schema/raw/master/csl-citation.json"}</w:instrText>
      </w:r>
      <w:r w:rsidR="008B3EA6">
        <w:rPr>
          <w:rFonts w:ascii="Times New Roman" w:hAnsi="Times New Roman" w:cs="Times New Roman"/>
        </w:rPr>
        <w:fldChar w:fldCharType="separate"/>
      </w:r>
      <w:r w:rsidR="008B3EA6" w:rsidRPr="008B3EA6">
        <w:rPr>
          <w:rFonts w:ascii="Times New Roman" w:hAnsi="Times New Roman" w:cs="Times New Roman"/>
          <w:noProof/>
        </w:rPr>
        <w:t>(Henderson et al., 2017)</w:t>
      </w:r>
      <w:r w:rsidR="008B3EA6">
        <w:rPr>
          <w:rFonts w:ascii="Times New Roman" w:hAnsi="Times New Roman" w:cs="Times New Roman"/>
        </w:rPr>
        <w:fldChar w:fldCharType="end"/>
      </w:r>
      <w:r w:rsidR="00DC16D3" w:rsidRPr="00DC16D3">
        <w:rPr>
          <w:rFonts w:ascii="Times New Roman" w:hAnsi="Times New Roman" w:cs="Times New Roman"/>
        </w:rPr>
        <w:t>.</w:t>
      </w:r>
    </w:p>
    <w:p w14:paraId="54A45C45" w14:textId="4E927094" w:rsidR="00AD2B77" w:rsidRDefault="005A2995" w:rsidP="00DC16D3">
      <w:pPr>
        <w:spacing w:line="480" w:lineRule="auto"/>
        <w:jc w:val="both"/>
        <w:rPr>
          <w:rFonts w:ascii="Times New Roman" w:hAnsi="Times New Roman" w:cs="Times New Roman"/>
        </w:rPr>
      </w:pPr>
      <w:r w:rsidRPr="005A2995">
        <w:rPr>
          <w:rFonts w:ascii="Times New Roman" w:hAnsi="Times New Roman" w:cs="Times New Roman"/>
          <w:noProof/>
        </w:rPr>
        <w:lastRenderedPageBreak/>
        <w:drawing>
          <wp:inline distT="0" distB="0" distL="0" distR="0" wp14:anchorId="62F5B3EE" wp14:editId="3873F516">
            <wp:extent cx="5943600" cy="2827655"/>
            <wp:effectExtent l="0" t="0" r="0" b="0"/>
            <wp:docPr id="180355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4782" name=""/>
                    <pic:cNvPicPr/>
                  </pic:nvPicPr>
                  <pic:blipFill>
                    <a:blip r:embed="rId9"/>
                    <a:stretch>
                      <a:fillRect/>
                    </a:stretch>
                  </pic:blipFill>
                  <pic:spPr>
                    <a:xfrm>
                      <a:off x="0" y="0"/>
                      <a:ext cx="5943600" cy="2827655"/>
                    </a:xfrm>
                    <a:prstGeom prst="rect">
                      <a:avLst/>
                    </a:prstGeom>
                  </pic:spPr>
                </pic:pic>
              </a:graphicData>
            </a:graphic>
          </wp:inline>
        </w:drawing>
      </w:r>
    </w:p>
    <w:p w14:paraId="0E40F8E4" w14:textId="45F49735" w:rsidR="005A2995" w:rsidRPr="00DC16D3" w:rsidRDefault="005A2995" w:rsidP="008E2BBA">
      <w:pPr>
        <w:spacing w:line="240" w:lineRule="auto"/>
        <w:jc w:val="both"/>
        <w:rPr>
          <w:rFonts w:ascii="Times New Roman" w:hAnsi="Times New Roman" w:cs="Times New Roman"/>
          <w:b/>
          <w:bCs/>
        </w:rPr>
      </w:pPr>
      <w:r w:rsidRPr="008E2BBA">
        <w:rPr>
          <w:rFonts w:ascii="Times New Roman" w:hAnsi="Times New Roman" w:cs="Times New Roman"/>
          <w:b/>
          <w:bCs/>
        </w:rPr>
        <w:t xml:space="preserve">Fig. </w:t>
      </w:r>
      <w:r w:rsidR="00CE3C48">
        <w:rPr>
          <w:rFonts w:ascii="Times New Roman" w:hAnsi="Times New Roman" w:cs="Times New Roman"/>
          <w:b/>
          <w:bCs/>
        </w:rPr>
        <w:t>2</w:t>
      </w:r>
      <w:r w:rsidRPr="008E2BBA">
        <w:rPr>
          <w:rFonts w:ascii="Times New Roman" w:hAnsi="Times New Roman" w:cs="Times New Roman"/>
          <w:b/>
          <w:bCs/>
        </w:rPr>
        <w:t>: Rise of solar and wind power generation as viable commercial options</w:t>
      </w:r>
      <w:r w:rsidR="008E2BBA" w:rsidRPr="008E2BBA">
        <w:rPr>
          <w:rFonts w:ascii="Times New Roman" w:hAnsi="Times New Roman" w:cs="Times New Roman"/>
          <w:b/>
          <w:bCs/>
        </w:rPr>
        <w:t xml:space="preserve"> </w:t>
      </w:r>
      <w:r w:rsidR="008E2BBA" w:rsidRPr="008E2BBA">
        <w:rPr>
          <w:rFonts w:ascii="Times New Roman" w:hAnsi="Times New Roman" w:cs="Times New Roman"/>
          <w:b/>
          <w:bCs/>
        </w:rPr>
        <w:fldChar w:fldCharType="begin" w:fldLock="1"/>
      </w:r>
      <w:r w:rsidR="002025E3">
        <w:rPr>
          <w:rFonts w:ascii="Times New Roman" w:hAnsi="Times New Roman" w:cs="Times New Roman"/>
          <w:b/>
          <w:bCs/>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Falling","type":"article-journal"},"uris":["http://www.mendeley.com/documents/?uuid=6fe9ff0d-84d8-4920-8ad8-74cff7ba5a28"]}],"mendeley":{"formattedCitation":"(Usd &amp; Usd, 2016)","plainTextFormattedCitation":"(Usd &amp; Usd, 2016)","previouslyFormattedCitation":"(Usd &amp; Usd, 2016)"},"properties":{"noteIndex":0},"schema":"https://github.com/citation-style-language/schema/raw/master/csl-citation.json"}</w:instrText>
      </w:r>
      <w:r w:rsidR="008E2BBA" w:rsidRPr="008E2BBA">
        <w:rPr>
          <w:rFonts w:ascii="Times New Roman" w:hAnsi="Times New Roman" w:cs="Times New Roman"/>
          <w:b/>
          <w:bCs/>
        </w:rPr>
        <w:fldChar w:fldCharType="separate"/>
      </w:r>
      <w:r w:rsidR="008E2BBA" w:rsidRPr="008E2BBA">
        <w:rPr>
          <w:rFonts w:ascii="Times New Roman" w:hAnsi="Times New Roman" w:cs="Times New Roman"/>
          <w:b/>
          <w:bCs/>
          <w:noProof/>
        </w:rPr>
        <w:t>(Usd &amp; Usd, 2016)</w:t>
      </w:r>
      <w:r w:rsidR="008E2BBA" w:rsidRPr="008E2BBA">
        <w:rPr>
          <w:rFonts w:ascii="Times New Roman" w:hAnsi="Times New Roman" w:cs="Times New Roman"/>
          <w:b/>
          <w:bCs/>
        </w:rPr>
        <w:fldChar w:fldCharType="end"/>
      </w:r>
    </w:p>
    <w:p w14:paraId="72070FF0" w14:textId="03D3A1FC" w:rsidR="004B0E13" w:rsidRDefault="004B0E13" w:rsidP="004B0E13">
      <w:pPr>
        <w:spacing w:line="480" w:lineRule="auto"/>
        <w:jc w:val="both"/>
        <w:rPr>
          <w:rFonts w:ascii="Times New Roman" w:hAnsi="Times New Roman" w:cs="Times New Roman"/>
        </w:rPr>
      </w:pPr>
      <w:r>
        <w:rPr>
          <w:rFonts w:ascii="Times New Roman" w:hAnsi="Times New Roman" w:cs="Times New Roman"/>
        </w:rPr>
        <w:t xml:space="preserve"> However, c</w:t>
      </w:r>
      <w:r w:rsidRPr="004B0E13">
        <w:rPr>
          <w:rFonts w:ascii="Times New Roman" w:hAnsi="Times New Roman" w:cs="Times New Roman"/>
        </w:rPr>
        <w:t>ontinued investments in energy storage, smart grids, and legislative assistance are necessary to address these problems and guarantee a steady and scalable shift to sustainable energy. Energy markets are also changing as a result of the combination of blockchain technology and artificial intelligence (AI), which makes peer-to-peer trade and improved energy management systems possible (IEA, 2023). Long-term success in the U.S.'s sustainable energy sector will depend on persistent innovation, wise investments, and supporting regulations as the nation works toward its net-zero emissions targets by 2050</w:t>
      </w:r>
      <w:r>
        <w:rPr>
          <w:rFonts w:ascii="Times New Roman" w:hAnsi="Times New Roman" w:cs="Times New Roman"/>
        </w:rPr>
        <w:t xml:space="preserve"> </w:t>
      </w:r>
      <w:r>
        <w:rPr>
          <w:rFonts w:ascii="Times New Roman" w:hAnsi="Times New Roman" w:cs="Times New Roman"/>
        </w:rPr>
        <w:fldChar w:fldCharType="begin" w:fldLock="1"/>
      </w:r>
      <w:r w:rsidR="00581809">
        <w:rPr>
          <w:rFonts w:ascii="Times New Roman" w:hAnsi="Times New Roman" w:cs="Times New Roman"/>
        </w:rPr>
        <w:instrText>ADDIN CSL_CITATION {"citationItems":[{"id":"ITEM-1","itemData":{"DOI":"10.1002/9781118786352.wbieg0743","author":[{"dropping-particle":"","family":"The","given":"Ases I N","non-dropping-particle":"","parse-names":false,"suffix":""}],"container-title":"International Encyclopedia of Geography","id":"ITEM-1","issued":{"date-parts":[["2016"]]},"page":"1-1","title":" U nited S tates of A merica: Society of Woman Geographers ( SWG ) ","type":"article-journal"},"uris":["http://www.mendeley.com/documents/?uuid=8d38318e-bcb6-40bd-b0b3-d2f79c0ec850"]}],"mendeley":{"formattedCitation":"(The, 2016)","plainTextFormattedCitation":"(The, 2016)","previouslyFormattedCitation":"(The, 2016)"},"properties":{"noteIndex":0},"schema":"https://github.com/citation-style-language/schema/raw/master/csl-citation.json"}</w:instrText>
      </w:r>
      <w:r>
        <w:rPr>
          <w:rFonts w:ascii="Times New Roman" w:hAnsi="Times New Roman" w:cs="Times New Roman"/>
        </w:rPr>
        <w:fldChar w:fldCharType="separate"/>
      </w:r>
      <w:r w:rsidRPr="004B0E13">
        <w:rPr>
          <w:rFonts w:ascii="Times New Roman" w:hAnsi="Times New Roman" w:cs="Times New Roman"/>
          <w:noProof/>
        </w:rPr>
        <w:t>(The, 2016)</w:t>
      </w:r>
      <w:r>
        <w:rPr>
          <w:rFonts w:ascii="Times New Roman" w:hAnsi="Times New Roman" w:cs="Times New Roman"/>
        </w:rPr>
        <w:fldChar w:fldCharType="end"/>
      </w:r>
      <w:r w:rsidRPr="004B0E13">
        <w:rPr>
          <w:rFonts w:ascii="Times New Roman" w:hAnsi="Times New Roman" w:cs="Times New Roman"/>
        </w:rPr>
        <w:t>.</w:t>
      </w:r>
    </w:p>
    <w:p w14:paraId="21AEE37F" w14:textId="291DB501" w:rsidR="000E0EFA" w:rsidRPr="000E0EFA" w:rsidRDefault="000E0EFA" w:rsidP="000E0EFA">
      <w:pPr>
        <w:pStyle w:val="Heading1"/>
        <w:spacing w:line="480" w:lineRule="auto"/>
        <w:jc w:val="both"/>
        <w:rPr>
          <w:rFonts w:ascii="Times New Roman" w:hAnsi="Times New Roman" w:cs="Times New Roman"/>
          <w:b/>
          <w:bCs/>
          <w:color w:val="auto"/>
          <w:sz w:val="24"/>
          <w:szCs w:val="24"/>
        </w:rPr>
      </w:pPr>
      <w:r w:rsidRPr="000E0EFA">
        <w:rPr>
          <w:rFonts w:ascii="Times New Roman" w:hAnsi="Times New Roman" w:cs="Times New Roman"/>
          <w:b/>
          <w:bCs/>
          <w:color w:val="auto"/>
          <w:sz w:val="24"/>
          <w:szCs w:val="24"/>
        </w:rPr>
        <w:t>2.1 Conceptual Framework</w:t>
      </w:r>
    </w:p>
    <w:p w14:paraId="173B0B3C" w14:textId="11B98098" w:rsidR="000E0EFA" w:rsidRPr="000E0EFA" w:rsidRDefault="000E0EFA" w:rsidP="000E0EFA">
      <w:pPr>
        <w:spacing w:line="480" w:lineRule="auto"/>
        <w:jc w:val="both"/>
        <w:rPr>
          <w:rFonts w:ascii="Times New Roman" w:hAnsi="Times New Roman" w:cs="Times New Roman"/>
        </w:rPr>
      </w:pPr>
      <w:r w:rsidRPr="000E0EFA">
        <w:rPr>
          <w:rFonts w:ascii="Times New Roman" w:hAnsi="Times New Roman" w:cs="Times New Roman"/>
        </w:rPr>
        <w:t xml:space="preserve">Economic, environmental, and policy concerns are all affecting the need for creative finance methods to support renewable energy projects as the United States moves toward sustainable energy. Addressing the financial obstacles that prevent the full implementation of clean energy technology, even in the face of supporting federal and state regulations, is the main issue in scaling sustainable energy projects. This conceptual framework looks at how different financial </w:t>
      </w:r>
      <w:r w:rsidRPr="000E0EFA">
        <w:rPr>
          <w:rFonts w:ascii="Times New Roman" w:hAnsi="Times New Roman" w:cs="Times New Roman"/>
        </w:rPr>
        <w:lastRenderedPageBreak/>
        <w:t>mechanisms are changing investment flows, risk-reduction tactics, and scalability in renewable energy projects. These mechanisms include energy-as-a-service (EaaS), blockchain-based financing, green bonds, and traditional public funding</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khsh","given":"Satar","non-dropping-particle":"","parse-names":false,"suffix":""},{"dropping-particle":"","family":"Zhang","given":"Wei","non-dropping-particle":"","parse-names":false,"suffix":""},{"dropping-particle":"","family":"Ali","given":"Kishwar","non-dropping-particle":"","parse-names":false,"suffix":""},{"dropping-particle":"","family":"Oláh","given":"Judit","non-dropping-particle":"","parse-names":false,"suffix":""}],"container-title":"Energy Strategy Reviews","id":"ITEM-1","issued":{"date-parts":[["2024"]]},"page":"101330","publisher":"Elsevier","title":"Strategy towards sustainable energy transition: The effect of environmental governance, economic complexity and geopolitics","type":"article-journal","volume":"52"},"uris":["http://www.mendeley.com/documents/?uuid=5f8401bb-e902-4e3b-99a8-eb7fc81b626a"]},{"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Energy","type":"article-journal"},"uris":["http://www.mendeley.com/documents/?uuid=a2fae13d-7edb-43ef-816c-92495f0caa71"]}],"mendeley":{"formattedCitation":"(Bakhsh et al., 2024; Zhang, 2024)","plainTextFormattedCitation":"(Bakhsh et al., 2024; Zhang, 2024)","previouslyFormattedCitation":"(Bakhsh et al., 2024; Zhang, 2024)"},"properties":{"noteIndex":0},"schema":"https://github.com/citation-style-language/schema/raw/master/csl-citation.json"}</w:instrText>
      </w:r>
      <w:r>
        <w:rPr>
          <w:rFonts w:ascii="Times New Roman" w:hAnsi="Times New Roman" w:cs="Times New Roman"/>
        </w:rPr>
        <w:fldChar w:fldCharType="separate"/>
      </w:r>
      <w:r w:rsidRPr="000E0EFA">
        <w:rPr>
          <w:rFonts w:ascii="Times New Roman" w:hAnsi="Times New Roman" w:cs="Times New Roman"/>
          <w:noProof/>
        </w:rPr>
        <w:t>(Bakhsh et al., 2024; Zhang, 2024)</w:t>
      </w:r>
      <w:r>
        <w:rPr>
          <w:rFonts w:ascii="Times New Roman" w:hAnsi="Times New Roman" w:cs="Times New Roman"/>
        </w:rPr>
        <w:fldChar w:fldCharType="end"/>
      </w:r>
      <w:r w:rsidRPr="000E0EFA">
        <w:rPr>
          <w:rFonts w:ascii="Times New Roman" w:hAnsi="Times New Roman" w:cs="Times New Roman"/>
        </w:rPr>
        <w:t xml:space="preserve">. The framework suggests that conventional financial models, such as government-backed tax incentives (e.g., Investment Tax Credit and Production Tax Credit), are foundational but limited due to political volatility and resource constraints. In contrast, innovative models like public-private partnerships (PPPs), decentralized finance (DeFi), and tokenized assets offer dynamic alternatives that address these gaps by democratizing investment opportunities and reducing the financial risk typically associated with renewable energy projects </w:t>
      </w:r>
      <w:r>
        <w:rPr>
          <w:rFonts w:ascii="Times New Roman" w:hAnsi="Times New Roman" w:cs="Times New Roman"/>
        </w:rPr>
        <w:fldChar w:fldCharType="begin" w:fldLock="1"/>
      </w:r>
      <w:r w:rsidR="00D84C1A">
        <w:rPr>
          <w:rFonts w:ascii="Times New Roman" w:hAnsi="Times New Roman" w:cs="Times New Roman"/>
        </w:rPr>
        <w:instrText>ADDIN CSL_CITATION {"citationItems":[{"id":"ITEM-1","itemData":{"author":[{"dropping-particle":"","family":"Buckley","given":"Tim","non-dropping-particle":"","parse-names":false,"suffix":""},{"dropping-particle":"","family":"Energy","given":"Climate","non-dropping-particle":"","parse-names":false,"suffix":""},{"dropping-particle":"","family":"Pollard","given":"Matt","non-dropping-particle":"","parse-names":false,"suffix":""}],"id":"ITEM-1","issue":"August","issued":{"date-parts":[["2022"]]},"title":"The Inflation Reduction Act ( IRA ) and Associated Programs","type":"article-journal"},"uris":["http://www.mendeley.com/documents/?uuid=2a720c69-320b-404d-8c0c-54fece8a904e"]},{"id":"ITEM-2","itemData":{"author":[{"dropping-particle":"","family":"Ogunyemi","given":"Feyisayo Michael","non-dropping-particle":"","parse-names":false,"suffix":""},{"dropping-particle":"","family":"Ishola","given":"Akinwale Omowumi","non-dropping-particle":"","parse-names":false,"suffix":""}],"id":"ITEM-2","issue":"December","issued":{"date-parts":[["2024"]]},"title":"Supporting the Green Energy Transition in U . S . SMEs : A Sustainable Finance and Consulting Approach","type":"article-journal"},"uris":["http://www.mendeley.com/documents/?uuid=6c13edef-c247-48fb-a0f0-15887a742bd1"]}],"mendeley":{"formattedCitation":"(Buckley et al., 2022; Ogunyemi &amp; Ishola, 2024)","plainTextFormattedCitation":"(Buckley et al., 2022; Ogunyemi &amp; Ishola, 2024)","previouslyFormattedCitation":"(Buckley et al., 2022; Ogunyemi &amp; Ishola, 2024)"},"properties":{"noteIndex":0},"schema":"https://github.com/citation-style-language/schema/raw/master/csl-citation.json"}</w:instrText>
      </w:r>
      <w:r>
        <w:rPr>
          <w:rFonts w:ascii="Times New Roman" w:hAnsi="Times New Roman" w:cs="Times New Roman"/>
        </w:rPr>
        <w:fldChar w:fldCharType="separate"/>
      </w:r>
      <w:r w:rsidRPr="000E0EFA">
        <w:rPr>
          <w:rFonts w:ascii="Times New Roman" w:hAnsi="Times New Roman" w:cs="Times New Roman"/>
          <w:noProof/>
        </w:rPr>
        <w:t>(Buckley et al., 2022; Ogunyemi &amp; Ishola, 2024)</w:t>
      </w:r>
      <w:r>
        <w:rPr>
          <w:rFonts w:ascii="Times New Roman" w:hAnsi="Times New Roman" w:cs="Times New Roman"/>
        </w:rPr>
        <w:fldChar w:fldCharType="end"/>
      </w:r>
      <w:r w:rsidRPr="000E0EFA">
        <w:rPr>
          <w:rFonts w:ascii="Times New Roman" w:hAnsi="Times New Roman" w:cs="Times New Roman"/>
        </w:rPr>
        <w:t xml:space="preserve">. The role of Environmental, Social, and Governance (ESG) investing is increasingly influential in guiding capital towards sustainable energy initiatives, and the integration of FinTech, artificial intelligence (AI), and blockchain technologies can accelerate the transition to a low-carbon economy by optimizing funding mechanisms and enhancing transparency in investment </w:t>
      </w:r>
      <w:r w:rsidR="00D84C1A">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{"citationItems":[{"id":"ITEM-1","itemData":{"DOI":"10.28992/ijsam.v1i1.22","ISSN":"2597-6214","abstract":"The Sustainable Development Goals (SDGs) are a wide range of global sustainable development targets for the environment, society and economy and they were launched by the United Nations in 2015. In launching the SDGs, the United Nations called on all member states to embrace what are an ambitious and demanding set of challenges but it also emphasised the vital role that businesses, would have to play if these challenges were to be met. The aim of this preliminary commentary paper is to review a number of the ways the Information Communication and Technology industry believes it can contribute to the achievement of the SDGs. The paper outlines the characteristics of the concept of sustainable development and how ICT relates to sustainable development, reviews a number of the ways two leading ICT companies, namely Ericsson and Microsoft and two industry bodies, namely the GSMA which represents the interests of mobile operators worldwide, and the Global e-Sustainability Initiative, believe they can contribute to the achievement of the SDGs. The paper also examines some of the challenges the industry may face in making such a contribution and offers some reflections on the role of ICT in promoting the transition to a more sustainable future for people and the planet.","author":[{"dropping-particle":"","family":"Jones","given":"Peter","non-dropping-particle":"","parse-names":false,"suffix":""},{"dropping-particle":"","family":"Wynn","given":"Martin","non-dropping-particle":"","parse-names":false,"suffix":""},{"dropping-particle":"","family":"Hillier","given":"David","non-dropping-particle":"","parse-names":false,"suffix":""},{"dropping-particle":"","family":"Comfort","given":"Daphne","non-dropping-particle":"","parse-names":false,"suffix":""}],"container-title":"Indonesian Journal of Sustainability Accounting and Management","id":"ITEM-1","issue":"1","issued":{"date-parts":[["2017"]]},"page":"1","title":"The Sustainable Development Goals and Information and Communication Technologies","type":"article-journal","volume":"1"},"uris":["http://www.mendeley.com/documents/?uuid=8b85f6af-896c-47f3-8dc4-ccaddeb3991b"]},{"id":"ITEM-2","itemData":{"DOI":"10.3390/su13031066","ISSN":"20711050","abstract":"Information and communication technologies (ICTs) are the cornerstone for sustainable development, but if they are not appropriately managed, they will impede progress towards the United Nations Global Sustainable Development Goals. Among undesirable impacts, emphasis must be put on the risk of information security (ISec) breaches, as they pose a potential threat to businesses there. Especially for publicly traded firms, they could create a long-lasting influence on their financial performance and, thus, stock investors’ confidence. Following the efficient market hypothesis’s footsteps, previous studies have examined only the short-run impact on investors’ confidence ensuing to ISec breach announcements. Therefore, this study investigates the long-run impact of ISec breach announcements on investors’ confidence. Based on a sample of 73 ISec breach announcements during 2011–2019, this paper examines the impact on investors’ confidence, as demonstrated by long-run abnormal returns and equity risk of those firms. Using a one-to-one matched sampling approach, each firm’s performance is analyzed with its control firm over eighteen months, starting six months before the announcement, through twelve months after the announcement. Firms experienced a significant negative abnormal return of 15% to 18% during the twelve months following the breach announcement. In comparison, equity risk increased by 11% within six months before and after an announcement. This study can help investors, managers, and researchers better understand a long-term relationship between ISec breaches and investor confidence in the context of efficient market hypothesis.","author":[{"dropping-particle":"","family":"Ali","given":"Syed Emad Azhar","non-dropping-particle":"","parse-names":false,"suffix":""},{"dropping-particle":"","family":"Lai","given":"Fong Woon","non-dropping-particle":"","parse-names":false,"suffix":""},{"dropping-particle":"","family":"Hassan","given":"Rohail","non-dropping-particle":"","parse-names":false,"suffix":""},{"dropping-particle":"","family":"Shad","given":"Muhammad Kashif","non-dropping-particle":"","parse-names":false,"suffix":""}],"container-title":"Sustainability (Switzerland)","id":"ITEM-2","issue":"3","issued":{"date-parts":[["2021"]]},"page":"1-27","title":"The long-run impact of information security breach announcements on investors’ confidence: the context of efficient market hypothesis","type":"article-journal","volume":"13"},"uris":["http://www.mendeley.com/documents/?uuid=6380a754-bf10-44dd-9f72-6f341cc9fabf"]}],"mendeley":{"formattedCitation":"(S. E. A. Ali et al., 2021; Jones et al., 2017)","plainTextFormattedCitation":"(S. E. A. Ali et al., 2021; Jones et al., 2017)","previouslyFormattedCitation":"(S. E. A. Ali et al., 2021; Jones et al., 2017)"},"properties":{"noteIndex":0},"schema":"https://github.com/citation-style-language/schema/raw/master/csl-citation.json"}</w:instrText>
      </w:r>
      <w:r w:rsidR="00D84C1A">
        <w:rPr>
          <w:rFonts w:ascii="Times New Roman" w:hAnsi="Times New Roman" w:cs="Times New Roman"/>
        </w:rPr>
        <w:fldChar w:fldCharType="separate"/>
      </w:r>
      <w:r w:rsidR="00D84C1A" w:rsidRPr="00D84C1A">
        <w:rPr>
          <w:rFonts w:ascii="Times New Roman" w:hAnsi="Times New Roman" w:cs="Times New Roman"/>
          <w:noProof/>
        </w:rPr>
        <w:t>(S. E. A. Ali et al., 2021; Jones et al., 2017)</w:t>
      </w:r>
      <w:r w:rsidR="00D84C1A">
        <w:rPr>
          <w:rFonts w:ascii="Times New Roman" w:hAnsi="Times New Roman" w:cs="Times New Roman"/>
        </w:rPr>
        <w:fldChar w:fldCharType="end"/>
      </w:r>
      <w:r w:rsidRPr="000E0EFA">
        <w:rPr>
          <w:rFonts w:ascii="Times New Roman" w:hAnsi="Times New Roman" w:cs="Times New Roman"/>
        </w:rPr>
        <w:t xml:space="preserve">. A successful transition to sustainable energy in the United States necessitates a multifaceted approach combining public sector support, creative private sector funding, and technological advancements that facilitate the scaling of renewable energy. Additionally, new financial models like green bonds and community-based financing mechanisms like community choice aggregation (CCA) serve to both attract private sector investment and improve local engagement in the clean energy transition </w:t>
      </w:r>
      <w:r w:rsidR="00B415A1">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{"citationItems":[{"id":"ITEM-1","itemData":{"DOI":"10.1016/j.jclepro.2019.119330","ISSN":"09596526","abstract":"Crowdlending is becoming an alternative way of funding start-ups and small and medium enterprises (SMEs) in various sectors, including renewable energy, a sector with major difficulties in financing. It consists in financing projects, through specialized platforms, by a large number of individuals (the crowd). But despite the growing popularity of crowdlending, its usage and functioning in the renewable energy sector remain misunderstood. This paper addresses this lack of clarity by exploring empirically the factors that contribute to the success of crowdlending campaigns in renewable energy sector. The study uses data collected from the three most important crowdlending platforms dedicated to renewable energy in France. The results support the importance of the economic characteristics of the project, including its interest rate, the amount requested, the size of the firm and its financial performance as the major contributors to the success of campaigns. Subjective criteria, mainly the age, and, to a lesser extent, the size of the social network and the gender of the entrepreneur, also contribute to collecting funds. These findings are relevant for entrepreneurs and platforms, helping to identify the most important elements to provide to the crowd in order to facilitate the success of campaigns in renewable energy.","author":[{"dropping-particle":"","family":"Slimane","given":"Faten","non-dropping-particle":"Ben","parse-names":false,"suffix":""},{"dropping-particle":"","family":"Rousseau","given":"Antoine","non-dropping-particle":"","parse-names":false,"suffix":""}],"container-title":"Journal of Cleaner Production","id":"ITEM-1","issue":"Ea 2354","issued":{"date-parts":[["2020"]]},"page":"0-29","title":"Crowdlending campaigns for renewable energy: Success factors","type":"article-journal","volume":"249"},"uris":["http://www.mendeley.com/documents/?uuid=d8a4d0ce-09d5-48eb-b53c-968f6957faf9"]}],"mendeley":{"formattedCitation":"(Ben Slimane &amp; Rousseau, 2020)","plainTextFormattedCitation":"(Ben Slimane &amp; Rousseau, 2020)","previouslyFormattedCitation":"(Ben Slimane &amp; Rousseau, 2020)"},"properties":{"noteIndex":0},"schema":"https://github.com/citation-style-language/schema/raw/master/csl-citation.json"}</w:instrText>
      </w:r>
      <w:r w:rsidR="00B415A1">
        <w:rPr>
          <w:rFonts w:ascii="Times New Roman" w:hAnsi="Times New Roman" w:cs="Times New Roman"/>
        </w:rPr>
        <w:fldChar w:fldCharType="separate"/>
      </w:r>
      <w:r w:rsidR="00B415A1" w:rsidRPr="00B415A1">
        <w:rPr>
          <w:rFonts w:ascii="Times New Roman" w:hAnsi="Times New Roman" w:cs="Times New Roman"/>
          <w:noProof/>
        </w:rPr>
        <w:t>(Ben Slimane &amp; Rousseau, 2020)</w:t>
      </w:r>
      <w:r w:rsidR="00B415A1">
        <w:rPr>
          <w:rFonts w:ascii="Times New Roman" w:hAnsi="Times New Roman" w:cs="Times New Roman"/>
        </w:rPr>
        <w:fldChar w:fldCharType="end"/>
      </w:r>
      <w:r w:rsidRPr="000E0EFA">
        <w:rPr>
          <w:rFonts w:ascii="Times New Roman" w:hAnsi="Times New Roman" w:cs="Times New Roman"/>
        </w:rPr>
        <w:t xml:space="preserve">. Fostering regulatory stability, incorporating AI-driven investment tools, and growing public-private partnerships are essential for maximizing financial resilience and building a strong, scalable, and sustainable energy finance ecosystem </w:t>
      </w:r>
      <w:r w:rsidR="00B415A1">
        <w:rPr>
          <w:rFonts w:ascii="Times New Roman" w:hAnsi="Times New Roman" w:cs="Times New Roman"/>
        </w:rPr>
        <w:fldChar w:fldCharType="begin" w:fldLock="1"/>
      </w:r>
      <w:r w:rsidR="00B415A1">
        <w:rPr>
          <w:rFonts w:ascii="Times New Roman" w:hAnsi="Times New Roman" w:cs="Times New Roman"/>
        </w:rPr>
        <w:instrText>ADDIN CSL_CITATION {"citationItems":[{"id":"ITEM-1","itemData":{"abstract":"Clean energy tax credits and other provisions included in the bill would increase energy production at home and accelerate energy innovation abroad. Additionally, by investing in disadvantaged communities, prioritizing projects that reutilize retired fossil fuel infrastructure and employ displaced workers, and including incentives for climate-smart agricultural practices, the IRA would make meaningful progress towards a fair, equitable, and economic clean energy transition. Recent modeling by Rhodium Group highlights the substantial emissions reduction impact of these provisions. Under a business-as-usual scenario, the United States is on track to reduce greenhouse gas (GHG) emissions by between 24% to 35% by 2030 compared to 2005 levels. Should the IRA become law, this would increase to between 31% to 44% by 2030","author":[{"dropping-particle":"","family":"Bipartisan Policy Center","given":"","non-dropping-particle":"","parse-names":false,"suffix":""}],"id":"ITEM-1","issued":{"date-parts":[["2022"]]},"page":"1-22","title":"Inflation Reduction Act Summary","type":"article-journal"},"uris":["http://www.mendeley.com/documents/?uuid=c0ed6737-f9f2-4698-8478-5924981cb1b1"]},{"id":"ITEM-2","itemData":{"abstract":"Now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Bipartisan Policy Center, 2022)","plainTextFormattedCitation":"(Barbose et al., 2015; Bipartisan Policy Center, 2022)","previouslyFormattedCitation":"(Bipartisan Policy Center, 2022)"},"properties":{"noteIndex":0},"schema":"https://github.com/citation-style-language/schema/raw/master/csl-citation.json"}</w:instrText>
      </w:r>
      <w:r w:rsidR="00B415A1">
        <w:rPr>
          <w:rFonts w:ascii="Times New Roman" w:hAnsi="Times New Roman" w:cs="Times New Roman"/>
        </w:rPr>
        <w:fldChar w:fldCharType="separate"/>
      </w:r>
      <w:r w:rsidR="00B415A1" w:rsidRPr="00B415A1">
        <w:rPr>
          <w:rFonts w:ascii="Times New Roman" w:hAnsi="Times New Roman" w:cs="Times New Roman"/>
          <w:noProof/>
        </w:rPr>
        <w:t>(Barbose et al., 2015; Bipartisan Policy Center, 2022)</w:t>
      </w:r>
      <w:r w:rsidR="00B415A1">
        <w:rPr>
          <w:rFonts w:ascii="Times New Roman" w:hAnsi="Times New Roman" w:cs="Times New Roman"/>
        </w:rPr>
        <w:fldChar w:fldCharType="end"/>
      </w:r>
      <w:r w:rsidRPr="000E0EFA">
        <w:rPr>
          <w:rFonts w:ascii="Times New Roman" w:hAnsi="Times New Roman" w:cs="Times New Roman"/>
        </w:rPr>
        <w:t xml:space="preserve">. Overcoming the present barriers to financing renewable energy projects and guaranteeing </w:t>
      </w:r>
      <w:r w:rsidRPr="000E0EFA">
        <w:rPr>
          <w:rFonts w:ascii="Times New Roman" w:hAnsi="Times New Roman" w:cs="Times New Roman"/>
        </w:rPr>
        <w:lastRenderedPageBreak/>
        <w:t>long-term environmental and economic viability in the face of climate change depend heavily on this integrated financial ecosystem.</w:t>
      </w:r>
    </w:p>
    <w:p w14:paraId="1FC03E7C" w14:textId="050221DF" w:rsidR="008A5820" w:rsidRDefault="00FE0275" w:rsidP="00B415A1">
      <w:pPr>
        <w:pStyle w:val="Heading1"/>
        <w:numPr>
          <w:ilvl w:val="1"/>
          <w:numId w:val="11"/>
        </w:numPr>
        <w:spacing w:line="480" w:lineRule="auto"/>
        <w:jc w:val="both"/>
        <w:rPr>
          <w:rFonts w:ascii="Times New Roman" w:hAnsi="Times New Roman" w:cs="Times New Roman"/>
          <w:b/>
          <w:bCs/>
          <w:color w:val="auto"/>
          <w:sz w:val="24"/>
          <w:szCs w:val="24"/>
        </w:rPr>
      </w:pPr>
      <w:r w:rsidRPr="00FE0275">
        <w:rPr>
          <w:rFonts w:ascii="Times New Roman" w:hAnsi="Times New Roman" w:cs="Times New Roman"/>
          <w:b/>
          <w:bCs/>
          <w:color w:val="auto"/>
          <w:sz w:val="24"/>
          <w:szCs w:val="24"/>
        </w:rPr>
        <w:t>Traditional and Emerging Funding Models</w:t>
      </w:r>
    </w:p>
    <w:p w14:paraId="14DD9CB7" w14:textId="64F8C55D" w:rsidR="000A2CB8" w:rsidRPr="000A2CB8" w:rsidRDefault="000A2CB8" w:rsidP="000A2CB8">
      <w:pPr>
        <w:spacing w:line="480" w:lineRule="auto"/>
        <w:jc w:val="both"/>
        <w:rPr>
          <w:rFonts w:ascii="Times New Roman" w:hAnsi="Times New Roman" w:cs="Times New Roman"/>
        </w:rPr>
      </w:pPr>
      <w:r w:rsidRPr="000A2CB8">
        <w:rPr>
          <w:rFonts w:ascii="Times New Roman" w:hAnsi="Times New Roman" w:cs="Times New Roman"/>
        </w:rPr>
        <w:t>Infrastructure, sustainability projects, and renewable energy projects are all heavily reliant on both established and innovative finance mechanisms.  Conventional finance uses both public and private funding sources. Public financing includes grants, incentives, and subsidies from the federal and state governments that lower the cost of clean energy investments</w:t>
      </w:r>
      <w:r w:rsidR="00581809">
        <w:rPr>
          <w:rFonts w:ascii="Times New Roman" w:hAnsi="Times New Roman" w:cs="Times New Roman"/>
        </w:rPr>
        <w:t xml:space="preserve"> </w:t>
      </w:r>
      <w:r w:rsidR="00581809">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{"citationItems":[{"id":"ITEM-1","itemData":{"DOI":"10.3390/su9071146","ISSN":"20711050","abstract":"Continuously increasing demand of microgrids with high penetration of distributedenergy generators, mainly renewable energy sources, is modifying the traditional structure ofthe electric distribution grid. Major power consumer countries are looking for alternative energysources to avoid the impact of higher fossil fuel consumption. Thus, different policies have beenpromulgated to promote renewable energy technologies (RETs) and distributed energy resource (DER)deployment and are encouraging technological innovation. These policies aim to reduce greenhousegas (GHG) emissions and achieve energy security and independence to meet an ever-increasingelectricity demand. Many studies have been performed on the successful integration of RET andDER operation and control, protection and stability issues, all simultaneously and satisfactorilyimplemented during feasible microgrid operation. However, apart from the technical challenges, fewmicrogrid studies exist on effective policies and incentives for microgrid promotion and deployment.This survey investigates the policy, regulatory and financial (economical and commercial) barriers,which hinder the deployment of microgrids in the European Union (EU), United States (USA) andChina. In this paper, a clear view on microgrid policy instruments and challenges are investigated toaid future developments.","author":[{"dropping-particle":"","family":"Ali","given":"Amjad","non-dropping-particle":"","parse-names":false,"suffix":""},{"dropping-particle":"","family":"Li","given":"Wuhua","non-dropping-particle":"","parse-names":false,"suffix":""},{"dropping-particle":"","family":"Hussain","given":"Rashid","non-dropping-particle":"","parse-names":false,"suffix":""},{"dropping-particle":"","family":"He","given":"Xiangning","non-dropping-particle":"","parse-names":false,"suffix":""},{"dropping-particle":"","family":"Williams","given":"Barry W.","non-dropping-particle":"","parse-names":false,"suffix":""},{"dropping-particle":"","family":"Memon","given":"Abdul Hameed","non-dropping-particle":"","parse-names":false,"suffix":""}],"container-title":"Sustainability (Switzerland)","id":"ITEM-1","issue":"7","issued":{"date-parts":[["2017"]]},"title":"Overview of current microgrid policies, incentives and barriers in the European Union, United States and China","type":"article-journal","volume":"9"},"uris":["http://www.mendeley.com/documents/?uuid=5e553d42-53af-4d7f-8192-c7d53f64bba4"]},{"id":"ITEM-2","itemData":{"author":[{"dropping-particle":"","family":"UNITED NATIONS ECONOMIC COMMISSION FOR AFRICA","given":"","non-dropping-particle":"","parse-names":false,"suffix":""}],"id":"ITEM-2","issued":{"date-parts":[["2020"]]},"title":"Study on innovative financing mechanisms for renewable energy projects in North Africa","type":"article-journal"},"uris":["http://www.mendeley.com/documents/?uuid=93e76d83-5a36-4db0-ae65-027ef0102f67"]}],"mendeley":{"formattedCitation":"(A. Ali et al., 2017; UNITED NATIONS ECONOMIC COMMISSION FOR AFRICA, 2020)","manualFormatting":"(Ali et al., 2017; United Nations Economic Commission For Africa, 2020)","plainTextFormattedCitation":"(A. Ali et al., 2017; UNITED NATIONS ECONOMIC COMMISSION FOR AFRICA, 2020)","previouslyFormattedCitation":"(A. Ali et al., 2017; UNITED NATIONS ECONOMIC COMMISSION FOR AFRICA, 2020)"},"properties":{"noteIndex":0},"schema":"https://github.com/citation-style-language/schema/raw/master/csl-citation.json"}</w:instrText>
      </w:r>
      <w:r w:rsidR="00581809">
        <w:rPr>
          <w:rFonts w:ascii="Times New Roman" w:hAnsi="Times New Roman" w:cs="Times New Roman"/>
        </w:rPr>
        <w:fldChar w:fldCharType="separate"/>
      </w:r>
      <w:r w:rsidR="006851DF" w:rsidRPr="006851DF">
        <w:rPr>
          <w:rFonts w:ascii="Times New Roman" w:hAnsi="Times New Roman" w:cs="Times New Roman"/>
          <w:noProof/>
        </w:rPr>
        <w:t>(Ali et al., 2017; United Nations Economic Commission For Africa, 2020)</w:t>
      </w:r>
      <w:r w:rsidR="00581809">
        <w:rPr>
          <w:rFonts w:ascii="Times New Roman" w:hAnsi="Times New Roman" w:cs="Times New Roman"/>
        </w:rPr>
        <w:fldChar w:fldCharType="end"/>
      </w:r>
      <w:r w:rsidRPr="000A2CB8">
        <w:rPr>
          <w:rFonts w:ascii="Times New Roman" w:hAnsi="Times New Roman" w:cs="Times New Roman"/>
        </w:rPr>
        <w:t xml:space="preserve">.  By providing tax breaks to investors and developers, government-sponsored initiatives like the Investment Tax Credit (ITC) and Production Tax Credit (PTC) in the US have greatly aided in the growth of solar and wind energy. </w:t>
      </w:r>
      <w:r w:rsidR="001F3BA3">
        <w:rPr>
          <w:rFonts w:ascii="Times New Roman" w:hAnsi="Times New Roman" w:cs="Times New Roman"/>
        </w:rPr>
        <w:fldChar w:fldCharType="begin" w:fldLock="1"/>
      </w:r>
      <w:r w:rsidR="001D1C10">
        <w:rPr>
          <w:rFonts w:ascii="Times New Roman" w:hAnsi="Times New Roman" w:cs="Times New Roman"/>
        </w:rPr>
        <w:instrText>ADDIN CSL_CITATION {"citationItems":[{"id":"ITEM-1","itemData":{"author":[{"dropping-particle":"","family":"IRENA-GWEC","given":"","non-dropping-particle":"","parse-names":false,"suffix":""}],"id":"ITEM-1","issued":{"date-parts":[["2012"]]},"title":"30 Years of Policies for Wind Energy in the United States","type":"article-journal"},"uris":["http://www.mendeley.com/documents/?uuid=6bcaadc3-d9d0-4afc-992e-51a1617db3e9"]},{"id":"ITEM-2","itemData":{"author":[{"dropping-particle":"","family":"Wind Energy Technologies Office","given":"United States Department of Energy","non-dropping-particle":"","parse-names":false,"suffix":""}],"id":"ITEM-2","issued":{"date-parts":[["2023"]]},"title":"U.S. Wind Industry Federal Incentives, Funding, and Partnership Opportunities Fact Sheet","type":"article-journal"},"uris":["http://www.mendeley.com/documents/?uuid=338e3ed3-32f9-4b24-83f5-fe24bef3ae55"]}],"mendeley":{"formattedCitation":"(IRENA-GWEC, 2012; Wind Energy Technologies Office, 2023)","plainTextFormattedCitation":"(IRENA-GWEC, 2012; Wind Energy Technologies Office, 2023)","previouslyFormattedCitation":"(IRENA-GWEC, 2012; Wind Energy Technologies Office, 2023)"},"properties":{"noteIndex":0},"schema":"https://github.com/citation-style-language/schema/raw/master/csl-citation.json"}</w:instrText>
      </w:r>
      <w:r w:rsidR="001F3BA3">
        <w:rPr>
          <w:rFonts w:ascii="Times New Roman" w:hAnsi="Times New Roman" w:cs="Times New Roman"/>
        </w:rPr>
        <w:fldChar w:fldCharType="separate"/>
      </w:r>
      <w:r w:rsidR="001F3BA3" w:rsidRPr="001F3BA3">
        <w:rPr>
          <w:rFonts w:ascii="Times New Roman" w:hAnsi="Times New Roman" w:cs="Times New Roman"/>
          <w:noProof/>
        </w:rPr>
        <w:t>(IRENA-GWEC, 2012; Wind Energy Technologies Office, 2023)</w:t>
      </w:r>
      <w:r w:rsidR="001F3BA3">
        <w:rPr>
          <w:rFonts w:ascii="Times New Roman" w:hAnsi="Times New Roman" w:cs="Times New Roman"/>
        </w:rPr>
        <w:fldChar w:fldCharType="end"/>
      </w:r>
      <w:r w:rsidR="002A759D" w:rsidRPr="002A759D">
        <w:rPr>
          <w:rFonts w:ascii="Times New Roman" w:hAnsi="Times New Roman" w:cs="Times New Roman"/>
        </w:rPr>
        <w:t xml:space="preserve">. </w:t>
      </w:r>
      <w:r w:rsidRPr="000A2CB8">
        <w:rPr>
          <w:rFonts w:ascii="Times New Roman" w:hAnsi="Times New Roman" w:cs="Times New Roman"/>
        </w:rPr>
        <w:t>Governments, businesses, and financial institutions are issuing debt instruments to raise money for climate-related initiatives under the new model known as "green bonds" or "climate bonds". While luring institutional investors, these securities offer a low-risk way to raise money for renewable energy</w:t>
      </w:r>
      <w:r w:rsidR="001D1C10">
        <w:rPr>
          <w:rFonts w:ascii="Times New Roman" w:hAnsi="Times New Roman" w:cs="Times New Roman"/>
        </w:rPr>
        <w:t xml:space="preserve"> </w:t>
      </w:r>
      <w:r w:rsidR="001D1C10">
        <w:rPr>
          <w:rFonts w:ascii="Times New Roman" w:hAnsi="Times New Roman" w:cs="Times New Roman"/>
        </w:rPr>
        <w:fldChar w:fldCharType="begin" w:fldLock="1"/>
      </w:r>
      <w:r w:rsidR="004628F8">
        <w:rPr>
          <w:rFonts w:ascii="Times New Roman" w:hAnsi="Times New Roman" w:cs="Times New Roman"/>
        </w:rPr>
        <w:instrText>ADDIN CSL_CITATION {"citationItems":[{"id":"ITEM-1","itemData":{"abstract":"Global green bond market size: • Cumulative issuance since 2007: USD521bn • USA leading with USD118.6bn, followed by China (USD77.5bn) and France (USD56.7bn) • 2018 issuance: USD167.6bnA (2017: USD162.1bn) 2018 labelled bond market size: • USD167.6bn green bonds, which meet the CBI green bond database screening criteriaB • USD21.0bn sustainability / SDG / ESG bonds and loans financing green and social projects • USD14.2bn social bonds financing social projects • USD23.7bn green bonds, which do not meet the CBI green bond database screening criteria Outlook for 2019 and beyond: • Green bond growth expected from financial institutions, sovereigns, Certified Climate Bonds and climate-aligned issuersB • Continued harmonisation of taxonomies and use of green bond guidelines • Growth of other labelled issuance (sustainability/SDG bonds and social bonds) About","author":[{"dropping-particle":"","family":"Filkova","given":"Monica","non-dropping-particle":"","parse-names":false,"suffix":""},{"dropping-particle":"","family":"Frandon-Martinez","given":"Camille","non-dropping-particle":"","parse-names":false,"suffix":""},{"dropping-particle":"","family":"Giorgi","given":"Amanda","non-dropping-particle":"","parse-names":false,"suffix":""}],"container-title":"Climate Bonds Initiative","id":"ITEM-1","issued":{"date-parts":[["2018"]]},"page":"1-28","title":"Green Bonds: The State of the Market 2018","type":"article-journal"},"uris":["http://www.mendeley.com/documents/?uuid=1b8dacb8-1840-422c-a771-01fbebb5ce75"]},{"id":"ITEM-2","itemData":{"author":[{"dropping-particle":"","family":"World Bank","given":"","non-dropping-particle":"","parse-names":false,"suffix":""}],"id":"ITEM-2","issued":{"date-parts":[["2015"]]},"title":"Green What are Green","type":"article-journal"},"uris":["http://www.mendeley.com/documents/?uuid=8a610326-accc-4e99-819c-0ff818ac3147"]}],"mendeley":{"formattedCitation":"(Filkova et al., 2018; World Bank, 2015)","plainTextFormattedCitation":"(Filkova et al., 2018; World Bank, 2015)","previouslyFormattedCitation":"(Filkova et al., 2018; World Bank, 2015)"},"properties":{"noteIndex":0},"schema":"https://github.com/citation-style-language/schema/raw/master/csl-citation.json"}</w:instrText>
      </w:r>
      <w:r w:rsidR="001D1C10">
        <w:rPr>
          <w:rFonts w:ascii="Times New Roman" w:hAnsi="Times New Roman" w:cs="Times New Roman"/>
        </w:rPr>
        <w:fldChar w:fldCharType="separate"/>
      </w:r>
      <w:r w:rsidR="001D1C10" w:rsidRPr="001D1C10">
        <w:rPr>
          <w:rFonts w:ascii="Times New Roman" w:hAnsi="Times New Roman" w:cs="Times New Roman"/>
          <w:noProof/>
        </w:rPr>
        <w:t>(Filkova et al., 2018; World Bank, 2015)</w:t>
      </w:r>
      <w:r w:rsidR="001D1C10">
        <w:rPr>
          <w:rFonts w:ascii="Times New Roman" w:hAnsi="Times New Roman" w:cs="Times New Roman"/>
        </w:rPr>
        <w:fldChar w:fldCharType="end"/>
      </w:r>
      <w:r w:rsidRPr="000A2CB8">
        <w:rPr>
          <w:rFonts w:ascii="Times New Roman" w:hAnsi="Times New Roman" w:cs="Times New Roman"/>
        </w:rPr>
        <w:t xml:space="preserve">. Furthermore, crowdfunding and peer-to-peer (P2P) energy investments have become more popular, democratizing access to financing for renewable energy projects by enabling individuals to make direct investments through digital platforms </w:t>
      </w:r>
      <w:r w:rsidR="004628F8">
        <w:rPr>
          <w:rFonts w:ascii="Times New Roman" w:hAnsi="Times New Roman" w:cs="Times New Roman"/>
        </w:rPr>
        <w:fldChar w:fldCharType="begin" w:fldLock="1"/>
      </w:r>
      <w:r w:rsidR="00081279">
        <w:rPr>
          <w:rFonts w:ascii="Times New Roman" w:hAnsi="Times New Roman" w:cs="Times New Roman"/>
        </w:rPr>
        <w:instrText>ADDIN CSL_CITATION {"citationItems":[{"id":"ITEM-1","itemData":{"DOI":"10.1016/j.jclepro.2019.119330","ISSN":"09596526","abstract":"Crowdlending is becoming an alternative way of funding start-ups and small and medium enterprises (SMEs) in various sectors, including renewable energy, a sector with major difficulties in financing. It consists in financing projects, through specialized platforms, by a large number of individuals (the crowd). But despite the growing popularity of crowdlending, its usage and functioning in the renewable energy sector remain misunderstood. This paper addresses this lack of clarity by exploring empirically the factors that contribute to the success of crowdlending campaigns in renewable energy sector. The study uses data collected from the three most important crowdlending platforms dedicated to renewable energy in France. The results support the importance of the economic characteristics of the project, including its interest rate, the amount requested, the size of the firm and its financial performance as the major contributors to the success of campaigns. Subjective criteria, mainly the age, and, to a lesser extent, the size of the social network and the gender of the entrepreneur, also contribute to collecting funds. These findings are relevant for entrepreneurs and platforms, helping to identify the most important elements to provide to the crowd in order to facilitate the success of campaigns in renewable energy.","author":[{"dropping-particle":"","family":"Slimane","given":"Faten","non-dropping-particle":"Ben","parse-names":false,"suffix":""},{"dropping-particle":"","family":"Rousseau","given":"Antoine","non-dropping-particle":"","parse-names":false,"suffix":""}],"container-title":"Journal of Cleaner Production","id":"ITEM-1","issue":"Ea 2354","issued":{"date-parts":[["2020"]]},"page":"0-29","title":"Crowdlending campaigns for renewable energy: Success factors","type":"article-journal","volume":"249"},"uris":["http://www.mendeley.com/documents/?uuid=d8a4d0ce-09d5-48eb-b53c-968f6957faf9"]},{"id":"ITEM-2","itemData":{"author":[{"dropping-particle":"","family":"Salerno","given":"Francesco Maria","non-dropping-particle":"","parse-names":false,"suffix":""}],"id":"ITEM-2","issue":"January","issued":{"date-parts":[["2016"]]},"title":"SGEIs and the Energy Sector","type":"article-journal"},"uris":["http://www.mendeley.com/documents/?uuid=974410fb-bd60-4357-9999-e5635b8b8855"]}],"mendeley":{"formattedCitation":"(Ben Slimane &amp; Rousseau, 2020; Salerno, 2016)","plainTextFormattedCitation":"(Ben Slimane &amp; Rousseau, 2020; Salerno, 2016)","previouslyFormattedCitation":"(Ben Slimane &amp; Rousseau, 2020; Salerno, 2016)"},"properties":{"noteIndex":0},"schema":"https://github.com/citation-style-language/schema/raw/master/csl-citation.json"}</w:instrText>
      </w:r>
      <w:r w:rsidR="004628F8">
        <w:rPr>
          <w:rFonts w:ascii="Times New Roman" w:hAnsi="Times New Roman" w:cs="Times New Roman"/>
        </w:rPr>
        <w:fldChar w:fldCharType="separate"/>
      </w:r>
      <w:r w:rsidR="004628F8" w:rsidRPr="004628F8">
        <w:rPr>
          <w:rFonts w:ascii="Times New Roman" w:hAnsi="Times New Roman" w:cs="Times New Roman"/>
          <w:noProof/>
        </w:rPr>
        <w:t>(Ben Slimane &amp; Rousseau, 2020; Salerno, 2016)</w:t>
      </w:r>
      <w:r w:rsidR="004628F8">
        <w:rPr>
          <w:rFonts w:ascii="Times New Roman" w:hAnsi="Times New Roman" w:cs="Times New Roman"/>
        </w:rPr>
        <w:fldChar w:fldCharType="end"/>
      </w:r>
      <w:r w:rsidRPr="000A2CB8">
        <w:rPr>
          <w:rFonts w:ascii="Times New Roman" w:hAnsi="Times New Roman" w:cs="Times New Roman"/>
        </w:rPr>
        <w:t>.</w:t>
      </w:r>
      <w:r w:rsidR="002A759D" w:rsidRPr="002A759D">
        <w:rPr>
          <w:rFonts w:ascii="Times New Roman" w:hAnsi="Times New Roman" w:cs="Times New Roman"/>
        </w:rPr>
        <w:t xml:space="preserve"> </w:t>
      </w:r>
      <w:r w:rsidRPr="000A2CB8">
        <w:rPr>
          <w:rFonts w:ascii="Times New Roman" w:hAnsi="Times New Roman" w:cs="Times New Roman"/>
        </w:rPr>
        <w:t xml:space="preserve">These new forms stand in contrast to traditional private finance, which frequently demands larger returns on investment and relies on corporate investments, bank loans, and venture capital. Market expansion is promoted by the interaction of public and private financing channels, with public funding frequently acting as a catalyst to reduce the risk associated with private investment. Renewable energy certificates (RECs), feed-in tariffs, and direct subsidies are further ways that federal and state funding encourages the adoption of clean energy while </w:t>
      </w:r>
      <w:r w:rsidRPr="000A2CB8">
        <w:rPr>
          <w:rFonts w:ascii="Times New Roman" w:hAnsi="Times New Roman" w:cs="Times New Roman"/>
        </w:rPr>
        <w:lastRenderedPageBreak/>
        <w:t>guaranteeing the financial sustainability of new initiatives. Diverse investment strategies are required to promote energy transitions, lower carbon emissions, and improve economic resilience, as shown by the move toward sustainable financing models. The future of renewable energy financing and climate resilience initiatives worldwide will continue to be shaped by the development of funding solutions that incorporate community-based investments, private sector involvement, and policy-driven incentives</w:t>
      </w:r>
      <w:r w:rsidR="00081279">
        <w:rPr>
          <w:rFonts w:ascii="Times New Roman" w:hAnsi="Times New Roman" w:cs="Times New Roman"/>
        </w:rPr>
        <w:t xml:space="preserve"> </w:t>
      </w:r>
      <w:r w:rsidR="00081279">
        <w:rPr>
          <w:rFonts w:ascii="Times New Roman" w:hAnsi="Times New Roman" w:cs="Times New Roman"/>
        </w:rPr>
        <w:fldChar w:fldCharType="begin" w:fldLock="1"/>
      </w:r>
      <w:r w:rsidR="000D737B">
        <w:rPr>
          <w:rFonts w:ascii="Times New Roman" w:hAnsi="Times New Roman" w:cs="Times New Roman"/>
        </w:rPr>
        <w:instrText>ADDIN CSL_CITATION {"citationItems":[{"id":"ITEM-1","itemData":{"abstract":"This report explores how African countries can achieve universal energy access within the 2030 Agenda timeframe. Also, explores transformational potential of the electricity sector in five Africa countries.","author":[{"dropping-particle":"","family":"Yılmaz Mesut Can","given":"","non-dropping-particle":"","parse-names":false,"suffix":""}],"container-title":"/publications/2021/March/The-Renewable-Energy-Transition-in-Africa","id":"ITEM-1","issue":"3.1.1","issued":{"date-parts":[["2019"]]},"page":"1-48","title":"the Renewable Energy Transition in Turkey","type":"article-journal"},"uris":["http://www.mendeley.com/documents/?uuid=bd02ddda-229d-4754-bac4-8dbbec3ab73a"]},{"id":"ITEM-2","itemData":{"author":[{"dropping-particle":"","family":"Ipcc","given":"The","non-dropping-particle":"","parse-names":false,"suffix":""},{"dropping-particle":"","family":"Africa","given":"South","non-dropping-particle":"","parse-names":false,"suffix":""}],"id":"ITEM-2","issued":{"date-parts":[["2022"]]},"page":"1-13","title":"Financing a Just Transition in Africa : Challenges and Opportunities","type":"article-journal"},"uris":["http://www.mendeley.com/documents/?uuid=0726af3e-a9d4-4877-b8a7-a30d3f4cda88"]}],"mendeley":{"formattedCitation":"(Ipcc &amp; Africa, 2022; Yılmaz Mesut Can, 2019)","plainTextFormattedCitation":"(Ipcc &amp; Africa, 2022; Yılmaz Mesut Can, 2019)","previouslyFormattedCitation":"(Ipcc &amp; Africa, 2022; Yılmaz Mesut Can, 2019)"},"properties":{"noteIndex":0},"schema":"https://github.com/citation-style-language/schema/raw/master/csl-citation.json"}</w:instrText>
      </w:r>
      <w:r w:rsidR="00081279">
        <w:rPr>
          <w:rFonts w:ascii="Times New Roman" w:hAnsi="Times New Roman" w:cs="Times New Roman"/>
        </w:rPr>
        <w:fldChar w:fldCharType="separate"/>
      </w:r>
      <w:r w:rsidR="00081279" w:rsidRPr="00081279">
        <w:rPr>
          <w:rFonts w:ascii="Times New Roman" w:hAnsi="Times New Roman" w:cs="Times New Roman"/>
          <w:noProof/>
        </w:rPr>
        <w:t>(Ipcc &amp; Africa, 2022; Yılmaz Mesut Can, 2019)</w:t>
      </w:r>
      <w:r w:rsidR="00081279">
        <w:rPr>
          <w:rFonts w:ascii="Times New Roman" w:hAnsi="Times New Roman" w:cs="Times New Roman"/>
        </w:rPr>
        <w:fldChar w:fldCharType="end"/>
      </w:r>
      <w:r w:rsidRPr="000A2CB8">
        <w:rPr>
          <w:rFonts w:ascii="Times New Roman" w:hAnsi="Times New Roman" w:cs="Times New Roman"/>
        </w:rPr>
        <w:t>.</w:t>
      </w:r>
    </w:p>
    <w:p w14:paraId="7CE37A6F" w14:textId="08A6DF32" w:rsidR="00EB7218" w:rsidRPr="00EB7218" w:rsidRDefault="00EB7218" w:rsidP="00EB7218">
      <w:pPr>
        <w:pStyle w:val="Heading1"/>
        <w:spacing w:line="480" w:lineRule="auto"/>
        <w:jc w:val="both"/>
        <w:rPr>
          <w:rFonts w:ascii="Times New Roman" w:hAnsi="Times New Roman" w:cs="Times New Roman"/>
          <w:b/>
          <w:bCs/>
          <w:color w:val="auto"/>
          <w:sz w:val="24"/>
          <w:szCs w:val="24"/>
        </w:rPr>
      </w:pPr>
      <w:r w:rsidRPr="00EB7218">
        <w:rPr>
          <w:rFonts w:ascii="Times New Roman" w:hAnsi="Times New Roman" w:cs="Times New Roman"/>
          <w:b/>
          <w:bCs/>
          <w:color w:val="auto"/>
          <w:sz w:val="24"/>
          <w:szCs w:val="24"/>
        </w:rPr>
        <w:t>2.</w:t>
      </w:r>
      <w:r w:rsidR="00B415A1">
        <w:rPr>
          <w:rFonts w:ascii="Times New Roman" w:hAnsi="Times New Roman" w:cs="Times New Roman"/>
          <w:b/>
          <w:bCs/>
          <w:color w:val="auto"/>
          <w:sz w:val="24"/>
          <w:szCs w:val="24"/>
        </w:rPr>
        <w:t>3</w:t>
      </w:r>
      <w:r w:rsidRPr="00EB7218">
        <w:rPr>
          <w:rFonts w:ascii="Times New Roman" w:hAnsi="Times New Roman" w:cs="Times New Roman"/>
          <w:b/>
          <w:bCs/>
          <w:color w:val="auto"/>
          <w:sz w:val="24"/>
          <w:szCs w:val="24"/>
        </w:rPr>
        <w:t xml:space="preserve"> Financial Frameworks for Sustainable Energy Projects</w:t>
      </w:r>
    </w:p>
    <w:p w14:paraId="149A10E9" w14:textId="21E265BD" w:rsidR="00993C94" w:rsidRDefault="00993C94" w:rsidP="00993C94">
      <w:pPr>
        <w:spacing w:line="480" w:lineRule="auto"/>
        <w:jc w:val="both"/>
        <w:rPr>
          <w:rFonts w:ascii="Times New Roman" w:hAnsi="Times New Roman" w:cs="Times New Roman"/>
        </w:rPr>
      </w:pPr>
      <w:r w:rsidRPr="00993C94">
        <w:rPr>
          <w:rFonts w:ascii="Times New Roman" w:hAnsi="Times New Roman" w:cs="Times New Roman"/>
        </w:rPr>
        <w:t xml:space="preserve">For sustainable energy projects to minimize investment risks and maximize returns, strong financial structures are necessary. The financing of renewable energy requires risk assessment and mitigation measures because of market volatility, regulatory changes, and technological uncertainty </w:t>
      </w:r>
      <w:r w:rsidR="00AF7764">
        <w:rPr>
          <w:rFonts w:ascii="Times New Roman" w:hAnsi="Times New Roman" w:cs="Times New Roman"/>
        </w:rPr>
        <w:fldChar w:fldCharType="begin" w:fldLock="1"/>
      </w:r>
      <w:r w:rsidR="005E0F14">
        <w:rPr>
          <w:rFonts w:ascii="Times New Roman" w:hAnsi="Times New Roman" w:cs="Times New Roman"/>
        </w:rPr>
        <w:instrText>ADDIN CSL_CITATION {"citationItems":[{"id":"ITEM-1","itemData":{"DOI":"10.1177/1087724X16657830","ISSN":"15527549","abstract":"Private finance-based infrastructure public–private partnerships (P3s) are globally popular, including renewed interest in the United States, but their performance remains contested. This article explores the meaning of P3 and the notion of P3 success, and points to multiple interpretations of both. It proposes a new conceptual model of the P3 phenomenon, including five levels of meaning: project, delivery method, policy, governance tool, and cultural context. Numerous criteria exist on which the success of P3 might be judged. These are as oriented toward politics and governance as they are toward more traditional utilitarian policy goals concerned with project delivery, or value for money (VfM). Indeed, governments have dozens of different goals in mind. Given mixed international results to date for VfM, it is posited that to the extent that infrastructure P3s continue to show popularity, governments may stress P3 success more on the basis of political and governance strengths, than utilitarian characteristics.","author":[{"dropping-particle":"","family":"Hodge","given":"Graeme A.","non-dropping-particle":"","parse-names":false,"suffix":""},{"dropping-particle":"","family":"Greve","given":"Carsten","non-dropping-particle":"","parse-names":false,"suffix":""}],"container-title":"Public Works Management and Policy","id":"ITEM-1","issue":"1","issued":{"date-parts":[["2017"]]},"page":"55-78","title":"On Public–Private Partnership Performance: A Contemporary Review","type":"article-journal","volume":"22"},"uris":["http://www.mendeley.com/documents/?uuid=5c7b2b4f-d5c6-4c35-b37a-05cca5be17a4"]},{"id":"ITEM-2","itemData":{"abstract":"Now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Hodge &amp; Greve, 2017)","plainTextFormattedCitation":"(Barbose et al., 2015; Hodge &amp; Greve, 2017)","previouslyFormattedCitation":"(Barbose et al., 2015; Hodge &amp; Greve, 2017)"},"properties":{"noteIndex":0},"schema":"https://github.com/citation-style-language/schema/raw/master/csl-citation.json"}</w:instrText>
      </w:r>
      <w:r w:rsidR="00AF7764">
        <w:rPr>
          <w:rFonts w:ascii="Times New Roman" w:hAnsi="Times New Roman" w:cs="Times New Roman"/>
        </w:rPr>
        <w:fldChar w:fldCharType="separate"/>
      </w:r>
      <w:r w:rsidR="00AF7764" w:rsidRPr="00AF7764">
        <w:rPr>
          <w:rFonts w:ascii="Times New Roman" w:hAnsi="Times New Roman" w:cs="Times New Roman"/>
          <w:noProof/>
        </w:rPr>
        <w:t>(Barbose et al., 2015; Hodge &amp; Greve, 2017)</w:t>
      </w:r>
      <w:r w:rsidR="00AF7764">
        <w:rPr>
          <w:rFonts w:ascii="Times New Roman" w:hAnsi="Times New Roman" w:cs="Times New Roman"/>
        </w:rPr>
        <w:fldChar w:fldCharType="end"/>
      </w:r>
      <w:r w:rsidRPr="00993C94">
        <w:rPr>
          <w:rFonts w:ascii="Times New Roman" w:hAnsi="Times New Roman" w:cs="Times New Roman"/>
        </w:rPr>
        <w:t xml:space="preserve">. While project finance is frequently employed in large-scale infrastructure projects and relies on long-term debt and equity investments that are repaid from project revenues, corporate finance uses funding from a company's balance sheet, which is frequently supported by assets and internal cash flows </w:t>
      </w:r>
      <w:r w:rsidR="005E0F14">
        <w:rPr>
          <w:rFonts w:ascii="Times New Roman" w:hAnsi="Times New Roman" w:cs="Times New Roman"/>
        </w:rPr>
        <w:fldChar w:fldCharType="begin" w:fldLock="1"/>
      </w:r>
      <w:r w:rsidR="006D0B68">
        <w:rPr>
          <w:rFonts w:ascii="Times New Roman" w:hAnsi="Times New Roman" w:cs="Times New Roman"/>
        </w:rPr>
        <w:instrText>ADDIN CSL_CITATION {"citationItems":[{"id":"ITEM-1","itemData":{"ISBN":"9780980285864","ISSN":"1537-6613","PMID":"23255720","abstract":"Growing up, I didn’t want to be a project manager. Unlike the more popular options of fireman and ballerina (and later doctor and chef), it wasn’t as easy to visualize what being a project manager was all about. Since my love was for technology, I studied Computer Science and worked on everything from software engineering through to web development. It was only in the corporate world that I realized why people wanted to be project managers. Project management is about making things happen. Good project management is what makes the real work a success. Bad or missing project management can taint and nullify the efforts of even the most talented people. It doesn’t matter how brilliant your work is if the project as a whole is twice as ex- pensive as intended, or a year late. This is not to say that the real work isn’t important - it is still the core of any project. No project manager can make mediocre work into an awesome end result. But fantastic work can be overlooked if the project management required to deliver the whole isn’t there. Like me, you’ve probably already realized this. You’ve worked on a project or two where things went wrong at the project management level. You’ve figured you could do a better job of it yourself - which is exactly why you bought this book! The good news is that you were right. You can do a good job of the project management. And this book will teach you how.","author":[{"dropping-particle":"","family":"Williams","given":"Meri","non-dropping-particle":"","parse-names":false,"suffix":""}],"container-title":"Ebook","id":"ITEM-1","issued":{"date-parts":[["2008"]]},"number-of-pages":"1-66","title":"The Principles of Project Management : Project Skills","type":"book"},"uris":["http://www.mendeley.com/documents/?uuid=0c38c722-61d1-41e3-959b-ea2fef21d65c"]},{"id":"ITEM-2","itemData":{"abstract":"The first conference of UNCTAD in 1964 acknowledged the development of national insurance and reinsurance markets as essential aspects of economic growth. Yet, evidence from cointegration analysis by Ward and Zurbruegg (2000) showed there was no long run relationship between growth in the insurance industry and economic growth for some OECD countries, including the UK and the US, by using the total value of written insurance premia. However, it is surprising that an industry which in the case of the UK is the largest in Europe, and the third largest in the world, had no effect on the economic activity. As Granger (1990) claimed, it is possible to have cointegration at the aggregate level and not at the disaggregate level and vice versa. We use the components of insurance premia to find a long run relationship between development in insurance market size and economic growth for most components by using Johansen's Trace λ and max λ cointegration tests. This evidence implies there is a possibility that Ward and Zurbruegg's results were affected by the aggregation problem. In addition, because cointegration analysis does not provide information about possible patterns (Demand-following and Supply-leading), we used causality tests. Results show for most cases, we have a long run relationship between insurance market size and economic growth rather than a cyclical effect.","author":[{"dropping-particle":"","family":"Njegomir","given":"Vladimir","non-dropping-particle":"","parse-names":false,"suffix":""},{"dropping-particle":"","family":"Stojić","given":"D","non-dropping-particle":"","parse-names":false,"suffix":""}],"container-title":"Ekonomska misao i praksa","id":"ITEM-2","issue":"July","issued":{"date-parts":[["2010"]]},"page":"31-48","title":"Does insurance promote economic growth: The evidence from Ex-yugoslavia region","type":"article-journal","volume":"1"},"uris":["http://www.mendeley.com/documents/?uuid=c5944f99-5e4d-48b9-a49e-f79cf19829aa"]}],"mendeley":{"formattedCitation":"(Njegomir &amp; Stojić, 2010; Williams, 2008)","plainTextFormattedCitation":"(Njegomir &amp; Stojić, 2010; Williams, 2008)","previouslyFormattedCitation":"(Njegomir &amp; Stojić, 2010; Williams, 2008)"},"properties":{"noteIndex":0},"schema":"https://github.com/citation-style-language/schema/raw/master/csl-citation.json"}</w:instrText>
      </w:r>
      <w:r w:rsidR="005E0F14">
        <w:rPr>
          <w:rFonts w:ascii="Times New Roman" w:hAnsi="Times New Roman" w:cs="Times New Roman"/>
        </w:rPr>
        <w:fldChar w:fldCharType="separate"/>
      </w:r>
      <w:r w:rsidR="005E0F14" w:rsidRPr="005E0F14">
        <w:rPr>
          <w:rFonts w:ascii="Times New Roman" w:hAnsi="Times New Roman" w:cs="Times New Roman"/>
          <w:noProof/>
        </w:rPr>
        <w:t>(Njegomir &amp; Stojić, 2010; Williams, 2008)</w:t>
      </w:r>
      <w:r w:rsidR="005E0F14">
        <w:rPr>
          <w:rFonts w:ascii="Times New Roman" w:hAnsi="Times New Roman" w:cs="Times New Roman"/>
        </w:rPr>
        <w:fldChar w:fldCharType="end"/>
      </w:r>
      <w:r w:rsidRPr="00993C94">
        <w:rPr>
          <w:rFonts w:ascii="Times New Roman" w:hAnsi="Times New Roman" w:cs="Times New Roman"/>
        </w:rPr>
        <w:t>.</w:t>
      </w:r>
      <w:r w:rsidR="0044111E">
        <w:rPr>
          <w:rFonts w:ascii="Times New Roman" w:hAnsi="Times New Roman" w:cs="Times New Roman"/>
        </w:rPr>
        <w:t xml:space="preserve"> </w:t>
      </w:r>
      <w:r w:rsidRPr="00993C94">
        <w:rPr>
          <w:rFonts w:ascii="Times New Roman" w:hAnsi="Times New Roman" w:cs="Times New Roman"/>
        </w:rPr>
        <w:t xml:space="preserve">The impact of carbon pricing and emissions trading is another essential factor, as mechanisms such as the European Union Emissions Trading System (EU ETS) and carbon taxes stimulate low-carbon investments by making fossil fuel-based energy projects more expensive. Additionally important is the involvement of public-private partnerships (PPPs), which are cooperative structures that share risks and finance large-scale renewable projects by combining government incentives with the efficiency of the private sector </w:t>
      </w:r>
      <w:r w:rsidR="006D0B68">
        <w:rPr>
          <w:rFonts w:ascii="Times New Roman" w:hAnsi="Times New Roman" w:cs="Times New Roman"/>
        </w:rPr>
        <w:fldChar w:fldCharType="begin" w:fldLock="1"/>
      </w:r>
      <w:r w:rsidR="00EB5865">
        <w:rPr>
          <w:rFonts w:ascii="Times New Roman" w:hAnsi="Times New Roman" w:cs="Times New Roman"/>
        </w:rPr>
        <w:instrText>ADDIN CSL_CITATION {"citationItems":[{"id":"ITEM-1","itemData":{"abstract":"Summary EU climate policy shows success, but flaws remain that may affect the achievement of carbon pricing and long-term goals. Key Findings EU emissions have fallen sharply in industry and electricity sectors, although innovation has been only moderate. The threat of competitive harm to European industry has thus far been overstated. Persistently low carbon prices and incomplete coverage exclusion of the heat and mobile sectors undermines the influence of carbon pricing. Recent reforms have stimulated prices substantially, but they remain uncertain in the long term. A minimum carbon price would boost performance, stabilize expectations and avoid lock-in of carbon-intensive assets.","author":[{"dropping-particle":"","family":"Burtraw","given":"Dallas","non-dropping-particle":"","parse-names":false,"suffix":""},{"dropping-particle":"","family":"Themann","given":"Michael","non-dropping-particle":"","parse-names":false,"suffix":""}],"id":"ITEM-1","issue":"November","issued":{"date-parts":[["2018"]]},"page":"1-19","title":"Pricing Carbon Effectively: Lessons from the European Emissions Trading System","type":"article-journal"},"uris":["http://www.mendeley.com/documents/?uuid=cfda7cdc-7ba5-409f-a85c-58753c9b0600"]},{"id":"ITEM-2","itemData":{"author":[{"dropping-particle":"","family":"Dechezleprêtre","given":"Antoine","non-dropping-particle":"","parse-names":false,"suffix":""},{"dropping-particle":"","family":"Nachtigall","given":"Daniel","non-dropping-particle":"","parse-names":false,"suffix":""},{"dropping-particle":"","family":"Venmans","given":"Frank","non-dropping-particle":"","parse-names":false,"suffix":""}],"container-title":"Journal of Environmental Economics and Management","id":"ITEM-2","issued":{"date-parts":[["2023"]]},"page":"102758","publisher":"Elsevier","title":"The joint impact of the European Union emissions trading system on carbon emissions and economic performance","type":"article-journal","volume":"118"},"uris":["http://www.mendeley.com/documents/?uuid=5bf42804-4f14-4b4d-bf7f-04963e5f4b5e"]}],"mendeley":{"formattedCitation":"(Burtraw &amp; Themann, 2018; Dechezleprêtre et al., 2023)","plainTextFormattedCitation":"(Burtraw &amp; Themann, 2018; Dechezleprêtre et al., 2023)","previouslyFormattedCitation":"(Burtraw &amp; Themann, 2018; Dechezleprêtre et al., 2023)"},"properties":{"noteIndex":0},"schema":"https://github.com/citation-style-language/schema/raw/master/csl-citation.json"}</w:instrText>
      </w:r>
      <w:r w:rsidR="006D0B68">
        <w:rPr>
          <w:rFonts w:ascii="Times New Roman" w:hAnsi="Times New Roman" w:cs="Times New Roman"/>
        </w:rPr>
        <w:fldChar w:fldCharType="separate"/>
      </w:r>
      <w:r w:rsidR="006D0B68" w:rsidRPr="006D0B68">
        <w:rPr>
          <w:rFonts w:ascii="Times New Roman" w:hAnsi="Times New Roman" w:cs="Times New Roman"/>
          <w:noProof/>
        </w:rPr>
        <w:t>(Burtraw &amp; Themann, 2018; Dechezleprêtre et al., 2023)</w:t>
      </w:r>
      <w:r w:rsidR="006D0B68">
        <w:rPr>
          <w:rFonts w:ascii="Times New Roman" w:hAnsi="Times New Roman" w:cs="Times New Roman"/>
        </w:rPr>
        <w:fldChar w:fldCharType="end"/>
      </w:r>
      <w:r w:rsidRPr="00993C94">
        <w:rPr>
          <w:rFonts w:ascii="Times New Roman" w:hAnsi="Times New Roman" w:cs="Times New Roman"/>
        </w:rPr>
        <w:t>.</w:t>
      </w:r>
    </w:p>
    <w:p w14:paraId="453F88CB" w14:textId="52492824" w:rsidR="00D356F0" w:rsidRPr="00D356F0" w:rsidRDefault="00D356F0" w:rsidP="00D356F0">
      <w:pPr>
        <w:pStyle w:val="Heading1"/>
        <w:spacing w:line="480" w:lineRule="auto"/>
        <w:jc w:val="both"/>
        <w:rPr>
          <w:rFonts w:ascii="Times New Roman" w:hAnsi="Times New Roman" w:cs="Times New Roman"/>
          <w:b/>
          <w:bCs/>
          <w:color w:val="auto"/>
          <w:sz w:val="24"/>
          <w:szCs w:val="24"/>
        </w:rPr>
      </w:pPr>
      <w:r w:rsidRPr="00D356F0">
        <w:rPr>
          <w:rFonts w:ascii="Times New Roman" w:hAnsi="Times New Roman" w:cs="Times New Roman"/>
          <w:b/>
          <w:bCs/>
          <w:color w:val="auto"/>
          <w:sz w:val="24"/>
          <w:szCs w:val="24"/>
        </w:rPr>
        <w:lastRenderedPageBreak/>
        <w:t>2.</w:t>
      </w:r>
      <w:r w:rsidR="00B415A1">
        <w:rPr>
          <w:rFonts w:ascii="Times New Roman" w:hAnsi="Times New Roman" w:cs="Times New Roman"/>
          <w:b/>
          <w:bCs/>
          <w:color w:val="auto"/>
          <w:sz w:val="24"/>
          <w:szCs w:val="24"/>
        </w:rPr>
        <w:t>4</w:t>
      </w:r>
      <w:r w:rsidRPr="00D356F0">
        <w:rPr>
          <w:rFonts w:ascii="Times New Roman" w:hAnsi="Times New Roman" w:cs="Times New Roman"/>
          <w:b/>
          <w:bCs/>
          <w:color w:val="auto"/>
          <w:sz w:val="24"/>
          <w:szCs w:val="24"/>
        </w:rPr>
        <w:t xml:space="preserve"> Innovative Financing Mechanisms for Renewable Energy</w:t>
      </w:r>
    </w:p>
    <w:p w14:paraId="4C814F45" w14:textId="7A1BBE3C" w:rsidR="00D356F0" w:rsidRPr="00D356F0" w:rsidRDefault="00D356F0" w:rsidP="00D356F0">
      <w:pPr>
        <w:spacing w:line="480" w:lineRule="auto"/>
        <w:jc w:val="both"/>
        <w:rPr>
          <w:rFonts w:ascii="Times New Roman" w:hAnsi="Times New Roman" w:cs="Times New Roman"/>
        </w:rPr>
      </w:pPr>
      <w:r w:rsidRPr="00D356F0">
        <w:rPr>
          <w:rFonts w:ascii="Times New Roman" w:hAnsi="Times New Roman" w:cs="Times New Roman"/>
        </w:rPr>
        <w:t>Through the use of digital, community-driven, and decentralized finance models, innovative financing mechanisms are revolutionizing investments in renewable energy by improving efficiency and accessibility</w:t>
      </w:r>
      <w:r w:rsidR="007C0F7D">
        <w:rPr>
          <w:rFonts w:ascii="Times New Roman" w:hAnsi="Times New Roman" w:cs="Times New Roman"/>
        </w:rPr>
        <w:t xml:space="preserve"> </w:t>
      </w:r>
      <w:r w:rsidR="007C0F7D">
        <w:rPr>
          <w:rFonts w:ascii="Times New Roman" w:hAnsi="Times New Roman" w:cs="Times New Roman"/>
        </w:rPr>
        <w:fldChar w:fldCharType="begin" w:fldLock="1"/>
      </w:r>
      <w:r w:rsidR="000B0212">
        <w:rPr>
          <w:rFonts w:ascii="Times New Roman" w:hAnsi="Times New Roman" w:cs="Times New Roman"/>
        </w:rPr>
        <w:instrText>ADDIN CSL_CITATION {"citationItems":[{"id":"ITEM-1","itemData":{"DOI":"10.30574/gjeta.2024.19.2.0086","abstract":"This paper examines financing models for clean energy adoption, drawing insights from experiences in the United States and Nigeria. It underscores the significance of clean energy and the need to explore effective financing mechanisms to facilitate its widespread adoption. Through an analysis of the current state of clean energy adoption in both countries, existing initiatives and challenges are outlined. Lessons gleaned from successful financing models in the United States, including government incentives, public-private partnerships, and renewable energy credits, are then explored. These lessons serve as a foundation for assessing how similar approaches can be adapted to the Nigerian context. Specific attention is given to the unique challenges facing Nigeria, such as infrastructure limitations and socioeconomic disparities, and how financing models can be tailored to address these obstacles. A comparative analysis between the two countries identifies similarities, differences, and the potential transferability of financing models. Based on these insights, recommendations are proposed for Nigeria, emphasizing the importance of context-specific approaches to accelerate clean energy adoption. Overall, this paper provides a comprehensive exploration of financing models for clean energy adoption, offering valuable insights for policymakers, stakeholders, and practitioners in both the United States and Nigeria.","author":[{"dropping-particle":"","family":"Portia Oduro","given":"","non-dropping-particle":"","parse-names":false,"suffix":""},{"dropping-particle":"","family":"Peter Simpa","given":"","non-dropping-particle":"","parse-names":false,"suffix":""},{"dropping-particle":"","family":"Darlington Eze Ekechukwu","given":"","non-dropping-particle":"","parse-names":false,"suffix":""}],"container-title":"Global Journal of Engineering and Technology Advances","id":"ITEM-1","issue":"2","issued":{"date-parts":[["2024"]]},"page":"154-168","title":"Exploring financing models for clean energy adoption: Lessons from the United States and Nigeria","type":"article-journal","volume":"19"},"uris":["http://www.mendeley.com/documents/?uuid=f6895a7c-d91b-45ca-bffe-29c133f8c5ef"]},{"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Energy","type":"article-journal"},"uris":["http://www.mendeley.com/documents/?uuid=a2fae13d-7edb-43ef-816c-92495f0caa71"]}],"mendeley":{"formattedCitation":"(Portia Oduro et al., 2024; Zhang, 2024)","plainTextFormattedCitation":"(Portia Oduro et al., 2024; Zhang, 2024)","previouslyFormattedCitation":"(Portia Oduro et al., 2024; Zhang, 2024)"},"properties":{"noteIndex":0},"schema":"https://github.com/citation-style-language/schema/raw/master/csl-citation.json"}</w:instrText>
      </w:r>
      <w:r w:rsidR="007C0F7D">
        <w:rPr>
          <w:rFonts w:ascii="Times New Roman" w:hAnsi="Times New Roman" w:cs="Times New Roman"/>
        </w:rPr>
        <w:fldChar w:fldCharType="separate"/>
      </w:r>
      <w:r w:rsidR="007C0F7D" w:rsidRPr="007C0F7D">
        <w:rPr>
          <w:rFonts w:ascii="Times New Roman" w:hAnsi="Times New Roman" w:cs="Times New Roman"/>
          <w:noProof/>
        </w:rPr>
        <w:t>(Portia Oduro et al., 2024; Zhang, 2024)</w:t>
      </w:r>
      <w:r w:rsidR="007C0F7D">
        <w:rPr>
          <w:rFonts w:ascii="Times New Roman" w:hAnsi="Times New Roman" w:cs="Times New Roman"/>
        </w:rPr>
        <w:fldChar w:fldCharType="end"/>
      </w:r>
      <w:r w:rsidRPr="00D356F0">
        <w:rPr>
          <w:rFonts w:ascii="Times New Roman" w:hAnsi="Times New Roman" w:cs="Times New Roman"/>
        </w:rPr>
        <w:t>. Revolving lending funds (RLFs) and green banks are essential because they offer low-interest financing for clean energy projects, especially in underdeveloped markets. This lowers upfront capital costs and speeds up adoption</w:t>
      </w:r>
      <w:r w:rsidR="007C0F7D">
        <w:rPr>
          <w:rFonts w:ascii="Times New Roman" w:hAnsi="Times New Roman" w:cs="Times New Roman"/>
        </w:rPr>
        <w:t xml:space="preserve">. </w:t>
      </w:r>
      <w:r w:rsidRPr="00D356F0">
        <w:rPr>
          <w:rFonts w:ascii="Times New Roman" w:hAnsi="Times New Roman" w:cs="Times New Roman"/>
        </w:rPr>
        <w:t xml:space="preserve"> Local energy markets and Community Choice Aggregation (CCA) allow municipalities and cooperatives to directly purchase renewable energy for citizens, encouraging local investment in environmentally friendly projects while guaranteeing competitive pricing </w:t>
      </w:r>
      <w:r w:rsidR="00026751">
        <w:rPr>
          <w:rFonts w:ascii="Times New Roman" w:hAnsi="Times New Roman" w:cs="Times New Roman"/>
        </w:rPr>
        <w:fldChar w:fldCharType="begin" w:fldLock="1"/>
      </w:r>
      <w:r w:rsidR="00A9222A">
        <w:rPr>
          <w:rFonts w:ascii="Times New Roman" w:hAnsi="Times New Roman" w:cs="Times New Roman"/>
        </w:rPr>
        <w:instrText>ADDIN CSL_CITATION {"citationItems":[{"id":"ITEM-1","itemData":{"DOI":"10.1016/j.rser.2019.109489","ISSN":"18790690","abstract":"The recast of the European Union Renewable Energy Directive (RED II) entered into force in December 2018, followed by the Internal Electricity Market Directive (IEMD) and Regulation (IEMR) as part of the Clean Energy for all Europeans Package. The RED II, that the 28 Member States have until June 2021 to transpose into national law, defines “Renewable Energy Communities” (RECs), introduces a governance model for them and the possibility of energy sharing within the REC. It also provides an “enabling framework” to put RECs on equal footing with other market players and to promote and facilitate their development. This article defines “renewable energy clusters” that are comprised of complementarity of different energy sources, flexibility, interconnectivity of different actors and bi-directionality of energy flows. We argue that RECs and RE clusters are socio-technical mirrors of the same concept, necessary in a renewable energy transition. To test how these new rules will fare in practice, drawing on a secondary dataset of 67 best-practice cases of consumer (co-)ownership from 18 countries, each project is assessed using the criteria of cluster potential, and for the extent that they meet the RED II governance requirements of heterogeneity of members and of ownership structure. Nine cases were identified as having cluster potential all of which were in rural areas. Of these, five projects were found to be both RECs and RE clusters. The absence of the governance and heterogeneity criteria is observed in projects that fall short of the cluster elements of flexibility, bi-directionality and interconnectivity, while cluster elements occur where the governance and heterogeneity criteria are met. When transposing the new rules into national law we recommend careful attention to encourage complementarity of renewables, RECs in urban contexts and “regulatory sandboxes” for experimentation to find the range of optimal preferential conditions of the “enabling framework”.","author":[{"dropping-particle":"","family":"Lowitzsch","given":"J.","non-dropping-particle":"","parse-names":false,"suffix":""},{"dropping-particle":"","family":"Hoicka","given":"C. E.","non-dropping-particle":"","parse-names":false,"suffix":""},{"dropping-particle":"","family":"Tulder","given":"F. J.","non-dropping-particle":"van","parse-names":false,"suffix":""}],"container-title":"Renewable and Sustainable Energy Reviews","id":"ITEM-1","issue":"October 2019","issued":{"date-parts":[["2020"]]},"page":"109489","publisher":"Elsevier Ltd","title":"Renewable energy communities under the 2019 European Clean Energy Package – Governance model for the energy clusters of the future?","type":"article-journal","volume":"122"},"uris":["http://www.mendeley.com/documents/?uuid=aa499358-b351-4162-9f9a-dd1b51409ef8"]}],"mendeley":{"formattedCitation":"(Lowitzsch et al., 2020)","plainTextFormattedCitation":"(Lowitzsch et al., 2020)","previouslyFormattedCitation":"(Lowitzsch et al., 2020)"},"properties":{"noteIndex":0},"schema":"https://github.com/citation-style-language/schema/raw/master/csl-citation.json"}</w:instrText>
      </w:r>
      <w:r w:rsidR="00026751">
        <w:rPr>
          <w:rFonts w:ascii="Times New Roman" w:hAnsi="Times New Roman" w:cs="Times New Roman"/>
        </w:rPr>
        <w:fldChar w:fldCharType="separate"/>
      </w:r>
      <w:r w:rsidR="00026751" w:rsidRPr="00026751">
        <w:rPr>
          <w:rFonts w:ascii="Times New Roman" w:hAnsi="Times New Roman" w:cs="Times New Roman"/>
          <w:noProof/>
        </w:rPr>
        <w:t>(Lowitzsch et al., 2020)</w:t>
      </w:r>
      <w:r w:rsidR="00026751">
        <w:rPr>
          <w:rFonts w:ascii="Times New Roman" w:hAnsi="Times New Roman" w:cs="Times New Roman"/>
        </w:rPr>
        <w:fldChar w:fldCharType="end"/>
      </w:r>
      <w:r w:rsidRPr="00D356F0">
        <w:rPr>
          <w:rFonts w:ascii="Times New Roman" w:hAnsi="Times New Roman" w:cs="Times New Roman"/>
        </w:rPr>
        <w:t>.</w:t>
      </w:r>
      <w:r w:rsidR="00A24E98">
        <w:rPr>
          <w:rFonts w:ascii="Times New Roman" w:hAnsi="Times New Roman" w:cs="Times New Roman"/>
        </w:rPr>
        <w:t xml:space="preserve"> </w:t>
      </w:r>
      <w:r w:rsidRPr="00D356F0">
        <w:rPr>
          <w:rFonts w:ascii="Times New Roman" w:hAnsi="Times New Roman" w:cs="Times New Roman"/>
        </w:rPr>
        <w:t xml:space="preserve">By facilitating transparent smart contracts and peer-to-peer energy transactions, blockchain and decentralized energy finance are transforming the industry while lowering transaction costs and enhancing financial security. By facilitating microgrid growth, these decentralized models enable communities to effectively exchange excess renewable energy. Furthermore, by enabling homeowners and businesses to obtain renewable energy without incurring large upfront expenditures, Energy-as-a-Service (EaaS) and pay-for-performance models challenge conventional finance by only charging for usage or energy savings over time </w:t>
      </w:r>
      <w:r w:rsidR="00A9222A">
        <w:rPr>
          <w:rFonts w:ascii="Times New Roman" w:hAnsi="Times New Roman" w:cs="Times New Roman"/>
        </w:rPr>
        <w:fldChar w:fldCharType="begin" w:fldLock="1"/>
      </w:r>
      <w:r w:rsidR="007C0F7D">
        <w:rPr>
          <w:rFonts w:ascii="Times New Roman" w:hAnsi="Times New Roman" w:cs="Times New Roman"/>
        </w:rPr>
        <w:instrText>ADDIN CSL_CITATION {"citationItems":[{"id":"ITEM-1","itemData":{"DOI":"10.1038/nclimate2523","ISSN":"17586798","abstract":"Residential solar photovoltaic systems combined with affordable battery storage are becoming increasingly likely to drive a consumer-led, low-emission evolution of modern electricity supply systems. In the past decade, a multi-billion-dollar boom in solar photovoltaic development across the globe has disrupted the way in which centralized electricity systems operate. At the same time, solar photovoltaic power has begun to make a material contribution to reduction targets for greenhouse gas emissions. Viable electricity storage solutions are now on the cusp of a rapidly declining price trajectory. When coupled with solar photovoltaic systems, battery storage could become one of the most disruptive influences to impact the electricity sector in decades, yet governments and the broader power sector are poorly prepared. In this Perspective, we examine emerging trends and proffer a systems framework to analyse the disruptive influence of residential solar photovoltaic and storage systems on existing centralized electricity supply systems.","author":[{"dropping-particle":"","family":"Agnew","given":"Scott","non-dropping-particle":"","parse-names":false,"suffix":""},{"dropping-particle":"","family":"Dargusch","given":"Paul","non-dropping-particle":"","parse-names":false,"suffix":""}],"container-title":"Nature Climate Change","id":"ITEM-1","issue":"4","issued":{"date-parts":[["2015"]]},"page":"315-318","title":"Effect of residential solar and storage on centralized electricity supply systems","type":"article-journal","volume":"5"},"uris":["http://www.mendeley.com/documents/?uuid=9bf7935d-6a96-4206-a06e-dd0fa8700fe3"]},{"id":"ITEM-2","itemData":{"DOI":"10.1016/j.enpol.2016.05.013","ISSN":"03014215","abstract":"High demand for photovoltaic (PV), battery, and small-scale combined heat and power (CHP) technologies are driving a virtuous cycle of technological improvements and cost reductions in off-grid electric systems that increasingly compete with the grid market. Using a case study in the Upper Peninsula of Michigan, this paper quantifies the economic viability of off-grid PV+battery+CHP adoption and evaluates potential implications for grid-based utility models. The analysis shows that already some households could save money by switching to a solar hybrid off-grid system in comparison to the effective electric rates they are currently paying. Across the region by 2020, 92% of seasonal households and ~75% of year-round households are projected to meet electricity demands with lower costs. Furthermore, ~65% of all Upper Peninsula single-family owner-occupied households will both meet grid parity and be able to afford the systems by 2020. The results imply that economic circumstances could spur a positive feedback loop whereby grid electricity prices continue to rise and increasing numbers of customers choose alternatives (sometimes referred to as a “utility death spiral”), particularly in areas with relatively high electric utility rates. Utility companies and policy makers must take the potential for grid defection seriously when evaluating energy supply strategies.","author":[{"dropping-particle":"","family":"Kantamneni","given":"Abhilash","non-dropping-particle":"","parse-names":false,"suffix":""},{"dropping-particle":"","family":"Winkler","given":"Richelle","non-dropping-particle":"","parse-names":false,"suffix":""},{"dropping-particle":"","family":"Gauchia","given":"Lucia","non-dropping-particle":"","parse-names":false,"suffix":""},{"dropping-particle":"","family":"Pearce","given":"Joshua M.","non-dropping-particle":"","parse-names":false,"suffix":""}],"container-title":"Energy Policy","id":"ITEM-2","issued":{"date-parts":[["2016"]]},"page":"378-389","title":"Emerging economic viability of grid defection in a northern climate using solar hybrid systems","type":"article-journal","volume":"95"},"uris":["http://www.mendeley.com/documents/?uuid=e4ee8905-37b9-46ef-8b15-4a7203b4e699"]}],"mendeley":{"formattedCitation":"(Agnew &amp; Dargusch, 2015; Kantamneni et al., 2016)","plainTextFormattedCitation":"(Agnew &amp; Dargusch, 2015; Kantamneni et al., 2016)","previouslyFormattedCitation":"(Agnew &amp; Dargusch, 2015; Kantamneni et al., 2016)"},"properties":{"noteIndex":0},"schema":"https://github.com/citation-style-language/schema/raw/master/csl-citation.json"}</w:instrText>
      </w:r>
      <w:r w:rsidR="00A9222A">
        <w:rPr>
          <w:rFonts w:ascii="Times New Roman" w:hAnsi="Times New Roman" w:cs="Times New Roman"/>
        </w:rPr>
        <w:fldChar w:fldCharType="separate"/>
      </w:r>
      <w:r w:rsidR="00A9222A" w:rsidRPr="00A9222A">
        <w:rPr>
          <w:rFonts w:ascii="Times New Roman" w:hAnsi="Times New Roman" w:cs="Times New Roman"/>
          <w:noProof/>
        </w:rPr>
        <w:t>(Agnew &amp; Dargusch, 2015; Kantamneni et al., 2016)</w:t>
      </w:r>
      <w:r w:rsidR="00A9222A">
        <w:rPr>
          <w:rFonts w:ascii="Times New Roman" w:hAnsi="Times New Roman" w:cs="Times New Roman"/>
        </w:rPr>
        <w:fldChar w:fldCharType="end"/>
      </w:r>
      <w:r w:rsidRPr="00D356F0">
        <w:rPr>
          <w:rFonts w:ascii="Times New Roman" w:hAnsi="Times New Roman" w:cs="Times New Roman"/>
        </w:rPr>
        <w:t>. This strategy improves affordability and energy resilience and works especially well for distributed solar and battery storage projects.</w:t>
      </w:r>
      <w:r>
        <w:rPr>
          <w:rFonts w:ascii="Times New Roman" w:hAnsi="Times New Roman" w:cs="Times New Roman"/>
        </w:rPr>
        <w:t xml:space="preserve"> In addition, t</w:t>
      </w:r>
      <w:r w:rsidRPr="00D356F0">
        <w:rPr>
          <w:rFonts w:ascii="Times New Roman" w:hAnsi="Times New Roman" w:cs="Times New Roman"/>
        </w:rPr>
        <w:t xml:space="preserve">hrough fractional ownership of renewable assets and the use of blockchain-backed digital tokens to enable global investors to engage in clean energy projects, tokenization and digital asset investment in renewable energy further democratize funding. These new financial models are changing the energy industry by promoting inclusive investment opportunities, increasing market efficiency, and hastening the shift to a decentralized, low-carbon energy system. In order for digital finance </w:t>
      </w:r>
      <w:r w:rsidRPr="00D356F0">
        <w:rPr>
          <w:rFonts w:ascii="Times New Roman" w:hAnsi="Times New Roman" w:cs="Times New Roman"/>
        </w:rPr>
        <w:lastRenderedPageBreak/>
        <w:t>innovations to be completely integrated with traditional energy markets and ensure a sustainable and equitable energy transition, appropriate regulatory frameworks and policies are necessary</w:t>
      </w:r>
      <w:r w:rsidR="000B0212">
        <w:rPr>
          <w:rFonts w:ascii="Times New Roman" w:hAnsi="Times New Roman" w:cs="Times New Roman"/>
        </w:rPr>
        <w:t xml:space="preserve"> </w:t>
      </w:r>
      <w:r w:rsidR="000B0212">
        <w:rPr>
          <w:rFonts w:ascii="Times New Roman" w:hAnsi="Times New Roman" w:cs="Times New Roman"/>
        </w:rPr>
        <w:fldChar w:fldCharType="begin" w:fldLock="1"/>
      </w:r>
      <w:r w:rsidR="007C1310">
        <w:rPr>
          <w:rFonts w:ascii="Times New Roman" w:hAnsi="Times New Roman" w:cs="Times New Roman"/>
        </w:rPr>
        <w:instrText>ADDIN CSL_CITATION {"citationItems":[{"id":"ITEM-1","itemData":{"DOI":"10.1016/j.colsurfa.2011.12.014","ISSN":"18734359","abstract":"Abstract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given":"","non-dropping-particle":"","parse-names":false,"suffix":""},{"dropping-particle":"","family":"Yu","given":"Chaochao","non-dropping-particle":"","parse-names":false,"suffix":""},{"dropping-particle":"","family":"Chen","given":"Rui","non-dropping-particle":"","parse-names":false,"suffix":""},{"dropping-particle":"","family":"Li","given":"Juan Jinxing","non-dropping-particle":"","parse-names":false,"suffix":""},{"dropping-particle":"","family":"Li","given":"Juan Jinxing","non-dropping-particle":"","parse-names":false,"suffix":""},{"dropping-particle":"","family":"Drahansky","given":"Martin","non-dropping-particle":"","parse-names":false,"suffix":""},{"dropping-particle":"","family":"Paridah","given":"M.t","non-dropping-particle":"","parse-names":false,"suffix":""},{"dropping-particle":"","family":"Moradbak","given":"Amin","non-dropping-particle":"","parse-names":false,"suffix":""},{"dropping-particle":"","family":"Mohamed","given":"A.Z","non-dropping-particle":"","parse-names":false,"suffix":""},{"dropping-particle":"","family":"Owolabi, FolaLi","given":"Hongqhan abdulwahab taiwo","non-dropping-particle":"","parse-names":false,"suffix":""},{"dropping-particle":"","family":"Asniza","given":"Mustapha","non-dropping-particle":"","parse-names":false,"suffix":""},{"dropping-particle":"","family":"Abdul Khalid","given":"Shawkataly H.P","non-dropping-particle":"","parse-names":false,"suffix":""},{"dropping-particle":"","family":"Sharma","given":"Taruna","non-dropping-particle":"","parse-names":false,"suffix":""},{"dropping-particle":"","family":"Dohare","given":"Neeraj","non-dropping-particle":"","parse-names":false,"suffix":""},{"dropping-particle":"","family":"Kumari","given":"Meena","non-dropping-particle":"","parse-names":false,"suffix":""},{"dropping-particle":"","family":"Singh","given":"Upendra Kumar","non-dropping-particle":"","parse-names":false,"suffix":""},{"dropping-particle":"","family":"Khan","given":"Abbul Bashar","non-dropping-particle":"","parse-names":false,"suffix":""},{"dropping-particle":"","family":"Borse","given":"Mahendra S","non-dropping-particle":"","parse-names":false,"suffix":""},{"dropping-particle":"","family":"Patel","given":"Rajan","non-dropping-particle":"","parse-names":false,"suffix":""},{"dropping-particle":"","family":"Paez","given":"Angela","non-dropping-particle":"","parse-names":false,"suffix":""},{"dropping-particle":"","family":"Howe","given":"Anna","non-dropping-particle":"","parse-names":false,"suffix":""},{"dropping-particle":"","family":"Goldschmidt","given":"Degussa","non-dropping-particle":"","parse-names":false,"suffix":""},{"dropping-particle":"","family":"Corporation","given":"Chemical","non-dropping-particle":"","parse-names":false,"suffix":""},{"dropping-particle":"","family":"Coates","given":"John","non-dropping-particle":"","parse-names":false,"suffix":""},{"dropping-particle":"","family":"Reading","given":"Further","non-dropping-particle":"","parse-names":false,"suffix":""}],"container-title":"Intech","id":"ITEM-1","issue":"tourism","issued":{"date-parts":[["2012"]]},"page":"13","title":"We are IntechOpen , the world ’ s leading publisher of Open Access books Built by scientists , for scientists TOP 1 %","type":"article-journal","volume":"i"},"uris":["http://www.mendeley.com/documents/?uuid=64ff6571-f1bd-47ef-a48f-782b9c5d16f2"]},{"id":"ITEM-2","itemData":{"ISSN":"18734359","abstract":"Abstract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Keywords:","author":[{"dropping-particle":"","family":"Patients","given":"Supportive","non-dropping-particle":"","parse-names":false,"suffix":""},{"dropping-particle":"","family":"in Solid Cancer","given":"Palliative Care","non-dropping-particle":"","parse-names":false,"suffix":""},{"dropping-particle":"","family":"Hassan","given":"Bassam Abdul Rasool","non-dropping-particle":"","parse-names":false,"suffix":""},{"dropping-particle":"","family":"Yusoff","given":"Zuraidah Binti Mohd","non-dropping-particle":"","parse-names":false,"suffix":""},{"dropping-particle":"","family":"Othman","given":"Mohamed Azmi Hassali","non-dropping-particle":"","parse-names":false,"suffix":""},{"dropping-particle":"","family":"Bin","given":"Saad","non-dropping-particle":"","parse-names":false,"suffix":""},{"dropping-particle":"","family":"information is available at the end of the Chapter","given":"Additional","non-dropping-particle":"","parse-names":false,"suffix":""},{"dropping-particle":"","family":"Http://dx.doi.org/10.5772/55358","given":"","non-dropping-particle":"","parse-names":false,"suffix":""}],"container-title":"Intech","id":"ITEM-2","issued":{"date-parts":[["2012"]]},"page":"13","title":"We are IntechOpen , the world ' s leading publisher of Open Access books Built by scientists , for scientists TOP 1 %","type":"article-journal"},"uris":["http://www.mendeley.com/documents/?uuid=e0ead4dc-0152-459e-8572-bdc32d6dc413"]}],"mendeley":{"formattedCitation":"(I et al., 2012; Patients et al., 2012)","plainTextFormattedCitation":"(I et al., 2012; Patients et al., 2012)","previouslyFormattedCitation":"(I et al., 2012; Patients et al., 2012)"},"properties":{"noteIndex":0},"schema":"https://github.com/citation-style-language/schema/raw/master/csl-citation.json"}</w:instrText>
      </w:r>
      <w:r w:rsidR="000B0212">
        <w:rPr>
          <w:rFonts w:ascii="Times New Roman" w:hAnsi="Times New Roman" w:cs="Times New Roman"/>
        </w:rPr>
        <w:fldChar w:fldCharType="separate"/>
      </w:r>
      <w:r w:rsidR="000B0212" w:rsidRPr="000B0212">
        <w:rPr>
          <w:rFonts w:ascii="Times New Roman" w:hAnsi="Times New Roman" w:cs="Times New Roman"/>
          <w:noProof/>
        </w:rPr>
        <w:t>(I et al., 2012; Patients et al., 2012)</w:t>
      </w:r>
      <w:r w:rsidR="000B0212">
        <w:rPr>
          <w:rFonts w:ascii="Times New Roman" w:hAnsi="Times New Roman" w:cs="Times New Roman"/>
        </w:rPr>
        <w:fldChar w:fldCharType="end"/>
      </w:r>
      <w:r w:rsidRPr="00D356F0">
        <w:rPr>
          <w:rFonts w:ascii="Times New Roman" w:hAnsi="Times New Roman" w:cs="Times New Roman"/>
        </w:rPr>
        <w:t>.</w:t>
      </w:r>
    </w:p>
    <w:p w14:paraId="708344E9" w14:textId="0DA33332" w:rsidR="00993C94" w:rsidRPr="00993C94" w:rsidRDefault="00993C94" w:rsidP="00993C94">
      <w:pPr>
        <w:spacing w:line="480" w:lineRule="auto"/>
        <w:jc w:val="both"/>
        <w:rPr>
          <w:rFonts w:ascii="Times New Roman" w:hAnsi="Times New Roman" w:cs="Times New Roman"/>
        </w:rPr>
      </w:pPr>
      <w:r w:rsidRPr="00993C94">
        <w:rPr>
          <w:rFonts w:ascii="Times New Roman" w:hAnsi="Times New Roman" w:cs="Times New Roman"/>
        </w:rPr>
        <w:t xml:space="preserve">Furthermore, power purchase agreements (PPAs) and third-party ownership (TPO) models have gained popularity as financing options for distributed energy systems, especially in the solar industry. While PPAs allow long-term contracts between energy producers and customers, guaranteeing financial stability and investment returns, TPO models allow private investors or utilities to purchase and manage renewable energy infrastructure, easing the financial burden on end users </w:t>
      </w:r>
      <w:r w:rsidR="000D737B">
        <w:rPr>
          <w:rFonts w:ascii="Times New Roman" w:hAnsi="Times New Roman" w:cs="Times New Roman"/>
        </w:rPr>
        <w:fldChar w:fldCharType="begin" w:fldLock="1"/>
      </w:r>
      <w:r w:rsidR="00AF7764">
        <w:rPr>
          <w:rFonts w:ascii="Times New Roman" w:hAnsi="Times New Roman" w:cs="Times New Roman"/>
        </w:rPr>
        <w:instrText>ADDIN CSL_CITATION {"citationItems":[{"id":"ITEM-1","itemData":{"author":[{"dropping-particle":"","family":"Frey","given":"Elaine F","non-dropping-particle":"","parse-names":false,"suffix":""},{"dropping-particle":"","family":"Mojtahedi","given":"Saba","non-dropping-particle":"","parse-names":false,"suffix":""}],"container-title":"Energy policy","id":"ITEM-1","issued":{"date-parts":[["2018"]]},"page":"27-35","publisher":"Elsevier","title":"The impact of solar subsidies on California's non-residential sector","type":"article-journal","volume":"122"},"uris":["http://www.mendeley.com/documents/?uuid=fbf4a678-e9fe-4a45-86a4-f5928930f157"]},{"id":"ITEM-2","itemData":{"abstract":"Now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Frey &amp; Mojtahedi, 2018)","plainTextFormattedCitation":"(Barbose et al., 2015; Frey &amp; Mojtahedi, 2018)","previouslyFormattedCitation":"(Barbose et al., 2015; Frey &amp; Mojtahedi, 2018)"},"properties":{"noteIndex":0},"schema":"https://github.com/citation-style-language/schema/raw/master/csl-citation.json"}</w:instrText>
      </w:r>
      <w:r w:rsidR="000D737B">
        <w:rPr>
          <w:rFonts w:ascii="Times New Roman" w:hAnsi="Times New Roman" w:cs="Times New Roman"/>
        </w:rPr>
        <w:fldChar w:fldCharType="separate"/>
      </w:r>
      <w:r w:rsidR="00042AA2" w:rsidRPr="00042AA2">
        <w:rPr>
          <w:rFonts w:ascii="Times New Roman" w:hAnsi="Times New Roman" w:cs="Times New Roman"/>
          <w:noProof/>
        </w:rPr>
        <w:t>(Barbose et al., 2015; Frey &amp; Mojtahedi, 2018)</w:t>
      </w:r>
      <w:r w:rsidR="000D737B">
        <w:rPr>
          <w:rFonts w:ascii="Times New Roman" w:hAnsi="Times New Roman" w:cs="Times New Roman"/>
        </w:rPr>
        <w:fldChar w:fldCharType="end"/>
      </w:r>
      <w:r w:rsidRPr="00993C94">
        <w:rPr>
          <w:rFonts w:ascii="Times New Roman" w:hAnsi="Times New Roman" w:cs="Times New Roman"/>
        </w:rPr>
        <w:t>. When combined, these financing techniques reduce financial risk, increase investment certainty, and hasten the shift to a low-carbon economy while assisting in the scaling of sustainable energy projects</w:t>
      </w:r>
      <w:r w:rsidR="00EB5865">
        <w:rPr>
          <w:rFonts w:ascii="Times New Roman" w:hAnsi="Times New Roman" w:cs="Times New Roman"/>
        </w:rPr>
        <w:t xml:space="preserve"> </w:t>
      </w:r>
      <w:r w:rsidR="00EB5865">
        <w:rPr>
          <w:rFonts w:ascii="Times New Roman" w:hAnsi="Times New Roman" w:cs="Times New Roman"/>
        </w:rPr>
        <w:fldChar w:fldCharType="begin" w:fldLock="1"/>
      </w:r>
      <w:r w:rsidR="00026751">
        <w:rPr>
          <w:rFonts w:ascii="Times New Roman" w:hAnsi="Times New Roman" w:cs="Times New Roman"/>
        </w:rPr>
        <w:instrText>ADDIN CSL_CITATION {"citationItems":[{"id":"ITEM-1","itemData":{"DOI":"10.3390/su15086638","ISSN":"20711050","abstract":"During the last years, renewable energy strategies for sustainable development perform as best practices and strategic insights necessary to support large scale organizations’ approach to sustainability. Power purchase agreements (PPAs) enhance the value of such initiatives. A renewable PPA contract delivers green energy efficiently to organizations that seek sustainability benefits. Consequently, various approaches that define PPAs are utilized to motivate both interested parties to participate in such deals. Highlighting sustainability tactics during negotiations and identifying relative impacts during the projects’ implementation are both necessary. Following the methodological approach of this study, open-ended criteria are used to identify vital negotiation pricing patterns that permit practitioners to deliver win–win outcomes. The aim of this research is to introduce a multicriteria decision analysis-based method, namely PROMETHEE, to evaluate the implementation of sustainability-related strategies using PPAs. This paper proposes a method for ranking alternative sustainable energy strategies in order for decision-makers to be able to select the most appropriate PPA structure for an organization.","author":[{"dropping-particle":"","family":"Stanitsas","given":"Marios","non-dropping-particle":"","parse-names":false,"suffix":""},{"dropping-particle":"","family":"Kirytopoulos","given":"Konstantinos","non-dropping-particle":"","parse-names":false,"suffix":""}],"container-title":"Sustainability (Switzerland)","id":"ITEM-1","issue":"8","issued":{"date-parts":[["2023"]]},"page":"1-19","title":"Sustainable Energy Strategies for Power Purchase Agreements (PPAs)","type":"article-journal","volume":"15"},"uris":["http://www.mendeley.com/documents/?uuid=25758a03-4440-43e4-b5f5-f69d48bc5e9d"]},{"id":"ITEM-2","itemData":{"abstract":"https://orsted.com/en/our-business/power-purchase-agreements","author":[{"dropping-particle":"","family":"Ørsted","given":"","non-dropping-particle":"","parse-names":false,"suffix":""}],"id":"ITEM-2","issued":{"date-parts":[["2022"]]},"title":"Corporate Power Purchase Agreements","type":"article-journal"},"uris":["http://www.mendeley.com/documents/?uuid=a2419e7a-2512-468b-bbf0-cbf8eb03fcef"]},{"id":"ITEM-3","itemData":{"DOI":"10.1080/00207233.2017.1403758","ISSN":"10290400","abstract":"Renewable energy can address increasing energy demand while mitigating the effects of climate change. High capital costs and long payback periods require most projects to secure financing for a portion of the initial costs. Market-based incentives and policies can be credited with lowering development costs, but these come with uncertainties and expiration dates. To secure financing, project developers have turned to innovative mechanisms. This paper presents case studies of innovative financing for renewable energy development in North America. Examples include financing through public capital vehicles, hybrid and carbon bonds, and through corporate power purchase agreements. The objective is to determine which mechanisms or which components of these financing packages are replicable for the purpose of encouraging developers to seek the most advantageous solutions.","author":[{"dropping-particle":"","family":"Miller","given":"Lindsay","non-dropping-particle":"","parse-names":false,"suffix":""},{"dropping-particle":"","family":"Carriveau","given":"Rupp","non-dropping-particle":"","parse-names":false,"suffix":""},{"dropping-particle":"","family":"Harper","given":"Scott","non-dropping-particle":"","parse-names":false,"suffix":""}],"container-title":"International Journal of Environmental Studies","id":"ITEM-3","issue":"1","issued":{"date-parts":[["2018"]]},"page":"121-134","publisher":"Routledge","title":"Innovative financing for renewable energy project development–recent case studies in North America","type":"article-journal","volume":"75"},"uris":["http://www.mendeley.com/documents/?uuid=a620deb5-ab5b-413e-ac71-0cee569b00ca"]}],"mendeley":{"formattedCitation":"(Miller et al., 2018; Ørsted, 2022; Stanitsas &amp; Kirytopoulos, 2023)","plainTextFormattedCitation":"(Miller et al., 2018; Ørsted, 2022; Stanitsas &amp; Kirytopoulos, 2023)","previouslyFormattedCitation":"(Miller et al., 2018; Ørsted, 2022; Stanitsas &amp; Kirytopoulos, 2023)"},"properties":{"noteIndex":0},"schema":"https://github.com/citation-style-language/schema/raw/master/csl-citation.json"}</w:instrText>
      </w:r>
      <w:r w:rsidR="00EB5865">
        <w:rPr>
          <w:rFonts w:ascii="Times New Roman" w:hAnsi="Times New Roman" w:cs="Times New Roman"/>
        </w:rPr>
        <w:fldChar w:fldCharType="separate"/>
      </w:r>
      <w:r w:rsidR="00EB5865" w:rsidRPr="00EB5865">
        <w:rPr>
          <w:rFonts w:ascii="Times New Roman" w:hAnsi="Times New Roman" w:cs="Times New Roman"/>
          <w:noProof/>
        </w:rPr>
        <w:t>(Miller et al., 2018; Ørsted, 2022; Stanitsas &amp; Kirytopoulos, 2023)</w:t>
      </w:r>
      <w:r w:rsidR="00EB5865">
        <w:rPr>
          <w:rFonts w:ascii="Times New Roman" w:hAnsi="Times New Roman" w:cs="Times New Roman"/>
        </w:rPr>
        <w:fldChar w:fldCharType="end"/>
      </w:r>
      <w:r w:rsidRPr="00993C94">
        <w:rPr>
          <w:rFonts w:ascii="Times New Roman" w:hAnsi="Times New Roman" w:cs="Times New Roman"/>
        </w:rPr>
        <w:t>.</w:t>
      </w:r>
    </w:p>
    <w:p w14:paraId="4B840546" w14:textId="36253BB7" w:rsidR="00A05A55" w:rsidRPr="00A05A55" w:rsidRDefault="00A05A55" w:rsidP="00B415A1">
      <w:pPr>
        <w:pStyle w:val="Heading1"/>
        <w:numPr>
          <w:ilvl w:val="0"/>
          <w:numId w:val="11"/>
        </w:numPr>
        <w:spacing w:line="480" w:lineRule="auto"/>
        <w:jc w:val="both"/>
        <w:rPr>
          <w:rFonts w:ascii="Times New Roman" w:hAnsi="Times New Roman" w:cs="Times New Roman"/>
          <w:b/>
          <w:bCs/>
          <w:color w:val="auto"/>
          <w:sz w:val="24"/>
          <w:szCs w:val="24"/>
        </w:rPr>
      </w:pPr>
      <w:r w:rsidRPr="00A05A55">
        <w:rPr>
          <w:rFonts w:ascii="Times New Roman" w:hAnsi="Times New Roman" w:cs="Times New Roman"/>
          <w:b/>
          <w:bCs/>
          <w:color w:val="auto"/>
          <w:sz w:val="24"/>
          <w:szCs w:val="24"/>
        </w:rPr>
        <w:t>Challenges and Opportunities in Scaling Sustainable Energy Finance</w:t>
      </w:r>
    </w:p>
    <w:p w14:paraId="3B068C5D" w14:textId="75399233" w:rsidR="001970D3" w:rsidRDefault="001970D3" w:rsidP="001970D3">
      <w:pPr>
        <w:spacing w:line="480" w:lineRule="auto"/>
        <w:jc w:val="both"/>
        <w:rPr>
          <w:rFonts w:ascii="Times New Roman" w:hAnsi="Times New Roman" w:cs="Times New Roman"/>
        </w:rPr>
      </w:pPr>
      <w:r w:rsidRPr="001970D3">
        <w:rPr>
          <w:rFonts w:ascii="Times New Roman" w:hAnsi="Times New Roman" w:cs="Times New Roman"/>
        </w:rPr>
        <w:t>While technological uncertainties, infrastructure limitations, market volatility, regulatory and policy barriers, investment risks, and socioeconomic obstacles are some of the obstacles to scaling sustainable energy finance, new opportunities are also presented by developments in financial technology (FinTech), artificial intelligence (AI), and ESG investing</w:t>
      </w:r>
      <w:r w:rsidR="00F10427">
        <w:rPr>
          <w:rFonts w:ascii="Times New Roman" w:hAnsi="Times New Roman" w:cs="Times New Roman"/>
        </w:rPr>
        <w:t xml:space="preserve"> </w:t>
      </w:r>
      <w:r w:rsidR="00F10427">
        <w:rPr>
          <w:rFonts w:ascii="Times New Roman" w:hAnsi="Times New Roman" w:cs="Times New Roman"/>
        </w:rPr>
        <w:fldChar w:fldCharType="begin" w:fldLock="1"/>
      </w:r>
      <w:r w:rsidR="00BF1492">
        <w:rPr>
          <w:rFonts w:ascii="Times New Roman" w:hAnsi="Times New Roman" w:cs="Times New Roman"/>
        </w:rPr>
        <w:instrText>ADDIN CSL_CITATION {"citationItems":[{"id":"ITEM-1","itemData":{"DOI":"10.1111/eufm.12365","ISSN":"1468036X","abstract":"This paper uses a multidimensional descriptive analysis to familiarize the reader with the extent of penetration of big data, artificial intelligence (AI) and machine learning (ML) techniques in the financial technology roadmap. We propose a clear framework for the symbiotic nature of these data science themes towards fintech empowerment. The framework is validated through their impact on fintech, financial services' profession and the shifting paradigm of the data scientist role. We also discuss the dark side of this symbiosis, while AI and ML techniques are tied with the future challenges of AI ethics, regulation technology and the smart data utilization.","author":[{"dropping-particle":"","family":"Nguyen","given":"Duc Khuong","non-dropping-particle":"","parse-names":false,"suffix":""},{"dropping-particle":"","family":"Sermpinis","given":"Georgios","non-dropping-particle":"","parse-names":false,"suffix":""},{"dropping-particle":"","family":"Stasinakis","given":"Charalampos","non-dropping-particle":"","parse-names":false,"suffix":""}],"container-title":"European Financial Management","id":"ITEM-1","issue":"2","issued":{"date-parts":[["2023"]]},"page":"517-548","title":"Big data, artificial intelligence and machine learning: A transformative symbiosis in favour of financial technology","type":"article-journal","volume":"29"},"uris":["http://www.mendeley.com/documents/?uuid=e766683d-90f4-46bf-9dae-a84913deb6a1"]},{"id":"ITEM-2","itemData":{"DOI":"10.7341/20221844","ISSN":"22997326","abstract":"PURPOSE: The paper aims to identify the characteristics of the entities involved, the motivations and the processes of forming strategic alliances between a small cooperative bank and a fintech start-up. The paper bridges the research gap in the literature and explains the success factors of strategic alliance between considered entities. METHODOLOGY: We applied a typical qualitative research approach that consists of two steps. The first step was to develop an analytical framework to understand the critical success factors for the strategic alliance formation between banks and fintech start-ups. In the second step, we applied the analytical framework for a case study analysis, considering the strategic alliance between the Banca Popolare di Cortona and the NetFintech start-up. FINDINGS: Our research shows that there are different motives for strategic alliance formation for banks and fintech start-ups. From a theoretical point of view, banks’ motivations are based on outsourcing, innovation, the evolution of the business model, competitive advantage, saving costs, improving service quality, and learning. The main motives for fintechs include access to customers, loans, banking license, economies of scale, trust, and credibility. In the empirical part, we found that the crucial success factors are strategic alignment and hybridization, competence and experience, cultural value and territorial closeness, and professionalism. IMPLICATIONS: The results develop the knowledge about the best conditions for cooperative banks and fintech start-ups strategic alliances. The main limitation is that the paper is based only on one case study and it is related to cooperative banks and does not embrace other groups of banks. For this reason, it can be a basis for further research in this area. The described case study can be a good example to compare other cases of such alliances. Cooperative banks and fintech start-ups involved in a strategic alliance should share the commitment at the governance level. Critical are also the procedures of the alliance formation. ORIGINALITY AND VALUE: This article provides two main contributions to the literature on the technology-driven transformations of the banking sector. First, we elaborated a theoretical framework of the critical success factors for the bank and fintech start-up strategic alliance formation. Second, we applied the framework with the bank–fintech start-up cooperation in the local market in Italy. Contrary to pre…","author":[{"dropping-particle":"","family":"Bartolacci","given":"Francesca","non-dropping-particle":"","parse-names":false,"suffix":""},{"dropping-particle":"","family":"Cardoni","given":"Andrea","non-dropping-particle":"","parse-names":false,"suffix":""},{"dropping-particle":"","family":"Łasak","given":"Piotr","non-dropping-particle":"","parse-names":false,"suffix":""},{"dropping-particle":"","family":"Sadkowski","given":"Wojciech","non-dropping-particle":"","parse-names":false,"suffix":""}],"container-title":"Journal of Entrepreneurship, Management and Innovation","id":"ITEM-2","issue":"4","issued":{"date-parts":[["2022"]]},"page":"115-156","title":"An analytical framework for strategic alliance formation between a cooperative bank and a fintech start-up: An Italian case study","type":"article-journal","volume":"18"},"uris":["http://www.mendeley.com/documents/?uuid=c6b613cd-9da8-40d4-9ae8-e78d1d539f8f"]}],"mendeley":{"formattedCitation":"(Bartolacci et al., 2022; Nguyen et al., 2023)","plainTextFormattedCitation":"(Bartolacci et al., 2022; Nguyen et al., 2023)","previouslyFormattedCitation":"(Bartolacci et al., 2022; Nguyen et al., 2023)"},"properties":{"noteIndex":0},"schema":"https://github.com/citation-style-language/schema/raw/master/csl-citation.json"}</w:instrText>
      </w:r>
      <w:r w:rsidR="00F10427">
        <w:rPr>
          <w:rFonts w:ascii="Times New Roman" w:hAnsi="Times New Roman" w:cs="Times New Roman"/>
        </w:rPr>
        <w:fldChar w:fldCharType="separate"/>
      </w:r>
      <w:r w:rsidR="00F10427" w:rsidRPr="00F10427">
        <w:rPr>
          <w:rFonts w:ascii="Times New Roman" w:hAnsi="Times New Roman" w:cs="Times New Roman"/>
          <w:noProof/>
        </w:rPr>
        <w:t>(Bartolacci et al., 2022; Nguyen et al., 2023)</w:t>
      </w:r>
      <w:r w:rsidR="00F10427">
        <w:rPr>
          <w:rFonts w:ascii="Times New Roman" w:hAnsi="Times New Roman" w:cs="Times New Roman"/>
        </w:rPr>
        <w:fldChar w:fldCharType="end"/>
      </w:r>
      <w:r w:rsidRPr="001970D3">
        <w:rPr>
          <w:rFonts w:ascii="Times New Roman" w:hAnsi="Times New Roman" w:cs="Times New Roman"/>
        </w:rPr>
        <w:t xml:space="preserve">.  Renewable energy projects' financial sustainability is impacted by investor uncertainty brought on by inconsistent government policies and shifting subsidy arrangements.  Furthermore, risky investments and market volatility discourage long-term commitments since supply chain interruptions and shifting energy costs affect returns </w:t>
      </w:r>
      <w:r w:rsidR="00BF1492">
        <w:rPr>
          <w:rFonts w:ascii="Times New Roman" w:hAnsi="Times New Roman" w:cs="Times New Roman"/>
        </w:rPr>
        <w:fldChar w:fldCharType="begin" w:fldLock="1"/>
      </w:r>
      <w:r w:rsidR="00B15CE1">
        <w:rPr>
          <w:rFonts w:ascii="Times New Roman" w:hAnsi="Times New Roman" w:cs="Times New Roman"/>
        </w:rPr>
        <w:instrText>ADDIN CSL_CITATION {"citationItems":[{"id":"ITEM-1","itemData":{"DOI":"10.1016/j.rser.2019.109489","ISSN":"18790690","abstract":"The recast of the European Union Renewable Energy Directive (RED II) entered into force in December 2018, followed by the Internal Electricity Market Directive (IEMD) and Regulation (IEMR) as part of the Clean Energy for all Europeans Package. The RED II, that the 28 Member States have until June 2021 to transpose into national law, defines “Renewable Energy Communities” (RECs), introduces a governance model for them and the possibility of energy sharing within the REC. It also provides an “enabling framework” to put RECs on equal footing with other market players and to promote and facilitate their development. This article defines “renewable energy clusters” that are comprised of complementarity of different energy sources, flexibility, interconnectivity of different actors and bi-directionality of energy flows. We argue that RECs and RE clusters are socio-technical mirrors of the same concept, necessary in a renewable energy transition. To test how these new rules will fare in practice, drawing on a secondary dataset of 67 best-practice cases of consumer (co-)ownership from 18 countries, each project is assessed using the criteria of cluster potential, and for the extent that they meet the RED II governance requirements of heterogeneity of members and of ownership structure. Nine cases were identified as having cluster potential all of which were in rural areas. Of these, five projects were found to be both RECs and RE clusters. The absence of the governance and heterogeneity criteria is observed in projects that fall short of the cluster elements of flexibility, bi-directionality and interconnectivity, while cluster elements occur where the governance and heterogeneity criteria are met. When transposing the new rules into national law we recommend careful attention to encourage complementarity of renewables, RECs in urban contexts and “regulatory sandboxes” for experimentation to find the range of optimal preferential conditions of the “enabling framework”.","author":[{"dropping-particle":"","family":"Lowitzsch","given":"J.","non-dropping-particle":"","parse-names":false,"suffix":""},{"dropping-particle":"","family":"Hoicka","given":"C. E.","non-dropping-particle":"","parse-names":false,"suffix":""},{"dropping-particle":"","family":"Tulder","given":"F. J.","non-dropping-particle":"van","parse-names":false,"suffix":""}],"container-title":"Renewable and Sustainable Energy Reviews","id":"ITEM-1","issue":"October 2019","issued":{"date-parts":[["2020"]]},"page":"109489","publisher":"Elsevier Ltd","title":"Renewable energy communities under the 2019 European Clean Energy Package – Governance model for the energy clusters of the future?","type":"article-journal","volume":"122"},"uris":["http://www.mendeley.com/documents/?uuid=aa499358-b351-4162-9f9a-dd1b51409ef8"]},{"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Energy","type":"article-journal"},"uris":["http://www.mendeley.com/documents/?uuid=a2fae13d-7edb-43ef-816c-92495f0caa71"]},{"id":"ITEM-3","itemData":{"DOI":"10.30574/gjeta.2024.19.2.0086","abstract":"This paper examines financing models for clean energy adoption, drawing insights from experiences in the United States and Nigeria. It underscores the significance of clean energy and the need to explore effective financing mechanisms to facilitate its widespread adoption. Through an analysis of the current state of clean energy adoption in both countries, existing initiatives and challenges are outlined. Lessons gleaned from successful financing models in the United States, including government incentives, public-private partnerships, and renewable energy credits, are then explored. These lessons serve as a foundation for assessing how similar approaches can be adapted to the Nigerian context. Specific attention is given to the unique challenges facing Nigeria, such as infrastructure limitations and socioeconomic disparities, and how financing models can be tailored to address these obstacles. A comparative analysis between the two countries identifies similarities, differences, and the potential transferability of financing models. Based on these insights, recommendations are proposed for Nigeria, emphasizing the importance of context-specific approaches to accelerate clean energy adoption. Overall, this paper provides a comprehensive exploration of financing models for clean energy adoption, offering valuable insights for policymakers, stakeholders, and practitioners in both the United States and Nigeria.","author":[{"dropping-particle":"","family":"Portia Oduro","given":"","non-dropping-particle":"","parse-names":false,"suffix":""},{"dropping-particle":"","family":"Peter Simpa","given":"","non-dropping-particle":"","parse-names":false,"suffix":""},{"dropping-particle":"","family":"Darlington Eze Ekechukwu","given":"","non-dropping-particle":"","parse-names":false,"suffix":""}],"container-title":"Global Journal of Engineering and Technology Advances","id":"ITEM-3","issue":"2","issued":{"date-parts":[["2024"]]},"page":"154-168","title":"Exploring financing models for clean energy adoption: Lessons from the United States and Nigeria","type":"article-journal","volume":"19"},"uris":["http://www.mendeley.com/documents/?uuid=f6895a7c-d91b-45ca-bffe-29c133f8c5ef"]}],"mendeley":{"formattedCitation":"(Lowitzsch et al., 2020; Portia Oduro et al., 2024; Zhang, 2024)","plainTextFormattedCitation":"(Lowitzsch et al., 2020; Portia Oduro et al., 2024; Zhang, 2024)","previouslyFormattedCitation":"(Lowitzsch et al., 2020; Portia Oduro et al., 2024; Zhang, 2024)"},"properties":{"noteIndex":0},"schema":"https://github.com/citation-style-language/schema/raw/master/csl-citation.json"}</w:instrText>
      </w:r>
      <w:r w:rsidR="00BF1492">
        <w:rPr>
          <w:rFonts w:ascii="Times New Roman" w:hAnsi="Times New Roman" w:cs="Times New Roman"/>
        </w:rPr>
        <w:fldChar w:fldCharType="separate"/>
      </w:r>
      <w:r w:rsidR="00BF1492" w:rsidRPr="00BF1492">
        <w:rPr>
          <w:rFonts w:ascii="Times New Roman" w:hAnsi="Times New Roman" w:cs="Times New Roman"/>
          <w:noProof/>
        </w:rPr>
        <w:t>(Lowitzsch et al., 2020; Portia Oduro et al., 2024; Zhang, 2024)</w:t>
      </w:r>
      <w:r w:rsidR="00BF1492">
        <w:rPr>
          <w:rFonts w:ascii="Times New Roman" w:hAnsi="Times New Roman" w:cs="Times New Roman"/>
        </w:rPr>
        <w:fldChar w:fldCharType="end"/>
      </w:r>
      <w:r w:rsidRPr="001970D3">
        <w:rPr>
          <w:rFonts w:ascii="Times New Roman" w:hAnsi="Times New Roman" w:cs="Times New Roman"/>
        </w:rPr>
        <w:t xml:space="preserve">. Additionally, </w:t>
      </w:r>
      <w:r w:rsidR="00BF1492" w:rsidRPr="001970D3">
        <w:rPr>
          <w:rFonts w:ascii="Times New Roman" w:hAnsi="Times New Roman" w:cs="Times New Roman"/>
        </w:rPr>
        <w:t>further</w:t>
      </w:r>
      <w:r w:rsidRPr="001970D3">
        <w:rPr>
          <w:rFonts w:ascii="Times New Roman" w:hAnsi="Times New Roman" w:cs="Times New Roman"/>
        </w:rPr>
        <w:t xml:space="preserve"> impeding the incorporation of decentralized </w:t>
      </w:r>
      <w:r w:rsidRPr="001970D3">
        <w:rPr>
          <w:rFonts w:ascii="Times New Roman" w:hAnsi="Times New Roman" w:cs="Times New Roman"/>
        </w:rPr>
        <w:lastRenderedPageBreak/>
        <w:t xml:space="preserve">renewable energy sources in developing economies are technological uncertainty and inadequate infrastructure. But new developments in financial technology (FinTech), such digital crowdfunding platforms and blockchain-enabled energy transactions, are changing how people can access investments. Because AI and Big Data analytics enhance risk assessment, maximize asset performance, and forecast market trends, they are becoming more and more important in energy investment decisions </w:t>
      </w:r>
      <w:r w:rsidR="00B15CE1">
        <w:rPr>
          <w:rFonts w:ascii="Times New Roman" w:hAnsi="Times New Roman" w:cs="Times New Roman"/>
        </w:rPr>
        <w:fldChar w:fldCharType="begin" w:fldLock="1"/>
      </w:r>
      <w:r w:rsidR="008A7918">
        <w:rPr>
          <w:rFonts w:ascii="Times New Roman" w:hAnsi="Times New Roman" w:cs="Times New Roman"/>
        </w:rPr>
        <w:instrText>ADDIN CSL_CITATION {"citationItems":[{"id":"ITEM-1","itemData":{"DOI":"10.30574/wjarr.2024.21.3.0707","abstract":"In an era where the digital transformation of the banking sector intersects with the escalating complexity of cyber threats, this paper endeavors to dissect the multifaceted realm of cybersecurity within the banking industry. With a backdrop of increasing online banking adoption and the concomitant rise in cybercrime, the study aims to illuminate the current cybersecurity landscape, evaluate the efficacy of existing frameworks and propose strategic enhancements to fortify digital defenses. Employing a methodological amalgam of literature review and analysis of recent cybersecurity incidents, this investigation delves into the intricacies of cyber threats, the financial repercussions of breaches and the robustness of current cybersecurity measures in banking. The scope of this paper encompasses a comprehensive examination of recent cyber incidents, an assessment of the financial impact of cyber-attacks, an evaluation of the effectiveness of existing cybersecurity frameworks and the formulation of strategic recommendations for bolstering cybersecurity measures. Through this scholarly inquiry, key findings emerge, highlighting the critical need for dynamic cybersecurity strategies that integrate advanced technologies, promote regulatory compliance and foster a culture of cybersecurity awareness. Conclusively, the study posits that the banking sector must embrace a holistic and adaptive approach to cybersecurity, underscored by strategic investments in technology, education, and collaboration. Recommendations advocate for the integration of Big Data analytics, artificial intelligence and continuous risk assessment methodologies to navigate the evolving cyber threat landscape effectively. This paper serves as a clarion call to banking institutions, urging a reinvigorated commitment to cybersecurity resilience in safeguarding financial assets and customer trust against the backdrop of digital transformation.","author":[{"dropping-particle":"","family":"Adedoyin Tolulope Oyewole","given":"","non-dropping-particle":"","parse-names":false,"suffix":""},{"dropping-particle":"","family":"Chinwe Chinazo Okoye","given":"","non-dropping-particle":"","parse-names":false,"suffix":""},{"dropping-particle":"","family":"Onyeka Chrisanctus Ofodile","given":"","non-dropping-particle":"","parse-names":false,"suffix":""},{"dropping-particle":"","family":"Chinonye Esther Ugochukwu","given":"","non-dropping-particle":"","parse-names":false,"suffix":""}],"container-title":"World Journal of Advanced Research and Reviews","id":"ITEM-1","issue":"3","issued":{"date-parts":[["2024"]]},"page":"625-643","title":"Cybersecurity risks in online banking: A detailed review and preventive strategies applicatio","type":"article-journal","volume":"21"},"uris":["http://www.mendeley.com/documents/?uuid=b3f5eed5-80ec-4832-9001-9fc849c29d8c"]},{"id":"ITEM-2","itemData":{"DOI":"10.1016/j.future.2017.09.016","ISSN":"0167739X","abstract":"The technology and healthcare industries have been deeply intertwined for quite some time. New opportunities, however, are now arising as a result of fast-paced expansion in the areas of the Internet of Things (IoT) and Big Data. In addition, as people across the globe have begun to adopt wearable biosensors, new applications for individualized eHealth and mHealth technologies have emerged. The upsides of these technologies are clear: they are highly available, easily accessible, and simple to personalize; additionally they make it easy for providers to deliver individualized content cost-effectively, at scale. At the same time, a number of hurdles currently stand in the way of truly reliable, adaptive, safe and efficient personal healthcare devices. Major technological milestones will need to be reached in order to address and overcome those hurdles; and that will require closer collaboration between hardware and software developers and medical personnel such as physicians, nurses, and healthcare workers. The purpose of this special issue is to analyze the top concerns in IoT technologies that pertain to smart sensors for health care applications; particularly applications targeted at individualized tele-health interventions with the goal of enabling healthier ways of life. These applications include wearable and body sensors, advanced pervasive healthcare systems, and the Big Data analytics required to inform these devices.","author":[{"dropping-particle":"","family":"Firouzi","given":"Farshad","non-dropping-particle":"","parse-names":false,"suffix":""},{"dropping-particle":"","family":"Rahmani","given":"Amir M.","non-dropping-particle":"","parse-names":false,"suffix":""},{"dropping-particle":"","family":"Mankodiya","given":"K.","non-dropping-particle":"","parse-names":false,"suffix":""},{"dropping-particle":"","family":"Badaroglu","given":"M.","non-dropping-particle":"","parse-names":false,"suffix":""},{"dropping-particle":"V.","family":"Merrett","given":"G.","non-dropping-particle":"","parse-names":false,"suffix":""},{"dropping-particle":"","family":"Wong","given":"P.","non-dropping-particle":"","parse-names":false,"suffix":""},{"dropping-particle":"","family":"Farahani","given":"Bahar","non-dropping-particle":"","parse-names":false,"suffix":""}],"container-title":"Future Generation Computer Systems","id":"ITEM-2","issued":{"date-parts":[["2018"]]},"page":"583-586","title":"Internet-of-Things and big data for smarter healthcare: From device to architecture, applications and analytics","type":"article-journal","volume":"78"},"uris":["http://www.mendeley.com/documents/?uuid=7c5b0816-b003-4173-88bb-07a51653ce88"]}],"mendeley":{"formattedCitation":"(Adedoyin Tolulope Oyewole et al., 2024; Firouzi et al., 2018)","plainTextFormattedCitation":"(Adedoyin Tolulope Oyewole et al., 2024; Firouzi et al., 2018)","previouslyFormattedCitation":"(Adedoyin Tolulope Oyewole et al., 2024; Firouzi et al., 2018)"},"properties":{"noteIndex":0},"schema":"https://github.com/citation-style-language/schema/raw/master/csl-citation.json"}</w:instrText>
      </w:r>
      <w:r w:rsidR="00B15CE1">
        <w:rPr>
          <w:rFonts w:ascii="Times New Roman" w:hAnsi="Times New Roman" w:cs="Times New Roman"/>
        </w:rPr>
        <w:fldChar w:fldCharType="separate"/>
      </w:r>
      <w:r w:rsidR="00B15CE1" w:rsidRPr="00B15CE1">
        <w:rPr>
          <w:rFonts w:ascii="Times New Roman" w:hAnsi="Times New Roman" w:cs="Times New Roman"/>
          <w:noProof/>
        </w:rPr>
        <w:t>(Adedoyin Tolulope Oyewole et al., 2024; Firouzi et al., 2018)</w:t>
      </w:r>
      <w:r w:rsidR="00B15CE1">
        <w:rPr>
          <w:rFonts w:ascii="Times New Roman" w:hAnsi="Times New Roman" w:cs="Times New Roman"/>
        </w:rPr>
        <w:fldChar w:fldCharType="end"/>
      </w:r>
      <w:r w:rsidRPr="001970D3">
        <w:rPr>
          <w:rFonts w:ascii="Times New Roman" w:hAnsi="Times New Roman" w:cs="Times New Roman"/>
        </w:rPr>
        <w:t xml:space="preserve">. Furthermore, institutional investors are prioritizing sustainability criteria in their portfolios, which is driving more capital toward low-carbon energy solutions as Environmental, Social, and Governance (ESG) investing gains popularity. In order to increase financing for sustainable energy, new financial products including impact investing, blended finance, green bonds, and climate bonds need to be made available to the public and private sectors </w:t>
      </w:r>
      <w:r w:rsidR="007C1310">
        <w:rPr>
          <w:rFonts w:ascii="Times New Roman" w:hAnsi="Times New Roman" w:cs="Times New Roman"/>
        </w:rPr>
        <w:fldChar w:fldCharType="begin" w:fldLock="1"/>
      </w:r>
      <w:r w:rsidR="00F10427">
        <w:rPr>
          <w:rFonts w:ascii="Times New Roman" w:hAnsi="Times New Roman" w:cs="Times New Roman"/>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Falling","type":"article-journal"},"uris":["http://www.mendeley.com/documents/?uuid=6fe9ff0d-84d8-4920-8ad8-74cff7ba5a28"]},{"id":"ITEM-2","itemData":{"abstract":"This report explores how African countries can achieve universal energy access within the 2030 Agenda timeframe. Also, explores transformational potential of the electricity sector in five Africa countries.","author":[{"dropping-particle":"","family":"Yılmaz Mesut Can","given":"","non-dropping-particle":"","parse-names":false,"suffix":""}],"container-title":"/publications/2021/March/The-Renewable-Energy-Transition-in-Africa","id":"ITEM-2","issue":"3.1.1","issued":{"date-parts":[["2019"]]},"page":"1-48","title":"the Renewable Energy Transition in Turkey","type":"article-journal"},"uris":["http://www.mendeley.com/documents/?uuid=bd02ddda-229d-4754-bac4-8dbbec3ab73a"]}],"mendeley":{"formattedCitation":"(Usd &amp; Usd, 2016; Yılmaz Mesut Can, 2019)","plainTextFormattedCitation":"(Usd &amp; Usd, 2016; Yılmaz Mesut Can, 2019)","previouslyFormattedCitation":"(Usd &amp; Usd, 2016; Yılmaz Mesut Can, 2019)"},"properties":{"noteIndex":0},"schema":"https://github.com/citation-style-language/schema/raw/master/csl-citation.json"}</w:instrText>
      </w:r>
      <w:r w:rsidR="007C1310">
        <w:rPr>
          <w:rFonts w:ascii="Times New Roman" w:hAnsi="Times New Roman" w:cs="Times New Roman"/>
        </w:rPr>
        <w:fldChar w:fldCharType="separate"/>
      </w:r>
      <w:r w:rsidR="007C1310" w:rsidRPr="007C1310">
        <w:rPr>
          <w:rFonts w:ascii="Times New Roman" w:hAnsi="Times New Roman" w:cs="Times New Roman"/>
          <w:noProof/>
        </w:rPr>
        <w:t>(Usd &amp; Usd, 2016; Yılmaz Mesut Can, 2019)</w:t>
      </w:r>
      <w:r w:rsidR="007C1310">
        <w:rPr>
          <w:rFonts w:ascii="Times New Roman" w:hAnsi="Times New Roman" w:cs="Times New Roman"/>
        </w:rPr>
        <w:fldChar w:fldCharType="end"/>
      </w:r>
      <w:r w:rsidRPr="001970D3">
        <w:rPr>
          <w:rFonts w:ascii="Times New Roman" w:hAnsi="Times New Roman" w:cs="Times New Roman"/>
        </w:rPr>
        <w:t>. To de-risk investments and raise significant funds, governments must put in place explicit legislative frameworks, risk mitigation strategies, and public-private partnerships (PPPs) (OECD, 2021). In order to ensure financial accessibility and long-term sustainability for the development of renewable energy globally, it will be imperative to integrate FinTech, AI, ESG principles, and digital investment platforms as we move toward a low-carbon energy future.</w:t>
      </w:r>
    </w:p>
    <w:p w14:paraId="651131BD" w14:textId="77777777" w:rsidR="00C504AF" w:rsidRPr="00C504AF" w:rsidRDefault="00C504AF" w:rsidP="00C504AF">
      <w:pPr>
        <w:pStyle w:val="Heading1"/>
        <w:spacing w:line="480" w:lineRule="auto"/>
        <w:jc w:val="both"/>
        <w:rPr>
          <w:rFonts w:ascii="Times New Roman" w:hAnsi="Times New Roman" w:cs="Times New Roman"/>
          <w:b/>
          <w:bCs/>
          <w:color w:val="auto"/>
          <w:sz w:val="24"/>
          <w:szCs w:val="24"/>
        </w:rPr>
      </w:pPr>
      <w:r w:rsidRPr="00C504AF">
        <w:rPr>
          <w:rFonts w:ascii="Times New Roman" w:hAnsi="Times New Roman" w:cs="Times New Roman"/>
          <w:b/>
          <w:bCs/>
          <w:color w:val="auto"/>
          <w:sz w:val="24"/>
          <w:szCs w:val="24"/>
        </w:rPr>
        <w:t>Conclusion</w:t>
      </w:r>
    </w:p>
    <w:p w14:paraId="61E38470" w14:textId="6ED2074A" w:rsidR="00EF1E97" w:rsidRDefault="00EF1E97" w:rsidP="00EF1E97">
      <w:pPr>
        <w:spacing w:line="480" w:lineRule="auto"/>
        <w:jc w:val="both"/>
        <w:rPr>
          <w:rFonts w:ascii="Times New Roman" w:hAnsi="Times New Roman" w:cs="Times New Roman"/>
        </w:rPr>
      </w:pPr>
      <w:r w:rsidRPr="00EF1E97">
        <w:rPr>
          <w:rFonts w:ascii="Times New Roman" w:hAnsi="Times New Roman" w:cs="Times New Roman"/>
        </w:rPr>
        <w:t xml:space="preserve">The study emphasizes how important creative funding schemes and financial structures are to maximizing sustainable energy initiatives in the US. The promotion of clean energy has benefited greatly from traditional finance techniques like federal grants, tax credits, and subsidies; nevertheless, political changes and regulatory uncertainty frequently restrict its efficacy. New financial tools like power purchase agreements (PPAs), blockchain-powered crowdfunding, and green banks offer scalable ways to close investment gaps and reduce the risk associated with </w:t>
      </w:r>
      <w:r w:rsidRPr="00EF1E97">
        <w:rPr>
          <w:rFonts w:ascii="Times New Roman" w:hAnsi="Times New Roman" w:cs="Times New Roman"/>
        </w:rPr>
        <w:lastRenderedPageBreak/>
        <w:t xml:space="preserve">renewable energy projects. </w:t>
      </w:r>
      <w:r>
        <w:rPr>
          <w:rFonts w:ascii="Times New Roman" w:hAnsi="Times New Roman" w:cs="Times New Roman"/>
        </w:rPr>
        <w:t xml:space="preserve"> </w:t>
      </w:r>
      <w:r w:rsidR="00C504AF" w:rsidRPr="00C504AF">
        <w:rPr>
          <w:rFonts w:ascii="Times New Roman" w:hAnsi="Times New Roman" w:cs="Times New Roman"/>
        </w:rPr>
        <w:t>Additionally, the rise of AI, Big Data analytics, and tokenized financing is reshaping investment landscapes, allowing for more precise risk assessment and streamlined capital allocation. However, challenges such as infrastructure constraints, market volatility, and investment risks persist, necessitating stronger policy frameworks and financial resilience strategies. To scale up sustainable energy financing, a multi-faceted approach is required—integrating government incentives, private capital, community-driven investment models, and emerging financial technologies.</w:t>
      </w:r>
      <w:r>
        <w:rPr>
          <w:rFonts w:ascii="Times New Roman" w:hAnsi="Times New Roman" w:cs="Times New Roman"/>
        </w:rPr>
        <w:t xml:space="preserve"> </w:t>
      </w:r>
      <w:r w:rsidRPr="00EF1E97">
        <w:rPr>
          <w:rFonts w:ascii="Times New Roman" w:hAnsi="Times New Roman" w:cs="Times New Roman"/>
        </w:rPr>
        <w:t>The expansion of public-private partnerships (PPPs) is necessary to finance large-scale clean energy projects by utilizing both private-sector efficiency and government-backed security. Energy financing should also include FinTech advancements and AI-powered investment tools to improve predictive risk management and maximize investment choices. Achieving long-term financial sustainability and a successful clean energy transition in the United States will require further investments in digital finance and ESG-aligned portfolios, increased stakeholder collaboration, and a unified regulatory framework.</w:t>
      </w:r>
    </w:p>
    <w:p w14:paraId="50FCA44C" w14:textId="77777777" w:rsidR="002461EA" w:rsidRPr="002461EA" w:rsidRDefault="002461EA" w:rsidP="002461EA">
      <w:pPr>
        <w:spacing w:line="480" w:lineRule="auto"/>
        <w:jc w:val="both"/>
        <w:rPr>
          <w:rFonts w:ascii="Times New Roman" w:hAnsi="Times New Roman" w:cs="Times New Roman"/>
          <w:b/>
          <w:bCs/>
        </w:rPr>
      </w:pPr>
      <w:r w:rsidRPr="002461EA">
        <w:rPr>
          <w:rFonts w:ascii="Times New Roman" w:hAnsi="Times New Roman" w:cs="Times New Roman"/>
          <w:b/>
          <w:bCs/>
        </w:rPr>
        <w:t>COMPETING INTERESTS DISCLAIMER:</w:t>
      </w:r>
    </w:p>
    <w:p w14:paraId="2668E815" w14:textId="0737CC5B" w:rsidR="002461EA" w:rsidRDefault="002461EA" w:rsidP="002461EA">
      <w:pPr>
        <w:spacing w:line="480" w:lineRule="auto"/>
        <w:jc w:val="both"/>
        <w:rPr>
          <w:rFonts w:ascii="Times New Roman" w:hAnsi="Times New Roman" w:cs="Times New Roman"/>
        </w:rPr>
      </w:pPr>
      <w:r w:rsidRPr="002461EA">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C625D07" w14:textId="4FCBC76B" w:rsidR="008A7918" w:rsidRPr="008A7918" w:rsidRDefault="008A7918" w:rsidP="008A7918">
      <w:pPr>
        <w:pStyle w:val="Heading1"/>
        <w:rPr>
          <w:rFonts w:ascii="Times New Roman" w:hAnsi="Times New Roman" w:cs="Times New Roman"/>
          <w:b/>
          <w:bCs/>
          <w:color w:val="auto"/>
          <w:sz w:val="24"/>
          <w:szCs w:val="24"/>
        </w:rPr>
      </w:pPr>
      <w:r w:rsidRPr="008A7918">
        <w:rPr>
          <w:rFonts w:ascii="Times New Roman" w:hAnsi="Times New Roman" w:cs="Times New Roman"/>
          <w:b/>
          <w:bCs/>
          <w:color w:val="auto"/>
          <w:sz w:val="24"/>
          <w:szCs w:val="24"/>
        </w:rPr>
        <w:t xml:space="preserve">References </w:t>
      </w:r>
    </w:p>
    <w:p w14:paraId="0C435F2E" w14:textId="0549A4BE" w:rsidR="00B415A1" w:rsidRPr="00B415A1" w:rsidRDefault="008A7918" w:rsidP="00B415A1">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B415A1" w:rsidRPr="00B415A1">
        <w:rPr>
          <w:rFonts w:ascii="Times New Roman" w:hAnsi="Times New Roman" w:cs="Times New Roman"/>
          <w:noProof/>
          <w:kern w:val="0"/>
        </w:rPr>
        <w:t xml:space="preserve">Adedoyin Tolulope Oyewole, Chinwe Chinazo Okoye, Onyeka Chrisanctus Ofodile, &amp; Chinonye Esther Ugochukwu. (2024). Cybersecurity risks in online banking: A detailed review and preventive strategies applicatio. </w:t>
      </w:r>
      <w:r w:rsidR="00B415A1" w:rsidRPr="00B415A1">
        <w:rPr>
          <w:rFonts w:ascii="Times New Roman" w:hAnsi="Times New Roman" w:cs="Times New Roman"/>
          <w:i/>
          <w:iCs/>
          <w:noProof/>
          <w:kern w:val="0"/>
        </w:rPr>
        <w:t>World Journal of Advanced Research and Reviews</w:t>
      </w:r>
      <w:r w:rsidR="00B415A1" w:rsidRPr="00B415A1">
        <w:rPr>
          <w:rFonts w:ascii="Times New Roman" w:hAnsi="Times New Roman" w:cs="Times New Roman"/>
          <w:noProof/>
          <w:kern w:val="0"/>
        </w:rPr>
        <w:t xml:space="preserve">, </w:t>
      </w:r>
      <w:r w:rsidR="00B415A1" w:rsidRPr="00B415A1">
        <w:rPr>
          <w:rFonts w:ascii="Times New Roman" w:hAnsi="Times New Roman" w:cs="Times New Roman"/>
          <w:i/>
          <w:iCs/>
          <w:noProof/>
          <w:kern w:val="0"/>
        </w:rPr>
        <w:t>21</w:t>
      </w:r>
      <w:r w:rsidR="00B415A1" w:rsidRPr="00B415A1">
        <w:rPr>
          <w:rFonts w:ascii="Times New Roman" w:hAnsi="Times New Roman" w:cs="Times New Roman"/>
          <w:noProof/>
          <w:kern w:val="0"/>
        </w:rPr>
        <w:t>(3), 625–643. https://doi.org/10.30574/wjarr.2024.21.3.0707</w:t>
      </w:r>
    </w:p>
    <w:p w14:paraId="0FA70C8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Adewale Wasiu Adegboyega, Emmanuel Chigozie Ani, Stephen Opeyemi Oladunni, &amp; Abrar Shahriar Pramanik. (2024). Project management tools in renewable energy integration: A review of U.S. perspectives. </w:t>
      </w:r>
      <w:r w:rsidRPr="00B415A1">
        <w:rPr>
          <w:rFonts w:ascii="Times New Roman" w:hAnsi="Times New Roman" w:cs="Times New Roman"/>
          <w:i/>
          <w:iCs/>
          <w:noProof/>
          <w:kern w:val="0"/>
        </w:rPr>
        <w:t>Engineering Science &amp; Technology Journal</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w:t>
      </w:r>
      <w:r w:rsidRPr="00B415A1">
        <w:rPr>
          <w:rFonts w:ascii="Times New Roman" w:hAnsi="Times New Roman" w:cs="Times New Roman"/>
          <w:noProof/>
          <w:kern w:val="0"/>
        </w:rPr>
        <w:t>(7), 2364–2378. https://doi.org/10.51594/estj.v5i7.1359</w:t>
      </w:r>
    </w:p>
    <w:p w14:paraId="16976B7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lastRenderedPageBreak/>
        <w:t xml:space="preserve">Adolph, R. (2016). </w:t>
      </w:r>
      <w:r w:rsidRPr="00B415A1">
        <w:rPr>
          <w:rFonts w:ascii="MS Gothic" w:eastAsia="MS Gothic" w:hAnsi="MS Gothic" w:cs="MS Gothic" w:hint="eastAsia"/>
          <w:i/>
          <w:iCs/>
          <w:noProof/>
          <w:kern w:val="0"/>
        </w:rPr>
        <w:t>済無</w:t>
      </w:r>
      <w:r w:rsidRPr="00B415A1">
        <w:rPr>
          <w:rFonts w:ascii="Times New Roman" w:hAnsi="Times New Roman" w:cs="Times New Roman"/>
          <w:i/>
          <w:iCs/>
          <w:noProof/>
          <w:kern w:val="0"/>
        </w:rPr>
        <w:t>No Title No Title No Title</w:t>
      </w:r>
      <w:r w:rsidRPr="00B415A1">
        <w:rPr>
          <w:rFonts w:ascii="Times New Roman" w:hAnsi="Times New Roman" w:cs="Times New Roman"/>
          <w:noProof/>
          <w:kern w:val="0"/>
        </w:rPr>
        <w:t>. 1–23.</w:t>
      </w:r>
    </w:p>
    <w:p w14:paraId="4A0242F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Agnew, S., &amp; Dargusch, P. (2015). Effect of residential solar and storage on centralized electricity supply systems. </w:t>
      </w:r>
      <w:r w:rsidRPr="00B415A1">
        <w:rPr>
          <w:rFonts w:ascii="Times New Roman" w:hAnsi="Times New Roman" w:cs="Times New Roman"/>
          <w:i/>
          <w:iCs/>
          <w:noProof/>
          <w:kern w:val="0"/>
        </w:rPr>
        <w:t>Nature Climate Change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w:t>
      </w:r>
      <w:r w:rsidRPr="00B415A1">
        <w:rPr>
          <w:rFonts w:ascii="Times New Roman" w:hAnsi="Times New Roman" w:cs="Times New Roman"/>
          <w:noProof/>
          <w:kern w:val="0"/>
        </w:rPr>
        <w:t>(4), 315–318. https://doi.org/10.1038/nclimate2523</w:t>
      </w:r>
    </w:p>
    <w:p w14:paraId="53D0DBC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Ali, A., Li, W., Hussain, R., He, X., Williams, B. W., &amp; Memon, A. H. (2017). Overview of current microgrid policies, incentives and barriers in the European Union, United States and China.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w:t>
      </w:r>
      <w:r w:rsidRPr="00B415A1">
        <w:rPr>
          <w:rFonts w:ascii="Times New Roman" w:hAnsi="Times New Roman" w:cs="Times New Roman"/>
          <w:noProof/>
          <w:kern w:val="0"/>
        </w:rPr>
        <w:t>(7). https://doi.org/10.3390/su9071146</w:t>
      </w:r>
    </w:p>
    <w:p w14:paraId="0E8CEC9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Ali, S. E. A., Lai, F. W., Hassan, R., &amp; Shad, M. K. (2021). The long-run impact of information security breach announcements on investors’ confidence: the context of efficient market hypothesis.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13</w:t>
      </w:r>
      <w:r w:rsidRPr="00B415A1">
        <w:rPr>
          <w:rFonts w:ascii="Times New Roman" w:hAnsi="Times New Roman" w:cs="Times New Roman"/>
          <w:noProof/>
          <w:kern w:val="0"/>
        </w:rPr>
        <w:t>(3), 1–27. https://doi.org/10.3390/su13031066</w:t>
      </w:r>
    </w:p>
    <w:p w14:paraId="4F5C26C7"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Bakhsh, S., Zhang, W., Ali, K., &amp; Oláh, J. (2024). Strategy towards sustainable energy transition: The effect of environmental governance, economic complexity and geopolitics. </w:t>
      </w:r>
      <w:r w:rsidRPr="00B415A1">
        <w:rPr>
          <w:rFonts w:ascii="Times New Roman" w:hAnsi="Times New Roman" w:cs="Times New Roman"/>
          <w:i/>
          <w:iCs/>
          <w:noProof/>
          <w:kern w:val="0"/>
        </w:rPr>
        <w:t>Energy Strategy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52</w:t>
      </w:r>
      <w:r w:rsidRPr="00B415A1">
        <w:rPr>
          <w:rFonts w:ascii="Times New Roman" w:hAnsi="Times New Roman" w:cs="Times New Roman"/>
          <w:noProof/>
          <w:kern w:val="0"/>
        </w:rPr>
        <w:t>, 101330.</w:t>
      </w:r>
    </w:p>
    <w:p w14:paraId="1D4891A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Bang, G. (2024). The U.S. Inflation Reduction Act: Climate policy as economic crisis response. </w:t>
      </w:r>
      <w:r w:rsidRPr="00B415A1">
        <w:rPr>
          <w:rFonts w:ascii="Times New Roman" w:hAnsi="Times New Roman" w:cs="Times New Roman"/>
          <w:i/>
          <w:iCs/>
          <w:noProof/>
          <w:kern w:val="0"/>
        </w:rPr>
        <w:t>Environmental Politics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00</w:t>
      </w:r>
      <w:r w:rsidRPr="00B415A1">
        <w:rPr>
          <w:rFonts w:ascii="Times New Roman" w:hAnsi="Times New Roman" w:cs="Times New Roman"/>
          <w:noProof/>
          <w:kern w:val="0"/>
        </w:rPr>
        <w:t>(00), 1–22. https://doi.org/10.1080/09644016.2024.2437886</w:t>
      </w:r>
    </w:p>
    <w:p w14:paraId="0408D36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Barbose, G., Darghouth, N., Millstein, D., Spears, M., Lbnl, R. W., Buckley, M., Widiss, R., Associates, E., &amp; Rel, N. G. N. (2015). </w:t>
      </w:r>
      <w:r w:rsidRPr="00B415A1">
        <w:rPr>
          <w:rFonts w:ascii="Times New Roman" w:hAnsi="Times New Roman" w:cs="Times New Roman"/>
          <w:i/>
          <w:iCs/>
          <w:noProof/>
          <w:kern w:val="0"/>
        </w:rPr>
        <w:t>Tracking the Sun VII I The Installed Price of Residential and Non- Residential Primary authors Tracking the Sun VIII</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August</w:t>
      </w:r>
      <w:r w:rsidRPr="00B415A1">
        <w:rPr>
          <w:rFonts w:ascii="Times New Roman" w:hAnsi="Times New Roman" w:cs="Times New Roman"/>
          <w:noProof/>
          <w:kern w:val="0"/>
        </w:rPr>
        <w:t>, 55.</w:t>
      </w:r>
    </w:p>
    <w:p w14:paraId="61A36D3C"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Bartolacci, F., Cardoni, A., Łasak, P., &amp; Sadkowski, W. (2022). An analytical framework for strategic alliance formation between a cooperative bank and a fintech start-up: An Italian case study. </w:t>
      </w:r>
      <w:r w:rsidRPr="00B415A1">
        <w:rPr>
          <w:rFonts w:ascii="Times New Roman" w:hAnsi="Times New Roman" w:cs="Times New Roman"/>
          <w:i/>
          <w:iCs/>
          <w:noProof/>
          <w:kern w:val="0"/>
        </w:rPr>
        <w:t>Journal of Entrepreneurship, Management and Innovation</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18</w:t>
      </w:r>
      <w:r w:rsidRPr="00B415A1">
        <w:rPr>
          <w:rFonts w:ascii="Times New Roman" w:hAnsi="Times New Roman" w:cs="Times New Roman"/>
          <w:noProof/>
          <w:kern w:val="0"/>
        </w:rPr>
        <w:t>(4), 115–156. https://doi.org/10.7341/20221844</w:t>
      </w:r>
    </w:p>
    <w:p w14:paraId="55A28DE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Ben Slimane, F., &amp; Rousseau, A. (2020). Crowdlending campaigns for renewable energy: Success factors. </w:t>
      </w:r>
      <w:r w:rsidRPr="00B415A1">
        <w:rPr>
          <w:rFonts w:ascii="Times New Roman" w:hAnsi="Times New Roman" w:cs="Times New Roman"/>
          <w:i/>
          <w:iCs/>
          <w:noProof/>
          <w:kern w:val="0"/>
        </w:rPr>
        <w:t>Journal of Cleaner Production</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249</w:t>
      </w:r>
      <w:r w:rsidRPr="00B415A1">
        <w:rPr>
          <w:rFonts w:ascii="Times New Roman" w:hAnsi="Times New Roman" w:cs="Times New Roman"/>
          <w:noProof/>
          <w:kern w:val="0"/>
        </w:rPr>
        <w:t>(Ea 2354), 0–29. https://doi.org/10.1016/j.jclepro.2019.119330</w:t>
      </w:r>
    </w:p>
    <w:p w14:paraId="582BDC5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Bipartisan Policy Center. (2022). </w:t>
      </w:r>
      <w:r w:rsidRPr="00B415A1">
        <w:rPr>
          <w:rFonts w:ascii="Times New Roman" w:hAnsi="Times New Roman" w:cs="Times New Roman"/>
          <w:i/>
          <w:iCs/>
          <w:noProof/>
          <w:kern w:val="0"/>
        </w:rPr>
        <w:t>Inflation Reduction Act Summary</w:t>
      </w:r>
      <w:r w:rsidRPr="00B415A1">
        <w:rPr>
          <w:rFonts w:ascii="Times New Roman" w:hAnsi="Times New Roman" w:cs="Times New Roman"/>
          <w:noProof/>
          <w:kern w:val="0"/>
        </w:rPr>
        <w:t>. 1–22.</w:t>
      </w:r>
    </w:p>
    <w:p w14:paraId="25B00F1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Bird, L., Bolinger, M., Gagliano, T., Wiser, R., Brown, M., &amp; Parsons, B. (2005). Policies and market factors driving wind power development in the United States.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33</w:t>
      </w:r>
      <w:r w:rsidRPr="00B415A1">
        <w:rPr>
          <w:rFonts w:ascii="Times New Roman" w:hAnsi="Times New Roman" w:cs="Times New Roman"/>
          <w:noProof/>
          <w:kern w:val="0"/>
        </w:rPr>
        <w:t>(11), 1397–1407. https://doi.org/10.1016/j.enpol.2003.12.018</w:t>
      </w:r>
    </w:p>
    <w:p w14:paraId="6E404610"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Buckley, T., Energy, C., &amp; Pollard, M. (2022). </w:t>
      </w:r>
      <w:r w:rsidRPr="00B415A1">
        <w:rPr>
          <w:rFonts w:ascii="Times New Roman" w:hAnsi="Times New Roman" w:cs="Times New Roman"/>
          <w:i/>
          <w:iCs/>
          <w:noProof/>
          <w:kern w:val="0"/>
        </w:rPr>
        <w:t>The Inflation Reduction Act ( IRA ) and Associated Programs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August</w:t>
      </w:r>
      <w:r w:rsidRPr="00B415A1">
        <w:rPr>
          <w:rFonts w:ascii="Times New Roman" w:hAnsi="Times New Roman" w:cs="Times New Roman"/>
          <w:noProof/>
          <w:kern w:val="0"/>
        </w:rPr>
        <w:t>.</w:t>
      </w:r>
    </w:p>
    <w:p w14:paraId="32CCCA0D"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Burtraw, D., &amp; Themann, M. (2018). </w:t>
      </w:r>
      <w:r w:rsidRPr="00B415A1">
        <w:rPr>
          <w:rFonts w:ascii="Times New Roman" w:hAnsi="Times New Roman" w:cs="Times New Roman"/>
          <w:i/>
          <w:iCs/>
          <w:noProof/>
          <w:kern w:val="0"/>
        </w:rPr>
        <w:t>Pricing Carbon Effectively: Lessons from the European Emissions Trading System</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November</w:t>
      </w:r>
      <w:r w:rsidRPr="00B415A1">
        <w:rPr>
          <w:rFonts w:ascii="Times New Roman" w:hAnsi="Times New Roman" w:cs="Times New Roman"/>
          <w:noProof/>
          <w:kern w:val="0"/>
        </w:rPr>
        <w:t>, 1–19. https://carleton.ca/caneunet/jean-monnet-network-publications/.</w:t>
      </w:r>
    </w:p>
    <w:p w14:paraId="7570207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Dechezleprêtre, A., Nachtigall, D., &amp; Venmans, F. (2023). The joint impact of the European Union emissions trading system on carbon emissions and economic performance. </w:t>
      </w:r>
      <w:r w:rsidRPr="00B415A1">
        <w:rPr>
          <w:rFonts w:ascii="Times New Roman" w:hAnsi="Times New Roman" w:cs="Times New Roman"/>
          <w:i/>
          <w:iCs/>
          <w:noProof/>
          <w:kern w:val="0"/>
        </w:rPr>
        <w:t>Journal of Environmental Economics and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118</w:t>
      </w:r>
      <w:r w:rsidRPr="00B415A1">
        <w:rPr>
          <w:rFonts w:ascii="Times New Roman" w:hAnsi="Times New Roman" w:cs="Times New Roman"/>
          <w:noProof/>
          <w:kern w:val="0"/>
        </w:rPr>
        <w:t>, 102758.</w:t>
      </w:r>
    </w:p>
    <w:p w14:paraId="699AB44C"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Filkova, M., Frandon-Martinez, C., &amp; Giorgi, A. (2018). Green Bonds: The State of the Market </w:t>
      </w:r>
      <w:r w:rsidRPr="00B415A1">
        <w:rPr>
          <w:rFonts w:ascii="Times New Roman" w:hAnsi="Times New Roman" w:cs="Times New Roman"/>
          <w:noProof/>
          <w:kern w:val="0"/>
        </w:rPr>
        <w:lastRenderedPageBreak/>
        <w:t xml:space="preserve">2018. </w:t>
      </w:r>
      <w:r w:rsidRPr="00B415A1">
        <w:rPr>
          <w:rFonts w:ascii="Times New Roman" w:hAnsi="Times New Roman" w:cs="Times New Roman"/>
          <w:i/>
          <w:iCs/>
          <w:noProof/>
          <w:kern w:val="0"/>
        </w:rPr>
        <w:t>Climate Bonds Initiative</w:t>
      </w:r>
      <w:r w:rsidRPr="00B415A1">
        <w:rPr>
          <w:rFonts w:ascii="Times New Roman" w:hAnsi="Times New Roman" w:cs="Times New Roman"/>
          <w:noProof/>
          <w:kern w:val="0"/>
        </w:rPr>
        <w:t>, 1–28.</w:t>
      </w:r>
    </w:p>
    <w:p w14:paraId="6F03A8A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Firouzi, F., Rahmani, A. M., Mankodiya, K., Badaroglu, M., Merrett, G. V., Wong, P., &amp; Farahani, B. (2018). Internet-of-Things and big data for smarter healthcare: From device to architecture, applications and analytics. </w:t>
      </w:r>
      <w:r w:rsidRPr="00B415A1">
        <w:rPr>
          <w:rFonts w:ascii="Times New Roman" w:hAnsi="Times New Roman" w:cs="Times New Roman"/>
          <w:i/>
          <w:iCs/>
          <w:noProof/>
          <w:kern w:val="0"/>
        </w:rPr>
        <w:t>Future Generation Computer Systems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78</w:t>
      </w:r>
      <w:r w:rsidRPr="00B415A1">
        <w:rPr>
          <w:rFonts w:ascii="Times New Roman" w:hAnsi="Times New Roman" w:cs="Times New Roman"/>
          <w:noProof/>
          <w:kern w:val="0"/>
        </w:rPr>
        <w:t>, 583–586. https://doi.org/10.1016/j.future.2017.09.016</w:t>
      </w:r>
    </w:p>
    <w:p w14:paraId="7A697E0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Frey, E. F., &amp; Mojtahedi, S. (2018). The impact of solar subsidies on California’s non-residential sector.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122</w:t>
      </w:r>
      <w:r w:rsidRPr="00B415A1">
        <w:rPr>
          <w:rFonts w:ascii="Times New Roman" w:hAnsi="Times New Roman" w:cs="Times New Roman"/>
          <w:noProof/>
          <w:kern w:val="0"/>
        </w:rPr>
        <w:t>, 27–35.</w:t>
      </w:r>
    </w:p>
    <w:p w14:paraId="3C14ECD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Greenblatt, J. B., &amp; Wei, M. (2016). Assessment of the climate commitments and additional mitigation policies of the United States. </w:t>
      </w:r>
      <w:r w:rsidRPr="00B415A1">
        <w:rPr>
          <w:rFonts w:ascii="Times New Roman" w:hAnsi="Times New Roman" w:cs="Times New Roman"/>
          <w:i/>
          <w:iCs/>
          <w:noProof/>
          <w:kern w:val="0"/>
        </w:rPr>
        <w:t>Nature Climate Change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6</w:t>
      </w:r>
      <w:r w:rsidRPr="00B415A1">
        <w:rPr>
          <w:rFonts w:ascii="Times New Roman" w:hAnsi="Times New Roman" w:cs="Times New Roman"/>
          <w:noProof/>
          <w:kern w:val="0"/>
        </w:rPr>
        <w:t>(12), 1090–1093. https://doi.org/10.1038/nclimate3125</w:t>
      </w:r>
    </w:p>
    <w:p w14:paraId="09CE0E2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Henderson, M., Novosel, D., &amp; Crow, M. (2017). Electric Power Grid Modernization Trends, Challenges, and Opportunities. </w:t>
      </w:r>
      <w:r w:rsidRPr="00B415A1">
        <w:rPr>
          <w:rFonts w:ascii="Times New Roman" w:hAnsi="Times New Roman" w:cs="Times New Roman"/>
          <w:i/>
          <w:iCs/>
          <w:noProof/>
          <w:kern w:val="0"/>
        </w:rPr>
        <w:t>IEEE Technology Trend Paper</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November</w:t>
      </w:r>
      <w:r w:rsidRPr="00B415A1">
        <w:rPr>
          <w:rFonts w:ascii="Times New Roman" w:hAnsi="Times New Roman" w:cs="Times New Roman"/>
          <w:noProof/>
          <w:kern w:val="0"/>
        </w:rPr>
        <w:t>, 17.</w:t>
      </w:r>
    </w:p>
    <w:p w14:paraId="4100D9A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Hess, D. J., &amp; Lee, D. (2020). Energy decentralization in California and New York: Conflicts in the politics of shared solar and community choice. </w:t>
      </w:r>
      <w:r w:rsidRPr="00B415A1">
        <w:rPr>
          <w:rFonts w:ascii="Times New Roman" w:hAnsi="Times New Roman" w:cs="Times New Roman"/>
          <w:i/>
          <w:iCs/>
          <w:noProof/>
          <w:kern w:val="0"/>
        </w:rPr>
        <w:t>Renewable and Sustainable Energy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121</w:t>
      </w:r>
      <w:r w:rsidRPr="00B415A1">
        <w:rPr>
          <w:rFonts w:ascii="Times New Roman" w:hAnsi="Times New Roman" w:cs="Times New Roman"/>
          <w:noProof/>
          <w:kern w:val="0"/>
        </w:rPr>
        <w:t>, 109716. https://doi.org/10.1016/j.rser.2020.109716</w:t>
      </w:r>
    </w:p>
    <w:p w14:paraId="58AB01C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Hodge, G. A., &amp; Greve, C. (2017). On Public–Private Partnership Performance: A Contemporary Review. </w:t>
      </w:r>
      <w:r w:rsidRPr="00B415A1">
        <w:rPr>
          <w:rFonts w:ascii="Times New Roman" w:hAnsi="Times New Roman" w:cs="Times New Roman"/>
          <w:i/>
          <w:iCs/>
          <w:noProof/>
          <w:kern w:val="0"/>
        </w:rPr>
        <w:t>Public Works Management and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22</w:t>
      </w:r>
      <w:r w:rsidRPr="00B415A1">
        <w:rPr>
          <w:rFonts w:ascii="Times New Roman" w:hAnsi="Times New Roman" w:cs="Times New Roman"/>
          <w:noProof/>
          <w:kern w:val="0"/>
        </w:rPr>
        <w:t>(1), 55–78. https://doi.org/10.1177/1087724X16657830</w:t>
      </w:r>
    </w:p>
    <w:p w14:paraId="33704A3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I, Yu, C., Chen, R., Li, J. J., Li, J. J., Drahansky, M., Paridah, M. ., Moradbak, A., Mohamed, A. ., Owolabi, FolaLi, H. abdulwahab taiwo, Asniza, M., Abdul Khalid, S. H. ., Sharma, T., Dohare, N., Kumari, M., Singh, U. K., Khan, A. B., Borse, M. S., Patel, R., … Reading, F. (2012). We are IntechOpen , the world ’ s leading publisher of Open Access books Built by scientists , for scientists TOP 1 %. </w:t>
      </w:r>
      <w:r w:rsidRPr="00B415A1">
        <w:rPr>
          <w:rFonts w:ascii="Times New Roman" w:hAnsi="Times New Roman" w:cs="Times New Roman"/>
          <w:i/>
          <w:iCs/>
          <w:noProof/>
          <w:kern w:val="0"/>
        </w:rPr>
        <w:t>Intech</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i</w:t>
      </w:r>
      <w:r w:rsidRPr="00B415A1">
        <w:rPr>
          <w:rFonts w:ascii="Times New Roman" w:hAnsi="Times New Roman" w:cs="Times New Roman"/>
          <w:noProof/>
          <w:kern w:val="0"/>
        </w:rPr>
        <w:t>(tourism), 13. https://doi.org/10.1016/j.colsurfa.2011.12.014</w:t>
      </w:r>
    </w:p>
    <w:p w14:paraId="75DD1EA3"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Ipcc, T., &amp; Africa, S. (2022). </w:t>
      </w:r>
      <w:r w:rsidRPr="00B415A1">
        <w:rPr>
          <w:rFonts w:ascii="Times New Roman" w:hAnsi="Times New Roman" w:cs="Times New Roman"/>
          <w:i/>
          <w:iCs/>
          <w:noProof/>
          <w:kern w:val="0"/>
        </w:rPr>
        <w:t>Financing a Just Transition in Africa : Challenges and Opportunities</w:t>
      </w:r>
      <w:r w:rsidRPr="00B415A1">
        <w:rPr>
          <w:rFonts w:ascii="Times New Roman" w:hAnsi="Times New Roman" w:cs="Times New Roman"/>
          <w:noProof/>
          <w:kern w:val="0"/>
        </w:rPr>
        <w:t>. 1–13.</w:t>
      </w:r>
    </w:p>
    <w:p w14:paraId="3EED458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IRENA-GWEC. (2012). </w:t>
      </w:r>
      <w:r w:rsidRPr="00B415A1">
        <w:rPr>
          <w:rFonts w:ascii="Times New Roman" w:hAnsi="Times New Roman" w:cs="Times New Roman"/>
          <w:i/>
          <w:iCs/>
          <w:noProof/>
          <w:kern w:val="0"/>
        </w:rPr>
        <w:t>30 Years of Policies for Wind Energy in the United States</w:t>
      </w:r>
      <w:r w:rsidRPr="00B415A1">
        <w:rPr>
          <w:rFonts w:ascii="Times New Roman" w:hAnsi="Times New Roman" w:cs="Times New Roman"/>
          <w:noProof/>
          <w:kern w:val="0"/>
        </w:rPr>
        <w:t>.</w:t>
      </w:r>
    </w:p>
    <w:p w14:paraId="2F92399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Jones, P., Wynn, M., Hillier, D., &amp; Comfort, D. (2017). The Sustainable Development Goals and Information and Communication Technologies. </w:t>
      </w:r>
      <w:r w:rsidRPr="00B415A1">
        <w:rPr>
          <w:rFonts w:ascii="Times New Roman" w:hAnsi="Times New Roman" w:cs="Times New Roman"/>
          <w:i/>
          <w:iCs/>
          <w:noProof/>
          <w:kern w:val="0"/>
        </w:rPr>
        <w:t>Indonesian Journal of Sustainability Accounting and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w:t>
      </w:r>
      <w:r w:rsidRPr="00B415A1">
        <w:rPr>
          <w:rFonts w:ascii="Times New Roman" w:hAnsi="Times New Roman" w:cs="Times New Roman"/>
          <w:noProof/>
          <w:kern w:val="0"/>
        </w:rPr>
        <w:t>(1), 1. https://doi.org/10.28992/ijsam.v1i1.22</w:t>
      </w:r>
    </w:p>
    <w:p w14:paraId="17B944D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Kantamneni, A., Winkler, R., Gauchia, L., &amp; Pearce, J. M. (2016). Emerging economic viability of grid defection in a northern climate using solar hybrid systems.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95</w:t>
      </w:r>
      <w:r w:rsidRPr="00B415A1">
        <w:rPr>
          <w:rFonts w:ascii="Times New Roman" w:hAnsi="Times New Roman" w:cs="Times New Roman"/>
          <w:noProof/>
          <w:kern w:val="0"/>
        </w:rPr>
        <w:t>, 378–389. https://doi.org/10.1016/j.enpol.2016.05.013</w:t>
      </w:r>
    </w:p>
    <w:p w14:paraId="399352F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Lowitzsch, J., Hoicka, C. E., &amp; van Tulder, F. J. (2020). Renewable energy communities under the 2019 European Clean Energy Package – Governance model for the energy clusters of the future? </w:t>
      </w:r>
      <w:r w:rsidRPr="00B415A1">
        <w:rPr>
          <w:rFonts w:ascii="Times New Roman" w:hAnsi="Times New Roman" w:cs="Times New Roman"/>
          <w:i/>
          <w:iCs/>
          <w:noProof/>
          <w:kern w:val="0"/>
        </w:rPr>
        <w:t>Renewable and Sustainable Energy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122</w:t>
      </w:r>
      <w:r w:rsidRPr="00B415A1">
        <w:rPr>
          <w:rFonts w:ascii="Times New Roman" w:hAnsi="Times New Roman" w:cs="Times New Roman"/>
          <w:noProof/>
          <w:kern w:val="0"/>
        </w:rPr>
        <w:t>(October 2019), 109489. https://doi.org/10.1016/j.rser.2019.109489</w:t>
      </w:r>
    </w:p>
    <w:p w14:paraId="63E2733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Lu, Y., Khan, Z. A., Alvarez-Alvarado, M. S., Zhang, Y., Huang, Z., &amp; Imran, M. (2020). A critical review of sustainable energy policies for the promotion of renewable energy </w:t>
      </w:r>
      <w:r w:rsidRPr="00B415A1">
        <w:rPr>
          <w:rFonts w:ascii="Times New Roman" w:hAnsi="Times New Roman" w:cs="Times New Roman"/>
          <w:noProof/>
          <w:kern w:val="0"/>
        </w:rPr>
        <w:lastRenderedPageBreak/>
        <w:t xml:space="preserve">sources.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w:t>
      </w:r>
      <w:r w:rsidRPr="00B415A1">
        <w:rPr>
          <w:rFonts w:ascii="Times New Roman" w:hAnsi="Times New Roman" w:cs="Times New Roman"/>
          <w:noProof/>
          <w:kern w:val="0"/>
        </w:rPr>
        <w:t>(12), 1–30. https://doi.org/10.3390/su12125078</w:t>
      </w:r>
    </w:p>
    <w:p w14:paraId="016A181D"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Miller, L., Carriveau, R., &amp; Harper, S. (2018). Innovative financing for renewable energy project development–recent case studies in North America. </w:t>
      </w:r>
      <w:r w:rsidRPr="00B415A1">
        <w:rPr>
          <w:rFonts w:ascii="Times New Roman" w:hAnsi="Times New Roman" w:cs="Times New Roman"/>
          <w:i/>
          <w:iCs/>
          <w:noProof/>
          <w:kern w:val="0"/>
        </w:rPr>
        <w:t>International Journal of Environmental Studies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75</w:t>
      </w:r>
      <w:r w:rsidRPr="00B415A1">
        <w:rPr>
          <w:rFonts w:ascii="Times New Roman" w:hAnsi="Times New Roman" w:cs="Times New Roman"/>
          <w:noProof/>
          <w:kern w:val="0"/>
        </w:rPr>
        <w:t>(1), 121–134. https://doi.org/10.1080/00207233.2017.1403758</w:t>
      </w:r>
    </w:p>
    <w:p w14:paraId="5E2BC6E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Nguyen, D. K., Sermpinis, G., &amp; Stasinakis, C. (2023). Big data, artificial intelligence and machine learning: A transformative symbiosis in favour of financial technology. </w:t>
      </w:r>
      <w:r w:rsidRPr="00B415A1">
        <w:rPr>
          <w:rFonts w:ascii="Times New Roman" w:hAnsi="Times New Roman" w:cs="Times New Roman"/>
          <w:i/>
          <w:iCs/>
          <w:noProof/>
          <w:kern w:val="0"/>
        </w:rPr>
        <w:t>European Financial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29</w:t>
      </w:r>
      <w:r w:rsidRPr="00B415A1">
        <w:rPr>
          <w:rFonts w:ascii="Times New Roman" w:hAnsi="Times New Roman" w:cs="Times New Roman"/>
          <w:noProof/>
          <w:kern w:val="0"/>
        </w:rPr>
        <w:t>(2), 517–548. https://doi.org/10.1111/eufm.12365</w:t>
      </w:r>
    </w:p>
    <w:p w14:paraId="507B93B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Njegomir, V., &amp; Stojić, D. (2010). Does insurance promote economic growth: The evidence from Ex-yugoslavia region. </w:t>
      </w:r>
      <w:r w:rsidRPr="00B415A1">
        <w:rPr>
          <w:rFonts w:ascii="Times New Roman" w:hAnsi="Times New Roman" w:cs="Times New Roman"/>
          <w:i/>
          <w:iCs/>
          <w:noProof/>
          <w:kern w:val="0"/>
        </w:rPr>
        <w:t>Ekonomska Misao i Praksa</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w:t>
      </w:r>
      <w:r w:rsidRPr="00B415A1">
        <w:rPr>
          <w:rFonts w:ascii="Times New Roman" w:hAnsi="Times New Roman" w:cs="Times New Roman"/>
          <w:noProof/>
          <w:kern w:val="0"/>
        </w:rPr>
        <w:t>(July), 31–48. http://hrcak.srce.hr/index.php?show=clanak&amp;id_clanak_jezik=83216</w:t>
      </w:r>
    </w:p>
    <w:p w14:paraId="2FDED76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Ogunyemi, F. M., &amp; Ishola, A. O. (2024). </w:t>
      </w:r>
      <w:r w:rsidRPr="00B415A1">
        <w:rPr>
          <w:rFonts w:ascii="Times New Roman" w:hAnsi="Times New Roman" w:cs="Times New Roman"/>
          <w:i/>
          <w:iCs/>
          <w:noProof/>
          <w:kern w:val="0"/>
        </w:rPr>
        <w:t>Supporting the Green Energy Transition in U . S . SMEs : A Sustainable Finance and Consulting Approach</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December</w:t>
      </w:r>
      <w:r w:rsidRPr="00B415A1">
        <w:rPr>
          <w:rFonts w:ascii="Times New Roman" w:hAnsi="Times New Roman" w:cs="Times New Roman"/>
          <w:noProof/>
          <w:kern w:val="0"/>
        </w:rPr>
        <w:t>.</w:t>
      </w:r>
    </w:p>
    <w:p w14:paraId="12FB6BC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Ørsted. (2022). </w:t>
      </w:r>
      <w:r w:rsidRPr="00B415A1">
        <w:rPr>
          <w:rFonts w:ascii="Times New Roman" w:hAnsi="Times New Roman" w:cs="Times New Roman"/>
          <w:i/>
          <w:iCs/>
          <w:noProof/>
          <w:kern w:val="0"/>
        </w:rPr>
        <w:t>Corporate Power Purchase Agreements</w:t>
      </w:r>
      <w:r w:rsidRPr="00B415A1">
        <w:rPr>
          <w:rFonts w:ascii="Times New Roman" w:hAnsi="Times New Roman" w:cs="Times New Roman"/>
          <w:noProof/>
          <w:kern w:val="0"/>
        </w:rPr>
        <w:t>.</w:t>
      </w:r>
    </w:p>
    <w:p w14:paraId="5262A2C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Patients, S., in Solid Cancer, P. C., Hassan, B. A. R., Yusoff, Z. B. M., Othman, M. A. H., Bin, S., information is available at the end of the Chapter, A., &amp; Http://dx.doi.org/10.5772/55358. (2012). We are IntechOpen , the world ’ s leading publisher of Open Access books Built by scientists , for scientists TOP 1 %. </w:t>
      </w:r>
      <w:r w:rsidRPr="00B415A1">
        <w:rPr>
          <w:rFonts w:ascii="Times New Roman" w:hAnsi="Times New Roman" w:cs="Times New Roman"/>
          <w:i/>
          <w:iCs/>
          <w:noProof/>
          <w:kern w:val="0"/>
        </w:rPr>
        <w:t>Intech</w:t>
      </w:r>
      <w:r w:rsidRPr="00B415A1">
        <w:rPr>
          <w:rFonts w:ascii="Times New Roman" w:hAnsi="Times New Roman" w:cs="Times New Roman"/>
          <w:noProof/>
          <w:kern w:val="0"/>
        </w:rPr>
        <w:t>, 13. http://dx.doi.org/10.1039/C7RA00172J%0Ahttps://www.intechopen.com/books/advanced-biometric-technologies/liveness-detection-in-biometrics%0Ahttp://dx.doi.org/10.1016/j.colsurfa.2011.12.014</w:t>
      </w:r>
    </w:p>
    <w:p w14:paraId="2D0CC02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Portia Oduro, Peter Simpa, &amp; Darlington Eze Ekechukwu. (2024). Exploring financing models for clean energy adoption: Lessons from the United States and Nigeria. </w:t>
      </w:r>
      <w:r w:rsidRPr="00B415A1">
        <w:rPr>
          <w:rFonts w:ascii="Times New Roman" w:hAnsi="Times New Roman" w:cs="Times New Roman"/>
          <w:i/>
          <w:iCs/>
          <w:noProof/>
          <w:kern w:val="0"/>
        </w:rPr>
        <w:t>Global Journal of Engineering and Technology Advances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19</w:t>
      </w:r>
      <w:r w:rsidRPr="00B415A1">
        <w:rPr>
          <w:rFonts w:ascii="Times New Roman" w:hAnsi="Times New Roman" w:cs="Times New Roman"/>
          <w:noProof/>
          <w:kern w:val="0"/>
        </w:rPr>
        <w:t>(2), 154–168. https://doi.org/10.30574/gjeta.2024.19.2.0086</w:t>
      </w:r>
    </w:p>
    <w:p w14:paraId="5D349A0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Sachs, J. D., Woo, W. T., Yoshino, N., &amp; Taghizadeh-Hesary, F. (2019). WHY IS GREEN FINANCE IMPORTANT? Asian Development Bank Institute. </w:t>
      </w:r>
      <w:r w:rsidRPr="00B415A1">
        <w:rPr>
          <w:rFonts w:ascii="Times New Roman" w:hAnsi="Times New Roman" w:cs="Times New Roman"/>
          <w:i/>
          <w:iCs/>
          <w:noProof/>
          <w:kern w:val="0"/>
        </w:rPr>
        <w:t>Institute of Sciences. ADBI Working Paper Series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917</w:t>
      </w:r>
      <w:r w:rsidRPr="00B415A1">
        <w:rPr>
          <w:rFonts w:ascii="Times New Roman" w:hAnsi="Times New Roman" w:cs="Times New Roman"/>
          <w:noProof/>
          <w:kern w:val="0"/>
        </w:rPr>
        <w:t>. https://www.adb.org/publications/why-green-finance-important</w:t>
      </w:r>
    </w:p>
    <w:p w14:paraId="46058357"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Salerno, F. M. (2016). </w:t>
      </w:r>
      <w:r w:rsidRPr="00B415A1">
        <w:rPr>
          <w:rFonts w:ascii="Times New Roman" w:hAnsi="Times New Roman" w:cs="Times New Roman"/>
          <w:i/>
          <w:iCs/>
          <w:noProof/>
          <w:kern w:val="0"/>
        </w:rPr>
        <w:t>SGEIs and the Energy Sector</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January</w:t>
      </w:r>
      <w:r w:rsidRPr="00B415A1">
        <w:rPr>
          <w:rFonts w:ascii="Times New Roman" w:hAnsi="Times New Roman" w:cs="Times New Roman"/>
          <w:noProof/>
          <w:kern w:val="0"/>
        </w:rPr>
        <w:t>.</w:t>
      </w:r>
    </w:p>
    <w:p w14:paraId="5C8C6C0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Stafford-Smith, M., Griggs, D., Gaffney, O., Ullah, F., Reyers, B., Kanie, N., Stigson, B., Shrivastava, P., Leach, M., &amp; O’Connell, D. (2017). Integration: the key to implementing the Sustainable Development Goals. </w:t>
      </w:r>
      <w:r w:rsidRPr="00B415A1">
        <w:rPr>
          <w:rFonts w:ascii="Times New Roman" w:hAnsi="Times New Roman" w:cs="Times New Roman"/>
          <w:i/>
          <w:iCs/>
          <w:noProof/>
          <w:kern w:val="0"/>
        </w:rPr>
        <w:t>Sustainability Science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w:t>
      </w:r>
      <w:r w:rsidRPr="00B415A1">
        <w:rPr>
          <w:rFonts w:ascii="Times New Roman" w:hAnsi="Times New Roman" w:cs="Times New Roman"/>
          <w:noProof/>
          <w:kern w:val="0"/>
        </w:rPr>
        <w:t>(6), 911–919. https://doi.org/10.1007/s11625-016-0383-3</w:t>
      </w:r>
    </w:p>
    <w:p w14:paraId="121A51E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Stanitsas, M., &amp; Kirytopoulos, K. (2023). Sustainable Energy Strategies for Power Purchase Agreements (PPAs).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15</w:t>
      </w:r>
      <w:r w:rsidRPr="00B415A1">
        <w:rPr>
          <w:rFonts w:ascii="Times New Roman" w:hAnsi="Times New Roman" w:cs="Times New Roman"/>
          <w:noProof/>
          <w:kern w:val="0"/>
        </w:rPr>
        <w:t>(8), 1–19. https://doi.org/10.3390/su15086638</w:t>
      </w:r>
    </w:p>
    <w:p w14:paraId="16C56F6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The, A. I. N. (2016).  U nited S tates of A merica: Society of Woman Geographers ( SWG ) . </w:t>
      </w:r>
      <w:r w:rsidRPr="00B415A1">
        <w:rPr>
          <w:rFonts w:ascii="Times New Roman" w:hAnsi="Times New Roman" w:cs="Times New Roman"/>
          <w:i/>
          <w:iCs/>
          <w:noProof/>
          <w:kern w:val="0"/>
        </w:rPr>
        <w:t>International Encyclopedia of Geography</w:t>
      </w:r>
      <w:r w:rsidRPr="00B415A1">
        <w:rPr>
          <w:rFonts w:ascii="Times New Roman" w:hAnsi="Times New Roman" w:cs="Times New Roman"/>
          <w:noProof/>
          <w:kern w:val="0"/>
        </w:rPr>
        <w:t>, 1–1. https://doi.org/10.1002/9781118786352.wbieg0743</w:t>
      </w:r>
    </w:p>
    <w:p w14:paraId="2F4E88E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UNITED NATIONS ECONOMIC COMMISSION FOR AFRICA. (2020). </w:t>
      </w:r>
      <w:r w:rsidRPr="00B415A1">
        <w:rPr>
          <w:rFonts w:ascii="Times New Roman" w:hAnsi="Times New Roman" w:cs="Times New Roman"/>
          <w:i/>
          <w:iCs/>
          <w:noProof/>
          <w:kern w:val="0"/>
        </w:rPr>
        <w:t xml:space="preserve">Study on innovative </w:t>
      </w:r>
      <w:r w:rsidRPr="00B415A1">
        <w:rPr>
          <w:rFonts w:ascii="Times New Roman" w:hAnsi="Times New Roman" w:cs="Times New Roman"/>
          <w:i/>
          <w:iCs/>
          <w:noProof/>
          <w:kern w:val="0"/>
        </w:rPr>
        <w:lastRenderedPageBreak/>
        <w:t>financing mechanisms for renewable energy projects in North Africa</w:t>
      </w:r>
      <w:r w:rsidRPr="00B415A1">
        <w:rPr>
          <w:rFonts w:ascii="Times New Roman" w:hAnsi="Times New Roman" w:cs="Times New Roman"/>
          <w:noProof/>
          <w:kern w:val="0"/>
        </w:rPr>
        <w:t>.</w:t>
      </w:r>
    </w:p>
    <w:p w14:paraId="72E69CE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US Department of Energy (DOE). (2020). </w:t>
      </w:r>
      <w:r w:rsidRPr="00B415A1">
        <w:rPr>
          <w:rFonts w:ascii="Times New Roman" w:hAnsi="Times New Roman" w:cs="Times New Roman"/>
          <w:i/>
          <w:iCs/>
          <w:noProof/>
          <w:kern w:val="0"/>
        </w:rPr>
        <w:t>Energy storage grand challenge roadmap. https://www.energy.gov/energy-storage-grand-challenge/articles/energy-storage-grand-challenge-roadmap. [Accessed 26 October 2023]</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December</w:t>
      </w:r>
      <w:r w:rsidRPr="00B415A1">
        <w:rPr>
          <w:rFonts w:ascii="Times New Roman" w:hAnsi="Times New Roman" w:cs="Times New Roman"/>
          <w:noProof/>
          <w:kern w:val="0"/>
        </w:rPr>
        <w:t>.</w:t>
      </w:r>
    </w:p>
    <w:p w14:paraId="141EDA83"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Usd, P. V, &amp; Usd, C. S. P. (2016). Renewable Power : Sharply Falling. </w:t>
      </w:r>
      <w:r w:rsidRPr="00B415A1">
        <w:rPr>
          <w:rFonts w:ascii="Times New Roman" w:hAnsi="Times New Roman" w:cs="Times New Roman"/>
          <w:i/>
          <w:iCs/>
          <w:noProof/>
          <w:kern w:val="0"/>
        </w:rPr>
        <w:t>International Renewable Energy Agency</w:t>
      </w:r>
      <w:r w:rsidRPr="00B415A1">
        <w:rPr>
          <w:rFonts w:ascii="Times New Roman" w:hAnsi="Times New Roman" w:cs="Times New Roman"/>
          <w:noProof/>
          <w:kern w:val="0"/>
        </w:rPr>
        <w:t>, 15–18.</w:t>
      </w:r>
    </w:p>
    <w:p w14:paraId="7EB17FD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Williams, M. (2008). The Principles of Project Management : Project Skills. In </w:t>
      </w:r>
      <w:r w:rsidRPr="00B415A1">
        <w:rPr>
          <w:rFonts w:ascii="Times New Roman" w:hAnsi="Times New Roman" w:cs="Times New Roman"/>
          <w:i/>
          <w:iCs/>
          <w:noProof/>
          <w:kern w:val="0"/>
        </w:rPr>
        <w:t>Ebook</w:t>
      </w:r>
      <w:r w:rsidRPr="00B415A1">
        <w:rPr>
          <w:rFonts w:ascii="Times New Roman" w:hAnsi="Times New Roman" w:cs="Times New Roman"/>
          <w:noProof/>
          <w:kern w:val="0"/>
        </w:rPr>
        <w:t>. http://www.sitepoint.com/books/project1/</w:t>
      </w:r>
    </w:p>
    <w:p w14:paraId="7A83754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Wind Energy Technologies Office, U. S. D. of E. (2023). </w:t>
      </w:r>
      <w:r w:rsidRPr="00B415A1">
        <w:rPr>
          <w:rFonts w:ascii="Times New Roman" w:hAnsi="Times New Roman" w:cs="Times New Roman"/>
          <w:i/>
          <w:iCs/>
          <w:noProof/>
          <w:kern w:val="0"/>
        </w:rPr>
        <w:t>U.S. Wind Industry Federal Incentives, Funding, and Partnership Opportunities Fact Sheet</w:t>
      </w:r>
      <w:r w:rsidRPr="00B415A1">
        <w:rPr>
          <w:rFonts w:ascii="Times New Roman" w:hAnsi="Times New Roman" w:cs="Times New Roman"/>
          <w:noProof/>
          <w:kern w:val="0"/>
        </w:rPr>
        <w:t>. https://www.energy.gov/eere/wind/articles/us-wind-industry-federal-incentives-funding-and-partnership-opportunities-fact</w:t>
      </w:r>
    </w:p>
    <w:p w14:paraId="203670D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Wiser, R., Bollinger, M., Hoen, B., Millstein, D., Rand, J., Barbose, G., Darghouth, N., Gorman, W., Jeong, S., O’Shaughnessy, E., &amp; Paulos, B. (2023). </w:t>
      </w:r>
      <w:r w:rsidRPr="00B415A1">
        <w:rPr>
          <w:rFonts w:ascii="Times New Roman" w:hAnsi="Times New Roman" w:cs="Times New Roman"/>
          <w:i/>
          <w:iCs/>
          <w:noProof/>
          <w:kern w:val="0"/>
        </w:rPr>
        <w:t>Land-Based Wind Market Report: 2023 Edition</w:t>
      </w:r>
      <w:r w:rsidRPr="00B415A1">
        <w:rPr>
          <w:rFonts w:ascii="Times New Roman" w:hAnsi="Times New Roman" w:cs="Times New Roman"/>
          <w:noProof/>
          <w:kern w:val="0"/>
        </w:rPr>
        <w:t>. https://www.osti.gov/servlets/purl/1996790/%0Ahttps://emp.lbl.gov/sites/default/files/2023_lbwmr_final.pdf</w:t>
      </w:r>
    </w:p>
    <w:p w14:paraId="6394D34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World Bank. (2015). </w:t>
      </w:r>
      <w:r w:rsidRPr="00B415A1">
        <w:rPr>
          <w:rFonts w:ascii="Times New Roman" w:hAnsi="Times New Roman" w:cs="Times New Roman"/>
          <w:i/>
          <w:iCs/>
          <w:noProof/>
          <w:kern w:val="0"/>
        </w:rPr>
        <w:t>Green What are Green</w:t>
      </w:r>
      <w:r w:rsidRPr="00B415A1">
        <w:rPr>
          <w:rFonts w:ascii="Times New Roman" w:hAnsi="Times New Roman" w:cs="Times New Roman"/>
          <w:noProof/>
          <w:kern w:val="0"/>
        </w:rPr>
        <w:t>.</w:t>
      </w:r>
    </w:p>
    <w:p w14:paraId="5F7A5AC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Yi, H. (2014). Green businesses in a clean energy economy: Analyzing drivers of green business growth in U.S. states. </w:t>
      </w:r>
      <w:r w:rsidRPr="00B415A1">
        <w:rPr>
          <w:rFonts w:ascii="Times New Roman" w:hAnsi="Times New Roman" w:cs="Times New Roman"/>
          <w:i/>
          <w:iCs/>
          <w:noProof/>
          <w:kern w:val="0"/>
        </w:rPr>
        <w:t>Energy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68</w:t>
      </w:r>
      <w:r w:rsidRPr="00B415A1">
        <w:rPr>
          <w:rFonts w:ascii="Times New Roman" w:hAnsi="Times New Roman" w:cs="Times New Roman"/>
          <w:noProof/>
          <w:kern w:val="0"/>
        </w:rPr>
        <w:t>, 922–929. https://doi.org/10.1016/j.energy.2014.02.044</w:t>
      </w:r>
    </w:p>
    <w:p w14:paraId="73FA6F05"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Yılmaz Mesut Can. (2019). the Renewable Energy Transition in Turkey. </w:t>
      </w:r>
      <w:r w:rsidRPr="00B415A1">
        <w:rPr>
          <w:rFonts w:ascii="Times New Roman" w:hAnsi="Times New Roman" w:cs="Times New Roman"/>
          <w:i/>
          <w:iCs/>
          <w:noProof/>
          <w:kern w:val="0"/>
        </w:rPr>
        <w:t>/Publications/2021/March/The-Renewable-Energy-Transition-in-Africa</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3.1.1</w:t>
      </w:r>
      <w:r w:rsidRPr="00B415A1">
        <w:rPr>
          <w:rFonts w:ascii="Times New Roman" w:hAnsi="Times New Roman" w:cs="Times New Roman"/>
          <w:noProof/>
          <w:kern w:val="0"/>
        </w:rPr>
        <w:t>, 1–48. /publications/2021/March/The-Renewable-Energy-Transition-in-Africa</w:t>
      </w:r>
    </w:p>
    <w:p w14:paraId="6981F90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rPr>
      </w:pPr>
      <w:r w:rsidRPr="00B415A1">
        <w:rPr>
          <w:rFonts w:ascii="Times New Roman" w:hAnsi="Times New Roman" w:cs="Times New Roman"/>
          <w:noProof/>
          <w:kern w:val="0"/>
        </w:rPr>
        <w:t xml:space="preserve">Zhang, Y. (2024). </w:t>
      </w:r>
      <w:r w:rsidRPr="00B415A1">
        <w:rPr>
          <w:rFonts w:ascii="Times New Roman" w:hAnsi="Times New Roman" w:cs="Times New Roman"/>
          <w:i/>
          <w:iCs/>
          <w:noProof/>
          <w:kern w:val="0"/>
        </w:rPr>
        <w:t>Towards a Sustainable Future : Exploring Innovative Financing Models for Renewable Energy</w:t>
      </w:r>
      <w:r w:rsidRPr="00B415A1">
        <w:rPr>
          <w:rFonts w:ascii="Times New Roman" w:hAnsi="Times New Roman" w:cs="Times New Roman"/>
          <w:noProof/>
          <w:kern w:val="0"/>
        </w:rPr>
        <w:t>. 34–40.</w:t>
      </w:r>
    </w:p>
    <w:p w14:paraId="0058CE12" w14:textId="016659C9" w:rsidR="00C504AF" w:rsidRPr="001970D3" w:rsidRDefault="008A7918" w:rsidP="008A7918">
      <w:pPr>
        <w:spacing w:line="240" w:lineRule="auto"/>
        <w:jc w:val="both"/>
        <w:rPr>
          <w:rFonts w:ascii="Times New Roman" w:hAnsi="Times New Roman" w:cs="Times New Roman"/>
        </w:rPr>
      </w:pPr>
      <w:r>
        <w:rPr>
          <w:rFonts w:ascii="Times New Roman" w:hAnsi="Times New Roman" w:cs="Times New Roman"/>
        </w:rPr>
        <w:fldChar w:fldCharType="end"/>
      </w:r>
    </w:p>
    <w:sectPr w:rsidR="00C504AF" w:rsidRPr="001970D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F2348" w14:textId="77777777" w:rsidR="00EB096B" w:rsidRDefault="00EB096B" w:rsidP="00304A55">
      <w:pPr>
        <w:spacing w:after="0" w:line="240" w:lineRule="auto"/>
      </w:pPr>
      <w:r>
        <w:separator/>
      </w:r>
    </w:p>
  </w:endnote>
  <w:endnote w:type="continuationSeparator" w:id="0">
    <w:p w14:paraId="27B4A581" w14:textId="77777777" w:rsidR="00EB096B" w:rsidRDefault="00EB096B" w:rsidP="0030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47EB" w14:textId="77777777" w:rsidR="008907F8" w:rsidRDefault="0089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3B18" w14:textId="77777777" w:rsidR="008907F8" w:rsidRDefault="00890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83D6" w14:textId="77777777" w:rsidR="008907F8" w:rsidRDefault="00890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DC625" w14:textId="77777777" w:rsidR="00EB096B" w:rsidRDefault="00EB096B" w:rsidP="00304A55">
      <w:pPr>
        <w:spacing w:after="0" w:line="240" w:lineRule="auto"/>
      </w:pPr>
      <w:r>
        <w:separator/>
      </w:r>
    </w:p>
  </w:footnote>
  <w:footnote w:type="continuationSeparator" w:id="0">
    <w:p w14:paraId="49FC0EA8" w14:textId="77777777" w:rsidR="00EB096B" w:rsidRDefault="00EB096B" w:rsidP="00304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8A35" w14:textId="5B52DA0F" w:rsidR="008907F8" w:rsidRDefault="008907F8">
    <w:pPr>
      <w:pStyle w:val="Header"/>
    </w:pPr>
    <w:r>
      <w:rPr>
        <w:noProof/>
      </w:rPr>
      <w:pict w14:anchorId="022B8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B136" w14:textId="0C6EE23E" w:rsidR="008907F8" w:rsidRDefault="008907F8">
    <w:pPr>
      <w:pStyle w:val="Header"/>
    </w:pPr>
    <w:r>
      <w:rPr>
        <w:noProof/>
      </w:rPr>
      <w:pict w14:anchorId="311EF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600F" w14:textId="6D6A9116" w:rsidR="008907F8" w:rsidRDefault="008907F8">
    <w:pPr>
      <w:pStyle w:val="Header"/>
    </w:pPr>
    <w:r>
      <w:rPr>
        <w:noProof/>
      </w:rPr>
      <w:pict w14:anchorId="56574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A6BF2"/>
    <w:multiLevelType w:val="multilevel"/>
    <w:tmpl w:val="BE14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10709"/>
    <w:multiLevelType w:val="multilevel"/>
    <w:tmpl w:val="11E6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934B0"/>
    <w:multiLevelType w:val="multilevel"/>
    <w:tmpl w:val="E662C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2F6E11"/>
    <w:multiLevelType w:val="multilevel"/>
    <w:tmpl w:val="A86C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0326"/>
    <w:multiLevelType w:val="multilevel"/>
    <w:tmpl w:val="093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20A37"/>
    <w:multiLevelType w:val="multilevel"/>
    <w:tmpl w:val="0A1A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573AA"/>
    <w:multiLevelType w:val="multilevel"/>
    <w:tmpl w:val="4632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B0474"/>
    <w:multiLevelType w:val="multilevel"/>
    <w:tmpl w:val="0AEC65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C006E47"/>
    <w:multiLevelType w:val="multilevel"/>
    <w:tmpl w:val="F41A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C3466"/>
    <w:multiLevelType w:val="multilevel"/>
    <w:tmpl w:val="FA1A60B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EE91205"/>
    <w:multiLevelType w:val="multilevel"/>
    <w:tmpl w:val="E12E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7"/>
  </w:num>
  <w:num w:numId="4">
    <w:abstractNumId w:val="6"/>
  </w:num>
  <w:num w:numId="5">
    <w:abstractNumId w:val="3"/>
  </w:num>
  <w:num w:numId="6">
    <w:abstractNumId w:val="8"/>
  </w:num>
  <w:num w:numId="7">
    <w:abstractNumId w:val="0"/>
  </w:num>
  <w:num w:numId="8">
    <w:abstractNumId w:val="4"/>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F29"/>
    <w:rsid w:val="00026751"/>
    <w:rsid w:val="00042AA2"/>
    <w:rsid w:val="00081279"/>
    <w:rsid w:val="000A2CB8"/>
    <w:rsid w:val="000B0212"/>
    <w:rsid w:val="000D737B"/>
    <w:rsid w:val="000E0EFA"/>
    <w:rsid w:val="00117276"/>
    <w:rsid w:val="001466E4"/>
    <w:rsid w:val="001519D0"/>
    <w:rsid w:val="001970D3"/>
    <w:rsid w:val="001C5A7B"/>
    <w:rsid w:val="001D1C10"/>
    <w:rsid w:val="001F3BA3"/>
    <w:rsid w:val="002025E3"/>
    <w:rsid w:val="002461EA"/>
    <w:rsid w:val="0026579A"/>
    <w:rsid w:val="00291272"/>
    <w:rsid w:val="002A759D"/>
    <w:rsid w:val="002B0F29"/>
    <w:rsid w:val="002B6A18"/>
    <w:rsid w:val="00304A55"/>
    <w:rsid w:val="00346FE5"/>
    <w:rsid w:val="00354FA5"/>
    <w:rsid w:val="00383BB0"/>
    <w:rsid w:val="003A3456"/>
    <w:rsid w:val="003B1B64"/>
    <w:rsid w:val="0044111E"/>
    <w:rsid w:val="004628F8"/>
    <w:rsid w:val="004A5A99"/>
    <w:rsid w:val="004A7031"/>
    <w:rsid w:val="004B0E13"/>
    <w:rsid w:val="004D5920"/>
    <w:rsid w:val="005175C4"/>
    <w:rsid w:val="00561B32"/>
    <w:rsid w:val="00571421"/>
    <w:rsid w:val="00574CFA"/>
    <w:rsid w:val="00581809"/>
    <w:rsid w:val="005A0173"/>
    <w:rsid w:val="005A2995"/>
    <w:rsid w:val="005B2AA2"/>
    <w:rsid w:val="005E0F14"/>
    <w:rsid w:val="00601BBA"/>
    <w:rsid w:val="00631470"/>
    <w:rsid w:val="006439BF"/>
    <w:rsid w:val="006851DF"/>
    <w:rsid w:val="006D0B68"/>
    <w:rsid w:val="006E0C0C"/>
    <w:rsid w:val="00725837"/>
    <w:rsid w:val="00733F62"/>
    <w:rsid w:val="00737EBF"/>
    <w:rsid w:val="007479B7"/>
    <w:rsid w:val="00780DB2"/>
    <w:rsid w:val="00782724"/>
    <w:rsid w:val="007B7DDA"/>
    <w:rsid w:val="007C0F7D"/>
    <w:rsid w:val="007C1310"/>
    <w:rsid w:val="007D2429"/>
    <w:rsid w:val="008907F8"/>
    <w:rsid w:val="008A5820"/>
    <w:rsid w:val="008A7918"/>
    <w:rsid w:val="008B3EA6"/>
    <w:rsid w:val="008E2BBA"/>
    <w:rsid w:val="008F0636"/>
    <w:rsid w:val="00902221"/>
    <w:rsid w:val="00932EB5"/>
    <w:rsid w:val="00971AF7"/>
    <w:rsid w:val="00987754"/>
    <w:rsid w:val="00993C94"/>
    <w:rsid w:val="00A05A55"/>
    <w:rsid w:val="00A24E98"/>
    <w:rsid w:val="00A55C9C"/>
    <w:rsid w:val="00A7448B"/>
    <w:rsid w:val="00A83843"/>
    <w:rsid w:val="00A9222A"/>
    <w:rsid w:val="00AB26F9"/>
    <w:rsid w:val="00AD2618"/>
    <w:rsid w:val="00AD2B77"/>
    <w:rsid w:val="00AF7764"/>
    <w:rsid w:val="00B15CE1"/>
    <w:rsid w:val="00B26C97"/>
    <w:rsid w:val="00B415A1"/>
    <w:rsid w:val="00B803A9"/>
    <w:rsid w:val="00BA0CC5"/>
    <w:rsid w:val="00BF1492"/>
    <w:rsid w:val="00C225D9"/>
    <w:rsid w:val="00C417B5"/>
    <w:rsid w:val="00C45F8A"/>
    <w:rsid w:val="00C504AF"/>
    <w:rsid w:val="00C93E46"/>
    <w:rsid w:val="00CB480F"/>
    <w:rsid w:val="00CE3C48"/>
    <w:rsid w:val="00D356F0"/>
    <w:rsid w:val="00D83C5D"/>
    <w:rsid w:val="00D84C1A"/>
    <w:rsid w:val="00D9084A"/>
    <w:rsid w:val="00D951A1"/>
    <w:rsid w:val="00DC16D3"/>
    <w:rsid w:val="00DE7440"/>
    <w:rsid w:val="00DF500A"/>
    <w:rsid w:val="00DF7C26"/>
    <w:rsid w:val="00E170B7"/>
    <w:rsid w:val="00E525DC"/>
    <w:rsid w:val="00E86996"/>
    <w:rsid w:val="00EB096B"/>
    <w:rsid w:val="00EB5865"/>
    <w:rsid w:val="00EB7218"/>
    <w:rsid w:val="00EC67CB"/>
    <w:rsid w:val="00EF1E97"/>
    <w:rsid w:val="00F0290E"/>
    <w:rsid w:val="00F10427"/>
    <w:rsid w:val="00F1542E"/>
    <w:rsid w:val="00FA20BC"/>
    <w:rsid w:val="00FE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933EC4"/>
  <w15:chartTrackingRefBased/>
  <w15:docId w15:val="{C395F7AC-5D99-420C-9BC9-E90B3537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F29"/>
    <w:rPr>
      <w:rFonts w:eastAsiaTheme="majorEastAsia" w:cstheme="majorBidi"/>
      <w:color w:val="272727" w:themeColor="text1" w:themeTint="D8"/>
    </w:rPr>
  </w:style>
  <w:style w:type="paragraph" w:styleId="Title">
    <w:name w:val="Title"/>
    <w:basedOn w:val="Normal"/>
    <w:next w:val="Normal"/>
    <w:link w:val="TitleChar"/>
    <w:uiPriority w:val="10"/>
    <w:qFormat/>
    <w:rsid w:val="002B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F29"/>
    <w:pPr>
      <w:spacing w:before="160"/>
      <w:jc w:val="center"/>
    </w:pPr>
    <w:rPr>
      <w:i/>
      <w:iCs/>
      <w:color w:val="404040" w:themeColor="text1" w:themeTint="BF"/>
    </w:rPr>
  </w:style>
  <w:style w:type="character" w:customStyle="1" w:styleId="QuoteChar">
    <w:name w:val="Quote Char"/>
    <w:basedOn w:val="DefaultParagraphFont"/>
    <w:link w:val="Quote"/>
    <w:uiPriority w:val="29"/>
    <w:rsid w:val="002B0F29"/>
    <w:rPr>
      <w:i/>
      <w:iCs/>
      <w:color w:val="404040" w:themeColor="text1" w:themeTint="BF"/>
    </w:rPr>
  </w:style>
  <w:style w:type="paragraph" w:styleId="ListParagraph">
    <w:name w:val="List Paragraph"/>
    <w:basedOn w:val="Normal"/>
    <w:uiPriority w:val="34"/>
    <w:qFormat/>
    <w:rsid w:val="002B0F29"/>
    <w:pPr>
      <w:ind w:left="720"/>
      <w:contextualSpacing/>
    </w:pPr>
  </w:style>
  <w:style w:type="character" w:styleId="IntenseEmphasis">
    <w:name w:val="Intense Emphasis"/>
    <w:basedOn w:val="DefaultParagraphFont"/>
    <w:uiPriority w:val="21"/>
    <w:qFormat/>
    <w:rsid w:val="002B0F29"/>
    <w:rPr>
      <w:i/>
      <w:iCs/>
      <w:color w:val="2F5496" w:themeColor="accent1" w:themeShade="BF"/>
    </w:rPr>
  </w:style>
  <w:style w:type="paragraph" w:styleId="IntenseQuote">
    <w:name w:val="Intense Quote"/>
    <w:basedOn w:val="Normal"/>
    <w:next w:val="Normal"/>
    <w:link w:val="IntenseQuoteChar"/>
    <w:uiPriority w:val="30"/>
    <w:qFormat/>
    <w:rsid w:val="002B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0F29"/>
    <w:rPr>
      <w:i/>
      <w:iCs/>
      <w:color w:val="2F5496" w:themeColor="accent1" w:themeShade="BF"/>
    </w:rPr>
  </w:style>
  <w:style w:type="character" w:styleId="IntenseReference">
    <w:name w:val="Intense Reference"/>
    <w:basedOn w:val="DefaultParagraphFont"/>
    <w:uiPriority w:val="32"/>
    <w:qFormat/>
    <w:rsid w:val="002B0F29"/>
    <w:rPr>
      <w:b/>
      <w:bCs/>
      <w:smallCaps/>
      <w:color w:val="2F5496" w:themeColor="accent1" w:themeShade="BF"/>
      <w:spacing w:val="5"/>
    </w:rPr>
  </w:style>
  <w:style w:type="character" w:styleId="Hyperlink">
    <w:name w:val="Hyperlink"/>
    <w:basedOn w:val="DefaultParagraphFont"/>
    <w:uiPriority w:val="99"/>
    <w:unhideWhenUsed/>
    <w:rsid w:val="00631470"/>
    <w:rPr>
      <w:color w:val="0563C1" w:themeColor="hyperlink"/>
      <w:u w:val="single"/>
    </w:rPr>
  </w:style>
  <w:style w:type="character" w:styleId="UnresolvedMention">
    <w:name w:val="Unresolved Mention"/>
    <w:basedOn w:val="DefaultParagraphFont"/>
    <w:uiPriority w:val="99"/>
    <w:semiHidden/>
    <w:unhideWhenUsed/>
    <w:rsid w:val="00631470"/>
    <w:rPr>
      <w:color w:val="605E5C"/>
      <w:shd w:val="clear" w:color="auto" w:fill="E1DFDD"/>
    </w:rPr>
  </w:style>
  <w:style w:type="paragraph" w:styleId="NormalWeb">
    <w:name w:val="Normal (Web)"/>
    <w:basedOn w:val="Normal"/>
    <w:uiPriority w:val="99"/>
    <w:semiHidden/>
    <w:unhideWhenUsed/>
    <w:rsid w:val="008A5820"/>
    <w:rPr>
      <w:rFonts w:ascii="Times New Roman" w:hAnsi="Times New Roman" w:cs="Times New Roman"/>
    </w:rPr>
  </w:style>
  <w:style w:type="paragraph" w:styleId="Header">
    <w:name w:val="header"/>
    <w:basedOn w:val="Normal"/>
    <w:link w:val="HeaderChar"/>
    <w:uiPriority w:val="99"/>
    <w:unhideWhenUsed/>
    <w:rsid w:val="00304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55"/>
  </w:style>
  <w:style w:type="paragraph" w:styleId="Footer">
    <w:name w:val="footer"/>
    <w:basedOn w:val="Normal"/>
    <w:link w:val="FooterChar"/>
    <w:uiPriority w:val="99"/>
    <w:unhideWhenUsed/>
    <w:rsid w:val="00304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900">
      <w:bodyDiv w:val="1"/>
      <w:marLeft w:val="0"/>
      <w:marRight w:val="0"/>
      <w:marTop w:val="0"/>
      <w:marBottom w:val="0"/>
      <w:divBdr>
        <w:top w:val="none" w:sz="0" w:space="0" w:color="auto"/>
        <w:left w:val="none" w:sz="0" w:space="0" w:color="auto"/>
        <w:bottom w:val="none" w:sz="0" w:space="0" w:color="auto"/>
        <w:right w:val="none" w:sz="0" w:space="0" w:color="auto"/>
      </w:divBdr>
    </w:div>
    <w:div w:id="31392554">
      <w:bodyDiv w:val="1"/>
      <w:marLeft w:val="0"/>
      <w:marRight w:val="0"/>
      <w:marTop w:val="0"/>
      <w:marBottom w:val="0"/>
      <w:divBdr>
        <w:top w:val="none" w:sz="0" w:space="0" w:color="auto"/>
        <w:left w:val="none" w:sz="0" w:space="0" w:color="auto"/>
        <w:bottom w:val="none" w:sz="0" w:space="0" w:color="auto"/>
        <w:right w:val="none" w:sz="0" w:space="0" w:color="auto"/>
      </w:divBdr>
    </w:div>
    <w:div w:id="36399225">
      <w:bodyDiv w:val="1"/>
      <w:marLeft w:val="0"/>
      <w:marRight w:val="0"/>
      <w:marTop w:val="0"/>
      <w:marBottom w:val="0"/>
      <w:divBdr>
        <w:top w:val="none" w:sz="0" w:space="0" w:color="auto"/>
        <w:left w:val="none" w:sz="0" w:space="0" w:color="auto"/>
        <w:bottom w:val="none" w:sz="0" w:space="0" w:color="auto"/>
        <w:right w:val="none" w:sz="0" w:space="0" w:color="auto"/>
      </w:divBdr>
    </w:div>
    <w:div w:id="39941715">
      <w:bodyDiv w:val="1"/>
      <w:marLeft w:val="0"/>
      <w:marRight w:val="0"/>
      <w:marTop w:val="0"/>
      <w:marBottom w:val="0"/>
      <w:divBdr>
        <w:top w:val="none" w:sz="0" w:space="0" w:color="auto"/>
        <w:left w:val="none" w:sz="0" w:space="0" w:color="auto"/>
        <w:bottom w:val="none" w:sz="0" w:space="0" w:color="auto"/>
        <w:right w:val="none" w:sz="0" w:space="0" w:color="auto"/>
      </w:divBdr>
    </w:div>
    <w:div w:id="41102392">
      <w:bodyDiv w:val="1"/>
      <w:marLeft w:val="0"/>
      <w:marRight w:val="0"/>
      <w:marTop w:val="0"/>
      <w:marBottom w:val="0"/>
      <w:divBdr>
        <w:top w:val="none" w:sz="0" w:space="0" w:color="auto"/>
        <w:left w:val="none" w:sz="0" w:space="0" w:color="auto"/>
        <w:bottom w:val="none" w:sz="0" w:space="0" w:color="auto"/>
        <w:right w:val="none" w:sz="0" w:space="0" w:color="auto"/>
      </w:divBdr>
    </w:div>
    <w:div w:id="143471186">
      <w:bodyDiv w:val="1"/>
      <w:marLeft w:val="0"/>
      <w:marRight w:val="0"/>
      <w:marTop w:val="0"/>
      <w:marBottom w:val="0"/>
      <w:divBdr>
        <w:top w:val="none" w:sz="0" w:space="0" w:color="auto"/>
        <w:left w:val="none" w:sz="0" w:space="0" w:color="auto"/>
        <w:bottom w:val="none" w:sz="0" w:space="0" w:color="auto"/>
        <w:right w:val="none" w:sz="0" w:space="0" w:color="auto"/>
      </w:divBdr>
    </w:div>
    <w:div w:id="152649746">
      <w:bodyDiv w:val="1"/>
      <w:marLeft w:val="0"/>
      <w:marRight w:val="0"/>
      <w:marTop w:val="0"/>
      <w:marBottom w:val="0"/>
      <w:divBdr>
        <w:top w:val="none" w:sz="0" w:space="0" w:color="auto"/>
        <w:left w:val="none" w:sz="0" w:space="0" w:color="auto"/>
        <w:bottom w:val="none" w:sz="0" w:space="0" w:color="auto"/>
        <w:right w:val="none" w:sz="0" w:space="0" w:color="auto"/>
      </w:divBdr>
    </w:div>
    <w:div w:id="166408552">
      <w:bodyDiv w:val="1"/>
      <w:marLeft w:val="0"/>
      <w:marRight w:val="0"/>
      <w:marTop w:val="0"/>
      <w:marBottom w:val="0"/>
      <w:divBdr>
        <w:top w:val="none" w:sz="0" w:space="0" w:color="auto"/>
        <w:left w:val="none" w:sz="0" w:space="0" w:color="auto"/>
        <w:bottom w:val="none" w:sz="0" w:space="0" w:color="auto"/>
        <w:right w:val="none" w:sz="0" w:space="0" w:color="auto"/>
      </w:divBdr>
    </w:div>
    <w:div w:id="176776896">
      <w:bodyDiv w:val="1"/>
      <w:marLeft w:val="0"/>
      <w:marRight w:val="0"/>
      <w:marTop w:val="0"/>
      <w:marBottom w:val="0"/>
      <w:divBdr>
        <w:top w:val="none" w:sz="0" w:space="0" w:color="auto"/>
        <w:left w:val="none" w:sz="0" w:space="0" w:color="auto"/>
        <w:bottom w:val="none" w:sz="0" w:space="0" w:color="auto"/>
        <w:right w:val="none" w:sz="0" w:space="0" w:color="auto"/>
      </w:divBdr>
    </w:div>
    <w:div w:id="180516598">
      <w:bodyDiv w:val="1"/>
      <w:marLeft w:val="0"/>
      <w:marRight w:val="0"/>
      <w:marTop w:val="0"/>
      <w:marBottom w:val="0"/>
      <w:divBdr>
        <w:top w:val="none" w:sz="0" w:space="0" w:color="auto"/>
        <w:left w:val="none" w:sz="0" w:space="0" w:color="auto"/>
        <w:bottom w:val="none" w:sz="0" w:space="0" w:color="auto"/>
        <w:right w:val="none" w:sz="0" w:space="0" w:color="auto"/>
      </w:divBdr>
    </w:div>
    <w:div w:id="185799094">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210267595">
      <w:bodyDiv w:val="1"/>
      <w:marLeft w:val="0"/>
      <w:marRight w:val="0"/>
      <w:marTop w:val="0"/>
      <w:marBottom w:val="0"/>
      <w:divBdr>
        <w:top w:val="none" w:sz="0" w:space="0" w:color="auto"/>
        <w:left w:val="none" w:sz="0" w:space="0" w:color="auto"/>
        <w:bottom w:val="none" w:sz="0" w:space="0" w:color="auto"/>
        <w:right w:val="none" w:sz="0" w:space="0" w:color="auto"/>
      </w:divBdr>
      <w:divsChild>
        <w:div w:id="575165736">
          <w:marLeft w:val="0"/>
          <w:marRight w:val="0"/>
          <w:marTop w:val="0"/>
          <w:marBottom w:val="0"/>
          <w:divBdr>
            <w:top w:val="single" w:sz="2" w:space="0" w:color="E5E7EB"/>
            <w:left w:val="single" w:sz="2" w:space="0" w:color="E5E7EB"/>
            <w:bottom w:val="single" w:sz="2" w:space="0" w:color="E5E7EB"/>
            <w:right w:val="single" w:sz="2" w:space="0" w:color="E5E7EB"/>
          </w:divBdr>
        </w:div>
        <w:div w:id="1955017806">
          <w:marLeft w:val="0"/>
          <w:marRight w:val="0"/>
          <w:marTop w:val="0"/>
          <w:marBottom w:val="0"/>
          <w:divBdr>
            <w:top w:val="single" w:sz="2" w:space="0" w:color="E5E7EB"/>
            <w:left w:val="single" w:sz="2" w:space="0" w:color="E5E7EB"/>
            <w:bottom w:val="single" w:sz="2" w:space="0" w:color="E5E7EB"/>
            <w:right w:val="single" w:sz="2" w:space="0" w:color="E5E7EB"/>
          </w:divBdr>
        </w:div>
        <w:div w:id="738135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501168">
      <w:bodyDiv w:val="1"/>
      <w:marLeft w:val="0"/>
      <w:marRight w:val="0"/>
      <w:marTop w:val="0"/>
      <w:marBottom w:val="0"/>
      <w:divBdr>
        <w:top w:val="none" w:sz="0" w:space="0" w:color="auto"/>
        <w:left w:val="none" w:sz="0" w:space="0" w:color="auto"/>
        <w:bottom w:val="none" w:sz="0" w:space="0" w:color="auto"/>
        <w:right w:val="none" w:sz="0" w:space="0" w:color="auto"/>
      </w:divBdr>
    </w:div>
    <w:div w:id="238180420">
      <w:bodyDiv w:val="1"/>
      <w:marLeft w:val="0"/>
      <w:marRight w:val="0"/>
      <w:marTop w:val="0"/>
      <w:marBottom w:val="0"/>
      <w:divBdr>
        <w:top w:val="none" w:sz="0" w:space="0" w:color="auto"/>
        <w:left w:val="none" w:sz="0" w:space="0" w:color="auto"/>
        <w:bottom w:val="none" w:sz="0" w:space="0" w:color="auto"/>
        <w:right w:val="none" w:sz="0" w:space="0" w:color="auto"/>
      </w:divBdr>
    </w:div>
    <w:div w:id="244802737">
      <w:bodyDiv w:val="1"/>
      <w:marLeft w:val="0"/>
      <w:marRight w:val="0"/>
      <w:marTop w:val="0"/>
      <w:marBottom w:val="0"/>
      <w:divBdr>
        <w:top w:val="none" w:sz="0" w:space="0" w:color="auto"/>
        <w:left w:val="none" w:sz="0" w:space="0" w:color="auto"/>
        <w:bottom w:val="none" w:sz="0" w:space="0" w:color="auto"/>
        <w:right w:val="none" w:sz="0" w:space="0" w:color="auto"/>
      </w:divBdr>
    </w:div>
    <w:div w:id="265189768">
      <w:bodyDiv w:val="1"/>
      <w:marLeft w:val="0"/>
      <w:marRight w:val="0"/>
      <w:marTop w:val="0"/>
      <w:marBottom w:val="0"/>
      <w:divBdr>
        <w:top w:val="none" w:sz="0" w:space="0" w:color="auto"/>
        <w:left w:val="none" w:sz="0" w:space="0" w:color="auto"/>
        <w:bottom w:val="none" w:sz="0" w:space="0" w:color="auto"/>
        <w:right w:val="none" w:sz="0" w:space="0" w:color="auto"/>
      </w:divBdr>
    </w:div>
    <w:div w:id="288442286">
      <w:bodyDiv w:val="1"/>
      <w:marLeft w:val="0"/>
      <w:marRight w:val="0"/>
      <w:marTop w:val="0"/>
      <w:marBottom w:val="0"/>
      <w:divBdr>
        <w:top w:val="none" w:sz="0" w:space="0" w:color="auto"/>
        <w:left w:val="none" w:sz="0" w:space="0" w:color="auto"/>
        <w:bottom w:val="none" w:sz="0" w:space="0" w:color="auto"/>
        <w:right w:val="none" w:sz="0" w:space="0" w:color="auto"/>
      </w:divBdr>
    </w:div>
    <w:div w:id="310599402">
      <w:bodyDiv w:val="1"/>
      <w:marLeft w:val="0"/>
      <w:marRight w:val="0"/>
      <w:marTop w:val="0"/>
      <w:marBottom w:val="0"/>
      <w:divBdr>
        <w:top w:val="none" w:sz="0" w:space="0" w:color="auto"/>
        <w:left w:val="none" w:sz="0" w:space="0" w:color="auto"/>
        <w:bottom w:val="none" w:sz="0" w:space="0" w:color="auto"/>
        <w:right w:val="none" w:sz="0" w:space="0" w:color="auto"/>
      </w:divBdr>
    </w:div>
    <w:div w:id="326400483">
      <w:bodyDiv w:val="1"/>
      <w:marLeft w:val="0"/>
      <w:marRight w:val="0"/>
      <w:marTop w:val="0"/>
      <w:marBottom w:val="0"/>
      <w:divBdr>
        <w:top w:val="none" w:sz="0" w:space="0" w:color="auto"/>
        <w:left w:val="none" w:sz="0" w:space="0" w:color="auto"/>
        <w:bottom w:val="none" w:sz="0" w:space="0" w:color="auto"/>
        <w:right w:val="none" w:sz="0" w:space="0" w:color="auto"/>
      </w:divBdr>
    </w:div>
    <w:div w:id="352532432">
      <w:bodyDiv w:val="1"/>
      <w:marLeft w:val="0"/>
      <w:marRight w:val="0"/>
      <w:marTop w:val="0"/>
      <w:marBottom w:val="0"/>
      <w:divBdr>
        <w:top w:val="none" w:sz="0" w:space="0" w:color="auto"/>
        <w:left w:val="none" w:sz="0" w:space="0" w:color="auto"/>
        <w:bottom w:val="none" w:sz="0" w:space="0" w:color="auto"/>
        <w:right w:val="none" w:sz="0" w:space="0" w:color="auto"/>
      </w:divBdr>
    </w:div>
    <w:div w:id="353532400">
      <w:bodyDiv w:val="1"/>
      <w:marLeft w:val="0"/>
      <w:marRight w:val="0"/>
      <w:marTop w:val="0"/>
      <w:marBottom w:val="0"/>
      <w:divBdr>
        <w:top w:val="none" w:sz="0" w:space="0" w:color="auto"/>
        <w:left w:val="none" w:sz="0" w:space="0" w:color="auto"/>
        <w:bottom w:val="none" w:sz="0" w:space="0" w:color="auto"/>
        <w:right w:val="none" w:sz="0" w:space="0" w:color="auto"/>
      </w:divBdr>
    </w:div>
    <w:div w:id="378281976">
      <w:bodyDiv w:val="1"/>
      <w:marLeft w:val="0"/>
      <w:marRight w:val="0"/>
      <w:marTop w:val="0"/>
      <w:marBottom w:val="0"/>
      <w:divBdr>
        <w:top w:val="none" w:sz="0" w:space="0" w:color="auto"/>
        <w:left w:val="none" w:sz="0" w:space="0" w:color="auto"/>
        <w:bottom w:val="none" w:sz="0" w:space="0" w:color="auto"/>
        <w:right w:val="none" w:sz="0" w:space="0" w:color="auto"/>
      </w:divBdr>
    </w:div>
    <w:div w:id="406927430">
      <w:bodyDiv w:val="1"/>
      <w:marLeft w:val="0"/>
      <w:marRight w:val="0"/>
      <w:marTop w:val="0"/>
      <w:marBottom w:val="0"/>
      <w:divBdr>
        <w:top w:val="none" w:sz="0" w:space="0" w:color="auto"/>
        <w:left w:val="none" w:sz="0" w:space="0" w:color="auto"/>
        <w:bottom w:val="none" w:sz="0" w:space="0" w:color="auto"/>
        <w:right w:val="none" w:sz="0" w:space="0" w:color="auto"/>
      </w:divBdr>
    </w:div>
    <w:div w:id="458575049">
      <w:bodyDiv w:val="1"/>
      <w:marLeft w:val="0"/>
      <w:marRight w:val="0"/>
      <w:marTop w:val="0"/>
      <w:marBottom w:val="0"/>
      <w:divBdr>
        <w:top w:val="none" w:sz="0" w:space="0" w:color="auto"/>
        <w:left w:val="none" w:sz="0" w:space="0" w:color="auto"/>
        <w:bottom w:val="none" w:sz="0" w:space="0" w:color="auto"/>
        <w:right w:val="none" w:sz="0" w:space="0" w:color="auto"/>
      </w:divBdr>
    </w:div>
    <w:div w:id="466826907">
      <w:bodyDiv w:val="1"/>
      <w:marLeft w:val="0"/>
      <w:marRight w:val="0"/>
      <w:marTop w:val="0"/>
      <w:marBottom w:val="0"/>
      <w:divBdr>
        <w:top w:val="none" w:sz="0" w:space="0" w:color="auto"/>
        <w:left w:val="none" w:sz="0" w:space="0" w:color="auto"/>
        <w:bottom w:val="none" w:sz="0" w:space="0" w:color="auto"/>
        <w:right w:val="none" w:sz="0" w:space="0" w:color="auto"/>
      </w:divBdr>
      <w:divsChild>
        <w:div w:id="1781103323">
          <w:marLeft w:val="0"/>
          <w:marRight w:val="0"/>
          <w:marTop w:val="0"/>
          <w:marBottom w:val="0"/>
          <w:divBdr>
            <w:top w:val="single" w:sz="2" w:space="0" w:color="E5E7EB"/>
            <w:left w:val="single" w:sz="2" w:space="0" w:color="E5E7EB"/>
            <w:bottom w:val="single" w:sz="2" w:space="0" w:color="E5E7EB"/>
            <w:right w:val="single" w:sz="2" w:space="0" w:color="E5E7EB"/>
          </w:divBdr>
        </w:div>
        <w:div w:id="1119179427">
          <w:marLeft w:val="0"/>
          <w:marRight w:val="0"/>
          <w:marTop w:val="0"/>
          <w:marBottom w:val="0"/>
          <w:divBdr>
            <w:top w:val="single" w:sz="2" w:space="0" w:color="E5E7EB"/>
            <w:left w:val="single" w:sz="2" w:space="0" w:color="E5E7EB"/>
            <w:bottom w:val="single" w:sz="2" w:space="0" w:color="E5E7EB"/>
            <w:right w:val="single" w:sz="2" w:space="0" w:color="E5E7EB"/>
          </w:divBdr>
        </w:div>
        <w:div w:id="1510095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116748">
      <w:bodyDiv w:val="1"/>
      <w:marLeft w:val="0"/>
      <w:marRight w:val="0"/>
      <w:marTop w:val="0"/>
      <w:marBottom w:val="0"/>
      <w:divBdr>
        <w:top w:val="none" w:sz="0" w:space="0" w:color="auto"/>
        <w:left w:val="none" w:sz="0" w:space="0" w:color="auto"/>
        <w:bottom w:val="none" w:sz="0" w:space="0" w:color="auto"/>
        <w:right w:val="none" w:sz="0" w:space="0" w:color="auto"/>
      </w:divBdr>
    </w:div>
    <w:div w:id="486098489">
      <w:bodyDiv w:val="1"/>
      <w:marLeft w:val="0"/>
      <w:marRight w:val="0"/>
      <w:marTop w:val="0"/>
      <w:marBottom w:val="0"/>
      <w:divBdr>
        <w:top w:val="none" w:sz="0" w:space="0" w:color="auto"/>
        <w:left w:val="none" w:sz="0" w:space="0" w:color="auto"/>
        <w:bottom w:val="none" w:sz="0" w:space="0" w:color="auto"/>
        <w:right w:val="none" w:sz="0" w:space="0" w:color="auto"/>
      </w:divBdr>
    </w:div>
    <w:div w:id="533084626">
      <w:bodyDiv w:val="1"/>
      <w:marLeft w:val="0"/>
      <w:marRight w:val="0"/>
      <w:marTop w:val="0"/>
      <w:marBottom w:val="0"/>
      <w:divBdr>
        <w:top w:val="none" w:sz="0" w:space="0" w:color="auto"/>
        <w:left w:val="none" w:sz="0" w:space="0" w:color="auto"/>
        <w:bottom w:val="none" w:sz="0" w:space="0" w:color="auto"/>
        <w:right w:val="none" w:sz="0" w:space="0" w:color="auto"/>
      </w:divBdr>
    </w:div>
    <w:div w:id="543249153">
      <w:bodyDiv w:val="1"/>
      <w:marLeft w:val="0"/>
      <w:marRight w:val="0"/>
      <w:marTop w:val="0"/>
      <w:marBottom w:val="0"/>
      <w:divBdr>
        <w:top w:val="none" w:sz="0" w:space="0" w:color="auto"/>
        <w:left w:val="none" w:sz="0" w:space="0" w:color="auto"/>
        <w:bottom w:val="none" w:sz="0" w:space="0" w:color="auto"/>
        <w:right w:val="none" w:sz="0" w:space="0" w:color="auto"/>
      </w:divBdr>
    </w:div>
    <w:div w:id="550044522">
      <w:bodyDiv w:val="1"/>
      <w:marLeft w:val="0"/>
      <w:marRight w:val="0"/>
      <w:marTop w:val="0"/>
      <w:marBottom w:val="0"/>
      <w:divBdr>
        <w:top w:val="none" w:sz="0" w:space="0" w:color="auto"/>
        <w:left w:val="none" w:sz="0" w:space="0" w:color="auto"/>
        <w:bottom w:val="none" w:sz="0" w:space="0" w:color="auto"/>
        <w:right w:val="none" w:sz="0" w:space="0" w:color="auto"/>
      </w:divBdr>
    </w:div>
    <w:div w:id="550194236">
      <w:bodyDiv w:val="1"/>
      <w:marLeft w:val="0"/>
      <w:marRight w:val="0"/>
      <w:marTop w:val="0"/>
      <w:marBottom w:val="0"/>
      <w:divBdr>
        <w:top w:val="none" w:sz="0" w:space="0" w:color="auto"/>
        <w:left w:val="none" w:sz="0" w:space="0" w:color="auto"/>
        <w:bottom w:val="none" w:sz="0" w:space="0" w:color="auto"/>
        <w:right w:val="none" w:sz="0" w:space="0" w:color="auto"/>
      </w:divBdr>
    </w:div>
    <w:div w:id="573243684">
      <w:bodyDiv w:val="1"/>
      <w:marLeft w:val="0"/>
      <w:marRight w:val="0"/>
      <w:marTop w:val="0"/>
      <w:marBottom w:val="0"/>
      <w:divBdr>
        <w:top w:val="none" w:sz="0" w:space="0" w:color="auto"/>
        <w:left w:val="none" w:sz="0" w:space="0" w:color="auto"/>
        <w:bottom w:val="none" w:sz="0" w:space="0" w:color="auto"/>
        <w:right w:val="none" w:sz="0" w:space="0" w:color="auto"/>
      </w:divBdr>
    </w:div>
    <w:div w:id="624428229">
      <w:bodyDiv w:val="1"/>
      <w:marLeft w:val="0"/>
      <w:marRight w:val="0"/>
      <w:marTop w:val="0"/>
      <w:marBottom w:val="0"/>
      <w:divBdr>
        <w:top w:val="none" w:sz="0" w:space="0" w:color="auto"/>
        <w:left w:val="none" w:sz="0" w:space="0" w:color="auto"/>
        <w:bottom w:val="none" w:sz="0" w:space="0" w:color="auto"/>
        <w:right w:val="none" w:sz="0" w:space="0" w:color="auto"/>
      </w:divBdr>
    </w:div>
    <w:div w:id="630284097">
      <w:bodyDiv w:val="1"/>
      <w:marLeft w:val="0"/>
      <w:marRight w:val="0"/>
      <w:marTop w:val="0"/>
      <w:marBottom w:val="0"/>
      <w:divBdr>
        <w:top w:val="none" w:sz="0" w:space="0" w:color="auto"/>
        <w:left w:val="none" w:sz="0" w:space="0" w:color="auto"/>
        <w:bottom w:val="none" w:sz="0" w:space="0" w:color="auto"/>
        <w:right w:val="none" w:sz="0" w:space="0" w:color="auto"/>
      </w:divBdr>
    </w:div>
    <w:div w:id="650015684">
      <w:bodyDiv w:val="1"/>
      <w:marLeft w:val="0"/>
      <w:marRight w:val="0"/>
      <w:marTop w:val="0"/>
      <w:marBottom w:val="0"/>
      <w:divBdr>
        <w:top w:val="none" w:sz="0" w:space="0" w:color="auto"/>
        <w:left w:val="none" w:sz="0" w:space="0" w:color="auto"/>
        <w:bottom w:val="none" w:sz="0" w:space="0" w:color="auto"/>
        <w:right w:val="none" w:sz="0" w:space="0" w:color="auto"/>
      </w:divBdr>
    </w:div>
    <w:div w:id="654643900">
      <w:bodyDiv w:val="1"/>
      <w:marLeft w:val="0"/>
      <w:marRight w:val="0"/>
      <w:marTop w:val="0"/>
      <w:marBottom w:val="0"/>
      <w:divBdr>
        <w:top w:val="none" w:sz="0" w:space="0" w:color="auto"/>
        <w:left w:val="none" w:sz="0" w:space="0" w:color="auto"/>
        <w:bottom w:val="none" w:sz="0" w:space="0" w:color="auto"/>
        <w:right w:val="none" w:sz="0" w:space="0" w:color="auto"/>
      </w:divBdr>
    </w:div>
    <w:div w:id="660695804">
      <w:bodyDiv w:val="1"/>
      <w:marLeft w:val="0"/>
      <w:marRight w:val="0"/>
      <w:marTop w:val="0"/>
      <w:marBottom w:val="0"/>
      <w:divBdr>
        <w:top w:val="none" w:sz="0" w:space="0" w:color="auto"/>
        <w:left w:val="none" w:sz="0" w:space="0" w:color="auto"/>
        <w:bottom w:val="none" w:sz="0" w:space="0" w:color="auto"/>
        <w:right w:val="none" w:sz="0" w:space="0" w:color="auto"/>
      </w:divBdr>
    </w:div>
    <w:div w:id="664211049">
      <w:bodyDiv w:val="1"/>
      <w:marLeft w:val="0"/>
      <w:marRight w:val="0"/>
      <w:marTop w:val="0"/>
      <w:marBottom w:val="0"/>
      <w:divBdr>
        <w:top w:val="none" w:sz="0" w:space="0" w:color="auto"/>
        <w:left w:val="none" w:sz="0" w:space="0" w:color="auto"/>
        <w:bottom w:val="none" w:sz="0" w:space="0" w:color="auto"/>
        <w:right w:val="none" w:sz="0" w:space="0" w:color="auto"/>
      </w:divBdr>
    </w:div>
    <w:div w:id="740710608">
      <w:bodyDiv w:val="1"/>
      <w:marLeft w:val="0"/>
      <w:marRight w:val="0"/>
      <w:marTop w:val="0"/>
      <w:marBottom w:val="0"/>
      <w:divBdr>
        <w:top w:val="none" w:sz="0" w:space="0" w:color="auto"/>
        <w:left w:val="none" w:sz="0" w:space="0" w:color="auto"/>
        <w:bottom w:val="none" w:sz="0" w:space="0" w:color="auto"/>
        <w:right w:val="none" w:sz="0" w:space="0" w:color="auto"/>
      </w:divBdr>
    </w:div>
    <w:div w:id="772819236">
      <w:bodyDiv w:val="1"/>
      <w:marLeft w:val="0"/>
      <w:marRight w:val="0"/>
      <w:marTop w:val="0"/>
      <w:marBottom w:val="0"/>
      <w:divBdr>
        <w:top w:val="none" w:sz="0" w:space="0" w:color="auto"/>
        <w:left w:val="none" w:sz="0" w:space="0" w:color="auto"/>
        <w:bottom w:val="none" w:sz="0" w:space="0" w:color="auto"/>
        <w:right w:val="none" w:sz="0" w:space="0" w:color="auto"/>
      </w:divBdr>
    </w:div>
    <w:div w:id="810515911">
      <w:bodyDiv w:val="1"/>
      <w:marLeft w:val="0"/>
      <w:marRight w:val="0"/>
      <w:marTop w:val="0"/>
      <w:marBottom w:val="0"/>
      <w:divBdr>
        <w:top w:val="none" w:sz="0" w:space="0" w:color="auto"/>
        <w:left w:val="none" w:sz="0" w:space="0" w:color="auto"/>
        <w:bottom w:val="none" w:sz="0" w:space="0" w:color="auto"/>
        <w:right w:val="none" w:sz="0" w:space="0" w:color="auto"/>
      </w:divBdr>
    </w:div>
    <w:div w:id="896161414">
      <w:bodyDiv w:val="1"/>
      <w:marLeft w:val="0"/>
      <w:marRight w:val="0"/>
      <w:marTop w:val="0"/>
      <w:marBottom w:val="0"/>
      <w:divBdr>
        <w:top w:val="none" w:sz="0" w:space="0" w:color="auto"/>
        <w:left w:val="none" w:sz="0" w:space="0" w:color="auto"/>
        <w:bottom w:val="none" w:sz="0" w:space="0" w:color="auto"/>
        <w:right w:val="none" w:sz="0" w:space="0" w:color="auto"/>
      </w:divBdr>
    </w:div>
    <w:div w:id="958685243">
      <w:bodyDiv w:val="1"/>
      <w:marLeft w:val="0"/>
      <w:marRight w:val="0"/>
      <w:marTop w:val="0"/>
      <w:marBottom w:val="0"/>
      <w:divBdr>
        <w:top w:val="none" w:sz="0" w:space="0" w:color="auto"/>
        <w:left w:val="none" w:sz="0" w:space="0" w:color="auto"/>
        <w:bottom w:val="none" w:sz="0" w:space="0" w:color="auto"/>
        <w:right w:val="none" w:sz="0" w:space="0" w:color="auto"/>
      </w:divBdr>
    </w:div>
    <w:div w:id="1022516118">
      <w:bodyDiv w:val="1"/>
      <w:marLeft w:val="0"/>
      <w:marRight w:val="0"/>
      <w:marTop w:val="0"/>
      <w:marBottom w:val="0"/>
      <w:divBdr>
        <w:top w:val="none" w:sz="0" w:space="0" w:color="auto"/>
        <w:left w:val="none" w:sz="0" w:space="0" w:color="auto"/>
        <w:bottom w:val="none" w:sz="0" w:space="0" w:color="auto"/>
        <w:right w:val="none" w:sz="0" w:space="0" w:color="auto"/>
      </w:divBdr>
      <w:divsChild>
        <w:div w:id="1098019914">
          <w:marLeft w:val="0"/>
          <w:marRight w:val="0"/>
          <w:marTop w:val="0"/>
          <w:marBottom w:val="0"/>
          <w:divBdr>
            <w:top w:val="single" w:sz="2" w:space="0" w:color="E5E7EB"/>
            <w:left w:val="single" w:sz="2" w:space="0" w:color="E5E7EB"/>
            <w:bottom w:val="single" w:sz="2" w:space="0" w:color="E5E7EB"/>
            <w:right w:val="single" w:sz="2" w:space="0" w:color="E5E7EB"/>
          </w:divBdr>
        </w:div>
        <w:div w:id="1852454271">
          <w:marLeft w:val="0"/>
          <w:marRight w:val="0"/>
          <w:marTop w:val="0"/>
          <w:marBottom w:val="0"/>
          <w:divBdr>
            <w:top w:val="single" w:sz="2" w:space="0" w:color="E5E7EB"/>
            <w:left w:val="single" w:sz="2" w:space="0" w:color="E5E7EB"/>
            <w:bottom w:val="single" w:sz="2" w:space="0" w:color="E5E7EB"/>
            <w:right w:val="single" w:sz="2" w:space="0" w:color="E5E7EB"/>
          </w:divBdr>
        </w:div>
        <w:div w:id="1573932275">
          <w:marLeft w:val="0"/>
          <w:marRight w:val="0"/>
          <w:marTop w:val="0"/>
          <w:marBottom w:val="0"/>
          <w:divBdr>
            <w:top w:val="single" w:sz="2" w:space="0" w:color="E5E7EB"/>
            <w:left w:val="single" w:sz="2" w:space="0" w:color="E5E7EB"/>
            <w:bottom w:val="single" w:sz="2" w:space="0" w:color="E5E7EB"/>
            <w:right w:val="single" w:sz="2" w:space="0" w:color="E5E7EB"/>
          </w:divBdr>
        </w:div>
        <w:div w:id="351759117">
          <w:marLeft w:val="0"/>
          <w:marRight w:val="0"/>
          <w:marTop w:val="0"/>
          <w:marBottom w:val="0"/>
          <w:divBdr>
            <w:top w:val="single" w:sz="2" w:space="0" w:color="E5E7EB"/>
            <w:left w:val="single" w:sz="2" w:space="0" w:color="E5E7EB"/>
            <w:bottom w:val="single" w:sz="2" w:space="0" w:color="E5E7EB"/>
            <w:right w:val="single" w:sz="2" w:space="0" w:color="E5E7EB"/>
          </w:divBdr>
        </w:div>
        <w:div w:id="17034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418436">
      <w:bodyDiv w:val="1"/>
      <w:marLeft w:val="0"/>
      <w:marRight w:val="0"/>
      <w:marTop w:val="0"/>
      <w:marBottom w:val="0"/>
      <w:divBdr>
        <w:top w:val="none" w:sz="0" w:space="0" w:color="auto"/>
        <w:left w:val="none" w:sz="0" w:space="0" w:color="auto"/>
        <w:bottom w:val="none" w:sz="0" w:space="0" w:color="auto"/>
        <w:right w:val="none" w:sz="0" w:space="0" w:color="auto"/>
      </w:divBdr>
    </w:div>
    <w:div w:id="1099057977">
      <w:bodyDiv w:val="1"/>
      <w:marLeft w:val="0"/>
      <w:marRight w:val="0"/>
      <w:marTop w:val="0"/>
      <w:marBottom w:val="0"/>
      <w:divBdr>
        <w:top w:val="none" w:sz="0" w:space="0" w:color="auto"/>
        <w:left w:val="none" w:sz="0" w:space="0" w:color="auto"/>
        <w:bottom w:val="none" w:sz="0" w:space="0" w:color="auto"/>
        <w:right w:val="none" w:sz="0" w:space="0" w:color="auto"/>
      </w:divBdr>
    </w:div>
    <w:div w:id="1102528635">
      <w:bodyDiv w:val="1"/>
      <w:marLeft w:val="0"/>
      <w:marRight w:val="0"/>
      <w:marTop w:val="0"/>
      <w:marBottom w:val="0"/>
      <w:divBdr>
        <w:top w:val="none" w:sz="0" w:space="0" w:color="auto"/>
        <w:left w:val="none" w:sz="0" w:space="0" w:color="auto"/>
        <w:bottom w:val="none" w:sz="0" w:space="0" w:color="auto"/>
        <w:right w:val="none" w:sz="0" w:space="0" w:color="auto"/>
      </w:divBdr>
    </w:div>
    <w:div w:id="1158309155">
      <w:bodyDiv w:val="1"/>
      <w:marLeft w:val="0"/>
      <w:marRight w:val="0"/>
      <w:marTop w:val="0"/>
      <w:marBottom w:val="0"/>
      <w:divBdr>
        <w:top w:val="none" w:sz="0" w:space="0" w:color="auto"/>
        <w:left w:val="none" w:sz="0" w:space="0" w:color="auto"/>
        <w:bottom w:val="none" w:sz="0" w:space="0" w:color="auto"/>
        <w:right w:val="none" w:sz="0" w:space="0" w:color="auto"/>
      </w:divBdr>
    </w:div>
    <w:div w:id="1191603634">
      <w:bodyDiv w:val="1"/>
      <w:marLeft w:val="0"/>
      <w:marRight w:val="0"/>
      <w:marTop w:val="0"/>
      <w:marBottom w:val="0"/>
      <w:divBdr>
        <w:top w:val="none" w:sz="0" w:space="0" w:color="auto"/>
        <w:left w:val="none" w:sz="0" w:space="0" w:color="auto"/>
        <w:bottom w:val="none" w:sz="0" w:space="0" w:color="auto"/>
        <w:right w:val="none" w:sz="0" w:space="0" w:color="auto"/>
      </w:divBdr>
    </w:div>
    <w:div w:id="1197547099">
      <w:bodyDiv w:val="1"/>
      <w:marLeft w:val="0"/>
      <w:marRight w:val="0"/>
      <w:marTop w:val="0"/>
      <w:marBottom w:val="0"/>
      <w:divBdr>
        <w:top w:val="none" w:sz="0" w:space="0" w:color="auto"/>
        <w:left w:val="none" w:sz="0" w:space="0" w:color="auto"/>
        <w:bottom w:val="none" w:sz="0" w:space="0" w:color="auto"/>
        <w:right w:val="none" w:sz="0" w:space="0" w:color="auto"/>
      </w:divBdr>
    </w:div>
    <w:div w:id="1207256444">
      <w:bodyDiv w:val="1"/>
      <w:marLeft w:val="0"/>
      <w:marRight w:val="0"/>
      <w:marTop w:val="0"/>
      <w:marBottom w:val="0"/>
      <w:divBdr>
        <w:top w:val="none" w:sz="0" w:space="0" w:color="auto"/>
        <w:left w:val="none" w:sz="0" w:space="0" w:color="auto"/>
        <w:bottom w:val="none" w:sz="0" w:space="0" w:color="auto"/>
        <w:right w:val="none" w:sz="0" w:space="0" w:color="auto"/>
      </w:divBdr>
    </w:div>
    <w:div w:id="1219826497">
      <w:bodyDiv w:val="1"/>
      <w:marLeft w:val="0"/>
      <w:marRight w:val="0"/>
      <w:marTop w:val="0"/>
      <w:marBottom w:val="0"/>
      <w:divBdr>
        <w:top w:val="none" w:sz="0" w:space="0" w:color="auto"/>
        <w:left w:val="none" w:sz="0" w:space="0" w:color="auto"/>
        <w:bottom w:val="none" w:sz="0" w:space="0" w:color="auto"/>
        <w:right w:val="none" w:sz="0" w:space="0" w:color="auto"/>
      </w:divBdr>
      <w:divsChild>
        <w:div w:id="120922270">
          <w:marLeft w:val="0"/>
          <w:marRight w:val="0"/>
          <w:marTop w:val="0"/>
          <w:marBottom w:val="0"/>
          <w:divBdr>
            <w:top w:val="single" w:sz="2" w:space="0" w:color="E5E7EB"/>
            <w:left w:val="single" w:sz="2" w:space="0" w:color="E5E7EB"/>
            <w:bottom w:val="single" w:sz="2" w:space="0" w:color="E5E7EB"/>
            <w:right w:val="single" w:sz="2" w:space="0" w:color="E5E7EB"/>
          </w:divBdr>
        </w:div>
        <w:div w:id="1418207613">
          <w:marLeft w:val="0"/>
          <w:marRight w:val="0"/>
          <w:marTop w:val="0"/>
          <w:marBottom w:val="0"/>
          <w:divBdr>
            <w:top w:val="single" w:sz="2" w:space="0" w:color="E5E7EB"/>
            <w:left w:val="single" w:sz="2" w:space="0" w:color="E5E7EB"/>
            <w:bottom w:val="single" w:sz="2" w:space="0" w:color="E5E7EB"/>
            <w:right w:val="single" w:sz="2" w:space="0" w:color="E5E7EB"/>
          </w:divBdr>
        </w:div>
        <w:div w:id="1546212704">
          <w:marLeft w:val="0"/>
          <w:marRight w:val="0"/>
          <w:marTop w:val="0"/>
          <w:marBottom w:val="0"/>
          <w:divBdr>
            <w:top w:val="single" w:sz="2" w:space="0" w:color="E5E7EB"/>
            <w:left w:val="single" w:sz="2" w:space="0" w:color="E5E7EB"/>
            <w:bottom w:val="single" w:sz="2" w:space="0" w:color="E5E7EB"/>
            <w:right w:val="single" w:sz="2" w:space="0" w:color="E5E7EB"/>
          </w:divBdr>
        </w:div>
        <w:div w:id="1565067898">
          <w:marLeft w:val="0"/>
          <w:marRight w:val="0"/>
          <w:marTop w:val="0"/>
          <w:marBottom w:val="0"/>
          <w:divBdr>
            <w:top w:val="single" w:sz="2" w:space="0" w:color="E5E7EB"/>
            <w:left w:val="single" w:sz="2" w:space="0" w:color="E5E7EB"/>
            <w:bottom w:val="single" w:sz="2" w:space="0" w:color="E5E7EB"/>
            <w:right w:val="single" w:sz="2" w:space="0" w:color="E5E7EB"/>
          </w:divBdr>
        </w:div>
        <w:div w:id="2144615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945271">
      <w:bodyDiv w:val="1"/>
      <w:marLeft w:val="0"/>
      <w:marRight w:val="0"/>
      <w:marTop w:val="0"/>
      <w:marBottom w:val="0"/>
      <w:divBdr>
        <w:top w:val="none" w:sz="0" w:space="0" w:color="auto"/>
        <w:left w:val="none" w:sz="0" w:space="0" w:color="auto"/>
        <w:bottom w:val="none" w:sz="0" w:space="0" w:color="auto"/>
        <w:right w:val="none" w:sz="0" w:space="0" w:color="auto"/>
      </w:divBdr>
    </w:div>
    <w:div w:id="1293365738">
      <w:bodyDiv w:val="1"/>
      <w:marLeft w:val="0"/>
      <w:marRight w:val="0"/>
      <w:marTop w:val="0"/>
      <w:marBottom w:val="0"/>
      <w:divBdr>
        <w:top w:val="none" w:sz="0" w:space="0" w:color="auto"/>
        <w:left w:val="none" w:sz="0" w:space="0" w:color="auto"/>
        <w:bottom w:val="none" w:sz="0" w:space="0" w:color="auto"/>
        <w:right w:val="none" w:sz="0" w:space="0" w:color="auto"/>
      </w:divBdr>
    </w:div>
    <w:div w:id="1306617565">
      <w:bodyDiv w:val="1"/>
      <w:marLeft w:val="0"/>
      <w:marRight w:val="0"/>
      <w:marTop w:val="0"/>
      <w:marBottom w:val="0"/>
      <w:divBdr>
        <w:top w:val="none" w:sz="0" w:space="0" w:color="auto"/>
        <w:left w:val="none" w:sz="0" w:space="0" w:color="auto"/>
        <w:bottom w:val="none" w:sz="0" w:space="0" w:color="auto"/>
        <w:right w:val="none" w:sz="0" w:space="0" w:color="auto"/>
      </w:divBdr>
    </w:div>
    <w:div w:id="1335063544">
      <w:bodyDiv w:val="1"/>
      <w:marLeft w:val="0"/>
      <w:marRight w:val="0"/>
      <w:marTop w:val="0"/>
      <w:marBottom w:val="0"/>
      <w:divBdr>
        <w:top w:val="none" w:sz="0" w:space="0" w:color="auto"/>
        <w:left w:val="none" w:sz="0" w:space="0" w:color="auto"/>
        <w:bottom w:val="none" w:sz="0" w:space="0" w:color="auto"/>
        <w:right w:val="none" w:sz="0" w:space="0" w:color="auto"/>
      </w:divBdr>
      <w:divsChild>
        <w:div w:id="1698653891">
          <w:marLeft w:val="0"/>
          <w:marRight w:val="0"/>
          <w:marTop w:val="0"/>
          <w:marBottom w:val="0"/>
          <w:divBdr>
            <w:top w:val="none" w:sz="0" w:space="0" w:color="auto"/>
            <w:left w:val="none" w:sz="0" w:space="0" w:color="auto"/>
            <w:bottom w:val="none" w:sz="0" w:space="0" w:color="auto"/>
            <w:right w:val="none" w:sz="0" w:space="0" w:color="auto"/>
          </w:divBdr>
        </w:div>
        <w:div w:id="1546940202">
          <w:marLeft w:val="0"/>
          <w:marRight w:val="0"/>
          <w:marTop w:val="0"/>
          <w:marBottom w:val="0"/>
          <w:divBdr>
            <w:top w:val="none" w:sz="0" w:space="0" w:color="auto"/>
            <w:left w:val="none" w:sz="0" w:space="0" w:color="auto"/>
            <w:bottom w:val="none" w:sz="0" w:space="0" w:color="auto"/>
            <w:right w:val="none" w:sz="0" w:space="0" w:color="auto"/>
          </w:divBdr>
        </w:div>
        <w:div w:id="1345788511">
          <w:marLeft w:val="0"/>
          <w:marRight w:val="0"/>
          <w:marTop w:val="0"/>
          <w:marBottom w:val="0"/>
          <w:divBdr>
            <w:top w:val="none" w:sz="0" w:space="0" w:color="auto"/>
            <w:left w:val="none" w:sz="0" w:space="0" w:color="auto"/>
            <w:bottom w:val="none" w:sz="0" w:space="0" w:color="auto"/>
            <w:right w:val="none" w:sz="0" w:space="0" w:color="auto"/>
          </w:divBdr>
        </w:div>
      </w:divsChild>
    </w:div>
    <w:div w:id="1339163271">
      <w:bodyDiv w:val="1"/>
      <w:marLeft w:val="0"/>
      <w:marRight w:val="0"/>
      <w:marTop w:val="0"/>
      <w:marBottom w:val="0"/>
      <w:divBdr>
        <w:top w:val="none" w:sz="0" w:space="0" w:color="auto"/>
        <w:left w:val="none" w:sz="0" w:space="0" w:color="auto"/>
        <w:bottom w:val="none" w:sz="0" w:space="0" w:color="auto"/>
        <w:right w:val="none" w:sz="0" w:space="0" w:color="auto"/>
      </w:divBdr>
    </w:div>
    <w:div w:id="1385446193">
      <w:bodyDiv w:val="1"/>
      <w:marLeft w:val="0"/>
      <w:marRight w:val="0"/>
      <w:marTop w:val="0"/>
      <w:marBottom w:val="0"/>
      <w:divBdr>
        <w:top w:val="none" w:sz="0" w:space="0" w:color="auto"/>
        <w:left w:val="none" w:sz="0" w:space="0" w:color="auto"/>
        <w:bottom w:val="none" w:sz="0" w:space="0" w:color="auto"/>
        <w:right w:val="none" w:sz="0" w:space="0" w:color="auto"/>
      </w:divBdr>
    </w:div>
    <w:div w:id="1494175185">
      <w:bodyDiv w:val="1"/>
      <w:marLeft w:val="0"/>
      <w:marRight w:val="0"/>
      <w:marTop w:val="0"/>
      <w:marBottom w:val="0"/>
      <w:divBdr>
        <w:top w:val="none" w:sz="0" w:space="0" w:color="auto"/>
        <w:left w:val="none" w:sz="0" w:space="0" w:color="auto"/>
        <w:bottom w:val="none" w:sz="0" w:space="0" w:color="auto"/>
        <w:right w:val="none" w:sz="0" w:space="0" w:color="auto"/>
      </w:divBdr>
    </w:div>
    <w:div w:id="1522742404">
      <w:bodyDiv w:val="1"/>
      <w:marLeft w:val="0"/>
      <w:marRight w:val="0"/>
      <w:marTop w:val="0"/>
      <w:marBottom w:val="0"/>
      <w:divBdr>
        <w:top w:val="none" w:sz="0" w:space="0" w:color="auto"/>
        <w:left w:val="none" w:sz="0" w:space="0" w:color="auto"/>
        <w:bottom w:val="none" w:sz="0" w:space="0" w:color="auto"/>
        <w:right w:val="none" w:sz="0" w:space="0" w:color="auto"/>
      </w:divBdr>
    </w:div>
    <w:div w:id="1530341002">
      <w:bodyDiv w:val="1"/>
      <w:marLeft w:val="0"/>
      <w:marRight w:val="0"/>
      <w:marTop w:val="0"/>
      <w:marBottom w:val="0"/>
      <w:divBdr>
        <w:top w:val="none" w:sz="0" w:space="0" w:color="auto"/>
        <w:left w:val="none" w:sz="0" w:space="0" w:color="auto"/>
        <w:bottom w:val="none" w:sz="0" w:space="0" w:color="auto"/>
        <w:right w:val="none" w:sz="0" w:space="0" w:color="auto"/>
      </w:divBdr>
    </w:div>
    <w:div w:id="1579710469">
      <w:bodyDiv w:val="1"/>
      <w:marLeft w:val="0"/>
      <w:marRight w:val="0"/>
      <w:marTop w:val="0"/>
      <w:marBottom w:val="0"/>
      <w:divBdr>
        <w:top w:val="none" w:sz="0" w:space="0" w:color="auto"/>
        <w:left w:val="none" w:sz="0" w:space="0" w:color="auto"/>
        <w:bottom w:val="none" w:sz="0" w:space="0" w:color="auto"/>
        <w:right w:val="none" w:sz="0" w:space="0" w:color="auto"/>
      </w:divBdr>
    </w:div>
    <w:div w:id="1620716766">
      <w:bodyDiv w:val="1"/>
      <w:marLeft w:val="0"/>
      <w:marRight w:val="0"/>
      <w:marTop w:val="0"/>
      <w:marBottom w:val="0"/>
      <w:divBdr>
        <w:top w:val="none" w:sz="0" w:space="0" w:color="auto"/>
        <w:left w:val="none" w:sz="0" w:space="0" w:color="auto"/>
        <w:bottom w:val="none" w:sz="0" w:space="0" w:color="auto"/>
        <w:right w:val="none" w:sz="0" w:space="0" w:color="auto"/>
      </w:divBdr>
    </w:div>
    <w:div w:id="1658654110">
      <w:bodyDiv w:val="1"/>
      <w:marLeft w:val="0"/>
      <w:marRight w:val="0"/>
      <w:marTop w:val="0"/>
      <w:marBottom w:val="0"/>
      <w:divBdr>
        <w:top w:val="none" w:sz="0" w:space="0" w:color="auto"/>
        <w:left w:val="none" w:sz="0" w:space="0" w:color="auto"/>
        <w:bottom w:val="none" w:sz="0" w:space="0" w:color="auto"/>
        <w:right w:val="none" w:sz="0" w:space="0" w:color="auto"/>
      </w:divBdr>
    </w:div>
    <w:div w:id="1694764563">
      <w:bodyDiv w:val="1"/>
      <w:marLeft w:val="0"/>
      <w:marRight w:val="0"/>
      <w:marTop w:val="0"/>
      <w:marBottom w:val="0"/>
      <w:divBdr>
        <w:top w:val="none" w:sz="0" w:space="0" w:color="auto"/>
        <w:left w:val="none" w:sz="0" w:space="0" w:color="auto"/>
        <w:bottom w:val="none" w:sz="0" w:space="0" w:color="auto"/>
        <w:right w:val="none" w:sz="0" w:space="0" w:color="auto"/>
      </w:divBdr>
    </w:div>
    <w:div w:id="1754669796">
      <w:bodyDiv w:val="1"/>
      <w:marLeft w:val="0"/>
      <w:marRight w:val="0"/>
      <w:marTop w:val="0"/>
      <w:marBottom w:val="0"/>
      <w:divBdr>
        <w:top w:val="none" w:sz="0" w:space="0" w:color="auto"/>
        <w:left w:val="none" w:sz="0" w:space="0" w:color="auto"/>
        <w:bottom w:val="none" w:sz="0" w:space="0" w:color="auto"/>
        <w:right w:val="none" w:sz="0" w:space="0" w:color="auto"/>
      </w:divBdr>
    </w:div>
    <w:div w:id="1857038630">
      <w:bodyDiv w:val="1"/>
      <w:marLeft w:val="0"/>
      <w:marRight w:val="0"/>
      <w:marTop w:val="0"/>
      <w:marBottom w:val="0"/>
      <w:divBdr>
        <w:top w:val="none" w:sz="0" w:space="0" w:color="auto"/>
        <w:left w:val="none" w:sz="0" w:space="0" w:color="auto"/>
        <w:bottom w:val="none" w:sz="0" w:space="0" w:color="auto"/>
        <w:right w:val="none" w:sz="0" w:space="0" w:color="auto"/>
      </w:divBdr>
    </w:div>
    <w:div w:id="1864131515">
      <w:bodyDiv w:val="1"/>
      <w:marLeft w:val="0"/>
      <w:marRight w:val="0"/>
      <w:marTop w:val="0"/>
      <w:marBottom w:val="0"/>
      <w:divBdr>
        <w:top w:val="none" w:sz="0" w:space="0" w:color="auto"/>
        <w:left w:val="none" w:sz="0" w:space="0" w:color="auto"/>
        <w:bottom w:val="none" w:sz="0" w:space="0" w:color="auto"/>
        <w:right w:val="none" w:sz="0" w:space="0" w:color="auto"/>
      </w:divBdr>
    </w:div>
    <w:div w:id="1909727645">
      <w:bodyDiv w:val="1"/>
      <w:marLeft w:val="0"/>
      <w:marRight w:val="0"/>
      <w:marTop w:val="0"/>
      <w:marBottom w:val="0"/>
      <w:divBdr>
        <w:top w:val="none" w:sz="0" w:space="0" w:color="auto"/>
        <w:left w:val="none" w:sz="0" w:space="0" w:color="auto"/>
        <w:bottom w:val="none" w:sz="0" w:space="0" w:color="auto"/>
        <w:right w:val="none" w:sz="0" w:space="0" w:color="auto"/>
      </w:divBdr>
    </w:div>
    <w:div w:id="1946617092">
      <w:bodyDiv w:val="1"/>
      <w:marLeft w:val="0"/>
      <w:marRight w:val="0"/>
      <w:marTop w:val="0"/>
      <w:marBottom w:val="0"/>
      <w:divBdr>
        <w:top w:val="none" w:sz="0" w:space="0" w:color="auto"/>
        <w:left w:val="none" w:sz="0" w:space="0" w:color="auto"/>
        <w:bottom w:val="none" w:sz="0" w:space="0" w:color="auto"/>
        <w:right w:val="none" w:sz="0" w:space="0" w:color="auto"/>
      </w:divBdr>
    </w:div>
    <w:div w:id="1947419298">
      <w:bodyDiv w:val="1"/>
      <w:marLeft w:val="0"/>
      <w:marRight w:val="0"/>
      <w:marTop w:val="0"/>
      <w:marBottom w:val="0"/>
      <w:divBdr>
        <w:top w:val="none" w:sz="0" w:space="0" w:color="auto"/>
        <w:left w:val="none" w:sz="0" w:space="0" w:color="auto"/>
        <w:bottom w:val="none" w:sz="0" w:space="0" w:color="auto"/>
        <w:right w:val="none" w:sz="0" w:space="0" w:color="auto"/>
      </w:divBdr>
    </w:div>
    <w:div w:id="1985231917">
      <w:bodyDiv w:val="1"/>
      <w:marLeft w:val="0"/>
      <w:marRight w:val="0"/>
      <w:marTop w:val="0"/>
      <w:marBottom w:val="0"/>
      <w:divBdr>
        <w:top w:val="none" w:sz="0" w:space="0" w:color="auto"/>
        <w:left w:val="none" w:sz="0" w:space="0" w:color="auto"/>
        <w:bottom w:val="none" w:sz="0" w:space="0" w:color="auto"/>
        <w:right w:val="none" w:sz="0" w:space="0" w:color="auto"/>
      </w:divBdr>
    </w:div>
    <w:div w:id="2044867697">
      <w:bodyDiv w:val="1"/>
      <w:marLeft w:val="0"/>
      <w:marRight w:val="0"/>
      <w:marTop w:val="0"/>
      <w:marBottom w:val="0"/>
      <w:divBdr>
        <w:top w:val="none" w:sz="0" w:space="0" w:color="auto"/>
        <w:left w:val="none" w:sz="0" w:space="0" w:color="auto"/>
        <w:bottom w:val="none" w:sz="0" w:space="0" w:color="auto"/>
        <w:right w:val="none" w:sz="0" w:space="0" w:color="auto"/>
      </w:divBdr>
    </w:div>
    <w:div w:id="2054503124">
      <w:bodyDiv w:val="1"/>
      <w:marLeft w:val="0"/>
      <w:marRight w:val="0"/>
      <w:marTop w:val="0"/>
      <w:marBottom w:val="0"/>
      <w:divBdr>
        <w:top w:val="none" w:sz="0" w:space="0" w:color="auto"/>
        <w:left w:val="none" w:sz="0" w:space="0" w:color="auto"/>
        <w:bottom w:val="none" w:sz="0" w:space="0" w:color="auto"/>
        <w:right w:val="none" w:sz="0" w:space="0" w:color="auto"/>
      </w:divBdr>
    </w:div>
    <w:div w:id="2076278377">
      <w:bodyDiv w:val="1"/>
      <w:marLeft w:val="0"/>
      <w:marRight w:val="0"/>
      <w:marTop w:val="0"/>
      <w:marBottom w:val="0"/>
      <w:divBdr>
        <w:top w:val="none" w:sz="0" w:space="0" w:color="auto"/>
        <w:left w:val="none" w:sz="0" w:space="0" w:color="auto"/>
        <w:bottom w:val="none" w:sz="0" w:space="0" w:color="auto"/>
        <w:right w:val="none" w:sz="0" w:space="0" w:color="auto"/>
      </w:divBdr>
    </w:div>
    <w:div w:id="2093812561">
      <w:bodyDiv w:val="1"/>
      <w:marLeft w:val="0"/>
      <w:marRight w:val="0"/>
      <w:marTop w:val="0"/>
      <w:marBottom w:val="0"/>
      <w:divBdr>
        <w:top w:val="none" w:sz="0" w:space="0" w:color="auto"/>
        <w:left w:val="none" w:sz="0" w:space="0" w:color="auto"/>
        <w:bottom w:val="none" w:sz="0" w:space="0" w:color="auto"/>
        <w:right w:val="none" w:sz="0" w:space="0" w:color="auto"/>
      </w:divBdr>
    </w:div>
    <w:div w:id="2102021255">
      <w:bodyDiv w:val="1"/>
      <w:marLeft w:val="0"/>
      <w:marRight w:val="0"/>
      <w:marTop w:val="0"/>
      <w:marBottom w:val="0"/>
      <w:divBdr>
        <w:top w:val="none" w:sz="0" w:space="0" w:color="auto"/>
        <w:left w:val="none" w:sz="0" w:space="0" w:color="auto"/>
        <w:bottom w:val="none" w:sz="0" w:space="0" w:color="auto"/>
        <w:right w:val="none" w:sz="0" w:space="0" w:color="auto"/>
      </w:divBdr>
    </w:div>
    <w:div w:id="2106263038">
      <w:bodyDiv w:val="1"/>
      <w:marLeft w:val="0"/>
      <w:marRight w:val="0"/>
      <w:marTop w:val="0"/>
      <w:marBottom w:val="0"/>
      <w:divBdr>
        <w:top w:val="none" w:sz="0" w:space="0" w:color="auto"/>
        <w:left w:val="none" w:sz="0" w:space="0" w:color="auto"/>
        <w:bottom w:val="none" w:sz="0" w:space="0" w:color="auto"/>
        <w:right w:val="none" w:sz="0" w:space="0" w:color="auto"/>
      </w:divBdr>
    </w:div>
    <w:div w:id="2122408519">
      <w:bodyDiv w:val="1"/>
      <w:marLeft w:val="0"/>
      <w:marRight w:val="0"/>
      <w:marTop w:val="0"/>
      <w:marBottom w:val="0"/>
      <w:divBdr>
        <w:top w:val="none" w:sz="0" w:space="0" w:color="auto"/>
        <w:left w:val="none" w:sz="0" w:space="0" w:color="auto"/>
        <w:bottom w:val="none" w:sz="0" w:space="0" w:color="auto"/>
        <w:right w:val="none" w:sz="0" w:space="0" w:color="auto"/>
      </w:divBdr>
    </w:div>
    <w:div w:id="212699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C59F8-C697-4948-B4D9-B3966BE1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25202</Words>
  <Characters>143653</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Nnamso Ibuotenang</dc:creator>
  <cp:keywords/>
  <dc:description/>
  <cp:lastModifiedBy>SDI 1084</cp:lastModifiedBy>
  <cp:revision>22</cp:revision>
  <dcterms:created xsi:type="dcterms:W3CDTF">2025-04-07T16:32:00Z</dcterms:created>
  <dcterms:modified xsi:type="dcterms:W3CDTF">2025-04-08T14:03:00Z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8bc65c55-b62d-4927-a28d-9da6b7b0f922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http://www.zotero.org/styles/university-of-aberdeen-school-of-education-harvard</vt:lpwstr>
  </property>
  <property fmtid="{D5CDD505-2E9C-101B-9397-08002B2CF9AE}" pid="18" name="Mendeley Recent Style Name 7_1">
    <vt:lpwstr>University of Aberdeen - School of Education - Harvard</vt:lpwstr>
  </property>
  <property fmtid="{D5CDD505-2E9C-101B-9397-08002B2CF9AE}" pid="19" name="Mendeley Recent Style Id 8_1">
    <vt:lpwstr>http://www.zotero.org/styles/university-of-bradford-harvard</vt:lpwstr>
  </property>
  <property fmtid="{D5CDD505-2E9C-101B-9397-08002B2CF9AE}" pid="20" name="Mendeley Recent Style Name 8_1">
    <vt:lpwstr>University of Bradford - Harvard</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1efe0f51-ebd1-3e26-be8b-cbb08573bf78</vt:lpwstr>
  </property>
  <property fmtid="{D5CDD505-2E9C-101B-9397-08002B2CF9AE}" pid="25" name="Mendeley Citation Style_1">
    <vt:lpwstr>http://www.zotero.org/styles/apa</vt:lpwstr>
  </property>
</Properties>
</file>