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461B9" w14:textId="77777777" w:rsidR="00751852" w:rsidRDefault="00751852" w:rsidP="005E42B1">
      <w:pPr>
        <w:rPr>
          <w:rFonts w:ascii="Arial" w:hAnsi="Arial" w:cs="Arial"/>
          <w:b/>
          <w:sz w:val="36"/>
          <w:szCs w:val="36"/>
        </w:rPr>
      </w:pPr>
      <w:r w:rsidRPr="00751852">
        <w:rPr>
          <w:rFonts w:ascii="Arial" w:hAnsi="Arial" w:cs="Arial"/>
          <w:b/>
          <w:sz w:val="36"/>
          <w:szCs w:val="36"/>
        </w:rPr>
        <w:t>Original Research Article</w:t>
      </w:r>
    </w:p>
    <w:p w14:paraId="48CD9FD9" w14:textId="77777777" w:rsidR="00751852" w:rsidRDefault="00751852" w:rsidP="005E42B1">
      <w:pPr>
        <w:rPr>
          <w:rFonts w:ascii="Arial" w:hAnsi="Arial" w:cs="Arial"/>
          <w:b/>
          <w:sz w:val="36"/>
          <w:szCs w:val="36"/>
        </w:rPr>
      </w:pPr>
    </w:p>
    <w:p w14:paraId="367A7DDA" w14:textId="337273B4" w:rsidR="005E42B1" w:rsidRPr="00C20D63" w:rsidRDefault="005E42B1" w:rsidP="005E42B1">
      <w:pPr>
        <w:rPr>
          <w:rFonts w:ascii="Arial" w:hAnsi="Arial" w:cs="Arial"/>
          <w:b/>
          <w:sz w:val="36"/>
          <w:szCs w:val="36"/>
        </w:rPr>
      </w:pPr>
      <w:r w:rsidRPr="00C20D63">
        <w:rPr>
          <w:rFonts w:ascii="Arial" w:hAnsi="Arial" w:cs="Arial"/>
          <w:b/>
          <w:sz w:val="36"/>
          <w:szCs w:val="36"/>
        </w:rPr>
        <w:t xml:space="preserve">Microbiology </w:t>
      </w:r>
      <w:r>
        <w:rPr>
          <w:rFonts w:ascii="Arial" w:hAnsi="Arial" w:cs="Arial"/>
          <w:b/>
          <w:sz w:val="36"/>
          <w:szCs w:val="36"/>
        </w:rPr>
        <w:t>o</w:t>
      </w:r>
      <w:r w:rsidRPr="00C20D63">
        <w:rPr>
          <w:rFonts w:ascii="Arial" w:hAnsi="Arial" w:cs="Arial"/>
          <w:b/>
          <w:sz w:val="36"/>
          <w:szCs w:val="36"/>
        </w:rPr>
        <w:t xml:space="preserve">f Dental Calculus </w:t>
      </w:r>
      <w:r>
        <w:rPr>
          <w:rFonts w:ascii="Arial" w:hAnsi="Arial" w:cs="Arial"/>
          <w:b/>
          <w:sz w:val="36"/>
          <w:szCs w:val="36"/>
        </w:rPr>
        <w:t>o</w:t>
      </w:r>
      <w:r w:rsidRPr="00C20D63">
        <w:rPr>
          <w:rFonts w:ascii="Arial" w:hAnsi="Arial" w:cs="Arial"/>
          <w:b/>
          <w:sz w:val="36"/>
          <w:szCs w:val="36"/>
        </w:rPr>
        <w:t xml:space="preserve">f Prehistoric People </w:t>
      </w:r>
      <w:r>
        <w:rPr>
          <w:rFonts w:ascii="Arial" w:hAnsi="Arial" w:cs="Arial"/>
          <w:b/>
          <w:sz w:val="36"/>
          <w:szCs w:val="36"/>
        </w:rPr>
        <w:t>f</w:t>
      </w:r>
      <w:r w:rsidRPr="00C20D63">
        <w:rPr>
          <w:rFonts w:ascii="Arial" w:hAnsi="Arial" w:cs="Arial"/>
          <w:b/>
          <w:sz w:val="36"/>
          <w:szCs w:val="36"/>
        </w:rPr>
        <w:t>rom Cabeçuda Shell Mound, Santa Catarina, Brazil</w:t>
      </w:r>
    </w:p>
    <w:p w14:paraId="440DA85E" w14:textId="77777777" w:rsidR="00754C9A" w:rsidRDefault="00754C9A" w:rsidP="00441B6F">
      <w:pPr>
        <w:pStyle w:val="Title"/>
        <w:spacing w:after="0"/>
        <w:jc w:val="both"/>
        <w:rPr>
          <w:rFonts w:ascii="Arial" w:hAnsi="Arial" w:cs="Arial"/>
        </w:rPr>
      </w:pPr>
    </w:p>
    <w:p w14:paraId="4FBB72D4" w14:textId="77777777" w:rsidR="00790ADA" w:rsidRDefault="00790ADA" w:rsidP="00441B6F">
      <w:pPr>
        <w:pStyle w:val="Affiliation"/>
        <w:spacing w:after="0" w:line="240" w:lineRule="auto"/>
        <w:jc w:val="both"/>
        <w:rPr>
          <w:rFonts w:ascii="Arial" w:hAnsi="Arial" w:cs="Arial"/>
          <w:lang w:val="pt-PT"/>
        </w:rPr>
      </w:pPr>
    </w:p>
    <w:p w14:paraId="30442A4F" w14:textId="77777777" w:rsidR="003724B3" w:rsidRDefault="003724B3" w:rsidP="00441B6F">
      <w:pPr>
        <w:pStyle w:val="Affiliation"/>
        <w:spacing w:after="0" w:line="240" w:lineRule="auto"/>
        <w:jc w:val="both"/>
        <w:rPr>
          <w:rFonts w:ascii="Arial" w:hAnsi="Arial" w:cs="Arial"/>
          <w:lang w:val="pt-PT"/>
        </w:rPr>
      </w:pPr>
    </w:p>
    <w:p w14:paraId="2936C709" w14:textId="77777777" w:rsidR="003724B3" w:rsidRDefault="003724B3" w:rsidP="00441B6F">
      <w:pPr>
        <w:pStyle w:val="Affiliation"/>
        <w:spacing w:after="0" w:line="240" w:lineRule="auto"/>
        <w:jc w:val="both"/>
        <w:rPr>
          <w:rFonts w:ascii="Arial" w:hAnsi="Arial" w:cs="Arial"/>
          <w:lang w:val="pt-PT"/>
        </w:rPr>
      </w:pPr>
    </w:p>
    <w:p w14:paraId="4C7FFA78" w14:textId="77777777" w:rsidR="003724B3" w:rsidRDefault="003724B3" w:rsidP="00441B6F">
      <w:pPr>
        <w:pStyle w:val="Affiliation"/>
        <w:spacing w:after="0" w:line="240" w:lineRule="auto"/>
        <w:jc w:val="both"/>
        <w:rPr>
          <w:rFonts w:ascii="Arial" w:hAnsi="Arial" w:cs="Arial"/>
          <w:lang w:val="pt-PT"/>
        </w:rPr>
      </w:pPr>
    </w:p>
    <w:p w14:paraId="1D29C5E9" w14:textId="77777777" w:rsidR="003724B3" w:rsidRDefault="003724B3" w:rsidP="00441B6F">
      <w:pPr>
        <w:pStyle w:val="Affiliation"/>
        <w:spacing w:after="0" w:line="240" w:lineRule="auto"/>
        <w:jc w:val="both"/>
        <w:rPr>
          <w:rFonts w:ascii="Arial" w:hAnsi="Arial" w:cs="Arial"/>
          <w:lang w:val="pt-PT"/>
        </w:rPr>
      </w:pPr>
    </w:p>
    <w:p w14:paraId="44E9001B" w14:textId="77777777" w:rsidR="003724B3" w:rsidRDefault="003724B3" w:rsidP="00441B6F">
      <w:pPr>
        <w:pStyle w:val="Affiliation"/>
        <w:spacing w:after="0" w:line="240" w:lineRule="auto"/>
        <w:jc w:val="both"/>
        <w:rPr>
          <w:rFonts w:ascii="Arial" w:hAnsi="Arial" w:cs="Arial"/>
          <w:lang w:val="pt-PT"/>
        </w:rPr>
      </w:pPr>
    </w:p>
    <w:p w14:paraId="11352E9E" w14:textId="77777777" w:rsidR="003724B3" w:rsidRPr="00B12129" w:rsidRDefault="003724B3" w:rsidP="00441B6F">
      <w:pPr>
        <w:pStyle w:val="Affiliation"/>
        <w:spacing w:after="0" w:line="240" w:lineRule="auto"/>
        <w:jc w:val="both"/>
        <w:rPr>
          <w:rFonts w:ascii="Arial" w:hAnsi="Arial" w:cs="Arial"/>
          <w:lang w:val="pt-PT"/>
        </w:rPr>
      </w:pPr>
    </w:p>
    <w:p w14:paraId="247B5340" w14:textId="54F3C870" w:rsidR="00B01FCD" w:rsidRPr="00FB3A86" w:rsidRDefault="00DB2BA3" w:rsidP="00441B6F">
      <w:pPr>
        <w:pStyle w:val="Copyright"/>
        <w:spacing w:after="0" w:line="240" w:lineRule="auto"/>
        <w:jc w:val="both"/>
        <w:rPr>
          <w:rFonts w:ascii="Arial" w:hAnsi="Arial" w:cs="Arial"/>
        </w:rPr>
        <w:sectPr w:rsidR="00B01FCD" w:rsidRPr="00FB3A86" w:rsidSect="003724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titlePg/>
          <w:docGrid w:linePitch="272"/>
        </w:sectPr>
      </w:pPr>
      <w:r>
        <w:rPr>
          <w:rFonts w:ascii="Arial" w:hAnsi="Arial" w:cs="Arial"/>
          <w:noProof/>
        </w:rPr>
        <mc:AlternateContent>
          <mc:Choice Requires="wps">
            <w:drawing>
              <wp:inline distT="0" distB="0" distL="0" distR="0" wp14:anchorId="41583D33" wp14:editId="58E499F9">
                <wp:extent cx="5303520" cy="635"/>
                <wp:effectExtent l="11430" t="13335" r="9525" b="15240"/>
                <wp:docPr id="193909677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72BF79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A358A9B" w14:textId="775BE449"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313134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B7407E4" w14:textId="77777777" w:rsidTr="001E44FE">
        <w:tc>
          <w:tcPr>
            <w:tcW w:w="9576" w:type="dxa"/>
            <w:shd w:val="clear" w:color="auto" w:fill="F2F2F2"/>
          </w:tcPr>
          <w:p w14:paraId="22B82E19" w14:textId="666FC1CB" w:rsidR="006F0BCB" w:rsidRPr="00112DFB" w:rsidRDefault="006F0BCB" w:rsidP="006F0BCB">
            <w:pPr>
              <w:jc w:val="both"/>
              <w:rPr>
                <w:rFonts w:ascii="Arial" w:eastAsia="Calibri" w:hAnsi="Arial" w:cs="Arial"/>
              </w:rPr>
            </w:pPr>
            <w:r w:rsidRPr="00112DFB">
              <w:rPr>
                <w:rFonts w:ascii="Arial" w:eastAsia="Calibri" w:hAnsi="Arial" w:cs="Arial"/>
                <w:b/>
              </w:rPr>
              <w:t>Background and Aim:</w:t>
            </w:r>
            <w:r w:rsidR="00CF621D">
              <w:rPr>
                <w:rFonts w:ascii="Arial" w:eastAsia="Calibri" w:hAnsi="Arial" w:cs="Arial"/>
                <w:b/>
              </w:rPr>
              <w:t xml:space="preserve"> </w:t>
            </w:r>
            <w:r w:rsidRPr="00112DFB">
              <w:rPr>
                <w:rFonts w:ascii="Arial" w:eastAsia="Calibri" w:hAnsi="Arial" w:cs="Arial"/>
              </w:rPr>
              <w:t xml:space="preserve">Oral health investigations contribute to understanding of culture and biology of past populations. It is possible to go beyond the main diseases, such as caries and tooth loss, addressing detailed information on morphology, pathology and physiology. Progressing analysis of microfossils in dental calculus is </w:t>
            </w:r>
            <w:r w:rsidR="00CB1F71">
              <w:rPr>
                <w:rFonts w:ascii="Arial" w:eastAsia="Calibri" w:hAnsi="Arial" w:cs="Arial"/>
              </w:rPr>
              <w:t xml:space="preserve">confirming </w:t>
            </w:r>
            <w:r w:rsidRPr="00112DFB">
              <w:rPr>
                <w:rFonts w:ascii="Arial" w:eastAsia="Calibri" w:hAnsi="Arial" w:cs="Arial"/>
              </w:rPr>
              <w:t xml:space="preserve">the </w:t>
            </w:r>
            <w:r w:rsidRPr="00CB1F71">
              <w:rPr>
                <w:rFonts w:ascii="Arial" w:eastAsia="Calibri" w:hAnsi="Arial" w:cs="Arial"/>
              </w:rPr>
              <w:t>good preservation of biofilm in the matrix.</w:t>
            </w:r>
            <w:r w:rsidRPr="00112DFB">
              <w:rPr>
                <w:rFonts w:ascii="Arial" w:eastAsia="Calibri" w:hAnsi="Arial" w:cs="Arial"/>
              </w:rPr>
              <w:t xml:space="preserve"> Health models associating synergic relationships of dental &amp; oral pathology with systemic diseases are important to understand modern, as well as past human life and death. The aim of this investigation is the absence of dental caries in </w:t>
            </w:r>
            <w:r w:rsidR="00CB1F71">
              <w:rPr>
                <w:rFonts w:ascii="Arial" w:eastAsia="Calibri" w:hAnsi="Arial" w:cs="Arial"/>
              </w:rPr>
              <w:t>one</w:t>
            </w:r>
            <w:r w:rsidRPr="00112DFB">
              <w:rPr>
                <w:rFonts w:ascii="Arial" w:eastAsia="Calibri" w:hAnsi="Arial" w:cs="Arial"/>
              </w:rPr>
              <w:t xml:space="preserve"> human </w:t>
            </w:r>
            <w:r w:rsidR="00CB1F71">
              <w:rPr>
                <w:rFonts w:ascii="Arial" w:eastAsia="Calibri" w:hAnsi="Arial" w:cs="Arial"/>
              </w:rPr>
              <w:t xml:space="preserve">past </w:t>
            </w:r>
            <w:r w:rsidRPr="00112DFB">
              <w:rPr>
                <w:rFonts w:ascii="Arial" w:eastAsia="Calibri" w:hAnsi="Arial" w:cs="Arial"/>
              </w:rPr>
              <w:t xml:space="preserve">population, that could be associated to a specific oral microbiota, and health conditions. </w:t>
            </w:r>
          </w:p>
          <w:p w14:paraId="38891D75" w14:textId="57BF5DA4" w:rsidR="00112DFB" w:rsidRDefault="006F0BCB" w:rsidP="006F0BCB">
            <w:pPr>
              <w:jc w:val="both"/>
              <w:rPr>
                <w:rFonts w:ascii="Arial" w:eastAsia="Calibri" w:hAnsi="Arial" w:cs="Arial"/>
              </w:rPr>
            </w:pPr>
            <w:r w:rsidRPr="00112DFB">
              <w:rPr>
                <w:rFonts w:ascii="Arial" w:eastAsia="Calibri" w:hAnsi="Arial" w:cs="Arial"/>
                <w:b/>
                <w:bCs/>
              </w:rPr>
              <w:t>Methodology:</w:t>
            </w:r>
            <w:r w:rsidR="00CF621D">
              <w:rPr>
                <w:rFonts w:ascii="Arial" w:eastAsia="Calibri" w:hAnsi="Arial" w:cs="Arial"/>
                <w:b/>
                <w:bCs/>
              </w:rPr>
              <w:t xml:space="preserve"> </w:t>
            </w:r>
            <w:r w:rsidRPr="00112DFB">
              <w:rPr>
                <w:rFonts w:ascii="Arial" w:eastAsia="Calibri" w:hAnsi="Arial" w:cs="Arial"/>
              </w:rPr>
              <w:t xml:space="preserve">Dental calculi were extracted from human teeth of 20 different adult and subadult individuals, </w:t>
            </w:r>
            <w:r w:rsidRPr="00CB1F71">
              <w:rPr>
                <w:rFonts w:ascii="Arial" w:eastAsia="Calibri" w:hAnsi="Arial" w:cs="Arial"/>
              </w:rPr>
              <w:t>both sexes</w:t>
            </w:r>
            <w:r w:rsidRPr="00112DFB">
              <w:rPr>
                <w:rFonts w:ascii="Arial" w:eastAsia="Calibri" w:hAnsi="Arial" w:cs="Arial"/>
              </w:rPr>
              <w:t>. The morphology of biofilm components was described, especially in search for vibrios. Coastal human groups lived exposed to saltwater environment, and the one studied here, from the shell</w:t>
            </w:r>
            <w:r w:rsidR="000C4789">
              <w:rPr>
                <w:rFonts w:ascii="Arial" w:eastAsia="Calibri" w:hAnsi="Arial" w:cs="Arial"/>
              </w:rPr>
              <w:t xml:space="preserve"> </w:t>
            </w:r>
            <w:r w:rsidRPr="00112DFB">
              <w:rPr>
                <w:rFonts w:ascii="Arial" w:eastAsia="Calibri" w:hAnsi="Arial" w:cs="Arial"/>
              </w:rPr>
              <w:t>mound of Cabeçuda, Santa Catarina State, Brazil, was free from caries (estimate date 2,800 to 1,500 BP).</w:t>
            </w:r>
            <w:r w:rsidRPr="00112DFB">
              <w:rPr>
                <w:rFonts w:ascii="Arial" w:eastAsia="Calibri" w:hAnsi="Arial" w:cs="Arial"/>
                <w:b/>
                <w:bCs/>
              </w:rPr>
              <w:t xml:space="preserve"> </w:t>
            </w:r>
            <w:r w:rsidRPr="00112DFB">
              <w:rPr>
                <w:rFonts w:ascii="Arial" w:eastAsia="Calibri" w:hAnsi="Arial" w:cs="Arial"/>
              </w:rPr>
              <w:t xml:space="preserve">The archaeological series belonged to the </w:t>
            </w:r>
            <w:r w:rsidR="00BD7F70">
              <w:rPr>
                <w:rFonts w:ascii="Arial" w:eastAsia="Calibri" w:hAnsi="Arial" w:cs="Arial"/>
              </w:rPr>
              <w:t xml:space="preserve">Museu Nacional </w:t>
            </w:r>
            <w:r w:rsidRPr="00112DFB">
              <w:rPr>
                <w:rFonts w:ascii="Arial" w:eastAsia="Calibri" w:hAnsi="Arial" w:cs="Arial"/>
              </w:rPr>
              <w:t xml:space="preserve">of Rio de Janeiro; sample selection </w:t>
            </w:r>
            <w:r w:rsidR="0099285E">
              <w:rPr>
                <w:rFonts w:ascii="Arial" w:eastAsia="Calibri" w:hAnsi="Arial" w:cs="Arial"/>
              </w:rPr>
              <w:t>took place</w:t>
            </w:r>
            <w:r w:rsidRPr="00112DFB">
              <w:rPr>
                <w:rFonts w:ascii="Arial" w:eastAsia="Calibri" w:hAnsi="Arial" w:cs="Arial"/>
              </w:rPr>
              <w:t xml:space="preserve"> in </w:t>
            </w:r>
            <w:r w:rsidR="0099285E">
              <w:rPr>
                <w:rFonts w:ascii="Arial" w:eastAsia="Calibri" w:hAnsi="Arial" w:cs="Arial"/>
              </w:rPr>
              <w:t>its</w:t>
            </w:r>
            <w:r w:rsidRPr="00112DFB">
              <w:rPr>
                <w:rFonts w:ascii="Arial" w:eastAsia="Calibri" w:hAnsi="Arial" w:cs="Arial"/>
              </w:rPr>
              <w:t xml:space="preserve"> Biological Anthropology laboratory. Calculi extraction &amp; preparation was in the laboratory of paleoparasitology at Fiocruz, the SEM analysis was at Hertha Mayer laboratory, Federal University of R</w:t>
            </w:r>
            <w:r w:rsidR="00112DFB">
              <w:rPr>
                <w:rFonts w:ascii="Arial" w:eastAsia="Calibri" w:hAnsi="Arial" w:cs="Arial"/>
              </w:rPr>
              <w:t>i</w:t>
            </w:r>
            <w:r w:rsidRPr="00112DFB">
              <w:rPr>
                <w:rFonts w:ascii="Arial" w:eastAsia="Calibri" w:hAnsi="Arial" w:cs="Arial"/>
              </w:rPr>
              <w:t xml:space="preserve">o de Janeiro. After appropriate hygienation, dental calculi were extracted, disaggregated and parts were scanned. The images were </w:t>
            </w:r>
            <w:proofErr w:type="spellStart"/>
            <w:r w:rsidRPr="00112DFB">
              <w:rPr>
                <w:rFonts w:ascii="Arial" w:eastAsia="Calibri" w:hAnsi="Arial" w:cs="Arial"/>
              </w:rPr>
              <w:t>analysed</w:t>
            </w:r>
            <w:proofErr w:type="spellEnd"/>
            <w:r w:rsidRPr="00112DFB">
              <w:rPr>
                <w:rFonts w:ascii="Arial" w:eastAsia="Calibri" w:hAnsi="Arial" w:cs="Arial"/>
              </w:rPr>
              <w:t xml:space="preserve">, considering morphotypes in the biofilm, their density and spatial distribution. </w:t>
            </w:r>
          </w:p>
          <w:p w14:paraId="70593C2F" w14:textId="3690FA9F" w:rsidR="007E4B02" w:rsidRDefault="00112DFB" w:rsidP="006F0BCB">
            <w:pPr>
              <w:jc w:val="both"/>
              <w:rPr>
                <w:rFonts w:ascii="Arial" w:eastAsia="Calibri" w:hAnsi="Arial" w:cs="Arial"/>
              </w:rPr>
            </w:pPr>
            <w:r w:rsidRPr="00BA1B01">
              <w:rPr>
                <w:rFonts w:ascii="Arial" w:eastAsia="Calibri" w:hAnsi="Arial" w:cs="Arial"/>
                <w:b/>
                <w:bCs/>
                <w:szCs w:val="22"/>
              </w:rPr>
              <w:t>Results:</w:t>
            </w:r>
            <w:r w:rsidR="00CF621D">
              <w:rPr>
                <w:rFonts w:ascii="Arial" w:eastAsia="Calibri" w:hAnsi="Arial" w:cs="Arial"/>
                <w:b/>
                <w:bCs/>
                <w:szCs w:val="22"/>
              </w:rPr>
              <w:t xml:space="preserve"> </w:t>
            </w:r>
            <w:r w:rsidR="006F0BCB" w:rsidRPr="00112DFB">
              <w:rPr>
                <w:rFonts w:ascii="Arial" w:eastAsia="Calibri" w:hAnsi="Arial" w:cs="Arial"/>
              </w:rPr>
              <w:t xml:space="preserve">No </w:t>
            </w:r>
            <w:r w:rsidR="00EE0076" w:rsidRPr="00EE0076">
              <w:rPr>
                <w:rFonts w:ascii="Arial" w:eastAsia="Calibri" w:hAnsi="Arial" w:cs="Arial"/>
                <w:i/>
                <w:iCs/>
              </w:rPr>
              <w:t>V</w:t>
            </w:r>
            <w:r w:rsidR="006F0BCB" w:rsidRPr="00EE0076">
              <w:rPr>
                <w:rFonts w:ascii="Arial" w:eastAsia="Calibri" w:hAnsi="Arial" w:cs="Arial"/>
                <w:i/>
                <w:iCs/>
              </w:rPr>
              <w:t>ibrio</w:t>
            </w:r>
            <w:r w:rsidR="006F0BCB" w:rsidRPr="00112DFB">
              <w:rPr>
                <w:rFonts w:ascii="Arial" w:eastAsia="Calibri" w:hAnsi="Arial" w:cs="Arial"/>
              </w:rPr>
              <w:t xml:space="preserve"> was detected, </w:t>
            </w:r>
            <w:r>
              <w:rPr>
                <w:rFonts w:ascii="Arial" w:eastAsia="Calibri" w:hAnsi="Arial" w:cs="Arial"/>
              </w:rPr>
              <w:t xml:space="preserve">but </w:t>
            </w:r>
            <w:r w:rsidR="006F0BCB" w:rsidRPr="00112DFB">
              <w:rPr>
                <w:rFonts w:ascii="Arial" w:eastAsia="Calibri" w:hAnsi="Arial" w:cs="Arial"/>
              </w:rPr>
              <w:t>5 different morphotypes were described and associated to possible genders (</w:t>
            </w:r>
            <w:r w:rsidR="006F0BCB" w:rsidRPr="00112DFB">
              <w:rPr>
                <w:rFonts w:ascii="Arial" w:hAnsi="Arial" w:cs="Arial"/>
                <w:i/>
                <w:iCs/>
              </w:rPr>
              <w:t xml:space="preserve">Lactobacillus, </w:t>
            </w:r>
            <w:proofErr w:type="spellStart"/>
            <w:r w:rsidR="006F0BCB" w:rsidRPr="00112DFB">
              <w:rPr>
                <w:rFonts w:ascii="Arial" w:hAnsi="Arial" w:cs="Arial"/>
                <w:i/>
                <w:iCs/>
              </w:rPr>
              <w:t>Porphyromonas</w:t>
            </w:r>
            <w:proofErr w:type="spellEnd"/>
            <w:r w:rsidR="006F0BCB" w:rsidRPr="00112DFB">
              <w:rPr>
                <w:rFonts w:ascii="Arial" w:hAnsi="Arial" w:cs="Arial"/>
                <w:i/>
                <w:iCs/>
              </w:rPr>
              <w:t xml:space="preserve">, Actinomyces, </w:t>
            </w:r>
            <w:proofErr w:type="spellStart"/>
            <w:r w:rsidR="006F0BCB" w:rsidRPr="00112DFB">
              <w:rPr>
                <w:rFonts w:ascii="Arial" w:hAnsi="Arial" w:cs="Arial"/>
                <w:i/>
                <w:iCs/>
              </w:rPr>
              <w:t>Leptotrichia</w:t>
            </w:r>
            <w:proofErr w:type="spellEnd"/>
            <w:r w:rsidR="006F0BCB" w:rsidRPr="00112DFB">
              <w:rPr>
                <w:rFonts w:ascii="Arial" w:hAnsi="Arial" w:cs="Arial"/>
                <w:i/>
                <w:iCs/>
              </w:rPr>
              <w:t xml:space="preserve">, </w:t>
            </w:r>
            <w:proofErr w:type="spellStart"/>
            <w:r w:rsidR="006F0BCB" w:rsidRPr="00112DFB">
              <w:rPr>
                <w:rFonts w:ascii="Arial" w:hAnsi="Arial" w:cs="Arial"/>
                <w:i/>
                <w:iCs/>
              </w:rPr>
              <w:t>Rothya</w:t>
            </w:r>
            <w:proofErr w:type="spellEnd"/>
            <w:r w:rsidR="006F0BCB" w:rsidRPr="00112DFB">
              <w:rPr>
                <w:rFonts w:ascii="Arial" w:hAnsi="Arial" w:cs="Arial"/>
                <w:i/>
                <w:iCs/>
              </w:rPr>
              <w:t xml:space="preserve">, Neisseria, Staphylococcus, </w:t>
            </w:r>
            <w:proofErr w:type="spellStart"/>
            <w:r w:rsidR="006F0BCB" w:rsidRPr="00112DFB">
              <w:rPr>
                <w:rFonts w:ascii="Arial" w:hAnsi="Arial" w:cs="Arial"/>
                <w:i/>
                <w:iCs/>
              </w:rPr>
              <w:t>Veillonella</w:t>
            </w:r>
            <w:proofErr w:type="spellEnd"/>
            <w:r w:rsidR="006F0BCB" w:rsidRPr="00112DFB">
              <w:rPr>
                <w:rFonts w:ascii="Arial" w:hAnsi="Arial" w:cs="Arial"/>
                <w:i/>
                <w:iCs/>
              </w:rPr>
              <w:t xml:space="preserve">, </w:t>
            </w:r>
            <w:proofErr w:type="spellStart"/>
            <w:r w:rsidR="006F0BCB" w:rsidRPr="00112DFB">
              <w:rPr>
                <w:rFonts w:ascii="Arial" w:hAnsi="Arial" w:cs="Arial"/>
                <w:i/>
                <w:iCs/>
              </w:rPr>
              <w:t>Peptostreptococcus</w:t>
            </w:r>
            <w:proofErr w:type="spellEnd"/>
            <w:r w:rsidR="006F0BCB" w:rsidRPr="00112DFB">
              <w:rPr>
                <w:rFonts w:ascii="Arial" w:hAnsi="Arial" w:cs="Arial"/>
                <w:i/>
                <w:iCs/>
              </w:rPr>
              <w:t>, Streptococcus</w:t>
            </w:r>
            <w:r w:rsidR="006F0BCB" w:rsidRPr="00112DFB">
              <w:rPr>
                <w:rFonts w:ascii="Arial" w:hAnsi="Arial" w:cs="Arial"/>
              </w:rPr>
              <w:t>)</w:t>
            </w:r>
            <w:r w:rsidR="006F0BCB" w:rsidRPr="00112DFB">
              <w:rPr>
                <w:rFonts w:ascii="Arial" w:eastAsia="Calibri" w:hAnsi="Arial" w:cs="Arial"/>
              </w:rPr>
              <w:t xml:space="preserve">. </w:t>
            </w:r>
          </w:p>
          <w:p w14:paraId="400CF085" w14:textId="57BAA55F" w:rsidR="00505F06" w:rsidRPr="005E42B1" w:rsidRDefault="007E4B02" w:rsidP="005E42B1">
            <w:pPr>
              <w:jc w:val="both"/>
              <w:rPr>
                <w:rFonts w:ascii="Arial" w:eastAsia="Calibri" w:hAnsi="Arial" w:cs="Arial"/>
              </w:rPr>
            </w:pPr>
            <w:r w:rsidRPr="00BA1B01">
              <w:rPr>
                <w:rFonts w:ascii="Arial" w:eastAsia="Calibri" w:hAnsi="Arial" w:cs="Arial"/>
                <w:b/>
                <w:bCs/>
                <w:szCs w:val="22"/>
              </w:rPr>
              <w:t>Conclusion:</w:t>
            </w:r>
            <w:r w:rsidR="00CF621D">
              <w:rPr>
                <w:rFonts w:ascii="Arial" w:eastAsia="Calibri" w:hAnsi="Arial" w:cs="Arial"/>
                <w:b/>
                <w:bCs/>
                <w:szCs w:val="22"/>
              </w:rPr>
              <w:t xml:space="preserve"> </w:t>
            </w:r>
            <w:r w:rsidR="006F0BCB" w:rsidRPr="00112DFB">
              <w:rPr>
                <w:rFonts w:ascii="Arial" w:eastAsia="Calibri" w:hAnsi="Arial" w:cs="Arial"/>
              </w:rPr>
              <w:t>Morphotypes are a good first approach to main components of biofilm</w:t>
            </w:r>
            <w:r w:rsidR="007C797A">
              <w:rPr>
                <w:rFonts w:ascii="Arial" w:eastAsia="Calibri" w:hAnsi="Arial" w:cs="Arial"/>
              </w:rPr>
              <w:t xml:space="preserve">, </w:t>
            </w:r>
            <w:r w:rsidR="00222308">
              <w:rPr>
                <w:rFonts w:ascii="Arial" w:eastAsia="Calibri" w:hAnsi="Arial" w:cs="Arial"/>
              </w:rPr>
              <w:t>results can</w:t>
            </w:r>
            <w:r w:rsidR="006F0BCB" w:rsidRPr="00112DFB">
              <w:rPr>
                <w:rFonts w:ascii="Arial" w:eastAsia="Calibri" w:hAnsi="Arial" w:cs="Arial"/>
              </w:rPr>
              <w:t xml:space="preserve"> be improved with better disaggregation techniques. </w:t>
            </w:r>
            <w:r w:rsidR="000D1247">
              <w:rPr>
                <w:rFonts w:ascii="Arial" w:eastAsia="Calibri" w:hAnsi="Arial" w:cs="Arial"/>
              </w:rPr>
              <w:t>Complementary g</w:t>
            </w:r>
            <w:r w:rsidR="006F0BCB" w:rsidRPr="00720DC5">
              <w:rPr>
                <w:rFonts w:ascii="Arial" w:eastAsia="Calibri" w:hAnsi="Arial" w:cs="Arial"/>
              </w:rPr>
              <w:t xml:space="preserve">enomics and proteomics </w:t>
            </w:r>
            <w:r w:rsidR="000D1247">
              <w:rPr>
                <w:rFonts w:ascii="Arial" w:eastAsia="Calibri" w:hAnsi="Arial" w:cs="Arial"/>
              </w:rPr>
              <w:t xml:space="preserve">techniques </w:t>
            </w:r>
            <w:r w:rsidR="006F0BCB" w:rsidRPr="00720DC5">
              <w:rPr>
                <w:rFonts w:ascii="Arial" w:eastAsia="Calibri" w:hAnsi="Arial" w:cs="Arial"/>
              </w:rPr>
              <w:t xml:space="preserve">should be more conclusive. </w:t>
            </w:r>
            <w:r w:rsidR="006F0BCB" w:rsidRPr="00112DFB">
              <w:rPr>
                <w:rFonts w:ascii="Arial" w:eastAsia="Calibri" w:hAnsi="Arial" w:cs="Arial"/>
              </w:rPr>
              <w:t xml:space="preserve"> </w:t>
            </w:r>
          </w:p>
        </w:tc>
      </w:tr>
    </w:tbl>
    <w:p w14:paraId="5CC3FF58" w14:textId="77777777" w:rsidR="004D422C" w:rsidRDefault="004D422C" w:rsidP="00441B6F">
      <w:pPr>
        <w:pStyle w:val="Body"/>
        <w:spacing w:after="0"/>
        <w:rPr>
          <w:rFonts w:ascii="Arial" w:hAnsi="Arial" w:cs="Arial"/>
          <w:i/>
        </w:rPr>
      </w:pPr>
    </w:p>
    <w:p w14:paraId="15B2C952" w14:textId="22E24028" w:rsidR="00A24E7E" w:rsidRDefault="00A24E7E" w:rsidP="00441B6F">
      <w:pPr>
        <w:pStyle w:val="Body"/>
        <w:spacing w:after="0"/>
        <w:rPr>
          <w:rFonts w:ascii="Arial" w:hAnsi="Arial" w:cs="Arial"/>
          <w:i/>
        </w:rPr>
      </w:pPr>
      <w:r>
        <w:rPr>
          <w:rFonts w:ascii="Arial" w:hAnsi="Arial" w:cs="Arial"/>
          <w:i/>
        </w:rPr>
        <w:lastRenderedPageBreak/>
        <w:t xml:space="preserve">Keywords: </w:t>
      </w:r>
      <w:r w:rsidR="00CF621D" w:rsidRPr="00CF621D">
        <w:rPr>
          <w:rFonts w:ascii="Arial" w:hAnsi="Arial" w:cs="Arial"/>
          <w:i/>
        </w:rPr>
        <w:t>dental calculus – biofilm – vibrio – shellmound - prehistory</w:t>
      </w:r>
    </w:p>
    <w:p w14:paraId="62E3BA89" w14:textId="77777777" w:rsidR="0024282C" w:rsidRDefault="0024282C" w:rsidP="00441B6F">
      <w:pPr>
        <w:pStyle w:val="Body"/>
        <w:spacing w:after="0"/>
        <w:rPr>
          <w:rFonts w:ascii="Arial" w:hAnsi="Arial" w:cs="Arial"/>
          <w:i/>
          <w:sz w:val="18"/>
        </w:rPr>
      </w:pPr>
    </w:p>
    <w:p w14:paraId="7B1BFC0A" w14:textId="7B201B2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BA10E87" w14:textId="77777777" w:rsidR="00790ADA" w:rsidRPr="00FB3A86" w:rsidRDefault="00790ADA" w:rsidP="00441B6F">
      <w:pPr>
        <w:pStyle w:val="AbstHead"/>
        <w:spacing w:after="0"/>
        <w:jc w:val="both"/>
        <w:rPr>
          <w:rFonts w:ascii="Arial" w:hAnsi="Arial" w:cs="Arial"/>
        </w:rPr>
      </w:pPr>
    </w:p>
    <w:p w14:paraId="5D33DBF0" w14:textId="6C3A690E" w:rsidR="00E53F87" w:rsidRPr="00A2548C" w:rsidRDefault="00E53F87" w:rsidP="00E53F87">
      <w:pPr>
        <w:spacing w:after="200"/>
        <w:ind w:firstLine="360"/>
        <w:jc w:val="both"/>
        <w:rPr>
          <w:rFonts w:ascii="Arial" w:eastAsia="Calibri" w:hAnsi="Arial" w:cs="Arial"/>
        </w:rPr>
      </w:pPr>
      <w:r w:rsidRPr="00A2548C">
        <w:rPr>
          <w:rFonts w:ascii="Arial" w:eastAsia="Calibri" w:hAnsi="Arial" w:cs="Arial"/>
        </w:rPr>
        <w:t xml:space="preserve">Dental caries is a dynamic and multifactorial infectious disease (White, 1975; Pitt et al., 2017), which results from the interaction between the oral microbiota, the mouth environment, and host susceptibility. </w:t>
      </w:r>
      <w:r>
        <w:rPr>
          <w:rFonts w:ascii="Arial" w:eastAsia="Calibri" w:hAnsi="Arial" w:cs="Arial"/>
        </w:rPr>
        <w:t>E</w:t>
      </w:r>
      <w:r w:rsidRPr="00A2548C">
        <w:rPr>
          <w:rFonts w:ascii="Arial" w:eastAsia="Calibri" w:hAnsi="Arial" w:cs="Arial"/>
        </w:rPr>
        <w:t xml:space="preserve">ven in the presence of increased carbohydrate consumption, there may be no </w:t>
      </w:r>
      <w:proofErr w:type="spellStart"/>
      <w:r w:rsidRPr="00A2548C">
        <w:rPr>
          <w:rFonts w:ascii="Arial" w:eastAsia="Calibri" w:hAnsi="Arial" w:cs="Arial"/>
        </w:rPr>
        <w:t>karyogenesis</w:t>
      </w:r>
      <w:proofErr w:type="spellEnd"/>
      <w:r>
        <w:rPr>
          <w:rFonts w:ascii="Arial" w:eastAsia="Calibri" w:hAnsi="Arial" w:cs="Arial"/>
        </w:rPr>
        <w:t>,</w:t>
      </w:r>
      <w:r w:rsidRPr="00A2548C">
        <w:rPr>
          <w:rFonts w:ascii="Arial" w:eastAsia="Calibri" w:hAnsi="Arial" w:cs="Arial"/>
        </w:rPr>
        <w:t xml:space="preserve"> </w:t>
      </w:r>
      <w:r w:rsidRPr="00E53F87">
        <w:rPr>
          <w:rFonts w:ascii="Arial" w:eastAsia="Calibri" w:hAnsi="Arial" w:cs="Arial"/>
        </w:rPr>
        <w:t xml:space="preserve">without </w:t>
      </w:r>
      <w:r w:rsidRPr="00A2548C">
        <w:rPr>
          <w:rFonts w:ascii="Arial" w:eastAsia="Calibri" w:hAnsi="Arial" w:cs="Arial"/>
        </w:rPr>
        <w:t xml:space="preserve">expressive activity </w:t>
      </w:r>
      <w:r w:rsidRPr="00E53F87">
        <w:rPr>
          <w:rFonts w:ascii="Arial" w:eastAsia="Calibri" w:hAnsi="Arial" w:cs="Arial"/>
        </w:rPr>
        <w:t xml:space="preserve">and multiplication </w:t>
      </w:r>
      <w:r w:rsidRPr="00A2548C">
        <w:rPr>
          <w:rFonts w:ascii="Arial" w:eastAsia="Calibri" w:hAnsi="Arial" w:cs="Arial"/>
        </w:rPr>
        <w:t>of cariogenic bacteria (Eshed et al.</w:t>
      </w:r>
      <w:r w:rsidRPr="00A2548C">
        <w:rPr>
          <w:rFonts w:ascii="Arial" w:hAnsi="Arial" w:cs="Arial"/>
          <w:lang w:eastAsia="pt-BR"/>
        </w:rPr>
        <w:t>, 2006)</w:t>
      </w:r>
      <w:r>
        <w:rPr>
          <w:rFonts w:ascii="Arial" w:hAnsi="Arial" w:cs="Arial"/>
          <w:lang w:eastAsia="pt-BR"/>
        </w:rPr>
        <w:t xml:space="preserve">. </w:t>
      </w:r>
      <w:r w:rsidRPr="00A2548C">
        <w:rPr>
          <w:rFonts w:ascii="Arial" w:eastAsia="Calibri" w:hAnsi="Arial" w:cs="Arial"/>
        </w:rPr>
        <w:t xml:space="preserve">The composition of the oral microbiota and the presence of growth of acidity-tolerant bacteria, as well as the enamel demineralization processes, contribute to enamel erosion and, therefore, caries of dental surfaces, starting </w:t>
      </w:r>
      <w:proofErr w:type="spellStart"/>
      <w:r w:rsidRPr="00A2548C">
        <w:rPr>
          <w:rFonts w:ascii="Arial" w:eastAsia="Calibri" w:hAnsi="Arial" w:cs="Arial"/>
        </w:rPr>
        <w:t>karyogenesis</w:t>
      </w:r>
      <w:proofErr w:type="spellEnd"/>
      <w:r w:rsidRPr="00A2548C">
        <w:rPr>
          <w:rFonts w:ascii="Arial" w:eastAsia="Calibri" w:hAnsi="Arial" w:cs="Arial"/>
        </w:rPr>
        <w:t xml:space="preserve"> (</w:t>
      </w:r>
      <w:proofErr w:type="spellStart"/>
      <w:r w:rsidRPr="00A2548C">
        <w:rPr>
          <w:rFonts w:ascii="Arial" w:eastAsia="Calibri" w:hAnsi="Arial" w:cs="Arial"/>
        </w:rPr>
        <w:t>Caraiman</w:t>
      </w:r>
      <w:proofErr w:type="spellEnd"/>
      <w:r w:rsidRPr="00A2548C">
        <w:rPr>
          <w:rFonts w:ascii="Arial" w:eastAsia="Calibri" w:hAnsi="Arial" w:cs="Arial"/>
        </w:rPr>
        <w:t>, 2020). At birth, humans have a sterile oral cavity</w:t>
      </w:r>
      <w:r>
        <w:rPr>
          <w:rFonts w:ascii="Arial" w:eastAsia="Calibri" w:hAnsi="Arial" w:cs="Arial"/>
        </w:rPr>
        <w:t>.</w:t>
      </w:r>
      <w:r w:rsidRPr="00A2548C">
        <w:rPr>
          <w:rFonts w:ascii="Arial" w:eastAsia="Calibri" w:hAnsi="Arial" w:cs="Arial"/>
        </w:rPr>
        <w:t xml:space="preserve"> Exposure to bacteria in the mother's body, the environment, food and other factors determine the formation of biofilms in the oral cavity. Changes suffered throughout life bring new exposures and </w:t>
      </w:r>
      <w:proofErr w:type="spellStart"/>
      <w:r w:rsidRPr="00A2548C">
        <w:rPr>
          <w:rFonts w:ascii="Arial" w:eastAsia="Calibri" w:hAnsi="Arial" w:cs="Arial"/>
        </w:rPr>
        <w:t>colonizations</w:t>
      </w:r>
      <w:proofErr w:type="spellEnd"/>
      <w:r w:rsidRPr="00A2548C">
        <w:rPr>
          <w:rFonts w:ascii="Arial" w:eastAsia="Calibri" w:hAnsi="Arial" w:cs="Arial"/>
        </w:rPr>
        <w:t xml:space="preserve"> </w:t>
      </w:r>
      <w:r w:rsidRPr="00B42DCE">
        <w:rPr>
          <w:rFonts w:ascii="Arial" w:eastAsia="Calibri" w:hAnsi="Arial" w:cs="Arial"/>
        </w:rPr>
        <w:t xml:space="preserve">by hundreds of species </w:t>
      </w:r>
      <w:r w:rsidRPr="00A2548C">
        <w:rPr>
          <w:rFonts w:ascii="Arial" w:eastAsia="Calibri" w:hAnsi="Arial" w:cs="Arial"/>
        </w:rPr>
        <w:t>(Li, Wang and Caufield, 2000</w:t>
      </w:r>
      <w:r w:rsidR="00B42DCE">
        <w:rPr>
          <w:rFonts w:ascii="Arial" w:eastAsia="Calibri" w:hAnsi="Arial" w:cs="Arial"/>
        </w:rPr>
        <w:t xml:space="preserve">; </w:t>
      </w:r>
      <w:r w:rsidRPr="00A2548C">
        <w:rPr>
          <w:rFonts w:ascii="Arial" w:eastAsia="Calibri" w:hAnsi="Arial" w:cs="Arial"/>
        </w:rPr>
        <w:t>Gibbons et al., 1964; Gordon and Jong, 1968; Akcali and Lang, 2018) by different routes of introduction (</w:t>
      </w:r>
      <w:proofErr w:type="spellStart"/>
      <w:r w:rsidRPr="00A2548C">
        <w:rPr>
          <w:rFonts w:ascii="Arial" w:eastAsia="Calibri" w:hAnsi="Arial" w:cs="Arial"/>
        </w:rPr>
        <w:t>Arensbourg</w:t>
      </w:r>
      <w:proofErr w:type="spellEnd"/>
      <w:r w:rsidRPr="00A2548C">
        <w:rPr>
          <w:rFonts w:ascii="Arial" w:eastAsia="Calibri" w:hAnsi="Arial" w:cs="Arial"/>
        </w:rPr>
        <w:t>, 1996; Adler et al., 2013; Akcali and Lang, 2018; Lee et al.</w:t>
      </w:r>
      <w:r w:rsidRPr="00A2548C">
        <w:rPr>
          <w:rFonts w:ascii="Arial" w:eastAsia="Calibri" w:hAnsi="Arial" w:cs="Arial"/>
          <w:i/>
          <w:iCs/>
        </w:rPr>
        <w:t>,</w:t>
      </w:r>
      <w:r w:rsidRPr="00A2548C">
        <w:rPr>
          <w:rFonts w:ascii="Arial" w:eastAsia="Calibri" w:hAnsi="Arial" w:cs="Arial"/>
        </w:rPr>
        <w:t xml:space="preserve"> 2021). </w:t>
      </w:r>
    </w:p>
    <w:p w14:paraId="16583CAA" w14:textId="3BEAE712" w:rsidR="00E53F87" w:rsidRPr="00A2548C" w:rsidRDefault="00B42DCE" w:rsidP="00E53F87">
      <w:pPr>
        <w:spacing w:after="200"/>
        <w:ind w:firstLine="360"/>
        <w:jc w:val="both"/>
        <w:rPr>
          <w:rFonts w:ascii="Arial" w:eastAsia="Calibri" w:hAnsi="Arial" w:cs="Arial"/>
        </w:rPr>
      </w:pPr>
      <w:r>
        <w:rPr>
          <w:rFonts w:ascii="Arial" w:eastAsia="Calibri" w:hAnsi="Arial" w:cs="Arial"/>
        </w:rPr>
        <w:t>T</w:t>
      </w:r>
      <w:r w:rsidR="00E53F87" w:rsidRPr="00A2548C">
        <w:rPr>
          <w:rFonts w:ascii="Arial" w:eastAsia="Calibri" w:hAnsi="Arial" w:cs="Arial"/>
        </w:rPr>
        <w:t xml:space="preserve">he study of the teeth, mucous membranes and other components of </w:t>
      </w:r>
      <w:r w:rsidR="00E53F87" w:rsidRPr="00B42DCE">
        <w:rPr>
          <w:rFonts w:ascii="Arial" w:eastAsia="Calibri" w:hAnsi="Arial" w:cs="Arial"/>
        </w:rPr>
        <w:t xml:space="preserve">the mouth </w:t>
      </w:r>
      <w:r w:rsidR="00E53F87" w:rsidRPr="00A2548C">
        <w:rPr>
          <w:rFonts w:ascii="Arial" w:eastAsia="Calibri" w:hAnsi="Arial" w:cs="Arial"/>
        </w:rPr>
        <w:t>environment and their biofilms is of paramount importance to understand</w:t>
      </w:r>
      <w:r w:rsidR="001A2293">
        <w:rPr>
          <w:rFonts w:ascii="Arial" w:eastAsia="Calibri" w:hAnsi="Arial" w:cs="Arial"/>
        </w:rPr>
        <w:t>ing</w:t>
      </w:r>
      <w:r w:rsidR="00E53F87" w:rsidRPr="00A2548C">
        <w:rPr>
          <w:rFonts w:ascii="Arial" w:eastAsia="Calibri" w:hAnsi="Arial" w:cs="Arial"/>
        </w:rPr>
        <w:t xml:space="preserve"> health and disease, whether of individuals or human groups. In this context, dental calculus is a true reference for the study of biological, specifically paleopathological, and even cultural aspects (Kerkens et al, 2018, Standeven et al, 2024 </w:t>
      </w:r>
      <w:r w:rsidR="00A14502">
        <w:rPr>
          <w:rFonts w:ascii="Arial" w:eastAsia="Calibri" w:hAnsi="Arial" w:cs="Arial"/>
        </w:rPr>
        <w:t>–</w:t>
      </w:r>
      <w:r w:rsidR="00E53F87" w:rsidRPr="00A2548C">
        <w:rPr>
          <w:rFonts w:ascii="Arial" w:eastAsia="Calibri" w:hAnsi="Arial" w:cs="Arial"/>
        </w:rPr>
        <w:t xml:space="preserve"> preprint</w:t>
      </w:r>
      <w:r w:rsidR="00A14502">
        <w:rPr>
          <w:rFonts w:ascii="Arial" w:eastAsia="Calibri" w:hAnsi="Arial" w:cs="Arial"/>
        </w:rPr>
        <w:t>)</w:t>
      </w:r>
      <w:r w:rsidR="00D72DDE">
        <w:rPr>
          <w:rFonts w:ascii="Arial" w:eastAsia="Calibri" w:hAnsi="Arial" w:cs="Arial"/>
        </w:rPr>
        <w:t xml:space="preserve">. </w:t>
      </w:r>
      <w:r w:rsidR="00A14502" w:rsidRPr="00A14502">
        <w:rPr>
          <w:rFonts w:ascii="Arial" w:eastAsia="Calibri" w:hAnsi="Arial" w:cs="Arial"/>
        </w:rPr>
        <w:t>O</w:t>
      </w:r>
      <w:r w:rsidR="00E53F87" w:rsidRPr="00A14502">
        <w:rPr>
          <w:rFonts w:ascii="Arial" w:eastAsia="Calibri" w:hAnsi="Arial" w:cs="Arial"/>
        </w:rPr>
        <w:t xml:space="preserve">ral versus systemic health has </w:t>
      </w:r>
      <w:r w:rsidR="00E53F87" w:rsidRPr="00A2548C">
        <w:rPr>
          <w:rFonts w:ascii="Arial" w:eastAsia="Calibri" w:hAnsi="Arial" w:cs="Arial"/>
        </w:rPr>
        <w:t>been the subject of paleopathology for decades (Cohen and Armelagos, 1984; Hilson, 1990; Mackenzie et al</w:t>
      </w:r>
      <w:r w:rsidR="00E53F87" w:rsidRPr="00A2548C">
        <w:rPr>
          <w:rFonts w:ascii="Arial" w:eastAsia="Calibri" w:hAnsi="Arial" w:cs="Arial"/>
          <w:i/>
          <w:iCs/>
        </w:rPr>
        <w:t>.</w:t>
      </w:r>
      <w:r w:rsidR="00E53F87" w:rsidRPr="00A2548C">
        <w:rPr>
          <w:rFonts w:ascii="Arial" w:eastAsia="Calibri" w:hAnsi="Arial" w:cs="Arial"/>
        </w:rPr>
        <w:t xml:space="preserve">, 2021). The community of microorganisms in the oral cavity constitutes an ecologically active environment </w:t>
      </w:r>
      <w:r w:rsidR="00E53F87" w:rsidRPr="00A14502">
        <w:rPr>
          <w:rFonts w:ascii="Arial" w:eastAsia="Calibri" w:hAnsi="Arial" w:cs="Arial"/>
        </w:rPr>
        <w:t>impacting health.</w:t>
      </w:r>
      <w:r w:rsidR="00E53F87">
        <w:rPr>
          <w:rFonts w:ascii="Arial" w:eastAsia="Calibri" w:hAnsi="Arial" w:cs="Arial"/>
          <w:color w:val="FF0000"/>
        </w:rPr>
        <w:t xml:space="preserve"> </w:t>
      </w:r>
    </w:p>
    <w:p w14:paraId="521C140F" w14:textId="0CD6F5A3" w:rsidR="00E53F87" w:rsidRPr="00A2548C" w:rsidRDefault="00E53F87" w:rsidP="00E53F87">
      <w:pPr>
        <w:autoSpaceDE w:val="0"/>
        <w:autoSpaceDN w:val="0"/>
        <w:adjustRightInd w:val="0"/>
        <w:ind w:firstLine="360"/>
        <w:jc w:val="both"/>
        <w:rPr>
          <w:rFonts w:ascii="Arial" w:eastAsia="Calibri" w:hAnsi="Arial" w:cs="Arial"/>
        </w:rPr>
      </w:pPr>
      <w:r w:rsidRPr="00A2548C">
        <w:rPr>
          <w:rFonts w:ascii="Arial" w:eastAsia="Calibri" w:hAnsi="Arial" w:cs="Arial"/>
        </w:rPr>
        <w:t xml:space="preserve">In general, human coexistence with the oral microbiota is formed by many saprophytes and commensals, remaining generally healthy and balanced (Socransky and Manganiello, 1971; Kleinberg, 2002; Marsh, 2010). </w:t>
      </w:r>
      <w:r w:rsidRPr="00A14502">
        <w:rPr>
          <w:rFonts w:ascii="Arial" w:eastAsia="Calibri" w:hAnsi="Arial" w:cs="Arial"/>
        </w:rPr>
        <w:t>An</w:t>
      </w:r>
      <w:r w:rsidRPr="001E770C">
        <w:rPr>
          <w:rFonts w:ascii="Arial" w:eastAsia="Calibri" w:hAnsi="Arial" w:cs="Arial"/>
          <w:color w:val="FF0000"/>
        </w:rPr>
        <w:t xml:space="preserve"> </w:t>
      </w:r>
      <w:r w:rsidRPr="00A2548C">
        <w:rPr>
          <w:rFonts w:ascii="Arial" w:eastAsia="Calibri" w:hAnsi="Arial" w:cs="Arial"/>
        </w:rPr>
        <w:t xml:space="preserve">increased consumption of starchy foods, processed foods, and ultra-processed foods (Adler et al., 2013; Hilson, 1990; Cook et al., 2012; Pitts et al., 2017; Williams, 2019; Gagnon, 2020) alter the microecological balance between host and microorganisms causing a </w:t>
      </w:r>
      <w:proofErr w:type="spellStart"/>
      <w:r w:rsidRPr="00A2548C">
        <w:rPr>
          <w:rFonts w:ascii="Arial" w:eastAsia="Calibri" w:hAnsi="Arial" w:cs="Arial"/>
        </w:rPr>
        <w:t>dysbiotic</w:t>
      </w:r>
      <w:proofErr w:type="spellEnd"/>
      <w:r w:rsidRPr="00A2548C">
        <w:rPr>
          <w:rFonts w:ascii="Arial" w:eastAsia="Calibri" w:hAnsi="Arial" w:cs="Arial"/>
        </w:rPr>
        <w:t xml:space="preserve"> state (Li et al., 2022), which can impact oral health causing</w:t>
      </w:r>
      <w:r>
        <w:rPr>
          <w:rFonts w:ascii="Arial" w:eastAsia="Calibri" w:hAnsi="Arial" w:cs="Arial"/>
        </w:rPr>
        <w:t xml:space="preserve"> </w:t>
      </w:r>
      <w:r w:rsidRPr="00A2548C">
        <w:rPr>
          <w:rFonts w:ascii="Arial" w:eastAsia="Calibri" w:hAnsi="Arial" w:cs="Arial"/>
        </w:rPr>
        <w:t>progressive increase in the prevalence of dental caries and its systemic consequences (Lee et al., 2021).</w:t>
      </w:r>
    </w:p>
    <w:p w14:paraId="4B089DD7" w14:textId="4C6460A1" w:rsidR="00E53F87" w:rsidRPr="00A2548C" w:rsidRDefault="006F0996" w:rsidP="00E53F87">
      <w:pPr>
        <w:autoSpaceDE w:val="0"/>
        <w:autoSpaceDN w:val="0"/>
        <w:adjustRightInd w:val="0"/>
        <w:ind w:firstLine="360"/>
        <w:jc w:val="both"/>
        <w:rPr>
          <w:rFonts w:ascii="Arial" w:eastAsia="Calibri" w:hAnsi="Arial" w:cs="Arial"/>
        </w:rPr>
      </w:pPr>
      <w:r>
        <w:rPr>
          <w:rFonts w:ascii="Arial" w:eastAsia="Calibri" w:hAnsi="Arial" w:cs="Arial"/>
        </w:rPr>
        <w:t>F</w:t>
      </w:r>
      <w:r w:rsidR="00E53F87" w:rsidRPr="00A2548C">
        <w:rPr>
          <w:rFonts w:ascii="Arial" w:eastAsia="Calibri" w:hAnsi="Arial" w:cs="Arial"/>
        </w:rPr>
        <w:t xml:space="preserve">requencies of dental caries </w:t>
      </w:r>
      <w:r w:rsidR="00E53F87" w:rsidRPr="006F0996">
        <w:rPr>
          <w:rFonts w:ascii="Arial" w:eastAsia="Calibri" w:hAnsi="Arial" w:cs="Arial"/>
        </w:rPr>
        <w:t>in</w:t>
      </w:r>
      <w:r w:rsidR="00E53F87">
        <w:rPr>
          <w:rFonts w:ascii="Arial" w:eastAsia="Calibri" w:hAnsi="Arial" w:cs="Arial"/>
        </w:rPr>
        <w:t xml:space="preserve"> </w:t>
      </w:r>
      <w:r w:rsidR="00E53F87" w:rsidRPr="00A2548C">
        <w:rPr>
          <w:rFonts w:ascii="Arial" w:eastAsia="Calibri" w:hAnsi="Arial" w:cs="Arial"/>
        </w:rPr>
        <w:t xml:space="preserve">different periods and populations (Alves Filho et al., 2014; </w:t>
      </w:r>
      <w:r w:rsidR="00E53F87" w:rsidRPr="00A2548C">
        <w:rPr>
          <w:rFonts w:ascii="Arial" w:hAnsi="Arial" w:cs="Arial"/>
          <w:lang w:eastAsia="pt-BR"/>
        </w:rPr>
        <w:t xml:space="preserve">Witwer-Backofen and Engel, 2018; </w:t>
      </w:r>
      <w:proofErr w:type="spellStart"/>
      <w:r w:rsidR="00E53F87" w:rsidRPr="00A2548C">
        <w:rPr>
          <w:rFonts w:ascii="Arial" w:hAnsi="Arial" w:cs="Arial"/>
          <w:lang w:eastAsia="pt-BR"/>
        </w:rPr>
        <w:t>Martignon</w:t>
      </w:r>
      <w:proofErr w:type="spellEnd"/>
      <w:r w:rsidR="00E53F87" w:rsidRPr="00A2548C">
        <w:rPr>
          <w:rFonts w:ascii="Arial" w:hAnsi="Arial" w:cs="Arial"/>
          <w:lang w:eastAsia="pt-BR"/>
        </w:rPr>
        <w:t xml:space="preserve"> et al., 2021</w:t>
      </w:r>
      <w:r w:rsidR="00E53F87" w:rsidRPr="00A2548C">
        <w:rPr>
          <w:rFonts w:ascii="Arial" w:eastAsia="Calibri" w:hAnsi="Arial" w:cs="Arial"/>
        </w:rPr>
        <w:t xml:space="preserve">) establish </w:t>
      </w:r>
      <w:r w:rsidR="00E53F87" w:rsidRPr="00D20176">
        <w:rPr>
          <w:rFonts w:ascii="Arial" w:eastAsia="Calibri" w:hAnsi="Arial" w:cs="Arial"/>
        </w:rPr>
        <w:t>their</w:t>
      </w:r>
      <w:r w:rsidR="00E53F87" w:rsidRPr="004A2F89">
        <w:rPr>
          <w:rFonts w:ascii="Arial" w:eastAsia="Calibri" w:hAnsi="Arial" w:cs="Arial"/>
          <w:color w:val="FF0000"/>
        </w:rPr>
        <w:t xml:space="preserve"> </w:t>
      </w:r>
      <w:r w:rsidR="00E53F87" w:rsidRPr="00A2548C">
        <w:rPr>
          <w:rFonts w:ascii="Arial" w:eastAsia="Calibri" w:hAnsi="Arial" w:cs="Arial"/>
        </w:rPr>
        <w:t xml:space="preserve">determinant factors. In Brazil, the adoption of crops and other forms of food production introduced more cariogenic components to the diet of pre-horticulturists. </w:t>
      </w:r>
      <w:r w:rsidR="00E53F87" w:rsidRPr="00D20176">
        <w:rPr>
          <w:rFonts w:ascii="Arial" w:eastAsia="Calibri" w:hAnsi="Arial" w:cs="Arial"/>
        </w:rPr>
        <w:t xml:space="preserve">Brazilian </w:t>
      </w:r>
      <w:r w:rsidR="00E53F87" w:rsidRPr="00A2548C">
        <w:rPr>
          <w:rFonts w:ascii="Arial" w:eastAsia="Calibri" w:hAnsi="Arial" w:cs="Arial"/>
        </w:rPr>
        <w:t xml:space="preserve">pre-horticultural groups </w:t>
      </w:r>
      <w:r w:rsidR="00E53F87" w:rsidRPr="00D20176">
        <w:rPr>
          <w:rFonts w:ascii="Arial" w:eastAsia="Calibri" w:hAnsi="Arial" w:cs="Arial"/>
        </w:rPr>
        <w:t xml:space="preserve">living at </w:t>
      </w:r>
      <w:r w:rsidR="00E53F87" w:rsidRPr="00A2548C">
        <w:rPr>
          <w:rFonts w:ascii="Arial" w:eastAsia="Calibri" w:hAnsi="Arial" w:cs="Arial"/>
        </w:rPr>
        <w:t xml:space="preserve">coastal environments on the South-Southeast, between 8,000 and 1,500 years ago, represented a period prior to the introduction of starch-rich cultivars (Gaspar et al., 2007; Gaspar et al., 2014; Klökler et al., 2018). </w:t>
      </w:r>
      <w:r w:rsidR="00C9150B">
        <w:rPr>
          <w:rFonts w:ascii="Arial" w:eastAsia="Calibri" w:hAnsi="Arial" w:cs="Arial"/>
        </w:rPr>
        <w:t>The f</w:t>
      </w:r>
      <w:r w:rsidR="00E53F87" w:rsidRPr="00A2548C">
        <w:rPr>
          <w:rFonts w:ascii="Arial" w:eastAsia="Calibri" w:hAnsi="Arial" w:cs="Arial"/>
        </w:rPr>
        <w:t xml:space="preserve">requency of </w:t>
      </w:r>
      <w:r w:rsidR="00E53F87" w:rsidRPr="00C9150B">
        <w:rPr>
          <w:rFonts w:ascii="Arial" w:eastAsia="Calibri" w:hAnsi="Arial" w:cs="Arial"/>
        </w:rPr>
        <w:t>carie</w:t>
      </w:r>
      <w:r w:rsidR="00FA6DCB">
        <w:rPr>
          <w:rFonts w:ascii="Arial" w:eastAsia="Calibri" w:hAnsi="Arial" w:cs="Arial"/>
        </w:rPr>
        <w:t>s</w:t>
      </w:r>
      <w:r w:rsidR="00E53F87" w:rsidRPr="006F1B36">
        <w:rPr>
          <w:rFonts w:ascii="Arial" w:eastAsia="Calibri" w:hAnsi="Arial" w:cs="Arial"/>
          <w:color w:val="FF0000"/>
        </w:rPr>
        <w:t xml:space="preserve"> </w:t>
      </w:r>
      <w:r w:rsidR="00E53F87" w:rsidRPr="00A2548C">
        <w:rPr>
          <w:rFonts w:ascii="Arial" w:eastAsia="Calibri" w:hAnsi="Arial" w:cs="Arial"/>
        </w:rPr>
        <w:t>(Wesolowski et al., 2010) was low</w:t>
      </w:r>
      <w:r w:rsidR="001C4C6E">
        <w:rPr>
          <w:rFonts w:ascii="Arial" w:eastAsia="Calibri" w:hAnsi="Arial" w:cs="Arial"/>
        </w:rPr>
        <w:t>,</w:t>
      </w:r>
      <w:r w:rsidR="00E53F87">
        <w:rPr>
          <w:rFonts w:ascii="Arial" w:eastAsia="Calibri" w:hAnsi="Arial" w:cs="Arial"/>
        </w:rPr>
        <w:t xml:space="preserve"> </w:t>
      </w:r>
      <w:r w:rsidR="00E53F87" w:rsidRPr="001C4C6E">
        <w:rPr>
          <w:rFonts w:ascii="Arial" w:eastAsia="Calibri" w:hAnsi="Arial" w:cs="Arial"/>
        </w:rPr>
        <w:t xml:space="preserve">increasing when </w:t>
      </w:r>
      <w:r w:rsidR="00E53F87" w:rsidRPr="00A2548C">
        <w:rPr>
          <w:rFonts w:ascii="Arial" w:eastAsia="Calibri" w:hAnsi="Arial" w:cs="Arial"/>
        </w:rPr>
        <w:t xml:space="preserve">carbohydrates began to be </w:t>
      </w:r>
      <w:r w:rsidR="00E53F87" w:rsidRPr="001C4C6E">
        <w:rPr>
          <w:rFonts w:ascii="Arial" w:eastAsia="Calibri" w:hAnsi="Arial" w:cs="Arial"/>
        </w:rPr>
        <w:t>more intensively</w:t>
      </w:r>
      <w:r w:rsidR="00E53F87" w:rsidRPr="00B573BF">
        <w:rPr>
          <w:rFonts w:ascii="Arial" w:eastAsia="Calibri" w:hAnsi="Arial" w:cs="Arial"/>
          <w:color w:val="FF0000"/>
        </w:rPr>
        <w:t xml:space="preserve"> </w:t>
      </w:r>
      <w:r w:rsidR="00E53F87" w:rsidRPr="00A2548C">
        <w:rPr>
          <w:rFonts w:ascii="Arial" w:eastAsia="Calibri" w:hAnsi="Arial" w:cs="Arial"/>
        </w:rPr>
        <w:t xml:space="preserve">used. </w:t>
      </w:r>
      <w:r w:rsidR="00E53F87" w:rsidRPr="001C4C6E">
        <w:rPr>
          <w:rFonts w:ascii="Arial" w:eastAsia="Calibri" w:hAnsi="Arial" w:cs="Arial"/>
        </w:rPr>
        <w:t>Among</w:t>
      </w:r>
      <w:r w:rsidR="00E53F87">
        <w:rPr>
          <w:rFonts w:ascii="Arial" w:eastAsia="Calibri" w:hAnsi="Arial" w:cs="Arial"/>
        </w:rPr>
        <w:t xml:space="preserve"> th</w:t>
      </w:r>
      <w:r w:rsidR="00E53F87" w:rsidRPr="00A2548C">
        <w:rPr>
          <w:rFonts w:ascii="Arial" w:eastAsia="Calibri" w:hAnsi="Arial" w:cs="Arial"/>
        </w:rPr>
        <w:t>e builders of monumental shell</w:t>
      </w:r>
      <w:r w:rsidR="00457A20">
        <w:rPr>
          <w:rFonts w:ascii="Arial" w:eastAsia="Calibri" w:hAnsi="Arial" w:cs="Arial"/>
        </w:rPr>
        <w:t xml:space="preserve"> </w:t>
      </w:r>
      <w:r w:rsidR="00E53F87" w:rsidRPr="00A2548C">
        <w:rPr>
          <w:rFonts w:ascii="Arial" w:eastAsia="Calibri" w:hAnsi="Arial" w:cs="Arial"/>
        </w:rPr>
        <w:t xml:space="preserve">mounds called </w:t>
      </w:r>
      <w:r w:rsidR="00E53F87" w:rsidRPr="00A2548C">
        <w:rPr>
          <w:rFonts w:ascii="Arial" w:eastAsia="Calibri" w:hAnsi="Arial" w:cs="Arial"/>
          <w:i/>
          <w:iCs/>
        </w:rPr>
        <w:t>sambaquis</w:t>
      </w:r>
      <w:r w:rsidR="00E53F87" w:rsidRPr="00A2548C">
        <w:rPr>
          <w:rFonts w:ascii="Arial" w:eastAsia="Calibri" w:hAnsi="Arial" w:cs="Arial"/>
        </w:rPr>
        <w:t xml:space="preserve"> in Brazil, </w:t>
      </w:r>
      <w:r w:rsidR="00E53F87" w:rsidRPr="001C4C6E">
        <w:rPr>
          <w:rFonts w:ascii="Arial" w:eastAsia="Calibri" w:hAnsi="Arial" w:cs="Arial"/>
        </w:rPr>
        <w:t xml:space="preserve">caries </w:t>
      </w:r>
      <w:r w:rsidR="00457A20">
        <w:rPr>
          <w:rFonts w:ascii="Arial" w:eastAsia="Calibri" w:hAnsi="Arial" w:cs="Arial"/>
        </w:rPr>
        <w:t>is</w:t>
      </w:r>
      <w:r w:rsidR="00E53F87" w:rsidRPr="001C4C6E">
        <w:rPr>
          <w:rFonts w:ascii="Arial" w:eastAsia="Calibri" w:hAnsi="Arial" w:cs="Arial"/>
        </w:rPr>
        <w:t xml:space="preserve"> almost absent </w:t>
      </w:r>
      <w:r w:rsidR="00E53F87" w:rsidRPr="00A2548C">
        <w:rPr>
          <w:rFonts w:ascii="Arial" w:eastAsia="Calibri" w:hAnsi="Arial" w:cs="Arial"/>
        </w:rPr>
        <w:t xml:space="preserve">(Souza et al., 2009). </w:t>
      </w:r>
    </w:p>
    <w:p w14:paraId="249C225D" w14:textId="6C1574EE" w:rsidR="00E53F87" w:rsidRPr="00A2548C" w:rsidRDefault="00E53F87" w:rsidP="00E53F87">
      <w:pPr>
        <w:autoSpaceDE w:val="0"/>
        <w:autoSpaceDN w:val="0"/>
        <w:adjustRightInd w:val="0"/>
        <w:ind w:firstLine="360"/>
        <w:jc w:val="both"/>
        <w:rPr>
          <w:rFonts w:ascii="Arial" w:eastAsia="Calibri" w:hAnsi="Arial" w:cs="Arial"/>
        </w:rPr>
      </w:pPr>
      <w:r w:rsidRPr="00A2548C">
        <w:rPr>
          <w:rFonts w:ascii="Arial" w:eastAsia="Calibri" w:hAnsi="Arial" w:cs="Arial"/>
        </w:rPr>
        <w:t>Many studies have been done on prehistoric groups of shell</w:t>
      </w:r>
      <w:r w:rsidR="00457A20">
        <w:rPr>
          <w:rFonts w:ascii="Arial" w:eastAsia="Calibri" w:hAnsi="Arial" w:cs="Arial"/>
        </w:rPr>
        <w:t xml:space="preserve"> </w:t>
      </w:r>
      <w:r w:rsidRPr="00A2548C">
        <w:rPr>
          <w:rFonts w:ascii="Arial" w:eastAsia="Calibri" w:hAnsi="Arial" w:cs="Arial"/>
        </w:rPr>
        <w:t xml:space="preserve">mound builders, </w:t>
      </w:r>
      <w:r w:rsidRPr="001C4C6E">
        <w:rPr>
          <w:rFonts w:ascii="Arial" w:eastAsia="Calibri" w:hAnsi="Arial" w:cs="Arial"/>
        </w:rPr>
        <w:t>suggesting</w:t>
      </w:r>
      <w:r w:rsidRPr="009432D1">
        <w:rPr>
          <w:rFonts w:ascii="Arial" w:eastAsia="Calibri" w:hAnsi="Arial" w:cs="Arial"/>
          <w:color w:val="FF0000"/>
        </w:rPr>
        <w:t xml:space="preserve"> </w:t>
      </w:r>
      <w:r w:rsidRPr="00A2548C">
        <w:rPr>
          <w:rFonts w:ascii="Arial" w:eastAsia="Calibri" w:hAnsi="Arial" w:cs="Arial"/>
        </w:rPr>
        <w:t xml:space="preserve">the differences in their diets and habits </w:t>
      </w:r>
      <w:r w:rsidRPr="001C4C6E">
        <w:rPr>
          <w:rFonts w:ascii="Arial" w:eastAsia="Calibri" w:hAnsi="Arial" w:cs="Arial"/>
        </w:rPr>
        <w:t>conditioned</w:t>
      </w:r>
      <w:r w:rsidRPr="00A2548C">
        <w:rPr>
          <w:rFonts w:ascii="Arial" w:eastAsia="Calibri" w:hAnsi="Arial" w:cs="Arial"/>
        </w:rPr>
        <w:t xml:space="preserve"> different oral health </w:t>
      </w:r>
      <w:proofErr w:type="gramStart"/>
      <w:r w:rsidRPr="00A2548C">
        <w:rPr>
          <w:rFonts w:ascii="Arial" w:eastAsia="Calibri" w:hAnsi="Arial" w:cs="Arial"/>
        </w:rPr>
        <w:t>conditions</w:t>
      </w:r>
      <w:r>
        <w:rPr>
          <w:rFonts w:ascii="Arial" w:eastAsia="Calibri" w:hAnsi="Arial" w:cs="Arial"/>
        </w:rPr>
        <w:t xml:space="preserve">, </w:t>
      </w:r>
      <w:r w:rsidRPr="00A2548C">
        <w:rPr>
          <w:rFonts w:ascii="Arial" w:eastAsia="Calibri" w:hAnsi="Arial" w:cs="Arial"/>
        </w:rPr>
        <w:t xml:space="preserve"> even</w:t>
      </w:r>
      <w:proofErr w:type="gramEnd"/>
      <w:r w:rsidR="00457A20">
        <w:rPr>
          <w:rFonts w:ascii="Arial" w:eastAsia="Calibri" w:hAnsi="Arial" w:cs="Arial"/>
        </w:rPr>
        <w:t xml:space="preserve"> </w:t>
      </w:r>
      <w:r w:rsidRPr="00A2548C">
        <w:rPr>
          <w:rFonts w:ascii="Arial" w:eastAsia="Calibri" w:hAnsi="Arial" w:cs="Arial"/>
        </w:rPr>
        <w:t xml:space="preserve">though the multifactorial dental caries makes it difficult to associate causes and effects (Wesolowski et al., 2010; Guida, Bastos, Rodrigues-Carvalho, 2024). </w:t>
      </w:r>
    </w:p>
    <w:p w14:paraId="14DF1AC9" w14:textId="1E7DB2B2" w:rsidR="00E53F87" w:rsidRPr="004C3BB5" w:rsidRDefault="00E53F87" w:rsidP="00E53F87">
      <w:pPr>
        <w:autoSpaceDE w:val="0"/>
        <w:autoSpaceDN w:val="0"/>
        <w:adjustRightInd w:val="0"/>
        <w:ind w:firstLine="360"/>
        <w:jc w:val="both"/>
        <w:rPr>
          <w:rFonts w:ascii="Arial" w:eastAsia="Calibri" w:hAnsi="Arial" w:cs="Arial"/>
        </w:rPr>
      </w:pPr>
      <w:r>
        <w:rPr>
          <w:rFonts w:ascii="Arial" w:eastAsia="Calibri" w:hAnsi="Arial" w:cs="Arial"/>
        </w:rPr>
        <w:t>D</w:t>
      </w:r>
      <w:r w:rsidRPr="00A2548C">
        <w:rPr>
          <w:rFonts w:ascii="Arial" w:eastAsia="Calibri" w:hAnsi="Arial" w:cs="Arial"/>
        </w:rPr>
        <w:t xml:space="preserve">ifferent processes of microbial interaction, and the growth of the population of cariogenic bacteria can be modulated, with microorganisms capable of interfering with the proliferation of others (Whiteley et al., 2017). This type of </w:t>
      </w:r>
      <w:r w:rsidRPr="00A2548C">
        <w:rPr>
          <w:rFonts w:ascii="Arial" w:hAnsi="Arial" w:cs="Arial"/>
          <w:lang w:eastAsia="pt-BR"/>
        </w:rPr>
        <w:t xml:space="preserve">action </w:t>
      </w:r>
      <w:r w:rsidRPr="00A2548C">
        <w:rPr>
          <w:rFonts w:ascii="Arial" w:eastAsia="Calibri" w:hAnsi="Arial" w:cs="Arial"/>
        </w:rPr>
        <w:t xml:space="preserve">(Rosebury, 1952; Gibbons et al., 1964; </w:t>
      </w:r>
      <w:proofErr w:type="spellStart"/>
      <w:r w:rsidRPr="00A2548C">
        <w:rPr>
          <w:rFonts w:ascii="Arial" w:eastAsia="Calibri" w:hAnsi="Arial" w:cs="Arial"/>
        </w:rPr>
        <w:t>Löesche</w:t>
      </w:r>
      <w:proofErr w:type="spellEnd"/>
      <w:r w:rsidRPr="00A2548C">
        <w:rPr>
          <w:rFonts w:ascii="Arial" w:eastAsia="Calibri" w:hAnsi="Arial" w:cs="Arial"/>
        </w:rPr>
        <w:t xml:space="preserve"> et al.</w:t>
      </w:r>
      <w:r w:rsidRPr="00A2548C">
        <w:rPr>
          <w:rFonts w:ascii="Arial" w:eastAsia="Calibri" w:hAnsi="Arial" w:cs="Arial"/>
          <w:i/>
          <w:iCs/>
        </w:rPr>
        <w:t xml:space="preserve">, </w:t>
      </w:r>
      <w:r w:rsidRPr="00A2548C">
        <w:rPr>
          <w:rFonts w:ascii="Arial" w:eastAsia="Calibri" w:hAnsi="Arial" w:cs="Arial"/>
        </w:rPr>
        <w:t xml:space="preserve">1985; </w:t>
      </w:r>
      <w:proofErr w:type="spellStart"/>
      <w:r w:rsidRPr="00A2548C">
        <w:rPr>
          <w:rFonts w:ascii="Arial" w:eastAsia="Calibri" w:hAnsi="Arial" w:cs="Arial"/>
        </w:rPr>
        <w:t>Löesche</w:t>
      </w:r>
      <w:proofErr w:type="spellEnd"/>
      <w:r w:rsidRPr="00A2548C">
        <w:rPr>
          <w:rFonts w:ascii="Arial" w:eastAsia="Calibri" w:hAnsi="Arial" w:cs="Arial"/>
        </w:rPr>
        <w:t xml:space="preserve"> 1994; Jörn et al., 2005; </w:t>
      </w:r>
      <w:r w:rsidR="0020506C" w:rsidRPr="00A2548C">
        <w:rPr>
          <w:rFonts w:ascii="Arial" w:eastAsia="Calibri" w:hAnsi="Arial" w:cs="Arial"/>
        </w:rPr>
        <w:t>Nunes et al., 2007</w:t>
      </w:r>
      <w:r w:rsidR="0020506C">
        <w:rPr>
          <w:rFonts w:ascii="Arial" w:eastAsia="Calibri" w:hAnsi="Arial" w:cs="Arial"/>
        </w:rPr>
        <w:t xml:space="preserve">; </w:t>
      </w:r>
      <w:r w:rsidRPr="00A2548C">
        <w:rPr>
          <w:rFonts w:ascii="Arial" w:eastAsia="Calibri" w:hAnsi="Arial" w:cs="Arial"/>
        </w:rPr>
        <w:t>Marsh, 2010).</w:t>
      </w:r>
      <w:r>
        <w:rPr>
          <w:rFonts w:ascii="Arial" w:eastAsia="Calibri" w:hAnsi="Arial" w:cs="Arial"/>
        </w:rPr>
        <w:t xml:space="preserve"> </w:t>
      </w:r>
      <w:r w:rsidRPr="004C3BB5">
        <w:rPr>
          <w:rFonts w:ascii="Arial" w:eastAsia="Calibri" w:hAnsi="Arial" w:cs="Arial"/>
        </w:rPr>
        <w:t xml:space="preserve">The performance of microorganisms and their ability to produce non-physiological events must </w:t>
      </w:r>
      <w:r w:rsidR="004C3BB5">
        <w:rPr>
          <w:rFonts w:ascii="Arial" w:eastAsia="Calibri" w:hAnsi="Arial" w:cs="Arial"/>
        </w:rPr>
        <w:t>consider</w:t>
      </w:r>
      <w:r w:rsidRPr="004C3BB5">
        <w:rPr>
          <w:rFonts w:ascii="Arial" w:eastAsia="Calibri" w:hAnsi="Arial" w:cs="Arial"/>
        </w:rPr>
        <w:t xml:space="preserve"> the complexity of their interactions and their diversity.</w:t>
      </w:r>
    </w:p>
    <w:p w14:paraId="4E13520F" w14:textId="62184D47" w:rsidR="00E53F87" w:rsidRPr="00A2548C" w:rsidRDefault="00E53F87" w:rsidP="00E53F87">
      <w:pPr>
        <w:autoSpaceDE w:val="0"/>
        <w:autoSpaceDN w:val="0"/>
        <w:adjustRightInd w:val="0"/>
        <w:ind w:firstLine="360"/>
        <w:jc w:val="both"/>
        <w:rPr>
          <w:rFonts w:ascii="Arial" w:eastAsia="Calibri" w:hAnsi="Arial" w:cs="Arial"/>
        </w:rPr>
      </w:pPr>
      <w:r w:rsidRPr="00A2548C">
        <w:rPr>
          <w:rFonts w:ascii="Arial" w:eastAsia="Calibri" w:hAnsi="Arial" w:cs="Arial"/>
        </w:rPr>
        <w:lastRenderedPageBreak/>
        <w:t xml:space="preserve">In a review carried out by Li et al. (2022), concerning the composition of the oral microbiota and its correlation with oral and systemic diseases, </w:t>
      </w:r>
      <w:r w:rsidR="00DF6F43">
        <w:rPr>
          <w:rFonts w:ascii="Arial" w:eastAsia="Calibri" w:hAnsi="Arial" w:cs="Arial"/>
        </w:rPr>
        <w:t xml:space="preserve">the authors call </w:t>
      </w:r>
      <w:r w:rsidRPr="004C3BB5">
        <w:rPr>
          <w:rFonts w:ascii="Arial" w:eastAsia="Calibri" w:hAnsi="Arial" w:cs="Arial"/>
        </w:rPr>
        <w:t>attention</w:t>
      </w:r>
      <w:r w:rsidR="00DF6F43">
        <w:rPr>
          <w:rFonts w:ascii="Arial" w:eastAsia="Calibri" w:hAnsi="Arial" w:cs="Arial"/>
        </w:rPr>
        <w:t xml:space="preserve"> </w:t>
      </w:r>
      <w:r w:rsidRPr="00A2548C">
        <w:rPr>
          <w:rFonts w:ascii="Arial" w:eastAsia="Calibri" w:hAnsi="Arial" w:cs="Arial"/>
        </w:rPr>
        <w:t xml:space="preserve">to the presence of the genus </w:t>
      </w:r>
      <w:r w:rsidRPr="00A2548C">
        <w:rPr>
          <w:rFonts w:ascii="Arial" w:eastAsia="Calibri" w:hAnsi="Arial" w:cs="Arial"/>
          <w:i/>
          <w:iCs/>
        </w:rPr>
        <w:t>Vibrio</w:t>
      </w:r>
      <w:r w:rsidR="00B64100">
        <w:rPr>
          <w:rFonts w:ascii="Arial" w:eastAsia="Calibri" w:hAnsi="Arial" w:cs="Arial"/>
          <w:i/>
          <w:iCs/>
        </w:rPr>
        <w:t xml:space="preserve">, </w:t>
      </w:r>
      <w:r w:rsidRPr="004C3BB5">
        <w:rPr>
          <w:rFonts w:ascii="Arial" w:eastAsia="Calibri" w:hAnsi="Arial" w:cs="Arial"/>
        </w:rPr>
        <w:t xml:space="preserve">able </w:t>
      </w:r>
      <w:r w:rsidRPr="00A2548C">
        <w:rPr>
          <w:rFonts w:ascii="Arial" w:eastAsia="Calibri" w:hAnsi="Arial" w:cs="Arial"/>
        </w:rPr>
        <w:t>to act as growth modulator of other microorganisms</w:t>
      </w:r>
      <w:r>
        <w:rPr>
          <w:rFonts w:ascii="Arial" w:eastAsia="Calibri" w:hAnsi="Arial" w:cs="Arial"/>
        </w:rPr>
        <w:t xml:space="preserve">. </w:t>
      </w:r>
      <w:r w:rsidRPr="00A2548C">
        <w:rPr>
          <w:rFonts w:ascii="Arial" w:eastAsia="Calibri" w:hAnsi="Arial" w:cs="Arial"/>
        </w:rPr>
        <w:t>Santos (1978)</w:t>
      </w:r>
      <w:r>
        <w:rPr>
          <w:rFonts w:ascii="Arial" w:eastAsia="Calibri" w:hAnsi="Arial" w:cs="Arial"/>
        </w:rPr>
        <w:t xml:space="preserve"> studied </w:t>
      </w:r>
      <w:r w:rsidR="00B64100">
        <w:rPr>
          <w:rFonts w:ascii="Arial" w:eastAsia="Calibri" w:hAnsi="Arial" w:cs="Arial"/>
        </w:rPr>
        <w:t>its</w:t>
      </w:r>
      <w:r w:rsidR="00E32BB7">
        <w:rPr>
          <w:rFonts w:ascii="Arial" w:eastAsia="Calibri" w:hAnsi="Arial" w:cs="Arial"/>
        </w:rPr>
        <w:t xml:space="preserve"> </w:t>
      </w:r>
      <w:r w:rsidRPr="00E32BB7">
        <w:rPr>
          <w:rFonts w:ascii="Arial" w:eastAsia="Calibri" w:hAnsi="Arial" w:cs="Arial"/>
        </w:rPr>
        <w:t xml:space="preserve">ability to </w:t>
      </w:r>
      <w:r w:rsidRPr="00A2548C">
        <w:rPr>
          <w:rFonts w:ascii="Arial" w:eastAsia="Calibri" w:hAnsi="Arial" w:cs="Arial"/>
        </w:rPr>
        <w:t xml:space="preserve">induce the composition of the biofilm, through </w:t>
      </w:r>
      <w:r w:rsidRPr="00A2548C">
        <w:rPr>
          <w:rFonts w:ascii="Arial" w:eastAsia="Calibri" w:hAnsi="Arial" w:cs="Arial"/>
          <w:i/>
          <w:iCs/>
        </w:rPr>
        <w:t>quorum sensing,</w:t>
      </w:r>
      <w:r w:rsidRPr="00A2548C">
        <w:rPr>
          <w:rFonts w:ascii="Arial" w:eastAsia="Calibri" w:hAnsi="Arial" w:cs="Arial"/>
        </w:rPr>
        <w:t xml:space="preserve"> </w:t>
      </w:r>
      <w:r w:rsidR="00B64100">
        <w:rPr>
          <w:rFonts w:ascii="Arial" w:eastAsia="Calibri" w:hAnsi="Arial" w:cs="Arial"/>
        </w:rPr>
        <w:t xml:space="preserve">interfering </w:t>
      </w:r>
      <w:r w:rsidR="008E4C6D">
        <w:rPr>
          <w:rFonts w:ascii="Arial" w:eastAsia="Calibri" w:hAnsi="Arial" w:cs="Arial"/>
        </w:rPr>
        <w:t xml:space="preserve">in </w:t>
      </w:r>
      <w:r w:rsidRPr="00A2548C">
        <w:rPr>
          <w:rFonts w:ascii="Arial" w:eastAsia="Calibri" w:hAnsi="Arial" w:cs="Arial"/>
        </w:rPr>
        <w:t>the growth of other microorganisms through metabolites eliminated in the environment (</w:t>
      </w:r>
      <w:proofErr w:type="spellStart"/>
      <w:r w:rsidRPr="00A2548C">
        <w:rPr>
          <w:rFonts w:ascii="Arial" w:eastAsia="Calibri" w:hAnsi="Arial" w:cs="Arial"/>
        </w:rPr>
        <w:t>Dickschat</w:t>
      </w:r>
      <w:proofErr w:type="spellEnd"/>
      <w:r w:rsidRPr="00A2548C">
        <w:rPr>
          <w:rFonts w:ascii="Arial" w:eastAsia="Calibri" w:hAnsi="Arial" w:cs="Arial"/>
        </w:rPr>
        <w:t xml:space="preserve">, 2010). </w:t>
      </w:r>
      <w:r>
        <w:rPr>
          <w:rFonts w:ascii="Arial" w:eastAsia="Calibri" w:hAnsi="Arial" w:cs="Arial"/>
        </w:rPr>
        <w:t>A</w:t>
      </w:r>
      <w:r w:rsidRPr="00A2548C">
        <w:rPr>
          <w:rFonts w:ascii="Arial" w:eastAsia="Calibri" w:hAnsi="Arial" w:cs="Arial"/>
        </w:rPr>
        <w:t>ct</w:t>
      </w:r>
      <w:r>
        <w:rPr>
          <w:rFonts w:ascii="Arial" w:eastAsia="Calibri" w:hAnsi="Arial" w:cs="Arial"/>
        </w:rPr>
        <w:t>ing</w:t>
      </w:r>
      <w:r w:rsidRPr="00A2548C">
        <w:rPr>
          <w:rFonts w:ascii="Arial" w:eastAsia="Calibri" w:hAnsi="Arial" w:cs="Arial"/>
        </w:rPr>
        <w:t xml:space="preserve"> on the plaques that form on tooth surfaces, </w:t>
      </w:r>
      <w:r>
        <w:rPr>
          <w:rFonts w:ascii="Arial" w:eastAsia="Calibri" w:hAnsi="Arial" w:cs="Arial"/>
        </w:rPr>
        <w:t xml:space="preserve">those </w:t>
      </w:r>
      <w:r w:rsidRPr="00444AC0">
        <w:rPr>
          <w:rFonts w:ascii="Arial" w:eastAsia="Calibri" w:hAnsi="Arial" w:cs="Arial"/>
        </w:rPr>
        <w:t xml:space="preserve">microorganisms would be able </w:t>
      </w:r>
      <w:r>
        <w:rPr>
          <w:rFonts w:ascii="Arial" w:eastAsia="Calibri" w:hAnsi="Arial" w:cs="Arial"/>
        </w:rPr>
        <w:t>to</w:t>
      </w:r>
      <w:r w:rsidRPr="00BC218F">
        <w:rPr>
          <w:rFonts w:ascii="Arial" w:eastAsia="Calibri" w:hAnsi="Arial" w:cs="Arial"/>
        </w:rPr>
        <w:t xml:space="preserve"> </w:t>
      </w:r>
      <w:r w:rsidRPr="00A2548C">
        <w:rPr>
          <w:rFonts w:ascii="Arial" w:eastAsia="Calibri" w:hAnsi="Arial" w:cs="Arial"/>
        </w:rPr>
        <w:t>modulate the presence of cariogenic bacteria</w:t>
      </w:r>
      <w:r w:rsidR="009C26AF">
        <w:rPr>
          <w:rFonts w:ascii="Arial" w:eastAsia="Calibri" w:hAnsi="Arial" w:cs="Arial"/>
        </w:rPr>
        <w:t xml:space="preserve"> </w:t>
      </w:r>
      <w:r w:rsidR="00463C4F">
        <w:rPr>
          <w:rFonts w:ascii="Arial" w:eastAsia="Calibri" w:hAnsi="Arial" w:cs="Arial"/>
        </w:rPr>
        <w:t xml:space="preserve">reducing </w:t>
      </w:r>
      <w:r w:rsidR="00463C4F" w:rsidRPr="00363AD0">
        <w:rPr>
          <w:rFonts w:ascii="Arial" w:eastAsia="Calibri" w:hAnsi="Arial" w:cs="Arial"/>
        </w:rPr>
        <w:t>caries</w:t>
      </w:r>
      <w:r w:rsidRPr="00A2548C">
        <w:rPr>
          <w:rFonts w:ascii="Arial" w:eastAsia="Calibri" w:hAnsi="Arial" w:cs="Arial"/>
        </w:rPr>
        <w:t xml:space="preserve"> development. </w:t>
      </w:r>
    </w:p>
    <w:p w14:paraId="563FD666" w14:textId="500337B4" w:rsidR="00E53F87" w:rsidRPr="00A2548C" w:rsidRDefault="00E53F87" w:rsidP="00E53F87">
      <w:pPr>
        <w:autoSpaceDE w:val="0"/>
        <w:autoSpaceDN w:val="0"/>
        <w:adjustRightInd w:val="0"/>
        <w:ind w:firstLine="360"/>
        <w:jc w:val="both"/>
        <w:rPr>
          <w:rFonts w:ascii="Arial" w:eastAsia="Calibri" w:hAnsi="Arial" w:cs="Arial"/>
        </w:rPr>
      </w:pPr>
      <w:r w:rsidRPr="00A2548C">
        <w:rPr>
          <w:rFonts w:ascii="Arial" w:eastAsia="Calibri" w:hAnsi="Arial" w:cs="Arial"/>
        </w:rPr>
        <w:t>Despite the difficulties in studying dental calculus, pioneers such as Dobney and Brothwell (1988), and more recent authors, as Charlier et al</w:t>
      </w:r>
      <w:r w:rsidRPr="00A2548C">
        <w:rPr>
          <w:rFonts w:ascii="Arial" w:eastAsia="Calibri" w:hAnsi="Arial" w:cs="Arial"/>
          <w:i/>
          <w:iCs/>
        </w:rPr>
        <w:t>.</w:t>
      </w:r>
      <w:r w:rsidRPr="00A2548C">
        <w:rPr>
          <w:rFonts w:ascii="Arial" w:eastAsia="Calibri" w:hAnsi="Arial" w:cs="Arial"/>
        </w:rPr>
        <w:t xml:space="preserve"> (2010) and Power et al</w:t>
      </w:r>
      <w:r w:rsidRPr="00A2548C">
        <w:rPr>
          <w:rFonts w:ascii="Arial" w:eastAsia="Calibri" w:hAnsi="Arial" w:cs="Arial"/>
          <w:i/>
          <w:iCs/>
        </w:rPr>
        <w:t xml:space="preserve">. </w:t>
      </w:r>
      <w:r w:rsidRPr="00A2548C">
        <w:rPr>
          <w:rFonts w:ascii="Arial" w:eastAsia="Calibri" w:hAnsi="Arial" w:cs="Arial"/>
        </w:rPr>
        <w:t>(2014), confirm</w:t>
      </w:r>
      <w:r w:rsidRPr="009C26AF">
        <w:rPr>
          <w:rFonts w:ascii="Arial" w:eastAsia="Calibri" w:hAnsi="Arial" w:cs="Arial"/>
        </w:rPr>
        <w:t>ed</w:t>
      </w:r>
      <w:r w:rsidRPr="00A2548C">
        <w:rPr>
          <w:rFonts w:ascii="Arial" w:eastAsia="Calibri" w:hAnsi="Arial" w:cs="Arial"/>
        </w:rPr>
        <w:t xml:space="preserve"> the morphological preservation of </w:t>
      </w:r>
      <w:r w:rsidRPr="009C26AF">
        <w:rPr>
          <w:rFonts w:ascii="Arial" w:eastAsia="Calibri" w:hAnsi="Arial" w:cs="Arial"/>
        </w:rPr>
        <w:t xml:space="preserve">microfossils from the </w:t>
      </w:r>
      <w:r w:rsidRPr="00A2548C">
        <w:rPr>
          <w:rFonts w:ascii="Arial" w:eastAsia="Calibri" w:hAnsi="Arial" w:cs="Arial"/>
        </w:rPr>
        <w:t>biofilm</w:t>
      </w:r>
      <w:r w:rsidR="009C26AF">
        <w:rPr>
          <w:rFonts w:ascii="Arial" w:eastAsia="Calibri" w:hAnsi="Arial" w:cs="Arial"/>
        </w:rPr>
        <w:t xml:space="preserve">. </w:t>
      </w:r>
      <w:r>
        <w:rPr>
          <w:rFonts w:ascii="Arial" w:eastAsia="Calibri" w:hAnsi="Arial" w:cs="Arial"/>
        </w:rPr>
        <w:t>A</w:t>
      </w:r>
      <w:r w:rsidRPr="00A2548C">
        <w:rPr>
          <w:rFonts w:ascii="Arial" w:eastAsia="Calibri" w:hAnsi="Arial" w:cs="Arial"/>
        </w:rPr>
        <w:t xml:space="preserve">dvances in techniques and methodologies today allow, contrary to what still occurred about two decades ago, to identify significant results and eliminate possible contamination biases, for example, expanding the potential of investigations on oral </w:t>
      </w:r>
      <w:proofErr w:type="spellStart"/>
      <w:r w:rsidRPr="00A2548C">
        <w:rPr>
          <w:rFonts w:ascii="Arial" w:eastAsia="Calibri" w:hAnsi="Arial" w:cs="Arial"/>
        </w:rPr>
        <w:t>mcrobiota</w:t>
      </w:r>
      <w:proofErr w:type="spellEnd"/>
      <w:r w:rsidRPr="00A2548C">
        <w:rPr>
          <w:rFonts w:ascii="Arial" w:eastAsia="Calibri" w:hAnsi="Arial" w:cs="Arial"/>
        </w:rPr>
        <w:t xml:space="preserve"> (</w:t>
      </w:r>
      <w:proofErr w:type="spellStart"/>
      <w:r w:rsidRPr="00A2548C">
        <w:rPr>
          <w:rFonts w:ascii="Arial" w:eastAsia="Calibri" w:hAnsi="Arial" w:cs="Arial"/>
        </w:rPr>
        <w:t>Kerkens</w:t>
      </w:r>
      <w:proofErr w:type="spellEnd"/>
      <w:r w:rsidRPr="00A2548C">
        <w:rPr>
          <w:rFonts w:ascii="Arial" w:eastAsia="Calibri" w:hAnsi="Arial" w:cs="Arial"/>
        </w:rPr>
        <w:t>, 2018; Standeven et al. 2024 - preprint).</w:t>
      </w:r>
    </w:p>
    <w:p w14:paraId="6A10F5CC" w14:textId="35500157" w:rsidR="00E53F87" w:rsidRDefault="00E53F87" w:rsidP="00E53F87">
      <w:pPr>
        <w:autoSpaceDE w:val="0"/>
        <w:autoSpaceDN w:val="0"/>
        <w:adjustRightInd w:val="0"/>
        <w:ind w:firstLine="360"/>
        <w:jc w:val="both"/>
        <w:rPr>
          <w:rFonts w:ascii="Arial" w:eastAsia="Calibri" w:hAnsi="Arial" w:cs="Arial"/>
        </w:rPr>
      </w:pPr>
      <w:r w:rsidRPr="00A2548C">
        <w:rPr>
          <w:rFonts w:ascii="Arial" w:eastAsia="Calibri" w:hAnsi="Arial" w:cs="Arial"/>
        </w:rPr>
        <w:tab/>
        <w:t>The present work searches for evidence of vibrio in the biofilms of prehistoric dental calculi, a way to contribute to studies on the health of such groups, especially the absence of dental caries.</w:t>
      </w:r>
    </w:p>
    <w:p w14:paraId="41FB5F5E" w14:textId="77777777" w:rsidR="009C26AF" w:rsidRPr="00A2548C" w:rsidRDefault="009C26AF" w:rsidP="00E53F87">
      <w:pPr>
        <w:autoSpaceDE w:val="0"/>
        <w:autoSpaceDN w:val="0"/>
        <w:adjustRightInd w:val="0"/>
        <w:ind w:firstLine="360"/>
        <w:jc w:val="both"/>
        <w:rPr>
          <w:rFonts w:ascii="Arial" w:eastAsia="Calibri" w:hAnsi="Arial" w:cs="Arial"/>
        </w:rPr>
      </w:pPr>
    </w:p>
    <w:p w14:paraId="27B27EC8" w14:textId="2EBBCC20" w:rsidR="00E53F87" w:rsidRPr="00056FFD" w:rsidRDefault="00E53F87" w:rsidP="00E53F87">
      <w:pPr>
        <w:spacing w:after="200"/>
        <w:jc w:val="both"/>
        <w:rPr>
          <w:rFonts w:ascii="Arial" w:eastAsia="Calibri" w:hAnsi="Arial" w:cs="Arial"/>
          <w:b/>
          <w:bCs/>
        </w:rPr>
      </w:pPr>
      <w:r w:rsidRPr="00056FFD">
        <w:rPr>
          <w:rFonts w:ascii="Arial" w:eastAsia="Calibri" w:hAnsi="Arial" w:cs="Arial"/>
          <w:b/>
          <w:bCs/>
        </w:rPr>
        <w:t xml:space="preserve">An ancient </w:t>
      </w:r>
      <w:r w:rsidR="00463C4F" w:rsidRPr="00056FFD">
        <w:rPr>
          <w:rFonts w:ascii="Arial" w:eastAsia="Calibri" w:hAnsi="Arial" w:cs="Arial"/>
          <w:b/>
          <w:bCs/>
        </w:rPr>
        <w:t>person</w:t>
      </w:r>
      <w:r w:rsidRPr="00056FFD">
        <w:rPr>
          <w:rFonts w:ascii="Arial" w:eastAsia="Calibri" w:hAnsi="Arial" w:cs="Arial"/>
          <w:b/>
          <w:bCs/>
        </w:rPr>
        <w:t xml:space="preserve"> without dental carie</w:t>
      </w:r>
      <w:r w:rsidR="00ED52DC">
        <w:rPr>
          <w:rFonts w:ascii="Arial" w:eastAsia="Calibri" w:hAnsi="Arial" w:cs="Arial"/>
          <w:b/>
          <w:bCs/>
        </w:rPr>
        <w:t>s.</w:t>
      </w:r>
      <w:r w:rsidRPr="00056FFD">
        <w:rPr>
          <w:rFonts w:ascii="Arial" w:eastAsia="Calibri" w:hAnsi="Arial" w:cs="Arial"/>
          <w:b/>
          <w:bCs/>
        </w:rPr>
        <w:t xml:space="preserve"> </w:t>
      </w:r>
    </w:p>
    <w:p w14:paraId="05B6992C" w14:textId="596A0749" w:rsidR="00E53F87" w:rsidRPr="001C65FD" w:rsidRDefault="00E53F87" w:rsidP="00E53F87">
      <w:pPr>
        <w:spacing w:after="200"/>
        <w:ind w:firstLine="491"/>
        <w:jc w:val="both"/>
        <w:rPr>
          <w:rFonts w:ascii="Arial" w:eastAsia="Calibri" w:hAnsi="Arial" w:cs="Arial"/>
        </w:rPr>
      </w:pPr>
      <w:r w:rsidRPr="001C65FD">
        <w:rPr>
          <w:rFonts w:ascii="Arial" w:eastAsia="Calibri" w:hAnsi="Arial" w:cs="Arial"/>
        </w:rPr>
        <w:t xml:space="preserve">Shell mounds are prehistoric monuments for funerary use, which preserve many remnants of human bodies. </w:t>
      </w:r>
      <w:r w:rsidRPr="001C65FD">
        <w:rPr>
          <w:rFonts w:ascii="Arial" w:eastAsia="Calibri" w:hAnsi="Arial" w:cs="Arial"/>
          <w:i/>
          <w:iCs/>
        </w:rPr>
        <w:t>T</w:t>
      </w:r>
      <w:r w:rsidRPr="001C65FD">
        <w:rPr>
          <w:rFonts w:ascii="Arial" w:eastAsia="Calibri" w:hAnsi="Arial" w:cs="Arial"/>
        </w:rPr>
        <w:t xml:space="preserve">hese sites are found mainly along the Atlantic coast, in southern and southeastern Brazil (Gaspar et al., 2007; 2014). Artifacts, faunal skeletons and human remains of non-horticultural groups that lived by gathering, fishing and occasional hunting, between about 8,000 and 1,500 years before the present are found in those sites, together with funerary structures and fireplaces. </w:t>
      </w:r>
      <w:r w:rsidR="00463C4F" w:rsidRPr="001C65FD">
        <w:rPr>
          <w:rFonts w:ascii="Arial" w:eastAsia="Calibri" w:hAnsi="Arial" w:cs="Arial"/>
        </w:rPr>
        <w:t>Testimonies</w:t>
      </w:r>
      <w:r w:rsidRPr="001C65FD">
        <w:rPr>
          <w:rFonts w:ascii="Arial" w:eastAsia="Calibri" w:hAnsi="Arial" w:cs="Arial"/>
        </w:rPr>
        <w:t xml:space="preserve"> of their lifestyle includes economic evidence (Scheel-Ybert et al., 2020), cultural material (Ederli, 2016; Klökler et al., 2018), physical and genetic characteristics (Okumura and Eggers, 2014) and demographic (Souza, 2014; Naji et al., 2022) as well as paleopathological, nutritional a</w:t>
      </w:r>
      <w:r w:rsidR="00256940">
        <w:rPr>
          <w:rFonts w:ascii="Arial" w:eastAsia="Calibri" w:hAnsi="Arial" w:cs="Arial"/>
        </w:rPr>
        <w:t>nd</w:t>
      </w:r>
      <w:r w:rsidRPr="001C65FD">
        <w:rPr>
          <w:rFonts w:ascii="Arial" w:eastAsia="Calibri" w:hAnsi="Arial" w:cs="Arial"/>
        </w:rPr>
        <w:t xml:space="preserve"> </w:t>
      </w:r>
      <w:r w:rsidR="008F64C4" w:rsidRPr="001C65FD">
        <w:rPr>
          <w:rFonts w:ascii="Arial" w:eastAsia="Calibri" w:hAnsi="Arial" w:cs="Arial"/>
        </w:rPr>
        <w:t>other health</w:t>
      </w:r>
      <w:r w:rsidRPr="001C65FD">
        <w:rPr>
          <w:rFonts w:ascii="Arial" w:eastAsia="Calibri" w:hAnsi="Arial" w:cs="Arial"/>
        </w:rPr>
        <w:t xml:space="preserve"> evidences (Rodrigues-Carvalho et al., 2009; Souza et al., 2009) recurrently described and discussed.</w:t>
      </w:r>
    </w:p>
    <w:p w14:paraId="491EF0A5" w14:textId="1D70B21E" w:rsidR="00E53F87" w:rsidRDefault="00E53F87" w:rsidP="00E53F87">
      <w:pPr>
        <w:autoSpaceDE w:val="0"/>
        <w:autoSpaceDN w:val="0"/>
        <w:adjustRightInd w:val="0"/>
        <w:ind w:firstLine="491"/>
        <w:jc w:val="both"/>
        <w:rPr>
          <w:rFonts w:ascii="Arial" w:eastAsia="Calibri" w:hAnsi="Arial" w:cs="Arial"/>
        </w:rPr>
      </w:pPr>
      <w:r w:rsidRPr="001C65FD">
        <w:rPr>
          <w:rFonts w:ascii="Arial" w:eastAsia="Calibri" w:hAnsi="Arial" w:cs="Arial"/>
        </w:rPr>
        <w:t xml:space="preserve">In Brazil, one of the largest shell mounds is the Cabeçuda (Figure 1), which is located between the lagoons of Santo Antônio dos Anjos and Imaruí, in the municipality of Laguna, State of Santa Catarina. It was a monumental site, but today it is almost destroyed by economic exploitation. The few meters remaining from its base </w:t>
      </w:r>
      <w:r w:rsidR="008F64C4" w:rsidRPr="001C65FD">
        <w:rPr>
          <w:rFonts w:ascii="Arial" w:eastAsia="Calibri" w:hAnsi="Arial" w:cs="Arial"/>
        </w:rPr>
        <w:t>continue</w:t>
      </w:r>
      <w:r w:rsidRPr="001C65FD">
        <w:rPr>
          <w:rFonts w:ascii="Arial" w:eastAsia="Calibri" w:hAnsi="Arial" w:cs="Arial"/>
        </w:rPr>
        <w:t xml:space="preserve"> to be studied by </w:t>
      </w:r>
      <w:r w:rsidR="008F64C4" w:rsidRPr="001C65FD">
        <w:rPr>
          <w:rFonts w:ascii="Arial" w:eastAsia="Calibri" w:hAnsi="Arial" w:cs="Arial"/>
        </w:rPr>
        <w:t>the Museu</w:t>
      </w:r>
      <w:r w:rsidR="00717C56">
        <w:rPr>
          <w:rFonts w:ascii="Arial" w:eastAsia="Calibri" w:hAnsi="Arial" w:cs="Arial"/>
        </w:rPr>
        <w:t xml:space="preserve"> Nacional, </w:t>
      </w:r>
      <w:r w:rsidRPr="001C65FD">
        <w:rPr>
          <w:rFonts w:ascii="Arial" w:eastAsia="Calibri" w:hAnsi="Arial" w:cs="Arial"/>
        </w:rPr>
        <w:t xml:space="preserve">Federal University of Rio de Janeiro </w:t>
      </w:r>
      <w:r w:rsidR="00717C56">
        <w:rPr>
          <w:rFonts w:ascii="Arial" w:eastAsia="Calibri" w:hAnsi="Arial" w:cs="Arial"/>
        </w:rPr>
        <w:t xml:space="preserve">together with </w:t>
      </w:r>
      <w:r w:rsidRPr="001C65FD">
        <w:rPr>
          <w:rFonts w:ascii="Arial" w:eastAsia="Calibri" w:hAnsi="Arial" w:cs="Arial"/>
        </w:rPr>
        <w:t xml:space="preserve">the University of Southern Santa Catarina. </w:t>
      </w:r>
      <w:r w:rsidR="009C26AF">
        <w:rPr>
          <w:rFonts w:ascii="Arial" w:eastAsia="Calibri" w:hAnsi="Arial" w:cs="Arial"/>
        </w:rPr>
        <w:t>B</w:t>
      </w:r>
      <w:r w:rsidRPr="001C65FD">
        <w:rPr>
          <w:rFonts w:ascii="Arial" w:eastAsia="Calibri" w:hAnsi="Arial" w:cs="Arial"/>
        </w:rPr>
        <w:t>y the time of the first excavation in the years 1950, the testimony of the original monument measured about 20m height and 53,000m² in area (Faria, 1952). It was a typical funerary site (Figure 2) that may have contained hundreds of burials (Souza, 2014). The series of human skeletons, wh</w:t>
      </w:r>
      <w:r w:rsidR="005C5A08">
        <w:rPr>
          <w:rFonts w:ascii="Arial" w:eastAsia="Calibri" w:hAnsi="Arial" w:cs="Arial"/>
        </w:rPr>
        <w:t>ich</w:t>
      </w:r>
      <w:r w:rsidRPr="001C65FD">
        <w:rPr>
          <w:rFonts w:ascii="Arial" w:eastAsia="Calibri" w:hAnsi="Arial" w:cs="Arial"/>
        </w:rPr>
        <w:t xml:space="preserve"> specimen were used in the present study, comes from a single funerary area (Gaspar and Souza, 2013) excavated by Luiz de Castro Faria (Faria, 1952).  </w:t>
      </w:r>
    </w:p>
    <w:p w14:paraId="5139E76E" w14:textId="77777777" w:rsidR="007266F3" w:rsidRPr="007266F3" w:rsidRDefault="007266F3" w:rsidP="007266F3">
      <w:pPr>
        <w:pStyle w:val="Body"/>
        <w:rPr>
          <w:rFonts w:ascii="Arial" w:hAnsi="Arial" w:cs="Arial"/>
        </w:rPr>
      </w:pPr>
    </w:p>
    <w:p w14:paraId="7DCCFCF3" w14:textId="77777777" w:rsidR="00ED03FC" w:rsidRDefault="00EE0076" w:rsidP="007266F3">
      <w:pPr>
        <w:pStyle w:val="Body"/>
        <w:rPr>
          <w:rFonts w:ascii="Arial" w:hAnsi="Arial" w:cs="Arial"/>
        </w:rPr>
      </w:pPr>
      <w:r>
        <w:rPr>
          <w:rFonts w:ascii="Arial" w:hAnsi="Arial" w:cs="Arial"/>
          <w:noProof/>
        </w:rPr>
        <w:lastRenderedPageBreak/>
        <w:drawing>
          <wp:inline distT="0" distB="0" distL="0" distR="0" wp14:anchorId="0BC201F4" wp14:editId="5FC0E8A3">
            <wp:extent cx="3162300" cy="2395683"/>
            <wp:effectExtent l="0" t="0" r="0" b="0"/>
            <wp:docPr id="754811980" name="Imagem 1" descr="Foto em preto e branco em cima de uma superfície de pedr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11980" name="Imagem 1" descr="Foto em preto e branco em cima de uma superfície de pedra&#10;&#10;O conteúdo gerado por IA pode estar incorreto."/>
                    <pic:cNvPicPr/>
                  </pic:nvPicPr>
                  <pic:blipFill>
                    <a:blip r:embed="rId14">
                      <a:extLst>
                        <a:ext uri="{28A0092B-C50C-407E-A947-70E740481C1C}">
                          <a14:useLocalDpi xmlns:a14="http://schemas.microsoft.com/office/drawing/2010/main" val="0"/>
                        </a:ext>
                      </a:extLst>
                    </a:blip>
                    <a:stretch>
                      <a:fillRect/>
                    </a:stretch>
                  </pic:blipFill>
                  <pic:spPr>
                    <a:xfrm>
                      <a:off x="0" y="0"/>
                      <a:ext cx="3192175" cy="2418315"/>
                    </a:xfrm>
                    <a:prstGeom prst="rect">
                      <a:avLst/>
                    </a:prstGeom>
                  </pic:spPr>
                </pic:pic>
              </a:graphicData>
            </a:graphic>
          </wp:inline>
        </w:drawing>
      </w:r>
    </w:p>
    <w:p w14:paraId="2F7B3E3F" w14:textId="3C7BC6EE" w:rsidR="007266F3" w:rsidRPr="007266F3" w:rsidRDefault="007266F3" w:rsidP="007266F3">
      <w:pPr>
        <w:pStyle w:val="Body"/>
        <w:rPr>
          <w:rFonts w:ascii="Arial" w:hAnsi="Arial" w:cs="Arial"/>
        </w:rPr>
      </w:pPr>
      <w:r w:rsidRPr="007266F3">
        <w:rPr>
          <w:rFonts w:ascii="Arial" w:hAnsi="Arial" w:cs="Arial"/>
        </w:rPr>
        <w:t>Figure 1 - View of the sambaqui called Cabeçuda shell mound, located next to the Imaruí Lagoon, in Laguna, State of Santa Catarina, Brazil (Photo: L.C. Faria, 1952)</w:t>
      </w:r>
      <w:r w:rsidR="00ED52DC">
        <w:rPr>
          <w:rFonts w:ascii="Arial" w:hAnsi="Arial" w:cs="Arial"/>
        </w:rPr>
        <w:t>.</w:t>
      </w:r>
      <w:r w:rsidRPr="007266F3">
        <w:rPr>
          <w:rFonts w:ascii="Arial" w:hAnsi="Arial" w:cs="Arial"/>
        </w:rPr>
        <w:t xml:space="preserve"> </w:t>
      </w:r>
    </w:p>
    <w:p w14:paraId="260FD4C6" w14:textId="77777777" w:rsidR="007266F3" w:rsidRPr="007266F3" w:rsidRDefault="007266F3" w:rsidP="007266F3">
      <w:pPr>
        <w:pStyle w:val="Body"/>
        <w:rPr>
          <w:rFonts w:ascii="Arial" w:hAnsi="Arial" w:cs="Arial"/>
        </w:rPr>
      </w:pPr>
    </w:p>
    <w:p w14:paraId="1BA0C2C8" w14:textId="77777777" w:rsidR="00ED03FC" w:rsidRDefault="00ED03FC" w:rsidP="007266F3">
      <w:pPr>
        <w:pStyle w:val="Body"/>
        <w:rPr>
          <w:rFonts w:ascii="Arial" w:hAnsi="Arial" w:cs="Arial"/>
        </w:rPr>
      </w:pPr>
      <w:r>
        <w:rPr>
          <w:rFonts w:ascii="Arial" w:hAnsi="Arial" w:cs="Arial"/>
          <w:noProof/>
        </w:rPr>
        <w:drawing>
          <wp:inline distT="0" distB="0" distL="0" distR="0" wp14:anchorId="0E8F0707" wp14:editId="0E065924">
            <wp:extent cx="2676525" cy="3472792"/>
            <wp:effectExtent l="0" t="0" r="0" b="0"/>
            <wp:docPr id="781064413" name="Imagem 2" descr="Foto em preto e branco de criança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4413" name="Imagem 2" descr="Foto em preto e branco de criança em pé&#10;&#10;O conteúdo gerado por IA pode estar incorreto."/>
                    <pic:cNvPicPr/>
                  </pic:nvPicPr>
                  <pic:blipFill>
                    <a:blip r:embed="rId15">
                      <a:extLst>
                        <a:ext uri="{28A0092B-C50C-407E-A947-70E740481C1C}">
                          <a14:useLocalDpi xmlns:a14="http://schemas.microsoft.com/office/drawing/2010/main" val="0"/>
                        </a:ext>
                      </a:extLst>
                    </a:blip>
                    <a:stretch>
                      <a:fillRect/>
                    </a:stretch>
                  </pic:blipFill>
                  <pic:spPr>
                    <a:xfrm>
                      <a:off x="0" y="0"/>
                      <a:ext cx="2689962" cy="3490227"/>
                    </a:xfrm>
                    <a:prstGeom prst="rect">
                      <a:avLst/>
                    </a:prstGeom>
                  </pic:spPr>
                </pic:pic>
              </a:graphicData>
            </a:graphic>
          </wp:inline>
        </w:drawing>
      </w:r>
    </w:p>
    <w:p w14:paraId="04F91703" w14:textId="4426B2A8" w:rsidR="007266F3" w:rsidRPr="007266F3" w:rsidRDefault="007266F3" w:rsidP="007266F3">
      <w:pPr>
        <w:pStyle w:val="Body"/>
        <w:rPr>
          <w:rFonts w:ascii="Arial" w:hAnsi="Arial" w:cs="Arial"/>
        </w:rPr>
      </w:pPr>
      <w:r w:rsidRPr="007266F3">
        <w:rPr>
          <w:rFonts w:ascii="Arial" w:hAnsi="Arial" w:cs="Arial"/>
        </w:rPr>
        <w:t xml:space="preserve">Figure 2 – Human burial in a flexed position recorded during the archaeological field work in the 1950s (Photo: L.C. Faria, 1952). </w:t>
      </w:r>
    </w:p>
    <w:p w14:paraId="77CE291D" w14:textId="77777777" w:rsidR="00350C87" w:rsidRPr="00056FFD" w:rsidRDefault="00350C87" w:rsidP="00350C87">
      <w:pPr>
        <w:autoSpaceDE w:val="0"/>
        <w:autoSpaceDN w:val="0"/>
        <w:adjustRightInd w:val="0"/>
        <w:spacing w:line="360" w:lineRule="auto"/>
        <w:ind w:firstLine="360"/>
        <w:jc w:val="both"/>
        <w:rPr>
          <w:rFonts w:ascii="Arial" w:eastAsia="Calibri" w:hAnsi="Arial" w:cs="Arial"/>
          <w:b/>
          <w:bCs/>
        </w:rPr>
      </w:pPr>
    </w:p>
    <w:p w14:paraId="3B0C4023" w14:textId="2EB7337B" w:rsidR="00350C87" w:rsidRPr="001C65FD" w:rsidRDefault="00350C87" w:rsidP="00350C87">
      <w:pPr>
        <w:autoSpaceDE w:val="0"/>
        <w:autoSpaceDN w:val="0"/>
        <w:adjustRightInd w:val="0"/>
        <w:ind w:firstLine="360"/>
        <w:jc w:val="both"/>
        <w:rPr>
          <w:rFonts w:ascii="Arial" w:eastAsia="Calibri" w:hAnsi="Arial" w:cs="Arial"/>
        </w:rPr>
      </w:pPr>
      <w:r w:rsidRPr="00D4784C">
        <w:rPr>
          <w:rFonts w:ascii="Arial" w:eastAsia="Calibri" w:hAnsi="Arial" w:cs="Arial"/>
        </w:rPr>
        <w:lastRenderedPageBreak/>
        <w:t>In Cabeçuda people</w:t>
      </w:r>
      <w:r w:rsidRPr="001C65FD">
        <w:rPr>
          <w:rFonts w:ascii="Arial" w:eastAsia="Calibri" w:hAnsi="Arial" w:cs="Arial"/>
        </w:rPr>
        <w:t xml:space="preserve"> the tooth loss was not very significant, thanks to tooth impaction by hypercementosis (Rodrigues-Carvalho and Souza, 1998). </w:t>
      </w:r>
      <w:r>
        <w:rPr>
          <w:rFonts w:ascii="Arial" w:eastAsia="Calibri" w:hAnsi="Arial" w:cs="Arial"/>
        </w:rPr>
        <w:t>T</w:t>
      </w:r>
      <w:r w:rsidRPr="001C65FD">
        <w:rPr>
          <w:rFonts w:ascii="Arial" w:eastAsia="Calibri" w:hAnsi="Arial" w:cs="Arial"/>
        </w:rPr>
        <w:t xml:space="preserve">he </w:t>
      </w:r>
      <w:r w:rsidRPr="00D4784C">
        <w:rPr>
          <w:rFonts w:ascii="Arial" w:eastAsia="Calibri" w:hAnsi="Arial" w:cs="Arial"/>
        </w:rPr>
        <w:t>complete</w:t>
      </w:r>
      <w:r>
        <w:rPr>
          <w:rFonts w:ascii="Arial" w:eastAsia="Calibri" w:hAnsi="Arial" w:cs="Arial"/>
        </w:rPr>
        <w:t xml:space="preserve"> </w:t>
      </w:r>
      <w:r w:rsidRPr="001C65FD">
        <w:rPr>
          <w:rFonts w:ascii="Arial" w:eastAsia="Calibri" w:hAnsi="Arial" w:cs="Arial"/>
        </w:rPr>
        <w:t>absence of caries has been observed since the first study of this material</w:t>
      </w:r>
      <w:r>
        <w:rPr>
          <w:rFonts w:ascii="Arial" w:eastAsia="Calibri" w:hAnsi="Arial" w:cs="Arial"/>
        </w:rPr>
        <w:t xml:space="preserve"> </w:t>
      </w:r>
      <w:r w:rsidRPr="00D4784C">
        <w:rPr>
          <w:rFonts w:ascii="Arial" w:eastAsia="Calibri" w:hAnsi="Arial" w:cs="Arial"/>
        </w:rPr>
        <w:t>was subject of interest</w:t>
      </w:r>
      <w:r w:rsidR="009A3D49">
        <w:rPr>
          <w:rFonts w:ascii="Arial" w:eastAsia="Calibri" w:hAnsi="Arial" w:cs="Arial"/>
        </w:rPr>
        <w:t>,</w:t>
      </w:r>
      <w:r w:rsidRPr="00D4784C">
        <w:rPr>
          <w:rFonts w:ascii="Arial" w:eastAsia="Calibri" w:hAnsi="Arial" w:cs="Arial"/>
        </w:rPr>
        <w:t xml:space="preserve"> e</w:t>
      </w:r>
      <w:r w:rsidRPr="001C65FD">
        <w:rPr>
          <w:rFonts w:ascii="Arial" w:eastAsia="Calibri" w:hAnsi="Arial" w:cs="Arial"/>
        </w:rPr>
        <w:t>ven considering that coastal shell mound</w:t>
      </w:r>
      <w:r>
        <w:rPr>
          <w:rFonts w:ascii="Arial" w:eastAsia="Calibri" w:hAnsi="Arial" w:cs="Arial"/>
        </w:rPr>
        <w:t>s</w:t>
      </w:r>
      <w:r w:rsidRPr="001C65FD">
        <w:rPr>
          <w:rFonts w:ascii="Arial" w:eastAsia="Calibri" w:hAnsi="Arial" w:cs="Arial"/>
        </w:rPr>
        <w:t xml:space="preserve"> </w:t>
      </w:r>
      <w:r w:rsidR="009A3D49">
        <w:rPr>
          <w:rFonts w:ascii="Arial" w:eastAsia="Calibri" w:hAnsi="Arial" w:cs="Arial"/>
        </w:rPr>
        <w:t xml:space="preserve">usually </w:t>
      </w:r>
      <w:r w:rsidRPr="001C65FD">
        <w:rPr>
          <w:rFonts w:ascii="Arial" w:eastAsia="Calibri" w:hAnsi="Arial" w:cs="Arial"/>
        </w:rPr>
        <w:t xml:space="preserve">have low frequencies of caries. A pioneering study pointed to the absence of caries in 1329 human teeth of 83 adult/sub-adult individuals, 21 of which were represented by complete skulls. Among the permanent teeth, 231 teeth were maxillary and 1088 mandibular, the remaining 38 were deciduous (Cunha, 1963). </w:t>
      </w:r>
      <w:r w:rsidRPr="00D4784C">
        <w:rPr>
          <w:rFonts w:ascii="Arial" w:eastAsia="Calibri" w:hAnsi="Arial" w:cs="Arial"/>
        </w:rPr>
        <w:t>At the time</w:t>
      </w:r>
      <w:r>
        <w:rPr>
          <w:rFonts w:ascii="Arial" w:eastAsia="Calibri" w:hAnsi="Arial" w:cs="Arial"/>
        </w:rPr>
        <w:t xml:space="preserve">, </w:t>
      </w:r>
      <w:r w:rsidRPr="001C65FD">
        <w:rPr>
          <w:rFonts w:ascii="Arial" w:eastAsia="Calibri" w:hAnsi="Arial" w:cs="Arial"/>
        </w:rPr>
        <w:t xml:space="preserve">diagnostic criterion was the presence of a cavity on the surface of the crown or root, detected with the aid of an exploratory dental probe (0.5 mm). The total absence of dental caries was initially attributed to the </w:t>
      </w:r>
      <w:r w:rsidR="00AB17C8" w:rsidRPr="001C65FD">
        <w:rPr>
          <w:rFonts w:ascii="Arial" w:eastAsia="Calibri" w:hAnsi="Arial" w:cs="Arial"/>
        </w:rPr>
        <w:t>hyper protein</w:t>
      </w:r>
      <w:r w:rsidRPr="001C65FD">
        <w:rPr>
          <w:rFonts w:ascii="Arial" w:eastAsia="Calibri" w:hAnsi="Arial" w:cs="Arial"/>
        </w:rPr>
        <w:t xml:space="preserve"> nutrition</w:t>
      </w:r>
      <w:r>
        <w:rPr>
          <w:rFonts w:ascii="Arial" w:eastAsia="Calibri" w:hAnsi="Arial" w:cs="Arial"/>
        </w:rPr>
        <w:t xml:space="preserve"> of</w:t>
      </w:r>
      <w:r w:rsidRPr="001C65FD">
        <w:rPr>
          <w:rFonts w:ascii="Arial" w:eastAsia="Calibri" w:hAnsi="Arial" w:cs="Arial"/>
        </w:rPr>
        <w:t xml:space="preserve"> </w:t>
      </w:r>
      <w:r w:rsidRPr="00D4784C">
        <w:rPr>
          <w:rFonts w:ascii="Arial" w:eastAsia="Calibri" w:hAnsi="Arial" w:cs="Arial"/>
        </w:rPr>
        <w:t xml:space="preserve">that pre-horticultor </w:t>
      </w:r>
      <w:r w:rsidRPr="001C65FD">
        <w:rPr>
          <w:rFonts w:ascii="Arial" w:eastAsia="Calibri" w:hAnsi="Arial" w:cs="Arial"/>
        </w:rPr>
        <w:t>coastal fishering-gathering group</w:t>
      </w:r>
      <w:r w:rsidRPr="0096780D">
        <w:rPr>
          <w:rFonts w:ascii="Arial" w:eastAsia="Calibri" w:hAnsi="Arial" w:cs="Arial"/>
        </w:rPr>
        <w:t>s</w:t>
      </w:r>
      <w:r>
        <w:rPr>
          <w:rFonts w:ascii="Arial" w:eastAsia="Calibri" w:hAnsi="Arial" w:cs="Arial"/>
        </w:rPr>
        <w:t xml:space="preserve">, and </w:t>
      </w:r>
      <w:r w:rsidRPr="001C65FD">
        <w:rPr>
          <w:rFonts w:ascii="Arial" w:eastAsia="Calibri" w:hAnsi="Arial" w:cs="Arial"/>
        </w:rPr>
        <w:t xml:space="preserve">a possible genetic factor, given that similar coastal groups exposed to similar habits and environment, presented </w:t>
      </w:r>
      <w:r w:rsidRPr="0096780D">
        <w:rPr>
          <w:rFonts w:ascii="Arial" w:eastAsia="Calibri" w:hAnsi="Arial" w:cs="Arial"/>
        </w:rPr>
        <w:t>low caries frequencies, but not zero</w:t>
      </w:r>
      <w:r w:rsidRPr="001C65FD">
        <w:rPr>
          <w:rFonts w:ascii="Arial" w:eastAsia="Calibri" w:hAnsi="Arial" w:cs="Arial"/>
        </w:rPr>
        <w:t xml:space="preserve">. The absence of caries in the Cabeçuda people was confirmed in a later study (Rodrigues-Carvalho and Souza, 1998), based on the same criterion, using the same probe size. This second analysis was carried out on 76 individuals, in whom the age and sex estimate used the methodology of Buikstra and Ubelaker (1994). Of these, 12 were sub-adults, and the remaining young and medium adults, 33 estimated as probable female, 36 probable male and 7 of undetermined sex. </w:t>
      </w:r>
    </w:p>
    <w:p w14:paraId="60054944" w14:textId="000C7B11" w:rsidR="00350C87" w:rsidRDefault="00350C87" w:rsidP="00350C87">
      <w:pPr>
        <w:spacing w:after="200"/>
        <w:ind w:firstLine="491"/>
        <w:jc w:val="both"/>
        <w:rPr>
          <w:rFonts w:ascii="Arial" w:eastAsia="Calibri" w:hAnsi="Arial" w:cs="Arial"/>
        </w:rPr>
      </w:pPr>
      <w:r>
        <w:rPr>
          <w:rFonts w:ascii="Arial" w:eastAsia="Calibri" w:hAnsi="Arial" w:cs="Arial"/>
        </w:rPr>
        <w:t>I</w:t>
      </w:r>
      <w:r w:rsidRPr="001C65FD">
        <w:rPr>
          <w:rFonts w:ascii="Arial" w:eastAsia="Calibri" w:hAnsi="Arial" w:cs="Arial"/>
        </w:rPr>
        <w:t xml:space="preserve">ntegrating different </w:t>
      </w:r>
      <w:r>
        <w:rPr>
          <w:rFonts w:ascii="Arial" w:eastAsia="Calibri" w:hAnsi="Arial" w:cs="Arial"/>
        </w:rPr>
        <w:t>paleo</w:t>
      </w:r>
      <w:r w:rsidRPr="001C65FD">
        <w:rPr>
          <w:rFonts w:ascii="Arial" w:eastAsia="Calibri" w:hAnsi="Arial" w:cs="Arial"/>
        </w:rPr>
        <w:t xml:space="preserve">pathological </w:t>
      </w:r>
      <w:r w:rsidRPr="0096780D">
        <w:rPr>
          <w:rFonts w:ascii="Arial" w:eastAsia="Calibri" w:hAnsi="Arial" w:cs="Arial"/>
        </w:rPr>
        <w:t xml:space="preserve">skeletal signs </w:t>
      </w:r>
      <w:r w:rsidRPr="001C65FD">
        <w:rPr>
          <w:rFonts w:ascii="Arial" w:eastAsia="Calibri" w:hAnsi="Arial" w:cs="Arial"/>
        </w:rPr>
        <w:t>from the same human remains, Souza (1999) proposed a systemic interpretation</w:t>
      </w:r>
      <w:r w:rsidR="0096780D">
        <w:rPr>
          <w:rFonts w:ascii="Arial" w:eastAsia="Calibri" w:hAnsi="Arial" w:cs="Arial"/>
        </w:rPr>
        <w:t>.</w:t>
      </w:r>
      <w:r w:rsidRPr="001C65FD">
        <w:rPr>
          <w:rFonts w:ascii="Arial" w:eastAsia="Calibri" w:hAnsi="Arial" w:cs="Arial"/>
        </w:rPr>
        <w:t xml:space="preserve"> </w:t>
      </w:r>
      <w:r>
        <w:rPr>
          <w:rFonts w:ascii="Arial" w:eastAsia="Calibri" w:hAnsi="Arial" w:cs="Arial"/>
        </w:rPr>
        <w:t>G</w:t>
      </w:r>
      <w:r w:rsidRPr="001C65FD">
        <w:rPr>
          <w:rFonts w:ascii="Arial" w:eastAsia="Calibri" w:hAnsi="Arial" w:cs="Arial"/>
        </w:rPr>
        <w:t xml:space="preserve">eneral health conditions </w:t>
      </w:r>
      <w:r w:rsidRPr="00203F6D">
        <w:rPr>
          <w:rFonts w:ascii="Arial" w:eastAsia="Calibri" w:hAnsi="Arial" w:cs="Arial"/>
        </w:rPr>
        <w:t xml:space="preserve">associated to their </w:t>
      </w:r>
      <w:r w:rsidRPr="001C65FD">
        <w:rPr>
          <w:rFonts w:ascii="Arial" w:eastAsia="Calibri" w:hAnsi="Arial" w:cs="Arial"/>
        </w:rPr>
        <w:t xml:space="preserve">exposure to </w:t>
      </w:r>
      <w:r w:rsidR="00160CC4" w:rsidRPr="001C65FD">
        <w:rPr>
          <w:rFonts w:ascii="Arial" w:eastAsia="Calibri" w:hAnsi="Arial" w:cs="Arial"/>
        </w:rPr>
        <w:t>environmental</w:t>
      </w:r>
      <w:r w:rsidRPr="001C65FD">
        <w:rPr>
          <w:rFonts w:ascii="Arial" w:eastAsia="Calibri" w:hAnsi="Arial" w:cs="Arial"/>
        </w:rPr>
        <w:t xml:space="preserve"> risks </w:t>
      </w:r>
      <w:r w:rsidRPr="00203F6D">
        <w:rPr>
          <w:rFonts w:ascii="Arial" w:eastAsia="Calibri" w:hAnsi="Arial" w:cs="Arial"/>
        </w:rPr>
        <w:t>provided a</w:t>
      </w:r>
      <w:r>
        <w:rPr>
          <w:rFonts w:ascii="Arial" w:eastAsia="Calibri" w:hAnsi="Arial" w:cs="Arial"/>
          <w:color w:val="FF0000"/>
        </w:rPr>
        <w:t xml:space="preserve"> </w:t>
      </w:r>
      <w:r w:rsidRPr="001C65FD">
        <w:rPr>
          <w:rFonts w:ascii="Arial" w:eastAsia="Calibri" w:hAnsi="Arial" w:cs="Arial"/>
        </w:rPr>
        <w:t>systemic approach the absence of carie</w:t>
      </w:r>
      <w:r w:rsidR="00203F6D">
        <w:rPr>
          <w:rFonts w:ascii="Arial" w:eastAsia="Calibri" w:hAnsi="Arial" w:cs="Arial"/>
        </w:rPr>
        <w:t>s.</w:t>
      </w:r>
      <w:r w:rsidRPr="00684066">
        <w:rPr>
          <w:rFonts w:ascii="Arial" w:eastAsia="Calibri" w:hAnsi="Arial" w:cs="Arial"/>
          <w:highlight w:val="yellow"/>
        </w:rPr>
        <w:t xml:space="preserve"> </w:t>
      </w:r>
      <w:r w:rsidRPr="001C65FD">
        <w:rPr>
          <w:rFonts w:ascii="Arial" w:eastAsia="Calibri" w:hAnsi="Arial" w:cs="Arial"/>
        </w:rPr>
        <w:t xml:space="preserve">physiological stress such as porotic hyperostosis, </w:t>
      </w:r>
      <w:r w:rsidRPr="001C65FD">
        <w:rPr>
          <w:rFonts w:ascii="Arial" w:eastAsia="Calibri" w:hAnsi="Arial" w:cs="Arial"/>
          <w:i/>
          <w:iCs/>
        </w:rPr>
        <w:t>cribra orbitalia</w:t>
      </w:r>
      <w:r w:rsidRPr="001C65FD">
        <w:rPr>
          <w:rFonts w:ascii="Arial" w:eastAsia="Calibri" w:hAnsi="Arial" w:cs="Arial"/>
        </w:rPr>
        <w:t>, linear hipoplasia of tooth enamel, arrested growth lines in long bones, periosteal reactions and hyperostosis forming mandibular and auditory torus</w:t>
      </w:r>
      <w:r>
        <w:rPr>
          <w:rFonts w:ascii="Arial" w:eastAsia="Calibri" w:hAnsi="Arial" w:cs="Arial"/>
        </w:rPr>
        <w:t xml:space="preserve">. </w:t>
      </w:r>
      <w:r w:rsidRPr="001C65FD">
        <w:rPr>
          <w:rFonts w:ascii="Arial" w:eastAsia="Calibri" w:hAnsi="Arial" w:cs="Arial"/>
        </w:rPr>
        <w:t xml:space="preserve"> </w:t>
      </w:r>
      <w:r>
        <w:rPr>
          <w:rFonts w:ascii="Arial" w:eastAsia="Calibri" w:hAnsi="Arial" w:cs="Arial"/>
        </w:rPr>
        <w:t>C</w:t>
      </w:r>
      <w:r w:rsidRPr="001C65FD">
        <w:rPr>
          <w:rFonts w:ascii="Arial" w:eastAsia="Calibri" w:hAnsi="Arial" w:cs="Arial"/>
        </w:rPr>
        <w:t xml:space="preserve">hronic exposure to </w:t>
      </w:r>
      <w:r w:rsidRPr="00203F6D">
        <w:rPr>
          <w:rFonts w:ascii="Arial" w:eastAsia="Calibri" w:hAnsi="Arial" w:cs="Arial"/>
        </w:rPr>
        <w:t>recurrent infections caused by saltwater vibrio was then proposed by</w:t>
      </w:r>
      <w:r w:rsidRPr="001C65FD">
        <w:rPr>
          <w:rFonts w:ascii="Arial" w:eastAsia="Calibri" w:hAnsi="Arial" w:cs="Arial"/>
        </w:rPr>
        <w:t xml:space="preserve"> Souza (1999)</w:t>
      </w:r>
      <w:r w:rsidR="00203F6D">
        <w:rPr>
          <w:rFonts w:ascii="Arial" w:eastAsia="Calibri" w:hAnsi="Arial" w:cs="Arial"/>
        </w:rPr>
        <w:t xml:space="preserve">. </w:t>
      </w:r>
      <w:r w:rsidRPr="00203F6D">
        <w:rPr>
          <w:rFonts w:ascii="Arial" w:eastAsia="Calibri" w:hAnsi="Arial" w:cs="Arial"/>
        </w:rPr>
        <w:t xml:space="preserve">Colonizing skin and mucous membranes, including in the oral cavity, vibrio would be causing </w:t>
      </w:r>
      <w:r w:rsidRPr="001C65FD">
        <w:rPr>
          <w:rFonts w:ascii="Arial" w:eastAsia="Calibri" w:hAnsi="Arial" w:cs="Arial"/>
        </w:rPr>
        <w:t xml:space="preserve">cutaneous, gastroenteric and other infections.  </w:t>
      </w:r>
      <w:r>
        <w:rPr>
          <w:rFonts w:ascii="Arial" w:eastAsia="Calibri" w:hAnsi="Arial" w:cs="Arial"/>
        </w:rPr>
        <w:t>D</w:t>
      </w:r>
      <w:r w:rsidRPr="001C65FD">
        <w:rPr>
          <w:rFonts w:ascii="Arial" w:eastAsia="Calibri" w:hAnsi="Arial" w:cs="Arial"/>
        </w:rPr>
        <w:t>ifferent health problems caused by vibrio, such as gastroenteritis, periostitis, otitis, skin and mucous membrane infections, even fatal cases</w:t>
      </w:r>
      <w:r>
        <w:rPr>
          <w:rFonts w:ascii="Arial" w:eastAsia="Calibri" w:hAnsi="Arial" w:cs="Arial"/>
        </w:rPr>
        <w:t xml:space="preserve"> </w:t>
      </w:r>
      <w:r w:rsidRPr="00203F6D">
        <w:rPr>
          <w:rFonts w:ascii="Arial" w:eastAsia="Calibri" w:hAnsi="Arial" w:cs="Arial"/>
        </w:rPr>
        <w:t xml:space="preserve">are described in contemporaneous coastal populations </w:t>
      </w:r>
      <w:r w:rsidRPr="001C65FD">
        <w:rPr>
          <w:rFonts w:ascii="Arial" w:eastAsia="Calibri" w:hAnsi="Arial" w:cs="Arial"/>
        </w:rPr>
        <w:t>(Magalhães et al., 1991; Mancilla, 2005). Colonizing the mucous membranes</w:t>
      </w:r>
      <w:r w:rsidR="009673F3">
        <w:rPr>
          <w:rFonts w:ascii="Arial" w:eastAsia="Calibri" w:hAnsi="Arial" w:cs="Arial"/>
        </w:rPr>
        <w:t xml:space="preserve"> and</w:t>
      </w:r>
      <w:r w:rsidRPr="001C65FD">
        <w:rPr>
          <w:rFonts w:ascii="Arial" w:eastAsia="Calibri" w:hAnsi="Arial" w:cs="Arial"/>
        </w:rPr>
        <w:t xml:space="preserve"> modifying the ecology of the oral cavity</w:t>
      </w:r>
      <w:r w:rsidR="009673F3">
        <w:rPr>
          <w:rFonts w:ascii="Arial" w:eastAsia="Calibri" w:hAnsi="Arial" w:cs="Arial"/>
        </w:rPr>
        <w:t xml:space="preserve"> (</w:t>
      </w:r>
      <w:r w:rsidRPr="001C65FD">
        <w:rPr>
          <w:rFonts w:ascii="Arial" w:eastAsia="Calibri" w:hAnsi="Arial" w:cs="Arial"/>
        </w:rPr>
        <w:t>Santos 1978)</w:t>
      </w:r>
      <w:r w:rsidR="009673F3">
        <w:rPr>
          <w:rFonts w:ascii="Arial" w:eastAsia="Calibri" w:hAnsi="Arial" w:cs="Arial"/>
        </w:rPr>
        <w:t xml:space="preserve">, </w:t>
      </w:r>
      <w:r>
        <w:rPr>
          <w:rFonts w:ascii="Arial" w:eastAsia="Calibri" w:hAnsi="Arial" w:cs="Arial"/>
        </w:rPr>
        <w:t xml:space="preserve">vibrio would </w:t>
      </w:r>
      <w:r w:rsidR="002E370F">
        <w:rPr>
          <w:rFonts w:ascii="Arial" w:eastAsia="Calibri" w:hAnsi="Arial" w:cs="Arial"/>
        </w:rPr>
        <w:t xml:space="preserve">be able to </w:t>
      </w:r>
      <w:r w:rsidRPr="001C65FD">
        <w:rPr>
          <w:rFonts w:ascii="Arial" w:eastAsia="Calibri" w:hAnsi="Arial" w:cs="Arial"/>
        </w:rPr>
        <w:t>modulate the cariogenic microbiota</w:t>
      </w:r>
      <w:r>
        <w:rPr>
          <w:rFonts w:ascii="Arial" w:eastAsia="Calibri" w:hAnsi="Arial" w:cs="Arial"/>
        </w:rPr>
        <w:t xml:space="preserve">, </w:t>
      </w:r>
      <w:r w:rsidR="00C43784">
        <w:rPr>
          <w:rFonts w:ascii="Arial" w:eastAsia="Calibri" w:hAnsi="Arial" w:cs="Arial"/>
        </w:rPr>
        <w:t xml:space="preserve">interfering in </w:t>
      </w:r>
      <w:r w:rsidRPr="00C43784">
        <w:rPr>
          <w:rFonts w:ascii="Arial" w:eastAsia="Calibri" w:hAnsi="Arial" w:cs="Arial"/>
        </w:rPr>
        <w:t>cariogenesis</w:t>
      </w:r>
      <w:r w:rsidRPr="001C65FD">
        <w:rPr>
          <w:rFonts w:ascii="Arial" w:eastAsia="Calibri" w:hAnsi="Arial" w:cs="Arial"/>
        </w:rPr>
        <w:t xml:space="preserve">.  </w:t>
      </w:r>
    </w:p>
    <w:p w14:paraId="45D8ABA4" w14:textId="77777777" w:rsidR="00350C87" w:rsidRPr="001C65FD" w:rsidRDefault="00350C87" w:rsidP="00350C87">
      <w:pPr>
        <w:spacing w:after="200"/>
        <w:ind w:firstLine="491"/>
        <w:jc w:val="both"/>
        <w:rPr>
          <w:rFonts w:ascii="Arial" w:eastAsia="Calibri" w:hAnsi="Arial" w:cs="Arial"/>
        </w:rPr>
      </w:pPr>
      <w:r w:rsidRPr="001C65FD">
        <w:rPr>
          <w:rFonts w:ascii="Arial" w:eastAsia="Calibri" w:hAnsi="Arial" w:cs="Arial"/>
        </w:rPr>
        <w:t xml:space="preserve">In the present work, it was sought, through scanning electron microscopy (SEM) of supragingival dental calculi extracted from individuals buried in Cabeçuda, to verify the presence of microfossils of the microorganisms present in the biofilm, especially in search of evidence of the presence of vibrio. Here the </w:t>
      </w:r>
      <w:r w:rsidRPr="001C65FD">
        <w:rPr>
          <w:rFonts w:ascii="Arial" w:eastAsia="Calibri" w:hAnsi="Arial" w:cs="Arial"/>
          <w:i/>
          <w:iCs/>
        </w:rPr>
        <w:t xml:space="preserve">taxa </w:t>
      </w:r>
      <w:r w:rsidRPr="001C65FD">
        <w:rPr>
          <w:rFonts w:ascii="Arial" w:eastAsia="Calibri" w:hAnsi="Arial" w:cs="Arial"/>
        </w:rPr>
        <w:t xml:space="preserve">identified are presented, and technical difficulties that limited the confirmation of the presence of microfossils morphologically compatible with vibrio are discussed, as well as suggestions on methodological adjustments necessary for the continuity in this line of research.    </w:t>
      </w:r>
    </w:p>
    <w:p w14:paraId="5A65FA79" w14:textId="77777777" w:rsidR="007266F3" w:rsidRPr="007266F3" w:rsidRDefault="007266F3" w:rsidP="007266F3">
      <w:pPr>
        <w:pStyle w:val="Body"/>
        <w:rPr>
          <w:rFonts w:ascii="Arial" w:hAnsi="Arial" w:cs="Arial"/>
        </w:rPr>
      </w:pPr>
    </w:p>
    <w:p w14:paraId="1E2E0C38" w14:textId="3E67CB2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797802E" w14:textId="77777777" w:rsidR="00790ADA" w:rsidRPr="00FB3A86" w:rsidRDefault="00790ADA" w:rsidP="00441B6F">
      <w:pPr>
        <w:pStyle w:val="AbstHead"/>
        <w:spacing w:after="0"/>
        <w:jc w:val="both"/>
        <w:rPr>
          <w:rFonts w:ascii="Arial" w:hAnsi="Arial" w:cs="Arial"/>
        </w:rPr>
      </w:pPr>
    </w:p>
    <w:p w14:paraId="40A3526F" w14:textId="3363B30C" w:rsidR="007266F3" w:rsidRPr="007266F3" w:rsidRDefault="007266F3" w:rsidP="007266F3">
      <w:pPr>
        <w:pStyle w:val="Body"/>
        <w:rPr>
          <w:rFonts w:ascii="Arial" w:hAnsi="Arial" w:cs="Arial"/>
        </w:rPr>
      </w:pPr>
      <w:r w:rsidRPr="007266F3">
        <w:rPr>
          <w:rFonts w:ascii="Arial" w:hAnsi="Arial" w:cs="Arial"/>
        </w:rPr>
        <w:t xml:space="preserve">Dental calculi from 20 different adult or sub-adult individuals, exhumed during archaeological research in the 1950s, in the shell mound of Cabeçuda, were analyzed. The skeletons used in the present study had their antiquity estimated by the dating of the archaeological layers where they were buried. Such calibrated dates reveal ages between 2,300 and 1,500 years before the present (Scheel-Ybert et al., 2020). Among the individuals studied, six had ages estimated by cementum annulation of the dental roots (Naji et al., 2022), with the following results: two of them were between 40.5 and 40.8 years old, two were between 28.1 and 28.5 years old, one of them was 18.8 years old and the other was 32.7 years old. The others were identified in the </w:t>
      </w:r>
      <w:r w:rsidR="009777B6" w:rsidRPr="007266F3">
        <w:rPr>
          <w:rFonts w:ascii="Arial" w:hAnsi="Arial" w:cs="Arial"/>
        </w:rPr>
        <w:t>catalogue</w:t>
      </w:r>
      <w:r w:rsidRPr="007266F3">
        <w:rPr>
          <w:rFonts w:ascii="Arial" w:hAnsi="Arial" w:cs="Arial"/>
        </w:rPr>
        <w:t xml:space="preserve"> of the collection only as adults. The sex estimates for nine of them </w:t>
      </w:r>
      <w:r w:rsidRPr="007266F3">
        <w:rPr>
          <w:rFonts w:ascii="Arial" w:hAnsi="Arial" w:cs="Arial"/>
        </w:rPr>
        <w:lastRenderedPageBreak/>
        <w:t xml:space="preserve">were already included in the catalogue of the collection. Although based on the criteria of Buikstra &amp; Ubelaker (1994), they were made from fragmented bones and incomplete skeletons, with limitations in their estimation. Four males and five females were identified. Of these, only three male skeletons and one female skeleton were also confirmed by discriminant analysis (Souza, 1991). </w:t>
      </w:r>
    </w:p>
    <w:p w14:paraId="549E4484" w14:textId="53B35D8A" w:rsidR="007266F3" w:rsidRPr="007266F3" w:rsidRDefault="007266F3" w:rsidP="007266F3">
      <w:pPr>
        <w:pStyle w:val="Body"/>
        <w:rPr>
          <w:rFonts w:ascii="Arial" w:hAnsi="Arial" w:cs="Arial"/>
        </w:rPr>
      </w:pPr>
      <w:r w:rsidRPr="007266F3">
        <w:rPr>
          <w:rFonts w:ascii="Arial" w:hAnsi="Arial" w:cs="Arial"/>
        </w:rPr>
        <w:t xml:space="preserve">The presence of sufficiently voluminous stones justified the choice of specimens for this study.  Some stones came from previously disconnected teeth (n=14), and others from in situ teeth (n=6). With the exception of one upper left canine tooth, the others were molars, three upper left, eight upper right, five lower left and three lower </w:t>
      </w:r>
      <w:r w:rsidR="00CB5598" w:rsidRPr="007266F3">
        <w:rPr>
          <w:rFonts w:ascii="Arial" w:hAnsi="Arial" w:cs="Arial"/>
        </w:rPr>
        <w:t>rights</w:t>
      </w:r>
      <w:r w:rsidRPr="007266F3">
        <w:rPr>
          <w:rFonts w:ascii="Arial" w:hAnsi="Arial" w:cs="Arial"/>
        </w:rPr>
        <w:t xml:space="preserve">. Molar teeth were chosen because they had larger calculi (Figure 3). After selection, the material was described and documented on cards, macroscopic and microscopic photos (50x, PROSCOPE digital magnifying glass Avantgarde@). </w:t>
      </w:r>
    </w:p>
    <w:p w14:paraId="56B74DC6" w14:textId="7A106267" w:rsidR="007266F3" w:rsidRPr="007266F3" w:rsidRDefault="007266F3" w:rsidP="007266F3">
      <w:pPr>
        <w:pStyle w:val="Body"/>
        <w:rPr>
          <w:rFonts w:ascii="Arial" w:hAnsi="Arial" w:cs="Arial"/>
        </w:rPr>
      </w:pPr>
      <w:r w:rsidRPr="007266F3">
        <w:rPr>
          <w:rFonts w:ascii="Arial" w:hAnsi="Arial" w:cs="Arial"/>
        </w:rPr>
        <w:t xml:space="preserve">The teeth had their calculi, as well as their enamel surfaces sanitized with soft brushes and distilled water. The removal of fragments was performed with the aid of a curette, avoiding the removal of the tooth when connected in situ, and the fragments reserved in </w:t>
      </w:r>
      <w:r w:rsidR="006A7A30" w:rsidRPr="007266F3">
        <w:rPr>
          <w:rFonts w:ascii="Arial" w:hAnsi="Arial" w:cs="Arial"/>
        </w:rPr>
        <w:t>Eppendorf</w:t>
      </w:r>
      <w:r w:rsidRPr="007266F3">
        <w:rPr>
          <w:rFonts w:ascii="Arial" w:hAnsi="Arial" w:cs="Arial"/>
        </w:rPr>
        <w:t xml:space="preserve"> were identified. The stage of choosing and selecting the samples, as well as extracting the dental calculus, was carried out at the Biological Anthropology Laboratory of the National Museum of Rio de Janeiro. </w:t>
      </w:r>
    </w:p>
    <w:p w14:paraId="512F8C41" w14:textId="77777777" w:rsidR="007266F3" w:rsidRPr="007266F3" w:rsidRDefault="007266F3" w:rsidP="007266F3">
      <w:pPr>
        <w:pStyle w:val="Body"/>
        <w:rPr>
          <w:rFonts w:ascii="Arial" w:hAnsi="Arial" w:cs="Arial"/>
        </w:rPr>
      </w:pPr>
    </w:p>
    <w:p w14:paraId="1C33FADF" w14:textId="631DD789" w:rsidR="007266F3" w:rsidRPr="007266F3" w:rsidRDefault="00ED03FC" w:rsidP="007266F3">
      <w:pPr>
        <w:pStyle w:val="Body"/>
        <w:rPr>
          <w:rFonts w:ascii="Arial" w:hAnsi="Arial" w:cs="Arial"/>
        </w:rPr>
      </w:pPr>
      <w:r>
        <w:rPr>
          <w:rFonts w:ascii="Arial" w:hAnsi="Arial" w:cs="Arial"/>
          <w:noProof/>
        </w:rPr>
        <w:lastRenderedPageBreak/>
        <w:drawing>
          <wp:inline distT="0" distB="0" distL="0" distR="0" wp14:anchorId="0AE27FE9" wp14:editId="439A371C">
            <wp:extent cx="5212080" cy="4380230"/>
            <wp:effectExtent l="0" t="0" r="0" b="0"/>
            <wp:docPr id="517969451" name="Imagem 3" descr="Uma imagem contendo mesa, comida, rosquinha, azul&#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69451" name="Imagem 3" descr="Uma imagem contendo mesa, comida, rosquinha, azul&#10;&#10;O conteúdo gerado por IA pode estar incorre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4380230"/>
                    </a:xfrm>
                    <a:prstGeom prst="rect">
                      <a:avLst/>
                    </a:prstGeom>
                  </pic:spPr>
                </pic:pic>
              </a:graphicData>
            </a:graphic>
          </wp:inline>
        </w:drawing>
      </w:r>
      <w:r w:rsidR="007266F3" w:rsidRPr="007266F3">
        <w:rPr>
          <w:rFonts w:ascii="Arial" w:hAnsi="Arial" w:cs="Arial"/>
        </w:rPr>
        <w:t>Figure 3 - Teeth from burials of the Cabeçuda shell mound, note the accumulation of dental calculus (Photo: T.P.)</w:t>
      </w:r>
    </w:p>
    <w:p w14:paraId="112C01F3" w14:textId="77777777" w:rsidR="007266F3" w:rsidRPr="007266F3" w:rsidRDefault="007266F3" w:rsidP="007266F3">
      <w:pPr>
        <w:pStyle w:val="Body"/>
        <w:rPr>
          <w:rFonts w:ascii="Arial" w:hAnsi="Arial" w:cs="Arial"/>
        </w:rPr>
      </w:pPr>
    </w:p>
    <w:p w14:paraId="60537EF3" w14:textId="493822A3" w:rsidR="007266F3" w:rsidRPr="007266F3" w:rsidRDefault="007266F3" w:rsidP="007266F3">
      <w:pPr>
        <w:pStyle w:val="Body"/>
        <w:rPr>
          <w:rFonts w:ascii="Arial" w:hAnsi="Arial" w:cs="Arial"/>
        </w:rPr>
      </w:pPr>
      <w:r w:rsidRPr="007266F3">
        <w:rPr>
          <w:rFonts w:ascii="Arial" w:hAnsi="Arial" w:cs="Arial"/>
        </w:rPr>
        <w:t xml:space="preserve">Subsequently, the material was taken to the Paleoparasitology Laboratory of the Sergio Arouca National School of Public Health, of the Oswaldo Cruz Foundation, where the fragments were reexamined under a digital magnifying glass (50x), weighed on a SPLABOR digital scale, and then partitioned and reserved in new 2ml </w:t>
      </w:r>
      <w:r w:rsidR="006A7A30" w:rsidRPr="007266F3">
        <w:rPr>
          <w:rFonts w:ascii="Arial" w:hAnsi="Arial" w:cs="Arial"/>
        </w:rPr>
        <w:t>Eppendorf</w:t>
      </w:r>
      <w:r w:rsidRPr="007266F3">
        <w:rPr>
          <w:rFonts w:ascii="Arial" w:hAnsi="Arial" w:cs="Arial"/>
        </w:rPr>
        <w:t xml:space="preserve"> tubes. </w:t>
      </w:r>
    </w:p>
    <w:p w14:paraId="7E3A088A" w14:textId="77777777" w:rsidR="007266F3" w:rsidRPr="007266F3" w:rsidRDefault="007266F3" w:rsidP="007266F3">
      <w:pPr>
        <w:pStyle w:val="Body"/>
        <w:rPr>
          <w:rFonts w:ascii="Arial" w:hAnsi="Arial" w:cs="Arial"/>
        </w:rPr>
      </w:pPr>
      <w:r w:rsidRPr="007266F3">
        <w:rPr>
          <w:rFonts w:ascii="Arial" w:hAnsi="Arial" w:cs="Arial"/>
        </w:rPr>
        <w:t xml:space="preserve">Next, two physical techniques for exposing the microfossils were tested: the first was the disaggregation by ultrasound, done in distilled water, at room temperature, in Cristófoli Ultrasonic Tub (USC12038L188018), for progressively longer times at 42Khz, was not very effective. For this reason, it was decided to manually fragment the partition of the calculi by compression. The fragments were then fixed to the stubs with carbon tape (Ted Pella Inc.) for microscopic examination. </w:t>
      </w:r>
    </w:p>
    <w:p w14:paraId="1366954A" w14:textId="77777777" w:rsidR="007266F3" w:rsidRPr="007266F3" w:rsidRDefault="007266F3" w:rsidP="007266F3">
      <w:pPr>
        <w:pStyle w:val="Body"/>
        <w:rPr>
          <w:rFonts w:ascii="Arial" w:hAnsi="Arial" w:cs="Arial"/>
        </w:rPr>
      </w:pPr>
      <w:r w:rsidRPr="007266F3">
        <w:rPr>
          <w:rFonts w:ascii="Arial" w:hAnsi="Arial" w:cs="Arial"/>
        </w:rPr>
        <w:t xml:space="preserve">The assemblies were then taken to the SEM at the Herta Mayer Cellular Ultrastructure Laboratory, Carlos Chagas Institute of Biophysics, of the Federal University of Rio de Janeiro, where they were coated with gold for better visualization of microfossils. Scanning electron microscopy was performed with the support of the technical team of that laboratory. Due to problems with one of the microscopes, part of the material had to be examined in a Zeiss EVO </w:t>
      </w:r>
      <w:r w:rsidRPr="007266F3">
        <w:rPr>
          <w:rFonts w:ascii="Arial" w:hAnsi="Arial" w:cs="Arial"/>
        </w:rPr>
        <w:lastRenderedPageBreak/>
        <w:t>MA10, and part in a Quanta 250 (FEI Co.), obtaining images with different magnitudes according to the case (Figure 4).</w:t>
      </w:r>
    </w:p>
    <w:p w14:paraId="6179F4CC" w14:textId="7EAD08D7" w:rsidR="007266F3" w:rsidRPr="007266F3" w:rsidRDefault="007266F3" w:rsidP="007266F3">
      <w:pPr>
        <w:pStyle w:val="Body"/>
        <w:rPr>
          <w:rFonts w:ascii="Arial" w:hAnsi="Arial" w:cs="Arial"/>
        </w:rPr>
      </w:pPr>
      <w:r w:rsidRPr="007266F3">
        <w:rPr>
          <w:rFonts w:ascii="Arial" w:hAnsi="Arial" w:cs="Arial"/>
        </w:rPr>
        <w:t xml:space="preserve">The best image of each specimen was analyzed. To this end, each of them was divided into quadrants, which facilitated the counting of microfossils. Only those whose outline could be fully visualized on the examined surface </w:t>
      </w:r>
      <w:r w:rsidR="008F64C4" w:rsidRPr="007266F3">
        <w:rPr>
          <w:rFonts w:ascii="Arial" w:hAnsi="Arial" w:cs="Arial"/>
        </w:rPr>
        <w:t>were</w:t>
      </w:r>
      <w:r w:rsidRPr="007266F3">
        <w:rPr>
          <w:rFonts w:ascii="Arial" w:hAnsi="Arial" w:cs="Arial"/>
        </w:rPr>
        <w:t xml:space="preserve"> considered. Each individualized microfossil was measured as follows: the rods at their two maximum orthogonal diameters, the cocci at their maximum diameter. The measurements were compared with the morphology of the current bacteria known and described according to Bergey's current manual of systematics of archaea and bacteria (William and Bergey's, 2015) and the descriptions in Zhou and Li (2020). The results allowed them to be grouped into morphotypes.</w:t>
      </w:r>
    </w:p>
    <w:p w14:paraId="0237CFD2" w14:textId="6C1C7730" w:rsidR="00B01FCD" w:rsidRDefault="007266F3" w:rsidP="007266F3">
      <w:pPr>
        <w:pStyle w:val="Body"/>
        <w:spacing w:after="0"/>
        <w:rPr>
          <w:rFonts w:ascii="Arial" w:hAnsi="Arial" w:cs="Arial"/>
        </w:rPr>
      </w:pPr>
      <w:r w:rsidRPr="007266F3">
        <w:rPr>
          <w:rFonts w:ascii="Arial" w:hAnsi="Arial" w:cs="Arial"/>
        </w:rPr>
        <w:t>For the quantifying of microfossils, an average of three counts in each specimen was considered. From this value, the density of microfossils per area examined was calculated by dividing the total number of microfossils (cavities + intact microfossils) by the planimetric value of the photographed area, in order to control the bias introduced by the different magnifications. The results were compared and discussed.</w:t>
      </w:r>
    </w:p>
    <w:p w14:paraId="79409413" w14:textId="77777777" w:rsidR="00790ADA" w:rsidRPr="00FB3A86" w:rsidRDefault="00790ADA" w:rsidP="00441B6F">
      <w:pPr>
        <w:pStyle w:val="Body"/>
        <w:spacing w:after="0"/>
        <w:rPr>
          <w:rFonts w:ascii="Arial" w:hAnsi="Arial" w:cs="Arial"/>
        </w:rPr>
      </w:pPr>
    </w:p>
    <w:p w14:paraId="3D7D98E9"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65FEDCD" w14:textId="77777777" w:rsidR="00790ADA" w:rsidRPr="00FB3A86" w:rsidRDefault="00790ADA" w:rsidP="00441B6F">
      <w:pPr>
        <w:pStyle w:val="Head1"/>
        <w:spacing w:after="0"/>
        <w:jc w:val="both"/>
        <w:rPr>
          <w:rFonts w:ascii="Arial" w:hAnsi="Arial" w:cs="Arial"/>
        </w:rPr>
      </w:pPr>
    </w:p>
    <w:p w14:paraId="4D549D92" w14:textId="77777777" w:rsidR="006F2794" w:rsidRPr="006F2794" w:rsidRDefault="006F2794" w:rsidP="006F2794">
      <w:pPr>
        <w:pStyle w:val="Body"/>
        <w:rPr>
          <w:rFonts w:ascii="Arial" w:hAnsi="Arial" w:cs="Arial"/>
        </w:rPr>
      </w:pPr>
      <w:r w:rsidRPr="006F2794">
        <w:rPr>
          <w:rFonts w:ascii="Arial" w:hAnsi="Arial" w:cs="Arial"/>
        </w:rPr>
        <w:t xml:space="preserve">The analysis of dental calculi of Cabeçuda shell mound from a microbiological point of view, considering only morphological and morphometric aspects of the microfossils on the fractured surfaces, brought great limitations to the study. In addition, the images limited the three-dimensional view of the microfossils, and only those simple morphotypes applicable to different taxa were applicable. Remaining attached to the matrix of the calculations, the microfossils morphology could be better described when free from the matrix.  </w:t>
      </w:r>
    </w:p>
    <w:p w14:paraId="422DD1E4" w14:textId="1AA5033F" w:rsidR="006F2794" w:rsidRPr="006F2794" w:rsidRDefault="006F2794" w:rsidP="006F2794">
      <w:pPr>
        <w:pStyle w:val="Body"/>
        <w:rPr>
          <w:rFonts w:ascii="Arial" w:hAnsi="Arial" w:cs="Arial"/>
        </w:rPr>
      </w:pPr>
      <w:r w:rsidRPr="006F2794">
        <w:rPr>
          <w:rFonts w:ascii="Arial" w:hAnsi="Arial" w:cs="Arial"/>
        </w:rPr>
        <w:t xml:space="preserve">Even so, the good external preservation of the microfossils found confirmed the promising scenario in this line of research. It is remarkable how their outer morphology was preserved in this ancient material, allowing the contours and volumes of the microorganisms to be maintained, as described in previous works by Charlier et al. (2010) and Power et al. (2014). The images of the scanning electron microscopy show that the microfossils presented themselves in two ways: a) intact corpuscles formed by closed curved surfaces, corresponding to the external contours, or mineralized membranes of bacterial cells b) cavities delimited by the same contours, i.e., mineralized membranes. The fragmentation of the samples for assembly under the microscope, removing part of the structures, sometimes released intact microfossils, sometimes fractured them, exposing the interior. The observation of open and fractured microfossils confirmed that the process of calcium phosphate deposition, in this case, mineralized only the envelopes of </w:t>
      </w:r>
      <w:r w:rsidR="00ED03FC" w:rsidRPr="006F2794">
        <w:rPr>
          <w:rFonts w:ascii="Arial" w:hAnsi="Arial" w:cs="Arial"/>
        </w:rPr>
        <w:t>microorganisms</w:t>
      </w:r>
      <w:r w:rsidRPr="006F2794">
        <w:rPr>
          <w:rFonts w:ascii="Arial" w:hAnsi="Arial" w:cs="Arial"/>
        </w:rPr>
        <w:t xml:space="preserve">, leaving their interior empty, as described by Hilson (1990). </w:t>
      </w:r>
    </w:p>
    <w:p w14:paraId="5FABA2CC" w14:textId="77777777" w:rsidR="00110034" w:rsidRDefault="00110034" w:rsidP="006F2794">
      <w:pPr>
        <w:pStyle w:val="Body"/>
        <w:rPr>
          <w:rFonts w:ascii="Arial" w:hAnsi="Arial" w:cs="Arial"/>
        </w:rPr>
      </w:pPr>
      <w:r>
        <w:rPr>
          <w:rFonts w:ascii="Arial" w:hAnsi="Arial" w:cs="Arial"/>
          <w:noProof/>
        </w:rPr>
        <w:lastRenderedPageBreak/>
        <w:drawing>
          <wp:inline distT="0" distB="0" distL="0" distR="0" wp14:anchorId="276C06C2" wp14:editId="6C3895FA">
            <wp:extent cx="3703320" cy="2772295"/>
            <wp:effectExtent l="0" t="0" r="0" b="9525"/>
            <wp:docPr id="2125251118" name="Imagem 2" descr="Uma imagem contendo no interior, foto, coberto, colori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1118" name="Imagem 2" descr="Uma imagem contendo no interior, foto, coberto, colorido&#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3703320" cy="2772295"/>
                    </a:xfrm>
                    <a:prstGeom prst="rect">
                      <a:avLst/>
                    </a:prstGeom>
                  </pic:spPr>
                </pic:pic>
              </a:graphicData>
            </a:graphic>
          </wp:inline>
        </w:drawing>
      </w:r>
      <w:r>
        <w:rPr>
          <w:rFonts w:ascii="Arial" w:hAnsi="Arial" w:cs="Arial"/>
          <w:noProof/>
        </w:rPr>
        <w:drawing>
          <wp:inline distT="0" distB="0" distL="0" distR="0" wp14:anchorId="368E0FF5" wp14:editId="794339A5">
            <wp:extent cx="3703320" cy="3407792"/>
            <wp:effectExtent l="0" t="0" r="0" b="2540"/>
            <wp:docPr id="29743821" name="Imagem 3" descr="Uma imagem contendo no interior, segurando, grande, m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3821" name="Imagem 3" descr="Uma imagem contendo no interior, segurando, grande, mão&#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3710745" cy="3414625"/>
                    </a:xfrm>
                    <a:prstGeom prst="rect">
                      <a:avLst/>
                    </a:prstGeom>
                  </pic:spPr>
                </pic:pic>
              </a:graphicData>
            </a:graphic>
          </wp:inline>
        </w:drawing>
      </w:r>
    </w:p>
    <w:p w14:paraId="2CAECF17" w14:textId="001FD143" w:rsidR="006F2794" w:rsidRPr="006F2794" w:rsidRDefault="006F2794" w:rsidP="006F2794">
      <w:pPr>
        <w:pStyle w:val="Body"/>
        <w:rPr>
          <w:rFonts w:ascii="Arial" w:hAnsi="Arial" w:cs="Arial"/>
        </w:rPr>
      </w:pPr>
      <w:r w:rsidRPr="006F2794">
        <w:rPr>
          <w:rFonts w:ascii="Arial" w:hAnsi="Arial" w:cs="Arial"/>
        </w:rPr>
        <w:t xml:space="preserve">Figure 4 - Scanning electron microscopy of human dental calculi from the Cabeçuda shell mound. Note the intact and fragmented microfossils, still embedded in the phosphocalcium matrix of the calculus. Above, MN1673 specimen photographed under a QUANTA 8,000x microscope. Below, MN1743 photographed under a ZEISS microscope, 9.430x (Photos: Hertha Mayer Laboratory/UFRJ) </w:t>
      </w:r>
    </w:p>
    <w:p w14:paraId="494B6CE9" w14:textId="50DCF969" w:rsidR="006F2794" w:rsidRPr="006F2794" w:rsidRDefault="006F2794" w:rsidP="006F2794">
      <w:pPr>
        <w:pStyle w:val="Body"/>
        <w:rPr>
          <w:rFonts w:ascii="Arial" w:hAnsi="Arial" w:cs="Arial"/>
        </w:rPr>
      </w:pPr>
      <w:r w:rsidRPr="006F2794">
        <w:rPr>
          <w:rFonts w:ascii="Arial" w:hAnsi="Arial" w:cs="Arial"/>
        </w:rPr>
        <w:t xml:space="preserve">The possibility of confirming the results by biomolecular techniques (Preus et al., 2011), although considered, has been limited by the costs of applying this methodology. On the other hand, the way in which microfossils were preserved would certainly bring limitations to paleogenetic studies, due to the loss of cellular content and, consequently, of the genetic </w:t>
      </w:r>
      <w:r w:rsidRPr="006F2794">
        <w:rPr>
          <w:rFonts w:ascii="Arial" w:hAnsi="Arial" w:cs="Arial"/>
        </w:rPr>
        <w:lastRenderedPageBreak/>
        <w:t>material necessary for their identification. In the absence of intracellular structures, the limitations caused by the contamination of the materials by microorganisms from the environment of different periods, reported in previous studies (Pfister, 2005), would possibly have made the use of this technique unfeasible, even if some genetic material could still be present.  In recent years, however, new technologies offer a more favorable scenario, and this path can be resumed (Kerkens et al, 2018).</w:t>
      </w:r>
    </w:p>
    <w:p w14:paraId="6D9E1264" w14:textId="77777777" w:rsidR="006F2794" w:rsidRPr="006F2794" w:rsidRDefault="006F2794" w:rsidP="006F2794">
      <w:pPr>
        <w:pStyle w:val="Body"/>
        <w:rPr>
          <w:rFonts w:ascii="Arial" w:hAnsi="Arial" w:cs="Arial"/>
        </w:rPr>
      </w:pPr>
      <w:r w:rsidRPr="006F2794">
        <w:rPr>
          <w:rFonts w:ascii="Arial" w:hAnsi="Arial" w:cs="Arial"/>
        </w:rPr>
        <w:t xml:space="preserve"> On the other hand, the observation of this form of preservation drew attention to the fragility of microfossils: under the apparent resistance of calculus, their delicate structures are a challenge, since they must be intact for proper morphological study. Since the mineralization processes, in addition to the calcification of the plaque in vivo, continue in the soil, after burial (Hilson, 1990), and the formation of calcite in the bony, dental and calculus matrix interstices is frequent, there may be an increase in the hardness of this matrix, increasing the difficulty for sample disaggregation. </w:t>
      </w:r>
    </w:p>
    <w:p w14:paraId="643467CF" w14:textId="77777777" w:rsidR="006F2794" w:rsidRPr="006F2794" w:rsidRDefault="006F2794" w:rsidP="006F2794">
      <w:pPr>
        <w:pStyle w:val="Body"/>
        <w:rPr>
          <w:rFonts w:ascii="Arial" w:hAnsi="Arial" w:cs="Arial"/>
        </w:rPr>
      </w:pPr>
      <w:r w:rsidRPr="006F2794">
        <w:rPr>
          <w:rFonts w:ascii="Arial" w:hAnsi="Arial" w:cs="Arial"/>
        </w:rPr>
        <w:t xml:space="preserve">The possibility of formation of different calcium phosphate minerals in the </w:t>
      </w:r>
      <w:proofErr w:type="gramStart"/>
      <w:r w:rsidRPr="006F2794">
        <w:rPr>
          <w:rFonts w:ascii="Arial" w:hAnsi="Arial" w:cs="Arial"/>
        </w:rPr>
        <w:t>samples</w:t>
      </w:r>
      <w:proofErr w:type="gramEnd"/>
      <w:r w:rsidRPr="006F2794">
        <w:rPr>
          <w:rFonts w:ascii="Arial" w:hAnsi="Arial" w:cs="Arial"/>
        </w:rPr>
        <w:t xml:space="preserve"> accounts for the differences in the hardness of the calculi from different specimens, and therefore in their resistance to ultrasonics. The minerals most frequently deposited in life, in the formation of the calculus, would be bruxite (hardness 2.5 on the Möhs scale), whose basic formula is Ca8HPO4.2H2O, and whitlockite (hardness 5 on the Möhs scale), whose basic formula is Ca8(HPO4)2.  In the shell mound substrate, rich in skeletal remains of fauna, more than in other sites, the percolation of fluvial, rainwater and tidal water favors the migration of ions and may contribute to the gradual replacement of original minerals by apatite (also hardness 5.0 on the Möhs scale), whose generic formula is Ca5(PO4)3(OH, F, Cl). This substitution certainly gives greater hardness to the matrix and, consequently, to the calculus, which now offers greater resistance to disaggregation. The Cabeçuda, a shell mound whose substrate is formed by a predominance of mollusk shells, with a reduced proportion of soil, a taphonomic process of this type would find even more conditions to occur. The observation of great variation in the resistance of stones to dissolution processes by physical and chemical methods has been observed in other studies, and even for their dissolution, different times of exposure in acid solution have been employed for different materials (Wesolowski et al., 2007; Jorge, 2015). </w:t>
      </w:r>
    </w:p>
    <w:p w14:paraId="497F562D" w14:textId="77777777" w:rsidR="006F2794" w:rsidRPr="006F2794" w:rsidRDefault="006F2794" w:rsidP="006F2794">
      <w:pPr>
        <w:pStyle w:val="Body"/>
        <w:rPr>
          <w:rFonts w:ascii="Arial" w:hAnsi="Arial" w:cs="Arial"/>
        </w:rPr>
      </w:pPr>
      <w:r w:rsidRPr="006F2794">
        <w:rPr>
          <w:rFonts w:ascii="Arial" w:hAnsi="Arial" w:cs="Arial"/>
        </w:rPr>
        <w:t xml:space="preserve">The confirmation of a large </w:t>
      </w:r>
      <w:proofErr w:type="gramStart"/>
      <w:r w:rsidRPr="006F2794">
        <w:rPr>
          <w:rFonts w:ascii="Arial" w:hAnsi="Arial" w:cs="Arial"/>
        </w:rPr>
        <w:t>amount</w:t>
      </w:r>
      <w:proofErr w:type="gramEnd"/>
      <w:r w:rsidRPr="006F2794">
        <w:rPr>
          <w:rFonts w:ascii="Arial" w:hAnsi="Arial" w:cs="Arial"/>
        </w:rPr>
        <w:t xml:space="preserve"> of bacterial microfossils preserved in most of the 20 samples, with the exception of two of them, MN 1674 and MN 1942, was an important result as it draws attention to the potential of this material.  Cases in which microfossils were rare or absent may represent parts of the calculus where the matrix predominated, such as in areas of rapid precipitation of calcium salts, or of specimens where, due to specific conditions, the preservation of microfossils has been impaired. </w:t>
      </w:r>
    </w:p>
    <w:p w14:paraId="3519DE5B" w14:textId="46B4C406" w:rsidR="006F2794" w:rsidRPr="006F2794" w:rsidRDefault="006F2794" w:rsidP="006F2794">
      <w:pPr>
        <w:pStyle w:val="Body"/>
        <w:rPr>
          <w:rFonts w:ascii="Arial" w:hAnsi="Arial" w:cs="Arial"/>
        </w:rPr>
      </w:pPr>
      <w:r w:rsidRPr="006F2794">
        <w:rPr>
          <w:rFonts w:ascii="Arial" w:hAnsi="Arial" w:cs="Arial"/>
        </w:rPr>
        <w:t>The number of intact microfossils in each image ranged from 48 to 300, and the number of broken microfossils in each image ranged from 32 to 190. Adding the amounts of both, the proportion of bacteria in each stone surface examined ranged from 0.056 bacteria per μm² to 0.83 bacteria per μm² (</w:t>
      </w:r>
      <w:r w:rsidR="00631681">
        <w:rPr>
          <w:rFonts w:ascii="Arial" w:hAnsi="Arial" w:cs="Arial"/>
        </w:rPr>
        <w:t>Figure 5</w:t>
      </w:r>
      <w:r w:rsidRPr="006F2794">
        <w:rPr>
          <w:rFonts w:ascii="Arial" w:hAnsi="Arial" w:cs="Arial"/>
        </w:rPr>
        <w:t xml:space="preserve">). These results confirm that there may be different proportions of microfossils in the matrix of different specimens from the same site. Differences in diet, such as in periods of higher protein intake, form ammonia radicals that base the mouth environment, favoring and accelerating the precipitation of calcium salts and faster calculus formation. Another possible cause for variation in diet may be the existence of different diets by cultural patterns related to sex or age. Isotopic studies, such as by Colonese et al. (2014), seeking to reconstruct paleonutrition in shell mounds from Brazil, suggest that even in a single site there would have been variability in the diet between different individuals, which would certainly impact the formation of dental plaque and the speed of calculus formation (Cariman, 2020), including for factors such as gender or age. In the case of Cabeçuda, in only eight of the </w:t>
      </w:r>
      <w:r w:rsidRPr="006F2794">
        <w:rPr>
          <w:rFonts w:ascii="Arial" w:hAnsi="Arial" w:cs="Arial"/>
        </w:rPr>
        <w:lastRenderedPageBreak/>
        <w:t xml:space="preserve">specimens it was possible to estimate the sex. The small number of observations avoid </w:t>
      </w:r>
      <w:r w:rsidR="00B84AE1" w:rsidRPr="006F2794">
        <w:rPr>
          <w:rFonts w:ascii="Arial" w:hAnsi="Arial" w:cs="Arial"/>
        </w:rPr>
        <w:t>establishing</w:t>
      </w:r>
      <w:r w:rsidRPr="006F2794">
        <w:rPr>
          <w:rFonts w:ascii="Arial" w:hAnsi="Arial" w:cs="Arial"/>
        </w:rPr>
        <w:t xml:space="preserve"> a correlation, however, the results concentrated lower values of microfossil density in skeletons estimated to be female. </w:t>
      </w:r>
    </w:p>
    <w:p w14:paraId="401210A4" w14:textId="30780871" w:rsidR="006F2794" w:rsidRPr="006F2794" w:rsidRDefault="006F2794" w:rsidP="006F2794">
      <w:pPr>
        <w:pStyle w:val="Body"/>
        <w:rPr>
          <w:rFonts w:ascii="Arial" w:hAnsi="Arial" w:cs="Arial"/>
        </w:rPr>
      </w:pPr>
      <w:r w:rsidRPr="006F2794">
        <w:rPr>
          <w:rFonts w:ascii="Arial" w:hAnsi="Arial" w:cs="Arial"/>
        </w:rPr>
        <w:t xml:space="preserve">When analyzing samples from cemeteries, we must take into account that the specimens studied are not always synchronous, their lives and deaths may represent different periods of the group's life. Thus, variations in the individual diet may represent different strategies for obtaining food, especially in a fishering-gatherer group. In the same way, there may be differences related to the entry of individuals from other areas or groups buried in the same site. It is also possible to find differences related to specific personal events, since differences determined by cultural patterns and divisions of subsistence activities are not uncommon. Isotopic studies for coastal populations in Brazil suggest such differences (Bastos et al., 2015), and further </w:t>
      </w:r>
      <w:proofErr w:type="spellStart"/>
      <w:r w:rsidRPr="006F2794">
        <w:rPr>
          <w:rFonts w:ascii="Arial" w:hAnsi="Arial" w:cs="Arial"/>
        </w:rPr>
        <w:t>bioarchaeologic</w:t>
      </w:r>
      <w:proofErr w:type="spellEnd"/>
      <w:r w:rsidRPr="006F2794">
        <w:rPr>
          <w:rFonts w:ascii="Arial" w:hAnsi="Arial" w:cs="Arial"/>
        </w:rPr>
        <w:t xml:space="preserve"> studies in larger series could detail interpretations of the formation of dental calculi in shell mound builder groups.</w:t>
      </w:r>
    </w:p>
    <w:p w14:paraId="10152F1C" w14:textId="240A5494" w:rsidR="006F2794" w:rsidRDefault="006F2794" w:rsidP="006F2794">
      <w:pPr>
        <w:pStyle w:val="Body"/>
        <w:rPr>
          <w:rFonts w:ascii="Arial" w:hAnsi="Arial" w:cs="Arial"/>
        </w:rPr>
      </w:pPr>
      <w:r w:rsidRPr="006F2794">
        <w:rPr>
          <w:rFonts w:ascii="Arial" w:hAnsi="Arial" w:cs="Arial"/>
        </w:rPr>
        <w:t xml:space="preserve">The detail of the location, the size of the calculus, the more precise record of the pictured area of the calculus surface, the plane corresponding to the broken face examined, its proximity to the enamel surface, among other variables, can also explain the differences. The succession of microbial communities that form dental plaque </w:t>
      </w:r>
      <w:r w:rsidR="004777AF" w:rsidRPr="006F2794">
        <w:rPr>
          <w:rFonts w:ascii="Arial" w:hAnsi="Arial" w:cs="Arial"/>
        </w:rPr>
        <w:t>conforms to</w:t>
      </w:r>
      <w:r w:rsidRPr="006F2794">
        <w:rPr>
          <w:rFonts w:ascii="Arial" w:hAnsi="Arial" w:cs="Arial"/>
        </w:rPr>
        <w:t xml:space="preserve"> an architecture that may explain quantitative variations and morphotypes found. In special cases, worn-out calculi, or calculi that were partially lost during lifetime, may present peculiar variations in their composition, and even abrupt transition zones. In future studies, it would be desirable to be able to define in advance the portion of the </w:t>
      </w:r>
      <w:r w:rsidR="00304EC7">
        <w:rPr>
          <w:rFonts w:ascii="Arial" w:hAnsi="Arial" w:cs="Arial"/>
        </w:rPr>
        <w:t>calculus</w:t>
      </w:r>
      <w:r w:rsidRPr="006F2794">
        <w:rPr>
          <w:rFonts w:ascii="Arial" w:hAnsi="Arial" w:cs="Arial"/>
        </w:rPr>
        <w:t xml:space="preserve"> to be removed, as well as to standardize the fracture plane for microscopic analysis, ensuring greater comparability of the results.</w:t>
      </w:r>
    </w:p>
    <w:p w14:paraId="522E4896" w14:textId="456AD159" w:rsidR="00197264" w:rsidRDefault="00FA7BFC" w:rsidP="006F2794">
      <w:pPr>
        <w:pStyle w:val="Body"/>
        <w:rPr>
          <w:rFonts w:ascii="Arial" w:hAnsi="Arial" w:cs="Arial"/>
        </w:rPr>
      </w:pPr>
      <w:r>
        <w:rPr>
          <w:rFonts w:ascii="Arial" w:hAnsi="Arial" w:cs="Arial"/>
          <w:noProof/>
        </w:rPr>
        <w:drawing>
          <wp:inline distT="0" distB="0" distL="0" distR="0" wp14:anchorId="4E2BB998" wp14:editId="40585F0E">
            <wp:extent cx="5410200" cy="3040017"/>
            <wp:effectExtent l="0" t="0" r="0" b="8255"/>
            <wp:docPr id="709401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8907" cy="3044909"/>
                    </a:xfrm>
                    <a:prstGeom prst="rect">
                      <a:avLst/>
                    </a:prstGeom>
                    <a:noFill/>
                  </pic:spPr>
                </pic:pic>
              </a:graphicData>
            </a:graphic>
          </wp:inline>
        </w:drawing>
      </w:r>
    </w:p>
    <w:p w14:paraId="4640D093" w14:textId="12FCA14F" w:rsidR="006F2794" w:rsidRPr="006F2794" w:rsidRDefault="00304EC7" w:rsidP="006F2794">
      <w:pPr>
        <w:pStyle w:val="Body"/>
        <w:rPr>
          <w:rFonts w:ascii="Arial" w:hAnsi="Arial" w:cs="Arial"/>
        </w:rPr>
      </w:pPr>
      <w:r>
        <w:rPr>
          <w:rFonts w:ascii="Arial" w:hAnsi="Arial" w:cs="Arial"/>
        </w:rPr>
        <w:t>Figure 5</w:t>
      </w:r>
      <w:r w:rsidR="006F2794" w:rsidRPr="006F2794">
        <w:rPr>
          <w:rFonts w:ascii="Arial" w:hAnsi="Arial" w:cs="Arial"/>
        </w:rPr>
        <w:t xml:space="preserve"> – Variation in the density of microfossils by area in the human adult dental calculi from people of the shell mound of Cabeçuda, Laguna, Santa Catarina, Brazil. </w:t>
      </w:r>
    </w:p>
    <w:p w14:paraId="3F8E79EF" w14:textId="4755D01A" w:rsidR="006F2794" w:rsidRDefault="006F2794" w:rsidP="006F2794">
      <w:pPr>
        <w:pStyle w:val="Body"/>
        <w:rPr>
          <w:rFonts w:ascii="Arial" w:hAnsi="Arial" w:cs="Arial"/>
        </w:rPr>
      </w:pPr>
      <w:r w:rsidRPr="006F2794">
        <w:rPr>
          <w:rFonts w:ascii="Arial" w:hAnsi="Arial" w:cs="Arial"/>
        </w:rPr>
        <w:t xml:space="preserve">In relation to the general aspects of the results, the pictures showed no inclusions that could be mineral debris, pollens, phytoliths, fibers, starch or other elements introduced along with food or other. However, considering the results of Jorge (2018) for Cabeçuda, the almost total </w:t>
      </w:r>
      <w:r w:rsidRPr="006F2794">
        <w:rPr>
          <w:rFonts w:ascii="Arial" w:hAnsi="Arial" w:cs="Arial"/>
        </w:rPr>
        <w:lastRenderedPageBreak/>
        <w:t>absence of starch was confirmed to characterize this material. Although pictures of intrusive materials of this type have been recorded in matrices of other shell mound dental calculus photographed in a similar manner (Reinhard et al., 2000), the preparation of the samples in the present study, without dissolution and decalcification of the samples, would make the presence of evidence of this type.</w:t>
      </w:r>
    </w:p>
    <w:p w14:paraId="7F9F3CF9" w14:textId="4CA77925" w:rsidR="00085ABC" w:rsidRPr="003A4A47" w:rsidRDefault="00085ABC" w:rsidP="00085ABC">
      <w:pPr>
        <w:pStyle w:val="Body"/>
        <w:rPr>
          <w:rFonts w:ascii="Arial" w:hAnsi="Arial" w:cs="Arial"/>
        </w:rPr>
      </w:pPr>
      <w:r w:rsidRPr="003A4A47">
        <w:rPr>
          <w:rFonts w:ascii="Arial" w:hAnsi="Arial" w:cs="Arial"/>
        </w:rPr>
        <w:t xml:space="preserve">The results obtained with the measurement of the microfossils were grouped into five morphotypes. The comparison of these morphotypes with the described metric characteristics (William and Bergey's, 2015; Zhou and Li, 2020), allowed us to propose taxa represented in the microbial biofilm of these </w:t>
      </w:r>
      <w:r w:rsidR="003A4A47" w:rsidRPr="003A4A47">
        <w:rPr>
          <w:rFonts w:ascii="Arial" w:hAnsi="Arial" w:cs="Arial"/>
        </w:rPr>
        <w:t xml:space="preserve">calculi </w:t>
      </w:r>
      <w:r w:rsidRPr="003A4A47">
        <w:rPr>
          <w:rFonts w:ascii="Arial" w:hAnsi="Arial" w:cs="Arial"/>
        </w:rPr>
        <w:t xml:space="preserve">corresponding to the following possible taxa:  </w:t>
      </w:r>
      <w:r w:rsidRPr="003A4A47">
        <w:rPr>
          <w:u w:val="single"/>
        </w:rPr>
        <w:t>Type “A”</w:t>
      </w:r>
      <w:r w:rsidRPr="003A4A47">
        <w:t xml:space="preserve">  - consistent with rod</w:t>
      </w:r>
      <w:r w:rsidR="000C0397">
        <w:t xml:space="preserve"> shaped one</w:t>
      </w:r>
      <w:r w:rsidRPr="003A4A47">
        <w:t>s -   0.5</w:t>
      </w:r>
      <w:r w:rsidRPr="003A4A47">
        <w:rPr>
          <w:lang w:val="pt-BR"/>
        </w:rPr>
        <w:t>μ</w:t>
      </w:r>
      <w:r w:rsidRPr="003A4A47">
        <w:t xml:space="preserve">m to 0.8μ m  wide/1.0μm to 3.5μm long, corresponding to straight bacterial corpses, similar to </w:t>
      </w:r>
      <w:r w:rsidRPr="003A4A47">
        <w:rPr>
          <w:rFonts w:ascii="Arial" w:hAnsi="Arial" w:cs="Arial"/>
        </w:rPr>
        <w:t>rod-shaped</w:t>
      </w:r>
      <w:r w:rsidRPr="003A4A47">
        <w:t xml:space="preserve">, either isolated or in  chains: </w:t>
      </w:r>
      <w:r w:rsidRPr="003A4A47">
        <w:rPr>
          <w:i/>
          <w:iCs/>
        </w:rPr>
        <w:t xml:space="preserve">Lactobacillus </w:t>
      </w:r>
      <w:r w:rsidRPr="003A4A47">
        <w:t>spp</w:t>
      </w:r>
      <w:r w:rsidRPr="003A4A47">
        <w:rPr>
          <w:i/>
          <w:iCs/>
        </w:rPr>
        <w:t xml:space="preserve">., Porphyromonas </w:t>
      </w:r>
      <w:r w:rsidRPr="003A4A47">
        <w:t>spp</w:t>
      </w:r>
      <w:r w:rsidRPr="003A4A47">
        <w:rPr>
          <w:i/>
          <w:iCs/>
        </w:rPr>
        <w:t xml:space="preserve">., Actinomyces </w:t>
      </w:r>
      <w:r w:rsidRPr="003A4A47">
        <w:t>spp</w:t>
      </w:r>
      <w:r w:rsidRPr="003A4A47">
        <w:rPr>
          <w:i/>
          <w:iCs/>
        </w:rPr>
        <w:t xml:space="preserve">.. </w:t>
      </w:r>
      <w:r w:rsidRPr="003A4A47">
        <w:rPr>
          <w:u w:val="single"/>
        </w:rPr>
        <w:t>Type “B”</w:t>
      </w:r>
      <w:r w:rsidRPr="003A4A47">
        <w:t xml:space="preserve"> – consistent with rod</w:t>
      </w:r>
      <w:r w:rsidR="000C0397">
        <w:t xml:space="preserve"> </w:t>
      </w:r>
      <w:r w:rsidRPr="003A4A47">
        <w:t>s</w:t>
      </w:r>
      <w:r w:rsidR="000C0397">
        <w:t>haped</w:t>
      </w:r>
      <w:r w:rsidR="00EB0974">
        <w:t xml:space="preserve"> ones</w:t>
      </w:r>
      <w:r w:rsidRPr="003A4A47">
        <w:t xml:space="preserve">  -  0.5μm to 0.8μm/1.3μm to 3.8μm long, corresponding to curved rod</w:t>
      </w:r>
      <w:r w:rsidR="00EB0974">
        <w:t xml:space="preserve"> shaped one</w:t>
      </w:r>
      <w:r w:rsidRPr="003A4A47">
        <w:t xml:space="preserve">s, either isolated or in chains : </w:t>
      </w:r>
      <w:r w:rsidRPr="003A4A47">
        <w:rPr>
          <w:i/>
          <w:iCs/>
        </w:rPr>
        <w:t>Lactobacillus spp.,</w:t>
      </w:r>
      <w:r w:rsidRPr="003A4A47">
        <w:t xml:space="preserve"> </w:t>
      </w:r>
      <w:r w:rsidRPr="003A4A47">
        <w:rPr>
          <w:i/>
          <w:iCs/>
        </w:rPr>
        <w:t>Lep</w:t>
      </w:r>
      <w:r w:rsidR="00110034" w:rsidRPr="003A4A47">
        <w:rPr>
          <w:i/>
          <w:iCs/>
        </w:rPr>
        <w:t>t</w:t>
      </w:r>
      <w:r w:rsidRPr="003A4A47">
        <w:rPr>
          <w:i/>
          <w:iCs/>
        </w:rPr>
        <w:t xml:space="preserve">otrichia </w:t>
      </w:r>
      <w:r w:rsidRPr="003A4A47">
        <w:t>spp</w:t>
      </w:r>
      <w:r w:rsidRPr="003A4A47">
        <w:rPr>
          <w:i/>
          <w:iCs/>
        </w:rPr>
        <w:t xml:space="preserve">. </w:t>
      </w:r>
      <w:r w:rsidRPr="003A4A47">
        <w:rPr>
          <w:u w:val="single"/>
        </w:rPr>
        <w:t>Type “C”</w:t>
      </w:r>
      <w:r w:rsidRPr="003A4A47">
        <w:t xml:space="preserve"> – probably cocci – diameter varying from 0.5μm to 1.3μm, isolated : </w:t>
      </w:r>
      <w:r w:rsidRPr="003A4A47">
        <w:rPr>
          <w:i/>
          <w:iCs/>
        </w:rPr>
        <w:t xml:space="preserve">Rothia </w:t>
      </w:r>
      <w:r w:rsidRPr="003A4A47">
        <w:t>spp</w:t>
      </w:r>
      <w:r w:rsidRPr="003A4A47">
        <w:rPr>
          <w:i/>
          <w:iCs/>
        </w:rPr>
        <w:t>., N</w:t>
      </w:r>
      <w:r w:rsidR="00110034" w:rsidRPr="003A4A47">
        <w:rPr>
          <w:i/>
          <w:iCs/>
        </w:rPr>
        <w:t>e</w:t>
      </w:r>
      <w:r w:rsidRPr="003A4A47">
        <w:rPr>
          <w:i/>
          <w:iCs/>
        </w:rPr>
        <w:t xml:space="preserve">isseria </w:t>
      </w:r>
      <w:r w:rsidRPr="003A4A47">
        <w:t>spp</w:t>
      </w:r>
      <w:r w:rsidRPr="003A4A47">
        <w:rPr>
          <w:i/>
          <w:iCs/>
        </w:rPr>
        <w:t xml:space="preserve">., Staphylococcus </w:t>
      </w:r>
      <w:r w:rsidRPr="003A4A47">
        <w:t xml:space="preserve">spp. </w:t>
      </w:r>
      <w:r w:rsidRPr="003A4A47">
        <w:rPr>
          <w:u w:val="single"/>
        </w:rPr>
        <w:t>Type “D”</w:t>
      </w:r>
      <w:r w:rsidRPr="003A4A47">
        <w:t xml:space="preserve"> – probably cocci – diameter varying from 0.5μm to 0.8μm, spherical  bacterial corpus in chains : </w:t>
      </w:r>
      <w:r w:rsidRPr="003A4A47">
        <w:rPr>
          <w:i/>
          <w:iCs/>
        </w:rPr>
        <w:t xml:space="preserve">Rothia </w:t>
      </w:r>
      <w:r w:rsidRPr="003A4A47">
        <w:t>spp</w:t>
      </w:r>
      <w:r w:rsidRPr="003A4A47">
        <w:rPr>
          <w:i/>
          <w:iCs/>
        </w:rPr>
        <w:t>., N</w:t>
      </w:r>
      <w:r w:rsidR="00110034" w:rsidRPr="003A4A47">
        <w:rPr>
          <w:i/>
          <w:iCs/>
        </w:rPr>
        <w:t>e</w:t>
      </w:r>
      <w:r w:rsidRPr="003A4A47">
        <w:rPr>
          <w:i/>
          <w:iCs/>
        </w:rPr>
        <w:t xml:space="preserve">isseria </w:t>
      </w:r>
      <w:r w:rsidRPr="003A4A47">
        <w:t>spp</w:t>
      </w:r>
      <w:r w:rsidRPr="003A4A47">
        <w:rPr>
          <w:i/>
          <w:iCs/>
        </w:rPr>
        <w:t xml:space="preserve">., Vellonella </w:t>
      </w:r>
      <w:r w:rsidRPr="003A4A47">
        <w:t>spp</w:t>
      </w:r>
      <w:r w:rsidRPr="003A4A47">
        <w:rPr>
          <w:i/>
          <w:iCs/>
        </w:rPr>
        <w:t xml:space="preserve">., Peptrostreptococcus </w:t>
      </w:r>
      <w:r w:rsidRPr="003A4A47">
        <w:t>spp</w:t>
      </w:r>
      <w:r w:rsidRPr="003A4A47">
        <w:rPr>
          <w:i/>
          <w:iCs/>
        </w:rPr>
        <w:t xml:space="preserve">., Streptococcus </w:t>
      </w:r>
      <w:r w:rsidRPr="003A4A47">
        <w:t>spp</w:t>
      </w:r>
      <w:r w:rsidRPr="003A4A47">
        <w:rPr>
          <w:i/>
          <w:iCs/>
        </w:rPr>
        <w:t xml:space="preserve">. </w:t>
      </w:r>
      <w:r w:rsidRPr="003A4A47">
        <w:rPr>
          <w:u w:val="single"/>
        </w:rPr>
        <w:t>Type “E”</w:t>
      </w:r>
      <w:r w:rsidRPr="003A4A47">
        <w:t xml:space="preserve"> -  probably cocci – diameter varying from 0.5μm to 0.8μm, doubled or tetrads </w:t>
      </w:r>
      <w:r w:rsidR="00A5192B">
        <w:t xml:space="preserve">groups of </w:t>
      </w:r>
      <w:r w:rsidRPr="003A4A47">
        <w:t xml:space="preserve">spherical bacterial corpus:  </w:t>
      </w:r>
      <w:r w:rsidRPr="003A4A47">
        <w:rPr>
          <w:i/>
          <w:iCs/>
        </w:rPr>
        <w:t xml:space="preserve">Rothia </w:t>
      </w:r>
      <w:r w:rsidRPr="003A4A47">
        <w:t>spp</w:t>
      </w:r>
      <w:r w:rsidRPr="003A4A47">
        <w:rPr>
          <w:i/>
          <w:iCs/>
        </w:rPr>
        <w:t xml:space="preserve">.; </w:t>
      </w:r>
      <w:r w:rsidR="00110034" w:rsidRPr="003A4A47">
        <w:rPr>
          <w:i/>
          <w:iCs/>
        </w:rPr>
        <w:t>Neisseria</w:t>
      </w:r>
      <w:r w:rsidRPr="003A4A47">
        <w:rPr>
          <w:i/>
          <w:iCs/>
        </w:rPr>
        <w:t xml:space="preserve"> </w:t>
      </w:r>
      <w:r w:rsidRPr="003A4A47">
        <w:t>spp</w:t>
      </w:r>
      <w:r w:rsidRPr="003A4A47">
        <w:rPr>
          <w:i/>
          <w:iCs/>
        </w:rPr>
        <w:t xml:space="preserve">., Staphylococcus </w:t>
      </w:r>
      <w:r w:rsidRPr="003A4A47">
        <w:t>spp</w:t>
      </w:r>
      <w:r w:rsidRPr="003A4A47">
        <w:rPr>
          <w:i/>
          <w:iCs/>
        </w:rPr>
        <w:t>.</w:t>
      </w:r>
      <w:r w:rsidRPr="003A4A47">
        <w:t xml:space="preserve"> </w:t>
      </w:r>
    </w:p>
    <w:p w14:paraId="1AF306DC" w14:textId="7D47CBBE" w:rsidR="00085ABC" w:rsidRPr="003A4A47" w:rsidRDefault="00085ABC" w:rsidP="00085ABC">
      <w:pPr>
        <w:pStyle w:val="Body"/>
        <w:rPr>
          <w:rFonts w:ascii="Arial" w:hAnsi="Arial" w:cs="Arial"/>
        </w:rPr>
      </w:pPr>
      <w:r w:rsidRPr="003A4A47">
        <w:rPr>
          <w:rFonts w:ascii="Arial" w:hAnsi="Arial" w:cs="Arial"/>
        </w:rPr>
        <w:t>Since the way of preparing the calculations for microscopy did not allow full three-dimensional visualization of the microfossils, it was admitted that some of the proposed gender, Lactobacillus among the rod</w:t>
      </w:r>
      <w:r w:rsidR="00A5192B">
        <w:rPr>
          <w:rFonts w:ascii="Arial" w:hAnsi="Arial" w:cs="Arial"/>
        </w:rPr>
        <w:t xml:space="preserve"> shaped</w:t>
      </w:r>
      <w:r w:rsidRPr="003A4A47">
        <w:rPr>
          <w:rFonts w:ascii="Arial" w:hAnsi="Arial" w:cs="Arial"/>
        </w:rPr>
        <w:t xml:space="preserve">, and </w:t>
      </w:r>
      <w:r w:rsidRPr="003A4A47">
        <w:rPr>
          <w:rFonts w:ascii="Arial" w:hAnsi="Arial" w:cs="Arial"/>
          <w:i/>
          <w:iCs/>
        </w:rPr>
        <w:t xml:space="preserve">Rothia, </w:t>
      </w:r>
      <w:r w:rsidR="00110034" w:rsidRPr="003A4A47">
        <w:rPr>
          <w:rFonts w:ascii="Arial" w:hAnsi="Arial" w:cs="Arial"/>
          <w:i/>
          <w:iCs/>
        </w:rPr>
        <w:t>Neisseria</w:t>
      </w:r>
      <w:r w:rsidRPr="003A4A47">
        <w:rPr>
          <w:rFonts w:ascii="Arial" w:hAnsi="Arial" w:cs="Arial"/>
        </w:rPr>
        <w:t xml:space="preserve"> and </w:t>
      </w:r>
      <w:r w:rsidRPr="003A4A47">
        <w:rPr>
          <w:rFonts w:ascii="Arial" w:hAnsi="Arial" w:cs="Arial"/>
          <w:i/>
          <w:iCs/>
        </w:rPr>
        <w:t>Staphylococcus</w:t>
      </w:r>
      <w:r w:rsidRPr="003A4A47">
        <w:rPr>
          <w:rFonts w:ascii="Arial" w:hAnsi="Arial" w:cs="Arial"/>
        </w:rPr>
        <w:t xml:space="preserve"> among the cocci, could be classified in more than one morphotype, depending on the perspective in which they were visualized and their three-dimensional arrangements.  </w:t>
      </w:r>
    </w:p>
    <w:p w14:paraId="117037E0" w14:textId="48114F50" w:rsidR="006F2794" w:rsidRPr="006F2794" w:rsidRDefault="006F2794" w:rsidP="006F2794">
      <w:pPr>
        <w:pStyle w:val="Body"/>
        <w:rPr>
          <w:rFonts w:ascii="Arial" w:hAnsi="Arial" w:cs="Arial"/>
        </w:rPr>
      </w:pPr>
      <w:r w:rsidRPr="006F2794">
        <w:rPr>
          <w:rFonts w:ascii="Arial" w:hAnsi="Arial" w:cs="Arial"/>
        </w:rPr>
        <w:t>Although they are described by different authors (Gibbons et al., 1964; Marcotte and Lavoie, 1998; Marsh et al., 2010), its possible presence in the human dental calculus of the Cabe</w:t>
      </w:r>
      <w:r w:rsidR="003E34EA">
        <w:rPr>
          <w:rFonts w:ascii="Arial" w:hAnsi="Arial" w:cs="Arial"/>
        </w:rPr>
        <w:t>ç</w:t>
      </w:r>
      <w:r w:rsidRPr="006F2794">
        <w:rPr>
          <w:rFonts w:ascii="Arial" w:hAnsi="Arial" w:cs="Arial"/>
        </w:rPr>
        <w:t xml:space="preserve">uda shell mound was proposed based only on general morphological aspects. Limitations resulting from the image perspective should be considered.   </w:t>
      </w:r>
    </w:p>
    <w:p w14:paraId="191C3956" w14:textId="3BC1AE70" w:rsidR="006F2794" w:rsidRPr="006F2794" w:rsidRDefault="006F2794" w:rsidP="006F2794">
      <w:pPr>
        <w:pStyle w:val="Body"/>
        <w:rPr>
          <w:rFonts w:ascii="Arial" w:hAnsi="Arial" w:cs="Arial"/>
        </w:rPr>
      </w:pPr>
      <w:r w:rsidRPr="006F2794">
        <w:rPr>
          <w:rFonts w:ascii="Arial" w:hAnsi="Arial" w:cs="Arial"/>
        </w:rPr>
        <w:t xml:space="preserve">Since the measurements could be made only in part of the microfossils, because part of them were either partially broken, or embedded in the phosphocalcium matrix, the </w:t>
      </w:r>
      <w:proofErr w:type="gramStart"/>
      <w:r w:rsidRPr="006F2794">
        <w:rPr>
          <w:rFonts w:ascii="Arial" w:hAnsi="Arial" w:cs="Arial"/>
        </w:rPr>
        <w:t>amount</w:t>
      </w:r>
      <w:proofErr w:type="gramEnd"/>
      <w:r w:rsidRPr="006F2794">
        <w:rPr>
          <w:rFonts w:ascii="Arial" w:hAnsi="Arial" w:cs="Arial"/>
        </w:rPr>
        <w:t xml:space="preserve"> of microfossils available for analysis was reduced, which also hindered the recording of variability. The complete disaggregation of the calculus, initially attempted by ultrasound, would certainly favor the morphotype count to be increased, making its measurement and identification more precise. Following laboratory tests will </w:t>
      </w:r>
      <w:r w:rsidR="00B84AE1" w:rsidRPr="006F2794">
        <w:rPr>
          <w:rFonts w:ascii="Arial" w:hAnsi="Arial" w:cs="Arial"/>
        </w:rPr>
        <w:t>help with</w:t>
      </w:r>
      <w:r w:rsidRPr="006F2794">
        <w:rPr>
          <w:rFonts w:ascii="Arial" w:hAnsi="Arial" w:cs="Arial"/>
        </w:rPr>
        <w:t xml:space="preserve"> technique adjustments and possible successful results in the future. Although taphonomic aspects should probably be considered, the complete exposure of the microfossils, after release of the matrix, would certainly allow the observation of additional morphological details and variability, in addition to allowing the more precise estimation of their proportion in each sample.  </w:t>
      </w:r>
    </w:p>
    <w:p w14:paraId="6AD04B1E" w14:textId="77777777" w:rsidR="006F2794" w:rsidRPr="006F2794" w:rsidRDefault="006F2794" w:rsidP="006F2794">
      <w:pPr>
        <w:pStyle w:val="Body"/>
        <w:rPr>
          <w:rFonts w:ascii="Arial" w:hAnsi="Arial" w:cs="Arial"/>
        </w:rPr>
      </w:pPr>
      <w:r w:rsidRPr="006F2794">
        <w:rPr>
          <w:rFonts w:ascii="Arial" w:hAnsi="Arial" w:cs="Arial"/>
        </w:rPr>
        <w:t xml:space="preserve"> The possible presence of Streptococcus, with known cariogenic potential, deserves consideration. It should be remembered that the mere presence of the taxon would be insufficient to determine the occurrence of caries, which would make it important to determine the proportion in which microfossils morphologically compatible with this genus occur, and why they may, or may not, exercise their cariogenic potential. Knowing the number of possible morphotypes and the way they are distributed in the samples studied would help to interpret the findings (Marcotte and Lavoie, 1998). </w:t>
      </w:r>
    </w:p>
    <w:p w14:paraId="53DEA48D" w14:textId="3ED46568" w:rsidR="006F2794" w:rsidRPr="006F2794" w:rsidRDefault="006F2794" w:rsidP="006F2794">
      <w:pPr>
        <w:pStyle w:val="Body"/>
        <w:rPr>
          <w:rFonts w:ascii="Arial" w:hAnsi="Arial" w:cs="Arial"/>
        </w:rPr>
      </w:pPr>
      <w:r w:rsidRPr="006F2794">
        <w:rPr>
          <w:rFonts w:ascii="Arial" w:hAnsi="Arial" w:cs="Arial"/>
        </w:rPr>
        <w:lastRenderedPageBreak/>
        <w:t xml:space="preserve">Despite the care with which the microfossils were examined, however, the morphotypes identified did not coincide with shapes that could suggest </w:t>
      </w:r>
      <w:r w:rsidRPr="008F64C4">
        <w:rPr>
          <w:rFonts w:ascii="Arial" w:hAnsi="Arial" w:cs="Arial"/>
          <w:i/>
          <w:iCs/>
        </w:rPr>
        <w:t>Vibrio</w:t>
      </w:r>
      <w:r w:rsidR="008F64C4">
        <w:rPr>
          <w:rFonts w:ascii="Arial" w:hAnsi="Arial" w:cs="Arial"/>
          <w:i/>
          <w:iCs/>
        </w:rPr>
        <w:t xml:space="preserve"> </w:t>
      </w:r>
      <w:r w:rsidR="008F64C4">
        <w:rPr>
          <w:rFonts w:ascii="Arial" w:hAnsi="Arial" w:cs="Arial"/>
        </w:rPr>
        <w:t>sp.</w:t>
      </w:r>
      <w:r w:rsidRPr="006F2794">
        <w:rPr>
          <w:rFonts w:ascii="Arial" w:hAnsi="Arial" w:cs="Arial"/>
        </w:rPr>
        <w:t xml:space="preserve"> These vibrios have been described for decades in the biofilms that form dental plaques (Smith, 1930; Rosebury, 1952; Gibbons and van Houte, 1975; Marsh, 2010), and its presence and caries-modulating role have been reiterated by Santos (1978) in Brazil. Other problems caused by saline water vibrios have been reported in public health (Mancilla, 2005). However, despite the hypothesis that motivated the study in this coastal sample, no image analyzed suggested morphology that resembled vibrios. Previously, a microfossil with a compatible aspect was observed in a SEM image of a specimen of the shell mound from Forte Marechal Luz, also from Santa Catarina, Brazil. As it is an isolated observation, however, the image has not yet been published, belonging to the collection of the third author. </w:t>
      </w:r>
    </w:p>
    <w:p w14:paraId="1F5B895F" w14:textId="5C97BE00" w:rsidR="006F2794" w:rsidRPr="006F2794" w:rsidRDefault="006F2794" w:rsidP="006F2794">
      <w:pPr>
        <w:pStyle w:val="Body"/>
        <w:rPr>
          <w:rFonts w:ascii="Arial" w:hAnsi="Arial" w:cs="Arial"/>
        </w:rPr>
      </w:pPr>
      <w:r w:rsidRPr="006F2794">
        <w:rPr>
          <w:rFonts w:ascii="Arial" w:hAnsi="Arial" w:cs="Arial"/>
        </w:rPr>
        <w:t xml:space="preserve">The calculi used in the present study </w:t>
      </w:r>
      <w:r w:rsidR="00B84AE1" w:rsidRPr="006F2794">
        <w:rPr>
          <w:rFonts w:ascii="Arial" w:hAnsi="Arial" w:cs="Arial"/>
        </w:rPr>
        <w:t>represents</w:t>
      </w:r>
      <w:r w:rsidRPr="006F2794">
        <w:rPr>
          <w:rFonts w:ascii="Arial" w:hAnsi="Arial" w:cs="Arial"/>
        </w:rPr>
        <w:t xml:space="preserve"> only supragingival areas of the teeth, what may explain the absence of the Vibrio morphology. It is known that microbial biofilm is variable in different areas of the teeth and mouth, and the preferred site of location of this genus is in the subgingival area (Loesche et al., 1985). New experiments should be carried out to improve techniques, both for preparation and analysis of the calculus. </w:t>
      </w:r>
    </w:p>
    <w:p w14:paraId="15B1B451" w14:textId="77FEF515" w:rsidR="006F2794" w:rsidRPr="006F2794" w:rsidRDefault="006F2794" w:rsidP="006F2794">
      <w:pPr>
        <w:pStyle w:val="Body"/>
        <w:rPr>
          <w:rFonts w:ascii="Arial" w:hAnsi="Arial" w:cs="Arial"/>
        </w:rPr>
      </w:pPr>
      <w:r w:rsidRPr="006F2794">
        <w:rPr>
          <w:rFonts w:ascii="Arial" w:hAnsi="Arial" w:cs="Arial"/>
        </w:rPr>
        <w:t xml:space="preserve">It is important to continue looking for ways to confirm the presence of Vibrio in the samples from this archaeological site. That possible </w:t>
      </w:r>
      <w:proofErr w:type="spellStart"/>
      <w:r w:rsidRPr="006F2794">
        <w:rPr>
          <w:rFonts w:ascii="Arial" w:hAnsi="Arial" w:cs="Arial"/>
        </w:rPr>
        <w:t>paleoepidemiologic</w:t>
      </w:r>
      <w:proofErr w:type="spellEnd"/>
      <w:r w:rsidRPr="006F2794">
        <w:rPr>
          <w:rFonts w:ascii="Arial" w:hAnsi="Arial" w:cs="Arial"/>
        </w:rPr>
        <w:t xml:space="preserve"> evidence of this additional mechanisms</w:t>
      </w:r>
      <w:r w:rsidR="00C2260A">
        <w:rPr>
          <w:rFonts w:ascii="Arial" w:hAnsi="Arial" w:cs="Arial"/>
        </w:rPr>
        <w:t>,</w:t>
      </w:r>
      <w:r w:rsidRPr="006F2794">
        <w:rPr>
          <w:rFonts w:ascii="Arial" w:hAnsi="Arial" w:cs="Arial"/>
        </w:rPr>
        <w:t xml:space="preserve"> would justify the low frequency/absence of dental caries in the shell mounds of Brazil. The new and promising results obtained with omics techniques and the possibilities of decontamination, excluding the errors resulting from the presence of microorganisms of recent origin, for example, point to other possibilities of investigation as suggested by some authors (Kerkens et al, 2018, Standevan et al, 2024 - preprint). Despite the promising scenario, the scarcity of samples and the restrictions on destructive analyses, have still hindered the continuation of research, </w:t>
      </w:r>
    </w:p>
    <w:p w14:paraId="5D5F40BF" w14:textId="7B62D43D" w:rsidR="006F2794" w:rsidRPr="006F2794" w:rsidRDefault="006F2794" w:rsidP="006F2794">
      <w:pPr>
        <w:pStyle w:val="Body"/>
        <w:rPr>
          <w:rFonts w:ascii="Arial" w:hAnsi="Arial" w:cs="Arial"/>
        </w:rPr>
      </w:pPr>
      <w:r w:rsidRPr="006F2794">
        <w:rPr>
          <w:rFonts w:ascii="Arial" w:hAnsi="Arial" w:cs="Arial"/>
        </w:rPr>
        <w:t xml:space="preserve">Given that taphonomic processes modify dental calculus, making them sometimes more resistant, experiments to improve calculi disaggregation techniques should </w:t>
      </w:r>
      <w:r w:rsidR="00B84AE1" w:rsidRPr="006F2794">
        <w:rPr>
          <w:rFonts w:ascii="Arial" w:hAnsi="Arial" w:cs="Arial"/>
        </w:rPr>
        <w:t>consider</w:t>
      </w:r>
      <w:r w:rsidRPr="006F2794">
        <w:rPr>
          <w:rFonts w:ascii="Arial" w:hAnsi="Arial" w:cs="Arial"/>
        </w:rPr>
        <w:t xml:space="preserve"> differentiated solubilization techniques. The experimentation of protocols with temperature variations, use of calcium chelators, ultrasound and other combined resources should allow the adaptation of techniques applicable to different materials. Studies on the composition and hardness of calculi, physicochemical processes in soil, recrystallizations of minerals present in cavities of bones, teeth and others from archaeological sites, will certainly bring knowledge to this area. Finally, the determination of the minerals present in the calculi, may be used as a basis for protocols aimed at differential solubility (Guastaldi and Aparecida, 2010), which allow separation of matrix and microfossils, favoring their quantification and morphological analysis. Studies in this line should be programmed to continue in this line of research. </w:t>
      </w:r>
    </w:p>
    <w:p w14:paraId="68FC710C" w14:textId="77777777" w:rsidR="006F2794" w:rsidRDefault="006F2794" w:rsidP="006F2794">
      <w:pPr>
        <w:pStyle w:val="Body"/>
        <w:spacing w:after="0"/>
        <w:rPr>
          <w:rFonts w:ascii="Arial" w:hAnsi="Arial" w:cs="Arial"/>
        </w:rPr>
      </w:pPr>
    </w:p>
    <w:p w14:paraId="09387D8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734F790" w14:textId="77777777" w:rsidR="00790ADA" w:rsidRPr="00FB3A86" w:rsidRDefault="00790ADA" w:rsidP="00441B6F">
      <w:pPr>
        <w:pStyle w:val="ConcHead"/>
        <w:spacing w:after="0"/>
        <w:jc w:val="both"/>
        <w:rPr>
          <w:rFonts w:ascii="Arial" w:hAnsi="Arial" w:cs="Arial"/>
        </w:rPr>
      </w:pPr>
    </w:p>
    <w:p w14:paraId="0B27A3CD" w14:textId="472DE91C" w:rsidR="006F2794" w:rsidRPr="006F2794" w:rsidRDefault="006F2794" w:rsidP="006F2794">
      <w:pPr>
        <w:pStyle w:val="Body"/>
        <w:rPr>
          <w:rFonts w:ascii="Arial" w:hAnsi="Arial" w:cs="Arial"/>
        </w:rPr>
      </w:pPr>
      <w:r>
        <w:rPr>
          <w:rFonts w:ascii="Arial" w:hAnsi="Arial" w:cs="Arial"/>
        </w:rPr>
        <w:t>T</w:t>
      </w:r>
      <w:r w:rsidRPr="006F2794">
        <w:rPr>
          <w:rFonts w:ascii="Arial" w:hAnsi="Arial" w:cs="Arial"/>
        </w:rPr>
        <w:t xml:space="preserve">he study allowed new questions for this line of investigation. Although it has not been possible to confirm the presence of the genus Vibrio, its presence cannot be refuted either. Therefore, this work opens doors for the continuity of investigations. </w:t>
      </w:r>
    </w:p>
    <w:p w14:paraId="0AC3A487" w14:textId="246AE4A0" w:rsidR="006F2794" w:rsidRPr="006F2794" w:rsidRDefault="006F2794" w:rsidP="006F2794">
      <w:pPr>
        <w:pStyle w:val="Body"/>
        <w:rPr>
          <w:rFonts w:ascii="Arial" w:hAnsi="Arial" w:cs="Arial"/>
        </w:rPr>
      </w:pPr>
      <w:r w:rsidRPr="006F2794">
        <w:rPr>
          <w:rFonts w:ascii="Arial" w:hAnsi="Arial" w:cs="Arial"/>
        </w:rPr>
        <w:t xml:space="preserve">The morphological preservation of microfossils in millennial dental calculi draws attention to the potential of this type of material for the study of the microbial biofilm of teeth, and its interest in expanding knowledge related to oral health in ancient human groups. This is a promising line to be explored. </w:t>
      </w:r>
      <w:r>
        <w:rPr>
          <w:rFonts w:ascii="Arial" w:hAnsi="Arial" w:cs="Arial"/>
        </w:rPr>
        <w:t>T</w:t>
      </w:r>
      <w:r w:rsidRPr="006F2794">
        <w:rPr>
          <w:rFonts w:ascii="Arial" w:hAnsi="Arial" w:cs="Arial"/>
        </w:rPr>
        <w:t xml:space="preserve">he complexity and role of these communities is great, and it is necessary to expand the knowledge of their relationship with our pathophysiological and physiological </w:t>
      </w:r>
      <w:r w:rsidRPr="006F2794">
        <w:rPr>
          <w:rFonts w:ascii="Arial" w:hAnsi="Arial" w:cs="Arial"/>
        </w:rPr>
        <w:lastRenderedPageBreak/>
        <w:t>processes, a conception that is also applicable to the oral microbiome and its relationship with human health and diseases of the present, as well of the past.</w:t>
      </w:r>
    </w:p>
    <w:p w14:paraId="0E8B733D" w14:textId="6DCE0A3C" w:rsidR="006F2794" w:rsidRPr="006F2794" w:rsidRDefault="006F2794" w:rsidP="006F2794">
      <w:pPr>
        <w:pStyle w:val="Body"/>
        <w:rPr>
          <w:rFonts w:ascii="Arial" w:hAnsi="Arial" w:cs="Arial"/>
        </w:rPr>
      </w:pPr>
      <w:r w:rsidRPr="006F2794">
        <w:rPr>
          <w:rFonts w:ascii="Arial" w:hAnsi="Arial" w:cs="Arial"/>
        </w:rPr>
        <w:t>Some directions can be proposed based on our results, aiming at continuing the studies and improving the protocols for the analysis of dental calculus. To proceed in this line, the experiments must be oriented towards the release of the microfossils embedded in the matrix without damaging them, so as to allow their qualitative, quantitative and other morphological analysis. If a good technique for this is achieved, it will be possible to know the composition of dental plaques in different individuals and groups</w:t>
      </w:r>
      <w:r>
        <w:rPr>
          <w:rFonts w:ascii="Arial" w:hAnsi="Arial" w:cs="Arial"/>
        </w:rPr>
        <w:t xml:space="preserve"> </w:t>
      </w:r>
      <w:r w:rsidRPr="006F2794">
        <w:rPr>
          <w:rFonts w:ascii="Arial" w:hAnsi="Arial" w:cs="Arial"/>
        </w:rPr>
        <w:t xml:space="preserve">and seek to better understand their relationship with caries and other events. The taphonomic processes that affect the preservation of dental calculi should be better documented, and their differences, on a case-by-case basis, </w:t>
      </w:r>
      <w:r w:rsidR="00AD5225">
        <w:rPr>
          <w:rFonts w:ascii="Arial" w:hAnsi="Arial" w:cs="Arial"/>
        </w:rPr>
        <w:t xml:space="preserve">would help </w:t>
      </w:r>
      <w:r w:rsidRPr="006F2794">
        <w:rPr>
          <w:rFonts w:ascii="Arial" w:hAnsi="Arial" w:cs="Arial"/>
        </w:rPr>
        <w:t xml:space="preserve">the adequacy of protocols and customization of laboratory procedures, according to the archaeological sites studied. Finally, considering the challenges for the disaggregation of dental calculus, future studies based on imaging techniques such as microtomography should be tested in this line of investigation.  </w:t>
      </w:r>
    </w:p>
    <w:p w14:paraId="16D09460" w14:textId="77777777" w:rsidR="006F2794" w:rsidRPr="006F2794" w:rsidRDefault="006F2794" w:rsidP="006F2794">
      <w:pPr>
        <w:pStyle w:val="Body"/>
        <w:rPr>
          <w:rFonts w:ascii="Arial" w:hAnsi="Arial" w:cs="Arial"/>
        </w:rPr>
      </w:pPr>
      <w:r w:rsidRPr="006F2794">
        <w:rPr>
          <w:rFonts w:ascii="Arial" w:hAnsi="Arial" w:cs="Arial"/>
        </w:rPr>
        <w:t xml:space="preserve">Likewise, the contribution of other approaches and methodologies, mainly genomics and proteomics, should be sought, in order to explore the integration of results, reducing biases and contaminations, and reinforcing the interpretation of results. </w:t>
      </w:r>
    </w:p>
    <w:p w14:paraId="7348FBC1" w14:textId="5AD8D69A" w:rsidR="00790ADA" w:rsidRDefault="006F2794" w:rsidP="006F2794">
      <w:pPr>
        <w:pStyle w:val="Body"/>
        <w:spacing w:after="0"/>
        <w:rPr>
          <w:rFonts w:ascii="Arial" w:hAnsi="Arial" w:cs="Arial"/>
        </w:rPr>
      </w:pPr>
      <w:r w:rsidRPr="006F2794">
        <w:rPr>
          <w:rFonts w:ascii="Arial" w:hAnsi="Arial" w:cs="Arial"/>
        </w:rPr>
        <w:t xml:space="preserve">Finally, it is worth remembering that the dramatic loss of the collection of human skeletons excavated in the 1950s in the shell mound of Cabeçuda, on the occasion of the accident that destroyed a large part of the archaeological collections of the National Museum, is a permanent motivation for the continuity of investigations and improvement of the questions and methodologies that will allow us to continue to tell the history of health in the past.  </w:t>
      </w:r>
    </w:p>
    <w:p w14:paraId="3F7A71EF" w14:textId="77777777" w:rsidR="000D5BBA" w:rsidRPr="00FB3A86" w:rsidRDefault="000D5BBA" w:rsidP="006F2794">
      <w:pPr>
        <w:pStyle w:val="Body"/>
        <w:spacing w:after="0"/>
        <w:rPr>
          <w:rFonts w:ascii="Arial" w:hAnsi="Arial" w:cs="Arial"/>
        </w:rPr>
      </w:pPr>
    </w:p>
    <w:p w14:paraId="3FBA83DC" w14:textId="77777777" w:rsidR="00371FB6" w:rsidRDefault="00371FB6" w:rsidP="00441B6F">
      <w:pPr>
        <w:pStyle w:val="ReferHead"/>
        <w:spacing w:after="0"/>
        <w:jc w:val="both"/>
        <w:rPr>
          <w:rFonts w:ascii="Arial" w:hAnsi="Arial" w:cs="Arial"/>
          <w:b w:val="0"/>
          <w:caps w:val="0"/>
          <w:sz w:val="20"/>
        </w:rPr>
      </w:pPr>
    </w:p>
    <w:p w14:paraId="0DD2BDAE" w14:textId="77777777" w:rsidR="002B685A" w:rsidRDefault="002B685A" w:rsidP="00441B6F">
      <w:pPr>
        <w:pStyle w:val="ReferHead"/>
        <w:spacing w:after="0"/>
        <w:jc w:val="both"/>
        <w:rPr>
          <w:rFonts w:ascii="Arial" w:hAnsi="Arial" w:cs="Arial"/>
          <w:b w:val="0"/>
          <w:caps w:val="0"/>
          <w:sz w:val="20"/>
        </w:rPr>
      </w:pPr>
    </w:p>
    <w:p w14:paraId="24F40D37" w14:textId="77777777" w:rsidR="005C784C" w:rsidRDefault="005C784C" w:rsidP="00441B6F">
      <w:pPr>
        <w:pStyle w:val="ReferHead"/>
        <w:spacing w:after="0"/>
        <w:jc w:val="both"/>
        <w:rPr>
          <w:rFonts w:ascii="Arial" w:hAnsi="Arial" w:cs="Arial"/>
          <w:b w:val="0"/>
          <w:caps w:val="0"/>
          <w:sz w:val="20"/>
        </w:rPr>
      </w:pPr>
    </w:p>
    <w:p w14:paraId="41ABB206" w14:textId="7357977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72D96F1C" w14:textId="77777777" w:rsidR="005C784C" w:rsidRPr="002B685A" w:rsidRDefault="005C784C" w:rsidP="00441B6F">
      <w:pPr>
        <w:pStyle w:val="ReferHead"/>
        <w:spacing w:after="0"/>
        <w:jc w:val="both"/>
        <w:rPr>
          <w:rFonts w:ascii="Arial" w:hAnsi="Arial" w:cs="Arial"/>
          <w:bCs/>
        </w:rPr>
      </w:pPr>
    </w:p>
    <w:p w14:paraId="51089266" w14:textId="073EBE67" w:rsidR="00860000" w:rsidRDefault="0017171B" w:rsidP="00441B6F">
      <w:pPr>
        <w:pStyle w:val="ReferHead"/>
        <w:spacing w:after="0"/>
        <w:jc w:val="both"/>
        <w:rPr>
          <w:rFonts w:ascii="Arial" w:hAnsi="Arial" w:cs="Arial"/>
          <w:b w:val="0"/>
          <w:caps w:val="0"/>
          <w:sz w:val="20"/>
        </w:rPr>
      </w:pPr>
      <w:r w:rsidRPr="0017171B">
        <w:rPr>
          <w:rFonts w:ascii="Arial" w:hAnsi="Arial" w:cs="Arial"/>
          <w:b w:val="0"/>
          <w:caps w:val="0"/>
          <w:sz w:val="20"/>
        </w:rPr>
        <w:t>It is not applicable.</w:t>
      </w:r>
    </w:p>
    <w:p w14:paraId="511F38C9" w14:textId="77777777" w:rsidR="0017171B" w:rsidRDefault="0017171B" w:rsidP="00441B6F">
      <w:pPr>
        <w:pStyle w:val="ReferHead"/>
        <w:spacing w:after="0"/>
        <w:jc w:val="both"/>
        <w:rPr>
          <w:rFonts w:ascii="Arial" w:hAnsi="Arial" w:cs="Arial"/>
        </w:rPr>
      </w:pPr>
    </w:p>
    <w:p w14:paraId="1753A3A3" w14:textId="77777777" w:rsidR="0017171B" w:rsidRDefault="0017171B" w:rsidP="00441B6F">
      <w:pPr>
        <w:pStyle w:val="ReferHead"/>
        <w:spacing w:after="0"/>
        <w:jc w:val="both"/>
        <w:rPr>
          <w:rFonts w:ascii="Arial" w:hAnsi="Arial" w:cs="Arial"/>
        </w:rPr>
      </w:pPr>
      <w:r w:rsidRPr="0017171B">
        <w:rPr>
          <w:rFonts w:ascii="Arial" w:hAnsi="Arial" w:cs="Arial"/>
        </w:rPr>
        <w:t>DISCLAIMER (ARTIFICIAL INTELLIGENCE)</w:t>
      </w:r>
    </w:p>
    <w:p w14:paraId="23071E7D" w14:textId="77777777" w:rsidR="0017171B" w:rsidRDefault="0017171B" w:rsidP="00441B6F">
      <w:pPr>
        <w:pStyle w:val="ReferHead"/>
        <w:spacing w:after="0"/>
        <w:jc w:val="both"/>
        <w:rPr>
          <w:rFonts w:ascii="Arial" w:hAnsi="Arial" w:cs="Arial"/>
        </w:rPr>
      </w:pPr>
    </w:p>
    <w:p w14:paraId="0951BACC" w14:textId="79C5745E" w:rsidR="0017171B" w:rsidRPr="0017171B" w:rsidRDefault="0017171B" w:rsidP="00441B6F">
      <w:pPr>
        <w:pStyle w:val="ReferHead"/>
        <w:spacing w:after="0"/>
        <w:jc w:val="both"/>
        <w:rPr>
          <w:rFonts w:ascii="Arial" w:hAnsi="Arial" w:cs="Arial"/>
          <w:b w:val="0"/>
          <w:bCs/>
          <w:sz w:val="20"/>
        </w:rPr>
      </w:pPr>
      <w:r w:rsidRPr="0017171B">
        <w:rPr>
          <w:rFonts w:ascii="Arial" w:hAnsi="Arial" w:cs="Arial"/>
          <w:b w:val="0"/>
          <w:bCs/>
          <w:caps w:val="0"/>
          <w:sz w:val="20"/>
        </w:rPr>
        <w:t xml:space="preserve">Authors hereby </w:t>
      </w:r>
      <w:r w:rsidR="00400436" w:rsidRPr="0017171B">
        <w:rPr>
          <w:rFonts w:ascii="Arial" w:hAnsi="Arial" w:cs="Arial"/>
          <w:b w:val="0"/>
          <w:bCs/>
          <w:caps w:val="0"/>
          <w:sz w:val="20"/>
        </w:rPr>
        <w:t>declares</w:t>
      </w:r>
      <w:r w:rsidRPr="0017171B">
        <w:rPr>
          <w:rFonts w:ascii="Arial" w:hAnsi="Arial" w:cs="Arial"/>
          <w:b w:val="0"/>
          <w:bCs/>
          <w:caps w:val="0"/>
          <w:sz w:val="20"/>
        </w:rPr>
        <w:t xml:space="preserve"> that no generative </w:t>
      </w:r>
      <w:r>
        <w:rPr>
          <w:rFonts w:ascii="Arial" w:hAnsi="Arial" w:cs="Arial"/>
          <w:b w:val="0"/>
          <w:bCs/>
          <w:caps w:val="0"/>
          <w:sz w:val="20"/>
        </w:rPr>
        <w:t>AI</w:t>
      </w:r>
      <w:r w:rsidRPr="0017171B">
        <w:rPr>
          <w:rFonts w:ascii="Arial" w:hAnsi="Arial" w:cs="Arial"/>
          <w:b w:val="0"/>
          <w:bCs/>
          <w:caps w:val="0"/>
          <w:sz w:val="20"/>
        </w:rPr>
        <w:t xml:space="preserve"> technologies such as large language models (</w:t>
      </w:r>
      <w:r w:rsidR="00EC2C00" w:rsidRPr="0017171B">
        <w:rPr>
          <w:rFonts w:ascii="Arial" w:hAnsi="Arial" w:cs="Arial"/>
          <w:b w:val="0"/>
          <w:bCs/>
          <w:caps w:val="0"/>
          <w:sz w:val="20"/>
        </w:rPr>
        <w:t>ChatGPT</w:t>
      </w:r>
      <w:r w:rsidRPr="0017171B">
        <w:rPr>
          <w:rFonts w:ascii="Arial" w:hAnsi="Arial" w:cs="Arial"/>
          <w:b w:val="0"/>
          <w:bCs/>
          <w:caps w:val="0"/>
          <w:sz w:val="20"/>
        </w:rPr>
        <w:t xml:space="preserve">, copilot, etc.) </w:t>
      </w:r>
      <w:r w:rsidR="00400436">
        <w:rPr>
          <w:rFonts w:ascii="Arial" w:hAnsi="Arial" w:cs="Arial"/>
          <w:b w:val="0"/>
          <w:bCs/>
          <w:caps w:val="0"/>
          <w:sz w:val="20"/>
        </w:rPr>
        <w:t>a</w:t>
      </w:r>
      <w:r w:rsidRPr="0017171B">
        <w:rPr>
          <w:rFonts w:ascii="Arial" w:hAnsi="Arial" w:cs="Arial"/>
          <w:b w:val="0"/>
          <w:bCs/>
          <w:caps w:val="0"/>
          <w:sz w:val="20"/>
        </w:rPr>
        <w:t>nd text-to-image</w:t>
      </w:r>
      <w:r>
        <w:rPr>
          <w:rFonts w:ascii="Arial" w:hAnsi="Arial" w:cs="Arial"/>
          <w:b w:val="0"/>
          <w:bCs/>
          <w:caps w:val="0"/>
          <w:sz w:val="20"/>
        </w:rPr>
        <w:t xml:space="preserve"> </w:t>
      </w:r>
      <w:r w:rsidRPr="0017171B">
        <w:rPr>
          <w:rFonts w:ascii="Arial" w:hAnsi="Arial" w:cs="Arial"/>
          <w:b w:val="0"/>
          <w:bCs/>
          <w:caps w:val="0"/>
          <w:sz w:val="20"/>
        </w:rPr>
        <w:t>generators have been used during the writing or editing of this manuscript.</w:t>
      </w:r>
    </w:p>
    <w:p w14:paraId="55BC9BF7" w14:textId="77777777" w:rsidR="0017171B" w:rsidRDefault="0017171B" w:rsidP="00441B6F">
      <w:pPr>
        <w:pStyle w:val="ReferHead"/>
        <w:spacing w:after="0"/>
        <w:jc w:val="both"/>
        <w:rPr>
          <w:rFonts w:ascii="Arial" w:hAnsi="Arial" w:cs="Arial"/>
        </w:rPr>
      </w:pPr>
    </w:p>
    <w:p w14:paraId="50E5397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4DB0924" w14:textId="77777777" w:rsidR="00790ADA" w:rsidRPr="00FB3A86" w:rsidRDefault="00790ADA" w:rsidP="00441B6F">
      <w:pPr>
        <w:pStyle w:val="ReferHead"/>
        <w:spacing w:after="0"/>
        <w:jc w:val="both"/>
        <w:rPr>
          <w:rFonts w:ascii="Arial" w:hAnsi="Arial" w:cs="Arial"/>
        </w:rPr>
      </w:pPr>
    </w:p>
    <w:p w14:paraId="3C107A0A" w14:textId="77777777" w:rsidR="00E4354D" w:rsidRDefault="00E4354D" w:rsidP="00E4354D">
      <w:pPr>
        <w:pStyle w:val="Body"/>
      </w:pPr>
      <w:r>
        <w:t xml:space="preserve">Adler, C.J.; Dobney, K.; Weyrich, L.S.; Kaidonis, J.; Walker, A.W.; Haak, W.; Bradshaw, C.J.A.; Townsend, G.; Sołtysiak, A.; Alt, K.W.; Parkhill, J. &amp; Cooper, A. (2013). Sequencing ancient calcified dental plaque shows changes in oral microbiota with dietary shifts of the Neolithic and industrial revolutions. National Genetics, 45: 450–455. </w:t>
      </w:r>
    </w:p>
    <w:p w14:paraId="5F26ADF1" w14:textId="77777777" w:rsidR="00E4354D" w:rsidRPr="00B12129" w:rsidRDefault="00E4354D" w:rsidP="00E4354D">
      <w:pPr>
        <w:pStyle w:val="Body"/>
        <w:rPr>
          <w:lang w:val="pt-PT"/>
        </w:rPr>
      </w:pPr>
      <w:r>
        <w:t xml:space="preserve">Akcali, A. &amp; Lang, N.P. (2018). Dental calculus: the calcified biofilm and its role in disease development.  </w:t>
      </w:r>
      <w:r w:rsidRPr="00B12129">
        <w:rPr>
          <w:lang w:val="pt-PT"/>
        </w:rPr>
        <w:t>Periodontology 2000. 76(1):109-115.</w:t>
      </w:r>
    </w:p>
    <w:p w14:paraId="69EBEE5C" w14:textId="77777777" w:rsidR="00E4354D" w:rsidRPr="00B12129" w:rsidRDefault="00E4354D" w:rsidP="00E4354D">
      <w:pPr>
        <w:pStyle w:val="Body"/>
        <w:rPr>
          <w:lang w:val="es-BO"/>
        </w:rPr>
      </w:pPr>
      <w:r w:rsidRPr="00B12129">
        <w:rPr>
          <w:lang w:val="pt-PT"/>
        </w:rPr>
        <w:t xml:space="preserve">Alves Filho, P.; Santos, R.V. &amp; Vettore, M.V. (2014). Fatores associados à cárie dental e doenças periodontais em indígenas da América Latina: revisão sistemática. </w:t>
      </w:r>
      <w:r w:rsidRPr="00B12129">
        <w:rPr>
          <w:lang w:val="es-BO"/>
        </w:rPr>
        <w:t xml:space="preserve">Revista Panamericana de Salud Pública, 35(1): 67-77.  </w:t>
      </w:r>
    </w:p>
    <w:p w14:paraId="1B242A46" w14:textId="77777777" w:rsidR="00E4354D" w:rsidRPr="00B12129" w:rsidRDefault="00E4354D" w:rsidP="00E4354D">
      <w:pPr>
        <w:pStyle w:val="Body"/>
        <w:rPr>
          <w:lang w:val="pt-PT"/>
        </w:rPr>
      </w:pPr>
      <w:r w:rsidRPr="00B12129">
        <w:rPr>
          <w:lang w:val="es-BO"/>
        </w:rPr>
        <w:lastRenderedPageBreak/>
        <w:t xml:space="preserve">Arensbourg, B. (1996). Ancient dental calculus and diet. </w:t>
      </w:r>
      <w:r w:rsidRPr="00B12129">
        <w:rPr>
          <w:lang w:val="pt-PT"/>
        </w:rPr>
        <w:t>Human Evolution, 11: 139-145;</w:t>
      </w:r>
    </w:p>
    <w:p w14:paraId="557673A7" w14:textId="77777777" w:rsidR="00E4354D" w:rsidRDefault="00E4354D" w:rsidP="00E4354D">
      <w:pPr>
        <w:pStyle w:val="Body"/>
      </w:pPr>
      <w:r w:rsidRPr="00B12129">
        <w:rPr>
          <w:lang w:val="pt-PT"/>
        </w:rPr>
        <w:t xml:space="preserve">Bastos, M.Q.R.; Santos, R.V.; Tykot, R.H.; Souza, S.M.de; Rodrigues-Carvalho, C. &amp; Lessa, A. (2015).  </w:t>
      </w:r>
      <w:r>
        <w:t xml:space="preserve">Isotopic evidence regarding migration at the archaeological site Praia da Tapera: new data to an old matter. Journal of Archaeological Science, Reports 4: 588-595.  </w:t>
      </w:r>
    </w:p>
    <w:p w14:paraId="3C3FBEA9" w14:textId="77777777" w:rsidR="00E4354D" w:rsidRDefault="00E4354D" w:rsidP="00E4354D">
      <w:pPr>
        <w:pStyle w:val="Body"/>
      </w:pPr>
      <w:r>
        <w:t xml:space="preserve">Bowen, W. H. (2013). The Stephan curve revisited. Odontology, 101: 2−8. </w:t>
      </w:r>
    </w:p>
    <w:p w14:paraId="74822FEF" w14:textId="77777777" w:rsidR="00E4354D" w:rsidRPr="00B12129" w:rsidRDefault="00E4354D" w:rsidP="00E4354D">
      <w:pPr>
        <w:pStyle w:val="Body"/>
        <w:rPr>
          <w:lang w:val="pt-PT"/>
        </w:rPr>
      </w:pPr>
      <w:r>
        <w:t xml:space="preserve">Buikstra, J.E.; Ubelaker, D. (1994). Standards for data collection from human skeletal remains. </w:t>
      </w:r>
      <w:r w:rsidRPr="00B12129">
        <w:rPr>
          <w:lang w:val="pt-PT"/>
        </w:rPr>
        <w:t>Archaeological Survey Research Series #44. Fayeteville, Arkansas.</w:t>
      </w:r>
    </w:p>
    <w:p w14:paraId="4175DC29" w14:textId="77777777" w:rsidR="00E4354D" w:rsidRPr="00B12129" w:rsidRDefault="00E4354D" w:rsidP="00E4354D">
      <w:pPr>
        <w:pStyle w:val="Body"/>
        <w:rPr>
          <w:lang w:val="pt-PT"/>
        </w:rPr>
      </w:pPr>
      <w:r w:rsidRPr="00B12129">
        <w:rPr>
          <w:lang w:val="pt-PT"/>
        </w:rPr>
        <w:t xml:space="preserve">Caraiman, O. (2020). Fatores moduladores na cárie dentária e erosão dentária. Revisão sistemática da literatura. Dissertação de Mestrado em Medicina Dentária, Faculdade de Medicina Dentária, Universidade Católica Portuguesa.  </w:t>
      </w:r>
    </w:p>
    <w:p w14:paraId="618BDFF1" w14:textId="77777777" w:rsidR="00E4354D" w:rsidRDefault="00E4354D" w:rsidP="00E4354D">
      <w:pPr>
        <w:pStyle w:val="Body"/>
      </w:pPr>
      <w:r>
        <w:t>Charlier, P.; Huynh-Charlier, I.; Munoz, O.; Billard, M.; Brun, L. &amp; de la Grandmaison, G.L. (2010). The microscopic (optical and SEM) examination of dental calculus deposits (DCD). Potential interest in forensic anthropology of a bio-archaeological method. Legal Medicine (Tokyo), 12(4):163-171.</w:t>
      </w:r>
    </w:p>
    <w:p w14:paraId="4E1B1297" w14:textId="77777777" w:rsidR="00E4354D" w:rsidRDefault="00E4354D" w:rsidP="00E4354D">
      <w:pPr>
        <w:pStyle w:val="Body"/>
      </w:pPr>
      <w:r>
        <w:t>Cohen, M.N. &amp; Armelagos, G.J. (1984). Paleopathology at the Origins of Agriculture. New York, Academic Press.</w:t>
      </w:r>
    </w:p>
    <w:p w14:paraId="7FA51639" w14:textId="77777777" w:rsidR="00E4354D" w:rsidRPr="00B12129" w:rsidRDefault="00E4354D" w:rsidP="00E4354D">
      <w:pPr>
        <w:pStyle w:val="Body"/>
        <w:rPr>
          <w:lang w:val="pt-PT"/>
        </w:rPr>
      </w:pPr>
      <w:r>
        <w:t xml:space="preserve">Colonese, A.C; Collins, M.; </w:t>
      </w:r>
      <w:proofErr w:type="spellStart"/>
      <w:r>
        <w:t>Lucquin</w:t>
      </w:r>
      <w:proofErr w:type="spellEnd"/>
      <w:r>
        <w:t xml:space="preserve">, A.; Eustace, M.; Hancock, Y.; Ponzoni, R.deA.R.; Mora, A.; Smith, C.; DeBlasis, P.; Figuti, L.; Wesolowski, V.; Plens, C.R.; Eggers, S.; Farias, D.S.E.de; Gledhill, A. &amp; Graig, O.E. (2014). Long-term resilience of Late Holocene coastal subsistence system in Southeastern South America. </w:t>
      </w:r>
      <w:r w:rsidRPr="00B12129">
        <w:rPr>
          <w:lang w:val="pt-PT"/>
        </w:rPr>
        <w:t>Plos One, 9(4): e93854 Doi 101371/journal.pone.0093854.</w:t>
      </w:r>
    </w:p>
    <w:p w14:paraId="7B529412" w14:textId="77777777" w:rsidR="00E4354D" w:rsidRDefault="00E4354D" w:rsidP="00E4354D">
      <w:pPr>
        <w:pStyle w:val="Body"/>
      </w:pPr>
      <w:r w:rsidRPr="00B12129">
        <w:rPr>
          <w:lang w:val="pt-PT"/>
        </w:rPr>
        <w:t xml:space="preserve">Cook, D.C.; Bastos, M.Q.R.; Lopes, C.; Souza, S.M.de &amp; Santos, R.V. (2012). </w:t>
      </w:r>
      <w:r>
        <w:t>Pretos Novos: evidence for African oral hygiene practices in Brazil. International Journal of Osteoarchaeology, 25(2): 238-244.</w:t>
      </w:r>
    </w:p>
    <w:p w14:paraId="2A07710C" w14:textId="77777777" w:rsidR="00E4354D" w:rsidRPr="00B12129" w:rsidRDefault="00E4354D" w:rsidP="00E4354D">
      <w:pPr>
        <w:pStyle w:val="Body"/>
        <w:rPr>
          <w:lang w:val="pt-PT"/>
        </w:rPr>
      </w:pPr>
      <w:r w:rsidRPr="00B12129">
        <w:rPr>
          <w:lang w:val="pt-PT"/>
        </w:rPr>
        <w:t xml:space="preserve">Cunha, E. De M.S. (1963). Afecções alvéolo-dentárias da população do sambaqui de Cabeçuda. Revista do Museu Paulista, 14:523-529. </w:t>
      </w:r>
    </w:p>
    <w:p w14:paraId="7A88B299" w14:textId="77777777" w:rsidR="00E4354D" w:rsidRDefault="00E4354D" w:rsidP="00E4354D">
      <w:pPr>
        <w:pStyle w:val="Body"/>
      </w:pPr>
      <w:proofErr w:type="spellStart"/>
      <w:r w:rsidRPr="00197264">
        <w:t>Dickschat</w:t>
      </w:r>
      <w:proofErr w:type="spellEnd"/>
      <w:r w:rsidRPr="00197264">
        <w:t xml:space="preserve">, J.S. (2010). Quorum sensing and bacteria biofilms. </w:t>
      </w:r>
      <w:r>
        <w:t xml:space="preserve">Natural Products Reports, 27(3): 343-369.  </w:t>
      </w:r>
    </w:p>
    <w:p w14:paraId="69387E3B" w14:textId="77777777" w:rsidR="00E4354D" w:rsidRDefault="00E4354D" w:rsidP="00E4354D">
      <w:pPr>
        <w:pStyle w:val="Body"/>
      </w:pPr>
      <w:r>
        <w:t xml:space="preserve">Dobney, K. &amp; Brothwell, D. (1988). A scanning electron microscope study of archaeological dental calculus. In: Olsen, S. (ed.) Scanning Electron Microscopy in Archaeology. Oxford, BAR International Series 452: 372–385. </w:t>
      </w:r>
    </w:p>
    <w:p w14:paraId="374F97F1" w14:textId="77777777" w:rsidR="00E4354D" w:rsidRDefault="00E4354D" w:rsidP="00E4354D">
      <w:pPr>
        <w:pStyle w:val="Body"/>
      </w:pPr>
      <w:r>
        <w:t>Eshed, V.; Gopher, A. &amp; Hershkovitz, I. (2006). Tooth wear and dental pathology at the advent of agriculture: new evidence from the Levant. American Journal of Physical Anthropology, 130: 145–159.</w:t>
      </w:r>
    </w:p>
    <w:p w14:paraId="0384D1B8" w14:textId="77777777" w:rsidR="00E4354D" w:rsidRDefault="00E4354D" w:rsidP="00E4354D">
      <w:pPr>
        <w:pStyle w:val="Body"/>
      </w:pPr>
      <w:r>
        <w:t>Faria, L. de C. (1952). Le probléme des sambaquis du Brésil: récents excavations du gisement de Cabeçuda (Laguna, Santa Catarina). In: Proceedings of the 30th International Congress of Americanists. Cambridge, Royal Anthropological Institute. 86-91.</w:t>
      </w:r>
    </w:p>
    <w:p w14:paraId="196E392B" w14:textId="77777777" w:rsidR="00E4354D" w:rsidRDefault="00E4354D" w:rsidP="00E4354D">
      <w:pPr>
        <w:pStyle w:val="Body"/>
      </w:pPr>
      <w:r>
        <w:t xml:space="preserve">Gagnon, C.M. (2020). Exploring oral paleopathology in the Central Andes. International Journal of Paleopathology, 29: 24-34. </w:t>
      </w:r>
    </w:p>
    <w:p w14:paraId="3493D860" w14:textId="77777777" w:rsidR="00E4354D" w:rsidRDefault="00E4354D" w:rsidP="00E4354D">
      <w:pPr>
        <w:pStyle w:val="Body"/>
      </w:pPr>
      <w:r>
        <w:lastRenderedPageBreak/>
        <w:t>Gaspar, M.D.; DeBlasis, P.; Fish, S.K. &amp; Fish, P.R. (2007). Sambaqui (shellmound) societies of coastal Brazil. In: Silverman, H.; Isbell, W.H. (eds.) Handbook of South American Archaeology. Lisboa, Springer. 319-335.</w:t>
      </w:r>
    </w:p>
    <w:p w14:paraId="26E0A5BB" w14:textId="77777777" w:rsidR="00E4354D" w:rsidRPr="00B12129" w:rsidRDefault="00E4354D" w:rsidP="00E4354D">
      <w:pPr>
        <w:pStyle w:val="Body"/>
        <w:rPr>
          <w:lang w:val="pt-PT"/>
        </w:rPr>
      </w:pPr>
      <w:r>
        <w:t xml:space="preserve">Gaspar, M.D.; Klökler, D. &amp; DeBlasis, P. (2014). Were sambaqui people buried in the trash? Archaeology, Physical Anthropology and the evolution of the interpretation of Brazilian shellmounds. In: Rocksandic, M.; Souza, S.M.de; Eggers, S.; Klökler, D. (orgs.) The Cultural Dynamics of Shell Matrix Sites. Albuquerque, New Mexico University Press. </w:t>
      </w:r>
      <w:r w:rsidRPr="00B12129">
        <w:rPr>
          <w:lang w:val="pt-PT"/>
        </w:rPr>
        <w:t>91-100.</w:t>
      </w:r>
    </w:p>
    <w:p w14:paraId="1342BC05" w14:textId="77777777" w:rsidR="00E4354D" w:rsidRPr="00B12129" w:rsidRDefault="00E4354D" w:rsidP="00E4354D">
      <w:pPr>
        <w:pStyle w:val="Body"/>
        <w:rPr>
          <w:lang w:val="pt-PT"/>
        </w:rPr>
      </w:pPr>
      <w:r w:rsidRPr="00B12129">
        <w:rPr>
          <w:lang w:val="pt-PT"/>
        </w:rPr>
        <w:t>Gaspar, M.D. &amp; Souza, S.M.de. (2013). Abordagens estratégicas em sambaquis. Erechim, Habilis.</w:t>
      </w:r>
    </w:p>
    <w:p w14:paraId="0233D16E" w14:textId="77777777" w:rsidR="00E4354D" w:rsidRDefault="00E4354D" w:rsidP="00E4354D">
      <w:pPr>
        <w:pStyle w:val="Body"/>
      </w:pPr>
      <w:r w:rsidRPr="00B12129">
        <w:rPr>
          <w:lang w:val="pt-PT"/>
        </w:rPr>
        <w:t xml:space="preserve">Gibbons, R.J.; Socransky, S.S.; Araujo, W.C. &amp; van Houte, J. (1964). </w:t>
      </w:r>
      <w:r>
        <w:t>Studies of the predominant cultivable microbiota of dental plaque. Archives of Oral Biology, 9: 365-70.</w:t>
      </w:r>
    </w:p>
    <w:p w14:paraId="18F612A0" w14:textId="77777777" w:rsidR="00E4354D" w:rsidRDefault="00E4354D" w:rsidP="00E4354D">
      <w:pPr>
        <w:pStyle w:val="Body"/>
      </w:pPr>
      <w:r>
        <w:t>Gibbons, R.J &amp; van Houte J. (1975). Bacterial adherence in oral microbial ecology. Annual Review of Microbiology, 29: 19-42.</w:t>
      </w:r>
    </w:p>
    <w:p w14:paraId="3335374E" w14:textId="77777777" w:rsidR="00E4354D" w:rsidRPr="00B12129" w:rsidRDefault="00E4354D" w:rsidP="00E4354D">
      <w:pPr>
        <w:pStyle w:val="Body"/>
        <w:rPr>
          <w:lang w:val="pt-PT"/>
        </w:rPr>
      </w:pPr>
      <w:r>
        <w:t xml:space="preserve">Gordon, D.F. &amp; Jong, B.B. (1968). Indigenous flora from human saliva. </w:t>
      </w:r>
      <w:r w:rsidRPr="00B12129">
        <w:rPr>
          <w:lang w:val="pt-PT"/>
        </w:rPr>
        <w:t xml:space="preserve">Applied Microbiology, 16(2): 428-429. </w:t>
      </w:r>
    </w:p>
    <w:p w14:paraId="1B977824" w14:textId="77777777" w:rsidR="00E4354D" w:rsidRPr="00B12129" w:rsidRDefault="00E4354D" w:rsidP="00E4354D">
      <w:pPr>
        <w:pStyle w:val="Body"/>
        <w:rPr>
          <w:lang w:val="pt-PT"/>
        </w:rPr>
      </w:pPr>
      <w:r w:rsidRPr="00B12129">
        <w:rPr>
          <w:lang w:val="pt-PT"/>
        </w:rPr>
        <w:t>Guastaldi, A.C. &amp; Aparecida, A.H. (2010). Fosfatos de cálcio de interesse biológico: importância como biomateriais, propriedades e métodos de obtenção de recobrimentos. Química Nova, 33(6): 1352-1358.</w:t>
      </w:r>
    </w:p>
    <w:p w14:paraId="1CE8B786" w14:textId="77777777" w:rsidR="00E4354D" w:rsidRDefault="00E4354D" w:rsidP="00E4354D">
      <w:pPr>
        <w:pStyle w:val="Body"/>
      </w:pPr>
      <w:r w:rsidRPr="00B12129">
        <w:rPr>
          <w:lang w:val="pt-PT"/>
        </w:rPr>
        <w:t xml:space="preserve">Guida, V.; Bastos, M.Q.R. &amp; Rodrigues-Carvalho, C. (2024). </w:t>
      </w:r>
      <w:r>
        <w:t>Oral health of sambaqui groups in Saquarema, Brazil. Latin American Antiquity 35: 23-38.   DOI 10.1017/1aq.2022.98</w:t>
      </w:r>
    </w:p>
    <w:p w14:paraId="26D55D3B" w14:textId="77777777" w:rsidR="00E4354D" w:rsidRDefault="00E4354D" w:rsidP="00E4354D">
      <w:pPr>
        <w:pStyle w:val="Body"/>
      </w:pPr>
      <w:r>
        <w:t xml:space="preserve"> Hilson, S. (1990). Teeth.  Cambridge, Cambridge University Press. </w:t>
      </w:r>
    </w:p>
    <w:p w14:paraId="62667A32" w14:textId="77777777" w:rsidR="00E4354D" w:rsidRPr="00B12129" w:rsidRDefault="00E4354D" w:rsidP="00E4354D">
      <w:pPr>
        <w:pStyle w:val="Body"/>
        <w:rPr>
          <w:lang w:val="pt-PT"/>
        </w:rPr>
      </w:pPr>
      <w:r w:rsidRPr="00B12129">
        <w:rPr>
          <w:lang w:val="pt-PT"/>
        </w:rPr>
        <w:t>Jorge, A.C.F.V. (2018). Análise de microvestígios vegetais em cálculos dentários humanos do sambaqui de Cabeçuda. Dissertação de Mestrado em Saúde Pública, Escola Nacional de Saúde Pública Sergio Arouca, Fundação Oswaldo Cruz.</w:t>
      </w:r>
    </w:p>
    <w:p w14:paraId="106AC13C" w14:textId="77777777" w:rsidR="00E4354D" w:rsidRDefault="00E4354D" w:rsidP="00E4354D">
      <w:pPr>
        <w:pStyle w:val="Body"/>
      </w:pPr>
      <w:r>
        <w:t>Jörn, A; Bruce, J.; Pasteur, L.; Lauren, N.; Stokel, A.; Ingar, O. &amp; Floyd, E. (2005). Defining the normal bacterial microbiota of the oral cavity. Journal of Clinical Microbiology, 43(11): 572.</w:t>
      </w:r>
    </w:p>
    <w:p w14:paraId="6A83D1F1" w14:textId="77777777" w:rsidR="00E4354D" w:rsidRDefault="00E4354D" w:rsidP="00E4354D">
      <w:pPr>
        <w:pStyle w:val="Body"/>
      </w:pPr>
      <w:r>
        <w:t>Kerkens, J.W.; Nichols, R.V.; Murray, G.G.R.; Perez, K.; Merga, E.; Kaijankoski, P.; Rosenthl, J.S.; Engbring, L. &amp; Shapiro, B. (2018). A probable prehistoric case of meningococcal disease from San Francisco Bay: Next Generation sequencing of Neisseria meningitidis from dental calculus and osteological evidence. International Journal of Paleopathology 22: 173-180.</w:t>
      </w:r>
    </w:p>
    <w:p w14:paraId="5E19FEC3" w14:textId="77777777" w:rsidR="00E4354D" w:rsidRDefault="00E4354D" w:rsidP="00E4354D">
      <w:pPr>
        <w:pStyle w:val="Body"/>
      </w:pPr>
      <w:r>
        <w:t>Klökler, D.; Gaspar, M.D. &amp; Scheel-Ybert, R.  (2018). Why clam? Why clams? Shellmound construction in Southern Brazil. Journal of Archaeological Science, 20: 856–863.</w:t>
      </w:r>
    </w:p>
    <w:p w14:paraId="264F747B" w14:textId="77777777" w:rsidR="00E4354D" w:rsidRDefault="00E4354D" w:rsidP="00E4354D">
      <w:pPr>
        <w:pStyle w:val="Body"/>
      </w:pPr>
      <w:r>
        <w:t>Kleinberg, I. (2002). A mixed-bacteria ecological approach to understanding the role of oral bacteria in dental caries causation: an alternative to Streptococcus mutans and specific plaque hypothesis. Critical Review of Oral Biology Medicine, 13:108-25.</w:t>
      </w:r>
    </w:p>
    <w:p w14:paraId="51344CE7" w14:textId="77777777" w:rsidR="00E4354D" w:rsidRDefault="00E4354D" w:rsidP="00E4354D">
      <w:pPr>
        <w:pStyle w:val="Body"/>
      </w:pPr>
      <w:r>
        <w:t>Lee, Y-H.; Chung, S.W.; Auh, Q-S.; Hong, S-J.; Lee, Y-A.; Jung, J.; Lee, G-J.; Park, H.J.; Shin, S-I. &amp; Hong, J-Y. (2021). Progress in oral microbiome related to oral and systemic diseases: an update. Diagnostics, 11: 1283 https://doi.org/103390/diagnostics 11071283.</w:t>
      </w:r>
    </w:p>
    <w:p w14:paraId="5E7718ED" w14:textId="77777777" w:rsidR="00E4354D" w:rsidRDefault="00E4354D" w:rsidP="00E4354D">
      <w:pPr>
        <w:pStyle w:val="Body"/>
      </w:pPr>
      <w:r>
        <w:lastRenderedPageBreak/>
        <w:t>Li, Y.; Wang, W. &amp; Caufield, P.W. (2000). The fidelity of Streptococci mutans transmission and caries status correlate with breast-feeding experience among Chinese families. Caries Research, 34:123-132.</w:t>
      </w:r>
    </w:p>
    <w:p w14:paraId="1A04223A" w14:textId="77777777" w:rsidR="00E4354D" w:rsidRPr="00B12129" w:rsidRDefault="00E4354D" w:rsidP="00E4354D">
      <w:pPr>
        <w:pStyle w:val="Body"/>
        <w:rPr>
          <w:lang w:val="pt-PT"/>
        </w:rPr>
      </w:pPr>
      <w:r>
        <w:t xml:space="preserve">Li X., Liu Y., Yang X., Li C. &amp; Song Z. (2022). The Oral Microbiota: Community Composition, Influencing Factors, Pathogenesis, and Interventions. </w:t>
      </w:r>
      <w:r w:rsidRPr="00B12129">
        <w:rPr>
          <w:lang w:val="pt-PT"/>
        </w:rPr>
        <w:t>Frontiers Microbiology 29;13:895537. https://doi.org/10.3389/fmicb.2022.895537</w:t>
      </w:r>
    </w:p>
    <w:p w14:paraId="2BA1D4A7" w14:textId="77777777" w:rsidR="00E4354D" w:rsidRDefault="00E4354D" w:rsidP="00E4354D">
      <w:pPr>
        <w:pStyle w:val="Body"/>
      </w:pPr>
      <w:r w:rsidRPr="00B12129">
        <w:rPr>
          <w:lang w:val="pt-PT"/>
        </w:rPr>
        <w:t xml:space="preserve">Löesche, W. J. (1994). Ecologia da microbiota oral.  </w:t>
      </w:r>
      <w:r>
        <w:t>Microbiology and Oral Immunology, 2: 264-274.</w:t>
      </w:r>
    </w:p>
    <w:p w14:paraId="7A67CC60" w14:textId="77777777" w:rsidR="00E4354D" w:rsidRDefault="00E4354D" w:rsidP="00E4354D">
      <w:pPr>
        <w:pStyle w:val="Body"/>
      </w:pPr>
      <w:r>
        <w:t>Löesche, W.J.; Syed, S.A.; Schmid, E. &amp; Morrison, E.C. (1985). Bacterial profiles of sub-gengival plaques in periodontitis. Journal of Periodontology, 56 (8): 447-456.</w:t>
      </w:r>
    </w:p>
    <w:p w14:paraId="7B188A8A" w14:textId="77777777" w:rsidR="00E4354D" w:rsidRPr="00B12129" w:rsidRDefault="00E4354D" w:rsidP="00E4354D">
      <w:pPr>
        <w:pStyle w:val="Body"/>
        <w:rPr>
          <w:lang w:val="pt-PT"/>
        </w:rPr>
      </w:pPr>
      <w:r>
        <w:t xml:space="preserve">Mackenzie, L.; Speller, C.F.; Holst, M.; Keefe, K. &amp; Radini, A. (2023). Dental calculus in the industrial age: human dental calculus in the post-medieval period, a case study from industrial Manchester. </w:t>
      </w:r>
      <w:r w:rsidRPr="00B12129">
        <w:rPr>
          <w:lang w:val="pt-PT"/>
        </w:rPr>
        <w:t>Quaternary International, 20: 653-654. Doi:10.1016/j.quaint.2021.09.020.</w:t>
      </w:r>
    </w:p>
    <w:p w14:paraId="7787C026" w14:textId="77777777" w:rsidR="00E4354D" w:rsidRPr="00B12129" w:rsidRDefault="00E4354D" w:rsidP="00E4354D">
      <w:pPr>
        <w:pStyle w:val="Body"/>
        <w:rPr>
          <w:lang w:val="pt-PT"/>
        </w:rPr>
      </w:pPr>
      <w:r w:rsidRPr="00B12129">
        <w:rPr>
          <w:lang w:val="pt-PT"/>
        </w:rPr>
        <w:t xml:space="preserve"> Magalhães, V.; Lima, R.A. &amp; Tateno, S. (1991). Gastroenterites humanas associadas a Vibrio parahaemolyticus no Recife, Brasil. Revista do Instituto de Medicina Tropical de São Paulo, 33 (1): 64-68.</w:t>
      </w:r>
    </w:p>
    <w:p w14:paraId="2DE360ED" w14:textId="77777777" w:rsidR="00E4354D" w:rsidRPr="00B12129" w:rsidRDefault="00E4354D" w:rsidP="00E4354D">
      <w:pPr>
        <w:pStyle w:val="Body"/>
        <w:rPr>
          <w:lang w:val="pt-PT"/>
        </w:rPr>
      </w:pPr>
      <w:r w:rsidRPr="00B12129">
        <w:rPr>
          <w:lang w:val="pt-PT"/>
        </w:rPr>
        <w:t>Mancilla, E.P. (2005). Intoxicação por Vibrio parahaemolyticus. Cuadernos medico-sociales (Santiago, Chile), 45(1): 43-47.</w:t>
      </w:r>
    </w:p>
    <w:p w14:paraId="070A25F7" w14:textId="77777777" w:rsidR="00E4354D" w:rsidRDefault="00E4354D" w:rsidP="00E4354D">
      <w:pPr>
        <w:pStyle w:val="Body"/>
      </w:pPr>
      <w:r w:rsidRPr="00B12129">
        <w:rPr>
          <w:lang w:val="pt-PT"/>
        </w:rPr>
        <w:t xml:space="preserve">Marcotte, H. &amp; Lavoie, M.C. (1998). Ecologia microbiana oral e o papel da imunoglobulina A salivar.  </w:t>
      </w:r>
      <w:r>
        <w:t>Microbiological Molecular Biological Review, 62(1): 71-109.</w:t>
      </w:r>
    </w:p>
    <w:p w14:paraId="2B5F1B3F" w14:textId="77777777" w:rsidR="00E4354D" w:rsidRDefault="00E4354D" w:rsidP="00E4354D">
      <w:pPr>
        <w:pStyle w:val="Body"/>
      </w:pPr>
      <w:r>
        <w:t>Marsh, P.D. (2010). Microbial ecology of dental plaque and its significance in health and disease. Advances in Dental Research (Washington DC), 8(2): 263-271.</w:t>
      </w:r>
    </w:p>
    <w:p w14:paraId="7AA5014C" w14:textId="0AC8A8E6" w:rsidR="00E4354D" w:rsidRDefault="00E4354D" w:rsidP="00E4354D">
      <w:pPr>
        <w:pStyle w:val="Body"/>
      </w:pPr>
      <w:r>
        <w:t>Martignon, S.; Roncalli, A.G.; Alvarez, E.; Aránguiz, V.; Feldens, C.A. &amp; Buzalaf, M.A.R. (2021). Risk factors for dental caries in Latin American and Caribbean countries. Brazilian Oral Research, 35 (suppl 1): 19-4</w:t>
      </w:r>
      <w:r w:rsidR="00701A90">
        <w:t>2.</w:t>
      </w:r>
    </w:p>
    <w:p w14:paraId="272FB067" w14:textId="77777777" w:rsidR="00E4354D" w:rsidRDefault="00E4354D" w:rsidP="00E4354D">
      <w:pPr>
        <w:pStyle w:val="Body"/>
      </w:pPr>
      <w:r>
        <w:t>Naji, S.; Blondiaux, J.; Souza, S.M.de.; Zeng, I. &amp; Bocquet-Appel, J-P. (2022). Estimating mortality profile of fisherer-gatherers in Brazil using cementochronology. In: Naji, S.; Revendu, W.; Gourichon, L. (orgs.) Dental Cementum in Anthropology. Cambridge, Cambridge University Press. 322-337.</w:t>
      </w:r>
    </w:p>
    <w:p w14:paraId="6B8F398E" w14:textId="77777777" w:rsidR="00E4354D" w:rsidRPr="00B12129" w:rsidRDefault="00E4354D" w:rsidP="00E4354D">
      <w:pPr>
        <w:pStyle w:val="Body"/>
        <w:rPr>
          <w:lang w:val="pt-PT"/>
        </w:rPr>
      </w:pPr>
      <w:r>
        <w:t xml:space="preserve">Nunes, M.C.P.; Casati, M.Z.; Villalpando, K.T. &amp; Crano, F.R. (2007). </w:t>
      </w:r>
      <w:r w:rsidRPr="00B12129">
        <w:rPr>
          <w:lang w:val="pt-PT"/>
        </w:rPr>
        <w:t>Contribuição ao estudo do biofilme dentário para o tratamento das doenças periodontais. Revista do Instituto de Ciência e Saúde, 25(1): 55-61.</w:t>
      </w:r>
    </w:p>
    <w:p w14:paraId="709FEA21" w14:textId="77777777" w:rsidR="00E4354D" w:rsidRDefault="00E4354D" w:rsidP="00E4354D">
      <w:pPr>
        <w:pStyle w:val="Body"/>
      </w:pPr>
      <w:r w:rsidRPr="00B12129">
        <w:rPr>
          <w:lang w:val="pt-PT"/>
        </w:rPr>
        <w:t xml:space="preserve">Okomura, M. &amp; Eggers, S. (2014). </w:t>
      </w:r>
      <w:r>
        <w:t>Affinity groups from the shellmound of Jabuticabeira II (Santa Catarina, Brazil): what does the cranial morphology say? In: Osterbeek, L.; Fidalgo, C. (eds.) Proceedings of the World Congress, Oxford: BAR International Series 2658. 37-44.</w:t>
      </w:r>
    </w:p>
    <w:p w14:paraId="41E5E368" w14:textId="77777777" w:rsidR="00E4354D" w:rsidRDefault="00E4354D" w:rsidP="00E4354D">
      <w:pPr>
        <w:pStyle w:val="Body"/>
      </w:pPr>
      <w:r>
        <w:t>Pfister, L-A. (2005). Bacterial diseases of coastal populations in evolutionary perspective. In: 1st Paleopathology Association Meeting in South America. Program and Abstracts. Rio de Janeiro, ENSP/Fiocruz. 6</w:t>
      </w:r>
    </w:p>
    <w:p w14:paraId="2B51EA85" w14:textId="3E6A0478" w:rsidR="00E4354D" w:rsidRDefault="00E4354D" w:rsidP="00E4354D">
      <w:pPr>
        <w:pStyle w:val="Body"/>
      </w:pPr>
      <w:r>
        <w:lastRenderedPageBreak/>
        <w:t xml:space="preserve">Pitts, N.B.; Zero, D.T.; Marsh, P. D.; Ekstrand, K.; Weintraub, J.A.; Ramos-Gomez, F.; Tagami, J.; Twetman, S.; Tsakos, G. &amp; Ismail, A. (2017). Dental caries. Nature Review Disease Primers, 3 [17030].  https://doi.org/10.1038/nrdp.2017.30  </w:t>
      </w:r>
    </w:p>
    <w:p w14:paraId="009EACB6" w14:textId="77777777" w:rsidR="00E4354D" w:rsidRDefault="00E4354D" w:rsidP="00E4354D">
      <w:pPr>
        <w:pStyle w:val="Body"/>
      </w:pPr>
      <w:r>
        <w:t>Power, R.; Salazar-Garcia, D.C.; Wittig, R.M. &amp; Henry, A.G. (2014). Assessing use and suitability of scanning electron microscopy in the analysis of microremains in dental calculus. Journal of Archaeological Sciences, 49: 160-169.</w:t>
      </w:r>
    </w:p>
    <w:p w14:paraId="62548507" w14:textId="77777777" w:rsidR="00E4354D" w:rsidRDefault="00E4354D" w:rsidP="00E4354D">
      <w:pPr>
        <w:pStyle w:val="Body"/>
      </w:pPr>
      <w:r>
        <w:t xml:space="preserve">Preus, H.R.; Marvik, O.J.; Selvig, K.A. &amp; Bennike, P. (2011). Ancient bacterial DNA (aDNA) in dental calculus from archaeological human remains. Journal of Archaeological Sciences, 38: 1827–1831. </w:t>
      </w:r>
    </w:p>
    <w:p w14:paraId="5F803F40" w14:textId="3E3172B4" w:rsidR="00E4354D" w:rsidRPr="00B12129" w:rsidRDefault="00E4354D" w:rsidP="00E4354D">
      <w:pPr>
        <w:pStyle w:val="Body"/>
        <w:rPr>
          <w:lang w:val="pt-PT"/>
        </w:rPr>
      </w:pPr>
      <w:r w:rsidRPr="00197264">
        <w:rPr>
          <w:lang w:val="pt-PT"/>
        </w:rPr>
        <w:t xml:space="preserve">Reinhard, K.J.; Souza, S.M.de; Rodrigues-Carvalho, C.; Nelson, C.; Vinton, S.D. &amp; Chaves, S.A.deM. (2000). </w:t>
      </w:r>
      <w:proofErr w:type="spellStart"/>
      <w:r>
        <w:t>Microresidues</w:t>
      </w:r>
      <w:proofErr w:type="spellEnd"/>
      <w:r>
        <w:t xml:space="preserve"> in dental calculus: a new perspective in diet and dental disease. </w:t>
      </w:r>
      <w:r w:rsidRPr="00B12129">
        <w:rPr>
          <w:lang w:val="pt-PT"/>
        </w:rPr>
        <w:t>American Journal of Dental Anthropology</w:t>
      </w:r>
      <w:r w:rsidR="00400436" w:rsidRPr="00B12129">
        <w:rPr>
          <w:lang w:val="pt-PT"/>
        </w:rPr>
        <w:t>.</w:t>
      </w:r>
      <w:r w:rsidRPr="00B12129">
        <w:rPr>
          <w:lang w:val="pt-PT"/>
        </w:rPr>
        <w:t xml:space="preserve"> 113-118. </w:t>
      </w:r>
    </w:p>
    <w:p w14:paraId="56075A28" w14:textId="77777777" w:rsidR="00E4354D" w:rsidRPr="00B12129" w:rsidRDefault="00E4354D" w:rsidP="00E4354D">
      <w:pPr>
        <w:pStyle w:val="Body"/>
        <w:rPr>
          <w:lang w:val="pt-PT"/>
        </w:rPr>
      </w:pPr>
      <w:r w:rsidRPr="00B12129">
        <w:rPr>
          <w:lang w:val="pt-PT"/>
        </w:rPr>
        <w:t xml:space="preserve">Rodrigues-Carvalho, C. &amp; Souza, S.M.de. (1998). Uso de adornos labiais pelos construtores do sambaqui de Cabeçuda, Santa Catarina, Brasil: uma hipótese baseada no perfil dento-patológico. Revista de Arqueologia (Sociedade de Arqueologia Brasileira), 11: 43-55. </w:t>
      </w:r>
    </w:p>
    <w:p w14:paraId="731A9D8D" w14:textId="77777777" w:rsidR="00E4354D" w:rsidRDefault="00E4354D" w:rsidP="00E4354D">
      <w:pPr>
        <w:pStyle w:val="Body"/>
      </w:pPr>
      <w:r w:rsidRPr="00B12129">
        <w:rPr>
          <w:lang w:val="pt-PT"/>
        </w:rPr>
        <w:t xml:space="preserve">Rodrigues-Carvalho, C.; Lessa, A. &amp; Souza, S.M.de. (2009). </w:t>
      </w:r>
      <w:r>
        <w:t xml:space="preserve">Bioarchaeology of the sambaqui groups: skeletal morphology, physical stress and trauma. In: Osterbeek, L. (ed.) Humans: evolution and environments. Proceedings of the XV World Congress, v.22. Oxford: BAR International Series 2026, 15-20. </w:t>
      </w:r>
    </w:p>
    <w:p w14:paraId="5F1B0F13" w14:textId="77777777" w:rsidR="00E4354D" w:rsidRPr="00B12129" w:rsidRDefault="00E4354D" w:rsidP="00E4354D">
      <w:pPr>
        <w:pStyle w:val="Body"/>
        <w:rPr>
          <w:lang w:val="pt-PT"/>
        </w:rPr>
      </w:pPr>
      <w:r>
        <w:t xml:space="preserve">Rosebury, T. (1952). The role of infectious periodontal diseases. </w:t>
      </w:r>
      <w:r w:rsidRPr="00B12129">
        <w:rPr>
          <w:lang w:val="pt-PT"/>
        </w:rPr>
        <w:t>Oral Surgery, Oral Medicine, Oral Pathology, 5(4): 363-370.</w:t>
      </w:r>
    </w:p>
    <w:p w14:paraId="2C1E38A0" w14:textId="77777777" w:rsidR="00E4354D" w:rsidRPr="00B12129" w:rsidRDefault="00E4354D" w:rsidP="00E4354D">
      <w:pPr>
        <w:pStyle w:val="Body"/>
        <w:rPr>
          <w:lang w:val="pt-PT"/>
        </w:rPr>
      </w:pPr>
      <w:r w:rsidRPr="00B12129">
        <w:rPr>
          <w:lang w:val="pt-PT"/>
        </w:rPr>
        <w:t>Santos, A.A.C. (1978). Estudos de vibrios anaeróbicos da cavidade oral. Tese de Doutoramento em Odontologia, Programa de Pós-graduação em Odontologia, Universidade Federal do Rio de Janeiro.</w:t>
      </w:r>
    </w:p>
    <w:p w14:paraId="1E6F1B1C" w14:textId="5AA73A95" w:rsidR="00E4354D" w:rsidRDefault="00E4354D" w:rsidP="00E4354D">
      <w:pPr>
        <w:pStyle w:val="Body"/>
      </w:pPr>
      <w:r w:rsidRPr="00B12129">
        <w:rPr>
          <w:lang w:val="pt-PT"/>
        </w:rPr>
        <w:t xml:space="preserve">Scheel-Ybert, R.; Rodrigues-Carvalho, C.; DeBlasis, P.; Gaspar, M.D. &amp; Klökler, D. (2020). Mudanças e permanências no sambaqui de Cabeçuda (Laguna, SC): das escavações de Farias às questões atuais. </w:t>
      </w:r>
      <w:r>
        <w:t>Revista de Arqueologia, 33(1): 169-197.</w:t>
      </w:r>
    </w:p>
    <w:p w14:paraId="276FB181" w14:textId="77777777" w:rsidR="00E4354D" w:rsidRDefault="00E4354D" w:rsidP="00E4354D">
      <w:pPr>
        <w:pStyle w:val="Body"/>
      </w:pPr>
      <w:r>
        <w:t>Socransky, S. M &amp; Manganiello, S.D. (1971). The oral microbiota from birth to senility. Journal of Periodontology, 42: 485-94.</w:t>
      </w:r>
    </w:p>
    <w:p w14:paraId="02F95B6A" w14:textId="77777777" w:rsidR="00E4354D" w:rsidRPr="00B12129" w:rsidRDefault="00E4354D" w:rsidP="00E4354D">
      <w:pPr>
        <w:pStyle w:val="Body"/>
        <w:rPr>
          <w:lang w:val="pt-PT"/>
        </w:rPr>
      </w:pPr>
      <w:r w:rsidRPr="00B12129">
        <w:rPr>
          <w:lang w:val="pt-PT"/>
        </w:rPr>
        <w:t>Souza, S.M.de. (1991). Aplicação de funções discriminantes à estimativa de sexo em grupos humanos prehistóricos.  Dissertação de Mestrado em Anatomia, Centro de Ciências da Saúde, Universidade Federal do Rio de Janeiro.</w:t>
      </w:r>
    </w:p>
    <w:p w14:paraId="333491CE" w14:textId="77777777" w:rsidR="00E4354D" w:rsidRDefault="00E4354D" w:rsidP="00E4354D">
      <w:pPr>
        <w:pStyle w:val="Body"/>
      </w:pPr>
      <w:r w:rsidRPr="00B12129">
        <w:rPr>
          <w:lang w:val="pt-PT"/>
        </w:rPr>
        <w:t xml:space="preserve">Souza, S.M.de. (1999). Anemia e adaptabilidade em um grupo costeiro prehistórico : uma hipótese patocenótica. In: Tenório, C.; Franco, T.C. (orgs.) Pre-história de Terra Brasilis. </w:t>
      </w:r>
      <w:r>
        <w:t>Rio de Janeiro, EDUFERJ. 171-188.</w:t>
      </w:r>
    </w:p>
    <w:p w14:paraId="02CA4A55" w14:textId="77777777" w:rsidR="00E4354D" w:rsidRDefault="00E4354D" w:rsidP="00E4354D">
      <w:pPr>
        <w:pStyle w:val="Body"/>
      </w:pPr>
      <w:r>
        <w:t>Souza, S.M.de. (2014). Sambaqui people, the shellmound builders of Brazil: a challenge for paleodemographers. In: Rocsandik, M.; Souza, S.M.de; Eggers, S.; Burchel, M.; Klökler, D. (orgs.) Cultural dynamics of shell-matrix sites: diverse perspectives on biological remains from shell mounds and shell middens. Albuquerque, New Mexico University Press. 163-172.</w:t>
      </w:r>
    </w:p>
    <w:p w14:paraId="259255BA" w14:textId="46DDDF82" w:rsidR="00E4354D" w:rsidRDefault="00E4354D" w:rsidP="00E4354D">
      <w:pPr>
        <w:pStyle w:val="Body"/>
      </w:pPr>
      <w:r>
        <w:lastRenderedPageBreak/>
        <w:t>Souza, S.M.de; Wesolowski, V. &amp; Rodrigues-Carvalho, C. 2009. Teeth, nutrition, anemia, infection, mortality: costs of lifestyle at the Coastal Bra</w:t>
      </w:r>
      <w:r w:rsidR="00B5302C">
        <w:t>z</w:t>
      </w:r>
      <w:r>
        <w:t>ilian sambaquis. In: Osterbeek, L. (ed.) Humans: Evolutions and envirnments. Proceedings of the XV World Congress. v.22. Oxford, BAR International Series 2026. 33-40.</w:t>
      </w:r>
    </w:p>
    <w:p w14:paraId="79EF98E9" w14:textId="1A16124F" w:rsidR="00E4354D" w:rsidRDefault="00E4354D" w:rsidP="00E4354D">
      <w:pPr>
        <w:pStyle w:val="Body"/>
      </w:pPr>
      <w:r>
        <w:t>Standeven, F.J.; Dahlquist-Axe, G.; Hendy, J.; Fiddyment, S.; Holst, M.; McGrath, K.; Collins, M.; Mundorff, A.; Meehan, C.J.; Tedder, A. &amp; Spelle, C.F. (2024). An extensive archaeological dental calculus dataset spanning 5000 years for ancient human oral microbiome research. BIORxiv (preprint)</w:t>
      </w:r>
    </w:p>
    <w:p w14:paraId="77CA1967" w14:textId="77777777" w:rsidR="00E4354D" w:rsidRDefault="00E4354D" w:rsidP="00E4354D">
      <w:pPr>
        <w:pStyle w:val="Body"/>
      </w:pPr>
      <w:r>
        <w:t xml:space="preserve">Velsko, I.M.; Fagernäs, Z; Tromp, M.; Bedford, S.; Buckley, H.R.; Clark, G.; Dudgeon, J.; Flexner, J.; Galipaud, J-C.; Kinaston, R.; Lewis Jr, C.m.; Matisoo-Smith, E.; Nägele, K.; Ozga, A.T.; Posth, C.; Rohrlach, A.B.; Shing, R.; Simanjuntak, T.; Spriggs, M.; Tamarii, A.; Valentin, F.,; Willie, E. &amp; Warinner, C. (2024). Exploring the potential of dental calculus to shed light on past human migrations in Oceania. Nature Comunications 15:10191.  Doi 10.1038/s41467-024-53920.2 </w:t>
      </w:r>
    </w:p>
    <w:p w14:paraId="1F3D80E0" w14:textId="040A0E6A" w:rsidR="00E4354D" w:rsidRDefault="00E4354D" w:rsidP="00E4354D">
      <w:pPr>
        <w:pStyle w:val="Body"/>
      </w:pPr>
      <w:r>
        <w:t>Velsko, I.M.; Semeraua, L.; Inskipc, S.A.; García-Collado, M.</w:t>
      </w:r>
      <w:proofErr w:type="gramStart"/>
      <w:r>
        <w:t>;  Ziesemerf</w:t>
      </w:r>
      <w:proofErr w:type="gramEnd"/>
      <w:r>
        <w:t xml:space="preserve">, K.; Ruberc, M.S.; Enrich, L.B.de L.; García, J.M.M.; Valle, </w:t>
      </w:r>
      <w:proofErr w:type="gramStart"/>
      <w:r>
        <w:t>D.G,;</w:t>
      </w:r>
      <w:proofErr w:type="gramEnd"/>
      <w:r>
        <w:t xml:space="preserve"> Ruiz, A.N.P.; Salazar-Garcíaj, D.C.; Hooglandl, M.L.P. &amp; Warinnera, C. (2022). Dental calculus preserves signature of biofilm succession and interindividual variation independent of dental pathology. PNASNexus 1, 1-14. Doi 10.1093/pnasnexus/pgac 148</w:t>
      </w:r>
    </w:p>
    <w:p w14:paraId="1585DFFA" w14:textId="77777777" w:rsidR="00E4354D" w:rsidRDefault="00E4354D" w:rsidP="00E4354D">
      <w:pPr>
        <w:pStyle w:val="Body"/>
      </w:pPr>
      <w:proofErr w:type="gramStart"/>
      <w:r>
        <w:t>Wesolowski,V.</w:t>
      </w:r>
      <w:proofErr w:type="gramEnd"/>
      <w:r>
        <w:t xml:space="preserve">; Souza, S.M.de; Reinhard, </w:t>
      </w:r>
      <w:proofErr w:type="gramStart"/>
      <w:r>
        <w:t>K.J..</w:t>
      </w:r>
      <w:proofErr w:type="gramEnd"/>
      <w:r>
        <w:t xml:space="preserve"> &amp; Ceccantini, G. (2010). Evaluating microfossil content of dental calculus from Brazilian sambaquis. Journal of Archaeological Sciences, 37: 1326-1338.</w:t>
      </w:r>
    </w:p>
    <w:p w14:paraId="4BEE420D" w14:textId="77777777" w:rsidR="00E4354D" w:rsidRDefault="00E4354D" w:rsidP="00E4354D">
      <w:pPr>
        <w:pStyle w:val="Body"/>
      </w:pPr>
      <w:r>
        <w:t xml:space="preserve">White, G.E. (1975). Dental caries: a multifactorial disease.  Springfield, Charles C. Thomas Ed. </w:t>
      </w:r>
    </w:p>
    <w:p w14:paraId="0E68CA76" w14:textId="77777777" w:rsidR="00E4354D" w:rsidRDefault="00E4354D" w:rsidP="00E4354D">
      <w:pPr>
        <w:pStyle w:val="Body"/>
      </w:pPr>
      <w:r>
        <w:t>Whiteley, M; Diggle, S.P. &amp; Greenberg, P. (2017).  Progress in and promise of bacterial quorum sensing research. A review of the genetics, biochemistry, ecology and evolution of bacterial quorum sensing. Nature, 551(7680): 313-320.</w:t>
      </w:r>
    </w:p>
    <w:p w14:paraId="652BCD42" w14:textId="77777777" w:rsidR="00E4354D" w:rsidRDefault="00E4354D" w:rsidP="00E4354D">
      <w:pPr>
        <w:pStyle w:val="Body"/>
      </w:pPr>
      <w:r>
        <w:t xml:space="preserve">William, B. W. (2015). Bergey's manual of systematics of archaea and bacteria (BMSAB). Bergey's Manual Trust e John Wiley &amp; Sons, Inc.  https://onlinelibrary.wiley.com/doi/book/10.1002/9781118960608. </w:t>
      </w:r>
    </w:p>
    <w:p w14:paraId="5C6E4640" w14:textId="77777777" w:rsidR="00E4354D" w:rsidRDefault="00E4354D" w:rsidP="00E4354D">
      <w:pPr>
        <w:pStyle w:val="Body"/>
      </w:pPr>
      <w:r>
        <w:t xml:space="preserve">Williams, L.R. (2019). Paleopathological and microbiogical investigations of dental health in America since 1890. </w:t>
      </w:r>
      <w:proofErr w:type="spellStart"/>
      <w:r>
        <w:t>Tese</w:t>
      </w:r>
      <w:proofErr w:type="spellEnd"/>
      <w:r>
        <w:t xml:space="preserve"> de </w:t>
      </w:r>
      <w:proofErr w:type="spellStart"/>
      <w:r>
        <w:t>Doutorado</w:t>
      </w:r>
      <w:proofErr w:type="spellEnd"/>
      <w:r>
        <w:t xml:space="preserve"> </w:t>
      </w:r>
      <w:proofErr w:type="spellStart"/>
      <w:r>
        <w:t>em</w:t>
      </w:r>
      <w:proofErr w:type="spellEnd"/>
      <w:r>
        <w:t xml:space="preserve"> </w:t>
      </w:r>
      <w:proofErr w:type="spellStart"/>
      <w:r>
        <w:t>Antropologia</w:t>
      </w:r>
      <w:proofErr w:type="spellEnd"/>
      <w:r>
        <w:t xml:space="preserve">, New Jersey, State University of New Jersey. </w:t>
      </w:r>
    </w:p>
    <w:p w14:paraId="0D89E6F6" w14:textId="77777777" w:rsidR="00E4354D" w:rsidRDefault="00E4354D" w:rsidP="00E4354D">
      <w:pPr>
        <w:pStyle w:val="Body"/>
      </w:pPr>
      <w:r>
        <w:t xml:space="preserve">Witwer-Backofen, U. &amp; Engel, F. (2018). The history of </w:t>
      </w:r>
      <w:proofErr w:type="spellStart"/>
      <w:r>
        <w:t>european</w:t>
      </w:r>
      <w:proofErr w:type="spellEnd"/>
      <w:r>
        <w:t xml:space="preserve"> oral health: evidence from dental caries and antemortem tooth loss. In: Steckel, R.H.; Larsen, C.S.; Roberts, C.A.; Baten, J. (eds.) The backbone of Europe: health, diet, work and violence over two millennia. Cambridge University Press, Cambridge. 84-136.</w:t>
      </w:r>
    </w:p>
    <w:p w14:paraId="7E6E1972" w14:textId="7417E4AB" w:rsidR="00E4354D" w:rsidRDefault="00E4354D" w:rsidP="00E4354D">
      <w:pPr>
        <w:pStyle w:val="Body"/>
      </w:pPr>
      <w:r>
        <w:t xml:space="preserve">Wright, S.L.; Dobney, K. &amp; </w:t>
      </w:r>
      <w:proofErr w:type="spellStart"/>
      <w:r>
        <w:t>Weyric</w:t>
      </w:r>
      <w:proofErr w:type="spellEnd"/>
      <w:r>
        <w:t xml:space="preserve">, L.S. (2021) Advancing and refining archaeological dental calculus research using </w:t>
      </w:r>
      <w:proofErr w:type="spellStart"/>
      <w:r>
        <w:t>multiomic</w:t>
      </w:r>
      <w:proofErr w:type="spellEnd"/>
      <w:r>
        <w:t xml:space="preserve"> frameworks.</w:t>
      </w:r>
      <w:r w:rsidR="004A048F">
        <w:t xml:space="preserve"> S</w:t>
      </w:r>
      <w:r>
        <w:t>TAR Science &amp; Technology of Archaeological Research, 7(1):13-30.</w:t>
      </w:r>
    </w:p>
    <w:p w14:paraId="66A3CA7B" w14:textId="77777777" w:rsidR="00BF5A38" w:rsidRDefault="00E4354D" w:rsidP="00A54BC4">
      <w:pPr>
        <w:pStyle w:val="Body"/>
        <w:spacing w:after="0"/>
      </w:pPr>
      <w:r>
        <w:t>Zhou, X &amp; Li, Y. (2020). Atlas of oral microbiology from healthy microflora to disease.  2nd edition. Singapore, Springer Nature.</w:t>
      </w:r>
    </w:p>
    <w:sectPr w:rsidR="00BF5A38" w:rsidSect="003724B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6FA97" w14:textId="77777777" w:rsidR="004D262E" w:rsidRDefault="004D262E" w:rsidP="00C37E61">
      <w:r>
        <w:separator/>
      </w:r>
    </w:p>
  </w:endnote>
  <w:endnote w:type="continuationSeparator" w:id="0">
    <w:p w14:paraId="7736DE28" w14:textId="77777777" w:rsidR="004D262E" w:rsidRDefault="004D262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F026" w14:textId="77777777" w:rsidR="003724B3" w:rsidRDefault="003724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A509" w14:textId="77777777" w:rsidR="003724B3" w:rsidRDefault="003724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C64FD" w14:textId="77777777" w:rsidR="009E048A" w:rsidRDefault="009E048A">
    <w:pPr>
      <w:pStyle w:val="Footer"/>
      <w:rPr>
        <w:rFonts w:ascii="Arial" w:hAnsi="Arial" w:cs="Arial"/>
        <w:sz w:val="16"/>
      </w:rPr>
    </w:pPr>
  </w:p>
  <w:p w14:paraId="02AB19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A19B3C8" w14:textId="2BBA2946" w:rsidR="00754C9A" w:rsidRPr="009E048A" w:rsidRDefault="00754C9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3720D" w14:textId="77777777" w:rsidR="004D262E" w:rsidRDefault="004D262E" w:rsidP="00C37E61">
      <w:r>
        <w:separator/>
      </w:r>
    </w:p>
  </w:footnote>
  <w:footnote w:type="continuationSeparator" w:id="0">
    <w:p w14:paraId="583F2526" w14:textId="77777777" w:rsidR="004D262E" w:rsidRDefault="004D262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DCD6" w14:textId="49B7B93F" w:rsidR="003724B3" w:rsidRDefault="003724B3">
    <w:pPr>
      <w:pStyle w:val="Header"/>
    </w:pPr>
    <w:r>
      <w:rPr>
        <w:noProof/>
      </w:rPr>
      <w:pict w14:anchorId="26C0B3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9DB2F" w14:textId="6F6C3916" w:rsidR="003724B3" w:rsidRDefault="003724B3">
    <w:pPr>
      <w:pStyle w:val="Header"/>
    </w:pPr>
    <w:r>
      <w:rPr>
        <w:noProof/>
      </w:rPr>
      <w:pict w14:anchorId="20FEF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3885" w14:textId="29AA26B4" w:rsidR="00296529" w:rsidRPr="00296529" w:rsidRDefault="003724B3" w:rsidP="00296529">
    <w:pPr>
      <w:ind w:left="2160"/>
      <w:jc w:val="center"/>
      <w:rPr>
        <w:rFonts w:ascii="Times New Roman" w:eastAsia="Calibri" w:hAnsi="Times New Roman"/>
        <w:i/>
        <w:sz w:val="18"/>
        <w:szCs w:val="22"/>
      </w:rPr>
    </w:pPr>
    <w:r>
      <w:rPr>
        <w:noProof/>
      </w:rPr>
      <w:pict w14:anchorId="21ED5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DE00E5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7924EF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2ECE24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4B28C1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0B66D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194E64D"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7751179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9332470">
    <w:abstractNumId w:val="15"/>
  </w:num>
  <w:num w:numId="3" w16cid:durableId="293027041">
    <w:abstractNumId w:val="23"/>
  </w:num>
  <w:num w:numId="4" w16cid:durableId="56426521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5052380">
    <w:abstractNumId w:val="7"/>
  </w:num>
  <w:num w:numId="6" w16cid:durableId="1871335380">
    <w:abstractNumId w:val="6"/>
  </w:num>
  <w:num w:numId="7" w16cid:durableId="826432972">
    <w:abstractNumId w:val="1"/>
  </w:num>
  <w:num w:numId="8" w16cid:durableId="1915581708">
    <w:abstractNumId w:val="12"/>
  </w:num>
  <w:num w:numId="9" w16cid:durableId="605892371">
    <w:abstractNumId w:val="25"/>
  </w:num>
  <w:num w:numId="10" w16cid:durableId="1413505358">
    <w:abstractNumId w:val="2"/>
  </w:num>
  <w:num w:numId="11" w16cid:durableId="518617963">
    <w:abstractNumId w:val="18"/>
  </w:num>
  <w:num w:numId="12" w16cid:durableId="1047145178">
    <w:abstractNumId w:val="3"/>
  </w:num>
  <w:num w:numId="13" w16cid:durableId="1103914545">
    <w:abstractNumId w:val="17"/>
  </w:num>
  <w:num w:numId="14" w16cid:durableId="2028284977">
    <w:abstractNumId w:val="8"/>
  </w:num>
  <w:num w:numId="15" w16cid:durableId="226965483">
    <w:abstractNumId w:val="21"/>
  </w:num>
  <w:num w:numId="16" w16cid:durableId="1660115029">
    <w:abstractNumId w:val="5"/>
  </w:num>
  <w:num w:numId="17" w16cid:durableId="1016735263">
    <w:abstractNumId w:val="22"/>
  </w:num>
  <w:num w:numId="18" w16cid:durableId="788860666">
    <w:abstractNumId w:val="14"/>
  </w:num>
  <w:num w:numId="19" w16cid:durableId="1797138143">
    <w:abstractNumId w:val="28"/>
  </w:num>
  <w:num w:numId="20" w16cid:durableId="823394701">
    <w:abstractNumId w:val="11"/>
  </w:num>
  <w:num w:numId="21" w16cid:durableId="957220947">
    <w:abstractNumId w:val="9"/>
  </w:num>
  <w:num w:numId="22" w16cid:durableId="2015722715">
    <w:abstractNumId w:val="13"/>
  </w:num>
  <w:num w:numId="23" w16cid:durableId="1249120195">
    <w:abstractNumId w:val="19"/>
  </w:num>
  <w:num w:numId="24" w16cid:durableId="2013101036">
    <w:abstractNumId w:val="26"/>
  </w:num>
  <w:num w:numId="25" w16cid:durableId="853106154">
    <w:abstractNumId w:val="4"/>
  </w:num>
  <w:num w:numId="26" w16cid:durableId="6103430">
    <w:abstractNumId w:val="16"/>
  </w:num>
  <w:num w:numId="27" w16cid:durableId="1959871644">
    <w:abstractNumId w:val="20"/>
  </w:num>
  <w:num w:numId="28" w16cid:durableId="28457849">
    <w:abstractNumId w:val="27"/>
  </w:num>
  <w:num w:numId="29" w16cid:durableId="424348323">
    <w:abstractNumId w:val="24"/>
  </w:num>
  <w:num w:numId="30" w16cid:durableId="21464647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35F7"/>
    <w:rsid w:val="0004579C"/>
    <w:rsid w:val="00051C05"/>
    <w:rsid w:val="00085ABC"/>
    <w:rsid w:val="000A47FA"/>
    <w:rsid w:val="000A65D3"/>
    <w:rsid w:val="000B1E33"/>
    <w:rsid w:val="000C0397"/>
    <w:rsid w:val="000C4789"/>
    <w:rsid w:val="000C59DF"/>
    <w:rsid w:val="000D1247"/>
    <w:rsid w:val="000D3D5B"/>
    <w:rsid w:val="000D5BBA"/>
    <w:rsid w:val="000D689F"/>
    <w:rsid w:val="000E7B7B"/>
    <w:rsid w:val="000E7D62"/>
    <w:rsid w:val="000F7CC1"/>
    <w:rsid w:val="00103357"/>
    <w:rsid w:val="00110034"/>
    <w:rsid w:val="00110176"/>
    <w:rsid w:val="00112DFB"/>
    <w:rsid w:val="00123C9F"/>
    <w:rsid w:val="00126190"/>
    <w:rsid w:val="00130F17"/>
    <w:rsid w:val="001320BF"/>
    <w:rsid w:val="00144B8F"/>
    <w:rsid w:val="0015741F"/>
    <w:rsid w:val="00160CC4"/>
    <w:rsid w:val="00163BC4"/>
    <w:rsid w:val="0017171B"/>
    <w:rsid w:val="00191062"/>
    <w:rsid w:val="00192B72"/>
    <w:rsid w:val="00197264"/>
    <w:rsid w:val="001A2293"/>
    <w:rsid w:val="001A29D8"/>
    <w:rsid w:val="001A5CAA"/>
    <w:rsid w:val="001B03D6"/>
    <w:rsid w:val="001B0427"/>
    <w:rsid w:val="001C0576"/>
    <w:rsid w:val="001C1896"/>
    <w:rsid w:val="001C3555"/>
    <w:rsid w:val="001C4C6E"/>
    <w:rsid w:val="001D3A51"/>
    <w:rsid w:val="001E10D2"/>
    <w:rsid w:val="001E25B4"/>
    <w:rsid w:val="001E44FE"/>
    <w:rsid w:val="00200595"/>
    <w:rsid w:val="00203F6D"/>
    <w:rsid w:val="00204835"/>
    <w:rsid w:val="0020506C"/>
    <w:rsid w:val="00222308"/>
    <w:rsid w:val="00230091"/>
    <w:rsid w:val="00231920"/>
    <w:rsid w:val="0023195C"/>
    <w:rsid w:val="00236919"/>
    <w:rsid w:val="0024282C"/>
    <w:rsid w:val="002460DC"/>
    <w:rsid w:val="00250985"/>
    <w:rsid w:val="002556F6"/>
    <w:rsid w:val="00256940"/>
    <w:rsid w:val="00257BB3"/>
    <w:rsid w:val="00283105"/>
    <w:rsid w:val="00284C4C"/>
    <w:rsid w:val="00287E68"/>
    <w:rsid w:val="00296529"/>
    <w:rsid w:val="002B27FB"/>
    <w:rsid w:val="002B685A"/>
    <w:rsid w:val="002C57D2"/>
    <w:rsid w:val="002E0D56"/>
    <w:rsid w:val="002E370F"/>
    <w:rsid w:val="002E6D62"/>
    <w:rsid w:val="00304EC7"/>
    <w:rsid w:val="00315186"/>
    <w:rsid w:val="0033083F"/>
    <w:rsid w:val="0033343E"/>
    <w:rsid w:val="00350C87"/>
    <w:rsid w:val="003512C2"/>
    <w:rsid w:val="00355775"/>
    <w:rsid w:val="00363AD0"/>
    <w:rsid w:val="00365647"/>
    <w:rsid w:val="00371FB6"/>
    <w:rsid w:val="003724B3"/>
    <w:rsid w:val="003750CD"/>
    <w:rsid w:val="003763C1"/>
    <w:rsid w:val="00376BBE"/>
    <w:rsid w:val="0039224F"/>
    <w:rsid w:val="00393511"/>
    <w:rsid w:val="003A43A4"/>
    <w:rsid w:val="003A4A47"/>
    <w:rsid w:val="003A7E18"/>
    <w:rsid w:val="003C4C86"/>
    <w:rsid w:val="003C6258"/>
    <w:rsid w:val="003E2904"/>
    <w:rsid w:val="003E34EA"/>
    <w:rsid w:val="003F6264"/>
    <w:rsid w:val="00400436"/>
    <w:rsid w:val="00401927"/>
    <w:rsid w:val="0041027F"/>
    <w:rsid w:val="00412475"/>
    <w:rsid w:val="00423789"/>
    <w:rsid w:val="00440F43"/>
    <w:rsid w:val="00441B6F"/>
    <w:rsid w:val="00444AC0"/>
    <w:rsid w:val="00446221"/>
    <w:rsid w:val="00450E62"/>
    <w:rsid w:val="004539DB"/>
    <w:rsid w:val="00457A20"/>
    <w:rsid w:val="00463C4F"/>
    <w:rsid w:val="00471A80"/>
    <w:rsid w:val="004777AF"/>
    <w:rsid w:val="00493B26"/>
    <w:rsid w:val="004A048F"/>
    <w:rsid w:val="004C3BB5"/>
    <w:rsid w:val="004D262E"/>
    <w:rsid w:val="004D305E"/>
    <w:rsid w:val="004D422C"/>
    <w:rsid w:val="004D4277"/>
    <w:rsid w:val="00502516"/>
    <w:rsid w:val="00505F06"/>
    <w:rsid w:val="00506828"/>
    <w:rsid w:val="00520793"/>
    <w:rsid w:val="0053056E"/>
    <w:rsid w:val="00554FDA"/>
    <w:rsid w:val="005B51B0"/>
    <w:rsid w:val="005C5A08"/>
    <w:rsid w:val="005C784C"/>
    <w:rsid w:val="005D17F6"/>
    <w:rsid w:val="005E42B1"/>
    <w:rsid w:val="005E5539"/>
    <w:rsid w:val="00602BF5"/>
    <w:rsid w:val="0060620B"/>
    <w:rsid w:val="00617FDD"/>
    <w:rsid w:val="00622868"/>
    <w:rsid w:val="006251CE"/>
    <w:rsid w:val="00631681"/>
    <w:rsid w:val="00633614"/>
    <w:rsid w:val="00633F68"/>
    <w:rsid w:val="00636EB2"/>
    <w:rsid w:val="006375B8"/>
    <w:rsid w:val="0065523B"/>
    <w:rsid w:val="0066510A"/>
    <w:rsid w:val="00673F9F"/>
    <w:rsid w:val="00686953"/>
    <w:rsid w:val="00687DEA"/>
    <w:rsid w:val="00687E67"/>
    <w:rsid w:val="006967F7"/>
    <w:rsid w:val="00696D5E"/>
    <w:rsid w:val="006A250C"/>
    <w:rsid w:val="006A7A30"/>
    <w:rsid w:val="006B21D3"/>
    <w:rsid w:val="006B57D0"/>
    <w:rsid w:val="006D30FF"/>
    <w:rsid w:val="006D6940"/>
    <w:rsid w:val="006F0996"/>
    <w:rsid w:val="006F0BCB"/>
    <w:rsid w:val="006F0CE2"/>
    <w:rsid w:val="006F11EC"/>
    <w:rsid w:val="006F2794"/>
    <w:rsid w:val="006F347D"/>
    <w:rsid w:val="006F412B"/>
    <w:rsid w:val="0070082C"/>
    <w:rsid w:val="007016FC"/>
    <w:rsid w:val="00701A90"/>
    <w:rsid w:val="00717C56"/>
    <w:rsid w:val="00720DC5"/>
    <w:rsid w:val="007266F3"/>
    <w:rsid w:val="00735D25"/>
    <w:rsid w:val="007369E6"/>
    <w:rsid w:val="00746E59"/>
    <w:rsid w:val="00751852"/>
    <w:rsid w:val="00754C9A"/>
    <w:rsid w:val="0075599A"/>
    <w:rsid w:val="00761D52"/>
    <w:rsid w:val="00766325"/>
    <w:rsid w:val="00774F70"/>
    <w:rsid w:val="0077749E"/>
    <w:rsid w:val="00787583"/>
    <w:rsid w:val="00790ADA"/>
    <w:rsid w:val="007B5D8F"/>
    <w:rsid w:val="007C797A"/>
    <w:rsid w:val="007D2288"/>
    <w:rsid w:val="007E088F"/>
    <w:rsid w:val="007E4B02"/>
    <w:rsid w:val="007F7B32"/>
    <w:rsid w:val="00804BC2"/>
    <w:rsid w:val="0081431A"/>
    <w:rsid w:val="0082301E"/>
    <w:rsid w:val="0083216F"/>
    <w:rsid w:val="00844093"/>
    <w:rsid w:val="00860000"/>
    <w:rsid w:val="00863BD3"/>
    <w:rsid w:val="008641ED"/>
    <w:rsid w:val="00866D66"/>
    <w:rsid w:val="008671C6"/>
    <w:rsid w:val="00872164"/>
    <w:rsid w:val="00875803"/>
    <w:rsid w:val="008B09F4"/>
    <w:rsid w:val="008B459E"/>
    <w:rsid w:val="008C21FD"/>
    <w:rsid w:val="008E13AE"/>
    <w:rsid w:val="008E1506"/>
    <w:rsid w:val="008E4C6D"/>
    <w:rsid w:val="008E710C"/>
    <w:rsid w:val="008F64C4"/>
    <w:rsid w:val="008F69D6"/>
    <w:rsid w:val="009016CA"/>
    <w:rsid w:val="00902823"/>
    <w:rsid w:val="00907DAD"/>
    <w:rsid w:val="00915CA6"/>
    <w:rsid w:val="00927834"/>
    <w:rsid w:val="009500A6"/>
    <w:rsid w:val="00952712"/>
    <w:rsid w:val="00957C18"/>
    <w:rsid w:val="009659BA"/>
    <w:rsid w:val="009673F3"/>
    <w:rsid w:val="0096780D"/>
    <w:rsid w:val="00967CCA"/>
    <w:rsid w:val="0097426E"/>
    <w:rsid w:val="009777B6"/>
    <w:rsid w:val="00983040"/>
    <w:rsid w:val="0099285E"/>
    <w:rsid w:val="009A1402"/>
    <w:rsid w:val="009A3D49"/>
    <w:rsid w:val="009B3FB9"/>
    <w:rsid w:val="009C2465"/>
    <w:rsid w:val="009C26AF"/>
    <w:rsid w:val="009D35A0"/>
    <w:rsid w:val="009D4534"/>
    <w:rsid w:val="009D7EB7"/>
    <w:rsid w:val="009E048A"/>
    <w:rsid w:val="009E08E9"/>
    <w:rsid w:val="009E3DB9"/>
    <w:rsid w:val="009E6E35"/>
    <w:rsid w:val="009F0EDA"/>
    <w:rsid w:val="00A03B96"/>
    <w:rsid w:val="00A05B19"/>
    <w:rsid w:val="00A1134E"/>
    <w:rsid w:val="00A14502"/>
    <w:rsid w:val="00A24E7E"/>
    <w:rsid w:val="00A258C3"/>
    <w:rsid w:val="00A31451"/>
    <w:rsid w:val="00A347C0"/>
    <w:rsid w:val="00A37AE2"/>
    <w:rsid w:val="00A407DA"/>
    <w:rsid w:val="00A51431"/>
    <w:rsid w:val="00A5192B"/>
    <w:rsid w:val="00A539AD"/>
    <w:rsid w:val="00A54BC4"/>
    <w:rsid w:val="00A80716"/>
    <w:rsid w:val="00A94063"/>
    <w:rsid w:val="00AA6219"/>
    <w:rsid w:val="00AA6869"/>
    <w:rsid w:val="00AA74E0"/>
    <w:rsid w:val="00AB17C8"/>
    <w:rsid w:val="00AB703F"/>
    <w:rsid w:val="00AC6BB8"/>
    <w:rsid w:val="00AD5225"/>
    <w:rsid w:val="00AE008F"/>
    <w:rsid w:val="00AF08C5"/>
    <w:rsid w:val="00AF6FD4"/>
    <w:rsid w:val="00B01FCD"/>
    <w:rsid w:val="00B0603B"/>
    <w:rsid w:val="00B12129"/>
    <w:rsid w:val="00B1776C"/>
    <w:rsid w:val="00B42DCE"/>
    <w:rsid w:val="00B4674F"/>
    <w:rsid w:val="00B52583"/>
    <w:rsid w:val="00B52896"/>
    <w:rsid w:val="00B5302C"/>
    <w:rsid w:val="00B64100"/>
    <w:rsid w:val="00B7108F"/>
    <w:rsid w:val="00B84AE1"/>
    <w:rsid w:val="00B87843"/>
    <w:rsid w:val="00B95236"/>
    <w:rsid w:val="00B96BD9"/>
    <w:rsid w:val="00BA1B01"/>
    <w:rsid w:val="00BA2641"/>
    <w:rsid w:val="00BB37AA"/>
    <w:rsid w:val="00BC53A0"/>
    <w:rsid w:val="00BD7F70"/>
    <w:rsid w:val="00BE62AD"/>
    <w:rsid w:val="00BF121F"/>
    <w:rsid w:val="00BF1F80"/>
    <w:rsid w:val="00BF5A38"/>
    <w:rsid w:val="00C166EF"/>
    <w:rsid w:val="00C17EB0"/>
    <w:rsid w:val="00C2260A"/>
    <w:rsid w:val="00C2478F"/>
    <w:rsid w:val="00C27F5F"/>
    <w:rsid w:val="00C30A0F"/>
    <w:rsid w:val="00C37E61"/>
    <w:rsid w:val="00C43784"/>
    <w:rsid w:val="00C579ED"/>
    <w:rsid w:val="00C66908"/>
    <w:rsid w:val="00C70F1B"/>
    <w:rsid w:val="00C71A47"/>
    <w:rsid w:val="00C7464C"/>
    <w:rsid w:val="00C7757D"/>
    <w:rsid w:val="00C85588"/>
    <w:rsid w:val="00C9150B"/>
    <w:rsid w:val="00CB1F71"/>
    <w:rsid w:val="00CB5598"/>
    <w:rsid w:val="00CD5675"/>
    <w:rsid w:val="00CD6755"/>
    <w:rsid w:val="00CD6856"/>
    <w:rsid w:val="00CE0089"/>
    <w:rsid w:val="00CE793C"/>
    <w:rsid w:val="00CF193C"/>
    <w:rsid w:val="00CF621D"/>
    <w:rsid w:val="00D173F1"/>
    <w:rsid w:val="00D20176"/>
    <w:rsid w:val="00D22518"/>
    <w:rsid w:val="00D4784C"/>
    <w:rsid w:val="00D705DC"/>
    <w:rsid w:val="00D72DDE"/>
    <w:rsid w:val="00D74CB0"/>
    <w:rsid w:val="00D8295D"/>
    <w:rsid w:val="00DB2BA3"/>
    <w:rsid w:val="00DC2A65"/>
    <w:rsid w:val="00DE15F0"/>
    <w:rsid w:val="00DE4411"/>
    <w:rsid w:val="00DE5663"/>
    <w:rsid w:val="00DE78AA"/>
    <w:rsid w:val="00DF6F43"/>
    <w:rsid w:val="00E04C8C"/>
    <w:rsid w:val="00E053D0"/>
    <w:rsid w:val="00E15994"/>
    <w:rsid w:val="00E3114E"/>
    <w:rsid w:val="00E31A70"/>
    <w:rsid w:val="00E32BB7"/>
    <w:rsid w:val="00E35B02"/>
    <w:rsid w:val="00E4354D"/>
    <w:rsid w:val="00E53F87"/>
    <w:rsid w:val="00E66496"/>
    <w:rsid w:val="00E66B35"/>
    <w:rsid w:val="00E66E10"/>
    <w:rsid w:val="00E7566E"/>
    <w:rsid w:val="00E769F6"/>
    <w:rsid w:val="00E8407C"/>
    <w:rsid w:val="00E84F3C"/>
    <w:rsid w:val="00EA012C"/>
    <w:rsid w:val="00EB0974"/>
    <w:rsid w:val="00EC2C00"/>
    <w:rsid w:val="00EC6A55"/>
    <w:rsid w:val="00ED0288"/>
    <w:rsid w:val="00ED03FC"/>
    <w:rsid w:val="00ED52DC"/>
    <w:rsid w:val="00EE0076"/>
    <w:rsid w:val="00EE52CB"/>
    <w:rsid w:val="00EF581D"/>
    <w:rsid w:val="00EF7FD8"/>
    <w:rsid w:val="00F06F59"/>
    <w:rsid w:val="00F16EC8"/>
    <w:rsid w:val="00F17988"/>
    <w:rsid w:val="00F469F0"/>
    <w:rsid w:val="00F53273"/>
    <w:rsid w:val="00F66F88"/>
    <w:rsid w:val="00F755E4"/>
    <w:rsid w:val="00F77D02"/>
    <w:rsid w:val="00FA6DCB"/>
    <w:rsid w:val="00FA7BFC"/>
    <w:rsid w:val="00FB0031"/>
    <w:rsid w:val="00FB1DDA"/>
    <w:rsid w:val="00FB3A86"/>
    <w:rsid w:val="00FC2215"/>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8606F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CF621D"/>
    <w:rPr>
      <w:rFonts w:ascii="Helvetica" w:hAnsi="Helvetica"/>
    </w:rPr>
  </w:style>
  <w:style w:type="paragraph" w:styleId="CommentSubject">
    <w:name w:val="annotation subject"/>
    <w:basedOn w:val="CommentText"/>
    <w:next w:val="CommentText"/>
    <w:link w:val="CommentSubjectChar"/>
    <w:semiHidden/>
    <w:unhideWhenUsed/>
    <w:rsid w:val="003750CD"/>
    <w:rPr>
      <w:rFonts w:ascii="Helvetica" w:hAnsi="Helvetica"/>
      <w:b/>
      <w:bCs/>
      <w:lang w:val="en-US" w:eastAsia="en-US"/>
    </w:rPr>
  </w:style>
  <w:style w:type="character" w:customStyle="1" w:styleId="CommentSubjectChar">
    <w:name w:val="Comment Subject Char"/>
    <w:basedOn w:val="CommentTextChar"/>
    <w:link w:val="CommentSubject"/>
    <w:semiHidden/>
    <w:rsid w:val="003750CD"/>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TotalTime>
  <Pages>19</Pages>
  <Words>7906</Words>
  <Characters>45066</Characters>
  <Application>Microsoft Office Word</Application>
  <DocSecurity>0</DocSecurity>
  <Lines>375</Lines>
  <Paragraphs>105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52867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6</cp:revision>
  <cp:lastPrinted>1999-07-06T11:00:00Z</cp:lastPrinted>
  <dcterms:created xsi:type="dcterms:W3CDTF">2025-04-11T17:02:00Z</dcterms:created>
  <dcterms:modified xsi:type="dcterms:W3CDTF">2025-04-12T07:33:00Z</dcterms:modified>
</cp:coreProperties>
</file>