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88D50" w14:textId="77777777" w:rsidR="00754C9A" w:rsidRDefault="00754C9A" w:rsidP="00441B6F">
      <w:pPr>
        <w:pStyle w:val="Title"/>
        <w:spacing w:after="0"/>
        <w:jc w:val="both"/>
        <w:rPr>
          <w:rFonts w:ascii="Arial" w:hAnsi="Arial" w:cs="Arial"/>
        </w:rPr>
      </w:pPr>
    </w:p>
    <w:p w14:paraId="6591314B" w14:textId="77777777" w:rsidR="00463D99" w:rsidRPr="00463D99" w:rsidRDefault="00463D99" w:rsidP="00463D99">
      <w:pPr>
        <w:spacing w:line="276" w:lineRule="auto"/>
        <w:jc w:val="right"/>
        <w:rPr>
          <w:rFonts w:asciiTheme="minorBidi" w:hAnsiTheme="minorBidi" w:cstheme="minorBidi"/>
          <w:b/>
          <w:bCs/>
          <w:sz w:val="36"/>
          <w:szCs w:val="36"/>
        </w:rPr>
      </w:pPr>
      <w:r w:rsidRPr="00463D99">
        <w:rPr>
          <w:rFonts w:asciiTheme="minorBidi" w:hAnsiTheme="minorBidi" w:cstheme="minorBidi"/>
          <w:b/>
          <w:bCs/>
          <w:sz w:val="36"/>
          <w:szCs w:val="36"/>
        </w:rPr>
        <w:t>Urban and rural differential in Pattern of unmet need for Child Spacing and limiting among fecund women of reproductive age in Nigeria.</w:t>
      </w:r>
    </w:p>
    <w:p w14:paraId="52EA42EC" w14:textId="77777777" w:rsidR="00A258C3" w:rsidRPr="00790ADA" w:rsidRDefault="00A258C3" w:rsidP="00441B6F">
      <w:pPr>
        <w:pStyle w:val="Author"/>
        <w:spacing w:line="240" w:lineRule="auto"/>
        <w:jc w:val="both"/>
        <w:rPr>
          <w:rFonts w:ascii="Arial" w:hAnsi="Arial" w:cs="Arial"/>
          <w:sz w:val="36"/>
        </w:rPr>
      </w:pPr>
    </w:p>
    <w:p w14:paraId="00B5985B" w14:textId="77777777" w:rsidR="002C57D2" w:rsidRPr="00FB3A86" w:rsidRDefault="002C57D2" w:rsidP="00441B6F">
      <w:pPr>
        <w:pStyle w:val="Affiliation"/>
        <w:spacing w:after="0" w:line="240" w:lineRule="auto"/>
        <w:jc w:val="both"/>
        <w:rPr>
          <w:rFonts w:ascii="Arial" w:hAnsi="Arial" w:cs="Arial"/>
        </w:rPr>
      </w:pPr>
    </w:p>
    <w:p w14:paraId="51A28624" w14:textId="7405416D" w:rsidR="00B01FCD" w:rsidRPr="00FB3A86" w:rsidRDefault="004D3B25" w:rsidP="00441B6F">
      <w:pPr>
        <w:pStyle w:val="Copyright"/>
        <w:spacing w:after="0" w:line="240" w:lineRule="auto"/>
        <w:jc w:val="both"/>
        <w:rPr>
          <w:rFonts w:ascii="Arial" w:hAnsi="Arial" w:cs="Arial"/>
        </w:rPr>
        <w:sectPr w:rsidR="00B01FCD" w:rsidRPr="00FB3A86" w:rsidSect="0093619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0AF510D" wp14:editId="74E443AD">
                <wp:extent cx="5303520" cy="635"/>
                <wp:effectExtent l="17145" t="15240" r="13335" b="13335"/>
                <wp:docPr id="14675811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B5441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300FDED" w14:textId="16833FC7" w:rsidR="00B01FCD" w:rsidRDefault="00B01FCD" w:rsidP="00CC052F">
      <w:pPr>
        <w:pStyle w:val="AbstHead"/>
        <w:spacing w:after="0"/>
        <w:jc w:val="both"/>
        <w:rPr>
          <w:rFonts w:ascii="Arial" w:hAnsi="Arial" w:cs="Arial"/>
        </w:rPr>
      </w:pPr>
      <w:r w:rsidRPr="00FB3A86">
        <w:rPr>
          <w:rFonts w:ascii="Arial" w:hAnsi="Arial" w:cs="Arial"/>
        </w:rPr>
        <w:t>ABSTRACT</w:t>
      </w:r>
    </w:p>
    <w:p w14:paraId="381A532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4EBA0E7" w14:textId="77777777" w:rsidTr="001E44FE">
        <w:tc>
          <w:tcPr>
            <w:tcW w:w="9576" w:type="dxa"/>
            <w:shd w:val="clear" w:color="auto" w:fill="F2F2F2"/>
          </w:tcPr>
          <w:p w14:paraId="1CAB2C3F" w14:textId="77777777" w:rsidR="001B5534" w:rsidRPr="00CC052F" w:rsidRDefault="001B5534" w:rsidP="001B5534">
            <w:pPr>
              <w:pStyle w:val="NormalWeb"/>
              <w:jc w:val="both"/>
              <w:rPr>
                <w:rFonts w:asciiTheme="minorBidi" w:hAnsiTheme="minorBidi" w:cstheme="minorBidi"/>
                <w:sz w:val="20"/>
                <w:szCs w:val="20"/>
              </w:rPr>
            </w:pPr>
            <w:r w:rsidRPr="00CC052F">
              <w:rPr>
                <w:rFonts w:asciiTheme="minorBidi" w:hAnsiTheme="minorBidi" w:cstheme="minorBidi"/>
                <w:sz w:val="20"/>
                <w:szCs w:val="20"/>
              </w:rPr>
              <w:t>Unmet need for family planning is a critical public health issue in Nigeria, significantly impacting maternal and child health outcomes. We examined urban-rural differentials in unmet need for child spacing and limiting among fecund women of reproductive age (15–49 years) in Nigeria, utilizing data from the Performance Monitoring for Action (PMA) survey. Despite global advancements in reproductive health, rural Nigerian women face higher unmet needs due to limited access to modern contraceptives, skilled healthcare providers, and accurate reproductive health information.</w:t>
            </w:r>
          </w:p>
          <w:p w14:paraId="6DCD2382" w14:textId="77777777" w:rsidR="001B5534" w:rsidRPr="00CC052F" w:rsidRDefault="001B5534" w:rsidP="001B5534">
            <w:pPr>
              <w:pStyle w:val="NormalWeb"/>
              <w:jc w:val="both"/>
              <w:rPr>
                <w:rFonts w:asciiTheme="minorBidi" w:hAnsiTheme="minorBidi" w:cstheme="minorBidi"/>
                <w:sz w:val="20"/>
                <w:szCs w:val="20"/>
              </w:rPr>
            </w:pPr>
            <w:r w:rsidRPr="00CC052F">
              <w:rPr>
                <w:rFonts w:asciiTheme="minorBidi" w:hAnsiTheme="minorBidi" w:cstheme="minorBidi"/>
                <w:sz w:val="20"/>
                <w:szCs w:val="20"/>
              </w:rPr>
              <w:t xml:space="preserve">We analyzed cross-sectional data of 2,500 fecund women aged 15-49 years. Demographic characteristics were summarized using descriptive statistics. Chi-square tests in STATA examined associations between unmet family planning needs and socio-demographic factors, finding statistical significance at P&lt;0.05. </w:t>
            </w:r>
          </w:p>
          <w:p w14:paraId="71D81C06" w14:textId="77777777" w:rsidR="001B5534" w:rsidRPr="00CC052F" w:rsidRDefault="001B5534" w:rsidP="001B5534">
            <w:pPr>
              <w:pStyle w:val="NormalWeb"/>
              <w:jc w:val="both"/>
              <w:rPr>
                <w:rFonts w:asciiTheme="minorBidi" w:hAnsiTheme="minorBidi" w:cstheme="minorBidi"/>
                <w:sz w:val="20"/>
                <w:szCs w:val="20"/>
              </w:rPr>
            </w:pPr>
            <w:r w:rsidRPr="00CC052F">
              <w:rPr>
                <w:rFonts w:asciiTheme="minorBidi" w:hAnsiTheme="minorBidi" w:cstheme="minorBidi"/>
                <w:sz w:val="20"/>
                <w:szCs w:val="20"/>
              </w:rPr>
              <w:t>Findings reveal substantial disparities: rural fecund women have higher unmet needs for family planning (22.6%) compared to urban women (8.9%).  Unmet need for child spacing is higher among younger urban women (12%) and older rural women (40%). Unmet need for child limiting is comparable between rural and urban areas (7.7% vs. 7.0%, P=0.641), contrasting previous studies reporting higher unmet needs in rural areas. These findings highlight persistent challenges and suggest targeted strategies are needed to address unmet family planning needs based on contextual factors.</w:t>
            </w:r>
          </w:p>
          <w:p w14:paraId="372015A8" w14:textId="7313C087" w:rsidR="00505F06" w:rsidRPr="006D10DE" w:rsidRDefault="00BA1B01" w:rsidP="006D10DE">
            <w:pPr>
              <w:pStyle w:val="NormalWeb"/>
            </w:pPr>
            <w:r w:rsidRPr="00CC052F">
              <w:rPr>
                <w:rFonts w:asciiTheme="minorBidi" w:eastAsia="Calibri" w:hAnsiTheme="minorBidi" w:cstheme="minorBidi"/>
                <w:b/>
                <w:bCs/>
                <w:sz w:val="20"/>
                <w:szCs w:val="20"/>
              </w:rPr>
              <w:t>Conclusion</w:t>
            </w:r>
            <w:r w:rsidR="006D10DE" w:rsidRPr="00CC052F">
              <w:rPr>
                <w:rFonts w:asciiTheme="minorBidi" w:hAnsiTheme="minorBidi" w:cstheme="minorBidi"/>
                <w:sz w:val="20"/>
                <w:szCs w:val="20"/>
              </w:rPr>
              <w:t xml:space="preserve"> This study reveals significant urban-rural disparities in unmet need for family planning among fecund women in Nigeria. Rural women experience higher unmet needs, particularly for child spacing, due to limited access to contraceptives and healthcare services. Targeted interventions are essential to bridge these gaps and improve reproductive health outcomes.</w:t>
            </w:r>
          </w:p>
        </w:tc>
      </w:tr>
    </w:tbl>
    <w:p w14:paraId="3E889F2D" w14:textId="77777777" w:rsidR="00636EB2" w:rsidRDefault="00636EB2" w:rsidP="00441B6F">
      <w:pPr>
        <w:pStyle w:val="Body"/>
        <w:spacing w:after="0"/>
        <w:rPr>
          <w:rFonts w:ascii="Arial" w:hAnsi="Arial" w:cs="Arial"/>
          <w:i/>
        </w:rPr>
      </w:pPr>
    </w:p>
    <w:p w14:paraId="1699288E" w14:textId="77777777" w:rsidR="006D10DE" w:rsidRDefault="00A24E7E" w:rsidP="006D10DE">
      <w:pPr>
        <w:spacing w:line="276" w:lineRule="auto"/>
        <w:jc w:val="both"/>
        <w:rPr>
          <w:rFonts w:ascii="Times New Roman" w:hAnsi="Times New Roman"/>
          <w:b/>
          <w:bCs/>
          <w:sz w:val="24"/>
          <w:szCs w:val="24"/>
        </w:rPr>
      </w:pPr>
      <w:r>
        <w:rPr>
          <w:rFonts w:ascii="Arial" w:hAnsi="Arial" w:cs="Arial"/>
          <w:i/>
        </w:rPr>
        <w:t>Keywords:</w:t>
      </w:r>
      <w:r w:rsidR="006D10DE">
        <w:rPr>
          <w:rFonts w:ascii="Arial" w:hAnsi="Arial" w:cs="Arial"/>
          <w:i/>
        </w:rPr>
        <w:t xml:space="preserve"> </w:t>
      </w:r>
      <w:r w:rsidR="006D10DE" w:rsidRPr="006D10DE">
        <w:rPr>
          <w:rFonts w:asciiTheme="minorBidi" w:hAnsiTheme="minorBidi" w:cstheme="minorBidi"/>
          <w:i/>
          <w:iCs/>
        </w:rPr>
        <w:t>Family Planning, Unmet need for spacing, unmet need for limiting, Fecund Women</w:t>
      </w:r>
    </w:p>
    <w:p w14:paraId="78ADAB36" w14:textId="5D6FFE15" w:rsidR="00B52896" w:rsidRDefault="00B52896" w:rsidP="006D10DE">
      <w:pPr>
        <w:pStyle w:val="Body"/>
        <w:spacing w:after="0"/>
        <w:rPr>
          <w:rFonts w:ascii="Arial" w:hAnsi="Arial" w:cs="Arial"/>
          <w:i/>
          <w:sz w:val="18"/>
        </w:rPr>
      </w:pPr>
    </w:p>
    <w:p w14:paraId="398E3360" w14:textId="77777777" w:rsidR="0024282C" w:rsidRDefault="0024282C" w:rsidP="00441B6F">
      <w:pPr>
        <w:pStyle w:val="Body"/>
        <w:spacing w:after="0"/>
        <w:rPr>
          <w:rFonts w:ascii="Arial" w:hAnsi="Arial" w:cs="Arial"/>
          <w:i/>
          <w:sz w:val="18"/>
        </w:rPr>
      </w:pPr>
    </w:p>
    <w:p w14:paraId="1F55ADFD" w14:textId="77777777" w:rsidR="00505F06" w:rsidRPr="00A24E7E" w:rsidRDefault="00505F06" w:rsidP="00441B6F">
      <w:pPr>
        <w:pStyle w:val="Body"/>
        <w:spacing w:after="0"/>
        <w:rPr>
          <w:rFonts w:ascii="Arial" w:hAnsi="Arial" w:cs="Arial"/>
          <w:i/>
        </w:rPr>
      </w:pPr>
    </w:p>
    <w:p w14:paraId="35007AA8" w14:textId="6BA6091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E6E5E43" w14:textId="77777777" w:rsidR="00790ADA" w:rsidRPr="006D10DE" w:rsidRDefault="00790ADA" w:rsidP="00441B6F">
      <w:pPr>
        <w:pStyle w:val="AbstHead"/>
        <w:spacing w:after="0"/>
        <w:jc w:val="both"/>
        <w:rPr>
          <w:rFonts w:ascii="Arial" w:hAnsi="Arial" w:cs="Arial"/>
          <w:sz w:val="20"/>
        </w:rPr>
      </w:pPr>
    </w:p>
    <w:p w14:paraId="161512E9"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Background</w:t>
      </w:r>
    </w:p>
    <w:p w14:paraId="41832161" w14:textId="77777777" w:rsidR="006D10DE" w:rsidRPr="006D10DE" w:rsidRDefault="006D10DE" w:rsidP="006D10DE">
      <w:pPr>
        <w:spacing w:line="276" w:lineRule="auto"/>
        <w:jc w:val="both"/>
        <w:rPr>
          <w:rFonts w:asciiTheme="minorBidi" w:hAnsiTheme="minorBidi" w:cstheme="minorBidi"/>
          <w:spacing w:val="2"/>
          <w:shd w:val="clear" w:color="auto" w:fill="FFFFFF"/>
        </w:rPr>
      </w:pPr>
      <w:r w:rsidRPr="006D10DE">
        <w:rPr>
          <w:rFonts w:asciiTheme="minorBidi" w:hAnsiTheme="minorBidi" w:cstheme="minorBidi"/>
        </w:rPr>
        <w:t xml:space="preserve">The unmet need for family planning and reproductive health services is a pressing concern that greatly impacts the overall well-being of the Nigerian population. The country is facing significant challenges in terms of population growth and maternal mortality rates, which are among the highest in the world. World Health Organization (2020). Maternal Mortality Ratio (MMR).)  There is a gap between women's reproductive intentions and their use of </w:t>
      </w:r>
      <w:r w:rsidRPr="006D10DE">
        <w:rPr>
          <w:rFonts w:asciiTheme="minorBidi" w:hAnsiTheme="minorBidi" w:cstheme="minorBidi"/>
        </w:rPr>
        <w:lastRenderedPageBreak/>
        <w:t xml:space="preserve">contraception, leading to unwanted pregnancies. This is commonly known as the "unmet need for family planning. </w:t>
      </w:r>
      <w:sdt>
        <w:sdtPr>
          <w:rPr>
            <w:rFonts w:asciiTheme="minorBidi" w:hAnsiTheme="minorBidi" w:cstheme="minorBidi"/>
          </w:rPr>
          <w:tag w:val="MENDELEY_CITATION_v3_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"/>
          <w:id w:val="627437401"/>
          <w:placeholder>
            <w:docPart w:val="5382D80FE13E425BB4DA3FE4319856E0"/>
          </w:placeholder>
        </w:sdtPr>
        <w:sdtEndPr/>
        <w:sdtContent>
          <w:r w:rsidRPr="006D10DE">
            <w:rPr>
              <w:rFonts w:asciiTheme="minorBidi" w:hAnsiTheme="minorBidi" w:cstheme="minorBidi"/>
            </w:rPr>
            <w:t xml:space="preserve">(A. S. Adebowale &amp; </w:t>
          </w:r>
          <w:proofErr w:type="spellStart"/>
          <w:r w:rsidRPr="006D10DE">
            <w:rPr>
              <w:rFonts w:asciiTheme="minorBidi" w:hAnsiTheme="minorBidi" w:cstheme="minorBidi"/>
            </w:rPr>
            <w:t>Palamuleni</w:t>
          </w:r>
          <w:proofErr w:type="spellEnd"/>
          <w:r w:rsidRPr="006D10DE">
            <w:rPr>
              <w:rFonts w:asciiTheme="minorBidi" w:hAnsiTheme="minorBidi" w:cstheme="minorBidi"/>
            </w:rPr>
            <w:t>, 2023)</w:t>
          </w:r>
        </w:sdtContent>
      </w:sdt>
      <w:r w:rsidRPr="006D10DE">
        <w:rPr>
          <w:rFonts w:asciiTheme="minorBidi" w:hAnsiTheme="minorBidi" w:cstheme="minorBidi"/>
        </w:rPr>
        <w:t xml:space="preserve">.                </w:t>
      </w:r>
      <w:r w:rsidRPr="006D10DE">
        <w:rPr>
          <w:rStyle w:val="css-0"/>
          <w:rFonts w:asciiTheme="minorBidi" w:hAnsiTheme="minorBidi" w:cstheme="minorBidi"/>
        </w:rPr>
        <w:t>This</w:t>
      </w:r>
      <w:r w:rsidRPr="006D10DE">
        <w:rPr>
          <w:rStyle w:val="apple-converted-space"/>
          <w:rFonts w:asciiTheme="minorBidi" w:hAnsiTheme="minorBidi" w:cstheme="minorBidi"/>
        </w:rPr>
        <w:t> </w:t>
      </w:r>
      <w:r w:rsidRPr="006D10DE">
        <w:rPr>
          <w:rStyle w:val="css-0"/>
          <w:rFonts w:asciiTheme="minorBidi" w:hAnsiTheme="minorBidi" w:cstheme="minorBidi"/>
        </w:rPr>
        <w:t>metric</w:t>
      </w:r>
      <w:r w:rsidRPr="006D10DE">
        <w:rPr>
          <w:rStyle w:val="apple-converted-space"/>
          <w:rFonts w:asciiTheme="minorBidi" w:hAnsiTheme="minorBidi" w:cstheme="minorBidi"/>
        </w:rPr>
        <w:t> </w:t>
      </w:r>
      <w:r w:rsidRPr="006D10DE">
        <w:rPr>
          <w:rStyle w:val="css-rh820s"/>
          <w:rFonts w:asciiTheme="minorBidi" w:hAnsiTheme="minorBidi" w:cstheme="minorBidi"/>
        </w:rPr>
        <w:t>evaluates</w:t>
      </w:r>
      <w:r w:rsidRPr="006D10DE">
        <w:rPr>
          <w:rStyle w:val="apple-converted-space"/>
          <w:rFonts w:asciiTheme="minorBidi" w:hAnsiTheme="minorBidi" w:cstheme="minorBidi"/>
        </w:rPr>
        <w:t> </w:t>
      </w:r>
      <w:r w:rsidRPr="006D10DE">
        <w:rPr>
          <w:rStyle w:val="css-0"/>
          <w:rFonts w:asciiTheme="minorBidi" w:hAnsiTheme="minorBidi" w:cstheme="minorBidi"/>
        </w:rPr>
        <w:t>the</w:t>
      </w:r>
      <w:r w:rsidRPr="006D10DE">
        <w:rPr>
          <w:rStyle w:val="apple-converted-space"/>
          <w:rFonts w:asciiTheme="minorBidi" w:hAnsiTheme="minorBidi" w:cstheme="minorBidi"/>
        </w:rPr>
        <w:t> </w:t>
      </w:r>
      <w:r w:rsidRPr="006D10DE">
        <w:rPr>
          <w:rStyle w:val="css-rh820s"/>
          <w:rFonts w:asciiTheme="minorBidi" w:hAnsiTheme="minorBidi" w:cstheme="minorBidi"/>
        </w:rPr>
        <w:t>effectiveness</w:t>
      </w:r>
      <w:r w:rsidRPr="006D10DE">
        <w:rPr>
          <w:rStyle w:val="apple-converted-space"/>
          <w:rFonts w:asciiTheme="minorBidi" w:hAnsiTheme="minorBidi" w:cstheme="minorBidi"/>
        </w:rPr>
        <w:t> </w:t>
      </w:r>
      <w:r w:rsidRPr="006D10DE">
        <w:rPr>
          <w:rStyle w:val="css-15iwe0d"/>
          <w:rFonts w:asciiTheme="minorBidi" w:hAnsiTheme="minorBidi" w:cstheme="minorBidi"/>
        </w:rPr>
        <w:t>of</w:t>
      </w:r>
      <w:r w:rsidRPr="006D10DE">
        <w:rPr>
          <w:rStyle w:val="apple-converted-space"/>
          <w:rFonts w:asciiTheme="minorBidi" w:hAnsiTheme="minorBidi" w:cstheme="minorBidi"/>
        </w:rPr>
        <w:t> </w:t>
      </w:r>
      <w:r w:rsidRPr="006D10DE">
        <w:rPr>
          <w:rStyle w:val="css-15iwe0d"/>
          <w:rFonts w:asciiTheme="minorBidi" w:hAnsiTheme="minorBidi" w:cstheme="minorBidi"/>
        </w:rPr>
        <w:t>a</w:t>
      </w:r>
      <w:r w:rsidRPr="006D10DE">
        <w:rPr>
          <w:rStyle w:val="apple-converted-space"/>
          <w:rFonts w:asciiTheme="minorBidi" w:hAnsiTheme="minorBidi" w:cstheme="minorBidi"/>
        </w:rPr>
        <w:t> </w:t>
      </w:r>
      <w:r w:rsidRPr="006D10DE">
        <w:rPr>
          <w:rStyle w:val="css-2yp7ui"/>
          <w:rFonts w:asciiTheme="minorBidi" w:hAnsiTheme="minorBidi" w:cstheme="minorBidi"/>
        </w:rPr>
        <w:t>country's</w:t>
      </w:r>
      <w:r w:rsidRPr="006D10DE">
        <w:rPr>
          <w:rStyle w:val="apple-converted-space"/>
          <w:rFonts w:asciiTheme="minorBidi" w:hAnsiTheme="minorBidi" w:cstheme="minorBidi"/>
        </w:rPr>
        <w:t> </w:t>
      </w:r>
      <w:r w:rsidRPr="006D10DE">
        <w:rPr>
          <w:rStyle w:val="css-15iwe0d"/>
          <w:rFonts w:asciiTheme="minorBidi" w:hAnsiTheme="minorBidi" w:cstheme="minorBidi"/>
        </w:rPr>
        <w:t>social</w:t>
      </w:r>
      <w:r w:rsidRPr="006D10DE">
        <w:rPr>
          <w:rStyle w:val="apple-converted-space"/>
          <w:rFonts w:asciiTheme="minorBidi" w:hAnsiTheme="minorBidi" w:cstheme="minorBidi"/>
        </w:rPr>
        <w:t> </w:t>
      </w:r>
      <w:r w:rsidRPr="006D10DE">
        <w:rPr>
          <w:rStyle w:val="css-15iwe0d"/>
          <w:rFonts w:asciiTheme="minorBidi" w:hAnsiTheme="minorBidi" w:cstheme="minorBidi"/>
        </w:rPr>
        <w:t>and</w:t>
      </w:r>
      <w:r w:rsidRPr="006D10DE">
        <w:rPr>
          <w:rStyle w:val="apple-converted-space"/>
          <w:rFonts w:asciiTheme="minorBidi" w:hAnsiTheme="minorBidi" w:cstheme="minorBidi"/>
        </w:rPr>
        <w:t> </w:t>
      </w:r>
      <w:r w:rsidRPr="006D10DE">
        <w:rPr>
          <w:rStyle w:val="css-15iwe0d"/>
          <w:rFonts w:asciiTheme="minorBidi" w:hAnsiTheme="minorBidi" w:cstheme="minorBidi"/>
        </w:rPr>
        <w:t>health</w:t>
      </w:r>
      <w:r w:rsidRPr="006D10DE">
        <w:rPr>
          <w:rStyle w:val="apple-converted-space"/>
          <w:rFonts w:asciiTheme="minorBidi" w:hAnsiTheme="minorBidi" w:cstheme="minorBidi"/>
        </w:rPr>
        <w:t> </w:t>
      </w:r>
      <w:r w:rsidRPr="006D10DE">
        <w:rPr>
          <w:rStyle w:val="css-15iwe0d"/>
          <w:rFonts w:asciiTheme="minorBidi" w:hAnsiTheme="minorBidi" w:cstheme="minorBidi"/>
        </w:rPr>
        <w:t>systems</w:t>
      </w:r>
      <w:r w:rsidRPr="006D10DE">
        <w:rPr>
          <w:rStyle w:val="apple-converted-space"/>
          <w:rFonts w:asciiTheme="minorBidi" w:hAnsiTheme="minorBidi" w:cstheme="minorBidi"/>
        </w:rPr>
        <w:t> </w:t>
      </w:r>
      <w:r w:rsidRPr="006D10DE">
        <w:rPr>
          <w:rStyle w:val="css-15iwe0d"/>
          <w:rFonts w:asciiTheme="minorBidi" w:hAnsiTheme="minorBidi" w:cstheme="minorBidi"/>
        </w:rPr>
        <w:t>in</w:t>
      </w:r>
      <w:r w:rsidRPr="006D10DE">
        <w:rPr>
          <w:rStyle w:val="apple-converted-space"/>
          <w:rFonts w:asciiTheme="minorBidi" w:hAnsiTheme="minorBidi" w:cstheme="minorBidi"/>
        </w:rPr>
        <w:t> </w:t>
      </w:r>
      <w:r w:rsidRPr="006D10DE">
        <w:rPr>
          <w:rStyle w:val="css-2yp7ui"/>
          <w:rFonts w:asciiTheme="minorBidi" w:hAnsiTheme="minorBidi" w:cstheme="minorBidi"/>
        </w:rPr>
        <w:t>supporting</w:t>
      </w:r>
      <w:r w:rsidRPr="006D10DE">
        <w:rPr>
          <w:rStyle w:val="apple-converted-space"/>
          <w:rFonts w:asciiTheme="minorBidi" w:hAnsiTheme="minorBidi" w:cstheme="minorBidi"/>
        </w:rPr>
        <w:t> </w:t>
      </w:r>
      <w:r w:rsidRPr="006D10DE">
        <w:rPr>
          <w:rStyle w:val="css-15iwe0d"/>
          <w:rFonts w:asciiTheme="minorBidi" w:hAnsiTheme="minorBidi" w:cstheme="minorBidi"/>
        </w:rPr>
        <w:t>women's</w:t>
      </w:r>
      <w:r w:rsidRPr="006D10DE">
        <w:rPr>
          <w:rStyle w:val="apple-converted-space"/>
          <w:rFonts w:asciiTheme="minorBidi" w:hAnsiTheme="minorBidi" w:cstheme="minorBidi"/>
        </w:rPr>
        <w:t> </w:t>
      </w:r>
      <w:r w:rsidRPr="006D10DE">
        <w:rPr>
          <w:rStyle w:val="css-2yp7ui"/>
          <w:rFonts w:asciiTheme="minorBidi" w:hAnsiTheme="minorBidi" w:cstheme="minorBidi"/>
        </w:rPr>
        <w:t>ability</w:t>
      </w:r>
      <w:r w:rsidRPr="006D10DE">
        <w:rPr>
          <w:rStyle w:val="apple-converted-space"/>
          <w:rFonts w:asciiTheme="minorBidi" w:hAnsiTheme="minorBidi" w:cstheme="minorBidi"/>
        </w:rPr>
        <w:t> </w:t>
      </w:r>
      <w:r w:rsidRPr="006D10DE">
        <w:rPr>
          <w:rStyle w:val="css-15iwe0d"/>
          <w:rFonts w:asciiTheme="minorBidi" w:hAnsiTheme="minorBidi" w:cstheme="minorBidi"/>
        </w:rPr>
        <w:t>to</w:t>
      </w:r>
      <w:r w:rsidRPr="006D10DE">
        <w:rPr>
          <w:rStyle w:val="apple-converted-space"/>
          <w:rFonts w:asciiTheme="minorBidi" w:hAnsiTheme="minorBidi" w:cstheme="minorBidi"/>
        </w:rPr>
        <w:t> </w:t>
      </w:r>
      <w:r w:rsidRPr="006D10DE">
        <w:rPr>
          <w:rStyle w:val="css-15iwe0d"/>
          <w:rFonts w:asciiTheme="minorBidi" w:hAnsiTheme="minorBidi" w:cstheme="minorBidi"/>
        </w:rPr>
        <w:t>delay</w:t>
      </w:r>
      <w:r w:rsidRPr="006D10DE">
        <w:rPr>
          <w:rStyle w:val="apple-converted-space"/>
          <w:rFonts w:asciiTheme="minorBidi" w:hAnsiTheme="minorBidi" w:cstheme="minorBidi"/>
        </w:rPr>
        <w:t> </w:t>
      </w:r>
      <w:r w:rsidRPr="006D10DE">
        <w:rPr>
          <w:rStyle w:val="css-15iwe0d"/>
          <w:rFonts w:asciiTheme="minorBidi" w:hAnsiTheme="minorBidi" w:cstheme="minorBidi"/>
        </w:rPr>
        <w:t>or</w:t>
      </w:r>
      <w:r w:rsidRPr="006D10DE">
        <w:rPr>
          <w:rStyle w:val="apple-converted-space"/>
          <w:rFonts w:asciiTheme="minorBidi" w:hAnsiTheme="minorBidi" w:cstheme="minorBidi"/>
        </w:rPr>
        <w:t> </w:t>
      </w:r>
      <w:r w:rsidRPr="006D10DE">
        <w:rPr>
          <w:rStyle w:val="css-2yp7ui"/>
          <w:rFonts w:asciiTheme="minorBidi" w:hAnsiTheme="minorBidi" w:cstheme="minorBidi"/>
        </w:rPr>
        <w:t>decrease</w:t>
      </w:r>
      <w:r w:rsidRPr="006D10DE">
        <w:rPr>
          <w:rStyle w:val="apple-converted-space"/>
          <w:rFonts w:asciiTheme="minorBidi" w:hAnsiTheme="minorBidi" w:cstheme="minorBidi"/>
        </w:rPr>
        <w:t> </w:t>
      </w:r>
      <w:r w:rsidRPr="006D10DE">
        <w:rPr>
          <w:rStyle w:val="css-1ber87j"/>
          <w:rFonts w:asciiTheme="minorBidi" w:hAnsiTheme="minorBidi" w:cstheme="minorBidi"/>
        </w:rPr>
        <w:t>the</w:t>
      </w:r>
      <w:r w:rsidRPr="006D10DE">
        <w:rPr>
          <w:rStyle w:val="apple-converted-space"/>
          <w:rFonts w:asciiTheme="minorBidi" w:hAnsiTheme="minorBidi" w:cstheme="minorBidi"/>
        </w:rPr>
        <w:t> </w:t>
      </w:r>
      <w:r w:rsidRPr="006D10DE">
        <w:rPr>
          <w:rStyle w:val="css-1ber87j"/>
          <w:rFonts w:asciiTheme="minorBidi" w:hAnsiTheme="minorBidi" w:cstheme="minorBidi"/>
        </w:rPr>
        <w:t>number</w:t>
      </w:r>
      <w:r w:rsidRPr="006D10DE">
        <w:rPr>
          <w:rStyle w:val="apple-converted-space"/>
          <w:rFonts w:asciiTheme="minorBidi" w:hAnsiTheme="minorBidi" w:cstheme="minorBidi"/>
        </w:rPr>
        <w:t> </w:t>
      </w:r>
      <w:r w:rsidRPr="006D10DE">
        <w:rPr>
          <w:rStyle w:val="css-1ber87j"/>
          <w:rFonts w:asciiTheme="minorBidi" w:hAnsiTheme="minorBidi" w:cstheme="minorBidi"/>
        </w:rPr>
        <w:t>of</w:t>
      </w:r>
      <w:r w:rsidRPr="006D10DE">
        <w:rPr>
          <w:rStyle w:val="apple-converted-space"/>
          <w:rFonts w:asciiTheme="minorBidi" w:hAnsiTheme="minorBidi" w:cstheme="minorBidi"/>
        </w:rPr>
        <w:t> </w:t>
      </w:r>
      <w:r w:rsidRPr="006D10DE">
        <w:rPr>
          <w:rStyle w:val="css-1eh0vfs"/>
          <w:rFonts w:asciiTheme="minorBidi" w:hAnsiTheme="minorBidi" w:cstheme="minorBidi"/>
        </w:rPr>
        <w:t>children</w:t>
      </w:r>
      <w:r w:rsidRPr="006D10DE">
        <w:rPr>
          <w:rStyle w:val="apple-converted-space"/>
          <w:rFonts w:asciiTheme="minorBidi" w:hAnsiTheme="minorBidi" w:cstheme="minorBidi"/>
        </w:rPr>
        <w:t> </w:t>
      </w:r>
      <w:r w:rsidRPr="006D10DE">
        <w:rPr>
          <w:rStyle w:val="css-1eh0vfs"/>
          <w:rFonts w:asciiTheme="minorBidi" w:hAnsiTheme="minorBidi" w:cstheme="minorBidi"/>
        </w:rPr>
        <w:t>they</w:t>
      </w:r>
      <w:r w:rsidRPr="006D10DE">
        <w:rPr>
          <w:rStyle w:val="apple-converted-space"/>
          <w:rFonts w:asciiTheme="minorBidi" w:hAnsiTheme="minorBidi" w:cstheme="minorBidi"/>
        </w:rPr>
        <w:t> </w:t>
      </w:r>
      <w:r w:rsidRPr="006D10DE">
        <w:rPr>
          <w:rStyle w:val="css-rh820s"/>
          <w:rFonts w:asciiTheme="minorBidi" w:hAnsiTheme="minorBidi" w:cstheme="minorBidi"/>
        </w:rPr>
        <w:t>want</w:t>
      </w:r>
      <w:r w:rsidRPr="006D10DE">
        <w:rPr>
          <w:rStyle w:val="apple-converted-space"/>
          <w:rFonts w:asciiTheme="minorBidi" w:hAnsiTheme="minorBidi" w:cstheme="minorBidi"/>
        </w:rPr>
        <w:t> </w:t>
      </w:r>
      <w:r w:rsidRPr="006D10DE">
        <w:rPr>
          <w:rStyle w:val="css-0"/>
          <w:rFonts w:asciiTheme="minorBidi" w:hAnsiTheme="minorBidi" w:cstheme="minorBidi"/>
        </w:rPr>
        <w:t>to</w:t>
      </w:r>
      <w:r w:rsidRPr="006D10DE">
        <w:rPr>
          <w:rStyle w:val="apple-converted-space"/>
          <w:rFonts w:asciiTheme="minorBidi" w:hAnsiTheme="minorBidi" w:cstheme="minorBidi"/>
        </w:rPr>
        <w:t> </w:t>
      </w:r>
      <w:r w:rsidRPr="006D10DE">
        <w:rPr>
          <w:rStyle w:val="css-0"/>
          <w:rFonts w:asciiTheme="minorBidi" w:hAnsiTheme="minorBidi" w:cstheme="minorBidi"/>
        </w:rPr>
        <w:t>have,</w:t>
      </w:r>
      <w:r w:rsidRPr="006D10DE">
        <w:rPr>
          <w:rStyle w:val="apple-converted-space"/>
          <w:rFonts w:asciiTheme="minorBidi" w:hAnsiTheme="minorBidi" w:cstheme="minorBidi"/>
        </w:rPr>
        <w:t> </w:t>
      </w:r>
      <w:r w:rsidRPr="006D10DE">
        <w:rPr>
          <w:rStyle w:val="css-0"/>
          <w:rFonts w:asciiTheme="minorBidi" w:hAnsiTheme="minorBidi" w:cstheme="minorBidi"/>
        </w:rPr>
        <w:t>based</w:t>
      </w:r>
      <w:r w:rsidRPr="006D10DE">
        <w:rPr>
          <w:rStyle w:val="apple-converted-space"/>
          <w:rFonts w:asciiTheme="minorBidi" w:hAnsiTheme="minorBidi" w:cstheme="minorBidi"/>
        </w:rPr>
        <w:t> </w:t>
      </w:r>
      <w:r w:rsidRPr="006D10DE">
        <w:rPr>
          <w:rStyle w:val="css-0"/>
          <w:rFonts w:asciiTheme="minorBidi" w:hAnsiTheme="minorBidi" w:cstheme="minorBidi"/>
        </w:rPr>
        <w:t>on</w:t>
      </w:r>
      <w:r w:rsidRPr="006D10DE">
        <w:rPr>
          <w:rStyle w:val="apple-converted-space"/>
          <w:rFonts w:asciiTheme="minorBidi" w:hAnsiTheme="minorBidi" w:cstheme="minorBidi"/>
        </w:rPr>
        <w:t> </w:t>
      </w:r>
      <w:r w:rsidRPr="006D10DE">
        <w:rPr>
          <w:rStyle w:val="css-0"/>
          <w:rFonts w:asciiTheme="minorBidi" w:hAnsiTheme="minorBidi" w:cstheme="minorBidi"/>
        </w:rPr>
        <w:t>their</w:t>
      </w:r>
      <w:r w:rsidRPr="006D10DE">
        <w:rPr>
          <w:rStyle w:val="apple-converted-space"/>
          <w:rFonts w:asciiTheme="minorBidi" w:hAnsiTheme="minorBidi" w:cstheme="minorBidi"/>
        </w:rPr>
        <w:t> </w:t>
      </w:r>
      <w:r w:rsidRPr="006D10DE">
        <w:rPr>
          <w:rStyle w:val="css-rh820s"/>
          <w:rFonts w:asciiTheme="minorBidi" w:hAnsiTheme="minorBidi" w:cstheme="minorBidi"/>
        </w:rPr>
        <w:t>own</w:t>
      </w:r>
      <w:r w:rsidRPr="006D10DE">
        <w:rPr>
          <w:rStyle w:val="apple-converted-space"/>
          <w:rFonts w:asciiTheme="minorBidi" w:hAnsiTheme="minorBidi" w:cstheme="minorBidi"/>
        </w:rPr>
        <w:t> </w:t>
      </w:r>
      <w:r w:rsidRPr="006D10DE">
        <w:rPr>
          <w:rStyle w:val="css-rh820s"/>
          <w:rFonts w:asciiTheme="minorBidi" w:hAnsiTheme="minorBidi" w:cstheme="minorBidi"/>
        </w:rPr>
        <w:t>choices</w:t>
      </w:r>
      <w:r w:rsidRPr="006D10DE">
        <w:rPr>
          <w:rStyle w:val="apple-converted-space"/>
          <w:rFonts w:asciiTheme="minorBidi" w:hAnsiTheme="minorBidi" w:cstheme="minorBidi"/>
        </w:rPr>
        <w:t> </w:t>
      </w:r>
      <w:r w:rsidRPr="006D10DE">
        <w:rPr>
          <w:rStyle w:val="css-0"/>
          <w:rFonts w:asciiTheme="minorBidi" w:hAnsiTheme="minorBidi" w:cstheme="minorBidi"/>
        </w:rPr>
        <w:t>and</w:t>
      </w:r>
      <w:r w:rsidRPr="006D10DE">
        <w:rPr>
          <w:rStyle w:val="apple-converted-space"/>
          <w:rFonts w:asciiTheme="minorBidi" w:hAnsiTheme="minorBidi" w:cstheme="minorBidi"/>
        </w:rPr>
        <w:t> </w:t>
      </w:r>
      <w:r w:rsidRPr="006D10DE">
        <w:rPr>
          <w:rStyle w:val="css-rh820s"/>
          <w:rFonts w:asciiTheme="minorBidi" w:hAnsiTheme="minorBidi" w:cstheme="minorBidi"/>
        </w:rPr>
        <w:t xml:space="preserve">preferences </w:t>
      </w:r>
      <w:sdt>
        <w:sdtPr>
          <w:rPr>
            <w:rFonts w:asciiTheme="minorBidi" w:hAnsiTheme="minorBidi" w:cstheme="minorBidi"/>
            <w:shd w:val="clear" w:color="auto" w:fill="FFFFFF"/>
          </w:rPr>
          <w:tag w:val="MENDELEY_CITATION_v3_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"/>
          <w:id w:val="-929275461"/>
          <w:placeholder>
            <w:docPart w:val="5382D80FE13E425BB4DA3FE4319856E0"/>
          </w:placeholder>
        </w:sdtPr>
        <w:sdtEndPr/>
        <w:sdtContent>
          <w:r w:rsidRPr="006D10DE">
            <w:rPr>
              <w:rFonts w:asciiTheme="minorBidi" w:hAnsiTheme="minorBidi" w:cstheme="minorBidi"/>
            </w:rPr>
            <w:t>(</w:t>
          </w:r>
          <w:r w:rsidRPr="006D10DE">
            <w:rPr>
              <w:rFonts w:asciiTheme="minorBidi" w:hAnsiTheme="minorBidi" w:cstheme="minorBidi"/>
              <w:iCs/>
            </w:rPr>
            <w:t>World Health Organization</w:t>
          </w:r>
          <w:r w:rsidRPr="006D10DE">
            <w:rPr>
              <w:rFonts w:asciiTheme="minorBidi" w:hAnsiTheme="minorBidi" w:cstheme="minorBidi"/>
            </w:rPr>
            <w:t>, 2024)</w:t>
          </w:r>
        </w:sdtContent>
      </w:sdt>
      <w:r w:rsidRPr="006D10DE">
        <w:rPr>
          <w:rFonts w:asciiTheme="minorBidi" w:hAnsiTheme="minorBidi" w:cstheme="minorBidi"/>
          <w:shd w:val="clear" w:color="auto" w:fill="FFFFFF"/>
        </w:rPr>
        <w:t xml:space="preserve">. </w:t>
      </w:r>
      <w:r w:rsidRPr="006D10DE">
        <w:rPr>
          <w:rFonts w:asciiTheme="minorBidi" w:hAnsiTheme="minorBidi" w:cstheme="minorBidi"/>
        </w:rPr>
        <w:t>The population is projected to reach 440 million by 2050, making it the third most populous country in the world. National Population Commission of Nigeria (2020). Nigeria's Population Projection</w:t>
      </w:r>
      <w:bookmarkStart w:id="1" w:name="_Hlk170067822"/>
      <w:r w:rsidRPr="006D10DE">
        <w:rPr>
          <w:rStyle w:val="mixed-citation"/>
          <w:rFonts w:asciiTheme="minorBidi" w:hAnsiTheme="minorBidi" w:cstheme="minorBidi"/>
          <w:shd w:val="clear" w:color="auto" w:fill="FFFFFF"/>
        </w:rPr>
        <w:t xml:space="preserve">. </w:t>
      </w:r>
      <w:r w:rsidRPr="006D10DE">
        <w:rPr>
          <w:rFonts w:asciiTheme="minorBidi" w:hAnsiTheme="minorBidi" w:cstheme="minorBidi"/>
          <w:spacing w:val="2"/>
          <w:shd w:val="clear" w:color="auto" w:fill="FFFFFF"/>
        </w:rPr>
        <w:t>Women who have an unmet need for contraception are those who are fecund and are currently sexually active but are not using any form of birth control. These women express that they do not desire any additional children or wish to delay having another child.</w:t>
      </w:r>
      <w:sdt>
        <w:sdtPr>
          <w:rPr>
            <w:rFonts w:asciiTheme="minorBidi" w:hAnsiTheme="minorBidi" w:cstheme="minorBidi"/>
            <w:spacing w:val="2"/>
            <w:shd w:val="clear" w:color="auto" w:fill="FFFFFF"/>
          </w:rPr>
          <w:tag w:val="MENDELEY_CITATION_v3_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"/>
          <w:id w:val="994608390"/>
          <w:placeholder>
            <w:docPart w:val="5382D80FE13E425BB4DA3FE4319856E0"/>
          </w:placeholder>
        </w:sdtPr>
        <w:sdtEndPr/>
        <w:sdtContent>
          <w:r w:rsidRPr="006D10DE">
            <w:rPr>
              <w:rFonts w:asciiTheme="minorBidi" w:hAnsiTheme="minorBidi" w:cstheme="minorBidi"/>
              <w:spacing w:val="2"/>
              <w:shd w:val="clear" w:color="auto" w:fill="FFFFFF"/>
            </w:rPr>
            <w:t xml:space="preserve"> </w:t>
          </w:r>
          <w:r w:rsidRPr="006D10DE">
            <w:rPr>
              <w:rFonts w:asciiTheme="minorBidi" w:hAnsiTheme="minorBidi" w:cstheme="minorBidi"/>
            </w:rPr>
            <w:t>(</w:t>
          </w:r>
          <w:r w:rsidRPr="006D10DE">
            <w:rPr>
              <w:rFonts w:asciiTheme="minorBidi" w:hAnsiTheme="minorBidi" w:cstheme="minorBidi"/>
              <w:iCs/>
            </w:rPr>
            <w:t>World Health Organization</w:t>
          </w:r>
          <w:r w:rsidRPr="006D10DE">
            <w:rPr>
              <w:rFonts w:asciiTheme="minorBidi" w:hAnsiTheme="minorBidi" w:cstheme="minorBidi"/>
            </w:rPr>
            <w:t>, 2024)</w:t>
          </w:r>
        </w:sdtContent>
      </w:sdt>
      <w:r w:rsidRPr="006D10DE">
        <w:rPr>
          <w:rFonts w:asciiTheme="minorBidi" w:hAnsiTheme="minorBidi" w:cstheme="minorBidi"/>
          <w:spacing w:val="2"/>
          <w:shd w:val="clear" w:color="auto" w:fill="FFFFFF"/>
        </w:rPr>
        <w:t xml:space="preserve"> </w:t>
      </w:r>
    </w:p>
    <w:p w14:paraId="5EA44A92" w14:textId="77777777" w:rsidR="006D10DE" w:rsidRPr="006D10DE" w:rsidRDefault="006D10DE" w:rsidP="006D10DE">
      <w:pPr>
        <w:spacing w:line="276" w:lineRule="auto"/>
        <w:jc w:val="both"/>
        <w:rPr>
          <w:rStyle w:val="nowrap"/>
          <w:rFonts w:asciiTheme="minorBidi" w:hAnsiTheme="minorBidi" w:cstheme="minorBidi"/>
          <w:spacing w:val="2"/>
          <w:shd w:val="clear" w:color="auto" w:fill="FFFFFF"/>
        </w:rPr>
      </w:pPr>
      <w:r w:rsidRPr="006D10DE">
        <w:rPr>
          <w:rFonts w:asciiTheme="minorBidi" w:hAnsiTheme="minorBidi" w:cstheme="minorBidi"/>
          <w:spacing w:val="2"/>
          <w:shd w:val="clear" w:color="auto" w:fill="FFFFFF"/>
        </w:rPr>
        <w:t>There is a clear discrepancy between women's reproductive intentions and their actual contraceptive behaviour. Approximately 215 million women of reproductive age globally lack access to modern contraception, highlighting a significant gap in reproductive healthcare.</w:t>
      </w:r>
      <w:sdt>
        <w:sdtPr>
          <w:rPr>
            <w:rStyle w:val="nowrap"/>
            <w:rFonts w:asciiTheme="minorBidi" w:hAnsiTheme="minorBidi" w:cstheme="minorBidi"/>
            <w:shd w:val="clear" w:color="auto" w:fill="FFFFFF"/>
          </w:rPr>
          <w:tag w:val="MENDELEY_CITATION_v3_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"/>
          <w:id w:val="659511779"/>
          <w:placeholder>
            <w:docPart w:val="5382D80FE13E425BB4DA3FE4319856E0"/>
          </w:placeholder>
        </w:sdtPr>
        <w:sdtEndPr>
          <w:rPr>
            <w:rStyle w:val="nowrap"/>
          </w:rPr>
        </w:sdtEndPr>
        <w:sdtContent>
          <w:r w:rsidRPr="006D10DE">
            <w:rPr>
              <w:rFonts w:asciiTheme="minorBidi" w:hAnsiTheme="minorBidi" w:cstheme="minorBidi"/>
            </w:rPr>
            <w:t>(Morroni &amp; Glasier, 2020)</w:t>
          </w:r>
        </w:sdtContent>
      </w:sdt>
      <w:r w:rsidRPr="006D10DE">
        <w:rPr>
          <w:rStyle w:val="nowrap"/>
          <w:rFonts w:asciiTheme="minorBidi" w:hAnsiTheme="minorBidi" w:cstheme="minorBidi"/>
          <w:shd w:val="clear" w:color="auto" w:fill="FFFFFF"/>
        </w:rPr>
        <w:t xml:space="preserve">. A significant number of unintended pregnancies were reported among women with unmet needs, resulting in 84% of such cases. </w:t>
      </w:r>
      <w:r w:rsidRPr="006D10DE">
        <w:rPr>
          <w:rStyle w:val="css-15iwe0d"/>
          <w:rFonts w:asciiTheme="minorBidi" w:hAnsiTheme="minorBidi" w:cstheme="minorBidi"/>
          <w:shd w:val="clear" w:color="auto" w:fill="EDFAFF"/>
        </w:rPr>
        <w:t xml:space="preserve">The </w:t>
      </w:r>
      <w:r w:rsidRPr="006D10DE">
        <w:rPr>
          <w:rStyle w:val="css-15iwe0d"/>
          <w:rFonts w:asciiTheme="minorBidi" w:hAnsiTheme="minorBidi" w:cstheme="minorBidi"/>
        </w:rPr>
        <w:t>high</w:t>
      </w:r>
      <w:r w:rsidRPr="006D10DE">
        <w:rPr>
          <w:rStyle w:val="apple-converted-space"/>
          <w:rFonts w:asciiTheme="minorBidi" w:hAnsiTheme="minorBidi" w:cstheme="minorBidi"/>
        </w:rPr>
        <w:t> </w:t>
      </w:r>
      <w:r w:rsidRPr="006D10DE">
        <w:rPr>
          <w:rStyle w:val="css-2yp7ui"/>
          <w:rFonts w:asciiTheme="minorBidi" w:hAnsiTheme="minorBidi" w:cstheme="minorBidi"/>
        </w:rPr>
        <w:t>prevalence</w:t>
      </w:r>
      <w:r w:rsidRPr="006D10DE">
        <w:rPr>
          <w:rStyle w:val="apple-converted-space"/>
          <w:rFonts w:asciiTheme="minorBidi" w:hAnsiTheme="minorBidi" w:cstheme="minorBidi"/>
        </w:rPr>
        <w:t> </w:t>
      </w:r>
      <w:r w:rsidRPr="006D10DE">
        <w:rPr>
          <w:rStyle w:val="css-15iwe0d"/>
          <w:rFonts w:asciiTheme="minorBidi" w:hAnsiTheme="minorBidi" w:cstheme="minorBidi"/>
        </w:rPr>
        <w:t>of</w:t>
      </w:r>
      <w:r w:rsidRPr="006D10DE">
        <w:rPr>
          <w:rStyle w:val="apple-converted-space"/>
          <w:rFonts w:asciiTheme="minorBidi" w:hAnsiTheme="minorBidi" w:cstheme="minorBidi"/>
        </w:rPr>
        <w:t> </w:t>
      </w:r>
      <w:r w:rsidRPr="006D10DE">
        <w:rPr>
          <w:rStyle w:val="css-15iwe0d"/>
          <w:rFonts w:asciiTheme="minorBidi" w:hAnsiTheme="minorBidi" w:cstheme="minorBidi"/>
        </w:rPr>
        <w:t>unmet</w:t>
      </w:r>
      <w:r w:rsidRPr="006D10DE">
        <w:rPr>
          <w:rStyle w:val="apple-converted-space"/>
          <w:rFonts w:asciiTheme="minorBidi" w:hAnsiTheme="minorBidi" w:cstheme="minorBidi"/>
        </w:rPr>
        <w:t> </w:t>
      </w:r>
      <w:r w:rsidRPr="006D10DE">
        <w:rPr>
          <w:rStyle w:val="css-15iwe0d"/>
          <w:rFonts w:asciiTheme="minorBidi" w:hAnsiTheme="minorBidi" w:cstheme="minorBidi"/>
        </w:rPr>
        <w:t>needs</w:t>
      </w:r>
      <w:r w:rsidRPr="006D10DE">
        <w:rPr>
          <w:rStyle w:val="apple-converted-space"/>
          <w:rFonts w:asciiTheme="minorBidi" w:hAnsiTheme="minorBidi" w:cstheme="minorBidi"/>
        </w:rPr>
        <w:t> </w:t>
      </w:r>
      <w:r w:rsidRPr="006D10DE">
        <w:rPr>
          <w:rStyle w:val="css-15iwe0d"/>
          <w:rFonts w:asciiTheme="minorBidi" w:hAnsiTheme="minorBidi" w:cstheme="minorBidi"/>
        </w:rPr>
        <w:t>for</w:t>
      </w:r>
      <w:r w:rsidRPr="006D10DE">
        <w:rPr>
          <w:rStyle w:val="apple-converted-space"/>
          <w:rFonts w:asciiTheme="minorBidi" w:hAnsiTheme="minorBidi" w:cstheme="minorBidi"/>
        </w:rPr>
        <w:t> </w:t>
      </w:r>
      <w:r w:rsidRPr="006D10DE">
        <w:rPr>
          <w:rStyle w:val="css-2yp7ui"/>
          <w:rFonts w:asciiTheme="minorBidi" w:hAnsiTheme="minorBidi" w:cstheme="minorBidi"/>
        </w:rPr>
        <w:t>family</w:t>
      </w:r>
      <w:r w:rsidRPr="006D10DE">
        <w:rPr>
          <w:rStyle w:val="apple-converted-space"/>
          <w:rFonts w:asciiTheme="minorBidi" w:hAnsiTheme="minorBidi" w:cstheme="minorBidi"/>
        </w:rPr>
        <w:t> </w:t>
      </w:r>
      <w:r w:rsidRPr="006D10DE">
        <w:rPr>
          <w:rStyle w:val="css-2yp7ui"/>
          <w:rFonts w:asciiTheme="minorBidi" w:hAnsiTheme="minorBidi" w:cstheme="minorBidi"/>
        </w:rPr>
        <w:t>planning</w:t>
      </w:r>
      <w:r w:rsidRPr="006D10DE">
        <w:rPr>
          <w:rStyle w:val="apple-converted-space"/>
          <w:rFonts w:asciiTheme="minorBidi" w:hAnsiTheme="minorBidi" w:cstheme="minorBidi"/>
        </w:rPr>
        <w:t> </w:t>
      </w:r>
      <w:r w:rsidRPr="006D10DE">
        <w:rPr>
          <w:rStyle w:val="css-15iwe0d"/>
          <w:rFonts w:asciiTheme="minorBidi" w:hAnsiTheme="minorBidi" w:cstheme="minorBidi"/>
        </w:rPr>
        <w:t>and</w:t>
      </w:r>
      <w:r w:rsidRPr="006D10DE">
        <w:rPr>
          <w:rStyle w:val="apple-converted-space"/>
          <w:rFonts w:asciiTheme="minorBidi" w:hAnsiTheme="minorBidi" w:cstheme="minorBidi"/>
        </w:rPr>
        <w:t> </w:t>
      </w:r>
      <w:r w:rsidRPr="006D10DE">
        <w:rPr>
          <w:rStyle w:val="css-15iwe0d"/>
          <w:rFonts w:asciiTheme="minorBidi" w:hAnsiTheme="minorBidi" w:cstheme="minorBidi"/>
        </w:rPr>
        <w:t>unintended</w:t>
      </w:r>
      <w:r w:rsidRPr="006D10DE">
        <w:rPr>
          <w:rStyle w:val="apple-converted-space"/>
          <w:rFonts w:asciiTheme="minorBidi" w:hAnsiTheme="minorBidi" w:cstheme="minorBidi"/>
        </w:rPr>
        <w:t> </w:t>
      </w:r>
      <w:r w:rsidRPr="006D10DE">
        <w:rPr>
          <w:rStyle w:val="css-15iwe0d"/>
          <w:rFonts w:asciiTheme="minorBidi" w:hAnsiTheme="minorBidi" w:cstheme="minorBidi"/>
        </w:rPr>
        <w:t>pregnancies</w:t>
      </w:r>
      <w:r w:rsidRPr="006D10DE">
        <w:rPr>
          <w:rStyle w:val="apple-converted-space"/>
          <w:rFonts w:asciiTheme="minorBidi" w:hAnsiTheme="minorBidi" w:cstheme="minorBidi"/>
        </w:rPr>
        <w:t> </w:t>
      </w:r>
      <w:r w:rsidRPr="006D10DE">
        <w:rPr>
          <w:rStyle w:val="css-2yp7ui"/>
          <w:rFonts w:asciiTheme="minorBidi" w:hAnsiTheme="minorBidi" w:cstheme="minorBidi"/>
        </w:rPr>
        <w:t>is</w:t>
      </w:r>
      <w:r w:rsidRPr="006D10DE">
        <w:rPr>
          <w:rStyle w:val="apple-converted-space"/>
          <w:rFonts w:asciiTheme="minorBidi" w:hAnsiTheme="minorBidi" w:cstheme="minorBidi"/>
        </w:rPr>
        <w:t> </w:t>
      </w:r>
      <w:r w:rsidRPr="006D10DE">
        <w:rPr>
          <w:rStyle w:val="css-15iwe0d"/>
          <w:rFonts w:asciiTheme="minorBidi" w:hAnsiTheme="minorBidi" w:cstheme="minorBidi"/>
        </w:rPr>
        <w:t>a</w:t>
      </w:r>
      <w:r w:rsidRPr="006D10DE">
        <w:rPr>
          <w:rStyle w:val="apple-converted-space"/>
          <w:rFonts w:asciiTheme="minorBidi" w:hAnsiTheme="minorBidi" w:cstheme="minorBidi"/>
        </w:rPr>
        <w:t> </w:t>
      </w:r>
      <w:r w:rsidRPr="006D10DE">
        <w:rPr>
          <w:rStyle w:val="css-rh820s"/>
          <w:rFonts w:asciiTheme="minorBidi" w:hAnsiTheme="minorBidi" w:cstheme="minorBidi"/>
        </w:rPr>
        <w:t>significant</w:t>
      </w:r>
      <w:r w:rsidRPr="006D10DE">
        <w:rPr>
          <w:rStyle w:val="apple-converted-space"/>
          <w:rFonts w:asciiTheme="minorBidi" w:hAnsiTheme="minorBidi" w:cstheme="minorBidi"/>
        </w:rPr>
        <w:t> </w:t>
      </w:r>
      <w:r w:rsidRPr="006D10DE">
        <w:rPr>
          <w:rStyle w:val="css-rh820s"/>
          <w:rFonts w:asciiTheme="minorBidi" w:hAnsiTheme="minorBidi" w:cstheme="minorBidi"/>
        </w:rPr>
        <w:t>factor</w:t>
      </w:r>
      <w:r w:rsidRPr="006D10DE">
        <w:rPr>
          <w:rStyle w:val="apple-converted-space"/>
          <w:rFonts w:asciiTheme="minorBidi" w:hAnsiTheme="minorBidi" w:cstheme="minorBidi"/>
        </w:rPr>
        <w:t> </w:t>
      </w:r>
      <w:r w:rsidRPr="006D10DE">
        <w:rPr>
          <w:rStyle w:val="css-rh820s"/>
          <w:rFonts w:asciiTheme="minorBidi" w:hAnsiTheme="minorBidi" w:cstheme="minorBidi"/>
        </w:rPr>
        <w:t>contributing</w:t>
      </w:r>
      <w:r w:rsidRPr="006D10DE">
        <w:rPr>
          <w:rStyle w:val="apple-converted-space"/>
          <w:rFonts w:asciiTheme="minorBidi" w:hAnsiTheme="minorBidi" w:cstheme="minorBidi"/>
        </w:rPr>
        <w:t> </w:t>
      </w:r>
      <w:r w:rsidRPr="006D10DE">
        <w:rPr>
          <w:rStyle w:val="css-rh820s"/>
          <w:rFonts w:asciiTheme="minorBidi" w:hAnsiTheme="minorBidi" w:cstheme="minorBidi"/>
        </w:rPr>
        <w:t>to</w:t>
      </w:r>
      <w:r w:rsidRPr="006D10DE">
        <w:rPr>
          <w:rStyle w:val="apple-converted-space"/>
          <w:rFonts w:asciiTheme="minorBidi" w:hAnsiTheme="minorBidi" w:cstheme="minorBidi"/>
        </w:rPr>
        <w:t> </w:t>
      </w:r>
      <w:r w:rsidRPr="006D10DE">
        <w:rPr>
          <w:rStyle w:val="css-0"/>
          <w:rFonts w:asciiTheme="minorBidi" w:hAnsiTheme="minorBidi" w:cstheme="minorBidi"/>
        </w:rPr>
        <w:t>the</w:t>
      </w:r>
      <w:r w:rsidRPr="006D10DE">
        <w:rPr>
          <w:rStyle w:val="apple-converted-space"/>
          <w:rFonts w:asciiTheme="minorBidi" w:hAnsiTheme="minorBidi" w:cstheme="minorBidi"/>
        </w:rPr>
        <w:t> </w:t>
      </w:r>
      <w:r w:rsidRPr="006D10DE">
        <w:rPr>
          <w:rStyle w:val="css-0"/>
          <w:rFonts w:asciiTheme="minorBidi" w:hAnsiTheme="minorBidi" w:cstheme="minorBidi"/>
        </w:rPr>
        <w:t>high</w:t>
      </w:r>
      <w:r w:rsidRPr="006D10DE">
        <w:rPr>
          <w:rStyle w:val="apple-converted-space"/>
          <w:rFonts w:asciiTheme="minorBidi" w:hAnsiTheme="minorBidi" w:cstheme="minorBidi"/>
        </w:rPr>
        <w:t> </w:t>
      </w:r>
      <w:r w:rsidRPr="006D10DE">
        <w:rPr>
          <w:rStyle w:val="css-rh820s"/>
          <w:rFonts w:asciiTheme="minorBidi" w:hAnsiTheme="minorBidi" w:cstheme="minorBidi"/>
        </w:rPr>
        <w:t>rates</w:t>
      </w:r>
      <w:r w:rsidRPr="006D10DE">
        <w:rPr>
          <w:rStyle w:val="apple-converted-space"/>
          <w:rFonts w:asciiTheme="minorBidi" w:hAnsiTheme="minorBidi" w:cstheme="minorBidi"/>
        </w:rPr>
        <w:t> </w:t>
      </w:r>
      <w:r w:rsidRPr="006D10DE">
        <w:rPr>
          <w:rStyle w:val="css-1eh0vfs"/>
          <w:rFonts w:asciiTheme="minorBidi" w:hAnsiTheme="minorBidi" w:cstheme="minorBidi"/>
        </w:rPr>
        <w:t>of</w:t>
      </w:r>
      <w:r w:rsidRPr="006D10DE">
        <w:rPr>
          <w:rStyle w:val="apple-converted-space"/>
          <w:rFonts w:asciiTheme="minorBidi" w:hAnsiTheme="minorBidi" w:cstheme="minorBidi"/>
        </w:rPr>
        <w:t> </w:t>
      </w:r>
      <w:r w:rsidRPr="006D10DE">
        <w:rPr>
          <w:rStyle w:val="css-1eh0vfs"/>
          <w:rFonts w:asciiTheme="minorBidi" w:hAnsiTheme="minorBidi" w:cstheme="minorBidi"/>
        </w:rPr>
        <w:t>abortion</w:t>
      </w:r>
      <w:r w:rsidRPr="006D10DE">
        <w:rPr>
          <w:rStyle w:val="apple-converted-space"/>
          <w:rFonts w:asciiTheme="minorBidi" w:hAnsiTheme="minorBidi" w:cstheme="minorBidi"/>
        </w:rPr>
        <w:t> </w:t>
      </w:r>
      <w:r w:rsidRPr="006D10DE">
        <w:rPr>
          <w:rStyle w:val="css-1eh0vfs"/>
          <w:rFonts w:asciiTheme="minorBidi" w:hAnsiTheme="minorBidi" w:cstheme="minorBidi"/>
        </w:rPr>
        <w:t>in</w:t>
      </w:r>
      <w:r w:rsidRPr="006D10DE">
        <w:rPr>
          <w:rStyle w:val="apple-converted-space"/>
          <w:rFonts w:asciiTheme="minorBidi" w:hAnsiTheme="minorBidi" w:cstheme="minorBidi"/>
        </w:rPr>
        <w:t> </w:t>
      </w:r>
      <w:r w:rsidRPr="006D10DE">
        <w:rPr>
          <w:rStyle w:val="css-1eh0vfs"/>
          <w:rFonts w:asciiTheme="minorBidi" w:hAnsiTheme="minorBidi" w:cstheme="minorBidi"/>
        </w:rPr>
        <w:t>countries</w:t>
      </w:r>
      <w:r w:rsidRPr="006D10DE">
        <w:rPr>
          <w:rStyle w:val="apple-converted-space"/>
          <w:rFonts w:asciiTheme="minorBidi" w:hAnsiTheme="minorBidi" w:cstheme="minorBidi"/>
        </w:rPr>
        <w:t> </w:t>
      </w:r>
      <w:r w:rsidRPr="006D10DE">
        <w:rPr>
          <w:rStyle w:val="css-rh820s"/>
          <w:rFonts w:asciiTheme="minorBidi" w:hAnsiTheme="minorBidi" w:cstheme="minorBidi"/>
        </w:rPr>
        <w:t>where</w:t>
      </w:r>
      <w:r w:rsidRPr="006D10DE">
        <w:rPr>
          <w:rStyle w:val="apple-converted-space"/>
          <w:rFonts w:asciiTheme="minorBidi" w:hAnsiTheme="minorBidi" w:cstheme="minorBidi"/>
        </w:rPr>
        <w:t> </w:t>
      </w:r>
      <w:r w:rsidRPr="006D10DE">
        <w:rPr>
          <w:rStyle w:val="css-0"/>
          <w:rFonts w:asciiTheme="minorBidi" w:hAnsiTheme="minorBidi" w:cstheme="minorBidi"/>
        </w:rPr>
        <w:t>abortion</w:t>
      </w:r>
      <w:r w:rsidRPr="006D10DE">
        <w:rPr>
          <w:rStyle w:val="apple-converted-space"/>
          <w:rFonts w:asciiTheme="minorBidi" w:hAnsiTheme="minorBidi" w:cstheme="minorBidi"/>
        </w:rPr>
        <w:t> </w:t>
      </w:r>
      <w:r w:rsidRPr="006D10DE">
        <w:rPr>
          <w:rStyle w:val="css-rh820s"/>
          <w:rFonts w:asciiTheme="minorBidi" w:hAnsiTheme="minorBidi" w:cstheme="minorBidi"/>
        </w:rPr>
        <w:t>is</w:t>
      </w:r>
      <w:r w:rsidRPr="006D10DE">
        <w:rPr>
          <w:rStyle w:val="apple-converted-space"/>
          <w:rFonts w:asciiTheme="minorBidi" w:hAnsiTheme="minorBidi" w:cstheme="minorBidi"/>
        </w:rPr>
        <w:t> </w:t>
      </w:r>
      <w:r w:rsidRPr="006D10DE">
        <w:rPr>
          <w:rStyle w:val="css-rh820s"/>
          <w:rFonts w:asciiTheme="minorBidi" w:hAnsiTheme="minorBidi" w:cstheme="minorBidi"/>
        </w:rPr>
        <w:t>legally</w:t>
      </w:r>
      <w:r w:rsidRPr="006D10DE">
        <w:rPr>
          <w:rStyle w:val="apple-converted-space"/>
          <w:rFonts w:asciiTheme="minorBidi" w:hAnsiTheme="minorBidi" w:cstheme="minorBidi"/>
        </w:rPr>
        <w:t> </w:t>
      </w:r>
      <w:r w:rsidRPr="006D10DE">
        <w:rPr>
          <w:rStyle w:val="css-rh820s"/>
          <w:rFonts w:asciiTheme="minorBidi" w:hAnsiTheme="minorBidi" w:cstheme="minorBidi"/>
        </w:rPr>
        <w:t>restricted.</w:t>
      </w:r>
      <w:r w:rsidRPr="006D10DE">
        <w:rPr>
          <w:rFonts w:asciiTheme="minorBidi" w:hAnsiTheme="minorBidi" w:cstheme="minorBidi"/>
        </w:rPr>
        <w:t xml:space="preserve"> </w:t>
      </w:r>
      <w:sdt>
        <w:sdtPr>
          <w:rPr>
            <w:rFonts w:asciiTheme="minorBidi" w:hAnsiTheme="minorBidi" w:cstheme="minorBidi"/>
            <w:spacing w:val="2"/>
          </w:rPr>
          <w:tag w:val="MENDELEY_CITATION_v3_eyJjaXRhdGlvbklEIjoiTUVOREVMRVlfQ0lUQVRJT05fZmQ3NjBhMzQtMzBiZi00OTI1LTg1ZjktNmFhYjY3ZGE0ZTk0IiwicHJvcGVydGllcyI6eyJub3RlSW5kZXgiOjB9LCJpc0VkaXRlZCI6ZmFsc2UsIm1hbnVhbE92ZXJyaWRlIjp7ImlzTWFudWFsbHlPdmVycmlkZGVuIjpmYWxzZSwiY2l0ZXByb2NUZXh0IjoiKE1vbGl0b3JpcyBldCBhbC4sIDIwMTkpIiwibWFudWFsT3ZlcnJpZGVUZXh0IjoiIn0sImNpdGF0aW9uSXRlbXMiOlt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197086212"/>
          <w:placeholder>
            <w:docPart w:val="5382D80FE13E425BB4DA3FE4319856E0"/>
          </w:placeholder>
        </w:sdtPr>
        <w:sdtEndPr/>
        <w:sdtContent>
          <w:r w:rsidRPr="006D10DE">
            <w:rPr>
              <w:rFonts w:asciiTheme="minorBidi" w:hAnsiTheme="minorBidi" w:cstheme="minorBidi"/>
              <w:spacing w:val="2"/>
            </w:rPr>
            <w:t>(Molitoris et al., 2019)</w:t>
          </w:r>
        </w:sdtContent>
      </w:sdt>
      <w:r w:rsidRPr="006D10DE">
        <w:rPr>
          <w:rFonts w:asciiTheme="minorBidi" w:hAnsiTheme="minorBidi" w:cstheme="minorBidi"/>
          <w:spacing w:val="2"/>
        </w:rPr>
        <w:t>.</w:t>
      </w:r>
    </w:p>
    <w:p w14:paraId="5FCDB60D"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Family planning services have a broader impact beyond just enabling women and their partners to control the size of their families. It ensures the well-being of individuals and upholds their Sexual and Reproductive Health and Rights (SRHR), ultimately enhancing the overall quality of life for couples and their children. Emphasizing the significance of family planning is crucial in advancing the well-being of both mothers and their newborns. It promotes better health by encouraging appropriate intervals between births and avoiding pregnancies at advanced maternal ages and high parities. Contraceptive use plays a crucial role in determining fertility rates. In areas where family planning methods are widely adopted, fertility rates tend to be lower. </w:t>
      </w:r>
      <w:sdt>
        <w:sdtPr>
          <w:rPr>
            <w:rFonts w:asciiTheme="minorBidi" w:hAnsiTheme="minorBidi" w:cstheme="minorBidi"/>
          </w:rPr>
          <w:tag w:val="MENDELEY_CITATION_v3_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"/>
          <w:id w:val="-1107893687"/>
          <w:placeholder>
            <w:docPart w:val="5382D80FE13E425BB4DA3FE4319856E0"/>
          </w:placeholder>
        </w:sdtPr>
        <w:sdtEndPr/>
        <w:sdtContent>
          <w:r w:rsidRPr="006D10DE">
            <w:rPr>
              <w:rFonts w:asciiTheme="minorBidi" w:hAnsiTheme="minorBidi" w:cstheme="minorBidi"/>
            </w:rPr>
            <w:t xml:space="preserve">(A. S. Adebowale &amp; </w:t>
          </w:r>
          <w:proofErr w:type="spellStart"/>
          <w:r w:rsidRPr="006D10DE">
            <w:rPr>
              <w:rFonts w:asciiTheme="minorBidi" w:hAnsiTheme="minorBidi" w:cstheme="minorBidi"/>
            </w:rPr>
            <w:t>Palamuleni</w:t>
          </w:r>
          <w:proofErr w:type="spellEnd"/>
          <w:r w:rsidRPr="006D10DE">
            <w:rPr>
              <w:rFonts w:asciiTheme="minorBidi" w:hAnsiTheme="minorBidi" w:cstheme="minorBidi"/>
            </w:rPr>
            <w:t>, 2023)</w:t>
          </w:r>
        </w:sdtContent>
      </w:sdt>
      <w:r w:rsidRPr="006D10DE">
        <w:rPr>
          <w:rFonts w:asciiTheme="minorBidi" w:hAnsiTheme="minorBidi" w:cstheme="minorBidi"/>
        </w:rPr>
        <w:t>.</w:t>
      </w:r>
    </w:p>
    <w:p w14:paraId="71CE09F4" w14:textId="77777777" w:rsidR="006D10DE" w:rsidRPr="006D10DE" w:rsidRDefault="006D10DE" w:rsidP="006D10DE">
      <w:pPr>
        <w:spacing w:line="276" w:lineRule="auto"/>
        <w:jc w:val="both"/>
        <w:rPr>
          <w:rStyle w:val="nowrap"/>
          <w:rFonts w:asciiTheme="minorBidi" w:hAnsiTheme="minorBidi" w:cstheme="minorBidi"/>
          <w:shd w:val="clear" w:color="auto" w:fill="FFFFFF"/>
        </w:rPr>
      </w:pPr>
      <w:r w:rsidRPr="006D10DE">
        <w:rPr>
          <w:rFonts w:asciiTheme="minorBidi" w:hAnsiTheme="minorBidi" w:cstheme="minorBidi"/>
          <w:spacing w:val="2"/>
        </w:rPr>
        <w:t xml:space="preserve">On a wider horizon, improvement in the accessibility of contraceptive methods can have a positive impact on women’s employment and education opportunities as well as their involvement in social and political domains. </w:t>
      </w:r>
      <w:r w:rsidRPr="006D10DE">
        <w:rPr>
          <w:rFonts w:asciiTheme="minorBidi" w:hAnsiTheme="minorBidi" w:cstheme="minorBidi"/>
          <w:spacing w:val="1"/>
          <w:shd w:val="clear" w:color="auto" w:fill="FFFFFF"/>
        </w:rPr>
        <w:t>6)</w:t>
      </w:r>
      <w:r w:rsidRPr="006D10DE">
        <w:rPr>
          <w:rFonts w:asciiTheme="minorBidi" w:hAnsiTheme="minorBidi" w:cstheme="minorBidi"/>
        </w:rPr>
        <w:t xml:space="preserve"> </w:t>
      </w:r>
      <w:r w:rsidRPr="006D10DE">
        <w:rPr>
          <w:rFonts w:asciiTheme="minorBidi" w:hAnsiTheme="minorBidi" w:cstheme="minorBidi"/>
          <w:b/>
          <w:bCs/>
          <w:spacing w:val="1"/>
          <w:shd w:val="clear" w:color="auto" w:fill="FFFFFF"/>
        </w:rPr>
        <w:t xml:space="preserve"> </w:t>
      </w:r>
      <w:sdt>
        <w:sdtPr>
          <w:rPr>
            <w:rFonts w:asciiTheme="minorBidi" w:hAnsiTheme="minorBidi" w:cstheme="minorBidi"/>
            <w:bCs/>
            <w:spacing w:val="1"/>
            <w:shd w:val="clear" w:color="auto" w:fill="FFFFFF"/>
          </w:rPr>
          <w:tag w:val="MENDELEY_CITATION_v3_eyJjaXRhdGlvbklEIjoiTUVOREVMRVlfQ0lUQVRJT05fNTU4ZTNlN2ItMTJjNi00MDFhLTkwYmMtMzg4YTVjZGE2NmQwIiwicHJvcGVydGllcyI6eyJub3RlSW5kZXgiOjB9LCJpc0VkaXRlZCI6ZmFsc2UsIm1hbnVhbE92ZXJyaWRlIjp7ImlzTWFudWFsbHlPdmVycmlkZGVuIjpmYWxzZSwiY2l0ZXByb2NUZXh0IjoiKE1vbGl0b3JpcyBldCBhbC4sIDIwMTkpIiwibWFudWFsT3ZlcnJpZGVUZXh0IjoiIn0sImNpdGF0aW9uSXRlbXMiOlt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607932921"/>
          <w:placeholder>
            <w:docPart w:val="5382D80FE13E425BB4DA3FE4319856E0"/>
          </w:placeholder>
        </w:sdtPr>
        <w:sdtEndPr/>
        <w:sdtContent>
          <w:r w:rsidRPr="006D10DE">
            <w:rPr>
              <w:rFonts w:asciiTheme="minorBidi" w:hAnsiTheme="minorBidi" w:cstheme="minorBidi"/>
              <w:bCs/>
              <w:spacing w:val="1"/>
              <w:shd w:val="clear" w:color="auto" w:fill="FFFFFF"/>
            </w:rPr>
            <w:t>(Molitoris et al., 2019)</w:t>
          </w:r>
        </w:sdtContent>
      </w:sdt>
      <w:r w:rsidRPr="006D10DE">
        <w:rPr>
          <w:rFonts w:asciiTheme="minorBidi" w:hAnsiTheme="minorBidi" w:cstheme="minorBidi"/>
          <w:shd w:val="clear" w:color="auto" w:fill="FFFFFF"/>
        </w:rPr>
        <w:t>.</w:t>
      </w:r>
    </w:p>
    <w:p w14:paraId="0860D1CD" w14:textId="77777777" w:rsidR="006D10DE" w:rsidRPr="006D10DE" w:rsidRDefault="006D10DE" w:rsidP="006D10DE">
      <w:pPr>
        <w:spacing w:line="276" w:lineRule="auto"/>
        <w:jc w:val="both"/>
        <w:rPr>
          <w:rStyle w:val="nowrap"/>
          <w:rFonts w:asciiTheme="minorBidi" w:hAnsiTheme="minorBidi" w:cstheme="minorBidi"/>
          <w:shd w:val="clear" w:color="auto" w:fill="FFFFFF"/>
        </w:rPr>
      </w:pPr>
    </w:p>
    <w:p w14:paraId="055D5834"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Existing Disparities in Access to Family Planning</w:t>
      </w:r>
    </w:p>
    <w:p w14:paraId="690D753E"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Rural areas in Nigeria tend to face more challenges in accessing family planning services due to the urban-rural divide. There is a significant disparity in access to modern contraceptives, skilled healthcare providers, and accurate reproductive health information for women living in rural areas compared to their urban counterparts. Contraception is considered a primary healthcare intervention that is ideally made available for women to prevent unintended pregnancies; however, it is not readily in rural areas in Nigeria</w:t>
      </w:r>
      <w:sdt>
        <w:sdtPr>
          <w:rPr>
            <w:rFonts w:asciiTheme="minorBidi" w:hAnsiTheme="minorBidi" w:cstheme="minorBidi"/>
          </w:rPr>
          <w:tag w:val="MENDELEY_CITATION_v3_eyJjaXRhdGlvbklEIjoiTUVOREVMRVlfQ0lUQVRJT05fZTBkNTgyNTQtZmYwMC00YjExLWJmZTAtZmNkODc2YjRmODY1IiwicHJvcGVydGllcyI6eyJub3RlSW5kZXgiOjB9LCJpc0VkaXRlZCI6ZmFsc2UsIm1hbnVhbE92ZXJyaWRlIjp7ImlzTWFudWFsbHlPdmVycmlkZGVuIjpmYWxzZSwiY2l0ZXByb2NUZXh0IjoiKEFza2V3IGV0IGFsLiwgMjAyNCkiLCJtYW51YWxPdmVycmlkZVRleHQiOiIifSwiY2l0YXRpb25JdGVtcyI6W3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851407637"/>
          <w:placeholder>
            <w:docPart w:val="5382D80FE13E425BB4DA3FE4319856E0"/>
          </w:placeholder>
        </w:sdtPr>
        <w:sdtEndPr/>
        <w:sdtContent>
          <w:r w:rsidRPr="006D10DE">
            <w:rPr>
              <w:rFonts w:asciiTheme="minorBidi" w:hAnsiTheme="minorBidi" w:cstheme="minorBidi"/>
            </w:rPr>
            <w:t>(Askew et al., 2024)</w:t>
          </w:r>
        </w:sdtContent>
      </w:sdt>
    </w:p>
    <w:p w14:paraId="4457A7C3"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Rural women are more than twice as likely to have an unmet need for family planning compared to urban women (12.6</w:t>
      </w:r>
      <w:proofErr w:type="gramStart"/>
      <w:r w:rsidRPr="006D10DE">
        <w:rPr>
          <w:rFonts w:asciiTheme="minorBidi" w:hAnsiTheme="minorBidi" w:cstheme="minorBidi"/>
        </w:rPr>
        <w:t>%  vs.</w:t>
      </w:r>
      <w:proofErr w:type="gramEnd"/>
      <w:r w:rsidRPr="006D10DE">
        <w:rPr>
          <w:rFonts w:asciiTheme="minorBidi" w:hAnsiTheme="minorBidi" w:cstheme="minorBidi"/>
        </w:rPr>
        <w:t xml:space="preserve"> 27.1%) (NPC &amp; ICF, 2021). In addition, the usage rate of modern contraceptives among rural women is 35.4%, while urban women have a higher rate of 54.4% (NPC &amp; ICF, 2021). Rural areas have fewer healthcare facilities, with a median distance of 5 km to the nearest healthcare facility, compared to 2 km in urban areas (NHS, 2020). These disparities stem from various factors, which include: limited infrastructure and transportation in rural areas, making it difficult for women to access healthcare facilities </w:t>
      </w:r>
      <w:r w:rsidRPr="006D10DE">
        <w:rPr>
          <w:rFonts w:asciiTheme="minorBidi" w:hAnsiTheme="minorBidi" w:cstheme="minorBidi"/>
        </w:rPr>
        <w:lastRenderedPageBreak/>
        <w:t xml:space="preserve">(Oluwole et al., 2020). Additionally, there are shortages of skilled healthcare providers and family planning specialists in these areas (Adebowale et al., 2022).  Cultural and socioeconomic barriers, such as lower education </w:t>
      </w:r>
      <w:proofErr w:type="gramStart"/>
      <w:r w:rsidRPr="006D10DE">
        <w:rPr>
          <w:rFonts w:asciiTheme="minorBidi" w:hAnsiTheme="minorBidi" w:cstheme="minorBidi"/>
        </w:rPr>
        <w:t>levels,  can</w:t>
      </w:r>
      <w:proofErr w:type="gramEnd"/>
      <w:r w:rsidRPr="006D10DE">
        <w:rPr>
          <w:rFonts w:asciiTheme="minorBidi" w:hAnsiTheme="minorBidi" w:cstheme="minorBidi"/>
        </w:rPr>
        <w:t xml:space="preserve"> also limit women's autonomy and access to family planning services (Ibrahim et al., 2019). Studies have shown that implementing family planning measures can significantly decrease the number of high-risk pregnancies, thereby leading to a reduction in maternal mortality rates </w:t>
      </w:r>
      <w:sdt>
        <w:sdtPr>
          <w:rPr>
            <w:rFonts w:asciiTheme="minorBidi" w:hAnsiTheme="minorBidi" w:cstheme="minorBidi"/>
          </w:rPr>
          <w:tag w:val="MENDELEY_CITATION_v3_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"/>
          <w:id w:val="-18930627"/>
          <w:placeholder>
            <w:docPart w:val="5382D80FE13E425BB4DA3FE4319856E0"/>
          </w:placeholder>
        </w:sdtPr>
        <w:sdtEndPr/>
        <w:sdtContent>
          <w:r w:rsidRPr="006D10DE">
            <w:rPr>
              <w:rFonts w:asciiTheme="minorBidi" w:hAnsiTheme="minorBidi" w:cstheme="minorBidi"/>
            </w:rPr>
            <w:t>(Cleland et al., 2006</w:t>
          </w:r>
        </w:sdtContent>
      </w:sdt>
      <w:r w:rsidRPr="006D10DE">
        <w:rPr>
          <w:rFonts w:asciiTheme="minorBidi" w:hAnsiTheme="minorBidi" w:cstheme="minorBidi"/>
        </w:rPr>
        <w:t xml:space="preserve">; </w:t>
      </w:r>
      <w:sdt>
        <w:sdtPr>
          <w:rPr>
            <w:rFonts w:asciiTheme="minorBidi" w:hAnsiTheme="minorBidi" w:cstheme="minorBidi"/>
          </w:rPr>
          <w:tag w:val="MENDELEY_CITATION_v3_eyJjaXRhdGlvbklEIjoiTUVOREVMRVlfQ0lUQVRJT05fNzQwNGZhZWUtMzk0My00MTNmLTkzNjMtM2YyMWIzNTIwYjgxIiwicHJvcGVydGllcyI6eyJub3RlSW5kZXgiOjB9LCJpc0VkaXRlZCI6ZmFsc2UsIm1hbnVhbE92ZXJyaWRlIjp7ImlzTWFudWFsbHlPdmVycmlkZGVuIjpmYWxzZSwiY2l0ZXByb2NUZXh0IjoiKEFza2V3IGV0IGFsLiwgMjAyNCkiLCJtYW51YWxPdmVycmlkZVRleHQiOiIifSwiY2l0YXRpb25JdGVtcyI6W3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971739029"/>
          <w:placeholder>
            <w:docPart w:val="5382D80FE13E425BB4DA3FE4319856E0"/>
          </w:placeholder>
        </w:sdtPr>
        <w:sdtEndPr/>
        <w:sdtContent>
          <w:r w:rsidRPr="006D10DE">
            <w:rPr>
              <w:rFonts w:asciiTheme="minorBidi" w:hAnsiTheme="minorBidi" w:cstheme="minorBidi"/>
            </w:rPr>
            <w:t>(Askew et al., 2024)</w:t>
          </w:r>
        </w:sdtContent>
      </w:sdt>
    </w:p>
    <w:p w14:paraId="71CBAE51"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 Addressing these disparities is necessary to ensure equitable access to family planning services and improve the overall health and well-being of rural women in Nigeria. This requires tailoring strategies that include access to education, enhancing healthcare infrastructure in rural areas, and promoting culturally sensitive family planning programs </w:t>
      </w:r>
      <w:sdt>
        <w:sdtPr>
          <w:rPr>
            <w:rFonts w:asciiTheme="minorBidi" w:hAnsiTheme="minorBidi" w:cstheme="minorBidi"/>
          </w:rPr>
          <w:tag w:val="MENDELEY_CITATION_v3_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1576123215"/>
          <w:placeholder>
            <w:docPart w:val="5382D80FE13E425BB4DA3FE4319856E0"/>
          </w:placeholder>
        </w:sdtPr>
        <w:sdtEndPr/>
        <w:sdtContent>
          <w:r w:rsidRPr="006D10DE">
            <w:rPr>
              <w:rFonts w:asciiTheme="minorBidi" w:hAnsiTheme="minorBidi" w:cstheme="minorBidi"/>
            </w:rPr>
            <w:t xml:space="preserve">(Molitoris et al., 2019; </w:t>
          </w:r>
          <w:proofErr w:type="spellStart"/>
          <w:r w:rsidRPr="006D10DE">
            <w:rPr>
              <w:rFonts w:asciiTheme="minorBidi" w:hAnsiTheme="minorBidi" w:cstheme="minorBidi"/>
            </w:rPr>
            <w:t>Wegbom</w:t>
          </w:r>
          <w:proofErr w:type="spellEnd"/>
          <w:r w:rsidRPr="006D10DE">
            <w:rPr>
              <w:rFonts w:asciiTheme="minorBidi" w:hAnsiTheme="minorBidi" w:cstheme="minorBidi"/>
            </w:rPr>
            <w:t xml:space="preserve"> et al., 2022)</w:t>
          </w:r>
        </w:sdtContent>
      </w:sdt>
      <w:r w:rsidRPr="006D10DE">
        <w:rPr>
          <w:rFonts w:asciiTheme="minorBidi" w:hAnsiTheme="minorBidi" w:cstheme="minorBidi"/>
        </w:rPr>
        <w:t>.</w:t>
      </w:r>
    </w:p>
    <w:p w14:paraId="2DEB4865" w14:textId="77777777" w:rsidR="006D10DE" w:rsidRPr="006D10DE" w:rsidRDefault="006D10DE" w:rsidP="006D10DE">
      <w:pPr>
        <w:spacing w:line="276" w:lineRule="auto"/>
        <w:jc w:val="both"/>
        <w:rPr>
          <w:rStyle w:val="nowrap"/>
          <w:rFonts w:asciiTheme="minorBidi" w:hAnsiTheme="minorBidi" w:cstheme="minorBidi"/>
          <w:shd w:val="clear" w:color="auto" w:fill="FFFFFF"/>
        </w:rPr>
      </w:pPr>
    </w:p>
    <w:p w14:paraId="364524FB"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b/>
          <w:bCs/>
        </w:rPr>
        <w:t>Importance of this study</w:t>
      </w:r>
    </w:p>
    <w:p w14:paraId="15A8864E"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Despite ongoing efforts to improve access to family planning, a significant number of women in Nigeria continue to lack access to modern contraceptives. Rural-urban disparities exist in which rural areas face significant barriers to accessing family planning services, exacerbating existing health disparities (</w:t>
      </w:r>
      <w:proofErr w:type="spellStart"/>
      <w:r w:rsidRPr="006D10DE">
        <w:rPr>
          <w:rFonts w:asciiTheme="minorBidi" w:hAnsiTheme="minorBidi" w:cstheme="minorBidi"/>
        </w:rPr>
        <w:t>wole</w:t>
      </w:r>
      <w:proofErr w:type="spellEnd"/>
      <w:r w:rsidRPr="006D10DE">
        <w:rPr>
          <w:rFonts w:asciiTheme="minorBidi" w:hAnsiTheme="minorBidi" w:cstheme="minorBidi"/>
        </w:rPr>
        <w:t xml:space="preserve"> et al., 2020). Nigeria is faced with a significant challenge when it comes to maternal mortality rates, which are among the highest globally. The lack of access to family planning services further contributes to this burden, along with various obstetric complications such as severe bleeding, infections, unsafe abortion, delivery complications, pre-eclampsia, and eclampsia) </w:t>
      </w:r>
      <w:sdt>
        <w:sdtPr>
          <w:rPr>
            <w:rFonts w:asciiTheme="minorBidi" w:hAnsiTheme="minorBidi" w:cstheme="minorBidi"/>
          </w:rPr>
          <w:tag w:val="MENDELEY_CITATION_v3_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348603884"/>
          <w:placeholder>
            <w:docPart w:val="5382D80FE13E425BB4DA3FE4319856E0"/>
          </w:placeholder>
        </w:sdtPr>
        <w:sdtEndPr/>
        <w:sdtContent>
          <w:r w:rsidRPr="006D10DE">
            <w:rPr>
              <w:rFonts w:asciiTheme="minorBidi" w:hAnsiTheme="minorBidi" w:cstheme="minorBidi"/>
            </w:rPr>
            <w:t xml:space="preserve">(Askew et al., 2024; </w:t>
          </w:r>
          <w:r w:rsidRPr="006D10DE">
            <w:rPr>
              <w:rFonts w:asciiTheme="minorBidi" w:hAnsiTheme="minorBidi" w:cstheme="minorBidi"/>
              <w:i/>
              <w:iCs/>
            </w:rPr>
            <w:t>World Health Organization</w:t>
          </w:r>
          <w:r w:rsidRPr="006D10DE">
            <w:rPr>
              <w:rFonts w:asciiTheme="minorBidi" w:hAnsiTheme="minorBidi" w:cstheme="minorBidi"/>
            </w:rPr>
            <w:t>, 2024)</w:t>
          </w:r>
        </w:sdtContent>
      </w:sdt>
      <w:r w:rsidRPr="006D10DE">
        <w:rPr>
          <w:rFonts w:asciiTheme="minorBidi" w:hAnsiTheme="minorBidi" w:cstheme="minorBidi"/>
        </w:rPr>
        <w:t>. In terms of policy-making, investing in family planning programs is considered cost-effective, as it has long-term benefits for the health of both mothers and newborns. Family planning also has economic advantages as it helps alleviate poverty and enhances women's productivity.</w:t>
      </w:r>
    </w:p>
    <w:p w14:paraId="7D351EFF"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This study will contribute to the existing literature on urban-rural differentials in unmet need for family planning services in Nigeria. Providing updated evidence on the disparities in access to family planning services between urban and rural areas in Nigeria will shed light on specific barriers and facilitators to accessing family planning services in rural areas, which can inform targeted interventions. Additionally, the study will explore the association between urban-rural residence and unmet need for family planning, controlling for individual-level factors, which will add to the understanding of the contextual determinants of unmet need. Also, this will inform policy and efforts to reduce the urban-rural gap in access to family planning services and improve maternal health outcomes in Nigeria. </w:t>
      </w:r>
    </w:p>
    <w:p w14:paraId="79F31378" w14:textId="77777777" w:rsidR="006D10DE" w:rsidRPr="006D10DE" w:rsidRDefault="006D10DE" w:rsidP="006D10DE">
      <w:pPr>
        <w:spacing w:line="276" w:lineRule="auto"/>
        <w:jc w:val="both"/>
        <w:rPr>
          <w:rFonts w:asciiTheme="minorBidi" w:hAnsiTheme="minorBidi" w:cstheme="minorBidi"/>
        </w:rPr>
      </w:pPr>
    </w:p>
    <w:p w14:paraId="7D3EE617"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Problem Statement</w:t>
      </w:r>
    </w:p>
    <w:p w14:paraId="710DF82A" w14:textId="77777777" w:rsidR="006D10DE" w:rsidRPr="006D10DE" w:rsidRDefault="006D10DE" w:rsidP="006D10DE">
      <w:pPr>
        <w:spacing w:before="100" w:beforeAutospacing="1" w:after="100" w:afterAutospacing="1" w:line="276" w:lineRule="auto"/>
        <w:jc w:val="both"/>
        <w:outlineLvl w:val="2"/>
        <w:rPr>
          <w:rFonts w:asciiTheme="minorBidi" w:hAnsiTheme="minorBidi" w:cstheme="minorBidi"/>
        </w:rPr>
      </w:pPr>
      <w:r w:rsidRPr="006D10DE">
        <w:rPr>
          <w:rFonts w:asciiTheme="minorBidi" w:hAnsiTheme="minorBidi" w:cstheme="minorBidi"/>
        </w:rPr>
        <w:t xml:space="preserve">In some areas of Nigeria, one in five women report having experienced an unwanted conception, of these 58% had an abortion and an additional 9% attempted unsuccessfully to end the pregnancy </w:t>
      </w:r>
      <w:sdt>
        <w:sdtPr>
          <w:rPr>
            <w:rFonts w:asciiTheme="minorBidi" w:hAnsiTheme="minorBidi" w:cstheme="minorBidi"/>
          </w:rPr>
          <w:tag w:val="MENDELEY_CITATION_v3_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"/>
          <w:id w:val="1058822951"/>
          <w:placeholder>
            <w:docPart w:val="99C5A5E779604887A8F465E390F45809"/>
          </w:placeholder>
        </w:sdtPr>
        <w:sdtEndPr/>
        <w:sdtContent>
          <w:r w:rsidRPr="006D10DE">
            <w:rPr>
              <w:rFonts w:asciiTheme="minorBidi" w:hAnsiTheme="minorBidi" w:cstheme="minorBidi"/>
            </w:rPr>
            <w:t>(</w:t>
          </w:r>
          <w:proofErr w:type="spellStart"/>
          <w:r w:rsidRPr="006D10DE">
            <w:rPr>
              <w:rFonts w:asciiTheme="minorBidi" w:hAnsiTheme="minorBidi" w:cstheme="minorBidi"/>
            </w:rPr>
            <w:t>WorldBank</w:t>
          </w:r>
          <w:proofErr w:type="spellEnd"/>
          <w:r w:rsidRPr="006D10DE">
            <w:rPr>
              <w:rFonts w:asciiTheme="minorBidi" w:hAnsiTheme="minorBidi" w:cstheme="minorBidi"/>
            </w:rPr>
            <w:t>, 2024)</w:t>
          </w:r>
        </w:sdtContent>
      </w:sdt>
      <w:r w:rsidRPr="006D10DE">
        <w:rPr>
          <w:rFonts w:asciiTheme="minorBidi" w:hAnsiTheme="minorBidi" w:cstheme="minorBidi"/>
          <w:shd w:val="clear" w:color="auto" w:fill="FFFFFF"/>
        </w:rPr>
        <w:t xml:space="preserve">. </w:t>
      </w:r>
      <w:r w:rsidRPr="006D10DE">
        <w:rPr>
          <w:rFonts w:asciiTheme="minorBidi" w:hAnsiTheme="minorBidi" w:cstheme="minorBidi"/>
        </w:rPr>
        <w:t xml:space="preserve">Despite significant advancements in reproductive health services globally, the unmet need for family planning remains a critical issue, especially in developing countries like Nigeria. The persistent lack of access to child spacing and limiting methods continue to pose substantial public health challenges, contributing to unintended pregnancies, higher fertility rates, and adverse maternal and child health outcomes </w:t>
      </w:r>
      <w:sdt>
        <w:sdtPr>
          <w:rPr>
            <w:rFonts w:asciiTheme="minorBidi" w:hAnsiTheme="minorBidi" w:cstheme="minorBidi"/>
          </w:rPr>
          <w:tag w:val="MENDELEY_CITATION_v3_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"/>
          <w:id w:val="1347447979"/>
          <w:placeholder>
            <w:docPart w:val="1178F0749CD6449EAA6D1CDC6FBF72AD"/>
          </w:placeholder>
        </w:sdtPr>
        <w:sdtEndPr/>
        <w:sdtContent>
          <w:r w:rsidRPr="006D10DE">
            <w:rPr>
              <w:rFonts w:asciiTheme="minorBidi" w:hAnsiTheme="minorBidi" w:cstheme="minorBidi"/>
            </w:rPr>
            <w:t>(Moreira et al., 2019)</w:t>
          </w:r>
        </w:sdtContent>
      </w:sdt>
      <w:r w:rsidRPr="006D10DE">
        <w:rPr>
          <w:rFonts w:asciiTheme="minorBidi" w:hAnsiTheme="minorBidi" w:cstheme="minorBidi"/>
        </w:rPr>
        <w:t xml:space="preserve">. Nigeria, with its diverse population and significant urban-rural disparities, exemplifies these challenges. Access to healthcare services is typically readily available in </w:t>
      </w:r>
      <w:r w:rsidRPr="006D10DE">
        <w:rPr>
          <w:rFonts w:asciiTheme="minorBidi" w:hAnsiTheme="minorBidi" w:cstheme="minorBidi"/>
        </w:rPr>
        <w:lastRenderedPageBreak/>
        <w:t xml:space="preserve">urban areas, providing better access to family planning services, whereas rural areas often face significant barriers such as lack of access, lower levels of education, and cultural resistance </w:t>
      </w:r>
      <w:sdt>
        <w:sdtPr>
          <w:rPr>
            <w:rFonts w:asciiTheme="minorBidi" w:hAnsiTheme="minorBidi" w:cstheme="minorBidi"/>
          </w:rPr>
          <w:tag w:val="MENDELEY_CITATION_v3_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"/>
          <w:id w:val="-165638855"/>
          <w:placeholder>
            <w:docPart w:val="1178F0749CD6449EAA6D1CDC6FBF72AD"/>
          </w:placeholder>
        </w:sdtPr>
        <w:sdtEndPr/>
        <w:sdtContent>
          <w:r w:rsidRPr="006D10DE">
            <w:rPr>
              <w:rFonts w:asciiTheme="minorBidi" w:hAnsiTheme="minorBidi" w:cstheme="minorBidi"/>
            </w:rPr>
            <w:t>(Adeniyi et al., 2023)</w:t>
          </w:r>
        </w:sdtContent>
      </w:sdt>
      <w:r w:rsidRPr="006D10DE">
        <w:rPr>
          <w:rFonts w:asciiTheme="minorBidi" w:hAnsiTheme="minorBidi" w:cstheme="minorBidi"/>
        </w:rPr>
        <w:t xml:space="preserve">. These disparities result in varying patterns of unmet need for child spacing and limiting between urban and rural women of reproductive age </w:t>
      </w:r>
      <w:sdt>
        <w:sdtPr>
          <w:rPr>
            <w:rFonts w:asciiTheme="minorBidi" w:hAnsiTheme="minorBidi" w:cstheme="minorBidi"/>
          </w:rPr>
          <w:tag w:val="MENDELEY_CITATION_v3_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"/>
          <w:id w:val="-1430423263"/>
          <w:placeholder>
            <w:docPart w:val="1178F0749CD6449EAA6D1CDC6FBF72AD"/>
          </w:placeholder>
        </w:sdtPr>
        <w:sdtEndPr/>
        <w:sdtContent>
          <w:r w:rsidRPr="006D10DE">
            <w:rPr>
              <w:rFonts w:asciiTheme="minorBidi" w:hAnsiTheme="minorBidi" w:cstheme="minorBidi"/>
            </w:rPr>
            <w:t xml:space="preserve">(Sunday </w:t>
          </w:r>
          <w:proofErr w:type="spellStart"/>
          <w:r w:rsidRPr="006D10DE">
            <w:rPr>
              <w:rFonts w:asciiTheme="minorBidi" w:hAnsiTheme="minorBidi" w:cstheme="minorBidi"/>
            </w:rPr>
            <w:t>Adepoju</w:t>
          </w:r>
          <w:proofErr w:type="spellEnd"/>
          <w:r w:rsidRPr="006D10DE">
            <w:rPr>
              <w:rFonts w:asciiTheme="minorBidi" w:hAnsiTheme="minorBidi" w:cstheme="minorBidi"/>
            </w:rPr>
            <w:t xml:space="preserve"> </w:t>
          </w:r>
          <w:proofErr w:type="spellStart"/>
          <w:r w:rsidRPr="006D10DE">
            <w:rPr>
              <w:rFonts w:asciiTheme="minorBidi" w:hAnsiTheme="minorBidi" w:cstheme="minorBidi"/>
            </w:rPr>
            <w:t>Adedini</w:t>
          </w:r>
          <w:proofErr w:type="spellEnd"/>
          <w:r w:rsidRPr="006D10DE">
            <w:rPr>
              <w:rFonts w:asciiTheme="minorBidi" w:hAnsiTheme="minorBidi" w:cstheme="minorBidi"/>
            </w:rPr>
            <w:t xml:space="preserve"> et al., 2015)</w:t>
          </w:r>
        </w:sdtContent>
      </w:sdt>
      <w:r w:rsidRPr="006D10DE">
        <w:rPr>
          <w:rFonts w:asciiTheme="minorBidi" w:hAnsiTheme="minorBidi" w:cstheme="minorBidi"/>
        </w:rPr>
        <w:t xml:space="preserve">. Previous research has highlighted the demographic and socio-economic factors influencing family planning needs and usage focusing on women of reproductive age without adjusting for women who are not capable of conceiving (fecund women) and hereby may have wrongly estimated the prevalence of unmet need </w:t>
      </w:r>
      <w:sdt>
        <w:sdtPr>
          <w:rPr>
            <w:rFonts w:asciiTheme="minorBidi" w:hAnsiTheme="minorBidi" w:cstheme="minorBidi"/>
          </w:rPr>
          <w:tag w:val="MENDELEY_CITATION_v3_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"/>
          <w:id w:val="-261843647"/>
          <w:placeholder>
            <w:docPart w:val="1178F0749CD6449EAA6D1CDC6FBF72AD"/>
          </w:placeholder>
        </w:sdtPr>
        <w:sdtEndPr/>
        <w:sdtContent>
          <w:r w:rsidRPr="006D10DE">
            <w:rPr>
              <w:rFonts w:asciiTheme="minorBidi" w:hAnsiTheme="minorBidi" w:cstheme="minorBidi"/>
            </w:rPr>
            <w:t>(</w:t>
          </w:r>
          <w:proofErr w:type="spellStart"/>
          <w:r w:rsidRPr="006D10DE">
            <w:rPr>
              <w:rFonts w:asciiTheme="minorBidi" w:hAnsiTheme="minorBidi" w:cstheme="minorBidi"/>
            </w:rPr>
            <w:t>Ontiri</w:t>
          </w:r>
          <w:proofErr w:type="spellEnd"/>
          <w:r w:rsidRPr="006D10DE">
            <w:rPr>
              <w:rFonts w:asciiTheme="minorBidi" w:hAnsiTheme="minorBidi" w:cstheme="minorBidi"/>
            </w:rPr>
            <w:t xml:space="preserve"> et al., 2020)</w:t>
          </w:r>
        </w:sdtContent>
      </w:sdt>
      <w:r w:rsidRPr="006D10DE">
        <w:rPr>
          <w:rFonts w:asciiTheme="minorBidi" w:hAnsiTheme="minorBidi" w:cstheme="minorBidi"/>
        </w:rPr>
        <w:t>. However, there remains a gap in understanding the nuanced differences in unmet needs for child spacing and limiting across different residential settings in Nigeria. Addressing this gap is crucial for developing targeted interventions that can effectively meet the reproductive health needs of fecund women in both urban and rural areas.</w:t>
      </w:r>
    </w:p>
    <w:p w14:paraId="3FF64E2E" w14:textId="77777777" w:rsidR="006D10DE" w:rsidRPr="006D10DE" w:rsidRDefault="006D10DE" w:rsidP="006D10DE">
      <w:pPr>
        <w:spacing w:before="100" w:beforeAutospacing="1" w:after="100" w:afterAutospacing="1" w:line="276" w:lineRule="auto"/>
        <w:jc w:val="both"/>
        <w:rPr>
          <w:rFonts w:asciiTheme="minorBidi" w:hAnsiTheme="minorBidi" w:cstheme="minorBidi"/>
        </w:rPr>
      </w:pPr>
      <w:r w:rsidRPr="006D10DE">
        <w:rPr>
          <w:rFonts w:asciiTheme="minorBidi" w:hAnsiTheme="minorBidi" w:cstheme="minorBidi"/>
        </w:rPr>
        <w:t>This study only focuses on data for fecund women to analyze the urban and rural differentials in the pattern of unmet need for child spacing and limiting among fecund women of reproductive age in Nigeria, using secondary data from the Performance Monitoring for Action (PMA) survey. By examining these differentials and their associated demographic characteristics, this research seeks to provide insights that can inform policy and programmatic strategies to reduce unmet needs and improve reproductive health outcomes in Nigeria.</w:t>
      </w:r>
    </w:p>
    <w:p w14:paraId="67221C57" w14:textId="77777777" w:rsidR="006D10DE" w:rsidRPr="006D10DE" w:rsidRDefault="006D10DE" w:rsidP="006D10DE">
      <w:pPr>
        <w:pStyle w:val="Default"/>
        <w:spacing w:line="276" w:lineRule="auto"/>
        <w:jc w:val="both"/>
        <w:rPr>
          <w:rFonts w:asciiTheme="minorBidi" w:hAnsiTheme="minorBidi" w:cstheme="minorBidi"/>
          <w:color w:val="auto"/>
          <w:sz w:val="20"/>
          <w:szCs w:val="20"/>
        </w:rPr>
      </w:pPr>
      <w:r w:rsidRPr="006D10DE">
        <w:rPr>
          <w:rFonts w:asciiTheme="minorBidi" w:hAnsiTheme="minorBidi" w:cstheme="minorBidi"/>
          <w:b/>
          <w:bCs/>
          <w:color w:val="auto"/>
          <w:sz w:val="20"/>
          <w:szCs w:val="20"/>
        </w:rPr>
        <w:t xml:space="preserve">Research Gap and Objectives </w:t>
      </w:r>
    </w:p>
    <w:p w14:paraId="22A62972" w14:textId="77777777" w:rsidR="006D10DE" w:rsidRPr="006D10DE" w:rsidRDefault="006D10DE" w:rsidP="006D10DE">
      <w:pPr>
        <w:pStyle w:val="Default"/>
        <w:spacing w:line="276" w:lineRule="auto"/>
        <w:jc w:val="both"/>
        <w:rPr>
          <w:rFonts w:asciiTheme="minorBidi" w:hAnsiTheme="minorBidi" w:cstheme="minorBidi"/>
          <w:color w:val="auto"/>
          <w:sz w:val="20"/>
          <w:szCs w:val="20"/>
        </w:rPr>
      </w:pPr>
    </w:p>
    <w:p w14:paraId="5B90CD35" w14:textId="77777777" w:rsidR="006D10DE" w:rsidRPr="006D10DE" w:rsidRDefault="006D10DE" w:rsidP="006D10DE">
      <w:pPr>
        <w:spacing w:line="276" w:lineRule="auto"/>
        <w:jc w:val="both"/>
        <w:rPr>
          <w:rFonts w:asciiTheme="minorBidi" w:hAnsiTheme="minorBidi" w:cstheme="minorBidi"/>
          <w:u w:val="single"/>
          <w:shd w:val="clear" w:color="auto" w:fill="FFFFFF"/>
        </w:rPr>
      </w:pPr>
      <w:r w:rsidRPr="006D10DE">
        <w:rPr>
          <w:rFonts w:asciiTheme="minorBidi" w:hAnsiTheme="minorBidi" w:cstheme="minorBidi"/>
        </w:rPr>
        <w:t xml:space="preserve">There is a notable gap in research specific </w:t>
      </w:r>
      <w:r w:rsidRPr="006D10DE">
        <w:rPr>
          <w:rFonts w:asciiTheme="minorBidi" w:hAnsiTheme="minorBidi" w:cstheme="minorBidi"/>
          <w:shd w:val="clear" w:color="auto" w:fill="FFFFFF"/>
        </w:rPr>
        <w:t>to</w:t>
      </w:r>
      <w:r w:rsidRPr="006D10DE">
        <w:rPr>
          <w:rFonts w:asciiTheme="minorBidi" w:hAnsiTheme="minorBidi" w:cstheme="minorBidi"/>
          <w:spacing w:val="3"/>
          <w:shd w:val="clear" w:color="auto" w:fill="FFFFFF"/>
        </w:rPr>
        <w:t xml:space="preserve"> fecund women’s reproductive intention </w:t>
      </w:r>
      <w:r w:rsidRPr="006D10DE">
        <w:rPr>
          <w:rFonts w:asciiTheme="minorBidi" w:hAnsiTheme="minorBidi" w:cstheme="minorBidi"/>
          <w:spacing w:val="2"/>
          <w:shd w:val="clear" w:color="auto" w:fill="FFFFFF"/>
        </w:rPr>
        <w:t>and contraceptive behaviour in rural-urban settings in Nigeria. This study seeks to explore the urban-rural differentials in unmet needs for family planning and to provide evidence for improving family planning services in Nigeria.</w:t>
      </w:r>
    </w:p>
    <w:p w14:paraId="5D1D5F71" w14:textId="77777777" w:rsidR="006D10DE" w:rsidRPr="006D10DE" w:rsidRDefault="006D10DE" w:rsidP="006D10DE">
      <w:pPr>
        <w:spacing w:line="276" w:lineRule="auto"/>
        <w:jc w:val="both"/>
        <w:rPr>
          <w:rFonts w:asciiTheme="minorBidi" w:hAnsiTheme="minorBidi" w:cstheme="minorBidi"/>
          <w:spacing w:val="2"/>
          <w:u w:val="single"/>
          <w:shd w:val="clear" w:color="auto" w:fill="FFFFFF"/>
        </w:rPr>
      </w:pPr>
    </w:p>
    <w:p w14:paraId="4AE34F30" w14:textId="77777777" w:rsidR="006D10DE" w:rsidRPr="006D10DE" w:rsidRDefault="006D10DE" w:rsidP="006D10DE">
      <w:pPr>
        <w:pStyle w:val="Default"/>
        <w:spacing w:line="276" w:lineRule="auto"/>
        <w:jc w:val="both"/>
        <w:rPr>
          <w:rFonts w:asciiTheme="minorBidi" w:hAnsiTheme="minorBidi" w:cstheme="minorBidi"/>
          <w:b/>
          <w:bCs/>
          <w:color w:val="auto"/>
          <w:sz w:val="20"/>
          <w:szCs w:val="20"/>
        </w:rPr>
      </w:pPr>
      <w:r w:rsidRPr="006D10DE">
        <w:rPr>
          <w:rFonts w:asciiTheme="minorBidi" w:hAnsiTheme="minorBidi" w:cstheme="minorBidi"/>
          <w:b/>
          <w:bCs/>
          <w:color w:val="auto"/>
          <w:sz w:val="20"/>
          <w:szCs w:val="20"/>
        </w:rPr>
        <w:t xml:space="preserve">Objectives </w:t>
      </w:r>
    </w:p>
    <w:p w14:paraId="0D61B5D0" w14:textId="77777777" w:rsidR="006D10DE" w:rsidRPr="006D10DE" w:rsidRDefault="006D10DE" w:rsidP="006D10DE">
      <w:pPr>
        <w:pStyle w:val="Default"/>
        <w:spacing w:line="276" w:lineRule="auto"/>
        <w:jc w:val="both"/>
        <w:rPr>
          <w:rFonts w:asciiTheme="minorBidi" w:hAnsiTheme="minorBidi" w:cstheme="minorBidi"/>
          <w:sz w:val="20"/>
          <w:szCs w:val="20"/>
        </w:rPr>
      </w:pPr>
      <w:r w:rsidRPr="006D10DE">
        <w:rPr>
          <w:rFonts w:asciiTheme="minorBidi" w:hAnsiTheme="minorBidi" w:cstheme="minorBidi"/>
          <w:color w:val="auto"/>
          <w:sz w:val="20"/>
          <w:szCs w:val="20"/>
        </w:rPr>
        <w:t>The main objective is to explore urban-rural differential in patterns of unmet need for child spacing and limiting among fecund women in Nigeria. Specifically, we aim to describe the demographic profile of the participants, compare the unmet need for child spacing; and child limiting; in urban and rural settings, and in addition, examine the influence of the type of residence and living conditions on the unmet need for child spacing and child limiting among fecund women in Nigeria.</w:t>
      </w:r>
    </w:p>
    <w:p w14:paraId="7888AA13" w14:textId="77777777" w:rsidR="006D10DE" w:rsidRPr="006D10DE" w:rsidRDefault="006D10DE" w:rsidP="006D10DE">
      <w:pPr>
        <w:spacing w:line="276" w:lineRule="auto"/>
        <w:jc w:val="both"/>
        <w:rPr>
          <w:rFonts w:asciiTheme="minorBidi" w:hAnsiTheme="minorBidi" w:cstheme="minorBidi"/>
        </w:rPr>
      </w:pPr>
    </w:p>
    <w:p w14:paraId="2DF19FFA"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Justification</w:t>
      </w:r>
    </w:p>
    <w:p w14:paraId="29930413"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For various reasons, the study of urban-rural differentials in the pattern of unmet need for child spacing and limiting among fecund women who are within the reproductive age in Nigeria is essential. The unmet need for family planning has a profound effect on the health outcomes of both maternal and child health outcomes, making it an imperative public health concern. It is crucial to prioritize the improvement of maternal health by addressing the gap between a woman’s reproductive intentions and her contraceptive behaviour, specifically in terms of family planning. Proper birth spacing reduces the risk of maternal mortality and morbidity, as closely spaced pregnancies are associated with higher health risks for both mother and child (</w:t>
      </w:r>
      <w:r w:rsidRPr="006D10DE">
        <w:rPr>
          <w:rFonts w:asciiTheme="minorBidi" w:hAnsiTheme="minorBidi" w:cstheme="minorBidi"/>
          <w:color w:val="000000"/>
          <w:shd w:val="clear" w:color="auto" w:fill="FFFFFF"/>
        </w:rPr>
        <w:t>Starbird &amp; Crawford 2019)</w:t>
      </w:r>
      <w:r w:rsidRPr="006D10DE">
        <w:rPr>
          <w:rFonts w:asciiTheme="minorBidi" w:hAnsiTheme="minorBidi" w:cstheme="minorBidi"/>
        </w:rPr>
        <w:t xml:space="preserve">. Also, understanding the factors driving these differentials can </w:t>
      </w:r>
      <w:r w:rsidRPr="006D10DE">
        <w:rPr>
          <w:rFonts w:asciiTheme="minorBidi" w:hAnsiTheme="minorBidi" w:cstheme="minorBidi"/>
        </w:rPr>
        <w:lastRenderedPageBreak/>
        <w:t>inform a more effective family planning program. This study is essential for achieving sustainable development goals (SDGs), particularly those related to health and gender equality. By addressing the unmet need for family planning, we can improve reproductive health outcomes, empower women, and promote gender equality</w:t>
      </w:r>
      <w:r w:rsidRPr="006D10DE">
        <w:rPr>
          <w:rFonts w:asciiTheme="minorBidi" w:hAnsiTheme="minorBidi" w:cstheme="minorBidi"/>
          <w:b/>
          <w:bCs/>
        </w:rPr>
        <w:t xml:space="preserve"> </w:t>
      </w:r>
      <w:sdt>
        <w:sdtPr>
          <w:rPr>
            <w:rFonts w:asciiTheme="minorBidi" w:hAnsiTheme="minorBidi" w:cstheme="minorBidi"/>
            <w:bCs/>
          </w:rPr>
          <w:tag w:val="MENDELEY_CITATION_v3_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"/>
          <w:id w:val="-403759780"/>
          <w:placeholder>
            <w:docPart w:val="99C5A5E779604887A8F465E390F45809"/>
          </w:placeholder>
        </w:sdtPr>
        <w:sdtEndPr/>
        <w:sdtContent>
          <w:r w:rsidRPr="006D10DE">
            <w:rPr>
              <w:rFonts w:asciiTheme="minorBidi" w:hAnsiTheme="minorBidi" w:cstheme="minorBidi"/>
              <w:bCs/>
            </w:rPr>
            <w:t>(Singh et al., 2020)</w:t>
          </w:r>
        </w:sdtContent>
      </w:sdt>
      <w:bookmarkEnd w:id="1"/>
    </w:p>
    <w:p w14:paraId="5B55FC1B" w14:textId="77777777" w:rsidR="00790ADA" w:rsidRPr="00FB3A86" w:rsidRDefault="00790ADA" w:rsidP="00441B6F">
      <w:pPr>
        <w:pStyle w:val="Body"/>
        <w:spacing w:after="0"/>
        <w:rPr>
          <w:rFonts w:ascii="Arial" w:hAnsi="Arial" w:cs="Arial"/>
        </w:rPr>
      </w:pPr>
    </w:p>
    <w:p w14:paraId="0CB57120" w14:textId="1BE989E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7C19FE2" w14:textId="77777777" w:rsidR="00790ADA" w:rsidRPr="00FB3A86" w:rsidRDefault="00790ADA" w:rsidP="00441B6F">
      <w:pPr>
        <w:pStyle w:val="AbstHead"/>
        <w:spacing w:after="0"/>
        <w:jc w:val="both"/>
        <w:rPr>
          <w:rFonts w:ascii="Arial" w:hAnsi="Arial" w:cs="Arial"/>
        </w:rPr>
      </w:pPr>
    </w:p>
    <w:p w14:paraId="6B274919"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study population consisted of fecund women aged 15-49 years who participated in the Performance Monitoring for Action (PMA) survey. The PMA survey collects data on reproductive health, family planning, and other health-related indicators across multiple countries, including Nigeria. The specific dataset used for this analysis was accessed through the Integrated Public Use Microdata Series (IPUMS).</w:t>
      </w:r>
    </w:p>
    <w:p w14:paraId="5D2C349F"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This study is a secondary analysis of cross-sectional data from the PMA survey. The survey employs a stratified cluster sampling design to collect representative data at the national and sub-national levels. This design ensures the inclusion of diverse demographic and socio-economic groups within the study population.</w:t>
      </w:r>
    </w:p>
    <w:p w14:paraId="03EBB160"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PMA survey uses a multi-stage stratified cluster sampling technique. In the first stage, enumeration areas (EAs) are randomly selected based on probability proportional to size. In the second stage, households within selected EAs are systematically sampled. All fecund women aged 15-49 years in the selected households were eligible to participate in the survey. This approach provides a representative sample of the target population.</w:t>
      </w:r>
    </w:p>
    <w:p w14:paraId="04005BC9"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final sample size for this study was 2,500 fecund women aged 15-49 years. This sample size was determined based on the availability of data from the PMA survey and the need to ensure sufficient statistical power to detect meaningful differences in the patterns of unmet need for child spacing and limiting between urban and rural areas.</w:t>
      </w:r>
    </w:p>
    <w:p w14:paraId="1CCDF26E" w14:textId="77777777" w:rsidR="006D10DE" w:rsidRPr="00A17509" w:rsidRDefault="006D10DE" w:rsidP="006D10DE">
      <w:pPr>
        <w:spacing w:before="100" w:beforeAutospacing="1" w:after="100" w:afterAutospacing="1" w:line="276" w:lineRule="auto"/>
        <w:jc w:val="both"/>
        <w:rPr>
          <w:rFonts w:asciiTheme="minorBidi" w:hAnsiTheme="minorBidi" w:cstheme="minorBidi"/>
          <w:b/>
          <w:bCs/>
        </w:rPr>
      </w:pPr>
      <w:r w:rsidRPr="00A17509">
        <w:rPr>
          <w:rFonts w:asciiTheme="minorBidi" w:hAnsiTheme="minorBidi" w:cstheme="minorBidi"/>
          <w:b/>
          <w:bCs/>
        </w:rPr>
        <w:t>Data Analysis</w:t>
      </w:r>
    </w:p>
    <w:p w14:paraId="23DA3995"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Data analysis was conducted using STATA software. Descriptive statistics were used to summarize the demographic characteristics of the study population. Chi-square tests were performed to examine the association between unmet need for child spacing and limiting and various socio-demographic factors, including type of residence, age, educational level, marital status, partner's educational level, age at first sexual encounter, and partner's polygamy status. Statistical significance was set at P&lt;0.05.</w:t>
      </w:r>
    </w:p>
    <w:p w14:paraId="05DFD7E2" w14:textId="77777777" w:rsidR="006D10DE" w:rsidRPr="00A17509" w:rsidRDefault="006D10DE" w:rsidP="006D10DE">
      <w:pPr>
        <w:spacing w:before="100" w:beforeAutospacing="1" w:after="100" w:afterAutospacing="1" w:line="276" w:lineRule="auto"/>
        <w:jc w:val="both"/>
        <w:rPr>
          <w:rFonts w:asciiTheme="minorBidi" w:hAnsiTheme="minorBidi" w:cstheme="minorBidi"/>
          <w:b/>
          <w:bCs/>
        </w:rPr>
      </w:pPr>
      <w:r w:rsidRPr="00A17509">
        <w:rPr>
          <w:rFonts w:asciiTheme="minorBidi" w:hAnsiTheme="minorBidi" w:cstheme="minorBidi"/>
          <w:b/>
          <w:bCs/>
        </w:rPr>
        <w:t>Ethical Consideration</w:t>
      </w:r>
    </w:p>
    <w:p w14:paraId="7769A8E7" w14:textId="5BB8A71D"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 xml:space="preserve">The secondary data analysis of the PMA survey adhered to ethical guidelines for research involving human subjects. The PMA survey protocols were reviewed and approved by relevant ethical committees, ensuring that participants provided informed consent and that their confidentiality and anonymity were maintained. The use of IPUMS data for secondary analysis </w:t>
      </w:r>
      <w:r w:rsidRPr="00A17509">
        <w:rPr>
          <w:rFonts w:asciiTheme="minorBidi" w:hAnsiTheme="minorBidi" w:cstheme="minorBidi"/>
        </w:rPr>
        <w:lastRenderedPageBreak/>
        <w:t xml:space="preserve">was authorized under the terms of use provided by IPUMS, and no </w:t>
      </w:r>
      <w:r w:rsidR="00AC0D17" w:rsidRPr="00A17509">
        <w:rPr>
          <w:rFonts w:asciiTheme="minorBidi" w:hAnsiTheme="minorBidi" w:cstheme="minorBidi"/>
        </w:rPr>
        <w:t>personal</w:t>
      </w:r>
      <w:r w:rsidRPr="00A17509">
        <w:rPr>
          <w:rFonts w:asciiTheme="minorBidi" w:hAnsiTheme="minorBidi" w:cstheme="minorBidi"/>
        </w:rPr>
        <w:t xml:space="preserve"> identifiable information was accessed or utilized in this study.</w:t>
      </w:r>
    </w:p>
    <w:p w14:paraId="05946A9F" w14:textId="77777777" w:rsidR="00790ADA" w:rsidRPr="00FB3A86" w:rsidRDefault="00790ADA" w:rsidP="00441B6F">
      <w:pPr>
        <w:pStyle w:val="Body"/>
        <w:spacing w:after="0"/>
        <w:rPr>
          <w:rFonts w:ascii="Arial" w:hAnsi="Arial" w:cs="Arial"/>
        </w:rPr>
      </w:pPr>
    </w:p>
    <w:p w14:paraId="29CB13B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EC0A8B9" w14:textId="77777777" w:rsidR="00790ADA" w:rsidRPr="00FB3A86" w:rsidRDefault="00790ADA" w:rsidP="00441B6F">
      <w:pPr>
        <w:pStyle w:val="Head1"/>
        <w:spacing w:after="0"/>
        <w:jc w:val="both"/>
        <w:rPr>
          <w:rFonts w:ascii="Arial" w:hAnsi="Arial" w:cs="Arial"/>
        </w:rPr>
      </w:pPr>
    </w:p>
    <w:p w14:paraId="0BB4080C"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b/>
          <w:bCs/>
        </w:rPr>
        <w:t>Demographic Characteristics of Fecund Women aged 15-49years who Participated in the survey</w:t>
      </w:r>
    </w:p>
    <w:p w14:paraId="14A57939"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This study examines the demographic characteristics of fecund women aged 15-49 who participated in the study. The average age of the participants was 32.1 (8.02 SD) years. The age distribution shows that 44.1% of the women were between 15 and 30 years old, 51.1% were between 31 and 45 years old, and 4.8% were between 46 and 49 years old. Of the 2500 included in the study, most of the women, 73.3% lived in urban areas The educational background of the participants varied significantly. A notable 22.6% had no formal education, 12.7% had completed primary education, 38.8% had completed secondary education, and 25.9% had attained tertiary education. The majority, 87.2% were married women, meanwhile, 9.6% had never been married but were sexually active, and 3.2% were divorced or separated but remained sexually active. The educational levels of the participants' partners also showed diversity. About 20.5% of the partners had no formal education, 7.3% had completed primary education, 35.4% had completed secondary education, and 36.8% had attained tertiary education. The average age at first sexual encounter among the participants was 18.4 (3.78 SD) years. Specifically, 12.9% of the women had their first sexual encounter before the age of 15, 62.2% between the ages of 15 and 20, and 24.8% after the age of 20.  In terms of their partners' polygamy status, 76.6% of the women reported that their partners did not have other wives, while 23.4% indicated that their partners had multiple wives.</w:t>
      </w:r>
    </w:p>
    <w:tbl>
      <w:tblPr>
        <w:tblW w:w="5000" w:type="pct"/>
        <w:tblLook w:val="04A0" w:firstRow="1" w:lastRow="0" w:firstColumn="1" w:lastColumn="0" w:noHBand="0" w:noVBand="1"/>
      </w:tblPr>
      <w:tblGrid>
        <w:gridCol w:w="5142"/>
        <w:gridCol w:w="1479"/>
        <w:gridCol w:w="1587"/>
      </w:tblGrid>
      <w:tr w:rsidR="006D10DE" w:rsidRPr="00A17509" w14:paraId="3FD60888" w14:textId="77777777" w:rsidTr="00683D32">
        <w:trPr>
          <w:trHeight w:val="288"/>
        </w:trPr>
        <w:tc>
          <w:tcPr>
            <w:tcW w:w="5000" w:type="pct"/>
            <w:gridSpan w:val="3"/>
            <w:tcBorders>
              <w:top w:val="nil"/>
              <w:left w:val="nil"/>
              <w:bottom w:val="nil"/>
              <w:right w:val="nil"/>
            </w:tcBorders>
            <w:shd w:val="clear" w:color="auto" w:fill="auto"/>
            <w:noWrap/>
            <w:vAlign w:val="bottom"/>
            <w:hideMark/>
          </w:tcPr>
          <w:p w14:paraId="2B283069"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Table 1: Demographic Characteristics of Fecund women aged 15-49years who participated in the survey</w:t>
            </w:r>
          </w:p>
        </w:tc>
      </w:tr>
      <w:tr w:rsidR="006D10DE" w:rsidRPr="00A17509" w14:paraId="19543021" w14:textId="77777777" w:rsidTr="00683D32">
        <w:trPr>
          <w:trHeight w:val="288"/>
        </w:trPr>
        <w:tc>
          <w:tcPr>
            <w:tcW w:w="3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21D3"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Variables</w:t>
            </w:r>
          </w:p>
        </w:tc>
        <w:tc>
          <w:tcPr>
            <w:tcW w:w="889" w:type="pct"/>
            <w:tcBorders>
              <w:top w:val="single" w:sz="4" w:space="0" w:color="auto"/>
              <w:left w:val="nil"/>
              <w:bottom w:val="single" w:sz="4" w:space="0" w:color="auto"/>
              <w:right w:val="single" w:sz="4" w:space="0" w:color="auto"/>
            </w:tcBorders>
            <w:shd w:val="clear" w:color="auto" w:fill="auto"/>
            <w:noWrap/>
            <w:hideMark/>
          </w:tcPr>
          <w:p w14:paraId="7FA85C03"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Frequency</w:t>
            </w:r>
          </w:p>
        </w:tc>
        <w:tc>
          <w:tcPr>
            <w:tcW w:w="956" w:type="pct"/>
            <w:tcBorders>
              <w:top w:val="single" w:sz="4" w:space="0" w:color="auto"/>
              <w:left w:val="nil"/>
              <w:bottom w:val="single" w:sz="4" w:space="0" w:color="auto"/>
              <w:right w:val="single" w:sz="4" w:space="0" w:color="auto"/>
            </w:tcBorders>
            <w:shd w:val="clear" w:color="auto" w:fill="auto"/>
            <w:noWrap/>
            <w:hideMark/>
          </w:tcPr>
          <w:p w14:paraId="78DEE06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Percentage</w:t>
            </w:r>
          </w:p>
        </w:tc>
      </w:tr>
      <w:tr w:rsidR="006D10DE" w:rsidRPr="00A17509" w14:paraId="0E31AC0E"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DC731F0"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Mean (SD)</w:t>
            </w:r>
          </w:p>
        </w:tc>
        <w:tc>
          <w:tcPr>
            <w:tcW w:w="889" w:type="pct"/>
            <w:tcBorders>
              <w:top w:val="nil"/>
              <w:left w:val="nil"/>
              <w:bottom w:val="single" w:sz="4" w:space="0" w:color="auto"/>
              <w:right w:val="single" w:sz="4" w:space="0" w:color="auto"/>
            </w:tcBorders>
            <w:shd w:val="clear" w:color="auto" w:fill="auto"/>
            <w:noWrap/>
            <w:hideMark/>
          </w:tcPr>
          <w:p w14:paraId="6DD396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32.1 (8.02)</w:t>
            </w:r>
          </w:p>
        </w:tc>
        <w:tc>
          <w:tcPr>
            <w:tcW w:w="956" w:type="pct"/>
            <w:tcBorders>
              <w:top w:val="nil"/>
              <w:left w:val="nil"/>
              <w:bottom w:val="single" w:sz="4" w:space="0" w:color="auto"/>
              <w:right w:val="single" w:sz="4" w:space="0" w:color="auto"/>
            </w:tcBorders>
            <w:shd w:val="clear" w:color="auto" w:fill="auto"/>
            <w:noWrap/>
            <w:hideMark/>
          </w:tcPr>
          <w:p w14:paraId="694B70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74A2F50"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2A245F1"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group</w:t>
            </w:r>
          </w:p>
        </w:tc>
        <w:tc>
          <w:tcPr>
            <w:tcW w:w="889" w:type="pct"/>
            <w:tcBorders>
              <w:top w:val="nil"/>
              <w:left w:val="nil"/>
              <w:bottom w:val="single" w:sz="4" w:space="0" w:color="auto"/>
              <w:right w:val="single" w:sz="4" w:space="0" w:color="auto"/>
            </w:tcBorders>
            <w:shd w:val="clear" w:color="auto" w:fill="auto"/>
            <w:noWrap/>
            <w:hideMark/>
          </w:tcPr>
          <w:p w14:paraId="4661F28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36A15BC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A7FECE9"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4060A5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15-30 years</w:t>
            </w:r>
          </w:p>
        </w:tc>
        <w:tc>
          <w:tcPr>
            <w:tcW w:w="889" w:type="pct"/>
            <w:tcBorders>
              <w:top w:val="nil"/>
              <w:left w:val="nil"/>
              <w:bottom w:val="single" w:sz="4" w:space="0" w:color="auto"/>
              <w:right w:val="single" w:sz="4" w:space="0" w:color="auto"/>
            </w:tcBorders>
            <w:shd w:val="clear" w:color="auto" w:fill="auto"/>
            <w:noWrap/>
            <w:hideMark/>
          </w:tcPr>
          <w:p w14:paraId="16C7BC9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712</w:t>
            </w:r>
          </w:p>
        </w:tc>
        <w:tc>
          <w:tcPr>
            <w:tcW w:w="956" w:type="pct"/>
            <w:tcBorders>
              <w:top w:val="nil"/>
              <w:left w:val="nil"/>
              <w:bottom w:val="single" w:sz="4" w:space="0" w:color="auto"/>
              <w:right w:val="single" w:sz="4" w:space="0" w:color="auto"/>
            </w:tcBorders>
            <w:shd w:val="clear" w:color="auto" w:fill="auto"/>
            <w:noWrap/>
            <w:hideMark/>
          </w:tcPr>
          <w:p w14:paraId="079AD8E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44.1</w:t>
            </w:r>
          </w:p>
        </w:tc>
      </w:tr>
      <w:tr w:rsidR="006D10DE" w:rsidRPr="00A17509" w14:paraId="09A101E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8B07C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31 - 45 years</w:t>
            </w:r>
          </w:p>
        </w:tc>
        <w:tc>
          <w:tcPr>
            <w:tcW w:w="889" w:type="pct"/>
            <w:tcBorders>
              <w:top w:val="nil"/>
              <w:left w:val="nil"/>
              <w:bottom w:val="single" w:sz="4" w:space="0" w:color="auto"/>
              <w:right w:val="single" w:sz="4" w:space="0" w:color="auto"/>
            </w:tcBorders>
            <w:shd w:val="clear" w:color="auto" w:fill="auto"/>
            <w:noWrap/>
            <w:hideMark/>
          </w:tcPr>
          <w:p w14:paraId="25944E5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824</w:t>
            </w:r>
          </w:p>
        </w:tc>
        <w:tc>
          <w:tcPr>
            <w:tcW w:w="956" w:type="pct"/>
            <w:tcBorders>
              <w:top w:val="nil"/>
              <w:left w:val="nil"/>
              <w:bottom w:val="single" w:sz="4" w:space="0" w:color="auto"/>
              <w:right w:val="single" w:sz="4" w:space="0" w:color="auto"/>
            </w:tcBorders>
            <w:shd w:val="clear" w:color="auto" w:fill="auto"/>
            <w:noWrap/>
            <w:hideMark/>
          </w:tcPr>
          <w:p w14:paraId="458E92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51.1</w:t>
            </w:r>
          </w:p>
        </w:tc>
      </w:tr>
      <w:tr w:rsidR="006D10DE" w:rsidRPr="00A17509" w14:paraId="4DDA6F7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00D3DF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46 - 49 years</w:t>
            </w:r>
          </w:p>
        </w:tc>
        <w:tc>
          <w:tcPr>
            <w:tcW w:w="889" w:type="pct"/>
            <w:tcBorders>
              <w:top w:val="nil"/>
              <w:left w:val="nil"/>
              <w:bottom w:val="single" w:sz="4" w:space="0" w:color="auto"/>
              <w:right w:val="single" w:sz="4" w:space="0" w:color="auto"/>
            </w:tcBorders>
            <w:shd w:val="clear" w:color="auto" w:fill="auto"/>
            <w:noWrap/>
            <w:hideMark/>
          </w:tcPr>
          <w:p w14:paraId="5B20DC8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78</w:t>
            </w:r>
          </w:p>
        </w:tc>
        <w:tc>
          <w:tcPr>
            <w:tcW w:w="956" w:type="pct"/>
            <w:tcBorders>
              <w:top w:val="nil"/>
              <w:left w:val="nil"/>
              <w:bottom w:val="single" w:sz="4" w:space="0" w:color="auto"/>
              <w:right w:val="single" w:sz="4" w:space="0" w:color="auto"/>
            </w:tcBorders>
            <w:shd w:val="clear" w:color="auto" w:fill="auto"/>
            <w:noWrap/>
            <w:hideMark/>
          </w:tcPr>
          <w:p w14:paraId="16B8E29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4.8</w:t>
            </w:r>
          </w:p>
        </w:tc>
      </w:tr>
      <w:tr w:rsidR="006D10DE" w:rsidRPr="00A17509" w14:paraId="73A2DF7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FF3C8B4"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889" w:type="pct"/>
            <w:tcBorders>
              <w:top w:val="nil"/>
              <w:left w:val="nil"/>
              <w:bottom w:val="single" w:sz="4" w:space="0" w:color="auto"/>
              <w:right w:val="single" w:sz="4" w:space="0" w:color="auto"/>
            </w:tcBorders>
            <w:shd w:val="clear" w:color="auto" w:fill="auto"/>
            <w:noWrap/>
            <w:hideMark/>
          </w:tcPr>
          <w:p w14:paraId="5667875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CC1032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9636DC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A647C9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Urban</w:t>
            </w:r>
          </w:p>
        </w:tc>
        <w:tc>
          <w:tcPr>
            <w:tcW w:w="889" w:type="pct"/>
            <w:tcBorders>
              <w:top w:val="nil"/>
              <w:left w:val="nil"/>
              <w:bottom w:val="single" w:sz="4" w:space="0" w:color="auto"/>
              <w:right w:val="single" w:sz="4" w:space="0" w:color="auto"/>
            </w:tcBorders>
            <w:shd w:val="clear" w:color="auto" w:fill="auto"/>
            <w:noWrap/>
            <w:hideMark/>
          </w:tcPr>
          <w:p w14:paraId="0C0CF0C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1183</w:t>
            </w:r>
          </w:p>
        </w:tc>
        <w:tc>
          <w:tcPr>
            <w:tcW w:w="956" w:type="pct"/>
            <w:tcBorders>
              <w:top w:val="nil"/>
              <w:left w:val="nil"/>
              <w:bottom w:val="single" w:sz="4" w:space="0" w:color="auto"/>
              <w:right w:val="single" w:sz="4" w:space="0" w:color="auto"/>
            </w:tcBorders>
            <w:shd w:val="clear" w:color="auto" w:fill="auto"/>
            <w:noWrap/>
            <w:hideMark/>
          </w:tcPr>
          <w:p w14:paraId="677E753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73.3</w:t>
            </w:r>
          </w:p>
        </w:tc>
      </w:tr>
      <w:tr w:rsidR="006D10DE" w:rsidRPr="00A17509" w14:paraId="23C08A36"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6788C3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Rural</w:t>
            </w:r>
          </w:p>
        </w:tc>
        <w:tc>
          <w:tcPr>
            <w:tcW w:w="889" w:type="pct"/>
            <w:tcBorders>
              <w:top w:val="nil"/>
              <w:left w:val="nil"/>
              <w:bottom w:val="single" w:sz="4" w:space="0" w:color="auto"/>
              <w:right w:val="single" w:sz="4" w:space="0" w:color="auto"/>
            </w:tcBorders>
            <w:shd w:val="clear" w:color="auto" w:fill="auto"/>
            <w:noWrap/>
            <w:hideMark/>
          </w:tcPr>
          <w:p w14:paraId="09A7268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431</w:t>
            </w:r>
          </w:p>
        </w:tc>
        <w:tc>
          <w:tcPr>
            <w:tcW w:w="956" w:type="pct"/>
            <w:tcBorders>
              <w:top w:val="nil"/>
              <w:left w:val="nil"/>
              <w:bottom w:val="single" w:sz="4" w:space="0" w:color="auto"/>
              <w:right w:val="single" w:sz="4" w:space="0" w:color="auto"/>
            </w:tcBorders>
            <w:shd w:val="clear" w:color="auto" w:fill="auto"/>
            <w:noWrap/>
            <w:hideMark/>
          </w:tcPr>
          <w:p w14:paraId="6C7D736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26.7</w:t>
            </w:r>
          </w:p>
        </w:tc>
      </w:tr>
      <w:tr w:rsidR="006D10DE" w:rsidRPr="00A17509" w14:paraId="0C54B3DB"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C830D2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Level of education</w:t>
            </w:r>
          </w:p>
        </w:tc>
        <w:tc>
          <w:tcPr>
            <w:tcW w:w="889" w:type="pct"/>
            <w:tcBorders>
              <w:top w:val="nil"/>
              <w:left w:val="nil"/>
              <w:bottom w:val="single" w:sz="4" w:space="0" w:color="auto"/>
              <w:right w:val="single" w:sz="4" w:space="0" w:color="auto"/>
            </w:tcBorders>
            <w:shd w:val="clear" w:color="auto" w:fill="auto"/>
            <w:noWrap/>
            <w:hideMark/>
          </w:tcPr>
          <w:p w14:paraId="3A9CCC0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2C4C75E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4A0D2377"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884993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889" w:type="pct"/>
            <w:tcBorders>
              <w:top w:val="nil"/>
              <w:left w:val="nil"/>
              <w:bottom w:val="single" w:sz="4" w:space="0" w:color="auto"/>
              <w:right w:val="single" w:sz="4" w:space="0" w:color="auto"/>
            </w:tcBorders>
            <w:shd w:val="clear" w:color="auto" w:fill="auto"/>
            <w:noWrap/>
            <w:hideMark/>
          </w:tcPr>
          <w:p w14:paraId="01F6F02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364</w:t>
            </w:r>
          </w:p>
        </w:tc>
        <w:tc>
          <w:tcPr>
            <w:tcW w:w="956" w:type="pct"/>
            <w:tcBorders>
              <w:top w:val="nil"/>
              <w:left w:val="nil"/>
              <w:bottom w:val="single" w:sz="4" w:space="0" w:color="auto"/>
              <w:right w:val="single" w:sz="4" w:space="0" w:color="auto"/>
            </w:tcBorders>
            <w:shd w:val="clear" w:color="auto" w:fill="auto"/>
            <w:noWrap/>
            <w:hideMark/>
          </w:tcPr>
          <w:p w14:paraId="7968F1B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22.6</w:t>
            </w:r>
          </w:p>
        </w:tc>
      </w:tr>
      <w:tr w:rsidR="006D10DE" w:rsidRPr="00A17509" w14:paraId="1C2391E2"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516691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889" w:type="pct"/>
            <w:tcBorders>
              <w:top w:val="nil"/>
              <w:left w:val="nil"/>
              <w:bottom w:val="single" w:sz="4" w:space="0" w:color="auto"/>
              <w:right w:val="single" w:sz="4" w:space="0" w:color="auto"/>
            </w:tcBorders>
            <w:shd w:val="clear" w:color="auto" w:fill="auto"/>
            <w:noWrap/>
            <w:hideMark/>
          </w:tcPr>
          <w:p w14:paraId="77C98D0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205</w:t>
            </w:r>
          </w:p>
        </w:tc>
        <w:tc>
          <w:tcPr>
            <w:tcW w:w="956" w:type="pct"/>
            <w:tcBorders>
              <w:top w:val="nil"/>
              <w:left w:val="nil"/>
              <w:bottom w:val="single" w:sz="4" w:space="0" w:color="auto"/>
              <w:right w:val="single" w:sz="4" w:space="0" w:color="auto"/>
            </w:tcBorders>
            <w:shd w:val="clear" w:color="auto" w:fill="auto"/>
            <w:noWrap/>
            <w:hideMark/>
          </w:tcPr>
          <w:p w14:paraId="0A3486C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12.7</w:t>
            </w:r>
          </w:p>
        </w:tc>
      </w:tr>
      <w:tr w:rsidR="006D10DE" w:rsidRPr="00A17509" w14:paraId="1B267CFE"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BA03BC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889" w:type="pct"/>
            <w:tcBorders>
              <w:top w:val="nil"/>
              <w:left w:val="nil"/>
              <w:bottom w:val="single" w:sz="4" w:space="0" w:color="auto"/>
              <w:right w:val="single" w:sz="4" w:space="0" w:color="auto"/>
            </w:tcBorders>
            <w:shd w:val="clear" w:color="auto" w:fill="auto"/>
            <w:noWrap/>
            <w:hideMark/>
          </w:tcPr>
          <w:p w14:paraId="6D232A3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627</w:t>
            </w:r>
          </w:p>
        </w:tc>
        <w:tc>
          <w:tcPr>
            <w:tcW w:w="956" w:type="pct"/>
            <w:tcBorders>
              <w:top w:val="nil"/>
              <w:left w:val="nil"/>
              <w:bottom w:val="single" w:sz="4" w:space="0" w:color="auto"/>
              <w:right w:val="single" w:sz="4" w:space="0" w:color="auto"/>
            </w:tcBorders>
            <w:shd w:val="clear" w:color="auto" w:fill="auto"/>
            <w:noWrap/>
            <w:hideMark/>
          </w:tcPr>
          <w:p w14:paraId="7917A51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38.8</w:t>
            </w:r>
          </w:p>
        </w:tc>
      </w:tr>
      <w:tr w:rsidR="006D10DE" w:rsidRPr="00A17509" w14:paraId="396D4D98"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E95D0F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889" w:type="pct"/>
            <w:tcBorders>
              <w:top w:val="nil"/>
              <w:left w:val="nil"/>
              <w:bottom w:val="single" w:sz="4" w:space="0" w:color="auto"/>
              <w:right w:val="single" w:sz="4" w:space="0" w:color="auto"/>
            </w:tcBorders>
            <w:shd w:val="clear" w:color="auto" w:fill="auto"/>
            <w:noWrap/>
            <w:hideMark/>
          </w:tcPr>
          <w:p w14:paraId="447DC85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418</w:t>
            </w:r>
          </w:p>
        </w:tc>
        <w:tc>
          <w:tcPr>
            <w:tcW w:w="956" w:type="pct"/>
            <w:tcBorders>
              <w:top w:val="nil"/>
              <w:left w:val="nil"/>
              <w:bottom w:val="single" w:sz="4" w:space="0" w:color="auto"/>
              <w:right w:val="single" w:sz="4" w:space="0" w:color="auto"/>
            </w:tcBorders>
            <w:shd w:val="clear" w:color="auto" w:fill="auto"/>
            <w:noWrap/>
            <w:hideMark/>
          </w:tcPr>
          <w:p w14:paraId="287C08E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25.9</w:t>
            </w:r>
          </w:p>
        </w:tc>
      </w:tr>
      <w:tr w:rsidR="006D10DE" w:rsidRPr="00A17509" w14:paraId="38514700"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146A05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lastRenderedPageBreak/>
              <w:t>Marital Status</w:t>
            </w:r>
          </w:p>
        </w:tc>
        <w:tc>
          <w:tcPr>
            <w:tcW w:w="889" w:type="pct"/>
            <w:tcBorders>
              <w:top w:val="nil"/>
              <w:left w:val="nil"/>
              <w:bottom w:val="single" w:sz="4" w:space="0" w:color="auto"/>
              <w:right w:val="single" w:sz="4" w:space="0" w:color="auto"/>
            </w:tcBorders>
            <w:shd w:val="clear" w:color="auto" w:fill="auto"/>
            <w:noWrap/>
            <w:hideMark/>
          </w:tcPr>
          <w:p w14:paraId="7D82784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114C547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448B068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11DA8D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Never married (but sexually active)</w:t>
            </w:r>
          </w:p>
        </w:tc>
        <w:tc>
          <w:tcPr>
            <w:tcW w:w="889" w:type="pct"/>
            <w:tcBorders>
              <w:top w:val="nil"/>
              <w:left w:val="nil"/>
              <w:bottom w:val="single" w:sz="4" w:space="0" w:color="auto"/>
              <w:right w:val="single" w:sz="4" w:space="0" w:color="auto"/>
            </w:tcBorders>
            <w:shd w:val="clear" w:color="auto" w:fill="auto"/>
            <w:noWrap/>
            <w:hideMark/>
          </w:tcPr>
          <w:p w14:paraId="09E1F6E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155</w:t>
            </w:r>
          </w:p>
        </w:tc>
        <w:tc>
          <w:tcPr>
            <w:tcW w:w="956" w:type="pct"/>
            <w:tcBorders>
              <w:top w:val="nil"/>
              <w:left w:val="nil"/>
              <w:bottom w:val="single" w:sz="4" w:space="0" w:color="auto"/>
              <w:right w:val="single" w:sz="4" w:space="0" w:color="auto"/>
            </w:tcBorders>
            <w:shd w:val="clear" w:color="auto" w:fill="auto"/>
            <w:noWrap/>
            <w:hideMark/>
          </w:tcPr>
          <w:p w14:paraId="3CCAA0E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9.6</w:t>
            </w:r>
          </w:p>
        </w:tc>
      </w:tr>
      <w:tr w:rsidR="006D10DE" w:rsidRPr="00A17509" w14:paraId="1BFBD8F8"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486F9C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Currently in a Union</w:t>
            </w:r>
          </w:p>
        </w:tc>
        <w:tc>
          <w:tcPr>
            <w:tcW w:w="889" w:type="pct"/>
            <w:tcBorders>
              <w:top w:val="nil"/>
              <w:left w:val="nil"/>
              <w:bottom w:val="single" w:sz="4" w:space="0" w:color="auto"/>
              <w:right w:val="single" w:sz="4" w:space="0" w:color="auto"/>
            </w:tcBorders>
            <w:shd w:val="clear" w:color="auto" w:fill="auto"/>
            <w:noWrap/>
            <w:hideMark/>
          </w:tcPr>
          <w:p w14:paraId="69294E1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1408</w:t>
            </w:r>
          </w:p>
        </w:tc>
        <w:tc>
          <w:tcPr>
            <w:tcW w:w="956" w:type="pct"/>
            <w:tcBorders>
              <w:top w:val="nil"/>
              <w:left w:val="nil"/>
              <w:bottom w:val="single" w:sz="4" w:space="0" w:color="auto"/>
              <w:right w:val="single" w:sz="4" w:space="0" w:color="auto"/>
            </w:tcBorders>
            <w:shd w:val="clear" w:color="auto" w:fill="auto"/>
            <w:noWrap/>
            <w:hideMark/>
          </w:tcPr>
          <w:p w14:paraId="70A5996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87.2</w:t>
            </w:r>
          </w:p>
        </w:tc>
      </w:tr>
      <w:tr w:rsidR="006D10DE" w:rsidRPr="00A17509" w14:paraId="265B9185"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7BF6B0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Divorce/ Separated (but sexually active)</w:t>
            </w:r>
          </w:p>
        </w:tc>
        <w:tc>
          <w:tcPr>
            <w:tcW w:w="889" w:type="pct"/>
            <w:tcBorders>
              <w:top w:val="nil"/>
              <w:left w:val="nil"/>
              <w:bottom w:val="single" w:sz="4" w:space="0" w:color="auto"/>
              <w:right w:val="single" w:sz="4" w:space="0" w:color="auto"/>
            </w:tcBorders>
            <w:shd w:val="clear" w:color="auto" w:fill="auto"/>
            <w:noWrap/>
            <w:hideMark/>
          </w:tcPr>
          <w:p w14:paraId="7578AEB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51</w:t>
            </w:r>
          </w:p>
        </w:tc>
        <w:tc>
          <w:tcPr>
            <w:tcW w:w="956" w:type="pct"/>
            <w:tcBorders>
              <w:top w:val="nil"/>
              <w:left w:val="nil"/>
              <w:bottom w:val="single" w:sz="4" w:space="0" w:color="auto"/>
              <w:right w:val="single" w:sz="4" w:space="0" w:color="auto"/>
            </w:tcBorders>
            <w:shd w:val="clear" w:color="auto" w:fill="auto"/>
            <w:noWrap/>
            <w:hideMark/>
          </w:tcPr>
          <w:p w14:paraId="31D3D33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3.2</w:t>
            </w:r>
          </w:p>
        </w:tc>
      </w:tr>
      <w:tr w:rsidR="006D10DE" w:rsidRPr="00A17509" w14:paraId="352E47C3"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1EA644C"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Partner's level of education</w:t>
            </w:r>
          </w:p>
        </w:tc>
        <w:tc>
          <w:tcPr>
            <w:tcW w:w="889" w:type="pct"/>
            <w:tcBorders>
              <w:top w:val="nil"/>
              <w:left w:val="nil"/>
              <w:bottom w:val="single" w:sz="4" w:space="0" w:color="auto"/>
              <w:right w:val="single" w:sz="4" w:space="0" w:color="auto"/>
            </w:tcBorders>
            <w:shd w:val="clear" w:color="auto" w:fill="auto"/>
            <w:noWrap/>
            <w:hideMark/>
          </w:tcPr>
          <w:p w14:paraId="38168E4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45DFFE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F8C25F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B83C25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889" w:type="pct"/>
            <w:tcBorders>
              <w:top w:val="nil"/>
              <w:left w:val="nil"/>
              <w:bottom w:val="single" w:sz="4" w:space="0" w:color="auto"/>
              <w:right w:val="single" w:sz="4" w:space="0" w:color="auto"/>
            </w:tcBorders>
            <w:shd w:val="clear" w:color="auto" w:fill="auto"/>
            <w:noWrap/>
            <w:hideMark/>
          </w:tcPr>
          <w:p w14:paraId="18C2FD1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287</w:t>
            </w:r>
          </w:p>
        </w:tc>
        <w:tc>
          <w:tcPr>
            <w:tcW w:w="956" w:type="pct"/>
            <w:tcBorders>
              <w:top w:val="nil"/>
              <w:left w:val="nil"/>
              <w:bottom w:val="single" w:sz="4" w:space="0" w:color="auto"/>
              <w:right w:val="single" w:sz="4" w:space="0" w:color="auto"/>
            </w:tcBorders>
            <w:shd w:val="clear" w:color="auto" w:fill="auto"/>
            <w:noWrap/>
            <w:hideMark/>
          </w:tcPr>
          <w:p w14:paraId="0B74166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20.5</w:t>
            </w:r>
          </w:p>
        </w:tc>
      </w:tr>
      <w:tr w:rsidR="006D10DE" w:rsidRPr="00A17509" w14:paraId="495D5587"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E9A3A1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889" w:type="pct"/>
            <w:tcBorders>
              <w:top w:val="nil"/>
              <w:left w:val="nil"/>
              <w:bottom w:val="single" w:sz="4" w:space="0" w:color="auto"/>
              <w:right w:val="single" w:sz="4" w:space="0" w:color="auto"/>
            </w:tcBorders>
            <w:shd w:val="clear" w:color="auto" w:fill="auto"/>
            <w:noWrap/>
            <w:hideMark/>
          </w:tcPr>
          <w:p w14:paraId="3DB2926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103</w:t>
            </w:r>
          </w:p>
        </w:tc>
        <w:tc>
          <w:tcPr>
            <w:tcW w:w="956" w:type="pct"/>
            <w:tcBorders>
              <w:top w:val="nil"/>
              <w:left w:val="nil"/>
              <w:bottom w:val="single" w:sz="4" w:space="0" w:color="auto"/>
              <w:right w:val="single" w:sz="4" w:space="0" w:color="auto"/>
            </w:tcBorders>
            <w:shd w:val="clear" w:color="auto" w:fill="auto"/>
            <w:noWrap/>
            <w:hideMark/>
          </w:tcPr>
          <w:p w14:paraId="06A6D59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7.3</w:t>
            </w:r>
          </w:p>
        </w:tc>
      </w:tr>
      <w:tr w:rsidR="006D10DE" w:rsidRPr="00A17509" w14:paraId="7A603700"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CA6FB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889" w:type="pct"/>
            <w:tcBorders>
              <w:top w:val="nil"/>
              <w:left w:val="nil"/>
              <w:bottom w:val="single" w:sz="4" w:space="0" w:color="auto"/>
              <w:right w:val="single" w:sz="4" w:space="0" w:color="auto"/>
            </w:tcBorders>
            <w:shd w:val="clear" w:color="auto" w:fill="auto"/>
            <w:noWrap/>
            <w:hideMark/>
          </w:tcPr>
          <w:p w14:paraId="4CFA07D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497</w:t>
            </w:r>
          </w:p>
        </w:tc>
        <w:tc>
          <w:tcPr>
            <w:tcW w:w="956" w:type="pct"/>
            <w:tcBorders>
              <w:top w:val="nil"/>
              <w:left w:val="nil"/>
              <w:bottom w:val="single" w:sz="4" w:space="0" w:color="auto"/>
              <w:right w:val="single" w:sz="4" w:space="0" w:color="auto"/>
            </w:tcBorders>
            <w:shd w:val="clear" w:color="auto" w:fill="auto"/>
            <w:noWrap/>
            <w:hideMark/>
          </w:tcPr>
          <w:p w14:paraId="2F0BFFC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35.4</w:t>
            </w:r>
          </w:p>
        </w:tc>
      </w:tr>
      <w:tr w:rsidR="006D10DE" w:rsidRPr="00A17509" w14:paraId="17BCB2A4"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582B06A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889" w:type="pct"/>
            <w:tcBorders>
              <w:top w:val="nil"/>
              <w:left w:val="nil"/>
              <w:bottom w:val="single" w:sz="4" w:space="0" w:color="auto"/>
              <w:right w:val="single" w:sz="4" w:space="0" w:color="auto"/>
            </w:tcBorders>
            <w:shd w:val="clear" w:color="auto" w:fill="auto"/>
            <w:noWrap/>
            <w:hideMark/>
          </w:tcPr>
          <w:p w14:paraId="05AB97C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516</w:t>
            </w:r>
          </w:p>
        </w:tc>
        <w:tc>
          <w:tcPr>
            <w:tcW w:w="956" w:type="pct"/>
            <w:tcBorders>
              <w:top w:val="nil"/>
              <w:left w:val="nil"/>
              <w:bottom w:val="single" w:sz="4" w:space="0" w:color="auto"/>
              <w:right w:val="single" w:sz="4" w:space="0" w:color="auto"/>
            </w:tcBorders>
            <w:shd w:val="clear" w:color="auto" w:fill="auto"/>
            <w:noWrap/>
            <w:hideMark/>
          </w:tcPr>
          <w:p w14:paraId="22EA75F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36.8</w:t>
            </w:r>
          </w:p>
        </w:tc>
      </w:tr>
      <w:tr w:rsidR="006D10DE" w:rsidRPr="00A17509" w14:paraId="235A2DE9"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D1E079C"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at first sex – mean (SD)</w:t>
            </w:r>
          </w:p>
        </w:tc>
        <w:tc>
          <w:tcPr>
            <w:tcW w:w="889" w:type="pct"/>
            <w:tcBorders>
              <w:top w:val="nil"/>
              <w:left w:val="nil"/>
              <w:bottom w:val="single" w:sz="4" w:space="0" w:color="auto"/>
              <w:right w:val="single" w:sz="4" w:space="0" w:color="auto"/>
            </w:tcBorders>
            <w:shd w:val="clear" w:color="auto" w:fill="auto"/>
            <w:noWrap/>
            <w:hideMark/>
          </w:tcPr>
          <w:p w14:paraId="4416B0D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18.4 (3.78)</w:t>
            </w:r>
          </w:p>
        </w:tc>
        <w:tc>
          <w:tcPr>
            <w:tcW w:w="956" w:type="pct"/>
            <w:tcBorders>
              <w:top w:val="nil"/>
              <w:left w:val="nil"/>
              <w:bottom w:val="single" w:sz="4" w:space="0" w:color="auto"/>
              <w:right w:val="single" w:sz="4" w:space="0" w:color="auto"/>
            </w:tcBorders>
            <w:shd w:val="clear" w:color="auto" w:fill="auto"/>
            <w:noWrap/>
            <w:hideMark/>
          </w:tcPr>
          <w:p w14:paraId="358AA7F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136978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559FF73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at first sex- grouped.</w:t>
            </w:r>
          </w:p>
        </w:tc>
        <w:tc>
          <w:tcPr>
            <w:tcW w:w="889" w:type="pct"/>
            <w:tcBorders>
              <w:top w:val="nil"/>
              <w:left w:val="nil"/>
              <w:bottom w:val="single" w:sz="4" w:space="0" w:color="auto"/>
              <w:right w:val="single" w:sz="4" w:space="0" w:color="auto"/>
            </w:tcBorders>
            <w:shd w:val="clear" w:color="auto" w:fill="auto"/>
            <w:noWrap/>
            <w:hideMark/>
          </w:tcPr>
          <w:p w14:paraId="74DB11C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1346E11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C235F9D"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6611F1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&lt;15</w:t>
            </w:r>
          </w:p>
        </w:tc>
        <w:tc>
          <w:tcPr>
            <w:tcW w:w="889" w:type="pct"/>
            <w:tcBorders>
              <w:top w:val="nil"/>
              <w:left w:val="nil"/>
              <w:bottom w:val="single" w:sz="4" w:space="0" w:color="auto"/>
              <w:right w:val="single" w:sz="4" w:space="0" w:color="auto"/>
            </w:tcBorders>
            <w:shd w:val="clear" w:color="auto" w:fill="auto"/>
            <w:noWrap/>
            <w:hideMark/>
          </w:tcPr>
          <w:p w14:paraId="16F3976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207</w:t>
            </w:r>
          </w:p>
        </w:tc>
        <w:tc>
          <w:tcPr>
            <w:tcW w:w="956" w:type="pct"/>
            <w:tcBorders>
              <w:top w:val="nil"/>
              <w:left w:val="nil"/>
              <w:bottom w:val="single" w:sz="4" w:space="0" w:color="auto"/>
              <w:right w:val="single" w:sz="4" w:space="0" w:color="auto"/>
            </w:tcBorders>
            <w:shd w:val="clear" w:color="auto" w:fill="auto"/>
            <w:noWrap/>
            <w:hideMark/>
          </w:tcPr>
          <w:p w14:paraId="1A03BAD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12.9</w:t>
            </w:r>
          </w:p>
        </w:tc>
      </w:tr>
      <w:tr w:rsidR="006D10DE" w:rsidRPr="00A17509" w14:paraId="7AA444BE"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417C28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15 - 20</w:t>
            </w:r>
          </w:p>
        </w:tc>
        <w:tc>
          <w:tcPr>
            <w:tcW w:w="889" w:type="pct"/>
            <w:tcBorders>
              <w:top w:val="nil"/>
              <w:left w:val="nil"/>
              <w:bottom w:val="single" w:sz="4" w:space="0" w:color="auto"/>
              <w:right w:val="single" w:sz="4" w:space="0" w:color="auto"/>
            </w:tcBorders>
            <w:shd w:val="clear" w:color="auto" w:fill="auto"/>
            <w:noWrap/>
            <w:hideMark/>
          </w:tcPr>
          <w:p w14:paraId="6E8EB39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997</w:t>
            </w:r>
          </w:p>
        </w:tc>
        <w:tc>
          <w:tcPr>
            <w:tcW w:w="956" w:type="pct"/>
            <w:tcBorders>
              <w:top w:val="nil"/>
              <w:left w:val="nil"/>
              <w:bottom w:val="single" w:sz="4" w:space="0" w:color="auto"/>
              <w:right w:val="single" w:sz="4" w:space="0" w:color="auto"/>
            </w:tcBorders>
            <w:shd w:val="clear" w:color="auto" w:fill="auto"/>
            <w:noWrap/>
            <w:hideMark/>
          </w:tcPr>
          <w:p w14:paraId="738CC66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62.2</w:t>
            </w:r>
          </w:p>
        </w:tc>
      </w:tr>
      <w:tr w:rsidR="006D10DE" w:rsidRPr="00A17509" w14:paraId="268B223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0AEE197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&gt;20</w:t>
            </w:r>
          </w:p>
        </w:tc>
        <w:tc>
          <w:tcPr>
            <w:tcW w:w="889" w:type="pct"/>
            <w:tcBorders>
              <w:top w:val="nil"/>
              <w:left w:val="nil"/>
              <w:bottom w:val="single" w:sz="4" w:space="0" w:color="auto"/>
              <w:right w:val="single" w:sz="4" w:space="0" w:color="auto"/>
            </w:tcBorders>
            <w:shd w:val="clear" w:color="auto" w:fill="auto"/>
            <w:noWrap/>
            <w:hideMark/>
          </w:tcPr>
          <w:p w14:paraId="6B52FDF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398</w:t>
            </w:r>
          </w:p>
        </w:tc>
        <w:tc>
          <w:tcPr>
            <w:tcW w:w="956" w:type="pct"/>
            <w:tcBorders>
              <w:top w:val="nil"/>
              <w:left w:val="nil"/>
              <w:bottom w:val="single" w:sz="4" w:space="0" w:color="auto"/>
              <w:right w:val="single" w:sz="4" w:space="0" w:color="auto"/>
            </w:tcBorders>
            <w:shd w:val="clear" w:color="auto" w:fill="auto"/>
            <w:noWrap/>
            <w:hideMark/>
          </w:tcPr>
          <w:p w14:paraId="69E58E2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24.8</w:t>
            </w:r>
          </w:p>
        </w:tc>
      </w:tr>
      <w:tr w:rsidR="006D10DE" w:rsidRPr="00A17509" w14:paraId="469AE45B"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2AD8794"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 has other wives.</w:t>
            </w:r>
          </w:p>
        </w:tc>
        <w:tc>
          <w:tcPr>
            <w:tcW w:w="889" w:type="pct"/>
            <w:tcBorders>
              <w:top w:val="nil"/>
              <w:left w:val="nil"/>
              <w:bottom w:val="single" w:sz="4" w:space="0" w:color="auto"/>
              <w:right w:val="single" w:sz="4" w:space="0" w:color="auto"/>
            </w:tcBorders>
            <w:shd w:val="clear" w:color="auto" w:fill="auto"/>
            <w:noWrap/>
            <w:hideMark/>
          </w:tcPr>
          <w:p w14:paraId="1637178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A8F4D7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0325395"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F375E0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w:t>
            </w:r>
          </w:p>
        </w:tc>
        <w:tc>
          <w:tcPr>
            <w:tcW w:w="889" w:type="pct"/>
            <w:tcBorders>
              <w:top w:val="nil"/>
              <w:left w:val="nil"/>
              <w:bottom w:val="single" w:sz="4" w:space="0" w:color="auto"/>
              <w:right w:val="single" w:sz="4" w:space="0" w:color="auto"/>
            </w:tcBorders>
            <w:shd w:val="clear" w:color="auto" w:fill="auto"/>
            <w:noWrap/>
            <w:hideMark/>
          </w:tcPr>
          <w:p w14:paraId="4A1E629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1070</w:t>
            </w:r>
          </w:p>
        </w:tc>
        <w:tc>
          <w:tcPr>
            <w:tcW w:w="956" w:type="pct"/>
            <w:tcBorders>
              <w:top w:val="nil"/>
              <w:left w:val="nil"/>
              <w:bottom w:val="single" w:sz="4" w:space="0" w:color="auto"/>
              <w:right w:val="single" w:sz="4" w:space="0" w:color="auto"/>
            </w:tcBorders>
            <w:shd w:val="clear" w:color="auto" w:fill="auto"/>
            <w:noWrap/>
            <w:hideMark/>
          </w:tcPr>
          <w:p w14:paraId="0AB9425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76.6</w:t>
            </w:r>
          </w:p>
        </w:tc>
      </w:tr>
      <w:tr w:rsidR="006D10DE" w:rsidRPr="00A17509" w14:paraId="364FE6FD"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5BD1E0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Yes</w:t>
            </w:r>
          </w:p>
        </w:tc>
        <w:tc>
          <w:tcPr>
            <w:tcW w:w="889" w:type="pct"/>
            <w:tcBorders>
              <w:top w:val="nil"/>
              <w:left w:val="nil"/>
              <w:bottom w:val="single" w:sz="4" w:space="0" w:color="auto"/>
              <w:right w:val="single" w:sz="4" w:space="0" w:color="auto"/>
            </w:tcBorders>
            <w:shd w:val="clear" w:color="auto" w:fill="auto"/>
            <w:noWrap/>
            <w:hideMark/>
          </w:tcPr>
          <w:p w14:paraId="63367E9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327</w:t>
            </w:r>
          </w:p>
        </w:tc>
        <w:tc>
          <w:tcPr>
            <w:tcW w:w="956" w:type="pct"/>
            <w:tcBorders>
              <w:top w:val="nil"/>
              <w:left w:val="nil"/>
              <w:bottom w:val="single" w:sz="4" w:space="0" w:color="auto"/>
              <w:right w:val="single" w:sz="4" w:space="0" w:color="auto"/>
            </w:tcBorders>
            <w:shd w:val="clear" w:color="auto" w:fill="auto"/>
            <w:noWrap/>
            <w:hideMark/>
          </w:tcPr>
          <w:p w14:paraId="3CA2382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23.4</w:t>
            </w:r>
          </w:p>
        </w:tc>
      </w:tr>
    </w:tbl>
    <w:p w14:paraId="325D36B4" w14:textId="77777777" w:rsidR="006D10DE" w:rsidRPr="00A17509" w:rsidRDefault="006D10DE" w:rsidP="006D10DE">
      <w:pPr>
        <w:spacing w:line="276" w:lineRule="auto"/>
        <w:jc w:val="both"/>
        <w:rPr>
          <w:rFonts w:asciiTheme="minorBidi" w:hAnsiTheme="minorBidi" w:cstheme="minorBidi"/>
        </w:rPr>
      </w:pPr>
    </w:p>
    <w:p w14:paraId="3D08531C"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 xml:space="preserve">Unmet Need for </w:t>
      </w:r>
      <w:r w:rsidRPr="00A17509">
        <w:rPr>
          <w:rFonts w:asciiTheme="minorBidi" w:hAnsiTheme="minorBidi" w:cstheme="minorBidi"/>
          <w:b/>
          <w:bCs/>
        </w:rPr>
        <w:t>Fecund women aged 15-49</w:t>
      </w:r>
      <w:r w:rsidRPr="00A17509">
        <w:rPr>
          <w:rFonts w:asciiTheme="minorBidi" w:hAnsiTheme="minorBidi" w:cstheme="minorBidi"/>
          <w:b/>
          <w:bCs/>
          <w:lang w:val="en-CA"/>
        </w:rPr>
        <w:t xml:space="preserve"> </w:t>
      </w:r>
      <w:r w:rsidRPr="00A17509">
        <w:rPr>
          <w:rFonts w:asciiTheme="minorBidi" w:hAnsiTheme="minorBidi" w:cstheme="minorBidi"/>
          <w:b/>
          <w:bCs/>
        </w:rPr>
        <w:t xml:space="preserve">years </w:t>
      </w:r>
      <w:r w:rsidRPr="00A17509">
        <w:rPr>
          <w:rFonts w:asciiTheme="minorBidi" w:hAnsiTheme="minorBidi" w:cstheme="minorBidi"/>
          <w:b/>
          <w:bCs/>
          <w:lang w:val="en-CA"/>
        </w:rPr>
        <w:t xml:space="preserve"> </w:t>
      </w:r>
    </w:p>
    <w:p w14:paraId="03692A19"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 xml:space="preserve">The prevalence of unmet needs for child limiting and child spacing is presented in Figure 1. </w:t>
      </w:r>
    </w:p>
    <w:p w14:paraId="7480BB2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noProof/>
        </w:rPr>
        <w:drawing>
          <wp:inline distT="0" distB="0" distL="0" distR="0" wp14:anchorId="5C59CA0D" wp14:editId="7BA930E2">
            <wp:extent cx="5669280" cy="2990850"/>
            <wp:effectExtent l="0" t="0" r="7620" b="0"/>
            <wp:docPr id="2071161944" name="Chart 1">
              <a:extLst xmlns:a="http://schemas.openxmlformats.org/drawingml/2006/main">
                <a:ext uri="{FF2B5EF4-FFF2-40B4-BE49-F238E27FC236}">
                  <a16:creationId xmlns:a16="http://schemas.microsoft.com/office/drawing/2014/main" id="{0D4E8AA6-5F2C-5467-9299-253544B058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98983E"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i/>
          <w:iCs/>
        </w:rPr>
        <w:t xml:space="preserve">Figure 1: </w:t>
      </w:r>
      <w:r w:rsidRPr="00A17509">
        <w:rPr>
          <w:rFonts w:asciiTheme="minorBidi" w:hAnsiTheme="minorBidi" w:cstheme="minorBidi"/>
          <w:i/>
          <w:iCs/>
          <w:lang w:val="en-CA"/>
        </w:rPr>
        <w:t xml:space="preserve">Unmet Need for Child Spacing and Limiting among </w:t>
      </w:r>
      <w:r w:rsidRPr="00A17509">
        <w:rPr>
          <w:rFonts w:asciiTheme="minorBidi" w:hAnsiTheme="minorBidi" w:cstheme="minorBidi"/>
          <w:i/>
          <w:iCs/>
        </w:rPr>
        <w:t>Fecund women aged 15-49</w:t>
      </w:r>
      <w:r w:rsidRPr="00A17509">
        <w:rPr>
          <w:rFonts w:asciiTheme="minorBidi" w:hAnsiTheme="minorBidi" w:cstheme="minorBidi"/>
          <w:i/>
          <w:iCs/>
          <w:lang w:val="en-CA"/>
        </w:rPr>
        <w:t xml:space="preserve"> </w:t>
      </w:r>
      <w:r w:rsidRPr="00A17509">
        <w:rPr>
          <w:rFonts w:asciiTheme="minorBidi" w:hAnsiTheme="minorBidi" w:cstheme="minorBidi"/>
          <w:i/>
          <w:iCs/>
        </w:rPr>
        <w:t>years</w:t>
      </w:r>
      <w:r w:rsidRPr="00A17509">
        <w:rPr>
          <w:rFonts w:asciiTheme="minorBidi" w:hAnsiTheme="minorBidi" w:cstheme="minorBidi"/>
        </w:rPr>
        <w:t xml:space="preserve">  </w:t>
      </w:r>
    </w:p>
    <w:p w14:paraId="3E154AAE" w14:textId="77777777" w:rsidR="006D10DE" w:rsidRPr="00A17509" w:rsidRDefault="006D10DE" w:rsidP="006D10DE">
      <w:pPr>
        <w:spacing w:line="276" w:lineRule="auto"/>
        <w:jc w:val="both"/>
        <w:rPr>
          <w:rFonts w:asciiTheme="minorBidi" w:hAnsiTheme="minorBidi" w:cstheme="minorBidi"/>
          <w:lang w:val="en-CA"/>
        </w:rPr>
      </w:pPr>
    </w:p>
    <w:p w14:paraId="51DECBFA"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Association between unmet need for child spacing and type of residence</w:t>
      </w:r>
    </w:p>
    <w:p w14:paraId="6B441CB2"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 xml:space="preserve"> Table 2 presents the chi-square results of the association between unmet need for child spacing and type of residence. Unmet need for child spacing was more common in rural areas compared to urban areas (22.6% vs 8.9%; P&lt;0.001).</w:t>
      </w:r>
    </w:p>
    <w:p w14:paraId="2F0DC191"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lastRenderedPageBreak/>
        <w:t>Table 2: Association between unmet need for child spacing and type of residence</w:t>
      </w:r>
    </w:p>
    <w:tbl>
      <w:tblPr>
        <w:tblW w:w="9300" w:type="dxa"/>
        <w:tblLook w:val="04A0" w:firstRow="1" w:lastRow="0" w:firstColumn="1" w:lastColumn="0" w:noHBand="0" w:noVBand="1"/>
      </w:tblPr>
      <w:tblGrid>
        <w:gridCol w:w="1980"/>
        <w:gridCol w:w="1984"/>
        <w:gridCol w:w="2410"/>
        <w:gridCol w:w="1806"/>
        <w:gridCol w:w="1120"/>
      </w:tblGrid>
      <w:tr w:rsidR="006D10DE" w:rsidRPr="00A17509" w14:paraId="69197A9F" w14:textId="77777777" w:rsidTr="00683D32">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796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4394" w:type="dxa"/>
            <w:gridSpan w:val="2"/>
            <w:tcBorders>
              <w:top w:val="single" w:sz="4" w:space="0" w:color="auto"/>
              <w:left w:val="nil"/>
              <w:bottom w:val="single" w:sz="4" w:space="0" w:color="auto"/>
              <w:right w:val="single" w:sz="4" w:space="0" w:color="auto"/>
            </w:tcBorders>
            <w:shd w:val="clear" w:color="auto" w:fill="auto"/>
            <w:noWrap/>
            <w:hideMark/>
          </w:tcPr>
          <w:p w14:paraId="2CE7152F"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1806" w:type="dxa"/>
            <w:tcBorders>
              <w:top w:val="single" w:sz="4" w:space="0" w:color="auto"/>
              <w:left w:val="nil"/>
              <w:bottom w:val="single" w:sz="4" w:space="0" w:color="auto"/>
              <w:right w:val="single" w:sz="4" w:space="0" w:color="auto"/>
            </w:tcBorders>
            <w:shd w:val="clear" w:color="auto" w:fill="auto"/>
            <w:noWrap/>
            <w:hideMark/>
          </w:tcPr>
          <w:p w14:paraId="382478E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1120" w:type="dxa"/>
            <w:tcBorders>
              <w:top w:val="single" w:sz="4" w:space="0" w:color="auto"/>
              <w:left w:val="nil"/>
              <w:bottom w:val="single" w:sz="4" w:space="0" w:color="auto"/>
              <w:right w:val="single" w:sz="4" w:space="0" w:color="auto"/>
            </w:tcBorders>
            <w:shd w:val="clear" w:color="auto" w:fill="auto"/>
            <w:noWrap/>
            <w:hideMark/>
          </w:tcPr>
          <w:p w14:paraId="6A3E0A2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3363BC4" w14:textId="77777777" w:rsidTr="00683D3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8225E4"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1984" w:type="dxa"/>
            <w:tcBorders>
              <w:top w:val="nil"/>
              <w:left w:val="nil"/>
              <w:bottom w:val="single" w:sz="4" w:space="0" w:color="auto"/>
              <w:right w:val="single" w:sz="4" w:space="0" w:color="auto"/>
            </w:tcBorders>
            <w:shd w:val="clear" w:color="auto" w:fill="auto"/>
            <w:noWrap/>
            <w:hideMark/>
          </w:tcPr>
          <w:p w14:paraId="48F46688"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No Unmet need</w:t>
            </w:r>
          </w:p>
        </w:tc>
        <w:tc>
          <w:tcPr>
            <w:tcW w:w="2410" w:type="dxa"/>
            <w:tcBorders>
              <w:top w:val="nil"/>
              <w:left w:val="nil"/>
              <w:bottom w:val="single" w:sz="4" w:space="0" w:color="auto"/>
              <w:right w:val="single" w:sz="4" w:space="0" w:color="auto"/>
            </w:tcBorders>
            <w:shd w:val="clear" w:color="000000" w:fill="E8E8E8"/>
            <w:noWrap/>
            <w:hideMark/>
          </w:tcPr>
          <w:p w14:paraId="630E4CE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w:t>
            </w:r>
          </w:p>
        </w:tc>
        <w:tc>
          <w:tcPr>
            <w:tcW w:w="1806" w:type="dxa"/>
            <w:tcBorders>
              <w:top w:val="nil"/>
              <w:left w:val="nil"/>
              <w:bottom w:val="single" w:sz="4" w:space="0" w:color="auto"/>
              <w:right w:val="single" w:sz="4" w:space="0" w:color="auto"/>
            </w:tcBorders>
            <w:shd w:val="clear" w:color="auto" w:fill="auto"/>
            <w:noWrap/>
            <w:hideMark/>
          </w:tcPr>
          <w:p w14:paraId="36A9A139"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Chi-Square</w:t>
            </w:r>
          </w:p>
        </w:tc>
        <w:tc>
          <w:tcPr>
            <w:tcW w:w="1120" w:type="dxa"/>
            <w:tcBorders>
              <w:top w:val="nil"/>
              <w:left w:val="nil"/>
              <w:bottom w:val="single" w:sz="4" w:space="0" w:color="auto"/>
              <w:right w:val="single" w:sz="4" w:space="0" w:color="auto"/>
            </w:tcBorders>
            <w:shd w:val="clear" w:color="auto" w:fill="auto"/>
            <w:noWrap/>
            <w:hideMark/>
          </w:tcPr>
          <w:p w14:paraId="249AD6FC"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P-Value</w:t>
            </w:r>
          </w:p>
        </w:tc>
      </w:tr>
      <w:tr w:rsidR="006D10DE" w:rsidRPr="00A17509" w14:paraId="009CA3BD" w14:textId="77777777" w:rsidTr="00683D3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9FAD3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Urban</w:t>
            </w:r>
          </w:p>
        </w:tc>
        <w:tc>
          <w:tcPr>
            <w:tcW w:w="1984" w:type="dxa"/>
            <w:tcBorders>
              <w:top w:val="nil"/>
              <w:left w:val="nil"/>
              <w:bottom w:val="single" w:sz="4" w:space="0" w:color="auto"/>
              <w:right w:val="single" w:sz="4" w:space="0" w:color="auto"/>
            </w:tcBorders>
            <w:shd w:val="clear" w:color="auto" w:fill="auto"/>
            <w:noWrap/>
            <w:hideMark/>
          </w:tcPr>
          <w:p w14:paraId="32C4D6B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1068(91.1)</w:t>
            </w:r>
          </w:p>
        </w:tc>
        <w:tc>
          <w:tcPr>
            <w:tcW w:w="2410" w:type="dxa"/>
            <w:tcBorders>
              <w:top w:val="nil"/>
              <w:left w:val="nil"/>
              <w:bottom w:val="single" w:sz="4" w:space="0" w:color="auto"/>
              <w:right w:val="single" w:sz="4" w:space="0" w:color="auto"/>
            </w:tcBorders>
            <w:shd w:val="clear" w:color="000000" w:fill="E8E8E8"/>
            <w:noWrap/>
            <w:hideMark/>
          </w:tcPr>
          <w:p w14:paraId="446F26F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104(8.9)</w:t>
            </w:r>
          </w:p>
        </w:tc>
        <w:tc>
          <w:tcPr>
            <w:tcW w:w="1806" w:type="dxa"/>
            <w:tcBorders>
              <w:top w:val="nil"/>
              <w:left w:val="nil"/>
              <w:bottom w:val="single" w:sz="4" w:space="0" w:color="auto"/>
              <w:right w:val="single" w:sz="4" w:space="0" w:color="auto"/>
            </w:tcBorders>
            <w:shd w:val="clear" w:color="auto" w:fill="auto"/>
            <w:noWrap/>
            <w:hideMark/>
          </w:tcPr>
          <w:p w14:paraId="7736B9C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53.69</w:t>
            </w:r>
          </w:p>
        </w:tc>
        <w:tc>
          <w:tcPr>
            <w:tcW w:w="1120" w:type="dxa"/>
            <w:tcBorders>
              <w:top w:val="nil"/>
              <w:left w:val="nil"/>
              <w:bottom w:val="single" w:sz="4" w:space="0" w:color="auto"/>
              <w:right w:val="single" w:sz="4" w:space="0" w:color="auto"/>
            </w:tcBorders>
            <w:shd w:val="clear" w:color="auto" w:fill="auto"/>
            <w:noWrap/>
            <w:hideMark/>
          </w:tcPr>
          <w:p w14:paraId="0982F92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0.000</w:t>
            </w:r>
          </w:p>
        </w:tc>
      </w:tr>
      <w:tr w:rsidR="006D10DE" w:rsidRPr="00A17509" w14:paraId="74034B02" w14:textId="77777777" w:rsidTr="00683D3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4422BF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Rural</w:t>
            </w:r>
          </w:p>
        </w:tc>
        <w:tc>
          <w:tcPr>
            <w:tcW w:w="1984" w:type="dxa"/>
            <w:tcBorders>
              <w:top w:val="nil"/>
              <w:left w:val="nil"/>
              <w:bottom w:val="single" w:sz="4" w:space="0" w:color="auto"/>
              <w:right w:val="single" w:sz="4" w:space="0" w:color="auto"/>
            </w:tcBorders>
            <w:shd w:val="clear" w:color="auto" w:fill="auto"/>
            <w:noWrap/>
            <w:hideMark/>
          </w:tcPr>
          <w:p w14:paraId="499DF70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333(77.4)</w:t>
            </w:r>
          </w:p>
        </w:tc>
        <w:tc>
          <w:tcPr>
            <w:tcW w:w="2410" w:type="dxa"/>
            <w:tcBorders>
              <w:top w:val="nil"/>
              <w:left w:val="nil"/>
              <w:bottom w:val="single" w:sz="4" w:space="0" w:color="auto"/>
              <w:right w:val="single" w:sz="4" w:space="0" w:color="auto"/>
            </w:tcBorders>
            <w:shd w:val="clear" w:color="000000" w:fill="E8E8E8"/>
            <w:noWrap/>
            <w:hideMark/>
          </w:tcPr>
          <w:p w14:paraId="4C19B6E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97(22.6)</w:t>
            </w:r>
          </w:p>
        </w:tc>
        <w:tc>
          <w:tcPr>
            <w:tcW w:w="1806" w:type="dxa"/>
            <w:tcBorders>
              <w:top w:val="nil"/>
              <w:left w:val="nil"/>
              <w:bottom w:val="single" w:sz="4" w:space="0" w:color="auto"/>
              <w:right w:val="single" w:sz="4" w:space="0" w:color="auto"/>
            </w:tcBorders>
            <w:shd w:val="clear" w:color="auto" w:fill="auto"/>
            <w:noWrap/>
            <w:hideMark/>
          </w:tcPr>
          <w:p w14:paraId="118A42F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1120" w:type="dxa"/>
            <w:tcBorders>
              <w:top w:val="nil"/>
              <w:left w:val="nil"/>
              <w:bottom w:val="single" w:sz="4" w:space="0" w:color="auto"/>
              <w:right w:val="single" w:sz="4" w:space="0" w:color="auto"/>
            </w:tcBorders>
            <w:shd w:val="clear" w:color="auto" w:fill="auto"/>
            <w:noWrap/>
            <w:hideMark/>
          </w:tcPr>
          <w:p w14:paraId="0037B4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bl>
    <w:p w14:paraId="3D618856" w14:textId="77777777" w:rsidR="006D10DE" w:rsidRPr="00A17509" w:rsidRDefault="006D10DE" w:rsidP="006D10DE">
      <w:pPr>
        <w:spacing w:line="276" w:lineRule="auto"/>
        <w:jc w:val="both"/>
        <w:rPr>
          <w:rFonts w:asciiTheme="minorBidi" w:hAnsiTheme="minorBidi" w:cstheme="minorBidi"/>
          <w:lang w:val="en-CA"/>
        </w:rPr>
      </w:pPr>
    </w:p>
    <w:p w14:paraId="61B80FCD" w14:textId="77777777" w:rsidR="006D10DE" w:rsidRPr="00A17509" w:rsidRDefault="006D10DE" w:rsidP="006D10DE">
      <w:pPr>
        <w:spacing w:line="276" w:lineRule="auto"/>
        <w:jc w:val="both"/>
        <w:rPr>
          <w:rFonts w:asciiTheme="minorBidi" w:hAnsiTheme="minorBidi" w:cstheme="minorBidi"/>
          <w:b/>
          <w:bCs/>
          <w:lang w:val="en-CA"/>
        </w:rPr>
      </w:pPr>
    </w:p>
    <w:p w14:paraId="6D430D07"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Unmet need for child Spacing differentials in urban and rural areas</w:t>
      </w:r>
    </w:p>
    <w:p w14:paraId="4057B26A"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The results in Table 3 present the urban-rural differentials among fecund women aged 15 – 49 years in Nigeria. This study revealed that across age groups in the urban area, the unmet need among the younger age group (15-30 years) was higher at 12%, P=0.005, compared to the rural areas where the unmet need for child spacing was more common among the older age group (40%, P= 0.398). Level of education, marital status, partner’s level of education, age at first sex, and partner’s polygamy status did not show a significant association with the unmet need for child spacing among the women.</w:t>
      </w:r>
    </w:p>
    <w:p w14:paraId="7F64637F" w14:textId="77777777" w:rsidR="006D10DE" w:rsidRPr="00A17509" w:rsidRDefault="006D10DE" w:rsidP="006D10DE">
      <w:pPr>
        <w:spacing w:line="276" w:lineRule="auto"/>
        <w:jc w:val="both"/>
        <w:rPr>
          <w:rFonts w:asciiTheme="minorBidi" w:hAnsiTheme="minorBidi" w:cstheme="minorBidi"/>
          <w:b/>
          <w:bCs/>
          <w:lang w:val="en-CA"/>
        </w:rPr>
      </w:pPr>
    </w:p>
    <w:p w14:paraId="4949FAEB"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3: Unmet need for child Spacing differentials in urban and rural areas</w:t>
      </w:r>
    </w:p>
    <w:tbl>
      <w:tblPr>
        <w:tblW w:w="5186" w:type="pct"/>
        <w:tblLook w:val="04A0" w:firstRow="1" w:lastRow="0" w:firstColumn="1" w:lastColumn="0" w:noHBand="0" w:noVBand="1"/>
      </w:tblPr>
      <w:tblGrid>
        <w:gridCol w:w="2820"/>
        <w:gridCol w:w="972"/>
        <w:gridCol w:w="895"/>
        <w:gridCol w:w="806"/>
        <w:gridCol w:w="972"/>
        <w:gridCol w:w="1283"/>
        <w:gridCol w:w="950"/>
      </w:tblGrid>
      <w:tr w:rsidR="006D10DE" w:rsidRPr="00A17509" w14:paraId="72C822F4" w14:textId="77777777" w:rsidTr="00683D32">
        <w:trPr>
          <w:trHeight w:val="576"/>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BE5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1775" w:type="pct"/>
            <w:gridSpan w:val="3"/>
            <w:tcBorders>
              <w:top w:val="single" w:sz="4" w:space="0" w:color="auto"/>
              <w:left w:val="nil"/>
              <w:bottom w:val="single" w:sz="4" w:space="0" w:color="auto"/>
              <w:right w:val="single" w:sz="4" w:space="0" w:color="auto"/>
            </w:tcBorders>
            <w:shd w:val="clear" w:color="auto" w:fill="auto"/>
            <w:noWrap/>
            <w:hideMark/>
          </w:tcPr>
          <w:p w14:paraId="4D1FDBA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Urban</w:t>
            </w:r>
          </w:p>
        </w:tc>
        <w:tc>
          <w:tcPr>
            <w:tcW w:w="1784" w:type="pct"/>
            <w:gridSpan w:val="3"/>
            <w:tcBorders>
              <w:top w:val="single" w:sz="4" w:space="0" w:color="auto"/>
              <w:left w:val="nil"/>
              <w:bottom w:val="single" w:sz="4" w:space="0" w:color="auto"/>
              <w:right w:val="single" w:sz="4" w:space="0" w:color="auto"/>
            </w:tcBorders>
            <w:shd w:val="clear" w:color="auto" w:fill="auto"/>
            <w:noWrap/>
            <w:hideMark/>
          </w:tcPr>
          <w:p w14:paraId="5A39B456"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Rural</w:t>
            </w:r>
          </w:p>
        </w:tc>
      </w:tr>
      <w:tr w:rsidR="006D10DE" w:rsidRPr="00A17509" w14:paraId="7360573B" w14:textId="77777777" w:rsidTr="00683D32">
        <w:trPr>
          <w:trHeight w:val="64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02F1D11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19" w:type="pct"/>
            <w:tcBorders>
              <w:top w:val="nil"/>
              <w:left w:val="nil"/>
              <w:bottom w:val="single" w:sz="4" w:space="0" w:color="auto"/>
              <w:right w:val="single" w:sz="4" w:space="0" w:color="auto"/>
            </w:tcBorders>
            <w:shd w:val="clear" w:color="auto" w:fill="auto"/>
            <w:hideMark/>
          </w:tcPr>
          <w:p w14:paraId="11EE5EB5"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634" w:type="pct"/>
            <w:tcBorders>
              <w:top w:val="nil"/>
              <w:left w:val="nil"/>
              <w:bottom w:val="single" w:sz="4" w:space="0" w:color="auto"/>
              <w:right w:val="single" w:sz="4" w:space="0" w:color="auto"/>
            </w:tcBorders>
            <w:shd w:val="clear" w:color="auto" w:fill="auto"/>
            <w:hideMark/>
          </w:tcPr>
          <w:p w14:paraId="00B3FDF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r w:rsidRPr="00A17509">
              <w:rPr>
                <w:rFonts w:asciiTheme="minorBidi" w:hAnsiTheme="minorBidi" w:cstheme="minorBidi"/>
                <w:b/>
                <w:bCs/>
              </w:rPr>
              <w:t>Chi-Square</w:t>
            </w:r>
          </w:p>
        </w:tc>
        <w:tc>
          <w:tcPr>
            <w:tcW w:w="522" w:type="pct"/>
            <w:tcBorders>
              <w:top w:val="nil"/>
              <w:left w:val="nil"/>
              <w:bottom w:val="single" w:sz="4" w:space="0" w:color="auto"/>
              <w:right w:val="single" w:sz="4" w:space="0" w:color="auto"/>
            </w:tcBorders>
            <w:shd w:val="clear" w:color="auto" w:fill="auto"/>
            <w:hideMark/>
          </w:tcPr>
          <w:p w14:paraId="14224CF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b/>
                <w:bCs/>
              </w:rPr>
              <w:t>P-Value</w:t>
            </w: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hideMark/>
          </w:tcPr>
          <w:p w14:paraId="02EF529D"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663" w:type="pct"/>
            <w:tcBorders>
              <w:top w:val="nil"/>
              <w:left w:val="nil"/>
              <w:bottom w:val="single" w:sz="4" w:space="0" w:color="auto"/>
              <w:right w:val="single" w:sz="4" w:space="0" w:color="auto"/>
            </w:tcBorders>
            <w:shd w:val="clear" w:color="auto" w:fill="auto"/>
            <w:noWrap/>
            <w:hideMark/>
          </w:tcPr>
          <w:p w14:paraId="3240F6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b/>
                <w:bCs/>
              </w:rPr>
              <w:t>Chi-Square</w:t>
            </w:r>
          </w:p>
        </w:tc>
        <w:tc>
          <w:tcPr>
            <w:tcW w:w="551" w:type="pct"/>
            <w:tcBorders>
              <w:top w:val="nil"/>
              <w:left w:val="nil"/>
              <w:bottom w:val="single" w:sz="4" w:space="0" w:color="auto"/>
              <w:right w:val="single" w:sz="4" w:space="0" w:color="auto"/>
            </w:tcBorders>
            <w:shd w:val="clear" w:color="auto" w:fill="auto"/>
            <w:noWrap/>
            <w:hideMark/>
          </w:tcPr>
          <w:p w14:paraId="013BEF8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b/>
                <w:bCs/>
              </w:rPr>
              <w:t>P-Value</w:t>
            </w:r>
          </w:p>
        </w:tc>
      </w:tr>
      <w:tr w:rsidR="006D10DE" w:rsidRPr="00A17509" w14:paraId="293D2C7F"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51FF6470"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group</w:t>
            </w:r>
          </w:p>
        </w:tc>
        <w:tc>
          <w:tcPr>
            <w:tcW w:w="619" w:type="pct"/>
            <w:tcBorders>
              <w:top w:val="nil"/>
              <w:left w:val="nil"/>
              <w:bottom w:val="single" w:sz="4" w:space="0" w:color="auto"/>
              <w:right w:val="single" w:sz="4" w:space="0" w:color="auto"/>
            </w:tcBorders>
            <w:shd w:val="clear" w:color="auto" w:fill="auto"/>
            <w:noWrap/>
            <w:hideMark/>
          </w:tcPr>
          <w:p w14:paraId="4DBCFCF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66419F9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10.68</w:t>
            </w:r>
          </w:p>
        </w:tc>
        <w:tc>
          <w:tcPr>
            <w:tcW w:w="522" w:type="pct"/>
            <w:tcBorders>
              <w:top w:val="nil"/>
              <w:left w:val="nil"/>
              <w:bottom w:val="single" w:sz="4" w:space="0" w:color="auto"/>
              <w:right w:val="single" w:sz="4" w:space="0" w:color="auto"/>
            </w:tcBorders>
            <w:shd w:val="clear" w:color="auto" w:fill="auto"/>
            <w:noWrap/>
            <w:hideMark/>
          </w:tcPr>
          <w:p w14:paraId="7E945A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0.005*</w:t>
            </w:r>
          </w:p>
        </w:tc>
        <w:tc>
          <w:tcPr>
            <w:tcW w:w="570" w:type="pct"/>
            <w:tcBorders>
              <w:top w:val="nil"/>
              <w:left w:val="nil"/>
              <w:bottom w:val="single" w:sz="4" w:space="0" w:color="auto"/>
              <w:right w:val="single" w:sz="4" w:space="0" w:color="auto"/>
            </w:tcBorders>
            <w:shd w:val="clear" w:color="auto" w:fill="auto"/>
            <w:noWrap/>
            <w:hideMark/>
          </w:tcPr>
          <w:p w14:paraId="1C5F75A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15323DC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1.84</w:t>
            </w:r>
          </w:p>
        </w:tc>
        <w:tc>
          <w:tcPr>
            <w:tcW w:w="551" w:type="pct"/>
            <w:tcBorders>
              <w:top w:val="nil"/>
              <w:left w:val="nil"/>
              <w:bottom w:val="single" w:sz="4" w:space="0" w:color="auto"/>
              <w:right w:val="single" w:sz="4" w:space="0" w:color="auto"/>
            </w:tcBorders>
            <w:shd w:val="clear" w:color="auto" w:fill="auto"/>
            <w:noWrap/>
            <w:hideMark/>
          </w:tcPr>
          <w:p w14:paraId="43798DA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0.398</w:t>
            </w:r>
          </w:p>
        </w:tc>
      </w:tr>
      <w:tr w:rsidR="006D10DE" w:rsidRPr="00A17509" w14:paraId="75A12D6A"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AE0C74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15-30 years</w:t>
            </w:r>
          </w:p>
        </w:tc>
        <w:tc>
          <w:tcPr>
            <w:tcW w:w="619" w:type="pct"/>
            <w:tcBorders>
              <w:top w:val="nil"/>
              <w:left w:val="nil"/>
              <w:bottom w:val="single" w:sz="4" w:space="0" w:color="auto"/>
              <w:right w:val="single" w:sz="4" w:space="0" w:color="auto"/>
            </w:tcBorders>
            <w:shd w:val="clear" w:color="auto" w:fill="auto"/>
            <w:noWrap/>
            <w:hideMark/>
          </w:tcPr>
          <w:p w14:paraId="0C4998A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55(12.0)</w:t>
            </w:r>
          </w:p>
        </w:tc>
        <w:tc>
          <w:tcPr>
            <w:tcW w:w="634" w:type="pct"/>
            <w:tcBorders>
              <w:top w:val="nil"/>
              <w:left w:val="nil"/>
              <w:bottom w:val="single" w:sz="4" w:space="0" w:color="auto"/>
              <w:right w:val="single" w:sz="4" w:space="0" w:color="auto"/>
            </w:tcBorders>
            <w:shd w:val="clear" w:color="auto" w:fill="auto"/>
            <w:noWrap/>
            <w:hideMark/>
          </w:tcPr>
          <w:p w14:paraId="7E73134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FB7F40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F1A35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55(21.7)</w:t>
            </w:r>
          </w:p>
        </w:tc>
        <w:tc>
          <w:tcPr>
            <w:tcW w:w="663" w:type="pct"/>
            <w:tcBorders>
              <w:top w:val="nil"/>
              <w:left w:val="nil"/>
              <w:bottom w:val="single" w:sz="4" w:space="0" w:color="auto"/>
              <w:right w:val="single" w:sz="4" w:space="0" w:color="auto"/>
            </w:tcBorders>
            <w:shd w:val="clear" w:color="auto" w:fill="auto"/>
            <w:noWrap/>
            <w:hideMark/>
          </w:tcPr>
          <w:p w14:paraId="5B72BCA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BBCD0C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8EB229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358294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31 - 45 years</w:t>
            </w:r>
          </w:p>
        </w:tc>
        <w:tc>
          <w:tcPr>
            <w:tcW w:w="619" w:type="pct"/>
            <w:tcBorders>
              <w:top w:val="nil"/>
              <w:left w:val="nil"/>
              <w:bottom w:val="single" w:sz="4" w:space="0" w:color="auto"/>
              <w:right w:val="single" w:sz="4" w:space="0" w:color="auto"/>
            </w:tcBorders>
            <w:shd w:val="clear" w:color="auto" w:fill="auto"/>
            <w:noWrap/>
            <w:hideMark/>
          </w:tcPr>
          <w:p w14:paraId="283466A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47 (7.3)</w:t>
            </w:r>
          </w:p>
        </w:tc>
        <w:tc>
          <w:tcPr>
            <w:tcW w:w="634" w:type="pct"/>
            <w:tcBorders>
              <w:top w:val="nil"/>
              <w:left w:val="nil"/>
              <w:bottom w:val="single" w:sz="4" w:space="0" w:color="auto"/>
              <w:right w:val="single" w:sz="4" w:space="0" w:color="auto"/>
            </w:tcBorders>
            <w:shd w:val="clear" w:color="auto" w:fill="auto"/>
            <w:noWrap/>
            <w:hideMark/>
          </w:tcPr>
          <w:p w14:paraId="7D53EB8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77FEE2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1E0A3C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38(22.7)</w:t>
            </w:r>
          </w:p>
        </w:tc>
        <w:tc>
          <w:tcPr>
            <w:tcW w:w="663" w:type="pct"/>
            <w:tcBorders>
              <w:top w:val="nil"/>
              <w:left w:val="nil"/>
              <w:bottom w:val="single" w:sz="4" w:space="0" w:color="auto"/>
              <w:right w:val="single" w:sz="4" w:space="0" w:color="auto"/>
            </w:tcBorders>
            <w:shd w:val="clear" w:color="auto" w:fill="auto"/>
            <w:noWrap/>
            <w:hideMark/>
          </w:tcPr>
          <w:p w14:paraId="41F850C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6E3EC3D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A4BCEB9"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F9B93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46 - 49 years</w:t>
            </w:r>
          </w:p>
        </w:tc>
        <w:tc>
          <w:tcPr>
            <w:tcW w:w="619" w:type="pct"/>
            <w:tcBorders>
              <w:top w:val="nil"/>
              <w:left w:val="nil"/>
              <w:bottom w:val="single" w:sz="4" w:space="0" w:color="auto"/>
              <w:right w:val="single" w:sz="4" w:space="0" w:color="auto"/>
            </w:tcBorders>
            <w:shd w:val="clear" w:color="auto" w:fill="auto"/>
            <w:noWrap/>
            <w:hideMark/>
          </w:tcPr>
          <w:p w14:paraId="3E8638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2(2.9)</w:t>
            </w:r>
          </w:p>
        </w:tc>
        <w:tc>
          <w:tcPr>
            <w:tcW w:w="634" w:type="pct"/>
            <w:tcBorders>
              <w:top w:val="nil"/>
              <w:left w:val="nil"/>
              <w:bottom w:val="single" w:sz="4" w:space="0" w:color="auto"/>
              <w:right w:val="single" w:sz="4" w:space="0" w:color="auto"/>
            </w:tcBorders>
            <w:shd w:val="clear" w:color="auto" w:fill="auto"/>
            <w:noWrap/>
            <w:hideMark/>
          </w:tcPr>
          <w:p w14:paraId="3E2D6F8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01D424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D8541C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4(40.0)</w:t>
            </w:r>
          </w:p>
        </w:tc>
        <w:tc>
          <w:tcPr>
            <w:tcW w:w="663" w:type="pct"/>
            <w:tcBorders>
              <w:top w:val="nil"/>
              <w:left w:val="nil"/>
              <w:bottom w:val="single" w:sz="4" w:space="0" w:color="auto"/>
              <w:right w:val="single" w:sz="4" w:space="0" w:color="auto"/>
            </w:tcBorders>
            <w:shd w:val="clear" w:color="auto" w:fill="auto"/>
            <w:noWrap/>
            <w:hideMark/>
          </w:tcPr>
          <w:p w14:paraId="6C39B6A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D21F1F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50B8BB0"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94641C8"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Level of education</w:t>
            </w:r>
          </w:p>
        </w:tc>
        <w:tc>
          <w:tcPr>
            <w:tcW w:w="619" w:type="pct"/>
            <w:tcBorders>
              <w:top w:val="nil"/>
              <w:left w:val="nil"/>
              <w:bottom w:val="single" w:sz="4" w:space="0" w:color="auto"/>
              <w:right w:val="single" w:sz="4" w:space="0" w:color="auto"/>
            </w:tcBorders>
            <w:shd w:val="clear" w:color="auto" w:fill="auto"/>
            <w:noWrap/>
            <w:hideMark/>
          </w:tcPr>
          <w:p w14:paraId="475686C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5D7E249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2.23</w:t>
            </w:r>
          </w:p>
        </w:tc>
        <w:tc>
          <w:tcPr>
            <w:tcW w:w="522" w:type="pct"/>
            <w:tcBorders>
              <w:top w:val="nil"/>
              <w:left w:val="nil"/>
              <w:bottom w:val="single" w:sz="4" w:space="0" w:color="auto"/>
              <w:right w:val="single" w:sz="4" w:space="0" w:color="auto"/>
            </w:tcBorders>
            <w:shd w:val="clear" w:color="auto" w:fill="auto"/>
            <w:noWrap/>
            <w:hideMark/>
          </w:tcPr>
          <w:p w14:paraId="4B4E7E9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0.529</w:t>
            </w:r>
          </w:p>
        </w:tc>
        <w:tc>
          <w:tcPr>
            <w:tcW w:w="570" w:type="pct"/>
            <w:tcBorders>
              <w:top w:val="nil"/>
              <w:left w:val="nil"/>
              <w:bottom w:val="single" w:sz="4" w:space="0" w:color="auto"/>
              <w:right w:val="single" w:sz="4" w:space="0" w:color="auto"/>
            </w:tcBorders>
            <w:shd w:val="clear" w:color="auto" w:fill="auto"/>
            <w:noWrap/>
            <w:hideMark/>
          </w:tcPr>
          <w:p w14:paraId="1D5B102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4987122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2.28</w:t>
            </w:r>
          </w:p>
        </w:tc>
        <w:tc>
          <w:tcPr>
            <w:tcW w:w="551" w:type="pct"/>
            <w:tcBorders>
              <w:top w:val="nil"/>
              <w:left w:val="nil"/>
              <w:bottom w:val="single" w:sz="4" w:space="0" w:color="auto"/>
              <w:right w:val="single" w:sz="4" w:space="0" w:color="auto"/>
            </w:tcBorders>
            <w:shd w:val="clear" w:color="auto" w:fill="auto"/>
            <w:noWrap/>
            <w:hideMark/>
          </w:tcPr>
          <w:p w14:paraId="5DCFB97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0.516</w:t>
            </w:r>
          </w:p>
        </w:tc>
      </w:tr>
      <w:tr w:rsidR="006D10DE" w:rsidRPr="00A17509" w14:paraId="2CFA44DC"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6FA96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619" w:type="pct"/>
            <w:tcBorders>
              <w:top w:val="nil"/>
              <w:left w:val="nil"/>
              <w:bottom w:val="single" w:sz="4" w:space="0" w:color="auto"/>
              <w:right w:val="single" w:sz="4" w:space="0" w:color="auto"/>
            </w:tcBorders>
            <w:shd w:val="clear" w:color="auto" w:fill="auto"/>
            <w:noWrap/>
            <w:hideMark/>
          </w:tcPr>
          <w:p w14:paraId="767C366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7(9.5)</w:t>
            </w:r>
          </w:p>
        </w:tc>
        <w:tc>
          <w:tcPr>
            <w:tcW w:w="634" w:type="pct"/>
            <w:tcBorders>
              <w:top w:val="nil"/>
              <w:left w:val="nil"/>
              <w:bottom w:val="single" w:sz="4" w:space="0" w:color="auto"/>
              <w:right w:val="single" w:sz="4" w:space="0" w:color="auto"/>
            </w:tcBorders>
            <w:shd w:val="clear" w:color="auto" w:fill="auto"/>
            <w:noWrap/>
            <w:hideMark/>
          </w:tcPr>
          <w:p w14:paraId="164095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46B5B3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43C3D73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61(21.1)</w:t>
            </w:r>
          </w:p>
        </w:tc>
        <w:tc>
          <w:tcPr>
            <w:tcW w:w="663" w:type="pct"/>
            <w:tcBorders>
              <w:top w:val="nil"/>
              <w:left w:val="nil"/>
              <w:bottom w:val="single" w:sz="4" w:space="0" w:color="auto"/>
              <w:right w:val="single" w:sz="4" w:space="0" w:color="auto"/>
            </w:tcBorders>
            <w:shd w:val="clear" w:color="auto" w:fill="auto"/>
            <w:noWrap/>
            <w:hideMark/>
          </w:tcPr>
          <w:p w14:paraId="4B25716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67CCE1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79CC5C5"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83067F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619" w:type="pct"/>
            <w:tcBorders>
              <w:top w:val="nil"/>
              <w:left w:val="nil"/>
              <w:bottom w:val="single" w:sz="4" w:space="0" w:color="auto"/>
              <w:right w:val="single" w:sz="4" w:space="0" w:color="auto"/>
            </w:tcBorders>
            <w:shd w:val="clear" w:color="auto" w:fill="auto"/>
            <w:noWrap/>
            <w:hideMark/>
          </w:tcPr>
          <w:p w14:paraId="14104EF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10(8.4)</w:t>
            </w:r>
          </w:p>
        </w:tc>
        <w:tc>
          <w:tcPr>
            <w:tcW w:w="634" w:type="pct"/>
            <w:tcBorders>
              <w:top w:val="nil"/>
              <w:left w:val="nil"/>
              <w:bottom w:val="single" w:sz="4" w:space="0" w:color="auto"/>
              <w:right w:val="single" w:sz="4" w:space="0" w:color="auto"/>
            </w:tcBorders>
            <w:shd w:val="clear" w:color="auto" w:fill="auto"/>
            <w:noWrap/>
            <w:hideMark/>
          </w:tcPr>
          <w:p w14:paraId="50B2E97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AB47FB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7994230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21(25.3)</w:t>
            </w:r>
          </w:p>
        </w:tc>
        <w:tc>
          <w:tcPr>
            <w:tcW w:w="663" w:type="pct"/>
            <w:tcBorders>
              <w:top w:val="nil"/>
              <w:left w:val="nil"/>
              <w:bottom w:val="single" w:sz="4" w:space="0" w:color="auto"/>
              <w:right w:val="single" w:sz="4" w:space="0" w:color="auto"/>
            </w:tcBorders>
            <w:shd w:val="clear" w:color="auto" w:fill="auto"/>
            <w:noWrap/>
            <w:hideMark/>
          </w:tcPr>
          <w:p w14:paraId="4310F9D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D4DAA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D66B429"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45BE29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619" w:type="pct"/>
            <w:tcBorders>
              <w:top w:val="nil"/>
              <w:left w:val="nil"/>
              <w:bottom w:val="single" w:sz="4" w:space="0" w:color="auto"/>
              <w:right w:val="single" w:sz="4" w:space="0" w:color="auto"/>
            </w:tcBorders>
            <w:shd w:val="clear" w:color="auto" w:fill="auto"/>
            <w:noWrap/>
            <w:hideMark/>
          </w:tcPr>
          <w:p w14:paraId="1411AF4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57(10.0)</w:t>
            </w:r>
          </w:p>
        </w:tc>
        <w:tc>
          <w:tcPr>
            <w:tcW w:w="634" w:type="pct"/>
            <w:tcBorders>
              <w:top w:val="nil"/>
              <w:left w:val="nil"/>
              <w:bottom w:val="single" w:sz="4" w:space="0" w:color="auto"/>
              <w:right w:val="single" w:sz="4" w:space="0" w:color="auto"/>
            </w:tcBorders>
            <w:shd w:val="clear" w:color="auto" w:fill="auto"/>
            <w:noWrap/>
            <w:hideMark/>
          </w:tcPr>
          <w:p w14:paraId="057CFAA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6A8885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A829FB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15(27.3)</w:t>
            </w:r>
          </w:p>
        </w:tc>
        <w:tc>
          <w:tcPr>
            <w:tcW w:w="663" w:type="pct"/>
            <w:tcBorders>
              <w:top w:val="nil"/>
              <w:left w:val="nil"/>
              <w:bottom w:val="single" w:sz="4" w:space="0" w:color="auto"/>
              <w:right w:val="single" w:sz="4" w:space="0" w:color="auto"/>
            </w:tcBorders>
            <w:shd w:val="clear" w:color="auto" w:fill="auto"/>
            <w:noWrap/>
            <w:hideMark/>
          </w:tcPr>
          <w:p w14:paraId="7035CE8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B3FE5F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83EEB72"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81A6AE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619" w:type="pct"/>
            <w:tcBorders>
              <w:top w:val="nil"/>
              <w:left w:val="nil"/>
              <w:bottom w:val="single" w:sz="4" w:space="0" w:color="auto"/>
              <w:right w:val="single" w:sz="4" w:space="0" w:color="auto"/>
            </w:tcBorders>
            <w:shd w:val="clear" w:color="auto" w:fill="auto"/>
            <w:noWrap/>
            <w:hideMark/>
          </w:tcPr>
          <w:p w14:paraId="1883E9E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30(7.3)</w:t>
            </w:r>
          </w:p>
        </w:tc>
        <w:tc>
          <w:tcPr>
            <w:tcW w:w="634" w:type="pct"/>
            <w:tcBorders>
              <w:top w:val="nil"/>
              <w:left w:val="nil"/>
              <w:bottom w:val="single" w:sz="4" w:space="0" w:color="auto"/>
              <w:right w:val="single" w:sz="4" w:space="0" w:color="auto"/>
            </w:tcBorders>
            <w:shd w:val="clear" w:color="auto" w:fill="auto"/>
            <w:noWrap/>
            <w:hideMark/>
          </w:tcPr>
          <w:p w14:paraId="17AFF49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54462F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394416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099DE9D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0A213D7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EC81233"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0DB549F"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Marital Status</w:t>
            </w:r>
          </w:p>
        </w:tc>
        <w:tc>
          <w:tcPr>
            <w:tcW w:w="619" w:type="pct"/>
            <w:tcBorders>
              <w:top w:val="nil"/>
              <w:left w:val="nil"/>
              <w:bottom w:val="single" w:sz="4" w:space="0" w:color="auto"/>
              <w:right w:val="single" w:sz="4" w:space="0" w:color="auto"/>
            </w:tcBorders>
            <w:shd w:val="clear" w:color="auto" w:fill="auto"/>
            <w:noWrap/>
            <w:hideMark/>
          </w:tcPr>
          <w:p w14:paraId="594A3A4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0FAB239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1.28</w:t>
            </w:r>
          </w:p>
        </w:tc>
        <w:tc>
          <w:tcPr>
            <w:tcW w:w="522" w:type="pct"/>
            <w:tcBorders>
              <w:top w:val="nil"/>
              <w:left w:val="nil"/>
              <w:bottom w:val="single" w:sz="4" w:space="0" w:color="auto"/>
              <w:right w:val="single" w:sz="4" w:space="0" w:color="auto"/>
            </w:tcBorders>
            <w:shd w:val="clear" w:color="auto" w:fill="auto"/>
            <w:noWrap/>
            <w:hideMark/>
          </w:tcPr>
          <w:p w14:paraId="33822C1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0.527</w:t>
            </w:r>
          </w:p>
        </w:tc>
        <w:tc>
          <w:tcPr>
            <w:tcW w:w="570" w:type="pct"/>
            <w:tcBorders>
              <w:top w:val="nil"/>
              <w:left w:val="nil"/>
              <w:bottom w:val="single" w:sz="4" w:space="0" w:color="auto"/>
              <w:right w:val="single" w:sz="4" w:space="0" w:color="auto"/>
            </w:tcBorders>
            <w:shd w:val="clear" w:color="auto" w:fill="auto"/>
            <w:noWrap/>
            <w:hideMark/>
          </w:tcPr>
          <w:p w14:paraId="23E2DB2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50FD5A3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1.47</w:t>
            </w:r>
          </w:p>
        </w:tc>
        <w:tc>
          <w:tcPr>
            <w:tcW w:w="551" w:type="pct"/>
            <w:tcBorders>
              <w:top w:val="nil"/>
              <w:left w:val="nil"/>
              <w:bottom w:val="single" w:sz="4" w:space="0" w:color="auto"/>
              <w:right w:val="single" w:sz="4" w:space="0" w:color="auto"/>
            </w:tcBorders>
            <w:shd w:val="clear" w:color="auto" w:fill="auto"/>
            <w:noWrap/>
            <w:hideMark/>
          </w:tcPr>
          <w:p w14:paraId="227B49B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0.225</w:t>
            </w:r>
          </w:p>
        </w:tc>
      </w:tr>
      <w:tr w:rsidR="006D10DE" w:rsidRPr="00A17509" w14:paraId="5209FFBD" w14:textId="77777777" w:rsidTr="00AC0D17">
        <w:trPr>
          <w:trHeight w:val="622"/>
        </w:trPr>
        <w:tc>
          <w:tcPr>
            <w:tcW w:w="1441" w:type="pct"/>
            <w:tcBorders>
              <w:top w:val="nil"/>
              <w:left w:val="single" w:sz="4" w:space="0" w:color="auto"/>
              <w:bottom w:val="single" w:sz="4" w:space="0" w:color="auto"/>
              <w:right w:val="single" w:sz="4" w:space="0" w:color="auto"/>
            </w:tcBorders>
            <w:shd w:val="clear" w:color="auto" w:fill="auto"/>
            <w:vAlign w:val="bottom"/>
            <w:hideMark/>
          </w:tcPr>
          <w:p w14:paraId="0C6F201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Never married (but sexually active)</w:t>
            </w:r>
          </w:p>
        </w:tc>
        <w:tc>
          <w:tcPr>
            <w:tcW w:w="619" w:type="pct"/>
            <w:tcBorders>
              <w:top w:val="nil"/>
              <w:left w:val="nil"/>
              <w:bottom w:val="single" w:sz="4" w:space="0" w:color="auto"/>
              <w:right w:val="single" w:sz="4" w:space="0" w:color="auto"/>
            </w:tcBorders>
            <w:shd w:val="clear" w:color="auto" w:fill="auto"/>
            <w:noWrap/>
            <w:hideMark/>
          </w:tcPr>
          <w:p w14:paraId="1E3006D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13(8.5)</w:t>
            </w:r>
          </w:p>
        </w:tc>
        <w:tc>
          <w:tcPr>
            <w:tcW w:w="634" w:type="pct"/>
            <w:tcBorders>
              <w:top w:val="nil"/>
              <w:left w:val="nil"/>
              <w:bottom w:val="single" w:sz="4" w:space="0" w:color="auto"/>
              <w:right w:val="single" w:sz="4" w:space="0" w:color="auto"/>
            </w:tcBorders>
            <w:shd w:val="clear" w:color="auto" w:fill="auto"/>
            <w:noWrap/>
            <w:hideMark/>
          </w:tcPr>
          <w:p w14:paraId="3382A40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35DB25B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3342A56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1ED095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42FF2A6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06E9D87"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4A4E57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Currently in a Union</w:t>
            </w:r>
          </w:p>
        </w:tc>
        <w:tc>
          <w:tcPr>
            <w:tcW w:w="619" w:type="pct"/>
            <w:tcBorders>
              <w:top w:val="nil"/>
              <w:left w:val="nil"/>
              <w:bottom w:val="single" w:sz="4" w:space="0" w:color="auto"/>
              <w:right w:val="single" w:sz="4" w:space="0" w:color="auto"/>
            </w:tcBorders>
            <w:shd w:val="clear" w:color="auto" w:fill="auto"/>
            <w:noWrap/>
            <w:hideMark/>
          </w:tcPr>
          <w:p w14:paraId="25036D4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89(9.2)</w:t>
            </w:r>
          </w:p>
        </w:tc>
        <w:tc>
          <w:tcPr>
            <w:tcW w:w="634" w:type="pct"/>
            <w:tcBorders>
              <w:top w:val="nil"/>
              <w:left w:val="nil"/>
              <w:bottom w:val="single" w:sz="4" w:space="0" w:color="auto"/>
              <w:right w:val="single" w:sz="4" w:space="0" w:color="auto"/>
            </w:tcBorders>
            <w:shd w:val="clear" w:color="auto" w:fill="auto"/>
            <w:noWrap/>
            <w:hideMark/>
          </w:tcPr>
          <w:p w14:paraId="0F842A5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5C59148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074B55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97(22.8)</w:t>
            </w:r>
          </w:p>
        </w:tc>
        <w:tc>
          <w:tcPr>
            <w:tcW w:w="663" w:type="pct"/>
            <w:tcBorders>
              <w:top w:val="nil"/>
              <w:left w:val="nil"/>
              <w:bottom w:val="single" w:sz="4" w:space="0" w:color="auto"/>
              <w:right w:val="single" w:sz="4" w:space="0" w:color="auto"/>
            </w:tcBorders>
            <w:shd w:val="clear" w:color="auto" w:fill="auto"/>
            <w:noWrap/>
            <w:hideMark/>
          </w:tcPr>
          <w:p w14:paraId="785CA21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4C3390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4F6F203" w14:textId="77777777" w:rsidTr="00AC0D17">
        <w:trPr>
          <w:trHeight w:val="395"/>
        </w:trPr>
        <w:tc>
          <w:tcPr>
            <w:tcW w:w="1441" w:type="pct"/>
            <w:tcBorders>
              <w:top w:val="nil"/>
              <w:left w:val="single" w:sz="4" w:space="0" w:color="auto"/>
              <w:bottom w:val="single" w:sz="4" w:space="0" w:color="auto"/>
              <w:right w:val="single" w:sz="4" w:space="0" w:color="auto"/>
            </w:tcBorders>
            <w:shd w:val="clear" w:color="auto" w:fill="auto"/>
            <w:vAlign w:val="bottom"/>
            <w:hideMark/>
          </w:tcPr>
          <w:p w14:paraId="4E9E066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Divorce/ Separated (but sexually active)</w:t>
            </w:r>
          </w:p>
        </w:tc>
        <w:tc>
          <w:tcPr>
            <w:tcW w:w="619" w:type="pct"/>
            <w:tcBorders>
              <w:top w:val="nil"/>
              <w:left w:val="nil"/>
              <w:bottom w:val="single" w:sz="4" w:space="0" w:color="auto"/>
              <w:right w:val="single" w:sz="4" w:space="0" w:color="auto"/>
            </w:tcBorders>
            <w:shd w:val="clear" w:color="auto" w:fill="auto"/>
            <w:noWrap/>
            <w:hideMark/>
          </w:tcPr>
          <w:p w14:paraId="1F69814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2(4.4)</w:t>
            </w:r>
          </w:p>
        </w:tc>
        <w:tc>
          <w:tcPr>
            <w:tcW w:w="634" w:type="pct"/>
            <w:tcBorders>
              <w:top w:val="nil"/>
              <w:left w:val="nil"/>
              <w:bottom w:val="single" w:sz="4" w:space="0" w:color="auto"/>
              <w:right w:val="single" w:sz="4" w:space="0" w:color="auto"/>
            </w:tcBorders>
            <w:shd w:val="clear" w:color="auto" w:fill="auto"/>
            <w:noWrap/>
            <w:hideMark/>
          </w:tcPr>
          <w:p w14:paraId="2D9065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794518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30094FB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7043C98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396A2F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A9CB8B9"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0AF48E9"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Partner's level of education</w:t>
            </w:r>
          </w:p>
        </w:tc>
        <w:tc>
          <w:tcPr>
            <w:tcW w:w="619" w:type="pct"/>
            <w:tcBorders>
              <w:top w:val="nil"/>
              <w:left w:val="nil"/>
              <w:bottom w:val="single" w:sz="4" w:space="0" w:color="auto"/>
              <w:right w:val="single" w:sz="4" w:space="0" w:color="auto"/>
            </w:tcBorders>
            <w:shd w:val="clear" w:color="auto" w:fill="auto"/>
            <w:noWrap/>
            <w:hideMark/>
          </w:tcPr>
          <w:p w14:paraId="1F8CFB2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7E8C895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0.19</w:t>
            </w:r>
          </w:p>
        </w:tc>
        <w:tc>
          <w:tcPr>
            <w:tcW w:w="522" w:type="pct"/>
            <w:tcBorders>
              <w:top w:val="nil"/>
              <w:left w:val="nil"/>
              <w:bottom w:val="single" w:sz="4" w:space="0" w:color="auto"/>
              <w:right w:val="single" w:sz="4" w:space="0" w:color="auto"/>
            </w:tcBorders>
            <w:shd w:val="clear" w:color="auto" w:fill="auto"/>
            <w:noWrap/>
            <w:hideMark/>
          </w:tcPr>
          <w:p w14:paraId="707ED8C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0.979</w:t>
            </w:r>
          </w:p>
        </w:tc>
        <w:tc>
          <w:tcPr>
            <w:tcW w:w="570" w:type="pct"/>
            <w:tcBorders>
              <w:top w:val="nil"/>
              <w:left w:val="nil"/>
              <w:bottom w:val="single" w:sz="4" w:space="0" w:color="auto"/>
              <w:right w:val="single" w:sz="4" w:space="0" w:color="auto"/>
            </w:tcBorders>
            <w:shd w:val="clear" w:color="auto" w:fill="auto"/>
            <w:noWrap/>
            <w:hideMark/>
          </w:tcPr>
          <w:p w14:paraId="4D5021D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162F083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4.63</w:t>
            </w:r>
          </w:p>
        </w:tc>
        <w:tc>
          <w:tcPr>
            <w:tcW w:w="551" w:type="pct"/>
            <w:tcBorders>
              <w:top w:val="nil"/>
              <w:left w:val="nil"/>
              <w:bottom w:val="single" w:sz="4" w:space="0" w:color="auto"/>
              <w:right w:val="single" w:sz="4" w:space="0" w:color="auto"/>
            </w:tcBorders>
            <w:shd w:val="clear" w:color="auto" w:fill="auto"/>
            <w:noWrap/>
            <w:hideMark/>
          </w:tcPr>
          <w:p w14:paraId="255A773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0.201</w:t>
            </w:r>
          </w:p>
        </w:tc>
      </w:tr>
      <w:tr w:rsidR="006D10DE" w:rsidRPr="00A17509" w14:paraId="36C2D78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0967641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619" w:type="pct"/>
            <w:tcBorders>
              <w:top w:val="nil"/>
              <w:left w:val="nil"/>
              <w:bottom w:val="single" w:sz="4" w:space="0" w:color="auto"/>
              <w:right w:val="single" w:sz="4" w:space="0" w:color="auto"/>
            </w:tcBorders>
            <w:shd w:val="clear" w:color="auto" w:fill="auto"/>
            <w:noWrap/>
            <w:hideMark/>
          </w:tcPr>
          <w:p w14:paraId="5E7729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5(9.8)</w:t>
            </w:r>
          </w:p>
        </w:tc>
        <w:tc>
          <w:tcPr>
            <w:tcW w:w="634" w:type="pct"/>
            <w:tcBorders>
              <w:top w:val="nil"/>
              <w:left w:val="nil"/>
              <w:bottom w:val="single" w:sz="4" w:space="0" w:color="auto"/>
              <w:right w:val="single" w:sz="4" w:space="0" w:color="auto"/>
            </w:tcBorders>
            <w:shd w:val="clear" w:color="auto" w:fill="auto"/>
            <w:noWrap/>
            <w:hideMark/>
          </w:tcPr>
          <w:p w14:paraId="1C6EFD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68FE8FF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8E64A2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49(20.8)</w:t>
            </w:r>
          </w:p>
        </w:tc>
        <w:tc>
          <w:tcPr>
            <w:tcW w:w="663" w:type="pct"/>
            <w:tcBorders>
              <w:top w:val="nil"/>
              <w:left w:val="nil"/>
              <w:bottom w:val="single" w:sz="4" w:space="0" w:color="auto"/>
              <w:right w:val="single" w:sz="4" w:space="0" w:color="auto"/>
            </w:tcBorders>
            <w:shd w:val="clear" w:color="auto" w:fill="auto"/>
            <w:noWrap/>
            <w:hideMark/>
          </w:tcPr>
          <w:p w14:paraId="05B890D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4986E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4C2524A"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BD3BBC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619" w:type="pct"/>
            <w:tcBorders>
              <w:top w:val="nil"/>
              <w:left w:val="nil"/>
              <w:bottom w:val="single" w:sz="4" w:space="0" w:color="auto"/>
              <w:right w:val="single" w:sz="4" w:space="0" w:color="auto"/>
            </w:tcBorders>
            <w:shd w:val="clear" w:color="auto" w:fill="auto"/>
            <w:noWrap/>
            <w:hideMark/>
          </w:tcPr>
          <w:p w14:paraId="34D7715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5(9.8)</w:t>
            </w:r>
          </w:p>
        </w:tc>
        <w:tc>
          <w:tcPr>
            <w:tcW w:w="634" w:type="pct"/>
            <w:tcBorders>
              <w:top w:val="nil"/>
              <w:left w:val="nil"/>
              <w:bottom w:val="single" w:sz="4" w:space="0" w:color="auto"/>
              <w:right w:val="single" w:sz="4" w:space="0" w:color="auto"/>
            </w:tcBorders>
            <w:shd w:val="clear" w:color="auto" w:fill="auto"/>
            <w:noWrap/>
            <w:hideMark/>
          </w:tcPr>
          <w:p w14:paraId="4823414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0B8B857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28B6C0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12(23.5)</w:t>
            </w:r>
          </w:p>
        </w:tc>
        <w:tc>
          <w:tcPr>
            <w:tcW w:w="663" w:type="pct"/>
            <w:tcBorders>
              <w:top w:val="nil"/>
              <w:left w:val="nil"/>
              <w:bottom w:val="single" w:sz="4" w:space="0" w:color="auto"/>
              <w:right w:val="single" w:sz="4" w:space="0" w:color="auto"/>
            </w:tcBorders>
            <w:shd w:val="clear" w:color="auto" w:fill="auto"/>
            <w:noWrap/>
            <w:hideMark/>
          </w:tcPr>
          <w:p w14:paraId="39BB83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69BA8D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6B5453E"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DDBB28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619" w:type="pct"/>
            <w:tcBorders>
              <w:top w:val="nil"/>
              <w:left w:val="nil"/>
              <w:bottom w:val="single" w:sz="4" w:space="0" w:color="auto"/>
              <w:right w:val="single" w:sz="4" w:space="0" w:color="auto"/>
            </w:tcBorders>
            <w:shd w:val="clear" w:color="auto" w:fill="auto"/>
            <w:noWrap/>
            <w:hideMark/>
          </w:tcPr>
          <w:p w14:paraId="105DCAF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38(9.4)</w:t>
            </w:r>
          </w:p>
        </w:tc>
        <w:tc>
          <w:tcPr>
            <w:tcW w:w="634" w:type="pct"/>
            <w:tcBorders>
              <w:top w:val="nil"/>
              <w:left w:val="nil"/>
              <w:bottom w:val="single" w:sz="4" w:space="0" w:color="auto"/>
              <w:right w:val="single" w:sz="4" w:space="0" w:color="auto"/>
            </w:tcBorders>
            <w:shd w:val="clear" w:color="auto" w:fill="auto"/>
            <w:noWrap/>
            <w:hideMark/>
          </w:tcPr>
          <w:p w14:paraId="7940A70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4055431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1FC7B9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27(31.0)</w:t>
            </w:r>
          </w:p>
        </w:tc>
        <w:tc>
          <w:tcPr>
            <w:tcW w:w="663" w:type="pct"/>
            <w:tcBorders>
              <w:top w:val="nil"/>
              <w:left w:val="nil"/>
              <w:bottom w:val="single" w:sz="4" w:space="0" w:color="auto"/>
              <w:right w:val="single" w:sz="4" w:space="0" w:color="auto"/>
            </w:tcBorders>
            <w:shd w:val="clear" w:color="auto" w:fill="auto"/>
            <w:noWrap/>
            <w:hideMark/>
          </w:tcPr>
          <w:p w14:paraId="6E1E115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28C2D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9B4F063"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32E2A0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619" w:type="pct"/>
            <w:tcBorders>
              <w:top w:val="nil"/>
              <w:left w:val="nil"/>
              <w:bottom w:val="single" w:sz="4" w:space="0" w:color="auto"/>
              <w:right w:val="single" w:sz="4" w:space="0" w:color="auto"/>
            </w:tcBorders>
            <w:shd w:val="clear" w:color="auto" w:fill="auto"/>
            <w:noWrap/>
            <w:hideMark/>
          </w:tcPr>
          <w:p w14:paraId="6D0FF5F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40(8.7)</w:t>
            </w:r>
          </w:p>
        </w:tc>
        <w:tc>
          <w:tcPr>
            <w:tcW w:w="634" w:type="pct"/>
            <w:tcBorders>
              <w:top w:val="nil"/>
              <w:left w:val="nil"/>
              <w:bottom w:val="single" w:sz="4" w:space="0" w:color="auto"/>
              <w:right w:val="single" w:sz="4" w:space="0" w:color="auto"/>
            </w:tcBorders>
            <w:shd w:val="clear" w:color="auto" w:fill="auto"/>
            <w:noWrap/>
            <w:hideMark/>
          </w:tcPr>
          <w:p w14:paraId="185CA66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35689FF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9CD01A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9(17.6)</w:t>
            </w:r>
          </w:p>
        </w:tc>
        <w:tc>
          <w:tcPr>
            <w:tcW w:w="663" w:type="pct"/>
            <w:tcBorders>
              <w:top w:val="nil"/>
              <w:left w:val="nil"/>
              <w:bottom w:val="single" w:sz="4" w:space="0" w:color="auto"/>
              <w:right w:val="single" w:sz="4" w:space="0" w:color="auto"/>
            </w:tcBorders>
            <w:shd w:val="clear" w:color="auto" w:fill="auto"/>
            <w:noWrap/>
            <w:hideMark/>
          </w:tcPr>
          <w:p w14:paraId="18C5050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95E176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5460770"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7D76C640"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lastRenderedPageBreak/>
              <w:t>Age at first sex- grouped.</w:t>
            </w:r>
          </w:p>
        </w:tc>
        <w:tc>
          <w:tcPr>
            <w:tcW w:w="619" w:type="pct"/>
            <w:tcBorders>
              <w:top w:val="nil"/>
              <w:left w:val="nil"/>
              <w:bottom w:val="single" w:sz="4" w:space="0" w:color="auto"/>
              <w:right w:val="single" w:sz="4" w:space="0" w:color="auto"/>
            </w:tcBorders>
            <w:shd w:val="clear" w:color="auto" w:fill="auto"/>
            <w:noWrap/>
            <w:hideMark/>
          </w:tcPr>
          <w:p w14:paraId="50A07F9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384C4EF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1.72</w:t>
            </w:r>
          </w:p>
        </w:tc>
        <w:tc>
          <w:tcPr>
            <w:tcW w:w="522" w:type="pct"/>
            <w:tcBorders>
              <w:top w:val="nil"/>
              <w:left w:val="nil"/>
              <w:bottom w:val="single" w:sz="4" w:space="0" w:color="auto"/>
              <w:right w:val="single" w:sz="4" w:space="0" w:color="auto"/>
            </w:tcBorders>
            <w:shd w:val="clear" w:color="auto" w:fill="auto"/>
            <w:noWrap/>
            <w:hideMark/>
          </w:tcPr>
          <w:p w14:paraId="627E955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0.423</w:t>
            </w:r>
          </w:p>
        </w:tc>
        <w:tc>
          <w:tcPr>
            <w:tcW w:w="570" w:type="pct"/>
            <w:tcBorders>
              <w:top w:val="nil"/>
              <w:left w:val="nil"/>
              <w:bottom w:val="single" w:sz="4" w:space="0" w:color="auto"/>
              <w:right w:val="single" w:sz="4" w:space="0" w:color="auto"/>
            </w:tcBorders>
            <w:shd w:val="clear" w:color="auto" w:fill="auto"/>
            <w:noWrap/>
            <w:hideMark/>
          </w:tcPr>
          <w:p w14:paraId="2D3470F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4FDD9FD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2.62</w:t>
            </w:r>
          </w:p>
        </w:tc>
        <w:tc>
          <w:tcPr>
            <w:tcW w:w="551" w:type="pct"/>
            <w:tcBorders>
              <w:top w:val="nil"/>
              <w:left w:val="nil"/>
              <w:bottom w:val="single" w:sz="4" w:space="0" w:color="auto"/>
              <w:right w:val="single" w:sz="4" w:space="0" w:color="auto"/>
            </w:tcBorders>
            <w:shd w:val="clear" w:color="auto" w:fill="auto"/>
            <w:noWrap/>
            <w:hideMark/>
          </w:tcPr>
          <w:p w14:paraId="044926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0.270</w:t>
            </w:r>
          </w:p>
        </w:tc>
      </w:tr>
      <w:tr w:rsidR="006D10DE" w:rsidRPr="00A17509" w14:paraId="6C8EC13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A97FC1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&lt;15</w:t>
            </w:r>
          </w:p>
        </w:tc>
        <w:tc>
          <w:tcPr>
            <w:tcW w:w="619" w:type="pct"/>
            <w:tcBorders>
              <w:top w:val="nil"/>
              <w:left w:val="nil"/>
              <w:bottom w:val="single" w:sz="4" w:space="0" w:color="auto"/>
              <w:right w:val="single" w:sz="4" w:space="0" w:color="auto"/>
            </w:tcBorders>
            <w:shd w:val="clear" w:color="auto" w:fill="auto"/>
            <w:noWrap/>
            <w:hideMark/>
          </w:tcPr>
          <w:p w14:paraId="63AE3B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8(11.1)</w:t>
            </w:r>
          </w:p>
        </w:tc>
        <w:tc>
          <w:tcPr>
            <w:tcW w:w="634" w:type="pct"/>
            <w:tcBorders>
              <w:top w:val="nil"/>
              <w:left w:val="nil"/>
              <w:bottom w:val="single" w:sz="4" w:space="0" w:color="auto"/>
              <w:right w:val="single" w:sz="4" w:space="0" w:color="auto"/>
            </w:tcBorders>
            <w:shd w:val="clear" w:color="auto" w:fill="auto"/>
            <w:noWrap/>
            <w:hideMark/>
          </w:tcPr>
          <w:p w14:paraId="2E1CF70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83DD16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6978B6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33(24.4)</w:t>
            </w:r>
          </w:p>
        </w:tc>
        <w:tc>
          <w:tcPr>
            <w:tcW w:w="663" w:type="pct"/>
            <w:tcBorders>
              <w:top w:val="nil"/>
              <w:left w:val="nil"/>
              <w:bottom w:val="single" w:sz="4" w:space="0" w:color="auto"/>
              <w:right w:val="single" w:sz="4" w:space="0" w:color="auto"/>
            </w:tcBorders>
            <w:shd w:val="clear" w:color="auto" w:fill="auto"/>
            <w:noWrap/>
            <w:hideMark/>
          </w:tcPr>
          <w:p w14:paraId="5ECAC0B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2350C47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05E87B7"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3B97DBC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15 - 20</w:t>
            </w:r>
          </w:p>
        </w:tc>
        <w:tc>
          <w:tcPr>
            <w:tcW w:w="619" w:type="pct"/>
            <w:tcBorders>
              <w:top w:val="nil"/>
              <w:left w:val="nil"/>
              <w:bottom w:val="single" w:sz="4" w:space="0" w:color="auto"/>
              <w:right w:val="single" w:sz="4" w:space="0" w:color="auto"/>
            </w:tcBorders>
            <w:shd w:val="clear" w:color="auto" w:fill="auto"/>
            <w:noWrap/>
            <w:hideMark/>
          </w:tcPr>
          <w:p w14:paraId="4BD68DE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67(9.4)</w:t>
            </w:r>
          </w:p>
        </w:tc>
        <w:tc>
          <w:tcPr>
            <w:tcW w:w="634" w:type="pct"/>
            <w:tcBorders>
              <w:top w:val="nil"/>
              <w:left w:val="nil"/>
              <w:bottom w:val="single" w:sz="4" w:space="0" w:color="auto"/>
              <w:right w:val="single" w:sz="4" w:space="0" w:color="auto"/>
            </w:tcBorders>
            <w:shd w:val="clear" w:color="auto" w:fill="auto"/>
            <w:noWrap/>
            <w:hideMark/>
          </w:tcPr>
          <w:p w14:paraId="010E840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4EBC15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3659E7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64(22.3)</w:t>
            </w:r>
          </w:p>
        </w:tc>
        <w:tc>
          <w:tcPr>
            <w:tcW w:w="663" w:type="pct"/>
            <w:tcBorders>
              <w:top w:val="nil"/>
              <w:left w:val="nil"/>
              <w:bottom w:val="single" w:sz="4" w:space="0" w:color="auto"/>
              <w:right w:val="single" w:sz="4" w:space="0" w:color="auto"/>
            </w:tcBorders>
            <w:shd w:val="clear" w:color="auto" w:fill="auto"/>
            <w:noWrap/>
            <w:hideMark/>
          </w:tcPr>
          <w:p w14:paraId="6C7D41D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C53A7F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EB48911"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5589560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&gt;20</w:t>
            </w:r>
          </w:p>
        </w:tc>
        <w:tc>
          <w:tcPr>
            <w:tcW w:w="619" w:type="pct"/>
            <w:tcBorders>
              <w:top w:val="nil"/>
              <w:left w:val="nil"/>
              <w:bottom w:val="single" w:sz="4" w:space="0" w:color="auto"/>
              <w:right w:val="single" w:sz="4" w:space="0" w:color="auto"/>
            </w:tcBorders>
            <w:shd w:val="clear" w:color="auto" w:fill="auto"/>
            <w:noWrap/>
            <w:hideMark/>
          </w:tcPr>
          <w:p w14:paraId="10B6A05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29(7.4)</w:t>
            </w:r>
          </w:p>
        </w:tc>
        <w:tc>
          <w:tcPr>
            <w:tcW w:w="634" w:type="pct"/>
            <w:tcBorders>
              <w:top w:val="nil"/>
              <w:left w:val="nil"/>
              <w:bottom w:val="single" w:sz="4" w:space="0" w:color="auto"/>
              <w:right w:val="single" w:sz="4" w:space="0" w:color="auto"/>
            </w:tcBorders>
            <w:shd w:val="clear" w:color="auto" w:fill="auto"/>
            <w:noWrap/>
            <w:hideMark/>
          </w:tcPr>
          <w:p w14:paraId="4930FF5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7C19EF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59FCB0E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4E1AED2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A09A2B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CEB1D1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EFB46BD"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 has other wives.</w:t>
            </w:r>
          </w:p>
        </w:tc>
        <w:tc>
          <w:tcPr>
            <w:tcW w:w="619" w:type="pct"/>
            <w:tcBorders>
              <w:top w:val="nil"/>
              <w:left w:val="nil"/>
              <w:bottom w:val="single" w:sz="4" w:space="0" w:color="auto"/>
              <w:right w:val="single" w:sz="4" w:space="0" w:color="auto"/>
            </w:tcBorders>
            <w:shd w:val="clear" w:color="auto" w:fill="auto"/>
            <w:noWrap/>
            <w:hideMark/>
          </w:tcPr>
          <w:p w14:paraId="18D59A4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558C528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0.93</w:t>
            </w:r>
          </w:p>
        </w:tc>
        <w:tc>
          <w:tcPr>
            <w:tcW w:w="522" w:type="pct"/>
            <w:tcBorders>
              <w:top w:val="nil"/>
              <w:left w:val="nil"/>
              <w:bottom w:val="single" w:sz="4" w:space="0" w:color="auto"/>
              <w:right w:val="single" w:sz="4" w:space="0" w:color="auto"/>
            </w:tcBorders>
            <w:shd w:val="clear" w:color="auto" w:fill="auto"/>
            <w:noWrap/>
            <w:hideMark/>
          </w:tcPr>
          <w:p w14:paraId="03481DB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0.336</w:t>
            </w:r>
          </w:p>
        </w:tc>
        <w:tc>
          <w:tcPr>
            <w:tcW w:w="570" w:type="pct"/>
            <w:tcBorders>
              <w:top w:val="nil"/>
              <w:left w:val="nil"/>
              <w:bottom w:val="single" w:sz="4" w:space="0" w:color="auto"/>
              <w:right w:val="single" w:sz="4" w:space="0" w:color="auto"/>
            </w:tcBorders>
            <w:shd w:val="clear" w:color="auto" w:fill="auto"/>
            <w:noWrap/>
            <w:hideMark/>
          </w:tcPr>
          <w:p w14:paraId="00A84F7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53FE6B1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0.01</w:t>
            </w:r>
          </w:p>
        </w:tc>
        <w:tc>
          <w:tcPr>
            <w:tcW w:w="551" w:type="pct"/>
            <w:tcBorders>
              <w:top w:val="nil"/>
              <w:left w:val="nil"/>
              <w:bottom w:val="single" w:sz="4" w:space="0" w:color="auto"/>
              <w:right w:val="single" w:sz="4" w:space="0" w:color="auto"/>
            </w:tcBorders>
            <w:shd w:val="clear" w:color="auto" w:fill="auto"/>
            <w:noWrap/>
            <w:hideMark/>
          </w:tcPr>
          <w:p w14:paraId="625F4BC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0.919</w:t>
            </w:r>
          </w:p>
        </w:tc>
      </w:tr>
      <w:tr w:rsidR="006D10DE" w:rsidRPr="00A17509" w14:paraId="62ABA3E5"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2C892C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w:t>
            </w:r>
          </w:p>
        </w:tc>
        <w:tc>
          <w:tcPr>
            <w:tcW w:w="619" w:type="pct"/>
            <w:tcBorders>
              <w:top w:val="nil"/>
              <w:left w:val="nil"/>
              <w:bottom w:val="single" w:sz="4" w:space="0" w:color="auto"/>
              <w:right w:val="single" w:sz="4" w:space="0" w:color="auto"/>
            </w:tcBorders>
            <w:shd w:val="clear" w:color="auto" w:fill="auto"/>
            <w:noWrap/>
            <w:hideMark/>
          </w:tcPr>
          <w:p w14:paraId="43B329B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74(8.7)</w:t>
            </w:r>
          </w:p>
        </w:tc>
        <w:tc>
          <w:tcPr>
            <w:tcW w:w="634" w:type="pct"/>
            <w:tcBorders>
              <w:top w:val="nil"/>
              <w:left w:val="nil"/>
              <w:bottom w:val="single" w:sz="4" w:space="0" w:color="auto"/>
              <w:right w:val="single" w:sz="4" w:space="0" w:color="auto"/>
            </w:tcBorders>
            <w:shd w:val="clear" w:color="auto" w:fill="auto"/>
            <w:noWrap/>
            <w:hideMark/>
          </w:tcPr>
          <w:p w14:paraId="4B543A6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95080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05D3E4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50(22.6)</w:t>
            </w:r>
          </w:p>
        </w:tc>
        <w:tc>
          <w:tcPr>
            <w:tcW w:w="663" w:type="pct"/>
            <w:tcBorders>
              <w:top w:val="nil"/>
              <w:left w:val="nil"/>
              <w:bottom w:val="single" w:sz="4" w:space="0" w:color="auto"/>
              <w:right w:val="single" w:sz="4" w:space="0" w:color="auto"/>
            </w:tcBorders>
            <w:shd w:val="clear" w:color="auto" w:fill="auto"/>
            <w:noWrap/>
            <w:hideMark/>
          </w:tcPr>
          <w:p w14:paraId="342B1D1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508838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EC511B2"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DBB62C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Yes</w:t>
            </w:r>
          </w:p>
        </w:tc>
        <w:tc>
          <w:tcPr>
            <w:tcW w:w="619" w:type="pct"/>
            <w:tcBorders>
              <w:top w:val="nil"/>
              <w:left w:val="nil"/>
              <w:bottom w:val="single" w:sz="4" w:space="0" w:color="auto"/>
              <w:right w:val="single" w:sz="4" w:space="0" w:color="auto"/>
            </w:tcBorders>
            <w:shd w:val="clear" w:color="auto" w:fill="auto"/>
            <w:noWrap/>
            <w:hideMark/>
          </w:tcPr>
          <w:p w14:paraId="48C95D4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14(11.4)</w:t>
            </w:r>
          </w:p>
        </w:tc>
        <w:tc>
          <w:tcPr>
            <w:tcW w:w="634" w:type="pct"/>
            <w:tcBorders>
              <w:top w:val="nil"/>
              <w:left w:val="nil"/>
              <w:bottom w:val="single" w:sz="4" w:space="0" w:color="auto"/>
              <w:right w:val="single" w:sz="4" w:space="0" w:color="auto"/>
            </w:tcBorders>
            <w:shd w:val="clear" w:color="auto" w:fill="auto"/>
            <w:noWrap/>
            <w:hideMark/>
          </w:tcPr>
          <w:p w14:paraId="700C90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CFF87C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208F9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47(23.0)</w:t>
            </w:r>
          </w:p>
        </w:tc>
        <w:tc>
          <w:tcPr>
            <w:tcW w:w="663" w:type="pct"/>
            <w:tcBorders>
              <w:top w:val="nil"/>
              <w:left w:val="nil"/>
              <w:bottom w:val="single" w:sz="4" w:space="0" w:color="auto"/>
              <w:right w:val="single" w:sz="4" w:space="0" w:color="auto"/>
            </w:tcBorders>
            <w:shd w:val="clear" w:color="auto" w:fill="auto"/>
            <w:noWrap/>
            <w:hideMark/>
          </w:tcPr>
          <w:p w14:paraId="0D47F33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C4A705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bl>
    <w:p w14:paraId="008C753A" w14:textId="77777777" w:rsidR="006D10DE" w:rsidRDefault="006D10DE" w:rsidP="006D10DE">
      <w:pPr>
        <w:spacing w:line="276" w:lineRule="auto"/>
        <w:jc w:val="both"/>
        <w:rPr>
          <w:rFonts w:asciiTheme="minorBidi" w:hAnsiTheme="minorBidi" w:cstheme="minorBidi"/>
          <w:lang w:val="en-CA"/>
        </w:rPr>
      </w:pPr>
    </w:p>
    <w:p w14:paraId="1F510CB9" w14:textId="77777777" w:rsidR="00AC0D17" w:rsidRPr="00A17509" w:rsidRDefault="00AC0D17" w:rsidP="006D10DE">
      <w:pPr>
        <w:spacing w:line="276" w:lineRule="auto"/>
        <w:jc w:val="both"/>
        <w:rPr>
          <w:rFonts w:asciiTheme="minorBidi" w:hAnsiTheme="minorBidi" w:cstheme="minorBidi"/>
          <w:lang w:val="en-CA"/>
        </w:rPr>
      </w:pPr>
    </w:p>
    <w:p w14:paraId="2779F25C"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Association between Unmet need for child limiting and type of Residence</w:t>
      </w:r>
    </w:p>
    <w:p w14:paraId="0C53876C"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Table 4 presents the chi-square results of the association between unmet needs for child limiting and type of residence. Unmet need for child limiting was comparable in the rural areas at 7.7% and urban areas at 7.0%, P=0.641.</w:t>
      </w:r>
    </w:p>
    <w:p w14:paraId="7B7EEA99" w14:textId="77777777" w:rsidR="006D10DE" w:rsidRPr="00A17509" w:rsidRDefault="006D10DE" w:rsidP="006D10DE">
      <w:pPr>
        <w:spacing w:line="276" w:lineRule="auto"/>
        <w:jc w:val="both"/>
        <w:rPr>
          <w:rFonts w:asciiTheme="minorBidi" w:hAnsiTheme="minorBidi" w:cstheme="minorBidi"/>
          <w:lang w:val="en-CA"/>
        </w:rPr>
      </w:pPr>
    </w:p>
    <w:p w14:paraId="4EFAE628"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4: Association between unmet need for child limiting and type of residence</w:t>
      </w:r>
    </w:p>
    <w:tbl>
      <w:tblPr>
        <w:tblW w:w="10120" w:type="dxa"/>
        <w:tblLook w:val="04A0" w:firstRow="1" w:lastRow="0" w:firstColumn="1" w:lastColumn="0" w:noHBand="0" w:noVBand="1"/>
      </w:tblPr>
      <w:tblGrid>
        <w:gridCol w:w="2180"/>
        <w:gridCol w:w="2900"/>
        <w:gridCol w:w="2300"/>
        <w:gridCol w:w="1780"/>
        <w:gridCol w:w="960"/>
      </w:tblGrid>
      <w:tr w:rsidR="006D10DE" w:rsidRPr="00A17509" w14:paraId="79FE3BA9" w14:textId="77777777" w:rsidTr="00683D32">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C646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00" w:type="dxa"/>
            <w:gridSpan w:val="2"/>
            <w:tcBorders>
              <w:top w:val="single" w:sz="4" w:space="0" w:color="auto"/>
              <w:left w:val="nil"/>
              <w:bottom w:val="single" w:sz="4" w:space="0" w:color="auto"/>
              <w:right w:val="single" w:sz="4" w:space="0" w:color="auto"/>
            </w:tcBorders>
            <w:shd w:val="clear" w:color="auto" w:fill="auto"/>
            <w:noWrap/>
            <w:hideMark/>
          </w:tcPr>
          <w:p w14:paraId="15855F8D" w14:textId="77777777" w:rsidR="006D10DE" w:rsidRPr="00A17509" w:rsidRDefault="006D10DE" w:rsidP="00683D32">
            <w:pPr>
              <w:spacing w:line="276" w:lineRule="auto"/>
              <w:jc w:val="center"/>
              <w:rPr>
                <w:rFonts w:asciiTheme="minorBidi" w:hAnsiTheme="minorBidi" w:cstheme="minorBidi"/>
                <w:b/>
                <w:bCs/>
              </w:rPr>
            </w:pPr>
            <w:r w:rsidRPr="00A17509">
              <w:rPr>
                <w:rFonts w:asciiTheme="minorBidi" w:hAnsiTheme="minorBidi" w:cstheme="minorBidi"/>
                <w:b/>
                <w:bCs/>
              </w:rPr>
              <w:t>Unmet need for limiting</w:t>
            </w:r>
          </w:p>
        </w:tc>
        <w:tc>
          <w:tcPr>
            <w:tcW w:w="1780" w:type="dxa"/>
            <w:tcBorders>
              <w:top w:val="single" w:sz="4" w:space="0" w:color="auto"/>
              <w:left w:val="nil"/>
              <w:bottom w:val="single" w:sz="4" w:space="0" w:color="auto"/>
              <w:right w:val="single" w:sz="4" w:space="0" w:color="auto"/>
            </w:tcBorders>
            <w:shd w:val="clear" w:color="auto" w:fill="auto"/>
            <w:noWrap/>
            <w:hideMark/>
          </w:tcPr>
          <w:p w14:paraId="38AF4F4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60" w:type="dxa"/>
            <w:tcBorders>
              <w:top w:val="single" w:sz="4" w:space="0" w:color="auto"/>
              <w:left w:val="nil"/>
              <w:bottom w:val="single" w:sz="4" w:space="0" w:color="auto"/>
              <w:right w:val="single" w:sz="4" w:space="0" w:color="auto"/>
            </w:tcBorders>
            <w:shd w:val="clear" w:color="auto" w:fill="auto"/>
            <w:noWrap/>
            <w:hideMark/>
          </w:tcPr>
          <w:p w14:paraId="38824E2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7E94A84" w14:textId="77777777" w:rsidTr="00683D32">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943B363"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2900" w:type="dxa"/>
            <w:tcBorders>
              <w:top w:val="nil"/>
              <w:left w:val="nil"/>
              <w:bottom w:val="single" w:sz="4" w:space="0" w:color="auto"/>
              <w:right w:val="single" w:sz="4" w:space="0" w:color="auto"/>
            </w:tcBorders>
            <w:shd w:val="clear" w:color="auto" w:fill="auto"/>
            <w:noWrap/>
            <w:hideMark/>
          </w:tcPr>
          <w:p w14:paraId="2545B38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No Unmet need</w:t>
            </w:r>
          </w:p>
        </w:tc>
        <w:tc>
          <w:tcPr>
            <w:tcW w:w="2300" w:type="dxa"/>
            <w:tcBorders>
              <w:top w:val="nil"/>
              <w:left w:val="nil"/>
              <w:bottom w:val="single" w:sz="4" w:space="0" w:color="auto"/>
              <w:right w:val="single" w:sz="4" w:space="0" w:color="auto"/>
            </w:tcBorders>
            <w:shd w:val="clear" w:color="000000" w:fill="E8E8E8"/>
            <w:noWrap/>
            <w:hideMark/>
          </w:tcPr>
          <w:p w14:paraId="7E04543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w:t>
            </w:r>
          </w:p>
        </w:tc>
        <w:tc>
          <w:tcPr>
            <w:tcW w:w="1780" w:type="dxa"/>
            <w:tcBorders>
              <w:top w:val="nil"/>
              <w:left w:val="nil"/>
              <w:bottom w:val="single" w:sz="4" w:space="0" w:color="auto"/>
              <w:right w:val="single" w:sz="4" w:space="0" w:color="auto"/>
            </w:tcBorders>
            <w:shd w:val="clear" w:color="auto" w:fill="auto"/>
            <w:noWrap/>
            <w:hideMark/>
          </w:tcPr>
          <w:p w14:paraId="071EF76E"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Chi-Square</w:t>
            </w:r>
          </w:p>
        </w:tc>
        <w:tc>
          <w:tcPr>
            <w:tcW w:w="960" w:type="dxa"/>
            <w:tcBorders>
              <w:top w:val="nil"/>
              <w:left w:val="nil"/>
              <w:bottom w:val="single" w:sz="4" w:space="0" w:color="auto"/>
              <w:right w:val="single" w:sz="4" w:space="0" w:color="auto"/>
            </w:tcBorders>
            <w:shd w:val="clear" w:color="auto" w:fill="auto"/>
            <w:noWrap/>
            <w:hideMark/>
          </w:tcPr>
          <w:p w14:paraId="4A06F4C7"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P-Value</w:t>
            </w:r>
          </w:p>
        </w:tc>
      </w:tr>
      <w:tr w:rsidR="006D10DE" w:rsidRPr="00A17509" w14:paraId="1B9679BF" w14:textId="77777777" w:rsidTr="00683D32">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DC63B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Urban</w:t>
            </w:r>
          </w:p>
        </w:tc>
        <w:tc>
          <w:tcPr>
            <w:tcW w:w="2900" w:type="dxa"/>
            <w:tcBorders>
              <w:top w:val="nil"/>
              <w:left w:val="nil"/>
              <w:bottom w:val="single" w:sz="4" w:space="0" w:color="auto"/>
              <w:right w:val="single" w:sz="4" w:space="0" w:color="auto"/>
            </w:tcBorders>
            <w:shd w:val="clear" w:color="auto" w:fill="auto"/>
            <w:noWrap/>
            <w:hideMark/>
          </w:tcPr>
          <w:p w14:paraId="70EA8BC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1090(93.0)</w:t>
            </w:r>
          </w:p>
        </w:tc>
        <w:tc>
          <w:tcPr>
            <w:tcW w:w="2300" w:type="dxa"/>
            <w:tcBorders>
              <w:top w:val="nil"/>
              <w:left w:val="nil"/>
              <w:bottom w:val="single" w:sz="4" w:space="0" w:color="auto"/>
              <w:right w:val="single" w:sz="4" w:space="0" w:color="auto"/>
            </w:tcBorders>
            <w:shd w:val="clear" w:color="000000" w:fill="E8E8E8"/>
            <w:noWrap/>
            <w:hideMark/>
          </w:tcPr>
          <w:p w14:paraId="7100DD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82(7.0)</w:t>
            </w:r>
          </w:p>
        </w:tc>
        <w:tc>
          <w:tcPr>
            <w:tcW w:w="1780" w:type="dxa"/>
            <w:tcBorders>
              <w:top w:val="nil"/>
              <w:left w:val="nil"/>
              <w:bottom w:val="single" w:sz="4" w:space="0" w:color="auto"/>
              <w:right w:val="single" w:sz="4" w:space="0" w:color="auto"/>
            </w:tcBorders>
            <w:shd w:val="clear" w:color="auto" w:fill="auto"/>
            <w:noWrap/>
            <w:hideMark/>
          </w:tcPr>
          <w:p w14:paraId="492D4FD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0.22</w:t>
            </w:r>
          </w:p>
        </w:tc>
        <w:tc>
          <w:tcPr>
            <w:tcW w:w="960" w:type="dxa"/>
            <w:tcBorders>
              <w:top w:val="nil"/>
              <w:left w:val="nil"/>
              <w:bottom w:val="single" w:sz="4" w:space="0" w:color="auto"/>
              <w:right w:val="single" w:sz="4" w:space="0" w:color="auto"/>
            </w:tcBorders>
            <w:shd w:val="clear" w:color="auto" w:fill="auto"/>
            <w:noWrap/>
            <w:hideMark/>
          </w:tcPr>
          <w:p w14:paraId="6A5D627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0.641</w:t>
            </w:r>
          </w:p>
        </w:tc>
      </w:tr>
      <w:tr w:rsidR="006D10DE" w:rsidRPr="00A17509" w14:paraId="48A73FC4" w14:textId="77777777" w:rsidTr="00683D32">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C94F0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Rural</w:t>
            </w:r>
          </w:p>
        </w:tc>
        <w:tc>
          <w:tcPr>
            <w:tcW w:w="2900" w:type="dxa"/>
            <w:tcBorders>
              <w:top w:val="nil"/>
              <w:left w:val="nil"/>
              <w:bottom w:val="single" w:sz="4" w:space="0" w:color="auto"/>
              <w:right w:val="single" w:sz="4" w:space="0" w:color="auto"/>
            </w:tcBorders>
            <w:shd w:val="clear" w:color="auto" w:fill="auto"/>
            <w:noWrap/>
            <w:hideMark/>
          </w:tcPr>
          <w:p w14:paraId="23EAAE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397(92.3)</w:t>
            </w:r>
          </w:p>
        </w:tc>
        <w:tc>
          <w:tcPr>
            <w:tcW w:w="2300" w:type="dxa"/>
            <w:tcBorders>
              <w:top w:val="nil"/>
              <w:left w:val="nil"/>
              <w:bottom w:val="single" w:sz="4" w:space="0" w:color="auto"/>
              <w:right w:val="single" w:sz="4" w:space="0" w:color="auto"/>
            </w:tcBorders>
            <w:shd w:val="clear" w:color="000000" w:fill="E8E8E8"/>
            <w:noWrap/>
            <w:hideMark/>
          </w:tcPr>
          <w:p w14:paraId="7D36D80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33(7.7)</w:t>
            </w:r>
          </w:p>
        </w:tc>
        <w:tc>
          <w:tcPr>
            <w:tcW w:w="1780" w:type="dxa"/>
            <w:tcBorders>
              <w:top w:val="nil"/>
              <w:left w:val="nil"/>
              <w:bottom w:val="single" w:sz="4" w:space="0" w:color="auto"/>
              <w:right w:val="single" w:sz="4" w:space="0" w:color="auto"/>
            </w:tcBorders>
            <w:shd w:val="clear" w:color="auto" w:fill="auto"/>
            <w:noWrap/>
            <w:hideMark/>
          </w:tcPr>
          <w:p w14:paraId="3C0B1E2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60" w:type="dxa"/>
            <w:tcBorders>
              <w:top w:val="nil"/>
              <w:left w:val="nil"/>
              <w:bottom w:val="single" w:sz="4" w:space="0" w:color="auto"/>
              <w:right w:val="single" w:sz="4" w:space="0" w:color="auto"/>
            </w:tcBorders>
            <w:shd w:val="clear" w:color="auto" w:fill="auto"/>
            <w:noWrap/>
            <w:hideMark/>
          </w:tcPr>
          <w:p w14:paraId="118F7C7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bl>
    <w:p w14:paraId="53462E2D" w14:textId="77777777" w:rsidR="006D10DE" w:rsidRPr="00A17509" w:rsidRDefault="006D10DE" w:rsidP="006D10DE">
      <w:pPr>
        <w:spacing w:line="276" w:lineRule="auto"/>
        <w:jc w:val="both"/>
        <w:rPr>
          <w:rFonts w:asciiTheme="minorBidi" w:hAnsiTheme="minorBidi" w:cstheme="minorBidi"/>
          <w:lang w:val="en-CA"/>
        </w:rPr>
      </w:pPr>
    </w:p>
    <w:p w14:paraId="4666445F" w14:textId="77777777" w:rsidR="006D10DE" w:rsidRDefault="006D10DE" w:rsidP="006D10DE">
      <w:pPr>
        <w:spacing w:line="276" w:lineRule="auto"/>
        <w:jc w:val="both"/>
        <w:rPr>
          <w:rFonts w:asciiTheme="minorBidi" w:hAnsiTheme="minorBidi" w:cstheme="minorBidi"/>
          <w:lang w:val="en-CA"/>
        </w:rPr>
      </w:pPr>
    </w:p>
    <w:p w14:paraId="7DD9E9B9"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Demographic Characteristics of Fecund Women Aged 15-49 Years</w:t>
      </w:r>
    </w:p>
    <w:p w14:paraId="2BE85199"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study provides valuable insights into the Nigerian population by examining the demographic characteristics of fecund women aged 15-49 years who participated in this study. The participants had an average age of the participants was 32.1 years, indicating a mature cohort of women within their reproductive years. A large proportion of the participants (73.3%) resided in urban areas, which reflects the increasing urbanization in Nigeria. This urban-rural distribution is crucial as it influences access to reproductive health services and information.</w:t>
      </w:r>
    </w:p>
    <w:p w14:paraId="0A8F29EF"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educational background of the participants shows a considerable variation, with 22.6% having no formal education and 25.9% attaining tertiary education. This educational disparity has significant implications for understanding and implementing reproductive health information and practices. Previous studies have shown a positive correlation between higher educational attainment and improved reproductive health outcomes and a lower unmet need for family planning </w:t>
      </w:r>
      <w:sdt>
        <w:sdtPr>
          <w:rPr>
            <w:rFonts w:asciiTheme="minorBidi" w:hAnsiTheme="minorBidi" w:cstheme="minorBidi"/>
          </w:rPr>
          <w:tag w:val="MENDELEY_CITATION_v3_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"/>
          <w:id w:val="-1550755319"/>
          <w:placeholder>
            <w:docPart w:val="C1F1641AEF1B4CEAB414F766AFB91909"/>
          </w:placeholder>
        </w:sdtPr>
        <w:sdtEndPr/>
        <w:sdtContent>
          <w:r w:rsidRPr="00A17509">
            <w:rPr>
              <w:rFonts w:asciiTheme="minorBidi" w:hAnsiTheme="minorBidi" w:cstheme="minorBidi"/>
            </w:rPr>
            <w:t>(Ahmed et al., 2010)</w:t>
          </w:r>
        </w:sdtContent>
      </w:sdt>
      <w:r w:rsidRPr="00A17509">
        <w:rPr>
          <w:rFonts w:asciiTheme="minorBidi" w:hAnsiTheme="minorBidi" w:cstheme="minorBidi"/>
        </w:rPr>
        <w:t xml:space="preserve"> (Abdulai, 2016; Ahmed et al., 2015). The high percentage of women with no formal education in our study suggests a potential barrier to accessing family planning services.</w:t>
      </w:r>
    </w:p>
    <w:p w14:paraId="31487703"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Our study findings indicate that the majority of the participants, 87.2% were currently in a union, aligning with findings from the Nigeria Demographic and Health Survey (NDHS, 2018) which reported high rates of marriage among fecund women. The proportion of women who had never married but were sexually active, and those who were divorced or separated but sexually active (9.6% vs 3.2%) highlights the diverse family structures and the need for inclusive reproductive health services that cater to all women.</w:t>
      </w:r>
    </w:p>
    <w:p w14:paraId="440A88F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partners' educational levels varied, with 20.5% having no formal education and 36.8% attaining tertiary education. The correlation between partners' education and women's reproductive health decisions is well-documented, with higher partner education often </w:t>
      </w:r>
      <w:r w:rsidRPr="00A17509">
        <w:rPr>
          <w:rFonts w:asciiTheme="minorBidi" w:hAnsiTheme="minorBidi" w:cstheme="minorBidi"/>
        </w:rPr>
        <w:lastRenderedPageBreak/>
        <w:t xml:space="preserve">associated with better family planning practices </w:t>
      </w:r>
      <w:sdt>
        <w:sdtPr>
          <w:rPr>
            <w:rFonts w:asciiTheme="minorBidi" w:hAnsiTheme="minorBidi" w:cstheme="minorBidi"/>
          </w:rPr>
          <w:tag w:val="MENDELEY_CITATION_v3_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"/>
          <w:id w:val="380988770"/>
          <w:placeholder>
            <w:docPart w:val="C1F1641AEF1B4CEAB414F766AFB91909"/>
          </w:placeholder>
        </w:sdtPr>
        <w:sdtEndPr/>
        <w:sdtContent>
          <w:r w:rsidRPr="00A17509">
            <w:rPr>
              <w:rFonts w:asciiTheme="minorBidi" w:hAnsiTheme="minorBidi" w:cstheme="minorBidi"/>
            </w:rPr>
            <w:t>(Do &amp; Kurimoto, 2012)</w:t>
          </w:r>
        </w:sdtContent>
      </w:sdt>
      <w:r w:rsidRPr="00A17509">
        <w:rPr>
          <w:rFonts w:asciiTheme="minorBidi" w:hAnsiTheme="minorBidi" w:cstheme="minorBidi"/>
        </w:rPr>
        <w:t>. The diversity in partners' educational levels observed in our study emphasizes the need to engage men in reproductive health education.</w:t>
      </w:r>
    </w:p>
    <w:p w14:paraId="6335C552"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average age at first sexual encounter was 18.4 years, with 12.9% of the women having their first sexual encounter before the age of 15. Early sexual debut is associated with higher risks of unintended pregnancies and an unmet need for contraception (Blanc &amp; Way, 1998). This finding underscores the importance of comprehensive sex education to delay the onset of sexual activity and promote informed reproductive choices.</w:t>
      </w:r>
    </w:p>
    <w:p w14:paraId="20DFC73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Regarding partners' polygamy status, 23.4% of the women reported that their partners had multiple wives. Polygamy has been linked to higher fertility rates and unmet need for family planning </w:t>
      </w:r>
      <w:sdt>
        <w:sdtPr>
          <w:rPr>
            <w:rFonts w:asciiTheme="minorBidi" w:hAnsiTheme="minorBidi" w:cstheme="minorBidi"/>
          </w:rPr>
          <w:tag w:val="MENDELEY_CITATION_v3_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"/>
          <w:id w:val="1931000662"/>
          <w:placeholder>
            <w:docPart w:val="C1F1641AEF1B4CEAB414F766AFB91909"/>
          </w:placeholder>
        </w:sdtPr>
        <w:sdtEndPr/>
        <w:sdtContent>
          <w:r w:rsidRPr="00A17509">
            <w:rPr>
              <w:rFonts w:asciiTheme="minorBidi" w:hAnsiTheme="minorBidi" w:cstheme="minorBidi"/>
            </w:rPr>
            <w:t>(</w:t>
          </w:r>
          <w:proofErr w:type="spellStart"/>
          <w:r w:rsidRPr="00A17509">
            <w:rPr>
              <w:rFonts w:asciiTheme="minorBidi" w:hAnsiTheme="minorBidi" w:cstheme="minorBidi"/>
            </w:rPr>
            <w:t>Adedini</w:t>
          </w:r>
          <w:proofErr w:type="spellEnd"/>
          <w:r w:rsidRPr="00A17509">
            <w:rPr>
              <w:rFonts w:asciiTheme="minorBidi" w:hAnsiTheme="minorBidi" w:cstheme="minorBidi"/>
            </w:rPr>
            <w:t xml:space="preserve"> et al., 2015)</w:t>
          </w:r>
        </w:sdtContent>
      </w:sdt>
      <w:r w:rsidRPr="00A17509">
        <w:rPr>
          <w:rFonts w:asciiTheme="minorBidi" w:hAnsiTheme="minorBidi" w:cstheme="minorBidi"/>
        </w:rPr>
        <w:t>. The prevalence of polygamous unions in our study highlights the cultural dimensions of reproductive health and the need for tailored interventions.</w:t>
      </w:r>
    </w:p>
    <w:p w14:paraId="43EA3616"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Association Between Unmet Need for Child Spacing and Type of Residence</w:t>
      </w:r>
    </w:p>
    <w:p w14:paraId="0B29D12C"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Our study found a significant association between unmet needs for child spacing and type of residence, with unmet needs being more common in rural areas compared to urban areas (22.6% vs 8.9%). This urban-rural differential is consistent with previous studies which have shown that rural women often face more barriers to accessing family planning services, including limited availability of contraceptives, lower levels of education, and cultural resistance </w:t>
      </w:r>
      <w:sdt>
        <w:sdtPr>
          <w:rPr>
            <w:rFonts w:asciiTheme="minorBidi" w:hAnsiTheme="minorBidi" w:cstheme="minorBidi"/>
          </w:rPr>
          <w:tag w:val="MENDELEY_CITATION_v3_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"/>
          <w:id w:val="-2089456296"/>
          <w:placeholder>
            <w:docPart w:val="C1F1641AEF1B4CEAB414F766AFB91909"/>
          </w:placeholder>
        </w:sdtPr>
        <w:sdtEndPr/>
        <w:sdtContent>
          <w:r w:rsidRPr="00A17509">
            <w:rPr>
              <w:rFonts w:asciiTheme="minorBidi" w:hAnsiTheme="minorBidi" w:cstheme="minorBidi"/>
            </w:rPr>
            <w:t>(S. A. Adebowale et al., 2012; Okech, T.C., 2011)</w:t>
          </w:r>
        </w:sdtContent>
      </w:sdt>
      <w:r w:rsidRPr="00A17509">
        <w:rPr>
          <w:rFonts w:asciiTheme="minorBidi" w:hAnsiTheme="minorBidi" w:cstheme="minorBidi"/>
        </w:rPr>
        <w:t>.</w:t>
      </w:r>
    </w:p>
    <w:p w14:paraId="5E4A3D07"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Unmet Need for Child Spacing Differentials in Urban and Rural Areas</w:t>
      </w:r>
    </w:p>
    <w:p w14:paraId="611430A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findings revealed that the unmet need for child spacing was higher among younger women (15-30 years) in urban areas (12%), whereas in rural areas, it was more common among older women (40%). The higher unmet need among younger urban women could be attributed to factors such as career aspirations and the desire to delay childbearing, which are more prevalent in urban settings (Cleland et al., 2012). In contrast, the higher unmet need among older rural women might be due to the persistence of high fertility preferences and limited access to family planning services in rural areas </w:t>
      </w:r>
      <w:sdt>
        <w:sdtPr>
          <w:rPr>
            <w:rFonts w:asciiTheme="minorBidi" w:hAnsiTheme="minorBidi" w:cstheme="minorBidi"/>
          </w:rPr>
          <w:tag w:val="MENDELEY_CITATION_v3_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"/>
          <w:id w:val="405811195"/>
          <w:placeholder>
            <w:docPart w:val="C1F1641AEF1B4CEAB414F766AFB91909"/>
          </w:placeholder>
        </w:sdtPr>
        <w:sdtEndPr/>
        <w:sdtContent>
          <w:r w:rsidRPr="00A17509">
            <w:rPr>
              <w:rFonts w:asciiTheme="minorBidi" w:hAnsiTheme="minorBidi" w:cstheme="minorBidi"/>
            </w:rPr>
            <w:t>(Caldwell &amp; Caldwell, 1987)</w:t>
          </w:r>
        </w:sdtContent>
      </w:sdt>
      <w:r w:rsidRPr="00A17509">
        <w:rPr>
          <w:rFonts w:asciiTheme="minorBidi" w:hAnsiTheme="minorBidi" w:cstheme="minorBidi"/>
        </w:rPr>
        <w:t>.</w:t>
      </w:r>
    </w:p>
    <w:p w14:paraId="5E9B3AD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lack of significant associations between the unmet need for child spacing and factors such as level of education, marital status, partners' level of education, age at first sex, and partners' polygamy status suggests that other underlying factors might be influencing the unmet need. These could include cultural beliefs, availability of family planning services, and health system factors </w:t>
      </w:r>
      <w:sdt>
        <w:sdtPr>
          <w:rPr>
            <w:rFonts w:asciiTheme="minorBidi" w:hAnsiTheme="minorBidi" w:cstheme="minorBidi"/>
          </w:rPr>
          <w:tag w:val="MENDELEY_CITATION_v3_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"/>
          <w:id w:val="-1163933332"/>
          <w:placeholder>
            <w:docPart w:val="C1F1641AEF1B4CEAB414F766AFB91909"/>
          </w:placeholder>
        </w:sdtPr>
        <w:sdtEndPr/>
        <w:sdtContent>
          <w:r w:rsidRPr="00A17509">
            <w:rPr>
              <w:rFonts w:asciiTheme="minorBidi" w:hAnsiTheme="minorBidi" w:cstheme="minorBidi"/>
            </w:rPr>
            <w:t>(Casterline &amp; Sinding, 2000)</w:t>
          </w:r>
        </w:sdtContent>
      </w:sdt>
      <w:r w:rsidRPr="00A17509">
        <w:rPr>
          <w:rFonts w:asciiTheme="minorBidi" w:hAnsiTheme="minorBidi" w:cstheme="minorBidi"/>
        </w:rPr>
        <w:t>.</w:t>
      </w:r>
    </w:p>
    <w:p w14:paraId="042DA247"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Association Between Unmet Need for Child Limiting and Type of Residence</w:t>
      </w:r>
    </w:p>
    <w:p w14:paraId="65B7328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study found that the unmet need for child limiting was comparable between rural and urban areas, with no significant difference (7.7% vs 7.0%, P=0.641). This finding contrasts with previous studies which often report higher unmet needs for limiting in rural areas (</w:t>
      </w:r>
      <w:proofErr w:type="spellStart"/>
      <w:r w:rsidRPr="00A17509">
        <w:rPr>
          <w:rFonts w:asciiTheme="minorBidi" w:hAnsiTheme="minorBidi" w:cstheme="minorBidi"/>
        </w:rPr>
        <w:t>Westoff</w:t>
      </w:r>
      <w:proofErr w:type="spellEnd"/>
      <w:r w:rsidRPr="00A17509">
        <w:rPr>
          <w:rFonts w:asciiTheme="minorBidi" w:hAnsiTheme="minorBidi" w:cstheme="minorBidi"/>
        </w:rPr>
        <w:t>, 2006). The comparable levels observed in our study might reflect improvements in the availability and accessibility of family planning services across both rural and urban areas in Nigeria, driven by national and international efforts to improve reproductive health (National Population Commission, 2019).</w:t>
      </w:r>
    </w:p>
    <w:p w14:paraId="401AD38A" w14:textId="77777777" w:rsidR="006D10DE" w:rsidRPr="00A17509" w:rsidRDefault="006D10DE" w:rsidP="006D10DE">
      <w:pPr>
        <w:spacing w:line="276" w:lineRule="auto"/>
        <w:jc w:val="both"/>
        <w:outlineLvl w:val="2"/>
        <w:rPr>
          <w:rFonts w:asciiTheme="minorBidi" w:hAnsiTheme="minorBidi" w:cstheme="minorBidi"/>
          <w:b/>
          <w:bCs/>
        </w:rPr>
      </w:pPr>
      <w:r w:rsidRPr="00A17509">
        <w:rPr>
          <w:rFonts w:asciiTheme="minorBidi" w:hAnsiTheme="minorBidi" w:cstheme="minorBidi"/>
          <w:b/>
          <w:bCs/>
        </w:rPr>
        <w:t>Conclusion</w:t>
      </w:r>
    </w:p>
    <w:p w14:paraId="60323530"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This study investigated the urban and rural differentials in the pattern of unmet need for child spacing and limiting among fecund women of reproductive age in Nigeria. Our findings indicate significant demographic and socio-economic disparities between urban and rural areas that directly impact reproductive health outcomes. The unmet need for child spacing was notably higher in rural areas, while the unmet need for child limiting showed no significant difference </w:t>
      </w:r>
      <w:r w:rsidRPr="00A17509">
        <w:rPr>
          <w:rFonts w:asciiTheme="minorBidi" w:hAnsiTheme="minorBidi" w:cstheme="minorBidi"/>
        </w:rPr>
        <w:lastRenderedPageBreak/>
        <w:t>between urban and rural settings. These findings underscore the persistent challenges in addressing family planning needs, particularly in rural areas where barriers to accessing reproductive health services remain significant. The high unmet need for child spacing among younger urban women and older rural women highlights the necessity for tailored interventions that address the unique needs of different demographic groups.</w:t>
      </w:r>
    </w:p>
    <w:p w14:paraId="012F6D6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In other to address the challenges in unmet need for child spacing and unmet need for child limiting, efforts should be intensified to improve the availability and accessibility of family planning services in rural areas. This can be achieved through the establishment of more health facilities and the provision of mobile clinics to reach remote locations. Similarly, there is a need for comprehensive reproductive health education programs that target both women and men. These programs should focus on the benefits of family planning and address cultural and religious misconceptions. Given the higher unmet need for child spacing among younger urban women, youth-friendly reproductive health services should be promoted. This includes providing accessible contraceptive options and counselling services that are tailored to young people's needs.</w:t>
      </w:r>
    </w:p>
    <w:p w14:paraId="1384984E"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Since partners' educational levels influence family planning decisions, initiatives to involve men in reproductive health education and decision-making processes should be strengthened. This can help in fostering supportive environments for women's reproductive choices. Government and non-governmental organizations should increase funding for family planning programs and ensure policies that support reproductive health services are effectively implemented. This includes integrating family planning into broader health and development agendas.</w:t>
      </w:r>
    </w:p>
    <w:p w14:paraId="60D3AF4B" w14:textId="77777777" w:rsidR="006D10DE" w:rsidRPr="00A17509" w:rsidRDefault="006D10DE" w:rsidP="006D10DE">
      <w:pPr>
        <w:spacing w:line="276" w:lineRule="auto"/>
        <w:jc w:val="both"/>
        <w:outlineLvl w:val="2"/>
        <w:rPr>
          <w:rFonts w:asciiTheme="minorBidi" w:hAnsiTheme="minorBidi" w:cstheme="minorBidi"/>
          <w:b/>
          <w:bCs/>
        </w:rPr>
      </w:pPr>
      <w:r w:rsidRPr="00A17509">
        <w:rPr>
          <w:rFonts w:asciiTheme="minorBidi" w:hAnsiTheme="minorBidi" w:cstheme="minorBidi"/>
          <w:b/>
          <w:bCs/>
        </w:rPr>
        <w:t>Limitations</w:t>
      </w:r>
    </w:p>
    <w:p w14:paraId="2AADA49F" w14:textId="541FB5CA" w:rsidR="00E053D0" w:rsidRPr="00CC052F" w:rsidRDefault="006D10DE" w:rsidP="00CC052F">
      <w:pPr>
        <w:spacing w:line="276" w:lineRule="auto"/>
        <w:jc w:val="both"/>
        <w:rPr>
          <w:rFonts w:asciiTheme="minorBidi" w:hAnsiTheme="minorBidi" w:cstheme="minorBidi"/>
        </w:rPr>
      </w:pPr>
      <w:r w:rsidRPr="00A17509">
        <w:rPr>
          <w:rFonts w:asciiTheme="minorBidi" w:hAnsiTheme="minorBidi" w:cstheme="minorBidi"/>
        </w:rPr>
        <w:t xml:space="preserve">The study relied on self-reported data, which is subject to recall bias and social desirability bias. Participants may have underreported or overreported their contraceptive use and reproductive intentions. While the study provides valuable insights, it does not account for regional variations within urban and rural areas. Different regions in Nigeria have distinct cultural, economic, and health service contexts that can influence family planning needs and </w:t>
      </w:r>
      <w:proofErr w:type="spellStart"/>
      <w:r w:rsidRPr="00A17509">
        <w:rPr>
          <w:rFonts w:asciiTheme="minorBidi" w:hAnsiTheme="minorBidi" w:cstheme="minorBidi"/>
        </w:rPr>
        <w:t>behaviours</w:t>
      </w:r>
      <w:proofErr w:type="spellEnd"/>
      <w:r w:rsidRPr="00A17509">
        <w:rPr>
          <w:rFonts w:asciiTheme="minorBidi" w:hAnsiTheme="minorBidi" w:cstheme="minorBidi"/>
        </w:rPr>
        <w:t>. Also, there may be other unmeasured confounding variables, such as access to healthcare, quality of services, and personal beliefs, that could influence unmet needs for family planning. Future studies should consider these factors to provide a more comprehensive understanding.</w:t>
      </w:r>
    </w:p>
    <w:p w14:paraId="62913396" w14:textId="77777777" w:rsidR="00790ADA" w:rsidRPr="00FB3A86" w:rsidRDefault="00790ADA" w:rsidP="00441B6F">
      <w:pPr>
        <w:pStyle w:val="Body"/>
        <w:spacing w:after="0"/>
        <w:rPr>
          <w:rFonts w:ascii="Arial" w:hAnsi="Arial" w:cs="Arial"/>
        </w:rPr>
      </w:pPr>
    </w:p>
    <w:p w14:paraId="2318412A" w14:textId="77777777" w:rsidR="00790ADA" w:rsidRPr="00FB3A86" w:rsidRDefault="00790ADA" w:rsidP="00441B6F">
      <w:pPr>
        <w:pStyle w:val="Body"/>
        <w:spacing w:after="0"/>
        <w:rPr>
          <w:rFonts w:ascii="Arial" w:hAnsi="Arial" w:cs="Arial"/>
        </w:rPr>
      </w:pPr>
    </w:p>
    <w:p w14:paraId="2FB3F785" w14:textId="77777777" w:rsidR="002B685A" w:rsidRDefault="002B685A" w:rsidP="00441B6F">
      <w:pPr>
        <w:pStyle w:val="ReferHead"/>
        <w:spacing w:after="0"/>
        <w:jc w:val="both"/>
        <w:rPr>
          <w:rFonts w:ascii="Arial" w:hAnsi="Arial" w:cs="Arial"/>
          <w:b w:val="0"/>
          <w:caps w:val="0"/>
          <w:sz w:val="20"/>
        </w:rPr>
      </w:pPr>
    </w:p>
    <w:p w14:paraId="652032C0" w14:textId="77777777" w:rsidR="005C784C" w:rsidRDefault="005C784C" w:rsidP="00441B6F">
      <w:pPr>
        <w:pStyle w:val="ReferHead"/>
        <w:spacing w:after="0"/>
        <w:jc w:val="both"/>
        <w:rPr>
          <w:rFonts w:ascii="Arial" w:hAnsi="Arial" w:cs="Arial"/>
          <w:b w:val="0"/>
          <w:caps w:val="0"/>
          <w:sz w:val="20"/>
        </w:rPr>
      </w:pPr>
    </w:p>
    <w:p w14:paraId="1F47CEB0" w14:textId="124E1F81" w:rsidR="005C784C" w:rsidRDefault="005C784C" w:rsidP="00441B6F">
      <w:pPr>
        <w:pStyle w:val="ReferHead"/>
        <w:spacing w:after="0"/>
        <w:jc w:val="both"/>
        <w:rPr>
          <w:rFonts w:ascii="Arial" w:hAnsi="Arial" w:cs="Arial"/>
          <w:bCs/>
        </w:rPr>
      </w:pPr>
      <w:r>
        <w:rPr>
          <w:rFonts w:ascii="Arial" w:hAnsi="Arial" w:cs="Arial"/>
          <w:bCs/>
        </w:rPr>
        <w:t>Ethical approval</w:t>
      </w:r>
    </w:p>
    <w:p w14:paraId="19A8FE1A" w14:textId="77777777" w:rsidR="00CC052F" w:rsidRDefault="00CC052F" w:rsidP="00CC052F">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secondary data analysis of the PMA survey adhered to ethical guidelines for research involving human subjects. The PMA survey protocols were reviewed and approved by relevant ethical committees, ensuring that participants provided informed consent and that their confidentiality and anonymity were maintained. The use of IPUMS data for secondary analysis was authorized under the terms of use provided by IPUMS, and no personally identifiable information was accessed or utilized in this study.</w:t>
      </w:r>
    </w:p>
    <w:p w14:paraId="7393B66A" w14:textId="77777777" w:rsidR="00F83248" w:rsidRDefault="00F83248" w:rsidP="00CC052F">
      <w:pPr>
        <w:spacing w:before="100" w:beforeAutospacing="1" w:after="100" w:afterAutospacing="1" w:line="276" w:lineRule="auto"/>
        <w:jc w:val="both"/>
        <w:rPr>
          <w:rFonts w:asciiTheme="minorBidi" w:hAnsiTheme="minorBidi" w:cstheme="minorBidi"/>
        </w:rPr>
      </w:pPr>
    </w:p>
    <w:p w14:paraId="1B031534"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r w:rsidRPr="00F83248">
        <w:rPr>
          <w:rFonts w:asciiTheme="minorBidi" w:hAnsiTheme="minorBidi" w:cstheme="minorBidi"/>
        </w:rPr>
        <w:lastRenderedPageBreak/>
        <w:t>COMPETING INTERESTS DISCLAIMER:</w:t>
      </w:r>
    </w:p>
    <w:p w14:paraId="605122BD"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r w:rsidRPr="00F83248">
        <w:rPr>
          <w:rFonts w:asciiTheme="minorBidi" w:hAnsiTheme="minorBidi" w:cstheme="minorBidi"/>
        </w:rPr>
        <w:t>Authors have declared that they have no known competing financial interests OR non-financial interests OR personal relationships that could have appeared to influence the work reported in this paper.</w:t>
      </w:r>
    </w:p>
    <w:p w14:paraId="23AE8501"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p>
    <w:p w14:paraId="08E7CBD6" w14:textId="77777777" w:rsidR="00F83248" w:rsidRPr="00A17509" w:rsidRDefault="00F83248" w:rsidP="00CC052F">
      <w:pPr>
        <w:spacing w:before="100" w:beforeAutospacing="1" w:after="100" w:afterAutospacing="1" w:line="276" w:lineRule="auto"/>
        <w:jc w:val="both"/>
        <w:rPr>
          <w:rFonts w:asciiTheme="minorBidi" w:hAnsiTheme="minorBidi" w:cstheme="minorBidi"/>
        </w:rPr>
      </w:pPr>
    </w:p>
    <w:p w14:paraId="5B234474" w14:textId="77777777" w:rsidR="00860000" w:rsidRDefault="00860000" w:rsidP="00441B6F">
      <w:pPr>
        <w:pStyle w:val="ReferHead"/>
        <w:spacing w:after="0"/>
        <w:jc w:val="both"/>
        <w:rPr>
          <w:rFonts w:ascii="Arial" w:hAnsi="Arial" w:cs="Arial"/>
        </w:rPr>
      </w:pPr>
    </w:p>
    <w:p w14:paraId="7305EBC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5334919" w14:textId="77777777" w:rsidR="00790ADA" w:rsidRPr="00FB3A86" w:rsidRDefault="00790ADA" w:rsidP="00441B6F">
      <w:pPr>
        <w:pStyle w:val="ReferHead"/>
        <w:spacing w:after="0"/>
        <w:jc w:val="both"/>
        <w:rPr>
          <w:rFonts w:ascii="Arial" w:hAnsi="Arial" w:cs="Arial"/>
        </w:rPr>
      </w:pPr>
    </w:p>
    <w:p w14:paraId="6501643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Abdulai, A. (2016). Impact of education on reproductive health outcomes in sub-Saharan Africa. </w:t>
      </w:r>
      <w:r w:rsidRPr="00A17509">
        <w:rPr>
          <w:rFonts w:asciiTheme="minorBidi" w:hAnsiTheme="minorBidi" w:cstheme="minorBidi"/>
          <w:i/>
          <w:iCs/>
        </w:rPr>
        <w:t>Journal of Health and Social Behavior</w:t>
      </w:r>
      <w:r w:rsidRPr="00A17509">
        <w:rPr>
          <w:rFonts w:asciiTheme="minorBidi" w:hAnsiTheme="minorBidi" w:cstheme="minorBidi"/>
        </w:rPr>
        <w:t>, 57(2), 217-229.</w:t>
      </w:r>
    </w:p>
    <w:p w14:paraId="016DF7C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en-GB"/>
        </w:rPr>
        <w:t xml:space="preserve">Adebowale, A. S., &amp; </w:t>
      </w:r>
      <w:proofErr w:type="spellStart"/>
      <w:r w:rsidRPr="00A17509">
        <w:rPr>
          <w:rFonts w:asciiTheme="minorBidi" w:hAnsiTheme="minorBidi" w:cstheme="minorBidi"/>
          <w:lang w:val="en-GB"/>
        </w:rPr>
        <w:t>Palamuleni</w:t>
      </w:r>
      <w:proofErr w:type="spellEnd"/>
      <w:r w:rsidRPr="00A17509">
        <w:rPr>
          <w:rFonts w:asciiTheme="minorBidi" w:hAnsiTheme="minorBidi" w:cstheme="minorBidi"/>
          <w:lang w:val="en-GB"/>
        </w:rPr>
        <w:t xml:space="preserve">, M. E. (2023). </w:t>
      </w:r>
      <w:r w:rsidRPr="00A17509">
        <w:rPr>
          <w:rFonts w:asciiTheme="minorBidi" w:hAnsiTheme="minorBidi" w:cstheme="minorBidi"/>
        </w:rPr>
        <w:t xml:space="preserve">Family planning needs to limit childbearing are unmet, yet our parity is high: characterizing and unveiling the predictive factors. </w:t>
      </w:r>
      <w:r w:rsidRPr="00A17509">
        <w:rPr>
          <w:rFonts w:asciiTheme="minorBidi" w:hAnsiTheme="minorBidi" w:cstheme="minorBidi"/>
          <w:i/>
          <w:iCs/>
        </w:rPr>
        <w:t>BMC Women’s Health</w:t>
      </w:r>
      <w:r w:rsidRPr="00A17509">
        <w:rPr>
          <w:rFonts w:asciiTheme="minorBidi" w:hAnsiTheme="minorBidi" w:cstheme="minorBidi"/>
        </w:rPr>
        <w:t xml:space="preserve">, </w:t>
      </w:r>
      <w:r w:rsidRPr="00A17509">
        <w:rPr>
          <w:rFonts w:asciiTheme="minorBidi" w:hAnsiTheme="minorBidi" w:cstheme="minorBidi"/>
          <w:i/>
          <w:iCs/>
        </w:rPr>
        <w:t>23</w:t>
      </w:r>
      <w:r w:rsidRPr="00A17509">
        <w:rPr>
          <w:rFonts w:asciiTheme="minorBidi" w:hAnsiTheme="minorBidi" w:cstheme="minorBidi"/>
        </w:rPr>
        <w:t>(1), 1–14. https://doi.org/10.1186/S12905-023-02640-5/TABLES/3.</w:t>
      </w:r>
    </w:p>
    <w:p w14:paraId="72C6914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Adebowale, A. S., Adedeji, O. A., &amp; Olugbenga-Bello, A. I. (2022). Family planning services in rural Nigeria: A systematic review. BMC Health Services Research, 22(1), 1-13.</w:t>
      </w:r>
    </w:p>
    <w:p w14:paraId="46C0861F"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Adebowale, S. A., </w:t>
      </w:r>
      <w:proofErr w:type="spellStart"/>
      <w:r w:rsidRPr="00A17509">
        <w:rPr>
          <w:rFonts w:asciiTheme="minorBidi" w:hAnsiTheme="minorBidi" w:cstheme="minorBidi"/>
        </w:rPr>
        <w:t>Fagbamigbe</w:t>
      </w:r>
      <w:proofErr w:type="spellEnd"/>
      <w:r w:rsidRPr="00A17509">
        <w:rPr>
          <w:rFonts w:asciiTheme="minorBidi" w:hAnsiTheme="minorBidi" w:cstheme="minorBidi"/>
        </w:rPr>
        <w:t xml:space="preserve">, F. A., </w:t>
      </w:r>
      <w:proofErr w:type="spellStart"/>
      <w:r w:rsidRPr="00A17509">
        <w:rPr>
          <w:rFonts w:asciiTheme="minorBidi" w:hAnsiTheme="minorBidi" w:cstheme="minorBidi"/>
        </w:rPr>
        <w:t>Okareh</w:t>
      </w:r>
      <w:proofErr w:type="spellEnd"/>
      <w:r w:rsidRPr="00A17509">
        <w:rPr>
          <w:rFonts w:asciiTheme="minorBidi" w:hAnsiTheme="minorBidi" w:cstheme="minorBidi"/>
        </w:rPr>
        <w:t xml:space="preserve">, T. O., &amp; Lawal, G. O. (2014). Survival analysis of timing of first marriage among women of reproductive age in Nigeria: Regional differences. </w:t>
      </w:r>
      <w:r w:rsidRPr="00A17509">
        <w:rPr>
          <w:rFonts w:asciiTheme="minorBidi" w:hAnsiTheme="minorBidi" w:cstheme="minorBidi"/>
          <w:i/>
          <w:iCs/>
        </w:rPr>
        <w:t>African Journal of Reproductive Health</w:t>
      </w:r>
      <w:r w:rsidRPr="00A17509">
        <w:rPr>
          <w:rFonts w:asciiTheme="minorBidi" w:hAnsiTheme="minorBidi" w:cstheme="minorBidi"/>
        </w:rPr>
        <w:t>, 18(3), 149-160.</w:t>
      </w:r>
    </w:p>
    <w:p w14:paraId="62E6282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Adebowale, S. A., </w:t>
      </w:r>
      <w:proofErr w:type="spellStart"/>
      <w:r w:rsidRPr="00A17509">
        <w:rPr>
          <w:rFonts w:asciiTheme="minorBidi" w:hAnsiTheme="minorBidi" w:cstheme="minorBidi"/>
        </w:rPr>
        <w:t>Fagbamigbe</w:t>
      </w:r>
      <w:proofErr w:type="spellEnd"/>
      <w:r w:rsidRPr="00A17509">
        <w:rPr>
          <w:rFonts w:asciiTheme="minorBidi" w:hAnsiTheme="minorBidi" w:cstheme="minorBidi"/>
        </w:rPr>
        <w:t xml:space="preserve">, F. A., </w:t>
      </w:r>
      <w:proofErr w:type="spellStart"/>
      <w:r w:rsidRPr="00A17509">
        <w:rPr>
          <w:rFonts w:asciiTheme="minorBidi" w:hAnsiTheme="minorBidi" w:cstheme="minorBidi"/>
        </w:rPr>
        <w:t>Okareh</w:t>
      </w:r>
      <w:proofErr w:type="spellEnd"/>
      <w:r w:rsidRPr="00A17509">
        <w:rPr>
          <w:rFonts w:asciiTheme="minorBidi" w:hAnsiTheme="minorBidi" w:cstheme="minorBidi"/>
        </w:rPr>
        <w:t xml:space="preserve">, T. O., &amp; Lawal, G. O. (2012). Survival Analysis of Timing of First Marriage among Women of Reproductive age in Nigeria: Regional Differences. </w:t>
      </w:r>
      <w:r w:rsidRPr="00A17509">
        <w:rPr>
          <w:rFonts w:asciiTheme="minorBidi" w:hAnsiTheme="minorBidi" w:cstheme="minorBidi"/>
          <w:i/>
          <w:iCs/>
        </w:rPr>
        <w:t>African Journal of Reproductive Health</w:t>
      </w:r>
      <w:r w:rsidRPr="00A17509">
        <w:rPr>
          <w:rFonts w:asciiTheme="minorBidi" w:hAnsiTheme="minorBidi" w:cstheme="minorBidi"/>
        </w:rPr>
        <w:t xml:space="preserve">, </w:t>
      </w:r>
      <w:r w:rsidRPr="00A17509">
        <w:rPr>
          <w:rFonts w:asciiTheme="minorBidi" w:hAnsiTheme="minorBidi" w:cstheme="minorBidi"/>
          <w:i/>
          <w:iCs/>
        </w:rPr>
        <w:t>16</w:t>
      </w:r>
      <w:r w:rsidRPr="00A17509">
        <w:rPr>
          <w:rFonts w:asciiTheme="minorBidi" w:hAnsiTheme="minorBidi" w:cstheme="minorBidi"/>
        </w:rPr>
        <w:t>(4), 95–107. https://www.ajol.info/index.php/ajrh/article/view/83687.</w:t>
      </w:r>
    </w:p>
    <w:p w14:paraId="329F58A7" w14:textId="77777777" w:rsidR="00CC052F" w:rsidRPr="00A17509" w:rsidRDefault="00CC052F" w:rsidP="00CC052F">
      <w:pPr>
        <w:jc w:val="lowKashida"/>
        <w:rPr>
          <w:rFonts w:asciiTheme="minorBidi" w:hAnsiTheme="minorBidi" w:cstheme="minorBidi"/>
        </w:rPr>
      </w:pPr>
      <w:proofErr w:type="spellStart"/>
      <w:r w:rsidRPr="00A17509">
        <w:rPr>
          <w:rFonts w:asciiTheme="minorBidi" w:hAnsiTheme="minorBidi" w:cstheme="minorBidi"/>
        </w:rPr>
        <w:t>Adedini</w:t>
      </w:r>
      <w:proofErr w:type="spellEnd"/>
      <w:r w:rsidRPr="00A17509">
        <w:rPr>
          <w:rFonts w:asciiTheme="minorBidi" w:hAnsiTheme="minorBidi" w:cstheme="minorBidi"/>
        </w:rPr>
        <w:t xml:space="preserve">, S. A., </w:t>
      </w:r>
      <w:proofErr w:type="spellStart"/>
      <w:r w:rsidRPr="00A17509">
        <w:rPr>
          <w:rFonts w:asciiTheme="minorBidi" w:hAnsiTheme="minorBidi" w:cstheme="minorBidi"/>
        </w:rPr>
        <w:t>Odimegwu</w:t>
      </w:r>
      <w:proofErr w:type="spellEnd"/>
      <w:r w:rsidRPr="00A17509">
        <w:rPr>
          <w:rFonts w:asciiTheme="minorBidi" w:hAnsiTheme="minorBidi" w:cstheme="minorBidi"/>
        </w:rPr>
        <w:t xml:space="preserve">, C., Imasiku, E. N., &amp; </w:t>
      </w:r>
      <w:proofErr w:type="spellStart"/>
      <w:r w:rsidRPr="00A17509">
        <w:rPr>
          <w:rFonts w:asciiTheme="minorBidi" w:hAnsiTheme="minorBidi" w:cstheme="minorBidi"/>
        </w:rPr>
        <w:t>Ononokpono</w:t>
      </w:r>
      <w:proofErr w:type="spellEnd"/>
      <w:r w:rsidRPr="00A17509">
        <w:rPr>
          <w:rFonts w:asciiTheme="minorBidi" w:hAnsiTheme="minorBidi" w:cstheme="minorBidi"/>
        </w:rPr>
        <w:t xml:space="preserve">, D. N. (2014). Unmet need for family planning: Implication for under-five mortality in Nigeria. </w:t>
      </w:r>
      <w:r w:rsidRPr="00A17509">
        <w:rPr>
          <w:rFonts w:asciiTheme="minorBidi" w:hAnsiTheme="minorBidi" w:cstheme="minorBidi"/>
          <w:i/>
          <w:iCs/>
        </w:rPr>
        <w:t>Journal of Health, Population and Nutrition</w:t>
      </w:r>
      <w:r w:rsidRPr="00A17509">
        <w:rPr>
          <w:rFonts w:asciiTheme="minorBidi" w:hAnsiTheme="minorBidi" w:cstheme="minorBidi"/>
        </w:rPr>
        <w:t>, 32(1), 138-147.</w:t>
      </w:r>
    </w:p>
    <w:p w14:paraId="2618DB82" w14:textId="77777777" w:rsidR="00CC052F" w:rsidRPr="00A17509" w:rsidRDefault="00CC052F" w:rsidP="00CC052F">
      <w:pPr>
        <w:jc w:val="lowKashida"/>
        <w:rPr>
          <w:rFonts w:asciiTheme="minorBidi" w:hAnsiTheme="minorBidi" w:cstheme="minorBidi"/>
        </w:rPr>
      </w:pPr>
      <w:proofErr w:type="spellStart"/>
      <w:r w:rsidRPr="00A17509">
        <w:rPr>
          <w:rFonts w:asciiTheme="minorBidi" w:hAnsiTheme="minorBidi" w:cstheme="minorBidi"/>
        </w:rPr>
        <w:t>Adedini</w:t>
      </w:r>
      <w:proofErr w:type="spellEnd"/>
      <w:r w:rsidRPr="00A17509">
        <w:rPr>
          <w:rFonts w:asciiTheme="minorBidi" w:hAnsiTheme="minorBidi" w:cstheme="minorBidi"/>
        </w:rPr>
        <w:t xml:space="preserve">, S. A., </w:t>
      </w:r>
      <w:proofErr w:type="spellStart"/>
      <w:r w:rsidRPr="00A17509">
        <w:rPr>
          <w:rFonts w:asciiTheme="minorBidi" w:hAnsiTheme="minorBidi" w:cstheme="minorBidi"/>
        </w:rPr>
        <w:t>Odimegwu</w:t>
      </w:r>
      <w:proofErr w:type="spellEnd"/>
      <w:r w:rsidRPr="00A17509">
        <w:rPr>
          <w:rFonts w:asciiTheme="minorBidi" w:hAnsiTheme="minorBidi" w:cstheme="minorBidi"/>
        </w:rPr>
        <w:t xml:space="preserve">, C., Imasiku, E. N., &amp; </w:t>
      </w:r>
      <w:proofErr w:type="spellStart"/>
      <w:r w:rsidRPr="00A17509">
        <w:rPr>
          <w:rFonts w:asciiTheme="minorBidi" w:hAnsiTheme="minorBidi" w:cstheme="minorBidi"/>
        </w:rPr>
        <w:t>Ononokpono</w:t>
      </w:r>
      <w:proofErr w:type="spellEnd"/>
      <w:r w:rsidRPr="00A17509">
        <w:rPr>
          <w:rFonts w:asciiTheme="minorBidi" w:hAnsiTheme="minorBidi" w:cstheme="minorBidi"/>
        </w:rPr>
        <w:t xml:space="preserve">, D. N. (2015). Unmet Need for Family Planning: Implication for Under-five Mortality in Nigeria. </w:t>
      </w:r>
      <w:r w:rsidRPr="00A17509">
        <w:rPr>
          <w:rFonts w:asciiTheme="minorBidi" w:hAnsiTheme="minorBidi" w:cstheme="minorBidi"/>
          <w:i/>
          <w:iCs/>
        </w:rPr>
        <w:t>Journal of Health, Population, and Nutrition</w:t>
      </w:r>
      <w:r w:rsidRPr="00A17509">
        <w:rPr>
          <w:rFonts w:asciiTheme="minorBidi" w:hAnsiTheme="minorBidi" w:cstheme="minorBidi"/>
        </w:rPr>
        <w:t xml:space="preserve">, </w:t>
      </w:r>
      <w:r w:rsidRPr="00A17509">
        <w:rPr>
          <w:rFonts w:asciiTheme="minorBidi" w:hAnsiTheme="minorBidi" w:cstheme="minorBidi"/>
          <w:i/>
          <w:iCs/>
        </w:rPr>
        <w:t>33</w:t>
      </w:r>
      <w:r w:rsidRPr="00A17509">
        <w:rPr>
          <w:rFonts w:asciiTheme="minorBidi" w:hAnsiTheme="minorBidi" w:cstheme="minorBidi"/>
        </w:rPr>
        <w:t>(1), 187. /</w:t>
      </w:r>
      <w:proofErr w:type="spellStart"/>
      <w:r w:rsidRPr="00A17509">
        <w:rPr>
          <w:rFonts w:asciiTheme="minorBidi" w:hAnsiTheme="minorBidi" w:cstheme="minorBidi"/>
        </w:rPr>
        <w:t>pmc</w:t>
      </w:r>
      <w:proofErr w:type="spellEnd"/>
      <w:r w:rsidRPr="00A17509">
        <w:rPr>
          <w:rFonts w:asciiTheme="minorBidi" w:hAnsiTheme="minorBidi" w:cstheme="minorBidi"/>
        </w:rPr>
        <w:t>/articles/PMC4438662/.</w:t>
      </w:r>
    </w:p>
    <w:p w14:paraId="22A9BFB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Adeniyi, O. I., Ifeoluwa, R. O., </w:t>
      </w:r>
      <w:proofErr w:type="spellStart"/>
      <w:r w:rsidRPr="00A17509">
        <w:rPr>
          <w:rFonts w:asciiTheme="minorBidi" w:hAnsiTheme="minorBidi" w:cstheme="minorBidi"/>
        </w:rPr>
        <w:t>Omekam</w:t>
      </w:r>
      <w:proofErr w:type="spellEnd"/>
      <w:r w:rsidRPr="00A17509">
        <w:rPr>
          <w:rFonts w:asciiTheme="minorBidi" w:hAnsiTheme="minorBidi" w:cstheme="minorBidi"/>
        </w:rPr>
        <w:t xml:space="preserve">, V. I., Adeoye, A. A., &amp; </w:t>
      </w:r>
      <w:proofErr w:type="spellStart"/>
      <w:r w:rsidRPr="00A17509">
        <w:rPr>
          <w:rFonts w:asciiTheme="minorBidi" w:hAnsiTheme="minorBidi" w:cstheme="minorBidi"/>
        </w:rPr>
        <w:t>Olubimpe</w:t>
      </w:r>
      <w:proofErr w:type="spellEnd"/>
      <w:r w:rsidRPr="00A17509">
        <w:rPr>
          <w:rFonts w:asciiTheme="minorBidi" w:hAnsiTheme="minorBidi" w:cstheme="minorBidi"/>
        </w:rPr>
        <w:t xml:space="preserve">, M. O. (2023). Regional Variation </w:t>
      </w:r>
      <w:proofErr w:type="gramStart"/>
      <w:r w:rsidRPr="00A17509">
        <w:rPr>
          <w:rFonts w:asciiTheme="minorBidi" w:hAnsiTheme="minorBidi" w:cstheme="minorBidi"/>
        </w:rPr>
        <w:t>In</w:t>
      </w:r>
      <w:proofErr w:type="gramEnd"/>
      <w:r w:rsidRPr="00A17509">
        <w:rPr>
          <w:rFonts w:asciiTheme="minorBidi" w:hAnsiTheme="minorBidi" w:cstheme="minorBidi"/>
        </w:rPr>
        <w:t xml:space="preserve"> Age at First Marriage Among Women of Reproductive Age In Nigeria. </w:t>
      </w:r>
      <w:r w:rsidRPr="00A17509">
        <w:rPr>
          <w:rFonts w:asciiTheme="minorBidi" w:hAnsiTheme="minorBidi" w:cstheme="minorBidi"/>
          <w:i/>
          <w:iCs/>
        </w:rPr>
        <w:t>Journal of Science and Technology (Ghana)</w:t>
      </w:r>
      <w:r w:rsidRPr="00A17509">
        <w:rPr>
          <w:rFonts w:asciiTheme="minorBidi" w:hAnsiTheme="minorBidi" w:cstheme="minorBidi"/>
        </w:rPr>
        <w:t xml:space="preserve">, </w:t>
      </w:r>
      <w:r w:rsidRPr="00A17509">
        <w:rPr>
          <w:rFonts w:asciiTheme="minorBidi" w:hAnsiTheme="minorBidi" w:cstheme="minorBidi"/>
          <w:i/>
          <w:iCs/>
        </w:rPr>
        <w:t>41</w:t>
      </w:r>
      <w:r w:rsidRPr="00A17509">
        <w:rPr>
          <w:rFonts w:asciiTheme="minorBidi" w:hAnsiTheme="minorBidi" w:cstheme="minorBidi"/>
        </w:rPr>
        <w:t xml:space="preserve">(1), 19–30. </w:t>
      </w:r>
      <w:hyperlink r:id="rId15" w:history="1">
        <w:r w:rsidRPr="00A17509">
          <w:rPr>
            <w:rStyle w:val="Hyperlink"/>
            <w:rFonts w:asciiTheme="minorBidi" w:hAnsiTheme="minorBidi" w:cstheme="minorBidi"/>
          </w:rPr>
          <w:t>https://www.ajol.info/index.php/just/article/view/246145</w:t>
        </w:r>
      </w:hyperlink>
      <w:r w:rsidRPr="00A17509">
        <w:rPr>
          <w:rFonts w:asciiTheme="minorBidi" w:hAnsiTheme="minorBidi" w:cstheme="minorBidi"/>
        </w:rPr>
        <w:t>.</w:t>
      </w:r>
    </w:p>
    <w:p w14:paraId="652D1092" w14:textId="77777777" w:rsidR="00CC052F" w:rsidRPr="00A17509" w:rsidRDefault="00CC052F" w:rsidP="00CC052F">
      <w:pPr>
        <w:jc w:val="lowKashida"/>
        <w:rPr>
          <w:rFonts w:asciiTheme="minorBidi" w:hAnsiTheme="minorBidi" w:cstheme="minorBidi"/>
          <w:lang w:val="fr-FR"/>
        </w:rPr>
      </w:pPr>
      <w:r w:rsidRPr="00A17509">
        <w:rPr>
          <w:rFonts w:asciiTheme="minorBidi" w:hAnsiTheme="minorBidi" w:cstheme="minorBidi"/>
        </w:rPr>
        <w:t xml:space="preserve">Ahmed, S., Creanga, A. A., Gillespie, D. G., &amp; Tsui, A. O. (2010). Economic status, education and empowerment: implications for maternal health service utilization in developing countries. </w:t>
      </w:r>
      <w:proofErr w:type="spellStart"/>
      <w:r w:rsidRPr="00A17509">
        <w:rPr>
          <w:rFonts w:asciiTheme="minorBidi" w:hAnsiTheme="minorBidi" w:cstheme="minorBidi"/>
          <w:i/>
          <w:iCs/>
          <w:lang w:val="fr-FR"/>
        </w:rPr>
        <w:t>PloS</w:t>
      </w:r>
      <w:proofErr w:type="spellEnd"/>
      <w:r w:rsidRPr="00A17509">
        <w:rPr>
          <w:rFonts w:asciiTheme="minorBidi" w:hAnsiTheme="minorBidi" w:cstheme="minorBidi"/>
          <w:i/>
          <w:iCs/>
          <w:lang w:val="fr-FR"/>
        </w:rPr>
        <w:t xml:space="preserve"> One</w:t>
      </w:r>
      <w:r w:rsidRPr="00A17509">
        <w:rPr>
          <w:rFonts w:asciiTheme="minorBidi" w:hAnsiTheme="minorBidi" w:cstheme="minorBidi"/>
          <w:lang w:val="fr-FR"/>
        </w:rPr>
        <w:t xml:space="preserve">, </w:t>
      </w:r>
      <w:r w:rsidRPr="00A17509">
        <w:rPr>
          <w:rFonts w:asciiTheme="minorBidi" w:hAnsiTheme="minorBidi" w:cstheme="minorBidi"/>
          <w:i/>
          <w:iCs/>
          <w:lang w:val="fr-FR"/>
        </w:rPr>
        <w:t>5</w:t>
      </w:r>
      <w:r w:rsidRPr="00A17509">
        <w:rPr>
          <w:rFonts w:asciiTheme="minorBidi" w:hAnsiTheme="minorBidi" w:cstheme="minorBidi"/>
          <w:lang w:val="fr-FR"/>
        </w:rPr>
        <w:t>(6). https://doi.org/10.1371/JOURNAL.PONE.0011190.</w:t>
      </w:r>
    </w:p>
    <w:p w14:paraId="0CE18E4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fr-FR"/>
        </w:rPr>
        <w:t xml:space="preserve">Ahmed, S., Creanga, A. A., Gillespie, D. G., &amp; Tsui, A. O. (2015). </w:t>
      </w:r>
      <w:r w:rsidRPr="00A17509">
        <w:rPr>
          <w:rFonts w:asciiTheme="minorBidi" w:hAnsiTheme="minorBidi" w:cstheme="minorBidi"/>
        </w:rPr>
        <w:t xml:space="preserve">Economic status, education and empowerment: Implications for maternal health service utilization in developing countries. </w:t>
      </w:r>
      <w:proofErr w:type="spellStart"/>
      <w:r w:rsidRPr="00A17509">
        <w:rPr>
          <w:rFonts w:asciiTheme="minorBidi" w:hAnsiTheme="minorBidi" w:cstheme="minorBidi"/>
          <w:i/>
          <w:iCs/>
        </w:rPr>
        <w:t>PLoS</w:t>
      </w:r>
      <w:proofErr w:type="spellEnd"/>
      <w:r w:rsidRPr="00A17509">
        <w:rPr>
          <w:rFonts w:asciiTheme="minorBidi" w:hAnsiTheme="minorBidi" w:cstheme="minorBidi"/>
          <w:i/>
          <w:iCs/>
        </w:rPr>
        <w:t xml:space="preserve"> ONE</w:t>
      </w:r>
      <w:r w:rsidRPr="00A17509">
        <w:rPr>
          <w:rFonts w:asciiTheme="minorBidi" w:hAnsiTheme="minorBidi" w:cstheme="minorBidi"/>
        </w:rPr>
        <w:t>, 5(6), e11190.</w:t>
      </w:r>
    </w:p>
    <w:p w14:paraId="441B059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Askew, I., Raney, L., Kerrigan, M., &amp; Sridhar, A. (2024). Family planning saves maternal and newborn lives: Why universal access to contraception must be prioritized in national maternal and newborn health policies, financing, and programs. </w:t>
      </w:r>
      <w:r w:rsidRPr="00A17509">
        <w:rPr>
          <w:rFonts w:asciiTheme="minorBidi" w:hAnsiTheme="minorBidi" w:cstheme="minorBidi"/>
          <w:i/>
          <w:iCs/>
        </w:rPr>
        <w:t>International Journal of Gynecology and Obstetrics</w:t>
      </w:r>
      <w:r w:rsidRPr="00A17509">
        <w:rPr>
          <w:rFonts w:asciiTheme="minorBidi" w:hAnsiTheme="minorBidi" w:cstheme="minorBidi"/>
        </w:rPr>
        <w:t xml:space="preserve">, </w:t>
      </w:r>
      <w:r w:rsidRPr="00A17509">
        <w:rPr>
          <w:rFonts w:asciiTheme="minorBidi" w:hAnsiTheme="minorBidi" w:cstheme="minorBidi"/>
          <w:i/>
          <w:iCs/>
        </w:rPr>
        <w:t>164</w:t>
      </w:r>
      <w:r w:rsidRPr="00A17509">
        <w:rPr>
          <w:rFonts w:asciiTheme="minorBidi" w:hAnsiTheme="minorBidi" w:cstheme="minorBidi"/>
        </w:rPr>
        <w:t>(2), 536–540. https://doi.org/10.1002/ijgo.15127.</w:t>
      </w:r>
    </w:p>
    <w:p w14:paraId="5BB2519D"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Blanc, A. K., &amp; Way, A. A. (1998). Sexual behavior in sub-Saharan Africa: Analysis of the demographic and health survey data. </w:t>
      </w:r>
      <w:r w:rsidRPr="00A17509">
        <w:rPr>
          <w:rFonts w:asciiTheme="minorBidi" w:hAnsiTheme="minorBidi" w:cstheme="minorBidi"/>
          <w:i/>
          <w:iCs/>
        </w:rPr>
        <w:t>Studies in Family Planning</w:t>
      </w:r>
      <w:r w:rsidRPr="00A17509">
        <w:rPr>
          <w:rFonts w:asciiTheme="minorBidi" w:hAnsiTheme="minorBidi" w:cstheme="minorBidi"/>
        </w:rPr>
        <w:t>, 29(2), 106-120.</w:t>
      </w:r>
    </w:p>
    <w:p w14:paraId="62F1D31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Caldwell, J. C., &amp; Caldwell, P. (1987). The cultural context of high fertility in sub-Saharan Africa. </w:t>
      </w:r>
      <w:r w:rsidRPr="00A17509">
        <w:rPr>
          <w:rFonts w:asciiTheme="minorBidi" w:hAnsiTheme="minorBidi" w:cstheme="minorBidi"/>
          <w:i/>
          <w:iCs/>
        </w:rPr>
        <w:t>Population and Development Review</w:t>
      </w:r>
      <w:r w:rsidRPr="00A17509">
        <w:rPr>
          <w:rFonts w:asciiTheme="minorBidi" w:hAnsiTheme="minorBidi" w:cstheme="minorBidi"/>
        </w:rPr>
        <w:t>, 13(3), 409-437.</w:t>
      </w:r>
    </w:p>
    <w:p w14:paraId="723D12F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lastRenderedPageBreak/>
        <w:t xml:space="preserve">Caldwell, J. C., &amp; Caldwell, P. (1987). The Cultural Context of High Fertility in Sub-Saharan Africa. </w:t>
      </w:r>
      <w:r w:rsidRPr="00A17509">
        <w:rPr>
          <w:rFonts w:asciiTheme="minorBidi" w:hAnsiTheme="minorBidi" w:cstheme="minorBidi"/>
          <w:i/>
          <w:iCs/>
        </w:rPr>
        <w:t>Population and Development Review</w:t>
      </w:r>
      <w:r w:rsidRPr="00A17509">
        <w:rPr>
          <w:rFonts w:asciiTheme="minorBidi" w:hAnsiTheme="minorBidi" w:cstheme="minorBidi"/>
        </w:rPr>
        <w:t xml:space="preserve">, </w:t>
      </w:r>
      <w:r w:rsidRPr="00A17509">
        <w:rPr>
          <w:rFonts w:asciiTheme="minorBidi" w:hAnsiTheme="minorBidi" w:cstheme="minorBidi"/>
          <w:i/>
          <w:iCs/>
        </w:rPr>
        <w:t>13</w:t>
      </w:r>
      <w:r w:rsidRPr="00A17509">
        <w:rPr>
          <w:rFonts w:asciiTheme="minorBidi" w:hAnsiTheme="minorBidi" w:cstheme="minorBidi"/>
        </w:rPr>
        <w:t>(3), 409–437. https://doi.org/10.2307/1973133.</w:t>
      </w:r>
    </w:p>
    <w:p w14:paraId="2C0E861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Casterline, J. B., &amp; Sinding, S. W. (2000). Unmet need for family planning in developing countries and implications for population policy. </w:t>
      </w:r>
      <w:r w:rsidRPr="00A17509">
        <w:rPr>
          <w:rFonts w:asciiTheme="minorBidi" w:hAnsiTheme="minorBidi" w:cstheme="minorBidi"/>
          <w:i/>
          <w:iCs/>
        </w:rPr>
        <w:t>Population and Development Review</w:t>
      </w:r>
      <w:r w:rsidRPr="00A17509">
        <w:rPr>
          <w:rFonts w:asciiTheme="minorBidi" w:hAnsiTheme="minorBidi" w:cstheme="minorBidi"/>
        </w:rPr>
        <w:t>, 26(4), 691-723.</w:t>
      </w:r>
    </w:p>
    <w:p w14:paraId="443B2F3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Casterline, J. B., &amp; Sinding, S. W. (2000). Unmet need for family planning in developing countries and implications for population policy. </w:t>
      </w:r>
      <w:r w:rsidRPr="00A17509">
        <w:rPr>
          <w:rFonts w:asciiTheme="minorBidi" w:hAnsiTheme="minorBidi" w:cstheme="minorBidi"/>
          <w:i/>
          <w:iCs/>
        </w:rPr>
        <w:t>Poverty, Gender, and Youth</w:t>
      </w:r>
      <w:r w:rsidRPr="00A17509">
        <w:rPr>
          <w:rFonts w:asciiTheme="minorBidi" w:hAnsiTheme="minorBidi" w:cstheme="minorBidi"/>
        </w:rPr>
        <w:t>. https://doi.org/10.31899/pgy6.1036.</w:t>
      </w:r>
    </w:p>
    <w:p w14:paraId="2D904646"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Cleland, J., Bernstein, S., Ezeh, A., </w:t>
      </w:r>
      <w:proofErr w:type="spellStart"/>
      <w:r w:rsidRPr="00A17509">
        <w:rPr>
          <w:rFonts w:asciiTheme="minorBidi" w:hAnsiTheme="minorBidi" w:cstheme="minorBidi"/>
        </w:rPr>
        <w:t>Faundes</w:t>
      </w:r>
      <w:proofErr w:type="spellEnd"/>
      <w:r w:rsidRPr="00A17509">
        <w:rPr>
          <w:rFonts w:asciiTheme="minorBidi" w:hAnsiTheme="minorBidi" w:cstheme="minorBidi"/>
        </w:rPr>
        <w:t xml:space="preserve">, A., Glasier, A., &amp; Innis, J. (2012). Family planning: The unfinished agenda. </w:t>
      </w:r>
      <w:r w:rsidRPr="00A17509">
        <w:rPr>
          <w:rFonts w:asciiTheme="minorBidi" w:hAnsiTheme="minorBidi" w:cstheme="minorBidi"/>
          <w:i/>
          <w:iCs/>
        </w:rPr>
        <w:t>The Lancet</w:t>
      </w:r>
      <w:r w:rsidRPr="00A17509">
        <w:rPr>
          <w:rFonts w:asciiTheme="minorBidi" w:hAnsiTheme="minorBidi" w:cstheme="minorBidi"/>
        </w:rPr>
        <w:t>, 368(9549), 1810-1827.</w:t>
      </w:r>
    </w:p>
    <w:p w14:paraId="12E4C2B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Cleland, J., Bernstein, S., Ezeh, A., </w:t>
      </w:r>
      <w:proofErr w:type="spellStart"/>
      <w:r w:rsidRPr="00A17509">
        <w:rPr>
          <w:rFonts w:asciiTheme="minorBidi" w:hAnsiTheme="minorBidi" w:cstheme="minorBidi"/>
        </w:rPr>
        <w:t>Faundes</w:t>
      </w:r>
      <w:proofErr w:type="spellEnd"/>
      <w:r w:rsidRPr="00A17509">
        <w:rPr>
          <w:rFonts w:asciiTheme="minorBidi" w:hAnsiTheme="minorBidi" w:cstheme="minorBidi"/>
        </w:rPr>
        <w:t xml:space="preserve">, A., Glasier, A., &amp; Innis, J. (2006). Family planning: the unfinished agenda. </w:t>
      </w:r>
      <w:r w:rsidRPr="00A17509">
        <w:rPr>
          <w:rFonts w:asciiTheme="minorBidi" w:hAnsiTheme="minorBidi" w:cstheme="minorBidi"/>
          <w:i/>
          <w:iCs/>
        </w:rPr>
        <w:t>Lancet (London, England)</w:t>
      </w:r>
      <w:r w:rsidRPr="00A17509">
        <w:rPr>
          <w:rFonts w:asciiTheme="minorBidi" w:hAnsiTheme="minorBidi" w:cstheme="minorBidi"/>
        </w:rPr>
        <w:t xml:space="preserve">, </w:t>
      </w:r>
      <w:r w:rsidRPr="00A17509">
        <w:rPr>
          <w:rFonts w:asciiTheme="minorBidi" w:hAnsiTheme="minorBidi" w:cstheme="minorBidi"/>
          <w:i/>
          <w:iCs/>
        </w:rPr>
        <w:t>368</w:t>
      </w:r>
      <w:r w:rsidRPr="00A17509">
        <w:rPr>
          <w:rFonts w:asciiTheme="minorBidi" w:hAnsiTheme="minorBidi" w:cstheme="minorBidi"/>
        </w:rPr>
        <w:t xml:space="preserve">(9549), 1810–1827. </w:t>
      </w:r>
      <w:hyperlink r:id="rId16" w:history="1">
        <w:r w:rsidRPr="00A17509">
          <w:rPr>
            <w:rStyle w:val="Hyperlink"/>
            <w:rFonts w:asciiTheme="minorBidi" w:hAnsiTheme="minorBidi" w:cstheme="minorBidi"/>
          </w:rPr>
          <w:t>https://doi.org/10.1016/S0140-6736(06)69480-4</w:t>
        </w:r>
      </w:hyperlink>
      <w:r w:rsidRPr="00A17509">
        <w:rPr>
          <w:rFonts w:asciiTheme="minorBidi" w:hAnsiTheme="minorBidi" w:cstheme="minorBidi"/>
        </w:rPr>
        <w:t>.</w:t>
      </w:r>
    </w:p>
    <w:p w14:paraId="6D0EFE2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Do, M., &amp; Kurimoto, N. (2012). Women’s empowerment and choice of contraceptive methods in selected African countries. </w:t>
      </w:r>
      <w:r w:rsidRPr="00A17509">
        <w:rPr>
          <w:rFonts w:asciiTheme="minorBidi" w:hAnsiTheme="minorBidi" w:cstheme="minorBidi"/>
          <w:i/>
          <w:iCs/>
        </w:rPr>
        <w:t>International Perspectives on Sexual and Reproductive Health</w:t>
      </w:r>
      <w:r w:rsidRPr="00A17509">
        <w:rPr>
          <w:rFonts w:asciiTheme="minorBidi" w:hAnsiTheme="minorBidi" w:cstheme="minorBidi"/>
        </w:rPr>
        <w:t xml:space="preserve">, </w:t>
      </w:r>
      <w:r w:rsidRPr="00A17509">
        <w:rPr>
          <w:rFonts w:asciiTheme="minorBidi" w:hAnsiTheme="minorBidi" w:cstheme="minorBidi"/>
          <w:i/>
          <w:iCs/>
        </w:rPr>
        <w:t>38</w:t>
      </w:r>
      <w:r w:rsidRPr="00A17509">
        <w:rPr>
          <w:rFonts w:asciiTheme="minorBidi" w:hAnsiTheme="minorBidi" w:cstheme="minorBidi"/>
        </w:rPr>
        <w:t>(1), 23–33. https://doi.org/10.1363/3802312.</w:t>
      </w:r>
    </w:p>
    <w:p w14:paraId="733850C4"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Do, M., &amp; Kurimoto, N. (2012). Women's empowerment and choice of contraceptive methods in selected African countries. </w:t>
      </w:r>
      <w:r w:rsidRPr="00A17509">
        <w:rPr>
          <w:rFonts w:asciiTheme="minorBidi" w:hAnsiTheme="minorBidi" w:cstheme="minorBidi"/>
          <w:i/>
          <w:iCs/>
        </w:rPr>
        <w:t>International Perspectives on Sexual and Reproductive Health</w:t>
      </w:r>
      <w:r w:rsidRPr="00A17509">
        <w:rPr>
          <w:rFonts w:asciiTheme="minorBidi" w:hAnsiTheme="minorBidi" w:cstheme="minorBidi"/>
        </w:rPr>
        <w:t>, 38(1), 23-33.</w:t>
      </w:r>
    </w:p>
    <w:p w14:paraId="527F572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Ibrahim, M. T., Oladimeji, O., &amp; Oladapo, O. T. (2019). Barriers to modern contraceptive use among women in rural Nigeria: A qualitative study. Reproductive Health, 16(1), 1-11.</w:t>
      </w:r>
    </w:p>
    <w:p w14:paraId="7A3E646D"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Molitoris, J., Barclay, K., &amp; Kolk, M. (2019). When and Where Birth Spacing Matters for Child Survival: An International Comparison Using the DHS. </w:t>
      </w:r>
      <w:r w:rsidRPr="00A17509">
        <w:rPr>
          <w:rFonts w:asciiTheme="minorBidi" w:hAnsiTheme="minorBidi" w:cstheme="minorBidi"/>
          <w:i/>
          <w:iCs/>
        </w:rPr>
        <w:t>Demography</w:t>
      </w:r>
      <w:r w:rsidRPr="00A17509">
        <w:rPr>
          <w:rFonts w:asciiTheme="minorBidi" w:hAnsiTheme="minorBidi" w:cstheme="minorBidi"/>
        </w:rPr>
        <w:t xml:space="preserve">, </w:t>
      </w:r>
      <w:r w:rsidRPr="00A17509">
        <w:rPr>
          <w:rFonts w:asciiTheme="minorBidi" w:hAnsiTheme="minorBidi" w:cstheme="minorBidi"/>
          <w:i/>
          <w:iCs/>
        </w:rPr>
        <w:t>56</w:t>
      </w:r>
      <w:r w:rsidRPr="00A17509">
        <w:rPr>
          <w:rFonts w:asciiTheme="minorBidi" w:hAnsiTheme="minorBidi" w:cstheme="minorBidi"/>
        </w:rPr>
        <w:t xml:space="preserve">(4), 1349–1370. </w:t>
      </w:r>
      <w:hyperlink r:id="rId17" w:history="1">
        <w:r w:rsidRPr="00A17509">
          <w:rPr>
            <w:rStyle w:val="Hyperlink"/>
            <w:rFonts w:asciiTheme="minorBidi" w:hAnsiTheme="minorBidi" w:cstheme="minorBidi"/>
          </w:rPr>
          <w:t>https://doi.org/10.1007/S13524-019-00798-Y</w:t>
        </w:r>
      </w:hyperlink>
      <w:r w:rsidRPr="00A17509">
        <w:rPr>
          <w:rFonts w:asciiTheme="minorBidi" w:hAnsiTheme="minorBidi" w:cstheme="minorBidi"/>
        </w:rPr>
        <w:t>.</w:t>
      </w:r>
    </w:p>
    <w:p w14:paraId="469FA8D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Moreira, L. R., </w:t>
      </w:r>
      <w:proofErr w:type="spellStart"/>
      <w:r w:rsidRPr="00A17509">
        <w:rPr>
          <w:rFonts w:asciiTheme="minorBidi" w:hAnsiTheme="minorBidi" w:cstheme="minorBidi"/>
        </w:rPr>
        <w:t>Ewerling</w:t>
      </w:r>
      <w:proofErr w:type="spellEnd"/>
      <w:r w:rsidRPr="00A17509">
        <w:rPr>
          <w:rFonts w:asciiTheme="minorBidi" w:hAnsiTheme="minorBidi" w:cstheme="minorBidi"/>
        </w:rPr>
        <w:t xml:space="preserve">, F., Barros, A. J. D., &amp; Silveira, M. F. (2019). Reasons for nonuse of contraceptive methods by women with demand for contraception not satisfied: an assessment of low and middle-income countries using demographic and health surveys. </w:t>
      </w:r>
      <w:r w:rsidRPr="00A17509">
        <w:rPr>
          <w:rFonts w:asciiTheme="minorBidi" w:hAnsiTheme="minorBidi" w:cstheme="minorBidi"/>
          <w:i/>
          <w:iCs/>
        </w:rPr>
        <w:t>Reproductive Health</w:t>
      </w:r>
      <w:r w:rsidRPr="00A17509">
        <w:rPr>
          <w:rFonts w:asciiTheme="minorBidi" w:hAnsiTheme="minorBidi" w:cstheme="minorBidi"/>
        </w:rPr>
        <w:t xml:space="preserve">, </w:t>
      </w:r>
      <w:r w:rsidRPr="00A17509">
        <w:rPr>
          <w:rFonts w:asciiTheme="minorBidi" w:hAnsiTheme="minorBidi" w:cstheme="minorBidi"/>
          <w:i/>
          <w:iCs/>
        </w:rPr>
        <w:t>16</w:t>
      </w:r>
      <w:r w:rsidRPr="00A17509">
        <w:rPr>
          <w:rFonts w:asciiTheme="minorBidi" w:hAnsiTheme="minorBidi" w:cstheme="minorBidi"/>
        </w:rPr>
        <w:t xml:space="preserve">(1). </w:t>
      </w:r>
      <w:hyperlink r:id="rId18" w:history="1">
        <w:r w:rsidRPr="00A17509">
          <w:rPr>
            <w:rStyle w:val="Hyperlink"/>
            <w:rFonts w:asciiTheme="minorBidi" w:hAnsiTheme="minorBidi" w:cstheme="minorBidi"/>
          </w:rPr>
          <w:t>https://doi.org/10.1186/S12978-019-0805-7</w:t>
        </w:r>
      </w:hyperlink>
      <w:r w:rsidRPr="00A17509">
        <w:rPr>
          <w:rFonts w:asciiTheme="minorBidi" w:hAnsiTheme="minorBidi" w:cstheme="minorBidi"/>
        </w:rPr>
        <w:t>.</w:t>
      </w:r>
    </w:p>
    <w:p w14:paraId="761C90F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Morroni, C., &amp; Glasier, A. (2020). Increasing the use of effective postpartum contraception: urgent and possible. </w:t>
      </w:r>
      <w:r w:rsidRPr="00A17509">
        <w:rPr>
          <w:rFonts w:asciiTheme="minorBidi" w:hAnsiTheme="minorBidi" w:cstheme="minorBidi"/>
          <w:i/>
          <w:iCs/>
        </w:rPr>
        <w:t>The Lancet. Global Health</w:t>
      </w:r>
      <w:r w:rsidRPr="00A17509">
        <w:rPr>
          <w:rFonts w:asciiTheme="minorBidi" w:hAnsiTheme="minorBidi" w:cstheme="minorBidi"/>
        </w:rPr>
        <w:t xml:space="preserve">, </w:t>
      </w:r>
      <w:r w:rsidRPr="00A17509">
        <w:rPr>
          <w:rFonts w:asciiTheme="minorBidi" w:hAnsiTheme="minorBidi" w:cstheme="minorBidi"/>
          <w:i/>
          <w:iCs/>
        </w:rPr>
        <w:t>8</w:t>
      </w:r>
      <w:r w:rsidRPr="00A17509">
        <w:rPr>
          <w:rFonts w:asciiTheme="minorBidi" w:hAnsiTheme="minorBidi" w:cstheme="minorBidi"/>
        </w:rPr>
        <w:t>(3), e316–e317. https://doi.org/10.1016/S2214-109X(20)30045-0.</w:t>
      </w:r>
    </w:p>
    <w:p w14:paraId="40F296F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fr-FR"/>
        </w:rPr>
        <w:t xml:space="preserve">National Population Commission (NPC) &amp; ICF. </w:t>
      </w:r>
      <w:r w:rsidRPr="00A17509">
        <w:rPr>
          <w:rFonts w:asciiTheme="minorBidi" w:hAnsiTheme="minorBidi" w:cstheme="minorBidi"/>
        </w:rPr>
        <w:t>(2021). Nigeria Demographic and Health Survey 2021. Abuja, Nigeria: NPC and ICF.</w:t>
      </w:r>
    </w:p>
    <w:p w14:paraId="359775E6"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National Population Commission (NPC) [Nigeria] and ICF. (2019). Nigeria Demographic and Health Survey 2018. Abuja, Nigeria, and Rockville, Maryland, USA: NPC and ICF.</w:t>
      </w:r>
    </w:p>
    <w:p w14:paraId="0E92DA6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Nigeria Health Survey (NHS). (2020). Nigeria Health Survey 2020. Abuja, Nigeria: Federal Ministry of Health.</w:t>
      </w:r>
    </w:p>
    <w:p w14:paraId="32D1D08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NPC &amp; ICF (2021). Nigeria Demographic and Health Survey 2019. Abuja, Nigeria: National Population Commission.</w:t>
      </w:r>
    </w:p>
    <w:p w14:paraId="3639917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Okech, T. C., Wawire, N. H. W., &amp; Mburu, T. K. (2011). Contraceptive use among women of reproductive age in Kenya's city slums. </w:t>
      </w:r>
      <w:r w:rsidRPr="00A17509">
        <w:rPr>
          <w:rFonts w:asciiTheme="minorBidi" w:hAnsiTheme="minorBidi" w:cstheme="minorBidi"/>
          <w:i/>
          <w:iCs/>
        </w:rPr>
        <w:t>International Journal of Business and Social Science</w:t>
      </w:r>
      <w:r w:rsidRPr="00A17509">
        <w:rPr>
          <w:rFonts w:asciiTheme="minorBidi" w:hAnsiTheme="minorBidi" w:cstheme="minorBidi"/>
        </w:rPr>
        <w:t>, 2(1), 22-43.</w:t>
      </w:r>
    </w:p>
    <w:p w14:paraId="598EC544"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i/>
          <w:iCs/>
        </w:rPr>
        <w:t>Okech, T.C., Wawire, N.W. and Mburu, T.K. (2011) Contraceptive Use among Women of Reproductive Age in Kenya’s City Slums. International Journal of Business and Social Science, 2, 22-43. - References - Scientific Research Publishing</w:t>
      </w:r>
      <w:r w:rsidRPr="00A17509">
        <w:rPr>
          <w:rFonts w:asciiTheme="minorBidi" w:hAnsiTheme="minorBidi" w:cstheme="minorBidi"/>
        </w:rPr>
        <w:t>. (n.d.). Retrieved July 1, 2024, from https://www.scirp.org/reference/ReferencesPapers?ReferenceID=1655247.</w:t>
      </w:r>
    </w:p>
    <w:p w14:paraId="5532BAA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Oluwole, O. A., Babatunde, L. O., &amp; Ajayi, A. I. (2020). Access to family planning services in rural Nigeria: A mixed-methods study. BMC Public Health, 20(1), 1-12.</w:t>
      </w:r>
    </w:p>
    <w:p w14:paraId="162EDF80"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Oluwole, O. A., Babatunde, L. O., &amp; Ajayi, A. I. (2020). Access to family planning services in rural Nigeria: A mixed-methods study. BMC Public Health, 20(1), 1-12. ncbi.nlm.nih.gov.</w:t>
      </w:r>
    </w:p>
    <w:p w14:paraId="1F40F4A3" w14:textId="77777777" w:rsidR="00CC052F" w:rsidRPr="00A17509" w:rsidRDefault="00CC052F" w:rsidP="00CC052F">
      <w:pPr>
        <w:jc w:val="lowKashida"/>
        <w:rPr>
          <w:rFonts w:asciiTheme="minorBidi" w:hAnsiTheme="minorBidi" w:cstheme="minorBidi"/>
        </w:rPr>
      </w:pPr>
      <w:proofErr w:type="spellStart"/>
      <w:r w:rsidRPr="00A17509">
        <w:rPr>
          <w:rFonts w:asciiTheme="minorBidi" w:hAnsiTheme="minorBidi" w:cstheme="minorBidi"/>
        </w:rPr>
        <w:t>Ontiri</w:t>
      </w:r>
      <w:proofErr w:type="spellEnd"/>
      <w:r w:rsidRPr="00A17509">
        <w:rPr>
          <w:rFonts w:asciiTheme="minorBidi" w:hAnsiTheme="minorBidi" w:cstheme="minorBidi"/>
        </w:rPr>
        <w:t xml:space="preserve">, S., Were, V., Kabue, M., </w:t>
      </w:r>
      <w:proofErr w:type="spellStart"/>
      <w:r w:rsidRPr="00A17509">
        <w:rPr>
          <w:rFonts w:asciiTheme="minorBidi" w:hAnsiTheme="minorBidi" w:cstheme="minorBidi"/>
        </w:rPr>
        <w:t>Biesma</w:t>
      </w:r>
      <w:proofErr w:type="spellEnd"/>
      <w:r w:rsidRPr="00A17509">
        <w:rPr>
          <w:rFonts w:asciiTheme="minorBidi" w:hAnsiTheme="minorBidi" w:cstheme="minorBidi"/>
        </w:rPr>
        <w:t xml:space="preserve">-Blanco, R., &amp; Stekelenburg, J. (2020). Patterns and determinants of modern contraceptive discontinuation among women of reproductive age: </w:t>
      </w:r>
      <w:r w:rsidRPr="00A17509">
        <w:rPr>
          <w:rFonts w:asciiTheme="minorBidi" w:hAnsiTheme="minorBidi" w:cstheme="minorBidi"/>
        </w:rPr>
        <w:lastRenderedPageBreak/>
        <w:t xml:space="preserve">Analysis of Kenya Demographic Health Surveys, 2003–2014. </w:t>
      </w:r>
      <w:r w:rsidRPr="00A17509">
        <w:rPr>
          <w:rFonts w:asciiTheme="minorBidi" w:hAnsiTheme="minorBidi" w:cstheme="minorBidi"/>
          <w:i/>
          <w:iCs/>
        </w:rPr>
        <w:t>PLOS ONE</w:t>
      </w:r>
      <w:r w:rsidRPr="00A17509">
        <w:rPr>
          <w:rFonts w:asciiTheme="minorBidi" w:hAnsiTheme="minorBidi" w:cstheme="minorBidi"/>
        </w:rPr>
        <w:t xml:space="preserve">, </w:t>
      </w:r>
      <w:r w:rsidRPr="00A17509">
        <w:rPr>
          <w:rFonts w:asciiTheme="minorBidi" w:hAnsiTheme="minorBidi" w:cstheme="minorBidi"/>
          <w:i/>
          <w:iCs/>
        </w:rPr>
        <w:t>15</w:t>
      </w:r>
      <w:r w:rsidRPr="00A17509">
        <w:rPr>
          <w:rFonts w:asciiTheme="minorBidi" w:hAnsiTheme="minorBidi" w:cstheme="minorBidi"/>
        </w:rPr>
        <w:t>(11), e0241605. https://doi.org/10.1371/JOURNAL.PONE.0241605</w:t>
      </w:r>
    </w:p>
    <w:p w14:paraId="19F5E17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color w:val="000000"/>
          <w:shd w:val="clear" w:color="auto" w:fill="FFFFFF"/>
        </w:rPr>
        <w:t>S214. </w:t>
      </w:r>
      <w:hyperlink r:id="rId19" w:history="1">
        <w:r w:rsidRPr="00A17509">
          <w:rPr>
            <w:rStyle w:val="Hyperlink"/>
            <w:rFonts w:asciiTheme="minorBidi" w:hAnsiTheme="minorBidi" w:cstheme="minorBidi"/>
            <w:color w:val="004B8D"/>
            <w:bdr w:val="none" w:sz="0" w:space="0" w:color="auto" w:frame="1"/>
            <w:shd w:val="clear" w:color="auto" w:fill="FFFFFF"/>
          </w:rPr>
          <w:t>https://doi.org/10.9745/GHSP-D-19-00262</w:t>
        </w:r>
      </w:hyperlink>
      <w:r w:rsidRPr="00A17509">
        <w:rPr>
          <w:rFonts w:asciiTheme="minorBidi" w:hAnsiTheme="minorBidi" w:cstheme="minorBidi"/>
        </w:rPr>
        <w:t>.</w:t>
      </w:r>
    </w:p>
    <w:p w14:paraId="08D75A5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Singh, L. M., </w:t>
      </w:r>
      <w:proofErr w:type="spellStart"/>
      <w:r w:rsidRPr="00A17509">
        <w:rPr>
          <w:rFonts w:asciiTheme="minorBidi" w:hAnsiTheme="minorBidi" w:cstheme="minorBidi"/>
        </w:rPr>
        <w:t>Prinja</w:t>
      </w:r>
      <w:proofErr w:type="spellEnd"/>
      <w:r w:rsidRPr="00A17509">
        <w:rPr>
          <w:rFonts w:asciiTheme="minorBidi" w:hAnsiTheme="minorBidi" w:cstheme="minorBidi"/>
        </w:rPr>
        <w:t xml:space="preserve">, S., Rai, P., Siddhanta, A., Singh, A. K., Sharma, A., Sharma, V., Rana, S. K., Muneeza, K. F., Srivastava, A., Singh, L. M., </w:t>
      </w:r>
      <w:proofErr w:type="spellStart"/>
      <w:r w:rsidRPr="00A17509">
        <w:rPr>
          <w:rFonts w:asciiTheme="minorBidi" w:hAnsiTheme="minorBidi" w:cstheme="minorBidi"/>
        </w:rPr>
        <w:t>Prinja</w:t>
      </w:r>
      <w:proofErr w:type="spellEnd"/>
      <w:r w:rsidRPr="00A17509">
        <w:rPr>
          <w:rFonts w:asciiTheme="minorBidi" w:hAnsiTheme="minorBidi" w:cstheme="minorBidi"/>
        </w:rPr>
        <w:t xml:space="preserve">, S., Rai, P., Siddhanta, A., Singh, A. K., Sharma, A., Sharma, V., Rana, S. K., Muneeza, K. F., &amp; Srivastava, A. (2020). Determinants of Modern Contraceptive Use and Unmet Need for Family Planning among the Urban Poor. </w:t>
      </w:r>
      <w:r w:rsidRPr="00A17509">
        <w:rPr>
          <w:rFonts w:asciiTheme="minorBidi" w:hAnsiTheme="minorBidi" w:cstheme="minorBidi"/>
          <w:i/>
          <w:iCs/>
        </w:rPr>
        <w:t>Open Journal of Social Sciences</w:t>
      </w:r>
      <w:r w:rsidRPr="00A17509">
        <w:rPr>
          <w:rFonts w:asciiTheme="minorBidi" w:hAnsiTheme="minorBidi" w:cstheme="minorBidi"/>
        </w:rPr>
        <w:t xml:space="preserve">, </w:t>
      </w:r>
      <w:r w:rsidRPr="00A17509">
        <w:rPr>
          <w:rFonts w:asciiTheme="minorBidi" w:hAnsiTheme="minorBidi" w:cstheme="minorBidi"/>
          <w:i/>
          <w:iCs/>
        </w:rPr>
        <w:t>8</w:t>
      </w:r>
      <w:r w:rsidRPr="00A17509">
        <w:rPr>
          <w:rFonts w:asciiTheme="minorBidi" w:hAnsiTheme="minorBidi" w:cstheme="minorBidi"/>
        </w:rPr>
        <w:t>(5), 451–473. https://doi.org/10.4236/JSS.2020.85031.</w:t>
      </w:r>
    </w:p>
    <w:p w14:paraId="48B07EDC" w14:textId="77777777" w:rsidR="00CC052F" w:rsidRPr="00A17509" w:rsidRDefault="00CC052F" w:rsidP="00CC052F">
      <w:pPr>
        <w:pStyle w:val="Heading1"/>
        <w:spacing w:before="0" w:after="0"/>
        <w:jc w:val="lowKashida"/>
        <w:rPr>
          <w:rFonts w:asciiTheme="minorBidi" w:hAnsiTheme="minorBidi" w:cstheme="minorBidi"/>
          <w:sz w:val="20"/>
        </w:rPr>
      </w:pPr>
      <w:r w:rsidRPr="00A17509">
        <w:rPr>
          <w:rFonts w:asciiTheme="minorBidi" w:hAnsiTheme="minorBidi" w:cstheme="minorBidi"/>
          <w:color w:val="000000"/>
          <w:sz w:val="20"/>
          <w:shd w:val="clear" w:color="auto" w:fill="FFFFFF"/>
        </w:rPr>
        <w:t>Starbird E, Crawford K. Healthy timing and spacing of pregnancy: reducing mortality among women and their children. </w:t>
      </w:r>
      <w:r w:rsidRPr="00A17509">
        <w:rPr>
          <w:rStyle w:val="Emphasis"/>
          <w:rFonts w:asciiTheme="minorBidi" w:hAnsiTheme="minorBidi" w:cstheme="minorBidi"/>
          <w:color w:val="000000"/>
          <w:sz w:val="20"/>
          <w:bdr w:val="none" w:sz="0" w:space="0" w:color="auto" w:frame="1"/>
          <w:shd w:val="clear" w:color="auto" w:fill="FFFFFF"/>
        </w:rPr>
        <w:t xml:space="preserve">Glob Health Sci </w:t>
      </w:r>
      <w:proofErr w:type="spellStart"/>
      <w:r w:rsidRPr="00A17509">
        <w:rPr>
          <w:rStyle w:val="Emphasis"/>
          <w:rFonts w:asciiTheme="minorBidi" w:hAnsiTheme="minorBidi" w:cstheme="minorBidi"/>
          <w:color w:val="000000"/>
          <w:sz w:val="20"/>
          <w:bdr w:val="none" w:sz="0" w:space="0" w:color="auto" w:frame="1"/>
          <w:shd w:val="clear" w:color="auto" w:fill="FFFFFF"/>
        </w:rPr>
        <w:t>Pract</w:t>
      </w:r>
      <w:proofErr w:type="spellEnd"/>
      <w:r w:rsidRPr="00A17509">
        <w:rPr>
          <w:rFonts w:asciiTheme="minorBidi" w:hAnsiTheme="minorBidi" w:cstheme="minorBidi"/>
          <w:color w:val="000000"/>
          <w:sz w:val="20"/>
          <w:shd w:val="clear" w:color="auto" w:fill="FFFFFF"/>
        </w:rPr>
        <w:t>. 2019;7(suppl 2</w:t>
      </w:r>
      <w:proofErr w:type="gramStart"/>
      <w:r w:rsidRPr="00A17509">
        <w:rPr>
          <w:rFonts w:asciiTheme="minorBidi" w:hAnsiTheme="minorBidi" w:cstheme="minorBidi"/>
          <w:color w:val="000000"/>
          <w:sz w:val="20"/>
          <w:shd w:val="clear" w:color="auto" w:fill="FFFFFF"/>
        </w:rPr>
        <w:t>):S</w:t>
      </w:r>
      <w:proofErr w:type="gramEnd"/>
      <w:r w:rsidRPr="00A17509">
        <w:rPr>
          <w:rFonts w:asciiTheme="minorBidi" w:hAnsiTheme="minorBidi" w:cstheme="minorBidi"/>
          <w:color w:val="000000"/>
          <w:sz w:val="20"/>
          <w:shd w:val="clear" w:color="auto" w:fill="FFFFFF"/>
        </w:rPr>
        <w:t>211.</w:t>
      </w:r>
    </w:p>
    <w:p w14:paraId="35FFA8EC" w14:textId="77777777" w:rsidR="00CC052F" w:rsidRPr="00A17509" w:rsidRDefault="00CC052F" w:rsidP="00CC052F">
      <w:pPr>
        <w:pStyle w:val="Heading1"/>
        <w:spacing w:before="0" w:after="0"/>
        <w:jc w:val="lowKashida"/>
        <w:rPr>
          <w:rFonts w:asciiTheme="minorBidi" w:hAnsiTheme="minorBidi" w:cstheme="minorBidi"/>
          <w:sz w:val="20"/>
        </w:rPr>
      </w:pPr>
      <w:r w:rsidRPr="00A17509">
        <w:rPr>
          <w:rFonts w:asciiTheme="minorBidi" w:hAnsiTheme="minorBidi" w:cstheme="minorBidi"/>
          <w:sz w:val="20"/>
        </w:rPr>
        <w:t xml:space="preserve">Sunday </w:t>
      </w:r>
      <w:proofErr w:type="spellStart"/>
      <w:r w:rsidRPr="00A17509">
        <w:rPr>
          <w:rFonts w:asciiTheme="minorBidi" w:hAnsiTheme="minorBidi" w:cstheme="minorBidi"/>
          <w:sz w:val="20"/>
        </w:rPr>
        <w:t>Adepoju</w:t>
      </w:r>
      <w:proofErr w:type="spellEnd"/>
      <w:r w:rsidRPr="00A17509">
        <w:rPr>
          <w:rFonts w:asciiTheme="minorBidi" w:hAnsiTheme="minorBidi" w:cstheme="minorBidi"/>
          <w:sz w:val="20"/>
        </w:rPr>
        <w:t xml:space="preserve"> </w:t>
      </w:r>
      <w:proofErr w:type="spellStart"/>
      <w:r w:rsidRPr="00A17509">
        <w:rPr>
          <w:rFonts w:asciiTheme="minorBidi" w:hAnsiTheme="minorBidi" w:cstheme="minorBidi"/>
          <w:sz w:val="20"/>
        </w:rPr>
        <w:t>Adedini</w:t>
      </w:r>
      <w:proofErr w:type="spellEnd"/>
      <w:r w:rsidRPr="00A17509">
        <w:rPr>
          <w:rFonts w:asciiTheme="minorBidi" w:hAnsiTheme="minorBidi" w:cstheme="minorBidi"/>
          <w:sz w:val="20"/>
        </w:rPr>
        <w:t xml:space="preserve">, Clifford </w:t>
      </w:r>
      <w:proofErr w:type="spellStart"/>
      <w:r w:rsidRPr="00A17509">
        <w:rPr>
          <w:rFonts w:asciiTheme="minorBidi" w:hAnsiTheme="minorBidi" w:cstheme="minorBidi"/>
          <w:sz w:val="20"/>
        </w:rPr>
        <w:t>Odimegwu</w:t>
      </w:r>
      <w:proofErr w:type="spellEnd"/>
      <w:r w:rsidRPr="00A17509">
        <w:rPr>
          <w:rFonts w:asciiTheme="minorBidi" w:hAnsiTheme="minorBidi" w:cstheme="minorBidi"/>
          <w:sz w:val="20"/>
        </w:rPr>
        <w:t xml:space="preserve">, Eunice Ntwala Imasiku, &amp; Dorothy Ngozi </w:t>
      </w:r>
      <w:proofErr w:type="spellStart"/>
      <w:r w:rsidRPr="00A17509">
        <w:rPr>
          <w:rFonts w:asciiTheme="minorBidi" w:hAnsiTheme="minorBidi" w:cstheme="minorBidi"/>
          <w:sz w:val="20"/>
        </w:rPr>
        <w:t>Ononokpono</w:t>
      </w:r>
      <w:proofErr w:type="spellEnd"/>
      <w:r w:rsidRPr="00A17509">
        <w:rPr>
          <w:rFonts w:asciiTheme="minorBidi" w:hAnsiTheme="minorBidi" w:cstheme="minorBidi"/>
          <w:sz w:val="20"/>
        </w:rPr>
        <w:t xml:space="preserve">. (2015, March). </w:t>
      </w:r>
      <w:r w:rsidRPr="00A17509">
        <w:rPr>
          <w:rFonts w:asciiTheme="minorBidi" w:hAnsiTheme="minorBidi" w:cstheme="minorBidi"/>
          <w:i/>
          <w:iCs/>
          <w:sz w:val="20"/>
        </w:rPr>
        <w:t>Unmet need for family planning: implication for under-five mortality in Nigeria - PubMed</w:t>
      </w:r>
      <w:r w:rsidRPr="00A17509">
        <w:rPr>
          <w:rFonts w:asciiTheme="minorBidi" w:hAnsiTheme="minorBidi" w:cstheme="minorBidi"/>
          <w:sz w:val="20"/>
        </w:rPr>
        <w:t xml:space="preserve">. Journal of Health, Population, and Nutrition. </w:t>
      </w:r>
      <w:hyperlink r:id="rId20" w:history="1">
        <w:r w:rsidRPr="00A17509">
          <w:rPr>
            <w:rStyle w:val="Hyperlink"/>
            <w:rFonts w:asciiTheme="minorBidi" w:hAnsiTheme="minorBidi" w:cstheme="minorBidi"/>
            <w:sz w:val="20"/>
          </w:rPr>
          <w:t>https://pubmed.ncbi.nlm.nih.gov/25995735/</w:t>
        </w:r>
      </w:hyperlink>
      <w:r w:rsidRPr="00A17509">
        <w:rPr>
          <w:rFonts w:asciiTheme="minorBidi" w:hAnsiTheme="minorBidi" w:cstheme="minorBidi"/>
          <w:sz w:val="20"/>
        </w:rPr>
        <w:t>.</w:t>
      </w:r>
    </w:p>
    <w:p w14:paraId="2C0027E6" w14:textId="77777777" w:rsidR="00CC052F" w:rsidRPr="00A17509" w:rsidRDefault="00CC052F" w:rsidP="00CC052F">
      <w:pPr>
        <w:pStyle w:val="Heading1"/>
        <w:spacing w:before="0" w:after="0"/>
        <w:jc w:val="lowKashida"/>
        <w:rPr>
          <w:rFonts w:asciiTheme="minorBidi" w:hAnsiTheme="minorBidi" w:cstheme="minorBidi"/>
          <w:sz w:val="20"/>
        </w:rPr>
      </w:pPr>
      <w:proofErr w:type="spellStart"/>
      <w:r w:rsidRPr="00A17509">
        <w:rPr>
          <w:rFonts w:asciiTheme="minorBidi" w:hAnsiTheme="minorBidi" w:cstheme="minorBidi"/>
          <w:sz w:val="20"/>
        </w:rPr>
        <w:t>Wegbom</w:t>
      </w:r>
      <w:proofErr w:type="spellEnd"/>
      <w:r w:rsidRPr="00A17509">
        <w:rPr>
          <w:rFonts w:asciiTheme="minorBidi" w:hAnsiTheme="minorBidi" w:cstheme="minorBidi"/>
          <w:sz w:val="20"/>
        </w:rPr>
        <w:t xml:space="preserve">, A. I., Bademosi, A., Edet, C. K., Green, K. I., </w:t>
      </w:r>
      <w:proofErr w:type="spellStart"/>
      <w:r w:rsidRPr="00A17509">
        <w:rPr>
          <w:rFonts w:asciiTheme="minorBidi" w:hAnsiTheme="minorBidi" w:cstheme="minorBidi"/>
          <w:sz w:val="20"/>
        </w:rPr>
        <w:t>Sapira-Ordu</w:t>
      </w:r>
      <w:proofErr w:type="spellEnd"/>
      <w:r w:rsidRPr="00A17509">
        <w:rPr>
          <w:rFonts w:asciiTheme="minorBidi" w:hAnsiTheme="minorBidi" w:cstheme="minorBidi"/>
          <w:sz w:val="20"/>
        </w:rPr>
        <w:t xml:space="preserve">, L., &amp; </w:t>
      </w:r>
      <w:proofErr w:type="spellStart"/>
      <w:r w:rsidRPr="00A17509">
        <w:rPr>
          <w:rFonts w:asciiTheme="minorBidi" w:hAnsiTheme="minorBidi" w:cstheme="minorBidi"/>
          <w:sz w:val="20"/>
        </w:rPr>
        <w:t>Fagbamigbe</w:t>
      </w:r>
      <w:proofErr w:type="spellEnd"/>
      <w:r w:rsidRPr="00A17509">
        <w:rPr>
          <w:rFonts w:asciiTheme="minorBidi" w:hAnsiTheme="minorBidi" w:cstheme="minorBidi"/>
          <w:sz w:val="20"/>
        </w:rPr>
        <w:t xml:space="preserve">, A. F. (2022). Rural–urban disparities in birth interval among women of reproductive age in Nigeria. </w:t>
      </w:r>
      <w:r w:rsidRPr="00A17509">
        <w:rPr>
          <w:rFonts w:asciiTheme="minorBidi" w:hAnsiTheme="minorBidi" w:cstheme="minorBidi"/>
          <w:i/>
          <w:iCs/>
          <w:sz w:val="20"/>
        </w:rPr>
        <w:t>Scientific Reports 2022 12:1</w:t>
      </w:r>
      <w:r w:rsidRPr="00A17509">
        <w:rPr>
          <w:rFonts w:asciiTheme="minorBidi" w:hAnsiTheme="minorBidi" w:cstheme="minorBidi"/>
          <w:sz w:val="20"/>
        </w:rPr>
        <w:t xml:space="preserve">, </w:t>
      </w:r>
      <w:r w:rsidRPr="00A17509">
        <w:rPr>
          <w:rFonts w:asciiTheme="minorBidi" w:hAnsiTheme="minorBidi" w:cstheme="minorBidi"/>
          <w:i/>
          <w:iCs/>
          <w:sz w:val="20"/>
        </w:rPr>
        <w:t>12</w:t>
      </w:r>
      <w:r w:rsidRPr="00A17509">
        <w:rPr>
          <w:rFonts w:asciiTheme="minorBidi" w:hAnsiTheme="minorBidi" w:cstheme="minorBidi"/>
          <w:sz w:val="20"/>
        </w:rPr>
        <w:t>(1), 1–8. https://doi.org/10.1038/s41598-022-22142-y.</w:t>
      </w:r>
    </w:p>
    <w:p w14:paraId="1D0764F2" w14:textId="77777777" w:rsidR="00CC052F" w:rsidRPr="00A17509" w:rsidRDefault="00CC052F" w:rsidP="00CC052F">
      <w:pPr>
        <w:jc w:val="lowKashida"/>
        <w:rPr>
          <w:rFonts w:asciiTheme="minorBidi" w:hAnsiTheme="minorBidi" w:cstheme="minorBidi"/>
        </w:rPr>
      </w:pPr>
      <w:proofErr w:type="spellStart"/>
      <w:r w:rsidRPr="00A17509">
        <w:rPr>
          <w:rFonts w:asciiTheme="minorBidi" w:hAnsiTheme="minorBidi" w:cstheme="minorBidi"/>
        </w:rPr>
        <w:t>Westoff</w:t>
      </w:r>
      <w:proofErr w:type="spellEnd"/>
      <w:r w:rsidRPr="00A17509">
        <w:rPr>
          <w:rFonts w:asciiTheme="minorBidi" w:hAnsiTheme="minorBidi" w:cstheme="minorBidi"/>
        </w:rPr>
        <w:t xml:space="preserve">, C. F. (2006). New estimates of unmet need and the demand for family planning. </w:t>
      </w:r>
      <w:r w:rsidRPr="00A17509">
        <w:rPr>
          <w:rFonts w:asciiTheme="minorBidi" w:hAnsiTheme="minorBidi" w:cstheme="minorBidi"/>
          <w:i/>
          <w:iCs/>
        </w:rPr>
        <w:t>DHS Comparative Reports No. 14</w:t>
      </w:r>
      <w:r w:rsidRPr="00A17509">
        <w:rPr>
          <w:rFonts w:asciiTheme="minorBidi" w:hAnsiTheme="minorBidi" w:cstheme="minorBidi"/>
        </w:rPr>
        <w:t>.</w:t>
      </w:r>
    </w:p>
    <w:p w14:paraId="3FB848D8"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i/>
          <w:iCs/>
        </w:rPr>
        <w:t>World Health Organization</w:t>
      </w:r>
      <w:r w:rsidRPr="00A17509">
        <w:rPr>
          <w:rFonts w:asciiTheme="minorBidi" w:hAnsiTheme="minorBidi" w:cstheme="minorBidi"/>
        </w:rPr>
        <w:t xml:space="preserve">. (2024). </w:t>
      </w:r>
      <w:hyperlink r:id="rId21" w:history="1">
        <w:r w:rsidRPr="00A17509">
          <w:rPr>
            <w:rStyle w:val="Hyperlink"/>
            <w:rFonts w:asciiTheme="minorBidi" w:hAnsiTheme="minorBidi" w:cstheme="minorBidi"/>
          </w:rPr>
          <w:t>https://www.who.int/data/gho/indicator-metadata-registry/imr-details/3414</w:t>
        </w:r>
      </w:hyperlink>
      <w:r w:rsidRPr="00A17509">
        <w:rPr>
          <w:rFonts w:asciiTheme="minorBidi" w:hAnsiTheme="minorBidi" w:cstheme="minorBidi"/>
        </w:rPr>
        <w:t>.</w:t>
      </w:r>
    </w:p>
    <w:p w14:paraId="32E21A3E" w14:textId="300DD4C9" w:rsidR="004D4277" w:rsidRPr="00CC052F" w:rsidRDefault="00CC052F" w:rsidP="00CC052F">
      <w:pPr>
        <w:jc w:val="lowKashida"/>
        <w:rPr>
          <w:rFonts w:asciiTheme="minorBidi" w:hAnsiTheme="minorBidi" w:cstheme="minorBidi"/>
        </w:rPr>
        <w:sectPr w:rsidR="004D4277" w:rsidRPr="00CC052F" w:rsidSect="0093619D">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roofErr w:type="spellStart"/>
      <w:r w:rsidRPr="00A17509">
        <w:rPr>
          <w:rFonts w:asciiTheme="minorBidi" w:hAnsiTheme="minorBidi" w:cstheme="minorBidi"/>
        </w:rPr>
        <w:t>WorldBank</w:t>
      </w:r>
      <w:proofErr w:type="spellEnd"/>
      <w:r w:rsidRPr="00A17509">
        <w:rPr>
          <w:rFonts w:asciiTheme="minorBidi" w:hAnsiTheme="minorBidi" w:cstheme="minorBidi"/>
        </w:rPr>
        <w:t xml:space="preserve">. (2024). </w:t>
      </w:r>
      <w:r w:rsidRPr="00A17509">
        <w:rPr>
          <w:rFonts w:asciiTheme="minorBidi" w:hAnsiTheme="minorBidi" w:cstheme="minorBidi"/>
          <w:i/>
          <w:iCs/>
        </w:rPr>
        <w:t>World Bank Group - International Development, Poverty, &amp; Sustainability</w:t>
      </w:r>
      <w:r w:rsidRPr="00A17509">
        <w:rPr>
          <w:rFonts w:asciiTheme="minorBidi" w:hAnsiTheme="minorBidi" w:cstheme="minorBidi"/>
        </w:rPr>
        <w:t>. World Bank. https://www.worldbank.org/en/home.</w:t>
      </w:r>
    </w:p>
    <w:p w14:paraId="27158C2D" w14:textId="77777777" w:rsidR="00B01FCD" w:rsidRPr="00FB3A86" w:rsidRDefault="00B01FCD" w:rsidP="00441B6F">
      <w:pPr>
        <w:pStyle w:val="Appendix"/>
        <w:spacing w:after="0"/>
        <w:jc w:val="both"/>
        <w:rPr>
          <w:rFonts w:ascii="Arial" w:hAnsi="Arial" w:cs="Arial"/>
          <w:b w:val="0"/>
        </w:rPr>
      </w:pPr>
    </w:p>
    <w:sectPr w:rsidR="00B01FCD" w:rsidRPr="00FB3A86" w:rsidSect="0093619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0C66" w14:textId="77777777" w:rsidR="006C2F90" w:rsidRDefault="006C2F90" w:rsidP="00C37E61">
      <w:r>
        <w:separator/>
      </w:r>
    </w:p>
  </w:endnote>
  <w:endnote w:type="continuationSeparator" w:id="0">
    <w:p w14:paraId="0566B97B" w14:textId="77777777" w:rsidR="006C2F90" w:rsidRDefault="006C2F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CE11" w14:textId="77777777" w:rsidR="0093619D" w:rsidRDefault="00936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A61C" w14:textId="77777777" w:rsidR="0093619D" w:rsidRDefault="00936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35F4" w14:textId="1940D074" w:rsidR="00754C9A" w:rsidRPr="0093619D" w:rsidRDefault="00754C9A" w:rsidP="0093619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F7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9211F" w14:textId="77777777" w:rsidR="006C2F90" w:rsidRDefault="006C2F90" w:rsidP="00C37E61">
      <w:r>
        <w:separator/>
      </w:r>
    </w:p>
  </w:footnote>
  <w:footnote w:type="continuationSeparator" w:id="0">
    <w:p w14:paraId="6E704BF7" w14:textId="77777777" w:rsidR="006C2F90" w:rsidRDefault="006C2F9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A2CA" w14:textId="37F39EF2" w:rsidR="0093619D" w:rsidRDefault="0093619D">
    <w:pPr>
      <w:pStyle w:val="Header"/>
    </w:pPr>
    <w:r>
      <w:rPr>
        <w:noProof/>
      </w:rPr>
      <w:pict w14:anchorId="67260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2EEC" w14:textId="70260C73" w:rsidR="0093619D" w:rsidRDefault="0093619D">
    <w:pPr>
      <w:pStyle w:val="Header"/>
    </w:pPr>
    <w:r>
      <w:rPr>
        <w:noProof/>
      </w:rPr>
      <w:pict w14:anchorId="3AF1F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0D68" w14:textId="14E2FDB8" w:rsidR="00296529" w:rsidRPr="00296529" w:rsidRDefault="0093619D" w:rsidP="00296529">
    <w:pPr>
      <w:ind w:left="2160"/>
      <w:jc w:val="center"/>
      <w:rPr>
        <w:rFonts w:ascii="Times New Roman" w:eastAsia="Calibri" w:hAnsi="Times New Roman"/>
        <w:i/>
        <w:sz w:val="18"/>
        <w:szCs w:val="22"/>
      </w:rPr>
    </w:pPr>
    <w:r>
      <w:rPr>
        <w:noProof/>
      </w:rPr>
      <w:pict w14:anchorId="18E7E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B761EA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82DEA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A3D15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7A273A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3CD73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F184BB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8BE" w14:textId="79011E1D" w:rsidR="0093619D" w:rsidRDefault="0093619D">
    <w:pPr>
      <w:pStyle w:val="Header"/>
    </w:pPr>
    <w:r>
      <w:rPr>
        <w:noProof/>
      </w:rPr>
      <w:pict w14:anchorId="72A68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A1B68" w14:textId="7E0D9BC6" w:rsidR="0093619D" w:rsidRDefault="0093619D">
    <w:pPr>
      <w:pStyle w:val="Header"/>
    </w:pPr>
    <w:r>
      <w:rPr>
        <w:noProof/>
      </w:rPr>
      <w:pict w14:anchorId="320B7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4DF1" w14:textId="4CAB3DE3" w:rsidR="0093619D" w:rsidRDefault="0093619D">
    <w:pPr>
      <w:pStyle w:val="Header"/>
    </w:pPr>
    <w:r>
      <w:rPr>
        <w:noProof/>
      </w:rPr>
      <w:pict w14:anchorId="0CC3C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wMDa1NLcwsjSzNDZR0lEKTi0uzszPAykwrAUA8rd65CwAAAA="/>
  </w:docVars>
  <w:rsids>
    <w:rsidRoot w:val="00AA6219"/>
    <w:rsid w:val="00000F8F"/>
    <w:rsid w:val="00030174"/>
    <w:rsid w:val="0004579C"/>
    <w:rsid w:val="000A47FA"/>
    <w:rsid w:val="000A65D3"/>
    <w:rsid w:val="000B1E33"/>
    <w:rsid w:val="000D689F"/>
    <w:rsid w:val="000E1735"/>
    <w:rsid w:val="000E7B7B"/>
    <w:rsid w:val="000E7D62"/>
    <w:rsid w:val="00103357"/>
    <w:rsid w:val="00123C9F"/>
    <w:rsid w:val="00126190"/>
    <w:rsid w:val="00130F17"/>
    <w:rsid w:val="001320BF"/>
    <w:rsid w:val="00163BC4"/>
    <w:rsid w:val="00191062"/>
    <w:rsid w:val="00192B72"/>
    <w:rsid w:val="001A29D8"/>
    <w:rsid w:val="001A5CAA"/>
    <w:rsid w:val="001B0427"/>
    <w:rsid w:val="001B5534"/>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40EA"/>
    <w:rsid w:val="002B685A"/>
    <w:rsid w:val="002C57D2"/>
    <w:rsid w:val="002D3B05"/>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3D99"/>
    <w:rsid w:val="00471A80"/>
    <w:rsid w:val="004A4DAA"/>
    <w:rsid w:val="004D305E"/>
    <w:rsid w:val="004D3B25"/>
    <w:rsid w:val="004D4277"/>
    <w:rsid w:val="00502516"/>
    <w:rsid w:val="00505F06"/>
    <w:rsid w:val="00506828"/>
    <w:rsid w:val="00514E98"/>
    <w:rsid w:val="0053056E"/>
    <w:rsid w:val="00554FDA"/>
    <w:rsid w:val="005C784C"/>
    <w:rsid w:val="005D17F6"/>
    <w:rsid w:val="005E5539"/>
    <w:rsid w:val="00602BF5"/>
    <w:rsid w:val="006105FE"/>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2F90"/>
    <w:rsid w:val="006D10DE"/>
    <w:rsid w:val="006D30FF"/>
    <w:rsid w:val="006D6940"/>
    <w:rsid w:val="006F11EC"/>
    <w:rsid w:val="0070082C"/>
    <w:rsid w:val="007369E6"/>
    <w:rsid w:val="00746E59"/>
    <w:rsid w:val="00754C9A"/>
    <w:rsid w:val="0075599A"/>
    <w:rsid w:val="00761D52"/>
    <w:rsid w:val="0077749E"/>
    <w:rsid w:val="00790ADA"/>
    <w:rsid w:val="007D2288"/>
    <w:rsid w:val="007D26FD"/>
    <w:rsid w:val="007E088F"/>
    <w:rsid w:val="007F7B32"/>
    <w:rsid w:val="00804BC2"/>
    <w:rsid w:val="0081431A"/>
    <w:rsid w:val="0081619F"/>
    <w:rsid w:val="0083216F"/>
    <w:rsid w:val="00860000"/>
    <w:rsid w:val="00863BD3"/>
    <w:rsid w:val="008641ED"/>
    <w:rsid w:val="00866D66"/>
    <w:rsid w:val="008671C6"/>
    <w:rsid w:val="00875803"/>
    <w:rsid w:val="008B459E"/>
    <w:rsid w:val="008C2A93"/>
    <w:rsid w:val="008E13AE"/>
    <w:rsid w:val="008E1506"/>
    <w:rsid w:val="008E710C"/>
    <w:rsid w:val="008F69D6"/>
    <w:rsid w:val="00902823"/>
    <w:rsid w:val="00915CA6"/>
    <w:rsid w:val="00927834"/>
    <w:rsid w:val="0093619D"/>
    <w:rsid w:val="009500A6"/>
    <w:rsid w:val="00957C18"/>
    <w:rsid w:val="009659BA"/>
    <w:rsid w:val="00983040"/>
    <w:rsid w:val="009A3DB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0D17"/>
    <w:rsid w:val="00AC6BB8"/>
    <w:rsid w:val="00AE008F"/>
    <w:rsid w:val="00AE3D18"/>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7E55"/>
    <w:rsid w:val="00C70F1B"/>
    <w:rsid w:val="00C71A47"/>
    <w:rsid w:val="00C7464C"/>
    <w:rsid w:val="00C85588"/>
    <w:rsid w:val="00CC052F"/>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3604E"/>
    <w:rsid w:val="00E612C9"/>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1435"/>
    <w:rsid w:val="00F53273"/>
    <w:rsid w:val="00F755E4"/>
    <w:rsid w:val="00F77D02"/>
    <w:rsid w:val="00F8324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2CBA9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052F"/>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E17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rsid w:val="001B5534"/>
    <w:pPr>
      <w:suppressAutoHyphens/>
      <w:autoSpaceDN w:val="0"/>
      <w:spacing w:before="100" w:after="100"/>
    </w:pPr>
    <w:rPr>
      <w:rFonts w:ascii="Times New Roman" w:hAnsi="Times New Roman"/>
      <w:sz w:val="24"/>
      <w:szCs w:val="24"/>
    </w:rPr>
  </w:style>
  <w:style w:type="character" w:customStyle="1" w:styleId="mixed-citation">
    <w:name w:val="mixed-citation"/>
    <w:basedOn w:val="DefaultParagraphFont"/>
    <w:rsid w:val="006D10DE"/>
  </w:style>
  <w:style w:type="character" w:customStyle="1" w:styleId="nowrap">
    <w:name w:val="nowrap"/>
    <w:basedOn w:val="DefaultParagraphFont"/>
    <w:rsid w:val="006D10DE"/>
  </w:style>
  <w:style w:type="paragraph" w:customStyle="1" w:styleId="Default">
    <w:name w:val="Default"/>
    <w:rsid w:val="006D10DE"/>
    <w:pPr>
      <w:autoSpaceDE w:val="0"/>
      <w:autoSpaceDN w:val="0"/>
      <w:adjustRightInd w:val="0"/>
    </w:pPr>
    <w:rPr>
      <w:rFonts w:eastAsiaTheme="minorHAnsi"/>
      <w:color w:val="000000"/>
      <w:sz w:val="24"/>
      <w:szCs w:val="24"/>
    </w:rPr>
  </w:style>
  <w:style w:type="character" w:customStyle="1" w:styleId="css-0">
    <w:name w:val="css-0"/>
    <w:basedOn w:val="DefaultParagraphFont"/>
    <w:rsid w:val="006D10DE"/>
  </w:style>
  <w:style w:type="character" w:customStyle="1" w:styleId="apple-converted-space">
    <w:name w:val="apple-converted-space"/>
    <w:basedOn w:val="DefaultParagraphFont"/>
    <w:rsid w:val="006D10DE"/>
  </w:style>
  <w:style w:type="character" w:customStyle="1" w:styleId="css-rh820s">
    <w:name w:val="css-rh820s"/>
    <w:basedOn w:val="DefaultParagraphFont"/>
    <w:rsid w:val="006D10DE"/>
  </w:style>
  <w:style w:type="character" w:customStyle="1" w:styleId="css-15iwe0d">
    <w:name w:val="css-15iwe0d"/>
    <w:basedOn w:val="DefaultParagraphFont"/>
    <w:rsid w:val="006D10DE"/>
  </w:style>
  <w:style w:type="character" w:customStyle="1" w:styleId="css-2yp7ui">
    <w:name w:val="css-2yp7ui"/>
    <w:basedOn w:val="DefaultParagraphFont"/>
    <w:rsid w:val="006D10DE"/>
  </w:style>
  <w:style w:type="character" w:customStyle="1" w:styleId="css-1ber87j">
    <w:name w:val="css-1ber87j"/>
    <w:basedOn w:val="DefaultParagraphFont"/>
    <w:rsid w:val="006D10DE"/>
  </w:style>
  <w:style w:type="character" w:customStyle="1" w:styleId="css-1eh0vfs">
    <w:name w:val="css-1eh0vfs"/>
    <w:basedOn w:val="DefaultParagraphFont"/>
    <w:rsid w:val="006D10DE"/>
  </w:style>
  <w:style w:type="character" w:customStyle="1" w:styleId="Heading3Char">
    <w:name w:val="Heading 3 Char"/>
    <w:basedOn w:val="DefaultParagraphFont"/>
    <w:link w:val="Heading3"/>
    <w:semiHidden/>
    <w:rsid w:val="000E173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C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386953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259707">
      <w:bodyDiv w:val="1"/>
      <w:marLeft w:val="0"/>
      <w:marRight w:val="0"/>
      <w:marTop w:val="0"/>
      <w:marBottom w:val="0"/>
      <w:divBdr>
        <w:top w:val="none" w:sz="0" w:space="0" w:color="auto"/>
        <w:left w:val="none" w:sz="0" w:space="0" w:color="auto"/>
        <w:bottom w:val="none" w:sz="0" w:space="0" w:color="auto"/>
        <w:right w:val="none" w:sz="0" w:space="0" w:color="auto"/>
      </w:divBdr>
    </w:div>
    <w:div w:id="12920568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S12978-019-0805-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ho.int/data/gho/indicator-metadata-registry/imr-details/341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7/S13524-019-00798-Y"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016/S0140-6736(06)69480-4" TargetMode="External"/><Relationship Id="rId20" Type="http://schemas.openxmlformats.org/officeDocument/2006/relationships/hyperlink" Target="https://pubmed.ncbi.nlm.nih.gov/259957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ajol.info/index.php/just/article/view/246145"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9745/GHSP-D-19-0026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4.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FAIN-DATA%20MANAGER\Dropbox\research\DR%20Fasanu%20Manuscript\Data\results%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1"/>
              <a:t>Unmet Need for</a:t>
            </a:r>
            <a:r>
              <a:rPr lang="en-CA" b="1" baseline="0"/>
              <a:t> child spacing and limiting among</a:t>
            </a:r>
            <a:r>
              <a:rPr lang="en-CA" b="1"/>
              <a:t> </a:t>
            </a:r>
            <a:r>
              <a:rPr lang="en-NG" sz="1400" b="1" i="0" u="none" strike="noStrike" baseline="0">
                <a:effectLst/>
              </a:rPr>
              <a:t>Fecund women aged 15-49</a:t>
            </a:r>
            <a:r>
              <a:rPr lang="en-CA" sz="1400" b="1" i="0" u="none" strike="noStrike" baseline="0">
                <a:effectLst/>
              </a:rPr>
              <a:t> </a:t>
            </a:r>
            <a:r>
              <a:rPr lang="en-NG" sz="1400" b="1" i="0" u="none" strike="noStrike" baseline="0">
                <a:effectLst/>
              </a:rPr>
              <a:t>years </a:t>
            </a:r>
            <a:r>
              <a:rPr lang="en-CA" b="1"/>
              <a:t> </a:t>
            </a:r>
            <a:endParaRPr lang="en-NG"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372E-4400-A843-CB54D0B072E8}"/>
              </c:ext>
            </c:extLst>
          </c:dPt>
          <c:dPt>
            <c:idx val="3"/>
            <c:invertIfNegative val="0"/>
            <c:bubble3D val="0"/>
            <c:spPr>
              <a:solidFill>
                <a:srgbClr val="FF0000"/>
              </a:solidFill>
              <a:ln>
                <a:noFill/>
              </a:ln>
              <a:effectLst/>
            </c:spPr>
            <c:extLst>
              <c:ext xmlns:c16="http://schemas.microsoft.com/office/drawing/2014/chart" uri="{C3380CC4-5D6E-409C-BE32-E72D297353CC}">
                <c16:uniqueId val="{00000003-372E-4400-A843-CB54D0B072E8}"/>
              </c:ext>
            </c:extLst>
          </c:dPt>
          <c:dLbls>
            <c:dLbl>
              <c:idx val="0"/>
              <c:tx>
                <c:rich>
                  <a:bodyPr/>
                  <a:lstStyle/>
                  <a:p>
                    <a:fld id="{0DA81080-4EE5-4D2D-AA95-98092ED7A84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72E-4400-A843-CB54D0B072E8}"/>
                </c:ext>
              </c:extLst>
            </c:dLbl>
            <c:dLbl>
              <c:idx val="1"/>
              <c:tx>
                <c:rich>
                  <a:bodyPr/>
                  <a:lstStyle/>
                  <a:p>
                    <a:fld id="{1FE39D97-126B-437D-95DA-F330F83324C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72E-4400-A843-CB54D0B072E8}"/>
                </c:ext>
              </c:extLst>
            </c:dLbl>
            <c:dLbl>
              <c:idx val="2"/>
              <c:tx>
                <c:rich>
                  <a:bodyPr/>
                  <a:lstStyle/>
                  <a:p>
                    <a:fld id="{55C319BD-494B-438E-8D32-4B7AEE40AEF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72E-4400-A843-CB54D0B072E8}"/>
                </c:ext>
              </c:extLst>
            </c:dLbl>
            <c:dLbl>
              <c:idx val="3"/>
              <c:tx>
                <c:rich>
                  <a:bodyPr/>
                  <a:lstStyle/>
                  <a:p>
                    <a:fld id="{F4227032-E004-4EEB-A1B6-B70966BBD20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72E-4400-A843-CB54D0B072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Sheet4!$A$2:$B$5</c:f>
              <c:multiLvlStrCache>
                <c:ptCount val="4"/>
                <c:lvl>
                  <c:pt idx="0">
                    <c:v>No Unmet Need</c:v>
                  </c:pt>
                  <c:pt idx="1">
                    <c:v>Unmet Need</c:v>
                  </c:pt>
                  <c:pt idx="2">
                    <c:v>No Unmet Need</c:v>
                  </c:pt>
                  <c:pt idx="3">
                    <c:v>Unmet Need</c:v>
                  </c:pt>
                </c:lvl>
                <c:lvl>
                  <c:pt idx="0">
                    <c:v>Unmet Need for Child limiting</c:v>
                  </c:pt>
                  <c:pt idx="2">
                    <c:v>Unmet Need for ChildSpacing</c:v>
                  </c:pt>
                </c:lvl>
              </c:multiLvlStrCache>
            </c:multiLvlStrRef>
          </c:cat>
          <c:val>
            <c:numRef>
              <c:f>Sheet4!$C$2:$C$5</c:f>
              <c:numCache>
                <c:formatCode>General</c:formatCode>
                <c:ptCount val="4"/>
                <c:pt idx="0">
                  <c:v>92.8</c:v>
                </c:pt>
                <c:pt idx="1">
                  <c:v>7.2</c:v>
                </c:pt>
                <c:pt idx="2">
                  <c:v>87.5</c:v>
                </c:pt>
                <c:pt idx="3">
                  <c:v>12.5</c:v>
                </c:pt>
              </c:numCache>
            </c:numRef>
          </c:val>
          <c:extLst>
            <c:ext xmlns:c16="http://schemas.microsoft.com/office/drawing/2014/chart" uri="{C3380CC4-5D6E-409C-BE32-E72D297353CC}">
              <c16:uniqueId val="{00000006-372E-4400-A843-CB54D0B072E8}"/>
            </c:ext>
          </c:extLst>
        </c:ser>
        <c:ser>
          <c:idx val="1"/>
          <c:order val="1"/>
          <c:spPr>
            <a:solidFill>
              <a:schemeClr val="accent2"/>
            </a:solidFill>
            <a:ln>
              <a:noFill/>
            </a:ln>
            <a:effectLst/>
          </c:spPr>
          <c:invertIfNegative val="0"/>
          <c:dLbls>
            <c:delete val="1"/>
          </c:dLbls>
          <c:cat>
            <c:multiLvlStrRef>
              <c:f>Sheet4!$A$2:$B$5</c:f>
              <c:multiLvlStrCache>
                <c:ptCount val="4"/>
                <c:lvl>
                  <c:pt idx="0">
                    <c:v>No Unmet Need</c:v>
                  </c:pt>
                  <c:pt idx="1">
                    <c:v>Unmet Need</c:v>
                  </c:pt>
                  <c:pt idx="2">
                    <c:v>No Unmet Need</c:v>
                  </c:pt>
                  <c:pt idx="3">
                    <c:v>Unmet Need</c:v>
                  </c:pt>
                </c:lvl>
                <c:lvl>
                  <c:pt idx="0">
                    <c:v>Unmet Need for Child limiting</c:v>
                  </c:pt>
                  <c:pt idx="2">
                    <c:v>Unmet Need for ChildSpacing</c:v>
                  </c:pt>
                </c:lvl>
              </c:multiLvlStrCache>
            </c:multiLvlStrRef>
          </c:cat>
          <c:val>
            <c:numRef>
              <c:f>Sheet4!$C$1</c:f>
              <c:numCache>
                <c:formatCode>General</c:formatCode>
                <c:ptCount val="1"/>
                <c:pt idx="0">
                  <c:v>0</c:v>
                </c:pt>
              </c:numCache>
            </c:numRef>
          </c:val>
          <c:extLst>
            <c:ext xmlns:c16="http://schemas.microsoft.com/office/drawing/2014/chart" uri="{C3380CC4-5D6E-409C-BE32-E72D297353CC}">
              <c16:uniqueId val="{00000007-372E-4400-A843-CB54D0B072E8}"/>
            </c:ext>
          </c:extLst>
        </c:ser>
        <c:dLbls>
          <c:dLblPos val="outEnd"/>
          <c:showLegendKey val="0"/>
          <c:showVal val="1"/>
          <c:showCatName val="0"/>
          <c:showSerName val="0"/>
          <c:showPercent val="0"/>
          <c:showBubbleSize val="0"/>
        </c:dLbls>
        <c:gapWidth val="219"/>
        <c:overlap val="-27"/>
        <c:axId val="95335872"/>
        <c:axId val="95337312"/>
      </c:barChart>
      <c:catAx>
        <c:axId val="953358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CA" b="1"/>
                  <a:t>Unmet Need</a:t>
                </a:r>
                <a:endParaRPr lang="en-NG"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5337312"/>
        <c:crosses val="autoZero"/>
        <c:auto val="1"/>
        <c:lblAlgn val="ctr"/>
        <c:lblOffset val="100"/>
        <c:noMultiLvlLbl val="0"/>
      </c:catAx>
      <c:valAx>
        <c:axId val="9533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CA" b="1"/>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35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82D80FE13E425BB4DA3FE4319856E0"/>
        <w:category>
          <w:name w:val="General"/>
          <w:gallery w:val="placeholder"/>
        </w:category>
        <w:types>
          <w:type w:val="bbPlcHdr"/>
        </w:types>
        <w:behaviors>
          <w:behavior w:val="content"/>
        </w:behaviors>
        <w:guid w:val="{C46C93CD-3F92-41B8-ADF3-FCC39ECC2D01}"/>
      </w:docPartPr>
      <w:docPartBody>
        <w:p w:rsidR="005E3DC9" w:rsidRDefault="001D1EF9" w:rsidP="001D1EF9">
          <w:pPr>
            <w:pStyle w:val="5382D80FE13E425BB4DA3FE4319856E0"/>
          </w:pPr>
          <w:r w:rsidRPr="000E23B4">
            <w:rPr>
              <w:rStyle w:val="PlaceholderText"/>
            </w:rPr>
            <w:t>Click or tap here to enter text.</w:t>
          </w:r>
        </w:p>
      </w:docPartBody>
    </w:docPart>
    <w:docPart>
      <w:docPartPr>
        <w:name w:val="99C5A5E779604887A8F465E390F45809"/>
        <w:category>
          <w:name w:val="General"/>
          <w:gallery w:val="placeholder"/>
        </w:category>
        <w:types>
          <w:type w:val="bbPlcHdr"/>
        </w:types>
        <w:behaviors>
          <w:behavior w:val="content"/>
        </w:behaviors>
        <w:guid w:val="{FEEC236B-9BE2-407A-A0B9-3A63C8ACB2DA}"/>
      </w:docPartPr>
      <w:docPartBody>
        <w:p w:rsidR="005E3DC9" w:rsidRDefault="001D1EF9" w:rsidP="001D1EF9">
          <w:pPr>
            <w:pStyle w:val="99C5A5E779604887A8F465E390F45809"/>
          </w:pPr>
          <w:r w:rsidRPr="004644EF">
            <w:rPr>
              <w:rStyle w:val="PlaceholderText"/>
            </w:rPr>
            <w:t>Click or tap here to enter text.</w:t>
          </w:r>
        </w:p>
      </w:docPartBody>
    </w:docPart>
    <w:docPart>
      <w:docPartPr>
        <w:name w:val="1178F0749CD6449EAA6D1CDC6FBF72AD"/>
        <w:category>
          <w:name w:val="General"/>
          <w:gallery w:val="placeholder"/>
        </w:category>
        <w:types>
          <w:type w:val="bbPlcHdr"/>
        </w:types>
        <w:behaviors>
          <w:behavior w:val="content"/>
        </w:behaviors>
        <w:guid w:val="{B21598B4-FD23-4118-9D1A-67CB978966F0}"/>
      </w:docPartPr>
      <w:docPartBody>
        <w:p w:rsidR="005E3DC9" w:rsidRDefault="001D1EF9" w:rsidP="001D1EF9">
          <w:pPr>
            <w:pStyle w:val="1178F0749CD6449EAA6D1CDC6FBF72AD"/>
          </w:pPr>
          <w:r w:rsidRPr="0095655A">
            <w:rPr>
              <w:rStyle w:val="PlaceholderText"/>
            </w:rPr>
            <w:t>Click or tap here to enter text.</w:t>
          </w:r>
        </w:p>
      </w:docPartBody>
    </w:docPart>
    <w:docPart>
      <w:docPartPr>
        <w:name w:val="C1F1641AEF1B4CEAB414F766AFB91909"/>
        <w:category>
          <w:name w:val="General"/>
          <w:gallery w:val="placeholder"/>
        </w:category>
        <w:types>
          <w:type w:val="bbPlcHdr"/>
        </w:types>
        <w:behaviors>
          <w:behavior w:val="content"/>
        </w:behaviors>
        <w:guid w:val="{B82B61BC-D604-4DFE-927A-EB5F9F69EDF9}"/>
      </w:docPartPr>
      <w:docPartBody>
        <w:p w:rsidR="005E3DC9" w:rsidRDefault="001D1EF9" w:rsidP="001D1EF9">
          <w:pPr>
            <w:pStyle w:val="C1F1641AEF1B4CEAB414F766AFB91909"/>
          </w:pPr>
          <w:r w:rsidRPr="000E23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9"/>
    <w:rsid w:val="001D1EF9"/>
    <w:rsid w:val="004A4DAA"/>
    <w:rsid w:val="004F747A"/>
    <w:rsid w:val="005A51EB"/>
    <w:rsid w:val="005E3DC9"/>
    <w:rsid w:val="00D673B3"/>
    <w:rsid w:val="00E3604E"/>
    <w:rsid w:val="00E531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EF9"/>
    <w:rPr>
      <w:color w:val="666666"/>
    </w:rPr>
  </w:style>
  <w:style w:type="paragraph" w:customStyle="1" w:styleId="5382D80FE13E425BB4DA3FE4319856E0">
    <w:name w:val="5382D80FE13E425BB4DA3FE4319856E0"/>
    <w:rsid w:val="001D1EF9"/>
  </w:style>
  <w:style w:type="paragraph" w:customStyle="1" w:styleId="99C5A5E779604887A8F465E390F45809">
    <w:name w:val="99C5A5E779604887A8F465E390F45809"/>
    <w:rsid w:val="001D1EF9"/>
  </w:style>
  <w:style w:type="paragraph" w:customStyle="1" w:styleId="1178F0749CD6449EAA6D1CDC6FBF72AD">
    <w:name w:val="1178F0749CD6449EAA6D1CDC6FBF72AD"/>
    <w:rsid w:val="001D1EF9"/>
  </w:style>
  <w:style w:type="paragraph" w:customStyle="1" w:styleId="C1F1641AEF1B4CEAB414F766AFB91909">
    <w:name w:val="C1F1641AEF1B4CEAB414F766AFB91909"/>
    <w:rsid w:val="001D1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DF63-3AAD-4DED-98B1-1FADCAB0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14</Pages>
  <Words>6004</Words>
  <Characters>34224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40148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2025-04-01T19:06:00Z</dcterms:created>
  <dcterms:modified xsi:type="dcterms:W3CDTF">2025-04-02T07:25:00Z</dcterms:modified>
</cp:coreProperties>
</file>