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B4B8" w14:textId="77777777" w:rsidR="00C244EE" w:rsidRDefault="00C244EE">
      <w:pPr>
        <w:ind w:left="180" w:hanging="270"/>
        <w:jc w:val="center"/>
        <w:rPr>
          <w:rFonts w:ascii="Times New Roman" w:hAnsi="Times New Roman" w:cs="Times New Roman"/>
          <w:b/>
          <w:bCs/>
          <w:sz w:val="24"/>
          <w:szCs w:val="24"/>
        </w:rPr>
      </w:pPr>
    </w:p>
    <w:p w14:paraId="13B0F3C1" w14:textId="77777777" w:rsidR="00C244EE" w:rsidRDefault="00000000">
      <w:pPr>
        <w:ind w:left="180" w:hanging="270"/>
        <w:jc w:val="center"/>
        <w:rPr>
          <w:rFonts w:ascii="Times New Roman" w:hAnsi="Times New Roman" w:cs="Times New Roman"/>
          <w:b/>
          <w:bCs/>
          <w:sz w:val="24"/>
          <w:szCs w:val="24"/>
        </w:rPr>
      </w:pPr>
      <w:r>
        <w:rPr>
          <w:rFonts w:ascii="Times New Roman" w:hAnsi="Times New Roman" w:cs="Times New Roman"/>
          <w:b/>
          <w:bCs/>
          <w:sz w:val="24"/>
          <w:szCs w:val="24"/>
        </w:rPr>
        <w:t xml:space="preserve">Effect of Dietary Nanoselenium on Biochemical Profile and Histopathology of </w:t>
      </w:r>
      <w:r>
        <w:rPr>
          <w:rFonts w:ascii="Times New Roman" w:hAnsi="Times New Roman" w:cs="Times New Roman"/>
          <w:b/>
          <w:bCs/>
          <w:i/>
          <w:sz w:val="24"/>
          <w:szCs w:val="24"/>
        </w:rPr>
        <w:t>Clarias gariepinus</w:t>
      </w:r>
      <w:r>
        <w:rPr>
          <w:rFonts w:ascii="Times New Roman" w:hAnsi="Times New Roman" w:cs="Times New Roman"/>
          <w:b/>
          <w:bCs/>
          <w:sz w:val="24"/>
          <w:szCs w:val="24"/>
        </w:rPr>
        <w:t>.</w:t>
      </w:r>
    </w:p>
    <w:p w14:paraId="57582806" w14:textId="77777777" w:rsidR="005A39CC" w:rsidRDefault="005A39CC">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p>
    <w:p w14:paraId="7E25D8A3" w14:textId="77777777" w:rsidR="005A39CC" w:rsidRDefault="005A39CC">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p>
    <w:p w14:paraId="74122166" w14:textId="6C045B0C" w:rsidR="00514234" w:rsidRDefault="00514234">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AE62487" w14:textId="77777777" w:rsidR="00C244EE" w:rsidRDefault="00000000">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1A142CEE" w14:textId="77777777" w:rsidR="00C244EE" w:rsidRDefault="00000000">
      <w:pPr>
        <w:jc w:val="both"/>
        <w:rPr>
          <w:rFonts w:ascii="Times New Roman" w:hAnsi="Times New Roman" w:cs="Times New Roman"/>
          <w:sz w:val="24"/>
          <w:szCs w:val="24"/>
        </w:rPr>
      </w:pPr>
      <w:r>
        <w:rPr>
          <w:rFonts w:ascii="Times New Roman" w:hAnsi="Times New Roman" w:cs="Times New Roman"/>
          <w:sz w:val="24"/>
          <w:szCs w:val="24"/>
        </w:rPr>
        <w:t xml:space="preserve">Research was conducted for 60 days to determine the effects of dietary nanoselenium formulated diets on biochemical profile and histopathology of </w:t>
      </w:r>
      <w:r>
        <w:rPr>
          <w:rFonts w:ascii="Times New Roman" w:hAnsi="Times New Roman" w:cs="Times New Roman"/>
          <w:i/>
          <w:sz w:val="24"/>
          <w:szCs w:val="24"/>
        </w:rPr>
        <w:t>Clarias gariepinus</w:t>
      </w:r>
      <w:r>
        <w:rPr>
          <w:rFonts w:ascii="Times New Roman" w:hAnsi="Times New Roman" w:cs="Times New Roman"/>
          <w:sz w:val="24"/>
          <w:szCs w:val="24"/>
        </w:rPr>
        <w:t xml:space="preserve">. Fish acclimatization was done for 14 days, randomly selected 10 fish were stocked in triplicate per dietary treatment. Two diets supplemented with nanoselenium at 2 mg/kg, 4 mg/kg, and the control with absence of nanoselenium were fed to the fish. The proximate composition of the feeds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analysed at the end of the feeding trial likewise the biochemical profile of the blood, gill, liver as well as the histopathology of the gill and liver of </w:t>
      </w:r>
      <w:r>
        <w:rPr>
          <w:rFonts w:ascii="Times New Roman" w:hAnsi="Times New Roman" w:cs="Times New Roman"/>
          <w:i/>
          <w:sz w:val="24"/>
          <w:szCs w:val="24"/>
        </w:rPr>
        <w:t xml:space="preserve">Clarias gariepinus </w:t>
      </w:r>
      <w:r>
        <w:rPr>
          <w:rFonts w:ascii="Times New Roman" w:hAnsi="Times New Roman" w:cs="Times New Roman"/>
          <w:sz w:val="24"/>
          <w:szCs w:val="24"/>
        </w:rPr>
        <w:t>fed varying inclusion level of nanoselenium were analysed. There was no significant difference (</w:t>
      </w:r>
      <w:r>
        <w:rPr>
          <w:rFonts w:ascii="Times New Roman" w:hAnsi="Times New Roman" w:cs="Times New Roman"/>
          <w:i/>
          <w:iCs/>
          <w:sz w:val="24"/>
          <w:szCs w:val="24"/>
        </w:rPr>
        <w:t>P&gt;0.05</w:t>
      </w:r>
      <w:r>
        <w:rPr>
          <w:rFonts w:ascii="Times New Roman" w:hAnsi="Times New Roman" w:cs="Times New Roman"/>
          <w:sz w:val="24"/>
          <w:szCs w:val="24"/>
        </w:rPr>
        <w:t xml:space="preserve">) in the activities of aspartate aminotransferase (AST), alanine aminotransferase (ALT), total protein, uric acid, urea, albumin, and total cholesterol in fish fed 2 mg/kg nanoselenium formulated diet compared to those fed 4 mg/kg nanoselenium formulated diet and the control. Glutathione peroxidase (GPx) and malondialdehyde in the gill and liver of fish fed 2 mg/kg nanoselenium formulated diet, however, increased significantly as compared to those fed 4 mg/kg formulated diet and the control, while the superoxidase dismutase (SOD) in the gill and liver of fish significantly increased as the concentration of dietary nanoselenium increased. There were histopathology alterations in the gill, and liver of the fish fed the two dietary treatment diets but with less impacts on fish health fed 2 mg/kg. The study indicated that the dietary inclusion of nanoselenium at 2 mg/kg had less effects in the hepatocytes and limited stress on the health of </w:t>
      </w:r>
      <w:r>
        <w:rPr>
          <w:rFonts w:ascii="Times New Roman" w:hAnsi="Times New Roman" w:cs="Times New Roman"/>
          <w:i/>
          <w:sz w:val="24"/>
          <w:szCs w:val="24"/>
        </w:rPr>
        <w:t>Clarias gariepinus</w:t>
      </w:r>
      <w:r>
        <w:rPr>
          <w:rFonts w:ascii="Times New Roman" w:hAnsi="Times New Roman" w:cs="Times New Roman"/>
          <w:sz w:val="24"/>
          <w:szCs w:val="24"/>
        </w:rPr>
        <w:t xml:space="preserve"> as compared to 4 mg/kg nanoselenium formulated diets.</w:t>
      </w:r>
    </w:p>
    <w:p w14:paraId="130C70DE" w14:textId="77777777" w:rsidR="00C244E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Keywords: Clarias gariepinus, nanoselenium, biochemical, histopathology, proximate.</w:t>
      </w:r>
    </w:p>
    <w:p w14:paraId="5F52B649" w14:textId="77777777" w:rsidR="00C244EE" w:rsidRDefault="00000000">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327ECDC" w14:textId="77777777" w:rsidR="00C244EE" w:rsidRDefault="00000000">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Fish is an important animal protein source to the world because of its high protein, vitamins, minerals and polyunsaturated fatty acids. Nutritionally, fish is best for human consumption as it is low in fat, calories, and cholesterol. Fish contribute more than 60% of the world protein supply, most especially in the developing countries of the world [1]. Globally, fish products are indispensable to one billion individuals for protein security and particularly vital for juvenile and pregnant women [2]. As a result, </w:t>
      </w:r>
      <w:r>
        <w:rPr>
          <w:rFonts w:ascii="Times New Roman" w:hAnsi="Times New Roman" w:cs="Times New Roman"/>
          <w:sz w:val="24"/>
          <w:szCs w:val="24"/>
        </w:rPr>
        <w:t>the demand for fish from consumers around the world is increasing due to growing population, rising average incomes and greater awareness of fish as part of a healthy diet. The yield from the wild catch cannot be increased sustainably, however, aquaculture can fill the gap. Therefore, to fill the gap there is need to improve technologically to overcome these challenges.</w:t>
      </w:r>
    </w:p>
    <w:p w14:paraId="2DB65B56" w14:textId="77777777" w:rsidR="00C244EE" w:rsidRDefault="00000000">
      <w:pPr>
        <w:jc w:val="both"/>
        <w:rPr>
          <w:rFonts w:ascii="Times New Roman" w:eastAsia="SimSun" w:hAnsi="Times New Roman" w:cs="Times New Roman"/>
          <w:sz w:val="24"/>
          <w:szCs w:val="24"/>
        </w:rPr>
      </w:pPr>
      <w:r>
        <w:rPr>
          <w:rFonts w:ascii="Times New Roman" w:eastAsia="SimSun" w:hAnsi="Times New Roman" w:cs="Times New Roman"/>
          <w:i/>
          <w:sz w:val="24"/>
          <w:szCs w:val="24"/>
        </w:rPr>
        <w:t xml:space="preserve">Clarias gariepinus </w:t>
      </w:r>
      <w:r>
        <w:rPr>
          <w:rFonts w:ascii="Times New Roman" w:eastAsia="SimSun" w:hAnsi="Times New Roman" w:cs="Times New Roman"/>
          <w:sz w:val="24"/>
          <w:szCs w:val="24"/>
        </w:rPr>
        <w:t>belong to the family Clariidae, genus Clarias [3].  They are popularly known as African catfish because of its hardness to withstand adverse environmental condition, omnivorous in nature and efficient in feed utilization. It is commonly known as African catfish because of its hardness and ability to withstand stress to a tolerable range. Catfish is the most cultured fish in Nigeria and are widely distributed throughout the country. It is an economic important fish species with increase growth rate and global market demands [4].</w:t>
      </w:r>
    </w:p>
    <w:p w14:paraId="47DABA8D" w14:textId="77777777" w:rsidR="00C244EE" w:rsidRDefault="0000000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Nanoselenium has being playing important functional roles in the biological system of fish. Biological systems of fish contain chemical composition which can be altered by any chemical reaction in the body. Biological systems of fish and its constituent macromolecules are susceptible to oxidative damages which disrupt their structure by distorting native chemical composition. Apart from these, oxidative stress (OS) leads to the generation of reactive oxygen species (ROS) like superoxide ion, hydroxide radicals, hydrogen peroxide etc. which trigger the apoptosis in tissues. To neutralize these adverse effects of ROS, the living system uses several antioxidative defense systems including various enzymes like catalase, superoxide dismutase, glutathione-S-transferase, and peroxidase, etc. Likewise, nanoselenium is also an important antioxidant located at the catalytic site of thioredoxin reductase and glutathione peroxidase enzymes [5].</w:t>
      </w:r>
    </w:p>
    <w:p w14:paraId="2D338891" w14:textId="77777777" w:rsidR="00C244EE" w:rsidRDefault="0000000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Cells naturally contain enzymes for their functions but damages to cellular membrane led to their escape into the blood where their presence or activities can be measured as an index of cell integrity [6]. Some chemical composition of fish could be used to identify tissue damage such as Aspartate aminotransferase (AST), Alanine aminotransferase (ALT) and Alkaline phosphatase (ALP) </w:t>
      </w:r>
      <w:proofErr w:type="gramStart"/>
      <w:r>
        <w:rPr>
          <w:rFonts w:ascii="Times New Roman" w:hAnsi="Times New Roman" w:cs="Times New Roman"/>
          <w:sz w:val="24"/>
          <w:szCs w:val="24"/>
        </w:rPr>
        <w:t>which  are</w:t>
      </w:r>
      <w:proofErr w:type="gramEnd"/>
      <w:r>
        <w:rPr>
          <w:rFonts w:ascii="Times New Roman" w:hAnsi="Times New Roman" w:cs="Times New Roman"/>
          <w:sz w:val="24"/>
          <w:szCs w:val="24"/>
        </w:rPr>
        <w:t xml:space="preserve"> normally found within the cells of the liver, heart, gills, kidney, muscles, and organs but their increase in the plasma indicate tissue injury or organ dysfunction [7, 8, and 9].</w:t>
      </w:r>
    </w:p>
    <w:p w14:paraId="2D0AF83F" w14:textId="77777777" w:rsidR="00C244EE" w:rsidRDefault="0000000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However, changes in plasma glucose, total proteins and cholesterol concentrations can be indicative response to stress in fishes exposed to pollutions [10], this is because fish is very sensitive to pollution- induced stress [11]. As good as nanoparticles are in enhancing growth performance, their effects as stressors in fish has been monitored by the assessment of biochemical and physiological changes in both acute and chronic toxicity tests. Changes in enzymes profile are important biotoxicity indices (biomarkers) and have been used to assess the biochemical physiological health of vital organs (tissues) in fishes [12; 13].</w:t>
      </w:r>
    </w:p>
    <w:p w14:paraId="18E24D00" w14:textId="77777777" w:rsidR="00C244EE" w:rsidRDefault="00000000">
      <w:pPr>
        <w:jc w:val="both"/>
        <w:rPr>
          <w:rFonts w:ascii="Times New Roman" w:hAnsi="Times New Roman" w:cs="Times New Roman"/>
          <w:sz w:val="24"/>
          <w:szCs w:val="24"/>
        </w:rPr>
      </w:pPr>
      <w:r>
        <w:rPr>
          <w:rFonts w:ascii="Times New Roman" w:hAnsi="Times New Roman" w:cs="Times New Roman"/>
          <w:sz w:val="24"/>
          <w:szCs w:val="24"/>
        </w:rPr>
        <w:t xml:space="preserve">Earlier research revealed the role that nanoselenium played on growth performance in animal and various fish species [14, 15, 16 and 4] but little literature on the role that dietary nanoselenium supplementation played on biochemical profile and histopathology of </w:t>
      </w:r>
      <w:r>
        <w:rPr>
          <w:rFonts w:ascii="Times New Roman" w:hAnsi="Times New Roman" w:cs="Times New Roman"/>
          <w:i/>
          <w:sz w:val="24"/>
          <w:szCs w:val="24"/>
        </w:rPr>
        <w:t xml:space="preserve">Clarias gariepinus </w:t>
      </w:r>
      <w:r>
        <w:rPr>
          <w:rFonts w:ascii="Times New Roman" w:hAnsi="Times New Roman" w:cs="Times New Roman"/>
          <w:sz w:val="24"/>
          <w:szCs w:val="24"/>
        </w:rPr>
        <w:t xml:space="preserve">which led to this study. The research, therefore, aimed to determine the effect of dietary nanoselenium at different inclusions level on biochemical profile and histopathology of </w:t>
      </w:r>
      <w:r>
        <w:rPr>
          <w:rFonts w:ascii="Times New Roman" w:hAnsi="Times New Roman" w:cs="Times New Roman"/>
          <w:i/>
          <w:sz w:val="24"/>
          <w:szCs w:val="24"/>
        </w:rPr>
        <w:t>Clarias gariepinus</w:t>
      </w:r>
      <w:r>
        <w:rPr>
          <w:rFonts w:ascii="Times New Roman" w:hAnsi="Times New Roman" w:cs="Times New Roman"/>
          <w:sz w:val="24"/>
          <w:szCs w:val="24"/>
        </w:rPr>
        <w:t>.</w:t>
      </w:r>
    </w:p>
    <w:p w14:paraId="3CB0B0BF" w14:textId="77777777" w:rsidR="00C244EE"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2. EXPERIMENTAL DETAILS</w:t>
      </w:r>
    </w:p>
    <w:p w14:paraId="61796E9E"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t>Experimental design</w:t>
      </w:r>
      <w:r>
        <w:rPr>
          <w:rFonts w:ascii="Times New Roman" w:hAnsi="Times New Roman" w:cs="Times New Roman"/>
          <w:sz w:val="24"/>
          <w:szCs w:val="24"/>
        </w:rPr>
        <w:t>.</w:t>
      </w:r>
    </w:p>
    <w:p w14:paraId="0A959E6F"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sz w:val="24"/>
          <w:szCs w:val="24"/>
        </w:rPr>
        <w:t>Sizeable healthy uniform fish (average weight of 12.85</w:t>
      </w:r>
      <w:r>
        <w:rPr>
          <w:rFonts w:ascii="Times New Roman" w:hAnsi="Times New Roman" w:cs="Times New Roman"/>
          <w:sz w:val="20"/>
          <w:szCs w:val="20"/>
          <w:u w:val="single"/>
        </w:rPr>
        <w:t>+</w:t>
      </w:r>
      <w:r>
        <w:rPr>
          <w:rFonts w:ascii="Times New Roman" w:hAnsi="Times New Roman" w:cs="Times New Roman"/>
          <w:sz w:val="24"/>
          <w:szCs w:val="24"/>
        </w:rPr>
        <w:t xml:space="preserve">0.01g and average length of 6.65±1.0) were procured from a commercial fish farm and were transferred to the Aquaculture center, University of Ilorin. The fish were acclimatized to the environmental conditions for 14 days and fed with a conventional feed. After acclimatizing the fish, 10 fish were randomly selected per treatment in triplicate. </w:t>
      </w:r>
    </w:p>
    <w:p w14:paraId="28EBC58B" w14:textId="77777777" w:rsidR="00C244EE" w:rsidRDefault="00C244EE">
      <w:pPr>
        <w:spacing w:after="0"/>
        <w:jc w:val="both"/>
        <w:rPr>
          <w:rFonts w:ascii="Times New Roman" w:hAnsi="Times New Roman" w:cs="Times New Roman"/>
          <w:color w:val="231F20"/>
          <w:sz w:val="24"/>
          <w:szCs w:val="24"/>
        </w:rPr>
      </w:pPr>
    </w:p>
    <w:p w14:paraId="78062854" w14:textId="77777777" w:rsidR="00C244EE" w:rsidRDefault="000000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t>Experimental Diets</w:t>
      </w:r>
    </w:p>
    <w:p w14:paraId="1F461F9F"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Three diets, consisting of control diet (basal diet, without nanoselenium) and two treatment diets at 2 mg/kg and 4 mg/kg nanoselenium inclusion level were formulated. The diets were fed to the fish twice daily (08:00hr and 18:00hr) for 60 days at 3% body weight [17].</w:t>
      </w:r>
    </w:p>
    <w:p w14:paraId="6037C909" w14:textId="77777777" w:rsidR="00C244EE" w:rsidRDefault="00C244EE">
      <w:pPr>
        <w:spacing w:after="0" w:line="240" w:lineRule="auto"/>
        <w:jc w:val="both"/>
        <w:rPr>
          <w:rFonts w:ascii="Times New Roman" w:hAnsi="Times New Roman" w:cs="Times New Roman"/>
          <w:b/>
          <w:bCs/>
          <w:color w:val="231F20"/>
          <w:sz w:val="24"/>
          <w:szCs w:val="24"/>
        </w:rPr>
      </w:pPr>
    </w:p>
    <w:p w14:paraId="572859E6" w14:textId="77777777" w:rsidR="00C244EE" w:rsidRDefault="00000000">
      <w:pPr>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2.3</w:t>
      </w:r>
      <w:r>
        <w:rPr>
          <w:rFonts w:ascii="Times New Roman" w:hAnsi="Times New Roman" w:cs="Times New Roman"/>
          <w:b/>
          <w:bCs/>
          <w:color w:val="231F20"/>
          <w:sz w:val="24"/>
          <w:szCs w:val="24"/>
        </w:rPr>
        <w:tab/>
        <w:t xml:space="preserve"> Proximate analysis of the feed composition.</w:t>
      </w:r>
    </w:p>
    <w:p w14:paraId="420DC185"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The proximate analysis of the formulated diets of nanoselenium supplemented at different dietary inclusion levels were determined using the methods described by [18]</w:t>
      </w:r>
    </w:p>
    <w:p w14:paraId="24C5D38D" w14:textId="77777777" w:rsidR="00C244EE" w:rsidRDefault="00C244EE">
      <w:pPr>
        <w:autoSpaceDE w:val="0"/>
        <w:autoSpaceDN w:val="0"/>
        <w:adjustRightInd w:val="0"/>
        <w:spacing w:after="0" w:line="240" w:lineRule="auto"/>
        <w:jc w:val="both"/>
        <w:rPr>
          <w:rFonts w:ascii="Times New Roman" w:hAnsi="Times New Roman" w:cs="Times New Roman"/>
          <w:sz w:val="24"/>
          <w:szCs w:val="24"/>
        </w:rPr>
      </w:pPr>
    </w:p>
    <w:p w14:paraId="54517F98"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p w14:paraId="5598CCF9"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p w14:paraId="61FC55BB"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p w14:paraId="2871C8A4"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302B1006"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7F1284DA"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047F94C3"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2D7AB02B" w14:textId="77777777" w:rsidR="00B63684" w:rsidRDefault="00B63684">
      <w:pPr>
        <w:autoSpaceDE w:val="0"/>
        <w:autoSpaceDN w:val="0"/>
        <w:adjustRightInd w:val="0"/>
        <w:spacing w:after="0" w:line="240" w:lineRule="auto"/>
        <w:jc w:val="both"/>
        <w:rPr>
          <w:rFonts w:ascii="Times New Roman" w:hAnsi="Times New Roman" w:cs="Times New Roman"/>
          <w:color w:val="231F20"/>
          <w:sz w:val="24"/>
          <w:szCs w:val="24"/>
        </w:rPr>
      </w:pPr>
    </w:p>
    <w:p w14:paraId="56C5255B" w14:textId="77777777" w:rsidR="00C244EE" w:rsidRDefault="0000000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Table 1: Percentage composition (%) of the basal diet</w:t>
      </w:r>
    </w:p>
    <w:p w14:paraId="6436F5B0"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tbl>
      <w:tblPr>
        <w:tblStyle w:val="TableGrid"/>
        <w:tblW w:w="4428" w:type="dxa"/>
        <w:tblLayout w:type="fixed"/>
        <w:tblLook w:val="0620" w:firstRow="1" w:lastRow="0" w:firstColumn="0" w:lastColumn="0" w:noHBand="1" w:noVBand="1"/>
      </w:tblPr>
      <w:tblGrid>
        <w:gridCol w:w="2869"/>
        <w:gridCol w:w="1559"/>
      </w:tblGrid>
      <w:tr w:rsidR="00C244EE" w14:paraId="68AE262E" w14:textId="77777777">
        <w:trPr>
          <w:trHeight w:val="42"/>
        </w:trPr>
        <w:tc>
          <w:tcPr>
            <w:tcW w:w="2869" w:type="dxa"/>
            <w:tcBorders>
              <w:top w:val="single" w:sz="4" w:space="0" w:color="000000"/>
              <w:left w:val="single" w:sz="4" w:space="0" w:color="000000"/>
              <w:bottom w:val="single" w:sz="4" w:space="0" w:color="000000"/>
              <w:right w:val="single" w:sz="4" w:space="0" w:color="000000"/>
            </w:tcBorders>
          </w:tcPr>
          <w:p w14:paraId="2B7C54C7"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Ingredient*</w:t>
            </w:r>
          </w:p>
        </w:tc>
        <w:tc>
          <w:tcPr>
            <w:tcW w:w="1559" w:type="dxa"/>
            <w:tcBorders>
              <w:top w:val="single" w:sz="4" w:space="0" w:color="000000"/>
              <w:left w:val="single" w:sz="4" w:space="0" w:color="000000"/>
              <w:bottom w:val="single" w:sz="4" w:space="0" w:color="000000"/>
              <w:right w:val="single" w:sz="4" w:space="0" w:color="000000"/>
            </w:tcBorders>
          </w:tcPr>
          <w:p w14:paraId="5BCD2916"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Quantity (%)</w:t>
            </w:r>
          </w:p>
        </w:tc>
      </w:tr>
      <w:tr w:rsidR="00C244EE" w14:paraId="776733EB" w14:textId="77777777">
        <w:tc>
          <w:tcPr>
            <w:tcW w:w="2869" w:type="dxa"/>
            <w:tcBorders>
              <w:top w:val="single" w:sz="4" w:space="0" w:color="000000"/>
              <w:left w:val="single" w:sz="4" w:space="0" w:color="000000"/>
              <w:bottom w:val="single" w:sz="4" w:space="0" w:color="000000"/>
              <w:right w:val="single" w:sz="4" w:space="0" w:color="000000"/>
            </w:tcBorders>
          </w:tcPr>
          <w:p w14:paraId="7BFB8FD8"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Fish meal</w:t>
            </w:r>
          </w:p>
        </w:tc>
        <w:tc>
          <w:tcPr>
            <w:tcW w:w="1559" w:type="dxa"/>
            <w:tcBorders>
              <w:top w:val="single" w:sz="4" w:space="0" w:color="000000"/>
              <w:left w:val="single" w:sz="4" w:space="0" w:color="000000"/>
              <w:bottom w:val="single" w:sz="4" w:space="0" w:color="000000"/>
              <w:right w:val="single" w:sz="4" w:space="0" w:color="000000"/>
            </w:tcBorders>
          </w:tcPr>
          <w:p w14:paraId="7CCA4933"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C244EE" w14:paraId="1BC00998"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4D3FAB17"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Toasted soya bean</w:t>
            </w:r>
          </w:p>
        </w:tc>
        <w:tc>
          <w:tcPr>
            <w:tcW w:w="1559" w:type="dxa"/>
            <w:tcBorders>
              <w:top w:val="single" w:sz="4" w:space="0" w:color="000000"/>
              <w:left w:val="single" w:sz="4" w:space="0" w:color="000000"/>
              <w:bottom w:val="single" w:sz="4" w:space="0" w:color="000000"/>
              <w:right w:val="single" w:sz="4" w:space="0" w:color="000000"/>
            </w:tcBorders>
          </w:tcPr>
          <w:p w14:paraId="1E9380C7"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C244EE" w14:paraId="0B023ACB"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313CC1A5" w14:textId="77777777" w:rsidR="00C244EE" w:rsidRDefault="00000000">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Groundnut cake (GNC)</w:t>
            </w:r>
          </w:p>
        </w:tc>
        <w:tc>
          <w:tcPr>
            <w:tcW w:w="1559" w:type="dxa"/>
            <w:tcBorders>
              <w:top w:val="single" w:sz="4" w:space="0" w:color="000000"/>
              <w:left w:val="single" w:sz="4" w:space="0" w:color="000000"/>
              <w:bottom w:val="single" w:sz="4" w:space="0" w:color="000000"/>
              <w:right w:val="single" w:sz="4" w:space="0" w:color="000000"/>
            </w:tcBorders>
          </w:tcPr>
          <w:p w14:paraId="02DD9DF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C244EE" w14:paraId="6A310CCB"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6F962F59"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Maize</w:t>
            </w:r>
          </w:p>
        </w:tc>
        <w:tc>
          <w:tcPr>
            <w:tcW w:w="1559" w:type="dxa"/>
            <w:tcBorders>
              <w:top w:val="single" w:sz="4" w:space="0" w:color="000000"/>
              <w:left w:val="single" w:sz="4" w:space="0" w:color="000000"/>
              <w:bottom w:val="single" w:sz="4" w:space="0" w:color="000000"/>
              <w:right w:val="single" w:sz="4" w:space="0" w:color="000000"/>
            </w:tcBorders>
          </w:tcPr>
          <w:p w14:paraId="6FA3639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200</w:t>
            </w:r>
          </w:p>
        </w:tc>
      </w:tr>
      <w:tr w:rsidR="00C244EE" w14:paraId="68FF71B1"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76C4BFB4"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Wheat offal</w:t>
            </w:r>
          </w:p>
        </w:tc>
        <w:tc>
          <w:tcPr>
            <w:tcW w:w="1559" w:type="dxa"/>
            <w:tcBorders>
              <w:top w:val="single" w:sz="4" w:space="0" w:color="000000"/>
              <w:left w:val="single" w:sz="4" w:space="0" w:color="000000"/>
              <w:bottom w:val="single" w:sz="4" w:space="0" w:color="000000"/>
              <w:right w:val="single" w:sz="4" w:space="0" w:color="000000"/>
            </w:tcBorders>
          </w:tcPr>
          <w:p w14:paraId="74FB552C"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90</w:t>
            </w:r>
          </w:p>
        </w:tc>
      </w:tr>
      <w:tr w:rsidR="00C244EE" w14:paraId="40DF2F27"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2AB9851E"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Salt</w:t>
            </w:r>
          </w:p>
        </w:tc>
        <w:tc>
          <w:tcPr>
            <w:tcW w:w="1559" w:type="dxa"/>
            <w:tcBorders>
              <w:top w:val="single" w:sz="4" w:space="0" w:color="000000"/>
              <w:left w:val="single" w:sz="4" w:space="0" w:color="000000"/>
              <w:bottom w:val="single" w:sz="4" w:space="0" w:color="000000"/>
              <w:right w:val="single" w:sz="4" w:space="0" w:color="000000"/>
            </w:tcBorders>
          </w:tcPr>
          <w:p w14:paraId="2A34A65E"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5</w:t>
            </w:r>
          </w:p>
        </w:tc>
      </w:tr>
      <w:tr w:rsidR="00C244EE" w14:paraId="69781164"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4D20BE30"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Fish premix</w:t>
            </w:r>
          </w:p>
        </w:tc>
        <w:tc>
          <w:tcPr>
            <w:tcW w:w="1559" w:type="dxa"/>
            <w:tcBorders>
              <w:top w:val="single" w:sz="4" w:space="0" w:color="000000"/>
              <w:left w:val="single" w:sz="4" w:space="0" w:color="000000"/>
              <w:bottom w:val="single" w:sz="4" w:space="0" w:color="000000"/>
              <w:right w:val="single" w:sz="4" w:space="0" w:color="000000"/>
            </w:tcBorders>
          </w:tcPr>
          <w:p w14:paraId="7C2D1B2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5EEEDB26"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3E402256"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Vitamin</w:t>
            </w:r>
          </w:p>
        </w:tc>
        <w:tc>
          <w:tcPr>
            <w:tcW w:w="1559" w:type="dxa"/>
            <w:tcBorders>
              <w:top w:val="single" w:sz="4" w:space="0" w:color="000000"/>
              <w:left w:val="single" w:sz="4" w:space="0" w:color="000000"/>
              <w:bottom w:val="single" w:sz="4" w:space="0" w:color="000000"/>
              <w:right w:val="single" w:sz="4" w:space="0" w:color="000000"/>
            </w:tcBorders>
          </w:tcPr>
          <w:p w14:paraId="3D72247E"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395930E5"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0C5A37CB"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Lysine</w:t>
            </w:r>
          </w:p>
        </w:tc>
        <w:tc>
          <w:tcPr>
            <w:tcW w:w="1559" w:type="dxa"/>
            <w:tcBorders>
              <w:top w:val="single" w:sz="4" w:space="0" w:color="000000"/>
              <w:left w:val="single" w:sz="4" w:space="0" w:color="000000"/>
              <w:bottom w:val="single" w:sz="4" w:space="0" w:color="000000"/>
              <w:right w:val="single" w:sz="4" w:space="0" w:color="000000"/>
            </w:tcBorders>
          </w:tcPr>
          <w:p w14:paraId="7C1B2B4D"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596E4A25" w14:textId="77777777">
        <w:tc>
          <w:tcPr>
            <w:tcW w:w="2869" w:type="dxa"/>
            <w:tcBorders>
              <w:top w:val="single" w:sz="4" w:space="0" w:color="000000"/>
              <w:left w:val="single" w:sz="4" w:space="0" w:color="000000"/>
              <w:bottom w:val="single" w:sz="4" w:space="0" w:color="000000"/>
              <w:right w:val="single" w:sz="4" w:space="0" w:color="000000"/>
            </w:tcBorders>
          </w:tcPr>
          <w:p w14:paraId="2DB587DA"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Methionine </w:t>
            </w:r>
          </w:p>
        </w:tc>
        <w:tc>
          <w:tcPr>
            <w:tcW w:w="1559" w:type="dxa"/>
            <w:tcBorders>
              <w:top w:val="single" w:sz="4" w:space="0" w:color="000000"/>
              <w:left w:val="single" w:sz="4" w:space="0" w:color="000000"/>
              <w:bottom w:val="single" w:sz="4" w:space="0" w:color="000000"/>
              <w:right w:val="single" w:sz="4" w:space="0" w:color="000000"/>
            </w:tcBorders>
          </w:tcPr>
          <w:p w14:paraId="282974B0"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C244EE" w14:paraId="0D837371"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771F4ED8"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Bone meal</w:t>
            </w:r>
          </w:p>
        </w:tc>
        <w:tc>
          <w:tcPr>
            <w:tcW w:w="1559" w:type="dxa"/>
            <w:tcBorders>
              <w:top w:val="single" w:sz="4" w:space="0" w:color="000000"/>
              <w:left w:val="single" w:sz="4" w:space="0" w:color="000000"/>
              <w:bottom w:val="single" w:sz="4" w:space="0" w:color="000000"/>
              <w:right w:val="single" w:sz="4" w:space="0" w:color="000000"/>
            </w:tcBorders>
          </w:tcPr>
          <w:p w14:paraId="0720B9C5" w14:textId="77777777" w:rsidR="00C244EE" w:rsidRDefault="00000000">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5</w:t>
            </w:r>
          </w:p>
        </w:tc>
      </w:tr>
      <w:tr w:rsidR="00C244EE" w14:paraId="6C3E8869"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06F0645C"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Total</w:t>
            </w:r>
          </w:p>
        </w:tc>
        <w:tc>
          <w:tcPr>
            <w:tcW w:w="1559" w:type="dxa"/>
            <w:tcBorders>
              <w:top w:val="single" w:sz="4" w:space="0" w:color="000000"/>
              <w:left w:val="single" w:sz="4" w:space="0" w:color="000000"/>
              <w:bottom w:val="single" w:sz="4" w:space="0" w:color="000000"/>
              <w:right w:val="single" w:sz="4" w:space="0" w:color="000000"/>
            </w:tcBorders>
          </w:tcPr>
          <w:p w14:paraId="4F46DAA3" w14:textId="77777777" w:rsidR="00C244EE" w:rsidRDefault="00000000">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1000</w:t>
            </w:r>
          </w:p>
        </w:tc>
      </w:tr>
    </w:tbl>
    <w:p w14:paraId="3604253F" w14:textId="77777777" w:rsidR="00C244EE" w:rsidRDefault="00000000">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the ingredients were measured in gram (Source:[4].)</w:t>
      </w:r>
    </w:p>
    <w:p w14:paraId="5815BA87" w14:textId="77777777" w:rsidR="00C244EE" w:rsidRDefault="00C244EE">
      <w:pPr>
        <w:spacing w:after="0" w:line="240" w:lineRule="auto"/>
        <w:jc w:val="both"/>
        <w:rPr>
          <w:rFonts w:ascii="Times New Roman" w:hAnsi="Times New Roman" w:cs="Times New Roman"/>
          <w:color w:val="231F20"/>
          <w:sz w:val="24"/>
          <w:szCs w:val="24"/>
        </w:rPr>
      </w:pPr>
    </w:p>
    <w:p w14:paraId="54A1A24F" w14:textId="77777777" w:rsidR="00C244EE" w:rsidRDefault="00000000">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2.4        Water quality parameters</w:t>
      </w:r>
    </w:p>
    <w:p w14:paraId="57DCA5A9"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water quality parameters were monitored and measured weekly during the feeding trial. The water temperature was measured using mercury-in-glass thermometer (1000C), pH was measured using Jenway pH meter (model E 512) and the dissolved oxygen (DO2) were measured using Milwaukee DO2 meter (model MW600). </w:t>
      </w:r>
    </w:p>
    <w:p w14:paraId="46CC32FD" w14:textId="77777777" w:rsidR="00C244EE" w:rsidRDefault="00000000">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2.5</w:t>
      </w:r>
      <w:r>
        <w:rPr>
          <w:rFonts w:ascii="Times New Roman" w:hAnsi="Times New Roman" w:cs="Times New Roman"/>
          <w:b/>
          <w:bCs/>
          <w:color w:val="231F20"/>
          <w:sz w:val="24"/>
          <w:szCs w:val="24"/>
        </w:rPr>
        <w:tab/>
        <w:t>Collection of serum and biochemical analysis</w:t>
      </w:r>
    </w:p>
    <w:p w14:paraId="22CCF1A6"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The blood samples of fish fed varying inclusions level of dietary nanoselenium were collected in replicate at the end of the feeding trial into sampling bottles without anticoagulant [14, 16] and labeled for proper identification. The tubes were inserted in a slanting rack and centrifuged for 15 minutes at 3500 revolution per minutes (rpm). A clear fluid which is the serum was pipetted out into a clean and sterilized sampling bottle for further analytical process.</w:t>
      </w:r>
    </w:p>
    <w:p w14:paraId="2B5F29B3" w14:textId="77777777" w:rsidR="00C244EE" w:rsidRDefault="00000000">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Alkaline phosphate (ALP), aspartate aminotransferase (AST) and alanine aminotransferase (ALT) was conducted according to the methods described by [19] and [20]. And the Uric acid and Urea were conducted with the Randox machine analyzer (Model RX MONXA UA 230).</w:t>
      </w:r>
    </w:p>
    <w:p w14:paraId="7CCF7AEF" w14:textId="77777777" w:rsidR="00C244EE" w:rsidRDefault="00000000">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2.6</w:t>
      </w:r>
      <w:r>
        <w:rPr>
          <w:rFonts w:ascii="Times New Roman" w:hAnsi="Times New Roman" w:cs="Times New Roman"/>
          <w:b/>
          <w:bCs/>
          <w:color w:val="231F20"/>
          <w:sz w:val="24"/>
          <w:szCs w:val="24"/>
        </w:rPr>
        <w:tab/>
        <w:t xml:space="preserve">Collection of </w:t>
      </w:r>
      <w:r>
        <w:rPr>
          <w:rFonts w:ascii="Times New Roman" w:hAnsi="Times New Roman" w:cs="Times New Roman"/>
          <w:b/>
          <w:bCs/>
          <w:i/>
          <w:iCs/>
          <w:color w:val="231F20"/>
          <w:sz w:val="24"/>
          <w:szCs w:val="24"/>
        </w:rPr>
        <w:t>Clarias gariepinus</w:t>
      </w:r>
      <w:r>
        <w:rPr>
          <w:rFonts w:ascii="Times New Roman" w:hAnsi="Times New Roman" w:cs="Times New Roman"/>
          <w:b/>
          <w:bCs/>
          <w:color w:val="231F20"/>
          <w:sz w:val="24"/>
          <w:szCs w:val="24"/>
        </w:rPr>
        <w:t xml:space="preserve"> organs for biochemical analysis</w:t>
      </w:r>
    </w:p>
    <w:p w14:paraId="3EAC2AE5" w14:textId="77777777" w:rsidR="00C244EE" w:rsidRDefault="00000000">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liver and gill of </w:t>
      </w:r>
      <w:r>
        <w:rPr>
          <w:rFonts w:ascii="Times New Roman" w:hAnsi="Times New Roman" w:cs="Times New Roman"/>
          <w:i/>
          <w:iCs/>
          <w:color w:val="231F20"/>
          <w:sz w:val="24"/>
          <w:szCs w:val="24"/>
        </w:rPr>
        <w:t>Clarias gariepinus</w:t>
      </w:r>
      <w:r>
        <w:rPr>
          <w:rFonts w:ascii="Times New Roman" w:hAnsi="Times New Roman" w:cs="Times New Roman"/>
          <w:color w:val="231F20"/>
          <w:sz w:val="24"/>
          <w:szCs w:val="24"/>
        </w:rPr>
        <w:t xml:space="preserve"> fish fed with different nanoselenium formulated diet in each rearing troughs were removed, then pooled in 0.25ml of sucrose solution before taken to the laboratory for further analysis. The parameter analysed are superoxide dismutase (SOD), glutathione peroxidase (GPx), total protein and malondialdehyde (MDA). Liver and gill samples were homogenized with ice cold 0.86% NaCl and centrifuged at 8000 rpm at 40C for 10 min. The resulting supernatants were used for the </w:t>
      </w:r>
      <w:r>
        <w:rPr>
          <w:rFonts w:ascii="Times New Roman" w:hAnsi="Times New Roman" w:cs="Times New Roman"/>
          <w:color w:val="231F20"/>
          <w:sz w:val="24"/>
          <w:szCs w:val="24"/>
        </w:rPr>
        <w:lastRenderedPageBreak/>
        <w:t>determination of GPx, SOD and protein. GPx activity was assessed using Hydrogen peroxide as substrate [21]. This method is based on the oxidation of glutathione by Hydrogen peroxide via glutathione peroxidase. SOD activity was measured using xanthine-xanthine oxidase and Nitro blue tetrazolium (NBT). Protein contents were assayed by the Bradford dye-binding assay with bovine serum albumin as standard [22]. The absorbances of GPx, SOD and protein were respectively measured at 412, 550 and 590nm using a Microtiter plate reader (RANDOX, Rx Monxa Tp 245).</w:t>
      </w:r>
    </w:p>
    <w:p w14:paraId="6DF667A2" w14:textId="77777777" w:rsidR="00C244EE" w:rsidRDefault="00000000">
      <w:pPr>
        <w:spacing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2.7</w:t>
      </w:r>
      <w:r>
        <w:rPr>
          <w:rFonts w:ascii="Times New Roman" w:hAnsi="Times New Roman" w:cs="Times New Roman"/>
          <w:b/>
          <w:bCs/>
          <w:color w:val="231F20"/>
          <w:sz w:val="24"/>
          <w:szCs w:val="24"/>
        </w:rPr>
        <w:tab/>
        <w:t xml:space="preserve">Collection of organs and histological analysis </w:t>
      </w:r>
    </w:p>
    <w:p w14:paraId="20F2A6E4" w14:textId="77777777" w:rsidR="00C244EE" w:rsidRDefault="00000000">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liver and gill of </w:t>
      </w:r>
      <w:r>
        <w:rPr>
          <w:rFonts w:ascii="Times New Roman" w:hAnsi="Times New Roman" w:cs="Times New Roman"/>
          <w:i/>
          <w:iCs/>
          <w:color w:val="231F20"/>
          <w:sz w:val="24"/>
          <w:szCs w:val="24"/>
        </w:rPr>
        <w:t>Clarias gariepinu</w:t>
      </w:r>
      <w:r>
        <w:rPr>
          <w:rFonts w:ascii="Times New Roman" w:hAnsi="Times New Roman" w:cs="Times New Roman"/>
          <w:color w:val="231F20"/>
          <w:sz w:val="24"/>
          <w:szCs w:val="24"/>
        </w:rPr>
        <w:t>s fed with different inclusion level of dietary nanoselenium and control were removed, then pooled in 10% formalin solution before further histological analysis. Fixed tissues (liver and the gill) were put through slides to obtain micro thin slides for photomicrography. The tissues were dehydrated by passing through ascending grades of alcohol from 50%, 70%, 90%, absolute 1 and absolute 2 alcohols, with the tissues spending one hour in each of the alcohol.  Then the dehydrated tissues were cleared in two changes of xylene for one hour each. The cleared tissues were then infiltrated with two changes of wax at 600c for one hour each. The infiltrated tissues were embedded in the infiltrating medium and then cooled at room temperature to solidify, after which the embedded tissues were trimmed to reveal the tissue surface for microtomy which led to trimming of the blocks. The trimmed blocks were section at 7 microns to obtain tissue ribbon, which were later floated in the water bath at 400c. The tissue ribbons were picked with glass slides and then dried on a hot plate, the slides obtained were cleared in 2 changes of xylene for one minute each then the slides were allowed to be passed to descending grades of alcohol and then rinsed in water. After which the slides were stained in hematoxylin for 20minutes and then rinsed in tap water. The slides were differentiated by dipping in 1% acid alcohol for 5 seconds and then rinsed in running tap water which were later stained in eosin for two minutes and then rinsed in tap water. The slides were then upped through ascending grades of alcohol and cleared in xylene, the obtained slides were mounted in DPX which were later captured by a camera attached to the microscope and then analyzed for histopathology.</w:t>
      </w:r>
    </w:p>
    <w:p w14:paraId="17F9482E" w14:textId="77777777" w:rsidR="00C244EE" w:rsidRDefault="00000000">
      <w:pPr>
        <w:spacing w:line="240" w:lineRule="exact"/>
        <w:jc w:val="both"/>
        <w:rPr>
          <w:rFonts w:ascii="Times New Roman" w:hAnsi="Times New Roman" w:cs="Times New Roman"/>
          <w:color w:val="231F20"/>
          <w:sz w:val="24"/>
          <w:szCs w:val="24"/>
        </w:rPr>
      </w:pPr>
      <w:r>
        <w:rPr>
          <w:rFonts w:ascii="Times New Roman" w:hAnsi="Times New Roman" w:cs="Times New Roman"/>
          <w:b/>
          <w:bCs/>
          <w:color w:val="231F20"/>
          <w:sz w:val="24"/>
          <w:szCs w:val="24"/>
        </w:rPr>
        <w:t>2.8</w:t>
      </w:r>
      <w:r>
        <w:rPr>
          <w:rFonts w:ascii="Times New Roman" w:hAnsi="Times New Roman" w:cs="Times New Roman"/>
          <w:b/>
          <w:bCs/>
          <w:color w:val="231F20"/>
          <w:sz w:val="24"/>
          <w:szCs w:val="24"/>
        </w:rPr>
        <w:tab/>
        <w:t>Statistical analysis</w:t>
      </w:r>
    </w:p>
    <w:p w14:paraId="5152CDE6" w14:textId="77777777" w:rsidR="00C244EE" w:rsidRDefault="00000000">
      <w:pPr>
        <w:spacing w:line="240" w:lineRule="exact"/>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experimental data were subjected to statistical data using analysis of variance (ANOVA) followed by Duncan's Multiple Range Test (DMRT) and expressed as mean ± SE [23]. Statistical significance for all the tests were set at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All statistical analyses were performed using Microsoft Excel 2010 and IBM SPSS statistics 20.0.</w:t>
      </w:r>
    </w:p>
    <w:p w14:paraId="70B1CB71" w14:textId="77777777" w:rsidR="00C244EE" w:rsidRDefault="00000000">
      <w:pPr>
        <w:spacing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3. RESULTS</w:t>
      </w:r>
    </w:p>
    <w:p w14:paraId="6FD6948D" w14:textId="77777777" w:rsidR="00C244EE" w:rsidRDefault="00000000">
      <w:pPr>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3.1</w:t>
      </w:r>
      <w:r>
        <w:rPr>
          <w:rFonts w:ascii="Times New Roman" w:hAnsi="Times New Roman" w:cs="Times New Roman"/>
          <w:b/>
          <w:color w:val="231F20"/>
          <w:sz w:val="24"/>
          <w:szCs w:val="24"/>
        </w:rPr>
        <w:tab/>
        <w:t>Proximate composition</w:t>
      </w:r>
    </w:p>
    <w:p w14:paraId="160DD1A6" w14:textId="77777777" w:rsidR="00C244EE" w:rsidRDefault="0000000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proximate composition of the formulated diets supplemented with different dietary nanoselenium is shown in Table 2. The proximate composition of the formulated diets showed that there was significant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the crude protein and crude fibre in the two nanoselenium formulated diets and the control diets while there was no significance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the ash content, nitrogen free extract (NFE), moisture content and crude fat.</w:t>
      </w:r>
    </w:p>
    <w:p w14:paraId="2B307A7D" w14:textId="77777777" w:rsidR="00C244EE" w:rsidRDefault="00000000">
      <w:pPr>
        <w:spacing w:after="0"/>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Water quality parameters</w:t>
      </w:r>
    </w:p>
    <w:p w14:paraId="7DD7D530"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water temperature in the rearing media ranged from 25.6 to 28.20C, the pH ranged from 7.1 to 8.0 while the dissolved oxygen ranged between 6.02 and 6.48 mg/l. All the water parameters measured were within the tolerable range.</w:t>
      </w:r>
    </w:p>
    <w:p w14:paraId="5C1A9317" w14:textId="77777777" w:rsidR="00C244EE" w:rsidRDefault="00C244EE">
      <w:pPr>
        <w:spacing w:after="0" w:line="240" w:lineRule="auto"/>
        <w:jc w:val="both"/>
        <w:rPr>
          <w:rFonts w:ascii="Times New Roman" w:hAnsi="Times New Roman" w:cs="Times New Roman"/>
          <w:sz w:val="24"/>
          <w:szCs w:val="24"/>
        </w:rPr>
      </w:pPr>
    </w:p>
    <w:p w14:paraId="0289AE8E" w14:textId="77777777" w:rsidR="00C244EE"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Biochemical profile of serum</w:t>
      </w:r>
    </w:p>
    <w:p w14:paraId="76FA1EDA"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Biochemical profile of serum of </w:t>
      </w:r>
      <w:r>
        <w:rPr>
          <w:rFonts w:ascii="Times New Roman" w:hAnsi="Times New Roman" w:cs="Times New Roman"/>
          <w:i/>
          <w:iCs/>
          <w:sz w:val="24"/>
          <w:szCs w:val="24"/>
        </w:rPr>
        <w:t>C. gariepinus</w:t>
      </w:r>
      <w:r>
        <w:rPr>
          <w:rFonts w:ascii="Times New Roman" w:hAnsi="Times New Roman" w:cs="Times New Roman"/>
          <w:sz w:val="24"/>
          <w:szCs w:val="24"/>
        </w:rPr>
        <w:t xml:space="preserve"> fed different inclusions levels of nanoselenium formulated diets is available in Table 3. The results of the biochemical profile of the fish fed different inclusion level </w:t>
      </w:r>
      <w:r>
        <w:rPr>
          <w:rFonts w:ascii="Times New Roman" w:hAnsi="Times New Roman" w:cs="Times New Roman"/>
          <w:sz w:val="24"/>
          <w:szCs w:val="24"/>
        </w:rPr>
        <w:lastRenderedPageBreak/>
        <w:t>of dietary nanoselenium revealed that fish fed with dietary supplementation of 2 mg/kg nanoselenium formulated diets were significantly higher in alkaline phosphate (ALP), alanine aminotransferase (ALT) and aspartate aminotransferase (AST) while fish fed with 4 mg/kg dietary nanoselenium formulated diets were significantly lower in value for the same biochemical parameters.</w:t>
      </w:r>
      <w:r>
        <w:rPr>
          <w:rFonts w:ascii="Times New Roman" w:hAnsi="Times New Roman" w:cs="Times New Roman"/>
          <w:sz w:val="24"/>
          <w:szCs w:val="24"/>
        </w:rPr>
        <w:tab/>
      </w:r>
    </w:p>
    <w:p w14:paraId="747E83E9" w14:textId="77777777" w:rsidR="00C244EE" w:rsidRDefault="00000000">
      <w:pPr>
        <w:spacing w:after="0" w:line="240" w:lineRule="auto"/>
        <w:jc w:val="both"/>
        <w:rPr>
          <w:rFonts w:ascii="Times New Roman" w:hAnsi="Times New Roman" w:cs="Times New Roman"/>
          <w:iCs/>
          <w:sz w:val="24"/>
          <w:szCs w:val="24"/>
        </w:rPr>
      </w:pPr>
      <w:r>
        <w:rPr>
          <w:rFonts w:ascii="Times New Roman" w:hAnsi="Times New Roman" w:cs="Times New Roman"/>
          <w:b/>
          <w:sz w:val="24"/>
          <w:szCs w:val="24"/>
        </w:rPr>
        <w:t>3.4.      Biochemical analysis of the organs</w:t>
      </w:r>
    </w:p>
    <w:p w14:paraId="34977602" w14:textId="77777777" w:rsidR="00C244EE" w:rsidRDefault="00000000">
      <w:pPr>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rPr>
        <w:t xml:space="preserve">The biochemical profile of the organs (gill and liver) of </w:t>
      </w:r>
      <w:r>
        <w:rPr>
          <w:rFonts w:ascii="Times New Roman" w:hAnsi="Times New Roman" w:cs="Times New Roman"/>
          <w:i/>
          <w:color w:val="231F20"/>
          <w:sz w:val="24"/>
          <w:szCs w:val="24"/>
        </w:rPr>
        <w:t>Cl gariepinus</w:t>
      </w:r>
      <w:r>
        <w:rPr>
          <w:rFonts w:ascii="Times New Roman" w:hAnsi="Times New Roman" w:cs="Times New Roman"/>
          <w:sz w:val="24"/>
          <w:szCs w:val="24"/>
        </w:rPr>
        <w:t xml:space="preserve"> fed different inclusions levels of dietary nanoselenium formulated diets is shown in Table 4. </w:t>
      </w:r>
      <w:r>
        <w:rPr>
          <w:rFonts w:ascii="Times New Roman" w:hAnsi="Times New Roman" w:cs="Times New Roman"/>
          <w:color w:val="231F20"/>
          <w:sz w:val="24"/>
          <w:szCs w:val="24"/>
        </w:rPr>
        <w:t>The results showed variations in the parameters of the liver and the gill. There was no significance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all the dietary treatments and control for all the biochemical parameters of the gills except SOD which significantly (</w:t>
      </w:r>
      <w:r>
        <w:rPr>
          <w:rFonts w:ascii="Times New Roman" w:hAnsi="Times New Roman" w:cs="Times New Roman"/>
          <w:i/>
          <w:iCs/>
          <w:color w:val="231F20"/>
          <w:sz w:val="24"/>
          <w:szCs w:val="24"/>
        </w:rPr>
        <w:t xml:space="preserve">p &lt; </w:t>
      </w:r>
      <w:r>
        <w:rPr>
          <w:rFonts w:ascii="Times New Roman" w:hAnsi="Times New Roman" w:cs="Times New Roman"/>
          <w:color w:val="231F20"/>
          <w:sz w:val="24"/>
          <w:szCs w:val="24"/>
        </w:rPr>
        <w:t>0.05) increased as the dietary nanoselenium increases.</w:t>
      </w:r>
    </w:p>
    <w:p w14:paraId="31970803"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For the biochemical indices of the liver such as superoxidase dismutase (SOD), glutathione peroxidase (GPx), catalase (CAT), total protein and </w:t>
      </w:r>
      <w:r>
        <w:rPr>
          <w:rFonts w:ascii="Times New Roman" w:hAnsi="Times New Roman" w:cs="Times New Roman"/>
          <w:iCs/>
          <w:sz w:val="24"/>
          <w:szCs w:val="24"/>
        </w:rPr>
        <w:t>malondialdehyde (MDA)</w:t>
      </w:r>
      <w:r>
        <w:rPr>
          <w:rFonts w:ascii="Times New Roman" w:hAnsi="Times New Roman" w:cs="Times New Roman"/>
          <w:color w:val="231F20"/>
          <w:sz w:val="24"/>
          <w:szCs w:val="24"/>
        </w:rPr>
        <w:t xml:space="preserve"> there were no significance difference (</w:t>
      </w:r>
      <w:r>
        <w:rPr>
          <w:rFonts w:ascii="Times New Roman" w:hAnsi="Times New Roman" w:cs="Times New Roman"/>
          <w:i/>
          <w:iCs/>
          <w:color w:val="231F20"/>
          <w:sz w:val="24"/>
          <w:szCs w:val="24"/>
        </w:rPr>
        <w:t xml:space="preserve">p &lt; </w:t>
      </w:r>
      <w:r>
        <w:rPr>
          <w:rFonts w:ascii="Times New Roman" w:hAnsi="Times New Roman" w:cs="Times New Roman"/>
          <w:color w:val="231F20"/>
          <w:sz w:val="24"/>
          <w:szCs w:val="24"/>
        </w:rPr>
        <w:t>0.05) between fish fed with 2 mg/kg nanoselenium formulated diets and 4 mg/kg nanoselenium formulated diets and the control.</w:t>
      </w:r>
    </w:p>
    <w:p w14:paraId="0A1B3A67" w14:textId="77777777" w:rsidR="00B63684" w:rsidRDefault="00B63684">
      <w:pPr>
        <w:jc w:val="both"/>
        <w:rPr>
          <w:rFonts w:ascii="Times New Roman" w:hAnsi="Times New Roman" w:cs="Times New Roman"/>
          <w:color w:val="231F20"/>
          <w:sz w:val="24"/>
          <w:szCs w:val="24"/>
        </w:rPr>
      </w:pPr>
    </w:p>
    <w:p w14:paraId="519C36B1" w14:textId="77777777" w:rsidR="00C244EE" w:rsidRDefault="00000000">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Table 2: Proximate composition (%) of the experimental diets at different dietary inclusion level of nanoselenium.</w:t>
      </w:r>
    </w:p>
    <w:p w14:paraId="70EB03C2" w14:textId="77777777" w:rsidR="00C244EE" w:rsidRDefault="00C244EE">
      <w:pPr>
        <w:autoSpaceDE w:val="0"/>
        <w:autoSpaceDN w:val="0"/>
        <w:adjustRightInd w:val="0"/>
        <w:spacing w:after="0" w:line="240" w:lineRule="auto"/>
        <w:jc w:val="both"/>
        <w:rPr>
          <w:rFonts w:ascii="Times New Roman" w:hAnsi="Times New Roman" w:cs="Times New Roman"/>
          <w:color w:val="231F20"/>
          <w:sz w:val="24"/>
          <w:szCs w:val="24"/>
        </w:rPr>
      </w:pPr>
    </w:p>
    <w:tbl>
      <w:tblPr>
        <w:tblStyle w:val="TableGrid"/>
        <w:tblW w:w="7877" w:type="dxa"/>
        <w:tblInd w:w="198" w:type="dxa"/>
        <w:tblLayout w:type="fixed"/>
        <w:tblLook w:val="0620" w:firstRow="1" w:lastRow="0" w:firstColumn="0" w:lastColumn="0" w:noHBand="1" w:noVBand="1"/>
      </w:tblPr>
      <w:tblGrid>
        <w:gridCol w:w="2832"/>
        <w:gridCol w:w="1732"/>
        <w:gridCol w:w="1647"/>
        <w:gridCol w:w="1666"/>
      </w:tblGrid>
      <w:tr w:rsidR="00C244EE" w14:paraId="7253DFA7" w14:textId="77777777">
        <w:trPr>
          <w:trHeight w:val="324"/>
        </w:trPr>
        <w:tc>
          <w:tcPr>
            <w:tcW w:w="2832" w:type="dxa"/>
            <w:tcBorders>
              <w:top w:val="single" w:sz="4" w:space="0" w:color="000000"/>
              <w:left w:val="single" w:sz="4" w:space="0" w:color="000000"/>
              <w:bottom w:val="single" w:sz="4" w:space="0" w:color="000000"/>
              <w:right w:val="single" w:sz="4" w:space="0" w:color="000000"/>
            </w:tcBorders>
          </w:tcPr>
          <w:p w14:paraId="02FC130E" w14:textId="77777777" w:rsidR="00C244EE" w:rsidRDefault="00C244EE">
            <w:pPr>
              <w:autoSpaceDE w:val="0"/>
              <w:autoSpaceDN w:val="0"/>
              <w:adjustRightInd w:val="0"/>
              <w:jc w:val="both"/>
              <w:rPr>
                <w:rFonts w:ascii="Times New Roman" w:hAnsi="Times New Roman" w:cs="Times New Roman"/>
                <w:b/>
                <w:bCs/>
                <w:sz w:val="24"/>
                <w:szCs w:val="24"/>
              </w:rPr>
            </w:pPr>
          </w:p>
        </w:tc>
        <w:tc>
          <w:tcPr>
            <w:tcW w:w="5045" w:type="dxa"/>
            <w:gridSpan w:val="3"/>
            <w:tcBorders>
              <w:top w:val="single" w:sz="4" w:space="0" w:color="000000"/>
              <w:left w:val="single" w:sz="4" w:space="0" w:color="000000"/>
              <w:bottom w:val="single" w:sz="4" w:space="0" w:color="000000"/>
              <w:right w:val="single" w:sz="4" w:space="0" w:color="000000"/>
            </w:tcBorders>
          </w:tcPr>
          <w:p w14:paraId="1B73B104" w14:textId="77777777" w:rsidR="00C244EE" w:rsidRDefault="00C244EE">
            <w:pPr>
              <w:autoSpaceDE w:val="0"/>
              <w:autoSpaceDN w:val="0"/>
              <w:adjustRightInd w:val="0"/>
              <w:jc w:val="both"/>
              <w:rPr>
                <w:rFonts w:ascii="Times New Roman" w:hAnsi="Times New Roman" w:cs="Times New Roman"/>
                <w:b/>
                <w:bCs/>
                <w:sz w:val="24"/>
                <w:szCs w:val="24"/>
              </w:rPr>
            </w:pPr>
          </w:p>
          <w:p w14:paraId="405AB162" w14:textId="77777777" w:rsidR="00C244EE" w:rsidRDefault="0000000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Dietary Nanoselenium (mg/kg)</w:t>
            </w:r>
          </w:p>
        </w:tc>
      </w:tr>
      <w:tr w:rsidR="00C244EE" w14:paraId="04B0ED51" w14:textId="77777777">
        <w:trPr>
          <w:trHeight w:val="299"/>
        </w:trPr>
        <w:tc>
          <w:tcPr>
            <w:tcW w:w="2832" w:type="dxa"/>
            <w:tcBorders>
              <w:top w:val="single" w:sz="4" w:space="0" w:color="000000"/>
              <w:left w:val="single" w:sz="4" w:space="0" w:color="000000"/>
              <w:bottom w:val="single" w:sz="4" w:space="0" w:color="000000"/>
              <w:right w:val="single" w:sz="4" w:space="0" w:color="000000"/>
            </w:tcBorders>
          </w:tcPr>
          <w:p w14:paraId="16B80ED2" w14:textId="77777777" w:rsidR="00C244EE" w:rsidRDefault="00000000">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Parameter</w:t>
            </w:r>
          </w:p>
        </w:tc>
        <w:tc>
          <w:tcPr>
            <w:tcW w:w="1732" w:type="dxa"/>
            <w:tcBorders>
              <w:top w:val="single" w:sz="4" w:space="0" w:color="000000"/>
              <w:left w:val="single" w:sz="4" w:space="0" w:color="000000"/>
              <w:bottom w:val="single" w:sz="4" w:space="0" w:color="000000"/>
              <w:right w:val="single" w:sz="4" w:space="0" w:color="000000"/>
            </w:tcBorders>
          </w:tcPr>
          <w:p w14:paraId="2E1D3939" w14:textId="77777777" w:rsidR="00C244EE" w:rsidRDefault="00000000">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0 (Control) </w:t>
            </w:r>
          </w:p>
        </w:tc>
        <w:tc>
          <w:tcPr>
            <w:tcW w:w="1647" w:type="dxa"/>
            <w:tcBorders>
              <w:top w:val="single" w:sz="4" w:space="0" w:color="000000"/>
              <w:left w:val="single" w:sz="4" w:space="0" w:color="000000"/>
              <w:bottom w:val="single" w:sz="4" w:space="0" w:color="000000"/>
              <w:right w:val="single" w:sz="4" w:space="0" w:color="000000"/>
            </w:tcBorders>
          </w:tcPr>
          <w:p w14:paraId="32291C9F" w14:textId="77777777" w:rsidR="00C244EE" w:rsidRDefault="00000000">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666" w:type="dxa"/>
            <w:tcBorders>
              <w:top w:val="single" w:sz="4" w:space="0" w:color="000000"/>
              <w:left w:val="single" w:sz="4" w:space="0" w:color="000000"/>
              <w:bottom w:val="single" w:sz="4" w:space="0" w:color="000000"/>
              <w:right w:val="single" w:sz="4" w:space="0" w:color="000000"/>
            </w:tcBorders>
          </w:tcPr>
          <w:p w14:paraId="6E3BBC3A" w14:textId="77777777" w:rsidR="00C244EE" w:rsidRDefault="00000000">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p>
        </w:tc>
      </w:tr>
      <w:tr w:rsidR="00C244EE" w14:paraId="6AF5DA79"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128CF3CD" w14:textId="77777777" w:rsidR="00C244EE"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Moisture content</w:t>
            </w:r>
          </w:p>
        </w:tc>
        <w:tc>
          <w:tcPr>
            <w:tcW w:w="1732" w:type="dxa"/>
            <w:tcBorders>
              <w:top w:val="single" w:sz="4" w:space="0" w:color="000000"/>
              <w:left w:val="single" w:sz="4" w:space="0" w:color="000000"/>
              <w:bottom w:val="single" w:sz="4" w:space="0" w:color="000000"/>
              <w:right w:val="single" w:sz="4" w:space="0" w:color="000000"/>
            </w:tcBorders>
          </w:tcPr>
          <w:p w14:paraId="4471BBDD"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7.65±0.28</w:t>
            </w:r>
            <w:r>
              <w:rPr>
                <w:rFonts w:ascii="Times New Roman" w:hAnsi="Times New Roman" w:cs="Times New Roman"/>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5A40F68F"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8.00±0.06</w:t>
            </w:r>
            <w:r>
              <w:rPr>
                <w:rFonts w:ascii="Times New Roman" w:hAnsi="Times New Roman" w:cs="Times New Roman"/>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093FADA9"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8.53±0.24</w:t>
            </w:r>
            <w:r>
              <w:rPr>
                <w:rFonts w:ascii="Times New Roman" w:hAnsi="Times New Roman" w:cs="Times New Roman"/>
                <w:sz w:val="24"/>
                <w:szCs w:val="24"/>
                <w:vertAlign w:val="superscript"/>
              </w:rPr>
              <w:t>a</w:t>
            </w:r>
          </w:p>
        </w:tc>
      </w:tr>
      <w:tr w:rsidR="00C244EE" w14:paraId="5412337C"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74CB48FE" w14:textId="77777777" w:rsidR="00C244EE" w:rsidRDefault="00000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Ash content</w:t>
            </w:r>
          </w:p>
        </w:tc>
        <w:tc>
          <w:tcPr>
            <w:tcW w:w="1732" w:type="dxa"/>
            <w:tcBorders>
              <w:top w:val="single" w:sz="4" w:space="0" w:color="000000"/>
              <w:left w:val="single" w:sz="4" w:space="0" w:color="000000"/>
              <w:bottom w:val="single" w:sz="4" w:space="0" w:color="000000"/>
              <w:right w:val="single" w:sz="4" w:space="0" w:color="000000"/>
            </w:tcBorders>
          </w:tcPr>
          <w:p w14:paraId="35BC2DFD"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9.23±0.10</w:t>
            </w:r>
            <w:r>
              <w:rPr>
                <w:rFonts w:ascii="Times New Roman" w:hAnsi="Times New Roman" w:cs="Times New Roman"/>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0F3D042D"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8.81±0.31</w:t>
            </w:r>
            <w:r>
              <w:rPr>
                <w:rFonts w:ascii="Times New Roman" w:hAnsi="Times New Roman" w:cs="Times New Roman"/>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32D5EDD8" w14:textId="77777777" w:rsidR="00C244EE" w:rsidRDefault="00000000">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9.39±0.08</w:t>
            </w:r>
            <w:r>
              <w:rPr>
                <w:rFonts w:ascii="Times New Roman" w:hAnsi="Times New Roman" w:cs="Times New Roman"/>
                <w:sz w:val="24"/>
                <w:szCs w:val="24"/>
                <w:vertAlign w:val="superscript"/>
              </w:rPr>
              <w:t>a</w:t>
            </w:r>
          </w:p>
        </w:tc>
      </w:tr>
      <w:tr w:rsidR="00C244EE" w14:paraId="69BD3A60"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594E08D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fibre</w:t>
            </w:r>
          </w:p>
        </w:tc>
        <w:tc>
          <w:tcPr>
            <w:tcW w:w="1732" w:type="dxa"/>
            <w:tcBorders>
              <w:top w:val="single" w:sz="4" w:space="0" w:color="000000"/>
              <w:left w:val="single" w:sz="4" w:space="0" w:color="000000"/>
              <w:bottom w:val="single" w:sz="4" w:space="0" w:color="000000"/>
              <w:right w:val="single" w:sz="4" w:space="0" w:color="000000"/>
            </w:tcBorders>
          </w:tcPr>
          <w:p w14:paraId="21B6166B"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5.65±0.38</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6186D971"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4.89±0.05</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0D50A456"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4.34±0.16</w:t>
            </w:r>
            <w:r>
              <w:rPr>
                <w:rFonts w:ascii="Times New Roman" w:hAnsi="Times New Roman" w:cs="Times New Roman"/>
                <w:color w:val="000000"/>
                <w:sz w:val="24"/>
                <w:szCs w:val="24"/>
                <w:vertAlign w:val="superscript"/>
              </w:rPr>
              <w:t>b</w:t>
            </w:r>
          </w:p>
        </w:tc>
      </w:tr>
      <w:tr w:rsidR="00C244EE" w14:paraId="096857CD"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1B756B7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protein</w:t>
            </w:r>
          </w:p>
        </w:tc>
        <w:tc>
          <w:tcPr>
            <w:tcW w:w="1732" w:type="dxa"/>
            <w:tcBorders>
              <w:top w:val="single" w:sz="4" w:space="0" w:color="000000"/>
              <w:left w:val="single" w:sz="4" w:space="0" w:color="000000"/>
              <w:bottom w:val="single" w:sz="4" w:space="0" w:color="000000"/>
              <w:right w:val="single" w:sz="4" w:space="0" w:color="000000"/>
            </w:tcBorders>
          </w:tcPr>
          <w:p w14:paraId="02A9627F"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33.67±0.65</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37344B93"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36.83±0.34</w:t>
            </w:r>
            <w:r>
              <w:rPr>
                <w:rFonts w:ascii="Times New Roman" w:hAnsi="Times New Roman" w:cs="Times New Roman"/>
                <w:color w:val="000000"/>
                <w:sz w:val="24"/>
                <w:szCs w:val="24"/>
                <w:vertAlign w:val="superscript"/>
              </w:rPr>
              <w:t>b</w:t>
            </w:r>
          </w:p>
        </w:tc>
        <w:tc>
          <w:tcPr>
            <w:tcW w:w="1666" w:type="dxa"/>
            <w:tcBorders>
              <w:top w:val="single" w:sz="4" w:space="0" w:color="000000"/>
              <w:left w:val="single" w:sz="4" w:space="0" w:color="000000"/>
              <w:bottom w:val="single" w:sz="4" w:space="0" w:color="000000"/>
              <w:right w:val="single" w:sz="4" w:space="0" w:color="000000"/>
            </w:tcBorders>
          </w:tcPr>
          <w:p w14:paraId="6C440B09"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39.65±0.36</w:t>
            </w:r>
            <w:r>
              <w:rPr>
                <w:rFonts w:ascii="Times New Roman" w:hAnsi="Times New Roman" w:cs="Times New Roman"/>
                <w:color w:val="000000"/>
                <w:sz w:val="24"/>
                <w:szCs w:val="24"/>
                <w:vertAlign w:val="superscript"/>
              </w:rPr>
              <w:t>c</w:t>
            </w:r>
          </w:p>
        </w:tc>
      </w:tr>
      <w:tr w:rsidR="00C244EE" w14:paraId="144885E7"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02FD0CF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fat</w:t>
            </w:r>
          </w:p>
        </w:tc>
        <w:tc>
          <w:tcPr>
            <w:tcW w:w="1732" w:type="dxa"/>
            <w:tcBorders>
              <w:top w:val="single" w:sz="4" w:space="0" w:color="000000"/>
              <w:left w:val="single" w:sz="4" w:space="0" w:color="000000"/>
              <w:bottom w:val="single" w:sz="4" w:space="0" w:color="000000"/>
              <w:right w:val="single" w:sz="4" w:space="0" w:color="000000"/>
            </w:tcBorders>
          </w:tcPr>
          <w:p w14:paraId="40E65F9A"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8.75±0.12</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60EE7FEC"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8.45±0.01</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38AE5D92"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8.52±0.10</w:t>
            </w:r>
            <w:r>
              <w:rPr>
                <w:rFonts w:ascii="Times New Roman" w:hAnsi="Times New Roman" w:cs="Times New Roman"/>
                <w:color w:val="000000"/>
                <w:sz w:val="24"/>
                <w:szCs w:val="24"/>
                <w:vertAlign w:val="superscript"/>
              </w:rPr>
              <w:t>a</w:t>
            </w:r>
          </w:p>
        </w:tc>
      </w:tr>
      <w:tr w:rsidR="00C244EE" w14:paraId="4C0E56EE"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3D45BCEB" w14:textId="77777777" w:rsidR="00C244EE" w:rsidRDefault="0000000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Nitrogen free extract (NFE)</w:t>
            </w:r>
          </w:p>
        </w:tc>
        <w:tc>
          <w:tcPr>
            <w:tcW w:w="1732" w:type="dxa"/>
            <w:tcBorders>
              <w:top w:val="single" w:sz="4" w:space="0" w:color="000000"/>
              <w:left w:val="single" w:sz="4" w:space="0" w:color="000000"/>
              <w:bottom w:val="single" w:sz="4" w:space="0" w:color="000000"/>
              <w:right w:val="single" w:sz="4" w:space="0" w:color="000000"/>
            </w:tcBorders>
          </w:tcPr>
          <w:p w14:paraId="376D6095" w14:textId="77777777" w:rsidR="00C244EE" w:rsidRDefault="00000000">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35.06±1.33</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7A1F0C77" w14:textId="77777777" w:rsidR="00C244EE" w:rsidRDefault="00000000">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33.02±0.08</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142E375B" w14:textId="77777777" w:rsidR="00C244EE" w:rsidRDefault="00000000">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29.58±0.26</w:t>
            </w:r>
            <w:r>
              <w:rPr>
                <w:rFonts w:ascii="Times New Roman" w:hAnsi="Times New Roman" w:cs="Times New Roman"/>
                <w:color w:val="000000"/>
                <w:sz w:val="24"/>
                <w:szCs w:val="24"/>
                <w:vertAlign w:val="superscript"/>
              </w:rPr>
              <w:t>a</w:t>
            </w:r>
          </w:p>
        </w:tc>
      </w:tr>
    </w:tbl>
    <w:p w14:paraId="5D29BD21" w14:textId="77777777" w:rsidR="00C244EE" w:rsidRDefault="00C244EE">
      <w:pPr>
        <w:spacing w:after="0" w:line="120" w:lineRule="auto"/>
        <w:jc w:val="both"/>
        <w:rPr>
          <w:rFonts w:ascii="Times New Roman" w:hAnsi="Times New Roman" w:cs="Times New Roman"/>
          <w:i/>
          <w:iCs/>
          <w:sz w:val="24"/>
          <w:szCs w:val="24"/>
        </w:rPr>
      </w:pPr>
    </w:p>
    <w:p w14:paraId="25497E92" w14:textId="77777777" w:rsidR="00C244EE" w:rsidRDefault="00000000">
      <w:pPr>
        <w:spacing w:after="0" w:line="480" w:lineRule="auto"/>
        <w:ind w:firstLine="720"/>
        <w:jc w:val="both"/>
        <w:rPr>
          <w:rFonts w:ascii="Times New Roman" w:hAnsi="Times New Roman" w:cs="Times New Roman"/>
          <w:iCs/>
          <w:sz w:val="24"/>
          <w:szCs w:val="24"/>
        </w:rPr>
      </w:pPr>
      <w:r>
        <w:rPr>
          <w:rFonts w:ascii="Times New Roman" w:hAnsi="Times New Roman" w:cs="Times New Roman"/>
          <w:i/>
          <w:iCs/>
          <w:sz w:val="24"/>
          <w:szCs w:val="24"/>
        </w:rPr>
        <w:t>Within rows, means with different alphabets are significantly different (P&lt;.05).</w:t>
      </w:r>
    </w:p>
    <w:p w14:paraId="0F8969E1" w14:textId="77777777" w:rsidR="00C244EE" w:rsidRDefault="00C244EE">
      <w:pPr>
        <w:spacing w:after="0" w:line="240" w:lineRule="auto"/>
        <w:jc w:val="both"/>
        <w:rPr>
          <w:rFonts w:ascii="Times New Roman" w:hAnsi="Times New Roman" w:cs="Times New Roman"/>
          <w:sz w:val="24"/>
          <w:szCs w:val="24"/>
        </w:rPr>
      </w:pPr>
    </w:p>
    <w:p w14:paraId="25AF911D" w14:textId="77777777" w:rsidR="00C244EE" w:rsidRDefault="0000000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Table 3: Biochemical profile of the serum of </w:t>
      </w:r>
      <w:r>
        <w:rPr>
          <w:rFonts w:ascii="Times New Roman" w:hAnsi="Times New Roman" w:cs="Times New Roman"/>
          <w:i/>
          <w:sz w:val="24"/>
          <w:szCs w:val="24"/>
        </w:rPr>
        <w:t>C. gariepinus</w:t>
      </w:r>
      <w:r>
        <w:rPr>
          <w:rFonts w:ascii="Times New Roman" w:hAnsi="Times New Roman" w:cs="Times New Roman"/>
          <w:sz w:val="24"/>
          <w:szCs w:val="24"/>
        </w:rPr>
        <w:t xml:space="preserve"> fed varying inclusion levels of nanoselenium formulated diets</w:t>
      </w:r>
      <w:r>
        <w:rPr>
          <w:rFonts w:ascii="Times New Roman" w:hAnsi="Times New Roman" w:cs="Times New Roman"/>
          <w:b/>
          <w:sz w:val="24"/>
          <w:szCs w:val="24"/>
        </w:rPr>
        <w:t>.</w:t>
      </w:r>
    </w:p>
    <w:p w14:paraId="5B5EDE19" w14:textId="77777777" w:rsidR="00C244EE" w:rsidRDefault="00C244EE">
      <w:pPr>
        <w:spacing w:after="0"/>
        <w:jc w:val="both"/>
        <w:rPr>
          <w:rFonts w:ascii="Times New Roman" w:hAnsi="Times New Roman" w:cs="Times New Roman"/>
          <w:b/>
          <w:sz w:val="24"/>
          <w:szCs w:val="24"/>
        </w:rPr>
      </w:pPr>
    </w:p>
    <w:p w14:paraId="617B59BE" w14:textId="77777777" w:rsidR="00C244EE" w:rsidRDefault="00C244EE">
      <w:pPr>
        <w:jc w:val="both"/>
        <w:rPr>
          <w:rFonts w:ascii="Times New Roman" w:hAnsi="Times New Roman" w:cs="Times New Roman"/>
          <w:color w:val="231F20"/>
          <w:sz w:val="24"/>
          <w:szCs w:val="24"/>
        </w:rPr>
      </w:pPr>
    </w:p>
    <w:tbl>
      <w:tblPr>
        <w:tblStyle w:val="TableGrid"/>
        <w:tblpPr w:leftFromText="180" w:rightFromText="180" w:vertAnchor="text" w:horzAnchor="margin" w:tblpY="-716"/>
        <w:tblW w:w="8185" w:type="dxa"/>
        <w:tblLayout w:type="fixed"/>
        <w:tblLook w:val="0420" w:firstRow="1" w:lastRow="0" w:firstColumn="0" w:lastColumn="0" w:noHBand="0" w:noVBand="1"/>
      </w:tblPr>
      <w:tblGrid>
        <w:gridCol w:w="2551"/>
        <w:gridCol w:w="1822"/>
        <w:gridCol w:w="1959"/>
        <w:gridCol w:w="1853"/>
      </w:tblGrid>
      <w:tr w:rsidR="00C244EE" w14:paraId="0E141600"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542EC71B" w14:textId="77777777" w:rsidR="00C244EE" w:rsidRDefault="0000000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Parameters</w:t>
            </w:r>
          </w:p>
        </w:tc>
        <w:tc>
          <w:tcPr>
            <w:tcW w:w="1822" w:type="dxa"/>
            <w:tcBorders>
              <w:top w:val="single" w:sz="4" w:space="0" w:color="000000"/>
              <w:left w:val="single" w:sz="4" w:space="0" w:color="000000"/>
              <w:bottom w:val="single" w:sz="4" w:space="0" w:color="000000"/>
              <w:right w:val="single" w:sz="4" w:space="0" w:color="000000"/>
            </w:tcBorders>
          </w:tcPr>
          <w:p w14:paraId="21994508" w14:textId="77777777" w:rsidR="00C244EE" w:rsidRDefault="0000000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 (Control)</w:t>
            </w:r>
          </w:p>
        </w:tc>
        <w:tc>
          <w:tcPr>
            <w:tcW w:w="1959" w:type="dxa"/>
            <w:tcBorders>
              <w:top w:val="single" w:sz="4" w:space="0" w:color="000000"/>
              <w:left w:val="single" w:sz="4" w:space="0" w:color="000000"/>
              <w:bottom w:val="single" w:sz="4" w:space="0" w:color="000000"/>
              <w:right w:val="single" w:sz="4" w:space="0" w:color="000000"/>
            </w:tcBorders>
          </w:tcPr>
          <w:p w14:paraId="0FF9FECE" w14:textId="77777777" w:rsidR="00C244EE" w:rsidRDefault="0000000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2mg/kg</w:t>
            </w:r>
          </w:p>
        </w:tc>
        <w:tc>
          <w:tcPr>
            <w:tcW w:w="1853" w:type="dxa"/>
            <w:tcBorders>
              <w:top w:val="single" w:sz="4" w:space="0" w:color="000000"/>
              <w:left w:val="single" w:sz="4" w:space="0" w:color="000000"/>
              <w:bottom w:val="single" w:sz="4" w:space="0" w:color="000000"/>
              <w:right w:val="single" w:sz="4" w:space="0" w:color="000000"/>
            </w:tcBorders>
          </w:tcPr>
          <w:p w14:paraId="04B0CF79" w14:textId="77777777" w:rsidR="00C244EE" w:rsidRDefault="0000000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4mg/kg</w:t>
            </w:r>
          </w:p>
        </w:tc>
      </w:tr>
      <w:tr w:rsidR="00C244EE" w14:paraId="36D895D5"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39CA497"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ALP (µ/I)</w:t>
            </w:r>
          </w:p>
        </w:tc>
        <w:tc>
          <w:tcPr>
            <w:tcW w:w="1822" w:type="dxa"/>
            <w:tcBorders>
              <w:top w:val="single" w:sz="4" w:space="0" w:color="000000"/>
              <w:left w:val="single" w:sz="4" w:space="0" w:color="000000"/>
              <w:bottom w:val="single" w:sz="4" w:space="0" w:color="000000"/>
              <w:right w:val="single" w:sz="4" w:space="0" w:color="000000"/>
            </w:tcBorders>
          </w:tcPr>
          <w:p w14:paraId="1B62FD3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279.22±14.96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3F99D278"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262.66±11.06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0B2C201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332.12±49.44</w:t>
            </w:r>
            <w:r>
              <w:rPr>
                <w:rFonts w:ascii="Times New Roman" w:hAnsi="Times New Roman" w:cs="Times New Roman"/>
                <w:color w:val="000000"/>
                <w:sz w:val="24"/>
                <w:szCs w:val="24"/>
                <w:vertAlign w:val="superscript"/>
              </w:rPr>
              <w:t>b</w:t>
            </w:r>
          </w:p>
        </w:tc>
      </w:tr>
      <w:tr w:rsidR="00C244EE" w14:paraId="39120B7A" w14:textId="77777777">
        <w:trPr>
          <w:trHeight w:val="77"/>
        </w:trPr>
        <w:tc>
          <w:tcPr>
            <w:tcW w:w="2551" w:type="dxa"/>
            <w:tcBorders>
              <w:top w:val="single" w:sz="4" w:space="0" w:color="000000"/>
              <w:left w:val="single" w:sz="4" w:space="0" w:color="000000"/>
              <w:bottom w:val="single" w:sz="4" w:space="0" w:color="000000"/>
              <w:right w:val="single" w:sz="4" w:space="0" w:color="000000"/>
            </w:tcBorders>
          </w:tcPr>
          <w:p w14:paraId="2DF8E70B"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ALT (µ /l)</w:t>
            </w:r>
          </w:p>
        </w:tc>
        <w:tc>
          <w:tcPr>
            <w:tcW w:w="1822" w:type="dxa"/>
            <w:tcBorders>
              <w:top w:val="single" w:sz="4" w:space="0" w:color="000000"/>
              <w:left w:val="single" w:sz="4" w:space="0" w:color="000000"/>
              <w:bottom w:val="single" w:sz="4" w:space="0" w:color="000000"/>
              <w:right w:val="single" w:sz="4" w:space="0" w:color="000000"/>
            </w:tcBorders>
          </w:tcPr>
          <w:p w14:paraId="40C46298"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59.87±11.42</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90733A4" w14:textId="77777777" w:rsidR="00C244EE" w:rsidRDefault="00000000">
            <w:pPr>
              <w:autoSpaceDE w:val="0"/>
              <w:autoSpaceDN w:val="0"/>
              <w:adjustRightInd w:val="0"/>
              <w:ind w:left="-286" w:firstLine="1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59.77±0.41</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454ECED" w14:textId="77777777" w:rsidR="00C244EE" w:rsidRDefault="00000000">
            <w:pPr>
              <w:autoSpaceDE w:val="0"/>
              <w:autoSpaceDN w:val="0"/>
              <w:adjustRightInd w:val="0"/>
              <w:ind w:left="-7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65.35±5.85</w:t>
            </w:r>
            <w:r>
              <w:rPr>
                <w:rFonts w:ascii="Times New Roman" w:hAnsi="Times New Roman" w:cs="Times New Roman"/>
                <w:color w:val="000000"/>
                <w:sz w:val="24"/>
                <w:szCs w:val="24"/>
                <w:vertAlign w:val="superscript"/>
              </w:rPr>
              <w:t>a</w:t>
            </w:r>
          </w:p>
        </w:tc>
      </w:tr>
      <w:tr w:rsidR="00C244EE" w14:paraId="7A31C73F"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44F16D3"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AST (µ /l)</w:t>
            </w:r>
          </w:p>
        </w:tc>
        <w:tc>
          <w:tcPr>
            <w:tcW w:w="1822" w:type="dxa"/>
            <w:tcBorders>
              <w:top w:val="single" w:sz="4" w:space="0" w:color="000000"/>
              <w:left w:val="single" w:sz="4" w:space="0" w:color="000000"/>
              <w:bottom w:val="single" w:sz="4" w:space="0" w:color="000000"/>
              <w:right w:val="single" w:sz="4" w:space="0" w:color="000000"/>
            </w:tcBorders>
          </w:tcPr>
          <w:p w14:paraId="692B4569"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213.95±0.37</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3C12C62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198.16±5.58</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748AD6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220.53±17.12</w:t>
            </w:r>
            <w:r>
              <w:rPr>
                <w:rFonts w:ascii="Times New Roman" w:hAnsi="Times New Roman" w:cs="Times New Roman"/>
                <w:color w:val="000000"/>
                <w:sz w:val="24"/>
                <w:szCs w:val="24"/>
                <w:vertAlign w:val="superscript"/>
              </w:rPr>
              <w:t>a</w:t>
            </w:r>
          </w:p>
        </w:tc>
      </w:tr>
      <w:tr w:rsidR="00C244EE" w14:paraId="5C7E63D4"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62B5B2DF"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Creatinine mg/l</w:t>
            </w:r>
          </w:p>
        </w:tc>
        <w:tc>
          <w:tcPr>
            <w:tcW w:w="1822" w:type="dxa"/>
            <w:tcBorders>
              <w:top w:val="single" w:sz="4" w:space="0" w:color="000000"/>
              <w:left w:val="single" w:sz="4" w:space="0" w:color="000000"/>
              <w:bottom w:val="single" w:sz="4" w:space="0" w:color="000000"/>
              <w:right w:val="single" w:sz="4" w:space="0" w:color="000000"/>
            </w:tcBorders>
          </w:tcPr>
          <w:p w14:paraId="6F9BFFEF"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0.06±0.06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EB6556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0.13±0.02</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3F6574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0.01±0.04</w:t>
            </w:r>
            <w:r>
              <w:rPr>
                <w:rFonts w:ascii="Times New Roman" w:hAnsi="Times New Roman" w:cs="Times New Roman"/>
                <w:color w:val="000000"/>
                <w:sz w:val="24"/>
                <w:szCs w:val="24"/>
                <w:vertAlign w:val="superscript"/>
              </w:rPr>
              <w:t>a</w:t>
            </w:r>
          </w:p>
        </w:tc>
      </w:tr>
      <w:tr w:rsidR="00C244EE" w14:paraId="495415BD"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77C8A895"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822" w:type="dxa"/>
            <w:tcBorders>
              <w:top w:val="single" w:sz="4" w:space="0" w:color="000000"/>
              <w:left w:val="single" w:sz="4" w:space="0" w:color="000000"/>
              <w:bottom w:val="single" w:sz="4" w:space="0" w:color="000000"/>
              <w:right w:val="single" w:sz="4" w:space="0" w:color="000000"/>
            </w:tcBorders>
          </w:tcPr>
          <w:p w14:paraId="67F863E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24.33±0.74</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3F1D4D7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22.53±0.38</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232939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27.86±2.65</w:t>
            </w:r>
            <w:r>
              <w:rPr>
                <w:rFonts w:ascii="Times New Roman" w:hAnsi="Times New Roman" w:cs="Times New Roman"/>
                <w:color w:val="000000"/>
                <w:sz w:val="24"/>
                <w:szCs w:val="24"/>
                <w:vertAlign w:val="superscript"/>
              </w:rPr>
              <w:t>a</w:t>
            </w:r>
          </w:p>
        </w:tc>
      </w:tr>
      <w:tr w:rsidR="00C244EE" w14:paraId="60583776"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9D2DB5D"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Albumin (g/dl)</w:t>
            </w:r>
          </w:p>
        </w:tc>
        <w:tc>
          <w:tcPr>
            <w:tcW w:w="1822" w:type="dxa"/>
            <w:tcBorders>
              <w:top w:val="single" w:sz="4" w:space="0" w:color="000000"/>
              <w:left w:val="single" w:sz="4" w:space="0" w:color="000000"/>
              <w:bottom w:val="single" w:sz="4" w:space="0" w:color="000000"/>
              <w:right w:val="single" w:sz="4" w:space="0" w:color="000000"/>
            </w:tcBorders>
          </w:tcPr>
          <w:p w14:paraId="6936413F"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2.88±0.11</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6171EC2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3.29±0.86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A7D349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4.37±2.54</w:t>
            </w:r>
            <w:r>
              <w:rPr>
                <w:rFonts w:ascii="Times New Roman" w:hAnsi="Times New Roman" w:cs="Times New Roman"/>
                <w:color w:val="000000"/>
                <w:sz w:val="24"/>
                <w:szCs w:val="24"/>
                <w:vertAlign w:val="superscript"/>
              </w:rPr>
              <w:t>a</w:t>
            </w:r>
          </w:p>
        </w:tc>
      </w:tr>
      <w:tr w:rsidR="00C244EE" w14:paraId="72677020"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3548E33"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Urea (mm/l)</w:t>
            </w:r>
          </w:p>
        </w:tc>
        <w:tc>
          <w:tcPr>
            <w:tcW w:w="1822" w:type="dxa"/>
            <w:tcBorders>
              <w:top w:val="single" w:sz="4" w:space="0" w:color="000000"/>
              <w:left w:val="single" w:sz="4" w:space="0" w:color="000000"/>
              <w:bottom w:val="single" w:sz="4" w:space="0" w:color="000000"/>
              <w:right w:val="single" w:sz="4" w:space="0" w:color="000000"/>
            </w:tcBorders>
          </w:tcPr>
          <w:p w14:paraId="4DDFF65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1.47±0.16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23F97FAF"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1.33±1.02</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5A4128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1.09±0.70</w:t>
            </w:r>
            <w:r>
              <w:rPr>
                <w:rFonts w:ascii="Times New Roman" w:hAnsi="Times New Roman" w:cs="Times New Roman"/>
                <w:color w:val="000000"/>
                <w:sz w:val="24"/>
                <w:szCs w:val="24"/>
                <w:vertAlign w:val="superscript"/>
              </w:rPr>
              <w:t>a</w:t>
            </w:r>
          </w:p>
        </w:tc>
      </w:tr>
      <w:tr w:rsidR="00C244EE" w14:paraId="4CE98F04"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545667A"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Uric acid (mm/l)</w:t>
            </w:r>
          </w:p>
        </w:tc>
        <w:tc>
          <w:tcPr>
            <w:tcW w:w="1822" w:type="dxa"/>
            <w:tcBorders>
              <w:top w:val="single" w:sz="4" w:space="0" w:color="000000"/>
              <w:left w:val="single" w:sz="4" w:space="0" w:color="000000"/>
              <w:bottom w:val="single" w:sz="4" w:space="0" w:color="000000"/>
              <w:right w:val="single" w:sz="4" w:space="0" w:color="000000"/>
            </w:tcBorders>
          </w:tcPr>
          <w:p w14:paraId="52790AB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0.15±0.08</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089C273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0.27±0.05</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999D0BB"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0.09±0.00</w:t>
            </w:r>
            <w:r>
              <w:rPr>
                <w:rFonts w:ascii="Times New Roman" w:hAnsi="Times New Roman" w:cs="Times New Roman"/>
                <w:color w:val="000000"/>
                <w:sz w:val="24"/>
                <w:szCs w:val="24"/>
                <w:vertAlign w:val="superscript"/>
              </w:rPr>
              <w:t>a</w:t>
            </w:r>
          </w:p>
        </w:tc>
      </w:tr>
      <w:tr w:rsidR="00C244EE" w14:paraId="2CB7B33E"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7207AAC"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 CHOL (mg/dl)</w:t>
            </w:r>
          </w:p>
        </w:tc>
        <w:tc>
          <w:tcPr>
            <w:tcW w:w="1822" w:type="dxa"/>
            <w:tcBorders>
              <w:top w:val="single" w:sz="4" w:space="0" w:color="000000"/>
              <w:left w:val="single" w:sz="4" w:space="0" w:color="000000"/>
              <w:bottom w:val="single" w:sz="4" w:space="0" w:color="000000"/>
              <w:right w:val="single" w:sz="4" w:space="0" w:color="000000"/>
            </w:tcBorders>
          </w:tcPr>
          <w:p w14:paraId="740EF9BD"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235.01±14.53</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7D8FBF0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220.11±6.83</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0EA00A4C"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223.61±11.18</w:t>
            </w:r>
            <w:r>
              <w:rPr>
                <w:rFonts w:ascii="Times New Roman" w:hAnsi="Times New Roman" w:cs="Times New Roman"/>
                <w:color w:val="000000"/>
                <w:sz w:val="24"/>
                <w:szCs w:val="24"/>
                <w:vertAlign w:val="superscript"/>
              </w:rPr>
              <w:t>a</w:t>
            </w:r>
          </w:p>
        </w:tc>
      </w:tr>
      <w:tr w:rsidR="00C244EE" w14:paraId="032A2AAD"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E641CC1"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Triglycerides (mg/dl)</w:t>
            </w:r>
          </w:p>
        </w:tc>
        <w:tc>
          <w:tcPr>
            <w:tcW w:w="1822" w:type="dxa"/>
            <w:tcBorders>
              <w:top w:val="single" w:sz="4" w:space="0" w:color="000000"/>
              <w:left w:val="single" w:sz="4" w:space="0" w:color="000000"/>
              <w:bottom w:val="single" w:sz="4" w:space="0" w:color="000000"/>
              <w:right w:val="single" w:sz="4" w:space="0" w:color="000000"/>
            </w:tcBorders>
          </w:tcPr>
          <w:p w14:paraId="01AFD9AE"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358.08±4.52</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523E993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348.12±1.06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688A4E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380.83±35.09</w:t>
            </w:r>
            <w:r>
              <w:rPr>
                <w:rFonts w:ascii="Times New Roman" w:hAnsi="Times New Roman" w:cs="Times New Roman"/>
                <w:color w:val="000000"/>
                <w:sz w:val="24"/>
                <w:szCs w:val="24"/>
                <w:vertAlign w:val="superscript"/>
              </w:rPr>
              <w:t>b</w:t>
            </w:r>
          </w:p>
        </w:tc>
      </w:tr>
      <w:tr w:rsidR="00C244EE" w14:paraId="4963BFD7"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3B3E7A6" w14:textId="77777777" w:rsidR="00C244EE" w:rsidRDefault="0000000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HDL-C</w:t>
            </w:r>
          </w:p>
        </w:tc>
        <w:tc>
          <w:tcPr>
            <w:tcW w:w="1822" w:type="dxa"/>
            <w:tcBorders>
              <w:top w:val="single" w:sz="4" w:space="0" w:color="000000"/>
              <w:left w:val="single" w:sz="4" w:space="0" w:color="000000"/>
              <w:bottom w:val="single" w:sz="4" w:space="0" w:color="000000"/>
              <w:right w:val="single" w:sz="4" w:space="0" w:color="000000"/>
            </w:tcBorders>
          </w:tcPr>
          <w:p w14:paraId="27CA72A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132.34±4.23</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1C9CFC4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121.16±1.41</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D86D9F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129.15±11.01</w:t>
            </w:r>
            <w:r>
              <w:rPr>
                <w:rFonts w:ascii="Times New Roman" w:hAnsi="Times New Roman" w:cs="Times New Roman"/>
                <w:color w:val="000000"/>
                <w:sz w:val="24"/>
                <w:szCs w:val="24"/>
                <w:vertAlign w:val="superscript"/>
              </w:rPr>
              <w:t>a</w:t>
            </w:r>
          </w:p>
        </w:tc>
      </w:tr>
      <w:tr w:rsidR="00C244EE" w14:paraId="069E2AD1"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2C36FA1" w14:textId="77777777" w:rsidR="00C244EE" w:rsidRDefault="00000000">
            <w:pPr>
              <w:autoSpaceDE w:val="0"/>
              <w:autoSpaceDN w:val="0"/>
              <w:adjustRightInd w:val="0"/>
              <w:rPr>
                <w:rFonts w:ascii="Times New Roman" w:hAnsi="Times New Roman" w:cs="Times New Roman"/>
                <w:bCs/>
                <w:color w:val="000000"/>
                <w:sz w:val="24"/>
                <w:szCs w:val="24"/>
                <w:u w:color="000000"/>
              </w:rPr>
            </w:pPr>
            <w:r>
              <w:rPr>
                <w:rFonts w:ascii="Times New Roman" w:hAnsi="Times New Roman" w:cs="Times New Roman"/>
                <w:bCs/>
                <w:color w:val="000000"/>
                <w:sz w:val="24"/>
                <w:szCs w:val="24"/>
                <w:u w:color="000000"/>
              </w:rPr>
              <w:t>LDL-C</w:t>
            </w:r>
          </w:p>
        </w:tc>
        <w:tc>
          <w:tcPr>
            <w:tcW w:w="1822" w:type="dxa"/>
            <w:tcBorders>
              <w:top w:val="single" w:sz="4" w:space="0" w:color="000000"/>
              <w:left w:val="single" w:sz="4" w:space="0" w:color="000000"/>
              <w:bottom w:val="single" w:sz="4" w:space="0" w:color="000000"/>
              <w:right w:val="single" w:sz="4" w:space="0" w:color="000000"/>
            </w:tcBorders>
          </w:tcPr>
          <w:p w14:paraId="6E9E22C4" w14:textId="77777777" w:rsidR="00C244EE" w:rsidRDefault="00000000">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31.05±11.20</w:t>
            </w:r>
            <w:r>
              <w:rPr>
                <w:rFonts w:ascii="Times New Roman" w:hAnsi="Times New Roman" w:cs="Times New Roman"/>
                <w:color w:val="000000"/>
                <w:sz w:val="24"/>
                <w:szCs w:val="24"/>
                <w:u w:color="000000"/>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3A8AAA5" w14:textId="77777777" w:rsidR="00C244EE" w:rsidRDefault="00000000">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29.33±5.20</w:t>
            </w:r>
            <w:r>
              <w:rPr>
                <w:rFonts w:ascii="Times New Roman" w:hAnsi="Times New Roman" w:cs="Times New Roman"/>
                <w:color w:val="000000"/>
                <w:sz w:val="24"/>
                <w:szCs w:val="24"/>
                <w:u w:color="000000"/>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8A75615" w14:textId="77777777" w:rsidR="00C244EE" w:rsidRDefault="00000000">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18.29±6.84</w:t>
            </w:r>
            <w:r>
              <w:rPr>
                <w:rFonts w:ascii="Times New Roman" w:hAnsi="Times New Roman" w:cs="Times New Roman"/>
                <w:color w:val="000000"/>
                <w:sz w:val="24"/>
                <w:szCs w:val="24"/>
                <w:u w:color="000000"/>
                <w:vertAlign w:val="superscript"/>
              </w:rPr>
              <w:t>a</w:t>
            </w:r>
          </w:p>
        </w:tc>
      </w:tr>
    </w:tbl>
    <w:p w14:paraId="7CDD3677" w14:textId="77777777" w:rsidR="00C244EE" w:rsidRDefault="00000000">
      <w:pPr>
        <w:rPr>
          <w:u w:color="000000"/>
        </w:rPr>
      </w:pPr>
      <w:r>
        <w:rPr>
          <w:rFonts w:ascii="Times New Roman" w:hAnsi="Times New Roman" w:cs="Times New Roman"/>
          <w:noProof/>
          <w:color w:val="231F20"/>
          <w:sz w:val="24"/>
          <w:szCs w:val="24"/>
          <w:u w:color="000000"/>
        </w:rPr>
        <mc:AlternateContent>
          <mc:Choice Requires="wps">
            <w:drawing>
              <wp:anchor distT="0" distB="0" distL="0" distR="0" simplePos="0" relativeHeight="4" behindDoc="0" locked="0" layoutInCell="1" allowOverlap="1" wp14:anchorId="77577B70" wp14:editId="72278094">
                <wp:simplePos x="0" y="0"/>
                <wp:positionH relativeFrom="page">
                  <wp:posOffset>-5268595</wp:posOffset>
                </wp:positionH>
                <wp:positionV relativeFrom="page">
                  <wp:posOffset>46990</wp:posOffset>
                </wp:positionV>
                <wp:extent cx="5128260" cy="1269"/>
                <wp:effectExtent l="8255" t="8890" r="6985" b="8890"/>
                <wp:wrapNone/>
                <wp:docPr id="1027"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8260" cy="1269"/>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414.85pt;margin-top:3.7pt;width:403.8pt;height:0.1pt;z-index:4;mso-position-horizontal-relative:page;mso-position-vertical-relative:page;mso-width-percent:0;mso-height-percent:0;mso-width-relative:page;mso-height-relative:page;mso-wrap-distance-left:0.0pt;mso-wrap-distance-right:0.0pt;visibility:visible;">
                <v:fill/>
              </v:shape>
            </w:pict>
          </mc:Fallback>
        </mc:AlternateContent>
      </w:r>
    </w:p>
    <w:p w14:paraId="4D7F6951" w14:textId="77777777" w:rsidR="00C244EE" w:rsidRDefault="00C244EE">
      <w:pPr>
        <w:jc w:val="both"/>
        <w:rPr>
          <w:rFonts w:ascii="Times New Roman" w:hAnsi="Times New Roman" w:cs="Times New Roman"/>
          <w:iCs/>
          <w:sz w:val="24"/>
          <w:szCs w:val="24"/>
          <w:u w:color="000000"/>
        </w:rPr>
      </w:pPr>
    </w:p>
    <w:p w14:paraId="2BF82C75" w14:textId="77777777" w:rsidR="00C244EE" w:rsidRDefault="00C244EE">
      <w:pPr>
        <w:rPr>
          <w:rFonts w:ascii="Times New Roman" w:hAnsi="Times New Roman" w:cs="Times New Roman"/>
          <w:color w:val="231F20"/>
          <w:sz w:val="24"/>
          <w:szCs w:val="24"/>
          <w:u w:color="000000"/>
        </w:rPr>
      </w:pPr>
    </w:p>
    <w:p w14:paraId="6ACE4AC9" w14:textId="77777777" w:rsidR="00C244EE" w:rsidRDefault="00C244EE">
      <w:pPr>
        <w:autoSpaceDE w:val="0"/>
        <w:autoSpaceDN w:val="0"/>
        <w:adjustRightInd w:val="0"/>
        <w:spacing w:after="0"/>
        <w:jc w:val="both"/>
        <w:rPr>
          <w:rFonts w:ascii="Times New Roman" w:hAnsi="Times New Roman" w:cs="Times New Roman"/>
          <w:color w:val="231F20"/>
          <w:sz w:val="24"/>
          <w:szCs w:val="24"/>
          <w:u w:color="000000"/>
        </w:rPr>
      </w:pPr>
    </w:p>
    <w:p w14:paraId="0717E966" w14:textId="77777777" w:rsidR="00C244EE" w:rsidRDefault="00C244EE">
      <w:pPr>
        <w:autoSpaceDE w:val="0"/>
        <w:autoSpaceDN w:val="0"/>
        <w:adjustRightInd w:val="0"/>
        <w:spacing w:after="0"/>
        <w:jc w:val="both"/>
        <w:rPr>
          <w:rFonts w:ascii="Times New Roman" w:hAnsi="Times New Roman" w:cs="Times New Roman"/>
          <w:color w:val="231F20"/>
          <w:sz w:val="24"/>
          <w:szCs w:val="24"/>
          <w:u w:color="000000"/>
        </w:rPr>
      </w:pPr>
    </w:p>
    <w:p w14:paraId="3B61A294" w14:textId="77777777" w:rsidR="00C244EE" w:rsidRDefault="00C244EE">
      <w:pPr>
        <w:jc w:val="both"/>
        <w:rPr>
          <w:rFonts w:ascii="Times New Roman" w:hAnsi="Times New Roman" w:cs="Times New Roman"/>
          <w:sz w:val="24"/>
          <w:szCs w:val="24"/>
          <w:u w:color="000000"/>
        </w:rPr>
      </w:pPr>
    </w:p>
    <w:p w14:paraId="2BA6EE45" w14:textId="77777777" w:rsidR="00C244EE" w:rsidRDefault="00C244EE">
      <w:pPr>
        <w:autoSpaceDE w:val="0"/>
        <w:autoSpaceDN w:val="0"/>
        <w:adjustRightInd w:val="0"/>
        <w:spacing w:after="0"/>
        <w:jc w:val="both"/>
        <w:rPr>
          <w:rFonts w:ascii="Times New Roman" w:hAnsi="Times New Roman" w:cs="Times New Roman"/>
          <w:sz w:val="24"/>
          <w:szCs w:val="24"/>
          <w:u w:color="000000"/>
        </w:rPr>
      </w:pPr>
    </w:p>
    <w:p w14:paraId="3E0F9320" w14:textId="77777777" w:rsidR="00C244EE" w:rsidRDefault="00C244EE">
      <w:pPr>
        <w:spacing w:after="0" w:line="240" w:lineRule="auto"/>
        <w:rPr>
          <w:rFonts w:ascii="Times New Roman" w:hAnsi="Times New Roman" w:cs="Times New Roman"/>
          <w:iCs/>
          <w:sz w:val="24"/>
          <w:szCs w:val="24"/>
        </w:rPr>
      </w:pPr>
    </w:p>
    <w:p w14:paraId="768C0618" w14:textId="77777777" w:rsidR="00C244EE" w:rsidRDefault="00000000">
      <w:pPr>
        <w:spacing w:after="0" w:line="240" w:lineRule="auto"/>
        <w:rPr>
          <w:rFonts w:ascii="Times New Roman" w:eastAsia="SimSun" w:hAnsi="Times New Roman" w:cs="Times New Roman"/>
          <w:sz w:val="24"/>
          <w:szCs w:val="24"/>
        </w:rPr>
      </w:pPr>
      <w:r>
        <w:rPr>
          <w:rFonts w:ascii="Times New Roman" w:hAnsi="Times New Roman" w:cs="Times New Roman"/>
          <w:iCs/>
          <w:sz w:val="24"/>
          <w:szCs w:val="24"/>
        </w:rPr>
        <w:t xml:space="preserve">Means within rows with different superscript are significantly different </w:t>
      </w:r>
      <w:r>
        <w:rPr>
          <w:rFonts w:ascii="Times New Roman" w:hAnsi="Times New Roman" w:cs="Times New Roman"/>
          <w:sz w:val="24"/>
          <w:szCs w:val="24"/>
        </w:rPr>
        <w:t>(</w:t>
      </w:r>
      <w:r>
        <w:rPr>
          <w:rFonts w:ascii="Times New Roman" w:hAnsi="Times New Roman" w:cs="Times New Roman"/>
          <w:i/>
          <w:iCs/>
          <w:sz w:val="24"/>
          <w:szCs w:val="24"/>
        </w:rPr>
        <w:t xml:space="preserve">p </w:t>
      </w:r>
      <w:r>
        <w:rPr>
          <w:rFonts w:ascii="Times New Roman" w:hAnsi="Times New Roman" w:cs="Times New Roman"/>
          <w:sz w:val="24"/>
          <w:szCs w:val="24"/>
        </w:rPr>
        <w:t>&lt; 0.05).</w:t>
      </w:r>
    </w:p>
    <w:p w14:paraId="74D2ADE4" w14:textId="77777777" w:rsidR="00C244EE" w:rsidRDefault="000000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ALP- Alkaline phosphate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AST- Aspartate aminotransferase </w:t>
      </w:r>
    </w:p>
    <w:p w14:paraId="516608AD"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ALT- Alanine </w:t>
      </w:r>
      <w:r>
        <w:rPr>
          <w:rFonts w:ascii="Times New Roman" w:hAnsi="Times New Roman" w:cs="Times New Roman"/>
          <w:sz w:val="24"/>
          <w:szCs w:val="24"/>
        </w:rPr>
        <w:t>aminotransferase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HDL-C - High density lipoprotein cholesterol</w:t>
      </w:r>
    </w:p>
    <w:p w14:paraId="5267B0A2"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LDL-C - Low density lipoprotein cholesterol</w:t>
      </w:r>
      <w:r>
        <w:rPr>
          <w:rFonts w:ascii="Times New Roman" w:hAnsi="Times New Roman" w:cs="Times New Roman"/>
          <w:sz w:val="24"/>
          <w:szCs w:val="24"/>
        </w:rPr>
        <w:tab/>
        <w:t>T.CHOL- Total Cholesterol</w:t>
      </w:r>
    </w:p>
    <w:p w14:paraId="6EF0243F" w14:textId="77777777" w:rsidR="00C244EE" w:rsidRDefault="00C244EE">
      <w:pPr>
        <w:spacing w:after="0" w:line="240" w:lineRule="auto"/>
        <w:jc w:val="both"/>
        <w:rPr>
          <w:rFonts w:ascii="Times New Roman" w:hAnsi="Times New Roman" w:cs="Times New Roman"/>
          <w:b/>
          <w:bCs/>
          <w:sz w:val="24"/>
          <w:szCs w:val="24"/>
        </w:rPr>
      </w:pPr>
    </w:p>
    <w:p w14:paraId="0DAB6639" w14:textId="77777777" w:rsidR="00B63684" w:rsidRDefault="00B63684">
      <w:pPr>
        <w:spacing w:after="0" w:line="240" w:lineRule="auto"/>
        <w:jc w:val="both"/>
        <w:rPr>
          <w:rFonts w:ascii="Times New Roman" w:hAnsi="Times New Roman" w:cs="Times New Roman"/>
          <w:sz w:val="24"/>
          <w:szCs w:val="24"/>
        </w:rPr>
      </w:pPr>
    </w:p>
    <w:p w14:paraId="037D4A63" w14:textId="77777777" w:rsidR="00B63684" w:rsidRDefault="00B63684">
      <w:pPr>
        <w:spacing w:after="0" w:line="240" w:lineRule="auto"/>
        <w:jc w:val="both"/>
        <w:rPr>
          <w:rFonts w:ascii="Times New Roman" w:hAnsi="Times New Roman" w:cs="Times New Roman"/>
          <w:sz w:val="24"/>
          <w:szCs w:val="24"/>
        </w:rPr>
      </w:pPr>
    </w:p>
    <w:p w14:paraId="789B7BD9" w14:textId="77777777" w:rsidR="00B63684" w:rsidRDefault="00B63684">
      <w:pPr>
        <w:spacing w:after="0" w:line="240" w:lineRule="auto"/>
        <w:jc w:val="both"/>
        <w:rPr>
          <w:rFonts w:ascii="Times New Roman" w:hAnsi="Times New Roman" w:cs="Times New Roman"/>
          <w:sz w:val="24"/>
          <w:szCs w:val="24"/>
        </w:rPr>
      </w:pPr>
    </w:p>
    <w:p w14:paraId="7FEB2366" w14:textId="77777777" w:rsidR="00797416" w:rsidRDefault="00797416">
      <w:pPr>
        <w:spacing w:after="0" w:line="240" w:lineRule="auto"/>
        <w:jc w:val="both"/>
        <w:rPr>
          <w:rFonts w:ascii="Times New Roman" w:hAnsi="Times New Roman" w:cs="Times New Roman"/>
          <w:sz w:val="24"/>
          <w:szCs w:val="24"/>
        </w:rPr>
      </w:pPr>
    </w:p>
    <w:p w14:paraId="7AB9EBB9" w14:textId="77777777" w:rsidR="00797416" w:rsidRDefault="00797416">
      <w:pPr>
        <w:spacing w:after="0" w:line="240" w:lineRule="auto"/>
        <w:jc w:val="both"/>
        <w:rPr>
          <w:rFonts w:ascii="Times New Roman" w:hAnsi="Times New Roman" w:cs="Times New Roman"/>
          <w:sz w:val="24"/>
          <w:szCs w:val="24"/>
        </w:rPr>
      </w:pPr>
    </w:p>
    <w:p w14:paraId="49951929" w14:textId="77777777" w:rsidR="00797416" w:rsidRDefault="00797416">
      <w:pPr>
        <w:spacing w:after="0" w:line="240" w:lineRule="auto"/>
        <w:jc w:val="both"/>
        <w:rPr>
          <w:rFonts w:ascii="Times New Roman" w:hAnsi="Times New Roman" w:cs="Times New Roman"/>
          <w:sz w:val="24"/>
          <w:szCs w:val="24"/>
        </w:rPr>
      </w:pPr>
    </w:p>
    <w:p w14:paraId="77F30498" w14:textId="77777777" w:rsidR="00797416" w:rsidRDefault="00797416">
      <w:pPr>
        <w:spacing w:after="0" w:line="240" w:lineRule="auto"/>
        <w:jc w:val="both"/>
        <w:rPr>
          <w:rFonts w:ascii="Times New Roman" w:hAnsi="Times New Roman" w:cs="Times New Roman"/>
          <w:sz w:val="24"/>
          <w:szCs w:val="24"/>
        </w:rPr>
      </w:pPr>
    </w:p>
    <w:p w14:paraId="41043F18" w14:textId="77777777" w:rsidR="00797416" w:rsidRDefault="00797416">
      <w:pPr>
        <w:spacing w:after="0" w:line="240" w:lineRule="auto"/>
        <w:jc w:val="both"/>
        <w:rPr>
          <w:rFonts w:ascii="Times New Roman" w:hAnsi="Times New Roman" w:cs="Times New Roman"/>
          <w:sz w:val="24"/>
          <w:szCs w:val="24"/>
        </w:rPr>
      </w:pPr>
    </w:p>
    <w:p w14:paraId="5AF54991" w14:textId="77777777" w:rsidR="00797416" w:rsidRDefault="00797416">
      <w:pPr>
        <w:spacing w:after="0" w:line="240" w:lineRule="auto"/>
        <w:jc w:val="both"/>
        <w:rPr>
          <w:rFonts w:ascii="Times New Roman" w:hAnsi="Times New Roman" w:cs="Times New Roman"/>
          <w:sz w:val="24"/>
          <w:szCs w:val="24"/>
        </w:rPr>
      </w:pPr>
    </w:p>
    <w:p w14:paraId="0F143551" w14:textId="77777777" w:rsidR="00797416" w:rsidRDefault="00797416">
      <w:pPr>
        <w:spacing w:after="0" w:line="240" w:lineRule="auto"/>
        <w:jc w:val="both"/>
        <w:rPr>
          <w:rFonts w:ascii="Times New Roman" w:hAnsi="Times New Roman" w:cs="Times New Roman"/>
          <w:sz w:val="24"/>
          <w:szCs w:val="24"/>
        </w:rPr>
      </w:pPr>
    </w:p>
    <w:p w14:paraId="154E1EA6" w14:textId="77777777" w:rsidR="00797416" w:rsidRDefault="00797416">
      <w:pPr>
        <w:spacing w:after="0" w:line="240" w:lineRule="auto"/>
        <w:jc w:val="both"/>
        <w:rPr>
          <w:rFonts w:ascii="Times New Roman" w:hAnsi="Times New Roman" w:cs="Times New Roman"/>
          <w:sz w:val="24"/>
          <w:szCs w:val="24"/>
        </w:rPr>
      </w:pPr>
    </w:p>
    <w:p w14:paraId="70FA7EF3" w14:textId="77777777" w:rsidR="00797416" w:rsidRDefault="00797416">
      <w:pPr>
        <w:spacing w:after="0" w:line="240" w:lineRule="auto"/>
        <w:jc w:val="both"/>
        <w:rPr>
          <w:rFonts w:ascii="Times New Roman" w:hAnsi="Times New Roman" w:cs="Times New Roman"/>
          <w:sz w:val="24"/>
          <w:szCs w:val="24"/>
        </w:rPr>
      </w:pPr>
    </w:p>
    <w:p w14:paraId="54E51667"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Biochemical profile of the organs of </w:t>
      </w:r>
      <w:r>
        <w:rPr>
          <w:rFonts w:ascii="Times New Roman" w:hAnsi="Times New Roman" w:cs="Times New Roman"/>
          <w:i/>
          <w:sz w:val="24"/>
          <w:szCs w:val="24"/>
        </w:rPr>
        <w:t>Clarias gariepinus</w:t>
      </w:r>
      <w:r>
        <w:rPr>
          <w:rFonts w:ascii="Times New Roman" w:hAnsi="Times New Roman" w:cs="Times New Roman"/>
          <w:sz w:val="24"/>
          <w:szCs w:val="24"/>
        </w:rPr>
        <w:t xml:space="preserve"> fed varying inclusion levels of nanoselenium formulated diets</w:t>
      </w:r>
      <w:r>
        <w:rPr>
          <w:rFonts w:ascii="Times New Roman" w:hAnsi="Times New Roman" w:cs="Times New Roman"/>
          <w:b/>
          <w:sz w:val="24"/>
          <w:szCs w:val="24"/>
        </w:rPr>
        <w:t>.</w:t>
      </w:r>
    </w:p>
    <w:p w14:paraId="73995D6F" w14:textId="77777777" w:rsidR="00C244EE" w:rsidRDefault="00C244EE">
      <w:pPr>
        <w:spacing w:after="0" w:line="240" w:lineRule="auto"/>
        <w:jc w:val="both"/>
        <w:rPr>
          <w:rFonts w:ascii="Times New Roman" w:hAnsi="Times New Roman" w:cs="Times New Roman"/>
          <w:sz w:val="24"/>
          <w:szCs w:val="24"/>
        </w:rPr>
      </w:pPr>
    </w:p>
    <w:tbl>
      <w:tblPr>
        <w:tblStyle w:val="TableGrid"/>
        <w:tblW w:w="8231" w:type="dxa"/>
        <w:jc w:val="center"/>
        <w:tblLayout w:type="fixed"/>
        <w:tblLook w:val="0640" w:firstRow="0" w:lastRow="1" w:firstColumn="0" w:lastColumn="0" w:noHBand="1" w:noVBand="1"/>
      </w:tblPr>
      <w:tblGrid>
        <w:gridCol w:w="2579"/>
        <w:gridCol w:w="1774"/>
        <w:gridCol w:w="1914"/>
        <w:gridCol w:w="1964"/>
      </w:tblGrid>
      <w:tr w:rsidR="00C244EE" w14:paraId="1574FA99" w14:textId="77777777" w:rsidTr="00514234">
        <w:trPr>
          <w:trHeight w:val="873"/>
          <w:jc w:val="center"/>
        </w:trPr>
        <w:tc>
          <w:tcPr>
            <w:tcW w:w="8231" w:type="dxa"/>
            <w:gridSpan w:val="4"/>
            <w:tcBorders>
              <w:top w:val="single" w:sz="4" w:space="0" w:color="000000"/>
              <w:left w:val="single" w:sz="4" w:space="0" w:color="000000"/>
              <w:bottom w:val="single" w:sz="4" w:space="0" w:color="000000"/>
              <w:right w:val="single" w:sz="4" w:space="0" w:color="000000"/>
            </w:tcBorders>
          </w:tcPr>
          <w:p w14:paraId="5DA25A5E"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Inclusion level of dietary Nanoselenium (mg/kg)</w:t>
            </w:r>
          </w:p>
          <w:p w14:paraId="3871A97B" w14:textId="77777777" w:rsidR="00C244EE" w:rsidRDefault="00C244EE">
            <w:pPr>
              <w:autoSpaceDE w:val="0"/>
              <w:autoSpaceDN w:val="0"/>
              <w:adjustRightInd w:val="0"/>
              <w:jc w:val="center"/>
              <w:rPr>
                <w:rFonts w:ascii="Times New Roman" w:hAnsi="Times New Roman" w:cs="Times New Roman"/>
                <w:b/>
                <w:color w:val="231F20"/>
                <w:sz w:val="24"/>
                <w:szCs w:val="24"/>
              </w:rPr>
            </w:pPr>
          </w:p>
          <w:tbl>
            <w:tblPr>
              <w:tblStyle w:val="TableGrid"/>
              <w:tblW w:w="0" w:type="auto"/>
              <w:tblLayout w:type="fixed"/>
              <w:tblLook w:val="0400" w:firstRow="0" w:lastRow="0" w:firstColumn="0" w:lastColumn="0" w:noHBand="0" w:noVBand="1"/>
            </w:tblPr>
            <w:tblGrid>
              <w:gridCol w:w="2448"/>
              <w:gridCol w:w="1801"/>
              <w:gridCol w:w="1935"/>
              <w:gridCol w:w="1838"/>
            </w:tblGrid>
            <w:tr w:rsidR="00C244EE" w14:paraId="1EB624A3" w14:textId="77777777">
              <w:trPr>
                <w:trHeight w:val="7"/>
              </w:trPr>
              <w:tc>
                <w:tcPr>
                  <w:tcW w:w="2448" w:type="dxa"/>
                  <w:tcBorders>
                    <w:top w:val="single" w:sz="4" w:space="0" w:color="auto"/>
                    <w:left w:val="single" w:sz="4" w:space="0" w:color="auto"/>
                    <w:bottom w:val="single" w:sz="4" w:space="0" w:color="auto"/>
                    <w:right w:val="single" w:sz="4" w:space="0" w:color="auto"/>
                  </w:tcBorders>
                </w:tcPr>
                <w:p w14:paraId="7B7FABA5"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Parameters</w:t>
                  </w:r>
                </w:p>
              </w:tc>
              <w:tc>
                <w:tcPr>
                  <w:tcW w:w="1801" w:type="dxa"/>
                  <w:tcBorders>
                    <w:top w:val="single" w:sz="4" w:space="0" w:color="auto"/>
                    <w:left w:val="single" w:sz="4" w:space="0" w:color="auto"/>
                    <w:bottom w:val="single" w:sz="4" w:space="0" w:color="auto"/>
                    <w:right w:val="single" w:sz="4" w:space="0" w:color="auto"/>
                  </w:tcBorders>
                </w:tcPr>
                <w:p w14:paraId="6BE8E295"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0 (Control)</w:t>
                  </w:r>
                </w:p>
              </w:tc>
              <w:tc>
                <w:tcPr>
                  <w:tcW w:w="1935" w:type="dxa"/>
                  <w:tcBorders>
                    <w:top w:val="single" w:sz="4" w:space="0" w:color="auto"/>
                    <w:left w:val="single" w:sz="4" w:space="0" w:color="auto"/>
                    <w:bottom w:val="single" w:sz="4" w:space="0" w:color="auto"/>
                    <w:right w:val="single" w:sz="4" w:space="0" w:color="auto"/>
                  </w:tcBorders>
                </w:tcPr>
                <w:p w14:paraId="604961E4"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2</w:t>
                  </w:r>
                </w:p>
              </w:tc>
              <w:tc>
                <w:tcPr>
                  <w:tcW w:w="1838" w:type="dxa"/>
                  <w:tcBorders>
                    <w:top w:val="single" w:sz="4" w:space="0" w:color="auto"/>
                    <w:left w:val="single" w:sz="4" w:space="0" w:color="auto"/>
                    <w:bottom w:val="single" w:sz="4" w:space="0" w:color="auto"/>
                    <w:right w:val="single" w:sz="4" w:space="0" w:color="auto"/>
                  </w:tcBorders>
                </w:tcPr>
                <w:p w14:paraId="7A3D5A17"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4</w:t>
                  </w:r>
                </w:p>
              </w:tc>
            </w:tr>
          </w:tbl>
          <w:p w14:paraId="4CA8337E" w14:textId="77777777" w:rsidR="00C244EE" w:rsidRDefault="00C244EE">
            <w:pPr>
              <w:autoSpaceDE w:val="0"/>
              <w:autoSpaceDN w:val="0"/>
              <w:adjustRightInd w:val="0"/>
              <w:jc w:val="center"/>
              <w:rPr>
                <w:rFonts w:ascii="Times New Roman" w:hAnsi="Times New Roman" w:cs="Times New Roman"/>
                <w:b/>
                <w:color w:val="231F20"/>
                <w:sz w:val="24"/>
                <w:szCs w:val="24"/>
              </w:rPr>
            </w:pPr>
          </w:p>
          <w:p w14:paraId="6BCC3E0A" w14:textId="77777777" w:rsidR="00C244EE" w:rsidRDefault="00000000">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Gills</w:t>
            </w:r>
          </w:p>
        </w:tc>
      </w:tr>
      <w:tr w:rsidR="00C244EE" w14:paraId="13280766"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43BE87E3"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SOD (U/mg protein)</w:t>
            </w:r>
          </w:p>
        </w:tc>
        <w:tc>
          <w:tcPr>
            <w:tcW w:w="1774" w:type="dxa"/>
            <w:tcBorders>
              <w:top w:val="single" w:sz="4" w:space="0" w:color="000000"/>
              <w:left w:val="single" w:sz="4" w:space="0" w:color="000000"/>
              <w:bottom w:val="single" w:sz="4" w:space="0" w:color="000000"/>
              <w:right w:val="single" w:sz="4" w:space="0" w:color="000000"/>
            </w:tcBorders>
          </w:tcPr>
          <w:p w14:paraId="7F6FF42A"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323.38±70.36</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04F6F44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410.45±334.20</w:t>
            </w:r>
            <w:r>
              <w:rPr>
                <w:rFonts w:ascii="Times New Roman" w:hAnsi="Times New Roman" w:cs="Times New Roman"/>
                <w:color w:val="000000"/>
                <w:sz w:val="24"/>
                <w:szCs w:val="24"/>
                <w:vertAlign w:val="superscript"/>
              </w:rPr>
              <w:t>b</w:t>
            </w:r>
          </w:p>
        </w:tc>
        <w:tc>
          <w:tcPr>
            <w:tcW w:w="1964" w:type="dxa"/>
            <w:tcBorders>
              <w:top w:val="single" w:sz="4" w:space="0" w:color="000000"/>
              <w:left w:val="single" w:sz="4" w:space="0" w:color="000000"/>
              <w:bottom w:val="single" w:sz="4" w:space="0" w:color="000000"/>
              <w:right w:val="single" w:sz="4" w:space="0" w:color="000000"/>
            </w:tcBorders>
          </w:tcPr>
          <w:p w14:paraId="11054B5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1057.21±263.85</w:t>
            </w:r>
            <w:r>
              <w:rPr>
                <w:rFonts w:ascii="Times New Roman" w:hAnsi="Times New Roman" w:cs="Times New Roman"/>
                <w:color w:val="000000"/>
                <w:sz w:val="24"/>
                <w:szCs w:val="24"/>
                <w:vertAlign w:val="superscript"/>
              </w:rPr>
              <w:t>c</w:t>
            </w:r>
          </w:p>
        </w:tc>
      </w:tr>
      <w:tr w:rsidR="00C244EE" w14:paraId="5989AF9D"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01B08FC7"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GPX µ/l</w:t>
            </w:r>
          </w:p>
        </w:tc>
        <w:tc>
          <w:tcPr>
            <w:tcW w:w="1774" w:type="dxa"/>
            <w:tcBorders>
              <w:top w:val="single" w:sz="4" w:space="0" w:color="000000"/>
              <w:left w:val="single" w:sz="4" w:space="0" w:color="000000"/>
              <w:bottom w:val="single" w:sz="4" w:space="0" w:color="000000"/>
              <w:right w:val="single" w:sz="4" w:space="0" w:color="000000"/>
            </w:tcBorders>
          </w:tcPr>
          <w:p w14:paraId="6D886FDA"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125.00±0.00</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2637DEA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229.17±147.31</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4864AE90"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104.17±29.46</w:t>
            </w:r>
            <w:r>
              <w:rPr>
                <w:rFonts w:ascii="Times New Roman" w:hAnsi="Times New Roman" w:cs="Times New Roman"/>
                <w:color w:val="000000"/>
                <w:sz w:val="24"/>
                <w:szCs w:val="24"/>
                <w:vertAlign w:val="superscript"/>
              </w:rPr>
              <w:t>a</w:t>
            </w:r>
          </w:p>
        </w:tc>
      </w:tr>
      <w:tr w:rsidR="00C244EE" w14:paraId="14F58DCC"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12230A0E"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CAT µ /l</w:t>
            </w:r>
          </w:p>
        </w:tc>
        <w:tc>
          <w:tcPr>
            <w:tcW w:w="1774" w:type="dxa"/>
            <w:tcBorders>
              <w:top w:val="single" w:sz="4" w:space="0" w:color="000000"/>
              <w:left w:val="single" w:sz="4" w:space="0" w:color="000000"/>
              <w:bottom w:val="single" w:sz="4" w:space="0" w:color="000000"/>
              <w:right w:val="single" w:sz="4" w:space="0" w:color="000000"/>
            </w:tcBorders>
          </w:tcPr>
          <w:p w14:paraId="654583C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20.83±5.89</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36DCD763"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12.50±5.89</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513FBAFE"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19.44±3.93</w:t>
            </w:r>
            <w:r>
              <w:rPr>
                <w:rFonts w:ascii="Times New Roman" w:hAnsi="Times New Roman" w:cs="Times New Roman"/>
                <w:color w:val="000000"/>
                <w:sz w:val="24"/>
                <w:szCs w:val="24"/>
                <w:vertAlign w:val="superscript"/>
              </w:rPr>
              <w:t>a</w:t>
            </w:r>
          </w:p>
        </w:tc>
      </w:tr>
      <w:tr w:rsidR="00C244EE" w14:paraId="02C0D5C7" w14:textId="77777777" w:rsidTr="00514234">
        <w:trPr>
          <w:trHeight w:val="450"/>
          <w:jc w:val="center"/>
        </w:trPr>
        <w:tc>
          <w:tcPr>
            <w:tcW w:w="2579" w:type="dxa"/>
            <w:tcBorders>
              <w:top w:val="single" w:sz="4" w:space="0" w:color="000000"/>
              <w:left w:val="single" w:sz="4" w:space="0" w:color="000000"/>
              <w:bottom w:val="single" w:sz="4" w:space="0" w:color="000000"/>
              <w:right w:val="single" w:sz="4" w:space="0" w:color="000000"/>
            </w:tcBorders>
          </w:tcPr>
          <w:p w14:paraId="2B4D97B0"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MDA (µ /mg protein)</w:t>
            </w:r>
          </w:p>
        </w:tc>
        <w:tc>
          <w:tcPr>
            <w:tcW w:w="1774" w:type="dxa"/>
            <w:tcBorders>
              <w:top w:val="single" w:sz="4" w:space="0" w:color="000000"/>
              <w:left w:val="single" w:sz="4" w:space="0" w:color="000000"/>
              <w:bottom w:val="single" w:sz="4" w:space="0" w:color="000000"/>
              <w:right w:val="single" w:sz="4" w:space="0" w:color="000000"/>
            </w:tcBorders>
          </w:tcPr>
          <w:p w14:paraId="5AC106D7"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1.67±0.51</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3A30400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2.02±0.91</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6814D87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1.32±0.04</w:t>
            </w:r>
            <w:r>
              <w:rPr>
                <w:rFonts w:ascii="Times New Roman" w:hAnsi="Times New Roman" w:cs="Times New Roman"/>
                <w:color w:val="000000"/>
                <w:sz w:val="24"/>
                <w:szCs w:val="24"/>
                <w:vertAlign w:val="superscript"/>
              </w:rPr>
              <w:t>a</w:t>
            </w:r>
          </w:p>
        </w:tc>
      </w:tr>
      <w:tr w:rsidR="00C244EE" w14:paraId="4821C39D"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3AD5DB88"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774" w:type="dxa"/>
            <w:tcBorders>
              <w:top w:val="single" w:sz="4" w:space="0" w:color="000000"/>
              <w:left w:val="single" w:sz="4" w:space="0" w:color="000000"/>
              <w:bottom w:val="single" w:sz="4" w:space="0" w:color="000000"/>
              <w:right w:val="single" w:sz="4" w:space="0" w:color="000000"/>
            </w:tcBorders>
          </w:tcPr>
          <w:p w14:paraId="3953B8A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12.72±0.18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5BDF39F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10.06±0.08</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1DBF1F55"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9.56±0.18</w:t>
            </w:r>
            <w:r>
              <w:rPr>
                <w:rFonts w:ascii="Times New Roman" w:hAnsi="Times New Roman" w:cs="Times New Roman"/>
                <w:color w:val="000000"/>
                <w:sz w:val="24"/>
                <w:szCs w:val="24"/>
                <w:vertAlign w:val="superscript"/>
              </w:rPr>
              <w:t>a</w:t>
            </w:r>
          </w:p>
        </w:tc>
      </w:tr>
      <w:tr w:rsidR="00C244EE" w14:paraId="6B495098" w14:textId="77777777" w:rsidTr="00514234">
        <w:trPr>
          <w:trHeight w:val="422"/>
          <w:jc w:val="center"/>
        </w:trPr>
        <w:tc>
          <w:tcPr>
            <w:tcW w:w="8231" w:type="dxa"/>
            <w:gridSpan w:val="4"/>
            <w:tcBorders>
              <w:top w:val="single" w:sz="4" w:space="0" w:color="000000"/>
              <w:left w:val="single" w:sz="4" w:space="0" w:color="000000"/>
              <w:bottom w:val="single" w:sz="4" w:space="0" w:color="000000"/>
              <w:right w:val="single" w:sz="4" w:space="0" w:color="000000"/>
            </w:tcBorders>
          </w:tcPr>
          <w:p w14:paraId="525A3FAA" w14:textId="77777777" w:rsidR="00C244EE" w:rsidRDefault="00000000">
            <w:pPr>
              <w:autoSpaceDE w:val="0"/>
              <w:autoSpaceDN w:val="0"/>
              <w:adjustRightInd w:val="0"/>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Livers</w:t>
            </w:r>
          </w:p>
        </w:tc>
      </w:tr>
      <w:tr w:rsidR="00C244EE" w14:paraId="7D694746" w14:textId="77777777" w:rsidTr="00514234">
        <w:trPr>
          <w:trHeight w:val="468"/>
          <w:jc w:val="center"/>
        </w:trPr>
        <w:tc>
          <w:tcPr>
            <w:tcW w:w="2579" w:type="dxa"/>
            <w:tcBorders>
              <w:top w:val="single" w:sz="4" w:space="0" w:color="000000"/>
              <w:left w:val="single" w:sz="4" w:space="0" w:color="000000"/>
              <w:bottom w:val="single" w:sz="4" w:space="0" w:color="000000"/>
              <w:right w:val="single" w:sz="4" w:space="0" w:color="000000"/>
            </w:tcBorders>
          </w:tcPr>
          <w:p w14:paraId="76A5D060" w14:textId="77777777" w:rsidR="00C244EE" w:rsidRDefault="00000000">
            <w:pPr>
              <w:autoSpaceDE w:val="0"/>
              <w:autoSpaceDN w:val="0"/>
              <w:adjustRightInd w:val="0"/>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SOD (µ/mg protein)</w:t>
            </w:r>
          </w:p>
        </w:tc>
        <w:tc>
          <w:tcPr>
            <w:tcW w:w="1774" w:type="dxa"/>
            <w:tcBorders>
              <w:top w:val="single" w:sz="4" w:space="0" w:color="000000"/>
              <w:left w:val="single" w:sz="4" w:space="0" w:color="000000"/>
              <w:bottom w:val="single" w:sz="4" w:space="0" w:color="000000"/>
              <w:right w:val="single" w:sz="4" w:space="0" w:color="000000"/>
            </w:tcBorders>
          </w:tcPr>
          <w:p w14:paraId="5237E823"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223.88±35.18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45D16AE5"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435.32±334.20</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0DFEA76A" w14:textId="77777777" w:rsidR="00C244EE" w:rsidRDefault="00000000">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447.76±175.90</w:t>
            </w:r>
            <w:r>
              <w:rPr>
                <w:rFonts w:ascii="Times New Roman" w:hAnsi="Times New Roman" w:cs="Times New Roman"/>
                <w:color w:val="000000"/>
                <w:sz w:val="24"/>
                <w:szCs w:val="24"/>
                <w:vertAlign w:val="superscript"/>
              </w:rPr>
              <w:t>a</w:t>
            </w:r>
          </w:p>
        </w:tc>
      </w:tr>
      <w:tr w:rsidR="00C244EE" w14:paraId="32F4C2ED" w14:textId="77777777" w:rsidTr="00514234">
        <w:trPr>
          <w:trHeight w:val="387"/>
          <w:jc w:val="center"/>
        </w:trPr>
        <w:tc>
          <w:tcPr>
            <w:tcW w:w="2579" w:type="dxa"/>
            <w:tcBorders>
              <w:top w:val="single" w:sz="4" w:space="0" w:color="000000"/>
              <w:left w:val="single" w:sz="4" w:space="0" w:color="000000"/>
              <w:bottom w:val="single" w:sz="4" w:space="0" w:color="000000"/>
              <w:right w:val="single" w:sz="4" w:space="0" w:color="000000"/>
            </w:tcBorders>
          </w:tcPr>
          <w:p w14:paraId="4AE04A5B"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GPX (µ /l)</w:t>
            </w:r>
          </w:p>
        </w:tc>
        <w:tc>
          <w:tcPr>
            <w:tcW w:w="1774" w:type="dxa"/>
            <w:tcBorders>
              <w:top w:val="single" w:sz="4" w:space="0" w:color="000000"/>
              <w:left w:val="single" w:sz="4" w:space="0" w:color="000000"/>
              <w:bottom w:val="single" w:sz="4" w:space="0" w:color="000000"/>
              <w:right w:val="single" w:sz="4" w:space="0" w:color="000000"/>
            </w:tcBorders>
          </w:tcPr>
          <w:p w14:paraId="19915DB4" w14:textId="77777777" w:rsidR="00C244EE" w:rsidRDefault="00000000">
            <w:pPr>
              <w:jc w:val="both"/>
              <w:rPr>
                <w:rFonts w:ascii="Times New Roman" w:hAnsi="Times New Roman" w:cs="Times New Roman"/>
                <w:iCs/>
                <w:sz w:val="24"/>
                <w:szCs w:val="24"/>
              </w:rPr>
            </w:pPr>
            <w:r>
              <w:rPr>
                <w:rFonts w:ascii="Times New Roman" w:hAnsi="Times New Roman" w:cs="Times New Roman"/>
                <w:color w:val="000000"/>
                <w:sz w:val="24"/>
                <w:szCs w:val="24"/>
              </w:rPr>
              <w:t>125.00±58.93</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78C4714B"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145.83±29.46</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233B3F36"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104.17±29.46</w:t>
            </w:r>
            <w:r>
              <w:rPr>
                <w:rFonts w:ascii="Times New Roman" w:hAnsi="Times New Roman" w:cs="Times New Roman"/>
                <w:color w:val="000000"/>
                <w:sz w:val="24"/>
                <w:szCs w:val="24"/>
                <w:vertAlign w:val="superscript"/>
              </w:rPr>
              <w:t>a</w:t>
            </w:r>
          </w:p>
        </w:tc>
      </w:tr>
      <w:tr w:rsidR="00C244EE" w14:paraId="335DD31B" w14:textId="77777777" w:rsidTr="00514234">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72E6BC6F"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CAT (µ /l)</w:t>
            </w:r>
          </w:p>
        </w:tc>
        <w:tc>
          <w:tcPr>
            <w:tcW w:w="1774" w:type="dxa"/>
            <w:tcBorders>
              <w:top w:val="single" w:sz="4" w:space="0" w:color="000000"/>
              <w:left w:val="single" w:sz="4" w:space="0" w:color="000000"/>
              <w:bottom w:val="single" w:sz="4" w:space="0" w:color="000000"/>
              <w:right w:val="single" w:sz="4" w:space="0" w:color="000000"/>
            </w:tcBorders>
          </w:tcPr>
          <w:p w14:paraId="18D7F353"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45.83±17.68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2F9E7A84"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12.50±0.00</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6DCED8BE"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25.00±11.79</w:t>
            </w:r>
            <w:r>
              <w:rPr>
                <w:rFonts w:ascii="Times New Roman" w:hAnsi="Times New Roman" w:cs="Times New Roman"/>
                <w:color w:val="000000"/>
                <w:sz w:val="24"/>
                <w:szCs w:val="24"/>
                <w:vertAlign w:val="superscript"/>
              </w:rPr>
              <w:t>a</w:t>
            </w:r>
          </w:p>
        </w:tc>
      </w:tr>
      <w:tr w:rsidR="00C244EE" w14:paraId="6DF5868C" w14:textId="77777777" w:rsidTr="00514234">
        <w:trPr>
          <w:trHeight w:val="496"/>
          <w:jc w:val="center"/>
        </w:trPr>
        <w:tc>
          <w:tcPr>
            <w:tcW w:w="2579" w:type="dxa"/>
            <w:tcBorders>
              <w:top w:val="single" w:sz="4" w:space="0" w:color="000000"/>
              <w:left w:val="single" w:sz="4" w:space="0" w:color="000000"/>
              <w:bottom w:val="single" w:sz="4" w:space="0" w:color="000000"/>
              <w:right w:val="single" w:sz="4" w:space="0" w:color="000000"/>
            </w:tcBorders>
          </w:tcPr>
          <w:p w14:paraId="317883CF"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MDA (µ/mg protein)</w:t>
            </w:r>
          </w:p>
        </w:tc>
        <w:tc>
          <w:tcPr>
            <w:tcW w:w="1774" w:type="dxa"/>
            <w:tcBorders>
              <w:top w:val="single" w:sz="4" w:space="0" w:color="000000"/>
              <w:left w:val="single" w:sz="4" w:space="0" w:color="000000"/>
              <w:bottom w:val="single" w:sz="4" w:space="0" w:color="000000"/>
              <w:right w:val="single" w:sz="4" w:space="0" w:color="000000"/>
            </w:tcBorders>
          </w:tcPr>
          <w:p w14:paraId="77655D3C" w14:textId="77777777" w:rsidR="00C244EE" w:rsidRDefault="00000000">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1.34±0.40</w:t>
            </w:r>
            <w:r>
              <w:rPr>
                <w:rFonts w:ascii="Times New Roman" w:hAnsi="Times New Roman" w:cs="Times New Roman"/>
                <w:bCs/>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06B6BA1E" w14:textId="77777777" w:rsidR="00C244EE" w:rsidRDefault="00000000">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1.48±0.23</w:t>
            </w:r>
            <w:r>
              <w:rPr>
                <w:rFonts w:ascii="Times New Roman" w:hAnsi="Times New Roman" w:cs="Times New Roman"/>
                <w:bCs/>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2B0EB2FE" w14:textId="77777777" w:rsidR="00C244EE" w:rsidRDefault="00000000">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0.94±0.43</w:t>
            </w:r>
            <w:r>
              <w:rPr>
                <w:rFonts w:ascii="Times New Roman" w:hAnsi="Times New Roman" w:cs="Times New Roman"/>
                <w:bCs/>
                <w:color w:val="000000"/>
                <w:sz w:val="24"/>
                <w:szCs w:val="24"/>
                <w:vertAlign w:val="superscript"/>
              </w:rPr>
              <w:t>a</w:t>
            </w:r>
          </w:p>
        </w:tc>
      </w:tr>
      <w:tr w:rsidR="00514234" w14:paraId="430CC324" w14:textId="77777777" w:rsidTr="00514234">
        <w:trPr>
          <w:trHeight w:val="496"/>
          <w:jc w:val="center"/>
        </w:trPr>
        <w:tc>
          <w:tcPr>
            <w:tcW w:w="2579" w:type="dxa"/>
            <w:tcBorders>
              <w:top w:val="single" w:sz="4" w:space="0" w:color="000000"/>
              <w:left w:val="single" w:sz="4" w:space="0" w:color="000000"/>
              <w:bottom w:val="single" w:sz="4" w:space="0" w:color="000000"/>
              <w:right w:val="single" w:sz="4" w:space="0" w:color="000000"/>
            </w:tcBorders>
          </w:tcPr>
          <w:p w14:paraId="33377319" w14:textId="77777777" w:rsidR="00514234" w:rsidRDefault="00514234">
            <w:pPr>
              <w:autoSpaceDE w:val="0"/>
              <w:autoSpaceDN w:val="0"/>
              <w:adjustRightInd w:val="0"/>
              <w:jc w:val="both"/>
              <w:rPr>
                <w:rFonts w:ascii="Times New Roman" w:hAnsi="Times New Roman" w:cs="Times New Roman"/>
                <w:bCs/>
                <w:color w:val="000000"/>
                <w:sz w:val="24"/>
                <w:szCs w:val="24"/>
              </w:rPr>
            </w:pPr>
          </w:p>
          <w:p w14:paraId="7E88D6C5" w14:textId="77777777" w:rsidR="00514234" w:rsidRDefault="00514234" w:rsidP="00514234">
            <w:pPr>
              <w:autoSpaceDE w:val="0"/>
              <w:autoSpaceDN w:val="0"/>
              <w:adjustRightInd w:val="0"/>
              <w:jc w:val="both"/>
              <w:rPr>
                <w:rFonts w:ascii="Times New Roman" w:hAnsi="Times New Roman" w:cs="Times New Roman"/>
                <w:bCs/>
                <w:color w:val="000000"/>
                <w:sz w:val="24"/>
                <w:szCs w:val="24"/>
              </w:rPr>
            </w:pPr>
          </w:p>
        </w:tc>
        <w:tc>
          <w:tcPr>
            <w:tcW w:w="1774" w:type="dxa"/>
            <w:tcBorders>
              <w:top w:val="single" w:sz="4" w:space="0" w:color="000000"/>
              <w:left w:val="single" w:sz="4" w:space="0" w:color="000000"/>
              <w:bottom w:val="single" w:sz="4" w:space="0" w:color="000000"/>
              <w:right w:val="single" w:sz="4" w:space="0" w:color="000000"/>
            </w:tcBorders>
          </w:tcPr>
          <w:p w14:paraId="62A438FA" w14:textId="77777777" w:rsidR="00514234" w:rsidRDefault="00514234">
            <w:pPr>
              <w:autoSpaceDE w:val="0"/>
              <w:autoSpaceDN w:val="0"/>
              <w:adjustRightInd w:val="0"/>
              <w:jc w:val="both"/>
              <w:rPr>
                <w:rFonts w:ascii="Times New Roman" w:hAnsi="Times New Roman" w:cs="Times New Roman"/>
                <w:bCs/>
                <w:color w:val="00000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12AC0EF" w14:textId="77777777" w:rsidR="00514234" w:rsidRDefault="00514234">
            <w:pPr>
              <w:autoSpaceDE w:val="0"/>
              <w:autoSpaceDN w:val="0"/>
              <w:adjustRightInd w:val="0"/>
              <w:jc w:val="both"/>
              <w:rPr>
                <w:rFonts w:ascii="Times New Roman" w:hAnsi="Times New Roman" w:cs="Times New Roman"/>
                <w:bCs/>
                <w:color w:val="000000"/>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7038832A" w14:textId="77777777" w:rsidR="00514234" w:rsidRDefault="00514234">
            <w:pPr>
              <w:autoSpaceDE w:val="0"/>
              <w:autoSpaceDN w:val="0"/>
              <w:adjustRightInd w:val="0"/>
              <w:jc w:val="both"/>
              <w:rPr>
                <w:rFonts w:ascii="Times New Roman" w:hAnsi="Times New Roman" w:cs="Times New Roman"/>
                <w:bCs/>
                <w:color w:val="000000"/>
                <w:sz w:val="24"/>
                <w:szCs w:val="24"/>
              </w:rPr>
            </w:pPr>
          </w:p>
        </w:tc>
      </w:tr>
      <w:tr w:rsidR="00C244EE" w14:paraId="02B4B9DE" w14:textId="77777777" w:rsidTr="00514234">
        <w:trPr>
          <w:trHeight w:val="72"/>
          <w:jc w:val="center"/>
        </w:trPr>
        <w:tc>
          <w:tcPr>
            <w:tcW w:w="2579" w:type="dxa"/>
            <w:tcBorders>
              <w:top w:val="single" w:sz="4" w:space="0" w:color="000000"/>
              <w:left w:val="single" w:sz="4" w:space="0" w:color="000000"/>
              <w:bottom w:val="single" w:sz="4" w:space="0" w:color="000000"/>
              <w:right w:val="single" w:sz="4" w:space="0" w:color="000000"/>
            </w:tcBorders>
          </w:tcPr>
          <w:p w14:paraId="7F37A59D" w14:textId="77777777" w:rsidR="00C244EE" w:rsidRDefault="00C244EE">
            <w:pPr>
              <w:autoSpaceDE w:val="0"/>
              <w:autoSpaceDN w:val="0"/>
              <w:adjustRightInd w:val="0"/>
              <w:jc w:val="both"/>
              <w:rPr>
                <w:rFonts w:ascii="Times New Roman" w:hAnsi="Times New Roman" w:cs="Times New Roman"/>
                <w:bCs/>
                <w:color w:val="000000"/>
                <w:sz w:val="24"/>
                <w:szCs w:val="24"/>
              </w:rPr>
            </w:pPr>
          </w:p>
          <w:p w14:paraId="14D96283" w14:textId="77777777" w:rsidR="00C244EE" w:rsidRDefault="0000000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774" w:type="dxa"/>
            <w:tcBorders>
              <w:top w:val="single" w:sz="4" w:space="0" w:color="000000"/>
              <w:left w:val="single" w:sz="4" w:space="0" w:color="000000"/>
              <w:bottom w:val="single" w:sz="4" w:space="0" w:color="000000"/>
              <w:right w:val="single" w:sz="4" w:space="0" w:color="000000"/>
            </w:tcBorders>
          </w:tcPr>
          <w:p w14:paraId="72A4F369" w14:textId="77777777" w:rsidR="00C244EE" w:rsidRDefault="00C244EE">
            <w:pPr>
              <w:autoSpaceDE w:val="0"/>
              <w:autoSpaceDN w:val="0"/>
              <w:adjustRightInd w:val="0"/>
              <w:jc w:val="both"/>
              <w:rPr>
                <w:rFonts w:ascii="Times New Roman" w:hAnsi="Times New Roman" w:cs="Times New Roman"/>
                <w:color w:val="000000"/>
                <w:sz w:val="24"/>
                <w:szCs w:val="24"/>
              </w:rPr>
            </w:pPr>
          </w:p>
          <w:p w14:paraId="3D1AE959"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11.25±1.26</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4C76CBE1" w14:textId="77777777" w:rsidR="00C244EE" w:rsidRDefault="00C244EE">
            <w:pPr>
              <w:autoSpaceDE w:val="0"/>
              <w:autoSpaceDN w:val="0"/>
              <w:adjustRightInd w:val="0"/>
              <w:jc w:val="both"/>
              <w:rPr>
                <w:rFonts w:ascii="Times New Roman" w:hAnsi="Times New Roman" w:cs="Times New Roman"/>
                <w:color w:val="000000"/>
                <w:sz w:val="24"/>
                <w:szCs w:val="24"/>
              </w:rPr>
            </w:pPr>
          </w:p>
          <w:p w14:paraId="04785AB2"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12.95±0.74</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183C1DFB" w14:textId="77777777" w:rsidR="00C244EE" w:rsidRDefault="00C244EE">
            <w:pPr>
              <w:autoSpaceDE w:val="0"/>
              <w:autoSpaceDN w:val="0"/>
              <w:adjustRightInd w:val="0"/>
              <w:jc w:val="both"/>
              <w:rPr>
                <w:rFonts w:ascii="Times New Roman" w:hAnsi="Times New Roman" w:cs="Times New Roman"/>
                <w:color w:val="000000"/>
                <w:sz w:val="24"/>
                <w:szCs w:val="24"/>
              </w:rPr>
            </w:pPr>
          </w:p>
          <w:p w14:paraId="5556EC51" w14:textId="77777777" w:rsidR="00C244EE" w:rsidRDefault="00000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11.25±0.37</w:t>
            </w:r>
            <w:r>
              <w:rPr>
                <w:rFonts w:ascii="Times New Roman" w:hAnsi="Times New Roman" w:cs="Times New Roman"/>
                <w:color w:val="000000"/>
                <w:sz w:val="24"/>
                <w:szCs w:val="24"/>
                <w:vertAlign w:val="superscript"/>
              </w:rPr>
              <w:t>a</w:t>
            </w:r>
          </w:p>
        </w:tc>
      </w:tr>
    </w:tbl>
    <w:p w14:paraId="6A4B3657" w14:textId="77777777" w:rsidR="00C244EE" w:rsidRDefault="00000000">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Means within rows with different superscripts are significantly different (</w:t>
      </w:r>
      <w:r>
        <w:rPr>
          <w:rFonts w:ascii="Times New Roman" w:hAnsi="Times New Roman" w:cs="Times New Roman"/>
          <w:i/>
          <w:iCs/>
          <w:sz w:val="24"/>
          <w:szCs w:val="24"/>
        </w:rPr>
        <w:t>p</w:t>
      </w:r>
      <w:r>
        <w:rPr>
          <w:rFonts w:ascii="Times New Roman" w:hAnsi="Times New Roman" w:cs="Times New Roman"/>
          <w:sz w:val="24"/>
          <w:szCs w:val="24"/>
        </w:rPr>
        <w:t xml:space="preserve"> &lt; 0.05)</w:t>
      </w:r>
      <w:r>
        <w:rPr>
          <w:rFonts w:ascii="Times New Roman" w:hAnsi="Times New Roman" w:cs="Times New Roman"/>
          <w:iCs/>
          <w:sz w:val="24"/>
          <w:szCs w:val="24"/>
        </w:rPr>
        <w:t>.</w:t>
      </w:r>
    </w:p>
    <w:p w14:paraId="62708664" w14:textId="77777777" w:rsidR="00C244EE" w:rsidRDefault="00000000">
      <w:pPr>
        <w:spacing w:after="0" w:line="24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SOD - Superoxidase Dismutase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iCs/>
          <w:sz w:val="24"/>
          <w:szCs w:val="24"/>
        </w:rPr>
        <w:t>GPX - Glutathione Peroxidase</w:t>
      </w:r>
    </w:p>
    <w:p w14:paraId="11E0928E" w14:textId="77777777" w:rsidR="00C244EE" w:rsidRDefault="00000000">
      <w:pPr>
        <w:spacing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MDA-</w:t>
      </w:r>
      <w:r>
        <w:rPr>
          <w:rFonts w:ascii="Times New Roman" w:hAnsi="Times New Roman" w:cs="Times New Roman"/>
          <w:iCs/>
          <w:sz w:val="24"/>
          <w:szCs w:val="24"/>
        </w:rPr>
        <w:tab/>
        <w:t xml:space="preserve">Malondialdehyde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CAT- </w:t>
      </w:r>
      <w:r>
        <w:rPr>
          <w:rFonts w:ascii="Times New Roman" w:hAnsi="Times New Roman" w:cs="Times New Roman"/>
          <w:iCs/>
          <w:sz w:val="24"/>
          <w:szCs w:val="24"/>
        </w:rPr>
        <w:tab/>
      </w:r>
      <w:proofErr w:type="spellStart"/>
      <w:r>
        <w:rPr>
          <w:rFonts w:ascii="Times New Roman" w:hAnsi="Times New Roman" w:cs="Times New Roman"/>
          <w:iCs/>
          <w:sz w:val="24"/>
          <w:szCs w:val="24"/>
        </w:rPr>
        <w:t>Caalase</w:t>
      </w:r>
      <w:proofErr w:type="spellEnd"/>
      <w:r>
        <w:rPr>
          <w:rFonts w:ascii="Times New Roman" w:hAnsi="Times New Roman" w:cs="Times New Roman"/>
          <w:iCs/>
          <w:sz w:val="24"/>
          <w:szCs w:val="24"/>
        </w:rPr>
        <w:t>.</w:t>
      </w:r>
    </w:p>
    <w:p w14:paraId="11DB010D" w14:textId="77777777" w:rsidR="00514234" w:rsidRDefault="00514234">
      <w:pPr>
        <w:spacing w:line="240" w:lineRule="auto"/>
        <w:ind w:firstLine="720"/>
        <w:jc w:val="both"/>
        <w:rPr>
          <w:rFonts w:ascii="Times New Roman" w:hAnsi="Times New Roman" w:cs="Times New Roman"/>
          <w:iCs/>
          <w:sz w:val="24"/>
          <w:szCs w:val="24"/>
        </w:rPr>
      </w:pPr>
    </w:p>
    <w:p w14:paraId="11CC7568" w14:textId="77777777" w:rsidR="00514234" w:rsidRDefault="00514234">
      <w:pPr>
        <w:spacing w:line="240" w:lineRule="auto"/>
        <w:ind w:firstLine="720"/>
        <w:jc w:val="both"/>
        <w:rPr>
          <w:rFonts w:ascii="Times New Roman" w:hAnsi="Times New Roman" w:cs="Times New Roman"/>
          <w:iCs/>
          <w:sz w:val="24"/>
          <w:szCs w:val="24"/>
        </w:rPr>
      </w:pPr>
    </w:p>
    <w:p w14:paraId="5F63C8E7" w14:textId="77777777" w:rsidR="00514234" w:rsidRDefault="00514234">
      <w:pPr>
        <w:spacing w:line="240" w:lineRule="auto"/>
        <w:ind w:firstLine="720"/>
        <w:jc w:val="both"/>
        <w:rPr>
          <w:rFonts w:ascii="Times New Roman" w:hAnsi="Times New Roman" w:cs="Times New Roman"/>
          <w:iCs/>
          <w:sz w:val="24"/>
          <w:szCs w:val="24"/>
        </w:rPr>
      </w:pPr>
    </w:p>
    <w:p w14:paraId="53567601" w14:textId="77777777" w:rsidR="00514234" w:rsidRDefault="00514234">
      <w:pPr>
        <w:spacing w:line="240" w:lineRule="auto"/>
        <w:ind w:firstLine="720"/>
        <w:jc w:val="both"/>
        <w:rPr>
          <w:rFonts w:ascii="Times New Roman" w:hAnsi="Times New Roman" w:cs="Times New Roman"/>
          <w:iCs/>
          <w:sz w:val="24"/>
          <w:szCs w:val="24"/>
        </w:rPr>
      </w:pPr>
    </w:p>
    <w:p w14:paraId="2BC57771" w14:textId="77777777" w:rsidR="00514234" w:rsidRDefault="00514234">
      <w:pPr>
        <w:spacing w:line="240" w:lineRule="auto"/>
        <w:ind w:firstLine="720"/>
        <w:jc w:val="both"/>
        <w:rPr>
          <w:rFonts w:ascii="Times New Roman" w:hAnsi="Times New Roman" w:cs="Times New Roman"/>
          <w:iCs/>
          <w:sz w:val="24"/>
          <w:szCs w:val="24"/>
        </w:rPr>
      </w:pPr>
    </w:p>
    <w:p w14:paraId="4F26240E" w14:textId="77777777" w:rsidR="00514234" w:rsidRDefault="00514234">
      <w:pPr>
        <w:spacing w:line="240" w:lineRule="auto"/>
        <w:ind w:firstLine="720"/>
        <w:jc w:val="both"/>
        <w:rPr>
          <w:rFonts w:ascii="Times New Roman" w:hAnsi="Times New Roman" w:cs="Times New Roman"/>
          <w:iCs/>
          <w:sz w:val="24"/>
          <w:szCs w:val="24"/>
        </w:rPr>
      </w:pPr>
    </w:p>
    <w:p w14:paraId="4F8F5519" w14:textId="77777777" w:rsidR="00514234" w:rsidRDefault="00514234">
      <w:pPr>
        <w:spacing w:line="240" w:lineRule="auto"/>
        <w:ind w:firstLine="720"/>
        <w:jc w:val="both"/>
        <w:rPr>
          <w:rFonts w:ascii="Times New Roman" w:hAnsi="Times New Roman" w:cs="Times New Roman"/>
          <w:iCs/>
          <w:sz w:val="24"/>
          <w:szCs w:val="24"/>
        </w:rPr>
      </w:pPr>
    </w:p>
    <w:p w14:paraId="1D458B10" w14:textId="77777777" w:rsidR="00514234" w:rsidRDefault="00514234">
      <w:pPr>
        <w:spacing w:line="240" w:lineRule="auto"/>
        <w:ind w:firstLine="720"/>
        <w:jc w:val="both"/>
        <w:rPr>
          <w:rFonts w:ascii="Times New Roman" w:hAnsi="Times New Roman" w:cs="Times New Roman"/>
          <w:iCs/>
          <w:sz w:val="24"/>
          <w:szCs w:val="24"/>
        </w:rPr>
      </w:pPr>
    </w:p>
    <w:p w14:paraId="352164F4" w14:textId="6B0392A2" w:rsidR="00514234" w:rsidRDefault="00514234">
      <w:pPr>
        <w:spacing w:line="240" w:lineRule="auto"/>
        <w:ind w:firstLine="720"/>
        <w:jc w:val="both"/>
        <w:rPr>
          <w:rFonts w:ascii="Times New Roman" w:hAnsi="Times New Roman" w:cs="Times New Roman"/>
          <w:iCs/>
          <w:sz w:val="24"/>
          <w:szCs w:val="24"/>
        </w:rPr>
      </w:pPr>
      <w:r>
        <w:rPr>
          <w:noProof/>
        </w:rPr>
        <w:drawing>
          <wp:anchor distT="0" distB="0" distL="0" distR="0" simplePos="0" relativeHeight="251659264" behindDoc="0" locked="0" layoutInCell="1" allowOverlap="1" wp14:anchorId="3C4555A2" wp14:editId="5B860792">
            <wp:simplePos x="0" y="0"/>
            <wp:positionH relativeFrom="margin">
              <wp:align>left</wp:align>
            </wp:positionH>
            <wp:positionV relativeFrom="page">
              <wp:posOffset>588398</wp:posOffset>
            </wp:positionV>
            <wp:extent cx="5923722" cy="2297926"/>
            <wp:effectExtent l="0" t="0" r="1270" b="7620"/>
            <wp:wrapNone/>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5974945" cy="2317796"/>
                    </a:xfrm>
                    <a:prstGeom prst="rect">
                      <a:avLst/>
                    </a:prstGeom>
                    <a:ln>
                      <a:noFill/>
                    </a:ln>
                  </pic:spPr>
                </pic:pic>
              </a:graphicData>
            </a:graphic>
            <wp14:sizeRelH relativeFrom="margin">
              <wp14:pctWidth>0</wp14:pctWidth>
            </wp14:sizeRelH>
            <wp14:sizeRelV relativeFrom="margin">
              <wp14:pctHeight>0</wp14:pctHeight>
            </wp14:sizeRelV>
          </wp:anchor>
        </w:drawing>
      </w:r>
    </w:p>
    <w:p w14:paraId="49C95E27" w14:textId="6B5D07DD" w:rsidR="00514234" w:rsidRDefault="00514234">
      <w:pPr>
        <w:spacing w:line="240" w:lineRule="auto"/>
        <w:ind w:firstLine="720"/>
        <w:jc w:val="both"/>
        <w:rPr>
          <w:rFonts w:ascii="Times New Roman" w:hAnsi="Times New Roman" w:cs="Times New Roman"/>
          <w:iCs/>
          <w:sz w:val="24"/>
          <w:szCs w:val="24"/>
        </w:rPr>
      </w:pPr>
    </w:p>
    <w:p w14:paraId="715A66B1" w14:textId="77777777" w:rsidR="00514234" w:rsidRDefault="00514234">
      <w:pPr>
        <w:spacing w:line="240" w:lineRule="auto"/>
        <w:ind w:firstLine="720"/>
        <w:jc w:val="both"/>
        <w:rPr>
          <w:rFonts w:ascii="Times New Roman" w:hAnsi="Times New Roman" w:cs="Times New Roman"/>
          <w:iCs/>
          <w:sz w:val="24"/>
          <w:szCs w:val="24"/>
        </w:rPr>
      </w:pPr>
    </w:p>
    <w:p w14:paraId="2AEA8A2B" w14:textId="77777777" w:rsidR="00514234" w:rsidRDefault="00514234">
      <w:pPr>
        <w:spacing w:line="240" w:lineRule="auto"/>
        <w:ind w:firstLine="720"/>
        <w:jc w:val="both"/>
        <w:rPr>
          <w:rFonts w:ascii="Times New Roman" w:hAnsi="Times New Roman" w:cs="Times New Roman"/>
          <w:iCs/>
          <w:sz w:val="24"/>
          <w:szCs w:val="24"/>
        </w:rPr>
      </w:pPr>
    </w:p>
    <w:p w14:paraId="465458DA" w14:textId="77777777" w:rsidR="00514234" w:rsidRDefault="00514234">
      <w:pPr>
        <w:spacing w:line="240" w:lineRule="auto"/>
        <w:ind w:firstLine="720"/>
        <w:jc w:val="both"/>
        <w:rPr>
          <w:rFonts w:ascii="Times New Roman" w:hAnsi="Times New Roman" w:cs="Times New Roman"/>
          <w:iCs/>
          <w:sz w:val="24"/>
          <w:szCs w:val="24"/>
        </w:rPr>
      </w:pPr>
    </w:p>
    <w:p w14:paraId="6C394660" w14:textId="77777777" w:rsidR="00514234" w:rsidRDefault="00514234">
      <w:pPr>
        <w:spacing w:line="240" w:lineRule="auto"/>
        <w:ind w:firstLine="720"/>
        <w:jc w:val="both"/>
        <w:rPr>
          <w:rFonts w:ascii="Times New Roman" w:hAnsi="Times New Roman" w:cs="Times New Roman"/>
          <w:iCs/>
          <w:sz w:val="24"/>
          <w:szCs w:val="24"/>
        </w:rPr>
      </w:pPr>
    </w:p>
    <w:p w14:paraId="7E49D5CE" w14:textId="77777777" w:rsidR="00514234" w:rsidRDefault="00514234">
      <w:pPr>
        <w:spacing w:line="240" w:lineRule="auto"/>
        <w:ind w:firstLine="720"/>
        <w:jc w:val="both"/>
        <w:rPr>
          <w:rFonts w:ascii="Times New Roman" w:hAnsi="Times New Roman" w:cs="Times New Roman"/>
          <w:iCs/>
          <w:sz w:val="24"/>
          <w:szCs w:val="24"/>
        </w:rPr>
      </w:pPr>
    </w:p>
    <w:p w14:paraId="11F59585" w14:textId="77777777" w:rsidR="00514234" w:rsidRDefault="00514234">
      <w:pPr>
        <w:spacing w:line="240" w:lineRule="auto"/>
        <w:ind w:firstLine="720"/>
        <w:jc w:val="both"/>
        <w:rPr>
          <w:rFonts w:ascii="Times New Roman" w:hAnsi="Times New Roman" w:cs="Times New Roman"/>
          <w:iCs/>
          <w:sz w:val="24"/>
          <w:szCs w:val="24"/>
        </w:rPr>
      </w:pPr>
    </w:p>
    <w:p w14:paraId="653F8F11" w14:textId="77777777" w:rsidR="00514234" w:rsidRDefault="00514234">
      <w:pPr>
        <w:spacing w:line="240" w:lineRule="auto"/>
        <w:ind w:firstLine="720"/>
        <w:jc w:val="both"/>
        <w:rPr>
          <w:rFonts w:ascii="Times New Roman" w:hAnsi="Times New Roman" w:cs="Times New Roman"/>
          <w:iCs/>
          <w:sz w:val="24"/>
          <w:szCs w:val="24"/>
        </w:rPr>
      </w:pPr>
    </w:p>
    <w:p w14:paraId="57FB60D4" w14:textId="77777777" w:rsidR="00514234" w:rsidRDefault="00514234">
      <w:pPr>
        <w:spacing w:line="240" w:lineRule="auto"/>
        <w:ind w:firstLine="720"/>
        <w:jc w:val="both"/>
        <w:rPr>
          <w:rFonts w:ascii="Times New Roman" w:hAnsi="Times New Roman" w:cs="Times New Roman"/>
          <w:iCs/>
          <w:sz w:val="24"/>
          <w:szCs w:val="24"/>
        </w:rPr>
      </w:pPr>
    </w:p>
    <w:p w14:paraId="1C58BBF0" w14:textId="77777777" w:rsidR="00514234" w:rsidRDefault="00514234" w:rsidP="00514234">
      <w:pPr>
        <w:spacing w:after="0"/>
        <w:jc w:val="both"/>
        <w:rPr>
          <w:rFonts w:ascii="Times New Roman" w:hAnsi="Times New Roman" w:cs="Times New Roman"/>
          <w:sz w:val="24"/>
          <w:szCs w:val="24"/>
        </w:rPr>
      </w:pPr>
      <w:r>
        <w:rPr>
          <w:rFonts w:ascii="Times New Roman" w:hAnsi="Times New Roman" w:cs="Times New Roman"/>
          <w:sz w:val="24"/>
          <w:szCs w:val="24"/>
        </w:rPr>
        <w:t xml:space="preserve">Fig.1: Histopathology of the livers of C. </w:t>
      </w:r>
      <w:proofErr w:type="spellStart"/>
      <w:r>
        <w:rPr>
          <w:rFonts w:ascii="Times New Roman" w:hAnsi="Times New Roman" w:cs="Times New Roman"/>
          <w:sz w:val="24"/>
          <w:szCs w:val="24"/>
        </w:rPr>
        <w:t>gariepinus</w:t>
      </w:r>
      <w:proofErr w:type="spellEnd"/>
      <w:r>
        <w:rPr>
          <w:rFonts w:ascii="Times New Roman" w:hAnsi="Times New Roman" w:cs="Times New Roman"/>
          <w:sz w:val="24"/>
          <w:szCs w:val="24"/>
        </w:rPr>
        <w:t xml:space="preserve"> fed different inclusion levels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6409E9BF" w14:textId="77777777" w:rsidR="00514234" w:rsidRDefault="00514234">
      <w:pPr>
        <w:spacing w:line="240" w:lineRule="auto"/>
        <w:ind w:firstLine="720"/>
        <w:jc w:val="both"/>
        <w:rPr>
          <w:rFonts w:ascii="Times New Roman" w:hAnsi="Times New Roman" w:cs="Times New Roman"/>
          <w:iCs/>
          <w:sz w:val="24"/>
          <w:szCs w:val="24"/>
        </w:rPr>
      </w:pPr>
    </w:p>
    <w:p w14:paraId="1ABBE28A" w14:textId="77777777" w:rsidR="00514234" w:rsidRDefault="00514234">
      <w:pPr>
        <w:spacing w:line="240" w:lineRule="auto"/>
        <w:ind w:firstLine="720"/>
        <w:jc w:val="both"/>
        <w:rPr>
          <w:rFonts w:ascii="Times New Roman" w:hAnsi="Times New Roman" w:cs="Times New Roman"/>
          <w:iCs/>
          <w:sz w:val="24"/>
          <w:szCs w:val="24"/>
        </w:rPr>
      </w:pPr>
    </w:p>
    <w:p w14:paraId="6F631E76" w14:textId="77777777" w:rsidR="00C244EE"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3.5      Histopathological analysis</w:t>
      </w:r>
    </w:p>
    <w:p w14:paraId="48947CA5" w14:textId="77777777" w:rsidR="00C244EE" w:rsidRDefault="00000000">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Histopathology of the livers of C. gariepinus fed different inclusions of dietary nanoselenium formulated diets were shown in Figure 1 (A-C) while that of the gills of C. gariepinus fed different inclusions of dietary nanoselenium formulated diets is shown in Figure 2 (A-C).</w:t>
      </w:r>
    </w:p>
    <w:p w14:paraId="79654A57"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Nuclei of the hepatocytes (H) of the liver fed the control diets </w:t>
      </w:r>
    </w:p>
    <w:p w14:paraId="3DE1DC39"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Slight focal fibrosis (FF), gradual fatty degeneration (FD) of the liver of fish fed 2 mg/kg of nanoselenium formulated diets.</w:t>
      </w:r>
    </w:p>
    <w:p w14:paraId="1CCA50D9" w14:textId="77777777" w:rsidR="00C244E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High focal fibrosis (FF), high fatty degeneration (FD) and Hyplasia (HP) of the liver of fish fed 4 mg/kg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formulated diets.</w:t>
      </w:r>
    </w:p>
    <w:p w14:paraId="28596041" w14:textId="77777777" w:rsidR="00514234" w:rsidRDefault="00514234">
      <w:pPr>
        <w:spacing w:after="0" w:line="240" w:lineRule="auto"/>
        <w:jc w:val="both"/>
        <w:rPr>
          <w:rFonts w:ascii="Times New Roman" w:hAnsi="Times New Roman" w:cs="Times New Roman"/>
          <w:sz w:val="24"/>
          <w:szCs w:val="24"/>
        </w:rPr>
      </w:pPr>
    </w:p>
    <w:p w14:paraId="188C5C04" w14:textId="77777777" w:rsidR="00C244EE" w:rsidRDefault="00000000">
      <w:pPr>
        <w:spacing w:before="240"/>
        <w:jc w:val="both"/>
        <w:rPr>
          <w:rFonts w:ascii="Times New Roman" w:hAnsi="Times New Roman" w:cs="Times New Roman"/>
          <w:sz w:val="24"/>
          <w:szCs w:val="24"/>
        </w:rPr>
      </w:pPr>
      <w:r>
        <w:rPr>
          <w:rFonts w:ascii="Times New Roman" w:hAnsi="Times New Roman" w:cs="Times New Roman"/>
          <w:sz w:val="24"/>
          <w:szCs w:val="24"/>
        </w:rPr>
        <w:t>Fig. 1A, showed the histomorphology of liver tissue presented with typical cellular density and cellular distribution of fish fed the control diets. The nuclei of hepatocytes were distinctively stained and properly disposed within their respective cytoplasm. There were no histopathological alterations in the histological presentation of these tissues.</w:t>
      </w:r>
    </w:p>
    <w:p w14:paraId="5BB2CE5B" w14:textId="77777777" w:rsidR="00C244EE" w:rsidRDefault="00000000">
      <w:pPr>
        <w:jc w:val="both"/>
        <w:rPr>
          <w:rFonts w:ascii="Times New Roman" w:hAnsi="Times New Roman" w:cs="Times New Roman"/>
          <w:sz w:val="24"/>
          <w:szCs w:val="24"/>
        </w:rPr>
      </w:pPr>
      <w:r>
        <w:rPr>
          <w:rFonts w:ascii="Times New Roman" w:hAnsi="Times New Roman" w:cs="Times New Roman"/>
          <w:sz w:val="24"/>
          <w:szCs w:val="24"/>
        </w:rPr>
        <w:t>Fig. 1B, showed the panoramic view of the fish fed 2 mg/kg nanoselenium formulated diets. It revealed histomorphology of liver tissue such as slight focal fibrosis (FF), gradual fatty degeneration (FD) presented with typical cellular density and cellular distribution. The nuclei of hepatocytes were distinctively stained and properly disposed within their respective cytoplasm. There were slight histopathological alterations in the histological presentation of these tissues.</w:t>
      </w:r>
    </w:p>
    <w:p w14:paraId="75A36F25" w14:textId="4747F556" w:rsidR="00C244EE" w:rsidRDefault="00000000">
      <w:pPr>
        <w:jc w:val="both"/>
        <w:rPr>
          <w:rFonts w:ascii="Times New Roman" w:hAnsi="Times New Roman" w:cs="Times New Roman"/>
          <w:sz w:val="24"/>
          <w:szCs w:val="24"/>
        </w:rPr>
      </w:pPr>
      <w:r>
        <w:rPr>
          <w:rFonts w:ascii="Times New Roman" w:hAnsi="Times New Roman" w:cs="Times New Roman"/>
          <w:sz w:val="24"/>
          <w:szCs w:val="24"/>
        </w:rPr>
        <w:t>Fig. 1C, showed the panoramic view of the hepatocytes (black arrow) of the fish fed 4 mg/kg nanoselenium formulated diets`. It showed high focal fibrosis (FF), high fatty degeneration (FD) and hyplasia (HP) of fish liver tissue presented with typical cellular density and cellular distribution. There were obstructions of bile flow because of fat deposition within the central vein. This suggest that there were pathological changes in the liver.</w:t>
      </w:r>
    </w:p>
    <w:p w14:paraId="19EBC279" w14:textId="77777777" w:rsidR="00C244EE" w:rsidRDefault="00C244EE">
      <w:pPr>
        <w:jc w:val="both"/>
        <w:rPr>
          <w:rFonts w:ascii="Times New Roman" w:hAnsi="Times New Roman" w:cs="Times New Roman"/>
          <w:sz w:val="24"/>
          <w:szCs w:val="24"/>
        </w:rPr>
      </w:pPr>
    </w:p>
    <w:p w14:paraId="04906252" w14:textId="77777777" w:rsidR="00C244EE" w:rsidRDefault="00C244EE">
      <w:pPr>
        <w:jc w:val="both"/>
        <w:rPr>
          <w:rFonts w:ascii="Times New Roman" w:hAnsi="Times New Roman" w:cs="Times New Roman"/>
          <w:sz w:val="24"/>
          <w:szCs w:val="24"/>
        </w:rPr>
      </w:pPr>
    </w:p>
    <w:p w14:paraId="32188668" w14:textId="77777777" w:rsidR="00C244EE" w:rsidRDefault="00C244EE">
      <w:pPr>
        <w:jc w:val="both"/>
        <w:rPr>
          <w:rFonts w:ascii="Times New Roman" w:hAnsi="Times New Roman" w:cs="Times New Roman"/>
          <w:sz w:val="24"/>
          <w:szCs w:val="24"/>
        </w:rPr>
      </w:pPr>
    </w:p>
    <w:p w14:paraId="71E91A78" w14:textId="77777777" w:rsidR="00C244EE" w:rsidRDefault="00C244EE">
      <w:pPr>
        <w:jc w:val="both"/>
        <w:rPr>
          <w:rFonts w:ascii="Times New Roman" w:hAnsi="Times New Roman" w:cs="Times New Roman"/>
          <w:sz w:val="24"/>
          <w:szCs w:val="24"/>
        </w:rPr>
      </w:pPr>
    </w:p>
    <w:p w14:paraId="16A973DE" w14:textId="6D5C61FE" w:rsidR="00C244EE" w:rsidRDefault="00514234">
      <w:pPr>
        <w:jc w:val="both"/>
        <w:rPr>
          <w:rFonts w:ascii="Times New Roman" w:hAnsi="Times New Roman" w:cs="Times New Roman"/>
          <w:sz w:val="24"/>
          <w:szCs w:val="24"/>
        </w:rPr>
      </w:pPr>
      <w:r>
        <w:rPr>
          <w:noProof/>
        </w:rPr>
        <w:drawing>
          <wp:anchor distT="0" distB="0" distL="0" distR="0" simplePos="0" relativeHeight="251661312" behindDoc="0" locked="0" layoutInCell="1" allowOverlap="1" wp14:anchorId="0C284769" wp14:editId="00483D9F">
            <wp:simplePos x="0" y="0"/>
            <wp:positionH relativeFrom="page">
              <wp:posOffset>740410</wp:posOffset>
            </wp:positionH>
            <wp:positionV relativeFrom="page">
              <wp:posOffset>1597025</wp:posOffset>
            </wp:positionV>
            <wp:extent cx="4157330" cy="2243470"/>
            <wp:effectExtent l="0" t="0" r="0" b="0"/>
            <wp:wrapNone/>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0" cstate="print"/>
                    <a:srcRect/>
                    <a:stretch/>
                  </pic:blipFill>
                  <pic:spPr>
                    <a:xfrm>
                      <a:off x="0" y="0"/>
                      <a:ext cx="4161241" cy="2245580"/>
                    </a:xfrm>
                    <a:prstGeom prst="rect">
                      <a:avLst/>
                    </a:prstGeom>
                    <a:ln>
                      <a:noFill/>
                    </a:ln>
                  </pic:spPr>
                </pic:pic>
              </a:graphicData>
            </a:graphic>
            <wp14:sizeRelH relativeFrom="margin">
              <wp14:pctWidth>0</wp14:pctWidth>
            </wp14:sizeRelH>
            <wp14:sizeRelV relativeFrom="margin">
              <wp14:pctHeight>0</wp14:pctHeight>
            </wp14:sizeRelV>
          </wp:anchor>
        </w:drawing>
      </w:r>
    </w:p>
    <w:p w14:paraId="7DCED24D" w14:textId="77777777" w:rsidR="00C244EE" w:rsidRDefault="00C244EE">
      <w:pPr>
        <w:jc w:val="both"/>
        <w:rPr>
          <w:rFonts w:ascii="Times New Roman" w:hAnsi="Times New Roman" w:cs="Times New Roman"/>
          <w:sz w:val="24"/>
          <w:szCs w:val="24"/>
        </w:rPr>
      </w:pPr>
    </w:p>
    <w:p w14:paraId="0266DF32" w14:textId="77777777" w:rsidR="00C244EE" w:rsidRDefault="00C244EE">
      <w:pPr>
        <w:jc w:val="both"/>
        <w:rPr>
          <w:rFonts w:ascii="Times New Roman" w:hAnsi="Times New Roman" w:cs="Times New Roman"/>
          <w:sz w:val="24"/>
          <w:szCs w:val="24"/>
        </w:rPr>
      </w:pPr>
    </w:p>
    <w:p w14:paraId="3F8D2129" w14:textId="77777777" w:rsidR="00C244EE" w:rsidRDefault="00C244EE">
      <w:pPr>
        <w:jc w:val="both"/>
        <w:rPr>
          <w:rFonts w:ascii="Times New Roman" w:hAnsi="Times New Roman" w:cs="Times New Roman"/>
          <w:sz w:val="24"/>
          <w:szCs w:val="24"/>
        </w:rPr>
      </w:pPr>
    </w:p>
    <w:p w14:paraId="243DEAE1" w14:textId="77777777" w:rsidR="00C244EE" w:rsidRDefault="00C244EE">
      <w:pPr>
        <w:jc w:val="both"/>
        <w:rPr>
          <w:rFonts w:ascii="Times New Roman" w:hAnsi="Times New Roman" w:cs="Times New Roman"/>
          <w:sz w:val="24"/>
          <w:szCs w:val="24"/>
        </w:rPr>
      </w:pPr>
    </w:p>
    <w:p w14:paraId="76688111" w14:textId="77777777" w:rsidR="00C244EE" w:rsidRDefault="00C244EE">
      <w:pPr>
        <w:jc w:val="both"/>
        <w:rPr>
          <w:rFonts w:ascii="Times New Roman" w:hAnsi="Times New Roman" w:cs="Times New Roman"/>
          <w:sz w:val="24"/>
          <w:szCs w:val="24"/>
        </w:rPr>
      </w:pPr>
    </w:p>
    <w:p w14:paraId="0FFDFD4D" w14:textId="77777777" w:rsidR="00514234" w:rsidRDefault="00514234">
      <w:pPr>
        <w:jc w:val="both"/>
        <w:rPr>
          <w:rFonts w:ascii="Times New Roman" w:hAnsi="Times New Roman" w:cs="Times New Roman"/>
          <w:sz w:val="24"/>
          <w:szCs w:val="24"/>
        </w:rPr>
      </w:pPr>
    </w:p>
    <w:p w14:paraId="6408FA99" w14:textId="77777777" w:rsidR="00514234" w:rsidRDefault="00514234">
      <w:pPr>
        <w:jc w:val="both"/>
        <w:rPr>
          <w:rFonts w:ascii="Times New Roman" w:hAnsi="Times New Roman" w:cs="Times New Roman"/>
          <w:sz w:val="24"/>
          <w:szCs w:val="24"/>
        </w:rPr>
      </w:pPr>
    </w:p>
    <w:p w14:paraId="222C6662" w14:textId="77777777" w:rsidR="00C244EE" w:rsidRDefault="00000000">
      <w:pPr>
        <w:spacing w:line="220" w:lineRule="exact"/>
        <w:jc w:val="both"/>
        <w:rPr>
          <w:rFonts w:ascii="Times New Roman" w:hAnsi="Times New Roman" w:cs="Times New Roman"/>
          <w:sz w:val="24"/>
          <w:szCs w:val="24"/>
        </w:rPr>
      </w:pPr>
      <w:r>
        <w:rPr>
          <w:rFonts w:ascii="Times New Roman" w:hAnsi="Times New Roman" w:cs="Times New Roman"/>
          <w:sz w:val="24"/>
          <w:szCs w:val="24"/>
        </w:rPr>
        <w:lastRenderedPageBreak/>
        <w:t>Fig. 2: Histopathology of the gill of C. gariepinus fed different inclusion levels of nanoselenium formulated diets.</w:t>
      </w:r>
    </w:p>
    <w:p w14:paraId="1C608529"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Normal cellular arch of the gill. Primary lamella (PL), secondary lamella (SL) and cartilaginous core (CC) in fish gill fed the control diets.</w:t>
      </w:r>
    </w:p>
    <w:p w14:paraId="3DE13B47"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[B]Hyperplasia (HP), degeneration of the secondary lamella (DSL), necrosis (NC), oedematous changes (ED) and sloughing of epithelia tissue (SE) of fish fed 2 mg/kg nanoselenium formulated diets. </w:t>
      </w:r>
    </w:p>
    <w:p w14:paraId="04ABF447"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[C] Degeneration of the secondary lamella (DSL), fusion of the lamella (FL), necrosis (NC), oedematous changes (ED) and sloughing of the epithelia tissue (SE).</w:t>
      </w:r>
    </w:p>
    <w:p w14:paraId="53C70755" w14:textId="77777777" w:rsidR="00C244EE" w:rsidRDefault="00C244EE">
      <w:pPr>
        <w:spacing w:after="0" w:line="240" w:lineRule="auto"/>
        <w:jc w:val="both"/>
        <w:rPr>
          <w:rFonts w:ascii="Times New Roman" w:hAnsi="Times New Roman" w:cs="Times New Roman"/>
          <w:sz w:val="24"/>
          <w:szCs w:val="24"/>
        </w:rPr>
      </w:pPr>
    </w:p>
    <w:p w14:paraId="157122EB" w14:textId="77777777" w:rsidR="00C244E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Fig. 2A, showed typical histomorphological presentation of the gill filament of the fish fed the control diets with intact supporting cartilage surrounding the well-placed vasculature of the primary lamella from which the secondary lamella is jotting out. The secondary lamella appears to have begun to undergo slight degenerative changes, also slight changes in the cartilaginous core (CC) in fish gill fed the control diets. This suggesting possible slight histopathological alterations.</w:t>
      </w:r>
    </w:p>
    <w:p w14:paraId="30555F73"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Fig. 2B, showed typical histomorphological presentation of the gill filament of </w:t>
      </w:r>
      <w:r>
        <w:rPr>
          <w:rFonts w:ascii="Times New Roman" w:hAnsi="Times New Roman" w:cs="Times New Roman"/>
          <w:i/>
          <w:iCs/>
          <w:sz w:val="24"/>
          <w:szCs w:val="24"/>
        </w:rPr>
        <w:t xml:space="preserve">Clarias gariepinus </w:t>
      </w:r>
      <w:r>
        <w:rPr>
          <w:rFonts w:ascii="Times New Roman" w:hAnsi="Times New Roman" w:cs="Times New Roman"/>
          <w:sz w:val="24"/>
          <w:szCs w:val="24"/>
        </w:rPr>
        <w:t>fed with 2 mg/kg nanoselenium formulated diets with intact supporting cartilage surrounding the well-placed vasculature of the primary lamella from which the secondary lamella is jotting out. There was hyperplasia (HP), degeneration of the secondary lamella (DSL), necrosis (NC), oedematous changes (ED) and sloughing of epithelia tissue (SE) in the gill of fish fed 2 mg/kg nanoselenium formulated diet. Also, the secondary lamella appeared to have begun to undergo degenerative changes suggesting possible histopathological alterations.</w:t>
      </w:r>
    </w:p>
    <w:p w14:paraId="563B7C98" w14:textId="77777777" w:rsidR="00C244EE" w:rsidRDefault="00C244EE">
      <w:pPr>
        <w:spacing w:after="0"/>
        <w:jc w:val="both"/>
        <w:rPr>
          <w:rFonts w:ascii="Times New Roman" w:hAnsi="Times New Roman" w:cs="Times New Roman"/>
          <w:sz w:val="24"/>
          <w:szCs w:val="24"/>
        </w:rPr>
      </w:pPr>
    </w:p>
    <w:p w14:paraId="4327A770" w14:textId="77777777" w:rsidR="00C244EE"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Fig. 2C, typical histomorphology presentation of the gill filament of </w:t>
      </w:r>
      <w:r>
        <w:rPr>
          <w:rFonts w:ascii="Times New Roman" w:hAnsi="Times New Roman" w:cs="Times New Roman"/>
          <w:i/>
          <w:iCs/>
          <w:sz w:val="24"/>
          <w:szCs w:val="24"/>
        </w:rPr>
        <w:t>Clarias gariepinus</w:t>
      </w:r>
      <w:r>
        <w:rPr>
          <w:rFonts w:ascii="Times New Roman" w:hAnsi="Times New Roman" w:cs="Times New Roman"/>
          <w:sz w:val="24"/>
          <w:szCs w:val="24"/>
        </w:rPr>
        <w:t xml:space="preserve"> fed with 4 mg/kg nanoselenium formulated diets. It revealed the supporting cartilage surrounding the well-placed vasculature of the primary lamella from which the secondary lamella is jotting out. Degeneration of the secondary lamella (DSL), fusion of the lamella (FL), necrosis (NC), oedematous changes (ED) and sloughing of the epithelia tissue (SE) were seen in the gill of fish fed 4 mg/kg of nanoselenium formulated diets. There were possible histopathological alterations in this organ.</w:t>
      </w:r>
    </w:p>
    <w:p w14:paraId="634F53D2" w14:textId="77777777" w:rsidR="00C244EE" w:rsidRDefault="00C244EE">
      <w:pPr>
        <w:spacing w:after="0" w:line="240" w:lineRule="auto"/>
        <w:jc w:val="both"/>
        <w:rPr>
          <w:rFonts w:ascii="Times New Roman" w:hAnsi="Times New Roman" w:cs="Times New Roman"/>
          <w:b/>
        </w:rPr>
      </w:pPr>
    </w:p>
    <w:p w14:paraId="51966950" w14:textId="77777777" w:rsidR="005A39CC" w:rsidRDefault="005A39CC">
      <w:pPr>
        <w:spacing w:after="0" w:line="240" w:lineRule="auto"/>
        <w:jc w:val="both"/>
        <w:rPr>
          <w:rFonts w:ascii="Times New Roman" w:hAnsi="Times New Roman" w:cs="Times New Roman"/>
          <w:b/>
        </w:rPr>
      </w:pPr>
    </w:p>
    <w:p w14:paraId="754F7AD9" w14:textId="522787ED" w:rsidR="00C244EE" w:rsidRDefault="00000000">
      <w:pPr>
        <w:spacing w:after="0" w:line="240" w:lineRule="auto"/>
        <w:jc w:val="both"/>
        <w:rPr>
          <w:rFonts w:ascii="Times New Roman" w:hAnsi="Times New Roman" w:cs="Times New Roman"/>
          <w:iCs/>
          <w:color w:val="000000"/>
          <w:sz w:val="24"/>
          <w:szCs w:val="24"/>
        </w:rPr>
      </w:pPr>
      <w:r>
        <w:rPr>
          <w:rFonts w:ascii="Times New Roman" w:hAnsi="Times New Roman" w:cs="Times New Roman"/>
          <w:b/>
        </w:rPr>
        <w:t>4. DISCUSSION</w:t>
      </w:r>
    </w:p>
    <w:p w14:paraId="0528D5B1" w14:textId="77777777" w:rsidR="00C244EE" w:rsidRDefault="00C244EE">
      <w:pPr>
        <w:spacing w:after="0" w:line="240" w:lineRule="auto"/>
        <w:jc w:val="both"/>
        <w:rPr>
          <w:rFonts w:ascii="Times New Roman" w:hAnsi="Times New Roman" w:cs="Times New Roman"/>
          <w:iCs/>
          <w:color w:val="000000"/>
          <w:sz w:val="24"/>
          <w:szCs w:val="24"/>
        </w:rPr>
      </w:pPr>
    </w:p>
    <w:p w14:paraId="0A9A8859" w14:textId="77777777" w:rsidR="00C244EE" w:rsidRDefault="00000000">
      <w:pPr>
        <w:rPr>
          <w:rFonts w:ascii="Times New Roman" w:hAnsi="Times New Roman" w:cs="Times New Roman"/>
          <w:sz w:val="24"/>
          <w:szCs w:val="24"/>
        </w:rPr>
      </w:pPr>
      <w:r>
        <w:rPr>
          <w:rFonts w:ascii="Times New Roman" w:hAnsi="Times New Roman" w:cs="Times New Roman"/>
          <w:sz w:val="24"/>
          <w:szCs w:val="24"/>
        </w:rPr>
        <w:t xml:space="preserve">Physicochemical parameters are crucial factors put into consideration in the rearing of fish. They are significant parameters that restrict survival, growth, and distribution of fish [24]. As a result of the effect of physicochemical parameters, optimal tolerable range in the rearing media were maintained throughout the rearing period which reduce adverse effects </w:t>
      </w:r>
      <w:r>
        <w:rPr>
          <w:rFonts w:ascii="Times New Roman" w:hAnsi="Times New Roman" w:cs="Times New Roman"/>
          <w:color w:val="231F20"/>
          <w:sz w:val="24"/>
          <w:szCs w:val="24"/>
        </w:rPr>
        <w:t>on survival and the blood composition of the fish</w:t>
      </w:r>
      <w:r>
        <w:rPr>
          <w:rFonts w:ascii="Times New Roman" w:hAnsi="Times New Roman" w:cs="Times New Roman"/>
          <w:sz w:val="24"/>
          <w:szCs w:val="24"/>
        </w:rPr>
        <w:t>.</w:t>
      </w:r>
    </w:p>
    <w:p w14:paraId="656D75C7"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t>The inclusion of nanoselenium in the fish diets might be reason for the increase in crude protein as the concentration of the micronutrients increases, this is because nanoselenium contain some essential amino acids which has the tendency of increasing the protein content of the feed. The nutritive status of fish can be linked to the health status of animal and potential way they deal with stress [25</w:t>
      </w:r>
      <w:r>
        <w:rPr>
          <w:rFonts w:ascii="Times New Roman" w:hAnsi="Times New Roman" w:cs="Times New Roman"/>
          <w:sz w:val="24"/>
          <w:szCs w:val="24"/>
        </w:rPr>
        <w:t>, 26</w:t>
      </w:r>
      <w:r>
        <w:rPr>
          <w:rFonts w:ascii="Times New Roman" w:hAnsi="Times New Roman" w:cs="Times New Roman"/>
          <w:color w:val="231F20"/>
          <w:sz w:val="24"/>
          <w:szCs w:val="24"/>
        </w:rPr>
        <w:t xml:space="preserve">], resulting from their surrounding environment. </w:t>
      </w:r>
    </w:p>
    <w:p w14:paraId="334C3D05"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Biochemical indices such as AST, ALP, ALT, urea, uric acid, albumin etc. can be used to estimate the functionality of the fish organs such as the liver, gill, kidney, and heart. The high increase of AST, ALP and ALT activities of fish fed 4 mg/kg of nanoselenium in the fish diets are suggestive of hepatic cellular damage leading to their leakage in circulation [27, 28]. This equally means that the lowest value obtained for the same biochemical parameters of fish fed 2 mg/kg dietary nanoselenium are likely to be saved from hepatic cellular damage of the vital organs. As a result of this, there is possibility that 2 mg/kg nanoselenium in the fish diets of C. gariepinus can help in hepatic cellular activity stability.</w:t>
      </w:r>
    </w:p>
    <w:p w14:paraId="0ECDA79C" w14:textId="77777777" w:rsidR="00C244EE" w:rsidRDefault="00000000">
      <w:pPr>
        <w:jc w:val="both"/>
        <w:rPr>
          <w:rFonts w:ascii="Times New Roman" w:hAnsi="Times New Roman" w:cs="Times New Roman"/>
          <w:color w:val="231F20"/>
          <w:sz w:val="24"/>
          <w:szCs w:val="24"/>
        </w:rPr>
      </w:pPr>
      <w:r>
        <w:rPr>
          <w:rFonts w:ascii="Times New Roman" w:hAnsi="Times New Roman" w:cs="Times New Roman"/>
          <w:color w:val="231F20"/>
          <w:sz w:val="24"/>
          <w:szCs w:val="24"/>
        </w:rPr>
        <w:t>The high-density lipoproteins cholesterol (HDL-C) helps in removing other form of cholesterol in the body systems of fish. The high value of HDL-Cholesterol in control revealed that the heart organs of fish are at lower risk of heart diseases as compared to fish fed 4 mg/kg of nanoselenium formulated diets which has the lowest value. The low-density lipoproteins (LDL-C) is of high value in the fish fed the control diets, this simply mean that as the inclusion level of nanoselenium increase the LDL-C significantly decrease.</w:t>
      </w:r>
    </w:p>
    <w:p w14:paraId="02A3C765" w14:textId="77777777" w:rsidR="00C244EE" w:rsidRDefault="00000000">
      <w:pPr>
        <w:jc w:val="both"/>
        <w:rPr>
          <w:rStyle w:val="e24kjd"/>
          <w:rFonts w:ascii="Times New Roman" w:hAnsi="Times New Roman" w:cs="Times New Roman"/>
          <w:sz w:val="24"/>
          <w:szCs w:val="24"/>
        </w:rPr>
      </w:pPr>
      <w:r>
        <w:rPr>
          <w:rFonts w:ascii="Times New Roman" w:hAnsi="Times New Roman" w:cs="Times New Roman"/>
          <w:color w:val="231F20"/>
          <w:sz w:val="24"/>
          <w:szCs w:val="24"/>
        </w:rPr>
        <w:t xml:space="preserve">Antioxidant which are known to be oxidative stress biomarker are playing important roles in fish growth, preventing oxidative reaction in fish. </w:t>
      </w:r>
      <w:r>
        <w:rPr>
          <w:rStyle w:val="e24kjd"/>
          <w:rFonts w:ascii="Times New Roman" w:hAnsi="Times New Roman" w:cs="Times New Roman"/>
          <w:bCs/>
          <w:sz w:val="24"/>
          <w:szCs w:val="24"/>
        </w:rPr>
        <w:t>Superoxide dismutase</w:t>
      </w:r>
      <w:r>
        <w:rPr>
          <w:rStyle w:val="e24kjd"/>
          <w:rFonts w:ascii="Times New Roman" w:hAnsi="Times New Roman" w:cs="Times New Roman"/>
          <w:sz w:val="24"/>
          <w:szCs w:val="24"/>
        </w:rPr>
        <w:t xml:space="preserve"> is an enzyme that helps break down potentially harmful oxygen molecules in cells, which prevent damage to tissues and vital body organs and GPx </w:t>
      </w:r>
      <w:r>
        <w:rPr>
          <w:rFonts w:ascii="Times New Roman" w:hAnsi="Times New Roman" w:cs="Times New Roman"/>
          <w:sz w:val="24"/>
          <w:szCs w:val="24"/>
        </w:rPr>
        <w:t xml:space="preserve">biological role is to protect the organism from oxidative damage that might arise from enzymatic reaction. These two important enzymes play important roles in the build-up of the fish body organs. The GPx and the malondialdehyde (MDA) of gills and livers of </w:t>
      </w:r>
      <w:r>
        <w:rPr>
          <w:rFonts w:ascii="Times New Roman" w:hAnsi="Times New Roman" w:cs="Times New Roman"/>
          <w:i/>
          <w:sz w:val="24"/>
          <w:szCs w:val="24"/>
        </w:rPr>
        <w:t>C. gariepinus</w:t>
      </w:r>
      <w:r>
        <w:rPr>
          <w:rFonts w:ascii="Times New Roman" w:hAnsi="Times New Roman" w:cs="Times New Roman"/>
          <w:sz w:val="24"/>
          <w:szCs w:val="24"/>
        </w:rPr>
        <w:t xml:space="preserve"> fed 2 mg/kg of nanoselenium increase significantly as compared to those fed 4 mg/kg nanoselenium formulated diet. As a result of this increase in the two important oxidative indices, the normal activities of the gill function which serve as a vital respiratory organ might increase in fish fed 2 mg/kg nanoselenium formulated diet</w:t>
      </w:r>
      <w:r>
        <w:rPr>
          <w:rStyle w:val="e24kjd"/>
          <w:rFonts w:ascii="Times New Roman" w:hAnsi="Times New Roman" w:cs="Times New Roman"/>
          <w:sz w:val="24"/>
          <w:szCs w:val="24"/>
        </w:rPr>
        <w:t>.</w:t>
      </w:r>
    </w:p>
    <w:p w14:paraId="60251840" w14:textId="77777777" w:rsidR="00C244EE" w:rsidRDefault="00000000">
      <w:pPr>
        <w:jc w:val="both"/>
        <w:rPr>
          <w:rStyle w:val="e24kjd"/>
          <w:rFonts w:ascii="Times New Roman" w:hAnsi="Times New Roman" w:cs="Times New Roman"/>
          <w:sz w:val="24"/>
          <w:szCs w:val="24"/>
        </w:rPr>
      </w:pPr>
      <w:r>
        <w:rPr>
          <w:rStyle w:val="e24kjd"/>
          <w:rFonts w:ascii="Times New Roman" w:hAnsi="Times New Roman" w:cs="Times New Roman"/>
          <w:sz w:val="24"/>
          <w:szCs w:val="24"/>
        </w:rPr>
        <w:t>The alteration in the liver of fish fed 4 mg/kg nanoselenium formulated diets revealed some histopathological changes such as obstruction of the bile and fatty degeneration which might be because of increased concentration of the nanoselenium. This simply mean that, concentration at 4 mg/kg nanoselenium formulated diets and above will possibly alter normal function of the liver which is a vital fish organ known to be the main target organ of selenium toxicity [29], this agreed with the statement of [30], which reported that liver is the target organ of different xenobiotic substances.</w:t>
      </w:r>
    </w:p>
    <w:p w14:paraId="0A202FB0" w14:textId="77777777" w:rsidR="00C244EE" w:rsidRDefault="00000000">
      <w:pPr>
        <w:jc w:val="both"/>
        <w:rPr>
          <w:rStyle w:val="e24kjd"/>
          <w:rFonts w:ascii="Times New Roman" w:hAnsi="Times New Roman" w:cs="Times New Roman"/>
          <w:sz w:val="24"/>
          <w:szCs w:val="24"/>
        </w:rPr>
      </w:pPr>
      <w:r>
        <w:rPr>
          <w:rStyle w:val="e24kjd"/>
          <w:rFonts w:ascii="Times New Roman" w:hAnsi="Times New Roman" w:cs="Times New Roman"/>
          <w:sz w:val="24"/>
          <w:szCs w:val="24"/>
        </w:rPr>
        <w:t>Also, the changes observed in the gills of all the dietary treatments and the control can be due to stress in the management process and not only from dietary nanoselenium intake. But the degeneration of the lamella, oedematous change, and necrosis of the gills in fish fed 4 mg/kg of nanoselenium formulated diet were more pronounced as compared to the gill of fish fed 2 mg/kg of nanoselenium formulated diets which are indications of environmental stress. The reason could be that concentration of nanoselenium beyond a tolerable range for fish might be a contributing factor to stress which could be a factor contributing to the alterations of the gills with tendency to increase the mortality rate of fish fed 4 mg/kg nanoselenium formulated diets.</w:t>
      </w:r>
    </w:p>
    <w:p w14:paraId="0FD234A7" w14:textId="1BAB1B1B" w:rsidR="00C244EE" w:rsidRDefault="00514234">
      <w:pPr>
        <w:spacing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Conclusion :</w:t>
      </w:r>
      <w:proofErr w:type="gramEnd"/>
      <w:r>
        <w:rPr>
          <w:rFonts w:ascii="Times New Roman" w:hAnsi="Times New Roman" w:cs="Times New Roman"/>
          <w:color w:val="231F20"/>
          <w:sz w:val="24"/>
          <w:szCs w:val="24"/>
        </w:rPr>
        <w:t xml:space="preserve"> the study indicated that dietary inclusion at 2 mg/kg nanoselenium formulated diets had better effect on biochemical profile and histopathology of the fish in vital organs with less stress on the fish health as compared to 4 mg/kg nanoselenium formulated diets. More research work needs to be conducted on the two dietary concentrations on </w:t>
      </w:r>
      <w:r>
        <w:rPr>
          <w:rFonts w:ascii="Times New Roman" w:hAnsi="Times New Roman" w:cs="Times New Roman"/>
          <w:i/>
          <w:color w:val="231F20"/>
          <w:sz w:val="24"/>
          <w:szCs w:val="24"/>
        </w:rPr>
        <w:t>Clarias gariepinus</w:t>
      </w:r>
      <w:r>
        <w:rPr>
          <w:rFonts w:ascii="Times New Roman" w:hAnsi="Times New Roman" w:cs="Times New Roman"/>
          <w:color w:val="231F20"/>
          <w:sz w:val="24"/>
          <w:szCs w:val="24"/>
        </w:rPr>
        <w:t xml:space="preserve"> in other vital organs such as heart and kidney as well as fish muscle for a prolong period to reveal their impacts.</w:t>
      </w:r>
    </w:p>
    <w:p w14:paraId="0E3AA99C" w14:textId="77777777" w:rsidR="00C244EE" w:rsidRDefault="00C244EE">
      <w:pPr>
        <w:jc w:val="both"/>
        <w:rPr>
          <w:rFonts w:ascii="Times New Roman" w:hAnsi="Times New Roman" w:cs="Times New Roman"/>
          <w:b/>
          <w:color w:val="231F20"/>
          <w:sz w:val="24"/>
          <w:szCs w:val="24"/>
        </w:rPr>
      </w:pPr>
    </w:p>
    <w:p w14:paraId="7B898F53" w14:textId="77777777" w:rsidR="00C244EE" w:rsidRDefault="00000000">
      <w:pPr>
        <w:jc w:val="both"/>
        <w:rPr>
          <w:rFonts w:ascii="Times New Roman" w:hAnsi="Times New Roman" w:cs="Times New Roman"/>
          <w:b/>
          <w:color w:val="231F20"/>
          <w:sz w:val="24"/>
          <w:szCs w:val="24"/>
        </w:rPr>
      </w:pPr>
      <w:r>
        <w:rPr>
          <w:rFonts w:ascii="Times New Roman" w:hAnsi="Times New Roman" w:cs="Times New Roman"/>
          <w:b/>
          <w:color w:val="231F20"/>
          <w:sz w:val="24"/>
          <w:szCs w:val="24"/>
        </w:rPr>
        <w:t>REFERENCES</w:t>
      </w:r>
    </w:p>
    <w:p w14:paraId="674C5232"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(2007). Food and Agriculture Organization of the United </w:t>
      </w:r>
      <w:r>
        <w:rPr>
          <w:rFonts w:ascii="Times New Roman" w:hAnsi="Times New Roman" w:cs="Times New Roman"/>
          <w:sz w:val="24"/>
          <w:szCs w:val="24"/>
        </w:rPr>
        <w:tab/>
        <w:t xml:space="preserve">Nations. The State of World Fisheries and Aquaculture 2006. FAO Fisheries Department, </w:t>
      </w:r>
      <w:r>
        <w:rPr>
          <w:rFonts w:ascii="Times New Roman" w:hAnsi="Times New Roman" w:cs="Times New Roman"/>
          <w:sz w:val="24"/>
          <w:szCs w:val="24"/>
        </w:rPr>
        <w:tab/>
        <w:t>Rome Italy, 30pp.</w:t>
      </w:r>
    </w:p>
    <w:p w14:paraId="75FA297E"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Oken E, Guthrie LB, Bloomingdale A, Platek D N, Price S, Haines J, et al (2013). A pilot </w:t>
      </w:r>
      <w:r>
        <w:rPr>
          <w:rFonts w:ascii="Times New Roman" w:hAnsi="Times New Roman" w:cs="Times New Roman"/>
          <w:sz w:val="24"/>
          <w:szCs w:val="24"/>
        </w:rPr>
        <w:tab/>
        <w:t xml:space="preserve">randomized controlled trial to promote healthful fish consumption during </w:t>
      </w:r>
      <w:r>
        <w:rPr>
          <w:rFonts w:ascii="Times New Roman" w:hAnsi="Times New Roman" w:cs="Times New Roman"/>
          <w:sz w:val="24"/>
          <w:szCs w:val="24"/>
        </w:rPr>
        <w:tab/>
        <w:t>pregnancy: the</w:t>
      </w:r>
      <w:r>
        <w:rPr>
          <w:rFonts w:ascii="Times New Roman" w:hAnsi="Times New Roman" w:cs="Times New Roman"/>
          <w:sz w:val="24"/>
          <w:szCs w:val="24"/>
        </w:rPr>
        <w:tab/>
      </w:r>
      <w:r>
        <w:rPr>
          <w:rFonts w:ascii="Times New Roman" w:hAnsi="Times New Roman" w:cs="Times New Roman"/>
          <w:sz w:val="24"/>
          <w:szCs w:val="24"/>
        </w:rPr>
        <w:tab/>
        <w:t>food for thought study. Nutr J. 2013; 12:33. doi:10.1186/1475-2891-12-33.</w:t>
      </w:r>
    </w:p>
    <w:p w14:paraId="1916C51B"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Olaosebikan B.D and Raji. A (2013). Field guide to Nigerian Freshwater fishes. Revised </w:t>
      </w:r>
      <w:r>
        <w:rPr>
          <w:rFonts w:ascii="Times New Roman" w:hAnsi="Times New Roman" w:cs="Times New Roman"/>
          <w:sz w:val="24"/>
          <w:szCs w:val="24"/>
        </w:rPr>
        <w:tab/>
        <w:t>edition. Federal College of Freshwater Fisheries Technology, New-Buss, Nigeria. 143pp</w:t>
      </w:r>
    </w:p>
    <w:p w14:paraId="199459E1"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bookmarkStart w:id="0" w:name="_Hlk129427838"/>
      <w:r>
        <w:rPr>
          <w:rFonts w:ascii="Times New Roman" w:hAnsi="Times New Roman" w:cs="Times New Roman"/>
          <w:sz w:val="24"/>
          <w:szCs w:val="24"/>
        </w:rPr>
        <w:t>Owolabi O.D and Babarinsa M.K (2020). Assessment of growth performance, nutrient utilization,</w:t>
      </w:r>
      <w:r>
        <w:rPr>
          <w:rFonts w:ascii="Times New Roman" w:hAnsi="Times New Roman" w:cs="Times New Roman"/>
          <w:sz w:val="24"/>
          <w:szCs w:val="24"/>
        </w:rPr>
        <w:tab/>
        <w:t xml:space="preserve">and haematological profile of </w:t>
      </w:r>
      <w:r>
        <w:rPr>
          <w:rFonts w:ascii="Times New Roman" w:hAnsi="Times New Roman" w:cs="Times New Roman"/>
          <w:i/>
          <w:sz w:val="24"/>
          <w:szCs w:val="24"/>
        </w:rPr>
        <w:t>Clarias gariepinus</w:t>
      </w:r>
      <w:r>
        <w:rPr>
          <w:rFonts w:ascii="Times New Roman" w:hAnsi="Times New Roman" w:cs="Times New Roman"/>
          <w:sz w:val="24"/>
          <w:szCs w:val="24"/>
        </w:rPr>
        <w:t xml:space="preserve"> fed with nanoselenium formulated diets. </w:t>
      </w:r>
      <w:r>
        <w:rPr>
          <w:rFonts w:ascii="Times New Roman" w:hAnsi="Times New Roman" w:cs="Times New Roman"/>
          <w:sz w:val="24"/>
          <w:szCs w:val="24"/>
        </w:rPr>
        <w:tab/>
        <w:t xml:space="preserve">IOP </w:t>
      </w:r>
      <w:r>
        <w:rPr>
          <w:rFonts w:ascii="Times New Roman" w:hAnsi="Times New Roman" w:cs="Times New Roman"/>
          <w:sz w:val="24"/>
          <w:szCs w:val="24"/>
        </w:rPr>
        <w:tab/>
        <w:t xml:space="preserve">Conf. Ser.: Mater. Sci. Eng. </w:t>
      </w:r>
      <w:r>
        <w:rPr>
          <w:rFonts w:ascii="Times New Roman" w:hAnsi="Times New Roman" w:cs="Times New Roman"/>
          <w:b/>
          <w:bCs/>
          <w:sz w:val="24"/>
          <w:szCs w:val="24"/>
        </w:rPr>
        <w:t>805</w:t>
      </w:r>
      <w:r>
        <w:rPr>
          <w:rFonts w:ascii="Times New Roman" w:hAnsi="Times New Roman" w:cs="Times New Roman"/>
          <w:sz w:val="24"/>
          <w:szCs w:val="24"/>
        </w:rPr>
        <w:t xml:space="preserve"> 012014. doi:10.1088/1757-899X/805/1/012014</w:t>
      </w:r>
    </w:p>
    <w:bookmarkEnd w:id="0"/>
    <w:p w14:paraId="6B48C1A3"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Reeves M.A and Hoffmann P.R (2009). The human selenoproteome: recent insights into functions</w:t>
      </w:r>
      <w:r>
        <w:rPr>
          <w:rFonts w:ascii="Times New Roman" w:hAnsi="Times New Roman" w:cs="Times New Roman"/>
          <w:sz w:val="24"/>
          <w:szCs w:val="24"/>
        </w:rPr>
        <w:tab/>
        <w:t xml:space="preserve"> and regulation. Cellular and molecular life sciences. Vol 66, issue 15, pp 2457-2478</w:t>
      </w:r>
    </w:p>
    <w:p w14:paraId="61396D32"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Coppo J.A, Mussart N.B and Fioranelli S.A (2002). Physiological variations of enzymatic </w:t>
      </w:r>
      <w:r>
        <w:rPr>
          <w:rFonts w:ascii="Times New Roman" w:hAnsi="Times New Roman" w:cs="Times New Roman"/>
          <w:sz w:val="24"/>
          <w:szCs w:val="24"/>
        </w:rPr>
        <w:tab/>
        <w:t xml:space="preserve">activities in blood of Bullfrog, </w:t>
      </w:r>
      <w:r>
        <w:rPr>
          <w:rFonts w:ascii="Times New Roman" w:hAnsi="Times New Roman" w:cs="Times New Roman"/>
          <w:i/>
          <w:sz w:val="24"/>
          <w:szCs w:val="24"/>
        </w:rPr>
        <w:t>Rana catesbeina</w:t>
      </w:r>
      <w:r>
        <w:rPr>
          <w:rFonts w:ascii="Times New Roman" w:hAnsi="Times New Roman" w:cs="Times New Roman"/>
          <w:sz w:val="24"/>
          <w:szCs w:val="24"/>
        </w:rPr>
        <w:t xml:space="preserve"> (Shaw, 1802). Rev.vet. 12(13): 22-27.</w:t>
      </w:r>
    </w:p>
    <w:p w14:paraId="731EEF0D"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Patti M and Kulkarni R.S (1993). Ovarian and hepatic biochemical response to sumaach (a crude form </w:t>
      </w:r>
      <w:r>
        <w:rPr>
          <w:rFonts w:ascii="Times New Roman" w:hAnsi="Times New Roman" w:cs="Times New Roman"/>
          <w:sz w:val="24"/>
          <w:szCs w:val="24"/>
        </w:rPr>
        <w:tab/>
        <w:t xml:space="preserve">of HCG) in fish, </w:t>
      </w:r>
      <w:r>
        <w:rPr>
          <w:rFonts w:ascii="Times New Roman" w:hAnsi="Times New Roman" w:cs="Times New Roman"/>
          <w:i/>
          <w:sz w:val="24"/>
          <w:szCs w:val="24"/>
        </w:rPr>
        <w:t>Notopterus notopterus pallas</w:t>
      </w:r>
      <w:r>
        <w:rPr>
          <w:rFonts w:ascii="Times New Roman" w:hAnsi="Times New Roman" w:cs="Times New Roman"/>
          <w:sz w:val="24"/>
          <w:szCs w:val="24"/>
        </w:rPr>
        <w:t>, under pesticide treatment. Geobios.</w:t>
      </w:r>
      <w:r>
        <w:rPr>
          <w:rFonts w:ascii="Times New Roman" w:hAnsi="Times New Roman" w:cs="Times New Roman"/>
          <w:sz w:val="24"/>
          <w:szCs w:val="24"/>
        </w:rPr>
        <w:tab/>
        <w:t xml:space="preserve"> 20:255-259.</w:t>
      </w:r>
    </w:p>
    <w:p w14:paraId="04C5C867"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Oken E, Guthrie LB, Bloomingdale A, Platek D N, Price S, Haines J, et al (2013). A pilot </w:t>
      </w:r>
      <w:r>
        <w:rPr>
          <w:rFonts w:ascii="Times New Roman" w:hAnsi="Times New Roman" w:cs="Times New Roman"/>
          <w:sz w:val="24"/>
          <w:szCs w:val="24"/>
        </w:rPr>
        <w:tab/>
        <w:t xml:space="preserve">randomized controlled trial to promote healthful fish consumption during </w:t>
      </w:r>
      <w:r>
        <w:rPr>
          <w:rFonts w:ascii="Times New Roman" w:hAnsi="Times New Roman" w:cs="Times New Roman"/>
          <w:sz w:val="24"/>
          <w:szCs w:val="24"/>
        </w:rPr>
        <w:tab/>
        <w:t>pregnancy: the food for thought study. Nutr J. 2013; 12:33. doi:10.1186/1475-2891-12-33.</w:t>
      </w:r>
    </w:p>
    <w:p w14:paraId="32A5C281"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Shalaby A.M.E (2009). The opposing effects of ascorbic acid (vitamin C) on ochratoxin toxicity</w:t>
      </w:r>
      <w:r>
        <w:rPr>
          <w:rFonts w:ascii="Times New Roman" w:hAnsi="Times New Roman" w:cs="Times New Roman"/>
          <w:sz w:val="24"/>
          <w:szCs w:val="24"/>
        </w:rPr>
        <w:tab/>
        <w:t>in Nile tilapia (</w:t>
      </w:r>
      <w:r>
        <w:rPr>
          <w:rFonts w:ascii="Times New Roman" w:hAnsi="Times New Roman" w:cs="Times New Roman"/>
          <w:i/>
          <w:sz w:val="24"/>
          <w:szCs w:val="24"/>
        </w:rPr>
        <w:t>Oreochromis niloticus</w:t>
      </w: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http://www.ag.arizona.edu/ista/ista6web/pdf/209.pdf. Retrieved: 05-04-09.</w:t>
      </w:r>
    </w:p>
    <w:p w14:paraId="1C23935A"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Wells R.M, McIntyre R.H, Morgan A.K and Davie P.S (1986). Physiological stress response in</w:t>
      </w:r>
      <w:r>
        <w:rPr>
          <w:rFonts w:ascii="Times New Roman" w:hAnsi="Times New Roman" w:cs="Times New Roman"/>
          <w:sz w:val="24"/>
          <w:szCs w:val="24"/>
        </w:rPr>
        <w:tab/>
      </w:r>
      <w:r>
        <w:rPr>
          <w:rFonts w:ascii="Times New Roman" w:hAnsi="Times New Roman" w:cs="Times New Roman"/>
          <w:sz w:val="24"/>
          <w:szCs w:val="24"/>
        </w:rPr>
        <w:tab/>
        <w:t xml:space="preserve"> big game fish after exposure: Observation on plasma chemistry and blood factors.</w:t>
      </w:r>
      <w:r>
        <w:rPr>
          <w:rFonts w:ascii="Times New Roman" w:hAnsi="Times New Roman" w:cs="Times New Roman"/>
          <w:i/>
          <w:sz w:val="24"/>
          <w:szCs w:val="24"/>
        </w:rPr>
        <w:t>Comp.</w:t>
      </w:r>
      <w:r>
        <w:rPr>
          <w:rFonts w:ascii="Times New Roman" w:hAnsi="Times New Roman" w:cs="Times New Roman"/>
          <w:i/>
          <w:sz w:val="24"/>
          <w:szCs w:val="24"/>
        </w:rPr>
        <w:tab/>
      </w:r>
      <w:r>
        <w:rPr>
          <w:rFonts w:ascii="Times New Roman" w:hAnsi="Times New Roman" w:cs="Times New Roman"/>
          <w:i/>
          <w:sz w:val="24"/>
          <w:szCs w:val="24"/>
        </w:rPr>
        <w:tab/>
        <w:t xml:space="preserve"> Biochem physio</w:t>
      </w:r>
      <w:r>
        <w:rPr>
          <w:rFonts w:ascii="Times New Roman" w:hAnsi="Times New Roman" w:cs="Times New Roman"/>
          <w:sz w:val="24"/>
          <w:szCs w:val="24"/>
        </w:rPr>
        <w:t>l. 84:565-571.</w:t>
      </w:r>
    </w:p>
    <w:p w14:paraId="1BD897EC"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Martinez C.B.R, NAGAE M.Y, Zaia C.T.B.V and Zaia D.A.M (2004). Morphological and </w:t>
      </w:r>
      <w:r>
        <w:rPr>
          <w:rFonts w:ascii="Times New Roman" w:hAnsi="Times New Roman" w:cs="Times New Roman"/>
          <w:sz w:val="24"/>
          <w:szCs w:val="24"/>
        </w:rPr>
        <w:tab/>
        <w:t xml:space="preserve">physiological acute effects of lead in the neotropical fish, </w:t>
      </w:r>
      <w:r>
        <w:rPr>
          <w:rFonts w:ascii="Times New Roman" w:hAnsi="Times New Roman" w:cs="Times New Roman"/>
          <w:i/>
          <w:sz w:val="24"/>
          <w:szCs w:val="24"/>
        </w:rPr>
        <w:t>Prochilodus lineatus</w:t>
      </w:r>
      <w:r>
        <w:rPr>
          <w:rFonts w:ascii="Times New Roman" w:hAnsi="Times New Roman" w:cs="Times New Roman"/>
          <w:sz w:val="24"/>
          <w:szCs w:val="24"/>
        </w:rPr>
        <w:t xml:space="preserve">. </w:t>
      </w:r>
      <w:r>
        <w:rPr>
          <w:rFonts w:ascii="Times New Roman" w:hAnsi="Times New Roman" w:cs="Times New Roman"/>
          <w:i/>
          <w:sz w:val="24"/>
          <w:szCs w:val="24"/>
        </w:rPr>
        <w:t>Braz. J.</w:t>
      </w:r>
      <w:r>
        <w:rPr>
          <w:rFonts w:ascii="Times New Roman" w:hAnsi="Times New Roman" w:cs="Times New Roman"/>
          <w:i/>
          <w:sz w:val="24"/>
          <w:szCs w:val="24"/>
        </w:rPr>
        <w:tab/>
      </w:r>
      <w:r>
        <w:rPr>
          <w:rFonts w:ascii="Times New Roman" w:hAnsi="Times New Roman" w:cs="Times New Roman"/>
          <w:i/>
          <w:sz w:val="24"/>
          <w:szCs w:val="24"/>
        </w:rPr>
        <w:tab/>
        <w:t xml:space="preserve"> Boil</w:t>
      </w:r>
      <w:r>
        <w:rPr>
          <w:rFonts w:ascii="Times New Roman" w:hAnsi="Times New Roman" w:cs="Times New Roman"/>
          <w:sz w:val="24"/>
          <w:szCs w:val="24"/>
        </w:rPr>
        <w:t xml:space="preserve">. </w:t>
      </w:r>
      <w:r>
        <w:rPr>
          <w:rFonts w:ascii="Times New Roman" w:hAnsi="Times New Roman" w:cs="Times New Roman"/>
          <w:sz w:val="24"/>
          <w:szCs w:val="24"/>
        </w:rPr>
        <w:tab/>
        <w:t>64:797-807.</w:t>
      </w:r>
    </w:p>
    <w:p w14:paraId="5F49035D"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Van der Oost. R, Satumalay A.I and Vermeulen N.P.F (2000). Validation of inland water pollution assessment using biomarker response in caged carp (</w:t>
      </w:r>
      <w:r>
        <w:rPr>
          <w:rFonts w:ascii="Times New Roman" w:hAnsi="Times New Roman" w:cs="Times New Roman"/>
          <w:i/>
          <w:sz w:val="24"/>
          <w:szCs w:val="24"/>
        </w:rPr>
        <w:t>Cyprinus carpio</w:t>
      </w:r>
      <w:r>
        <w:rPr>
          <w:rFonts w:ascii="Times New Roman" w:hAnsi="Times New Roman" w:cs="Times New Roman"/>
          <w:sz w:val="24"/>
          <w:szCs w:val="24"/>
        </w:rPr>
        <w:t>). Mar. Environ Res., 50: 431-432.</w:t>
      </w:r>
    </w:p>
    <w:p w14:paraId="0F12DD55"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Gabriel U.U and George A.O.I (2005). Plasma enzymes in </w:t>
      </w:r>
      <w:r>
        <w:rPr>
          <w:rFonts w:ascii="Times New Roman" w:hAnsi="Times New Roman" w:cs="Times New Roman"/>
          <w:i/>
          <w:iCs/>
          <w:sz w:val="24"/>
          <w:szCs w:val="24"/>
        </w:rPr>
        <w:t>Clarias gariepinus</w:t>
      </w:r>
      <w:r>
        <w:rPr>
          <w:rFonts w:ascii="Times New Roman" w:hAnsi="Times New Roman" w:cs="Times New Roman"/>
          <w:sz w:val="24"/>
          <w:szCs w:val="24"/>
        </w:rPr>
        <w:t xml:space="preserve"> exposed to </w:t>
      </w:r>
      <w:r>
        <w:rPr>
          <w:rFonts w:ascii="Times New Roman" w:hAnsi="Times New Roman" w:cs="Times New Roman"/>
          <w:sz w:val="24"/>
          <w:szCs w:val="24"/>
        </w:rPr>
        <w:tab/>
        <w:t xml:space="preserve">chronic levels of Roundup (glyphosate). </w:t>
      </w:r>
      <w:r>
        <w:rPr>
          <w:rFonts w:ascii="Times New Roman" w:hAnsi="Times New Roman" w:cs="Times New Roman"/>
          <w:i/>
          <w:sz w:val="24"/>
          <w:szCs w:val="24"/>
        </w:rPr>
        <w:t>Environ. Ecol</w:t>
      </w:r>
      <w:r>
        <w:rPr>
          <w:rFonts w:ascii="Times New Roman" w:hAnsi="Times New Roman" w:cs="Times New Roman"/>
          <w:sz w:val="24"/>
          <w:szCs w:val="24"/>
        </w:rPr>
        <w:t>., 23(2):271-276.</w:t>
      </w:r>
    </w:p>
    <w:p w14:paraId="61C1B17C" w14:textId="77777777" w:rsidR="00C244EE" w:rsidRDefault="00000000">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Zhou X, Wang Y, Gu Q, Li W (2009). Effects of different dietary selenium sources (selenium </w:t>
      </w:r>
      <w:r>
        <w:rPr>
          <w:rFonts w:ascii="Times New Roman" w:hAnsi="Times New Roman" w:cs="Times New Roman"/>
          <w:sz w:val="24"/>
          <w:szCs w:val="24"/>
        </w:rPr>
        <w:tab/>
        <w:t xml:space="preserve">nanoparticle and selenomethionine) on growth performance, muscle composition and </w:t>
      </w:r>
      <w:r>
        <w:rPr>
          <w:rFonts w:ascii="Times New Roman" w:hAnsi="Times New Roman" w:cs="Times New Roman"/>
          <w:sz w:val="24"/>
          <w:szCs w:val="24"/>
        </w:rPr>
        <w:tab/>
        <w:t>glutathione peroxidase enzyme activity of Crucian carp (</w:t>
      </w:r>
      <w:r>
        <w:rPr>
          <w:rFonts w:ascii="Times New Roman" w:hAnsi="Times New Roman" w:cs="Times New Roman"/>
          <w:i/>
          <w:iCs/>
          <w:sz w:val="24"/>
          <w:szCs w:val="24"/>
        </w:rPr>
        <w:t>Carassius auratus gibelio</w:t>
      </w:r>
      <w:r>
        <w:rPr>
          <w:rFonts w:ascii="Times New Roman" w:hAnsi="Times New Roman" w:cs="Times New Roman"/>
          <w:sz w:val="24"/>
          <w:szCs w:val="24"/>
        </w:rPr>
        <w:t xml:space="preserve">). </w:t>
      </w:r>
      <w:r>
        <w:rPr>
          <w:rFonts w:ascii="Times New Roman" w:hAnsi="Times New Roman" w:cs="Times New Roman"/>
          <w:sz w:val="24"/>
          <w:szCs w:val="24"/>
        </w:rPr>
        <w:tab/>
        <w:t>Aquaculture 291: 78-81.</w:t>
      </w:r>
    </w:p>
    <w:p w14:paraId="5EC2D74F"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Csilla P. and Miklos M. (2013). Myths and facts about the effects of nanoselenium in farm animals- mini review. Eur. Chem. Bull., 2013, 2(12), 1049-1052.</w:t>
      </w:r>
    </w:p>
    <w:p w14:paraId="73CAD5CD"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Khan, K.U., Zuberi, A., Nazir, S., Fernandes, J.B.K., Jamil, Z., Sarwar, H. (2016). Effects of </w:t>
      </w:r>
      <w:r>
        <w:rPr>
          <w:rFonts w:ascii="Times New Roman" w:hAnsi="Times New Roman" w:cs="Times New Roman"/>
          <w:sz w:val="24"/>
          <w:szCs w:val="24"/>
        </w:rPr>
        <w:tab/>
        <w:t>dietary</w:t>
      </w:r>
      <w:r>
        <w:rPr>
          <w:rFonts w:ascii="Times New Roman" w:hAnsi="Times New Roman" w:cs="Times New Roman"/>
          <w:sz w:val="24"/>
          <w:szCs w:val="24"/>
        </w:rPr>
        <w:tab/>
        <w:t xml:space="preserve">selenium nanoparticles on physiological and biochemical aspects of juvenile </w:t>
      </w:r>
      <w:r>
        <w:rPr>
          <w:rFonts w:ascii="Times New Roman" w:hAnsi="Times New Roman" w:cs="Times New Roman"/>
          <w:i/>
          <w:sz w:val="24"/>
          <w:szCs w:val="24"/>
        </w:rPr>
        <w:t xml:space="preserve">Tor </w:t>
      </w:r>
      <w:r>
        <w:rPr>
          <w:rFonts w:ascii="Times New Roman" w:hAnsi="Times New Roman" w:cs="Times New Roman"/>
          <w:i/>
          <w:sz w:val="24"/>
          <w:szCs w:val="24"/>
        </w:rPr>
        <w:tab/>
        <w:t>putitora</w:t>
      </w:r>
      <w:r>
        <w:rPr>
          <w:rFonts w:ascii="Times New Roman" w:hAnsi="Times New Roman" w:cs="Times New Roman"/>
          <w:sz w:val="24"/>
          <w:szCs w:val="24"/>
        </w:rPr>
        <w:t>, Turk.J. Zool. 40, 704–712.</w:t>
      </w:r>
    </w:p>
    <w:p w14:paraId="47790D16"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31F20"/>
          <w:sz w:val="24"/>
          <w:szCs w:val="24"/>
        </w:rPr>
        <w:t xml:space="preserve">Khan K.U, Zuberi A, Nazir S, Ullaha I, Jamil Z and Sarwar H </w:t>
      </w:r>
      <w:r>
        <w:rPr>
          <w:rFonts w:hAnsi="Times New Roman" w:cs="Times New Roman"/>
          <w:color w:val="231F20"/>
          <w:sz w:val="24"/>
          <w:szCs w:val="24"/>
        </w:rPr>
        <w:t>(</w:t>
      </w:r>
      <w:r>
        <w:rPr>
          <w:rFonts w:ascii="Times New Roman" w:hAnsi="Times New Roman" w:cs="Times New Roman"/>
          <w:color w:val="231F20"/>
          <w:sz w:val="24"/>
          <w:szCs w:val="24"/>
        </w:rPr>
        <w:t>2017</w:t>
      </w:r>
      <w:r>
        <w:rPr>
          <w:rFonts w:hAnsi="Times New Roman" w:cs="Times New Roman"/>
          <w:color w:val="231F20"/>
          <w:sz w:val="24"/>
          <w:szCs w:val="24"/>
        </w:rPr>
        <w:t>) Synergistic</w:t>
      </w:r>
      <w:r>
        <w:rPr>
          <w:rFonts w:ascii="Times New Roman" w:hAnsi="Times New Roman" w:cs="Times New Roman"/>
          <w:color w:val="231F20"/>
          <w:sz w:val="24"/>
          <w:szCs w:val="24"/>
        </w:rPr>
        <w:t xml:space="preserve"> effects of dietary</w:t>
      </w:r>
      <w:r>
        <w:rPr>
          <w:rFonts w:ascii="Times New Roman" w:hAnsi="Times New Roman" w:cs="Times New Roman"/>
          <w:color w:val="231F20"/>
          <w:sz w:val="24"/>
          <w:szCs w:val="24"/>
        </w:rPr>
        <w:tab/>
        <w:t xml:space="preserve">nanoselenium and vitamin C on growth, feeding, and physiological parameters of </w:t>
      </w:r>
      <w:r>
        <w:rPr>
          <w:rFonts w:ascii="Times New Roman" w:hAnsi="Times New Roman" w:cs="Times New Roman"/>
          <w:color w:val="231F20"/>
          <w:sz w:val="24"/>
          <w:szCs w:val="24"/>
        </w:rPr>
        <w:tab/>
        <w:t>mahseer fish (Tor putitora). Aquacult. Rep. 5:70-75.</w:t>
      </w:r>
    </w:p>
    <w:p w14:paraId="09F7E953" w14:textId="77777777" w:rsidR="00C244EE" w:rsidRDefault="00000000">
      <w:pPr>
        <w:pStyle w:val="ListParagraph"/>
        <w:numPr>
          <w:ilvl w:val="0"/>
          <w:numId w:val="1"/>
        </w:numPr>
        <w:jc w:val="both"/>
        <w:rPr>
          <w:rFonts w:ascii="Times New Roman" w:hAnsi="Times New Roman" w:cs="Times New Roman"/>
          <w:b/>
          <w:color w:val="231F20"/>
          <w:sz w:val="24"/>
          <w:szCs w:val="24"/>
        </w:rPr>
      </w:pPr>
      <w:r>
        <w:rPr>
          <w:rFonts w:ascii="Times New Roman" w:hAnsi="Times New Roman" w:cs="Times New Roman"/>
          <w:color w:val="231F20"/>
          <w:sz w:val="24"/>
          <w:szCs w:val="24"/>
        </w:rPr>
        <w:t>A.O.A.C (2000). Association of Official Analytical Chemists international (AOAC). Official methods of analysis, 17th edition AOAC International, Gaithersburg, MD, USA.</w:t>
      </w:r>
    </w:p>
    <w:p w14:paraId="06BED0F3"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31F20"/>
          <w:sz w:val="24"/>
          <w:szCs w:val="24"/>
        </w:rPr>
        <w:t xml:space="preserve">Wright P.J, Leathwood P.D and Plummer D.T (1972). Enzyme in rat urine: Alkaline phosphate, </w:t>
      </w:r>
      <w:r>
        <w:rPr>
          <w:rFonts w:ascii="Times New Roman" w:hAnsi="Times New Roman" w:cs="Times New Roman"/>
          <w:color w:val="231F20"/>
          <w:sz w:val="24"/>
          <w:szCs w:val="24"/>
        </w:rPr>
        <w:tab/>
        <w:t>Enzymologia, 42:317-327.</w:t>
      </w:r>
    </w:p>
    <w:p w14:paraId="6162ABCE"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Reitman S. and Frankel S. (1957). A colorimetric method for the determination of glutamic-</w:t>
      </w:r>
      <w:r>
        <w:rPr>
          <w:rFonts w:ascii="Times New Roman" w:hAnsi="Times New Roman" w:cs="Times New Roman"/>
          <w:color w:val="231F20"/>
          <w:sz w:val="24"/>
          <w:szCs w:val="24"/>
        </w:rPr>
        <w:tab/>
      </w:r>
      <w:r>
        <w:rPr>
          <w:rFonts w:ascii="Times New Roman" w:hAnsi="Times New Roman" w:cs="Times New Roman"/>
          <w:color w:val="231F20"/>
          <w:sz w:val="24"/>
          <w:szCs w:val="24"/>
        </w:rPr>
        <w:tab/>
        <w:t xml:space="preserve"> oxaloacetic </w:t>
      </w:r>
      <w:r>
        <w:rPr>
          <w:rFonts w:ascii="Times New Roman" w:hAnsi="Times New Roman" w:cs="Times New Roman"/>
          <w:color w:val="231F20"/>
          <w:sz w:val="24"/>
          <w:szCs w:val="24"/>
        </w:rPr>
        <w:tab/>
        <w:t xml:space="preserve">and glutamic- pyruvic transaminases. </w:t>
      </w:r>
      <w:r>
        <w:rPr>
          <w:rFonts w:ascii="Times New Roman" w:hAnsi="Times New Roman" w:cs="Times New Roman"/>
          <w:i/>
          <w:color w:val="231F20"/>
          <w:sz w:val="24"/>
          <w:szCs w:val="24"/>
        </w:rPr>
        <w:t>Am. J. Clin. Pathol</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t>33:1-13.</w:t>
      </w:r>
    </w:p>
    <w:p w14:paraId="2165DA26"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Wendel A (1981). Glutathione peroxidase. Methods Enzymol.77, 325-333.</w:t>
      </w:r>
    </w:p>
    <w:p w14:paraId="5B6EB540"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Bradford M (1976). A rapid and sensitive method for the quantification of microgram quantities</w:t>
      </w:r>
      <w:r>
        <w:rPr>
          <w:rFonts w:ascii="Times New Roman" w:hAnsi="Times New Roman" w:cs="Times New Roman"/>
          <w:sz w:val="24"/>
          <w:szCs w:val="24"/>
        </w:rPr>
        <w:tab/>
      </w:r>
      <w:r>
        <w:rPr>
          <w:rFonts w:ascii="Times New Roman" w:hAnsi="Times New Roman" w:cs="Times New Roman"/>
          <w:sz w:val="24"/>
          <w:szCs w:val="24"/>
        </w:rPr>
        <w:tab/>
        <w:t xml:space="preserve"> of protein utilizing the principles of protein-dye binding. Anal. Biochem. 72, 248-254.</w:t>
      </w:r>
    </w:p>
    <w:p w14:paraId="412C4319"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DUNCAN D.B(1955). Multiple ranges and multiple F-tests. Biometrics, 11: 1-42.</w:t>
      </w:r>
    </w:p>
    <w:p w14:paraId="5A16F0AB"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Akbulut B. (2009). Exploration on temperature, oxygen, nutrients, and habitat demands of fish</w:t>
      </w:r>
      <w:r>
        <w:rPr>
          <w:rFonts w:ascii="Times New Roman" w:hAnsi="Times New Roman" w:cs="Times New Roman"/>
          <w:color w:val="231F20"/>
          <w:sz w:val="24"/>
          <w:szCs w:val="24"/>
        </w:rPr>
        <w:tab/>
      </w:r>
      <w:r>
        <w:rPr>
          <w:rFonts w:ascii="Times New Roman" w:hAnsi="Times New Roman" w:cs="Times New Roman"/>
          <w:color w:val="231F20"/>
          <w:sz w:val="24"/>
          <w:szCs w:val="24"/>
        </w:rPr>
        <w:tab/>
        <w:t>species found in River Coruh. Artvin Coruh University Faculty of Forestry Journal 10, 29-</w:t>
      </w:r>
      <w:r>
        <w:rPr>
          <w:rFonts w:ascii="Times New Roman" w:hAnsi="Times New Roman" w:cs="Times New Roman"/>
          <w:color w:val="231F20"/>
          <w:sz w:val="24"/>
          <w:szCs w:val="24"/>
        </w:rPr>
        <w:tab/>
        <w:t>36.</w:t>
      </w:r>
    </w:p>
    <w:p w14:paraId="3D1BC11D" w14:textId="77777777" w:rsidR="00C244EE" w:rsidRDefault="00000000">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Hemre G.I, Hjeltnes B, Aksnes A, Waagab R (1996). Effect of gelatinized wheat and maize in diet</w:t>
      </w:r>
      <w:r>
        <w:rPr>
          <w:rFonts w:ascii="Times New Roman" w:hAnsi="Times New Roman" w:cs="Times New Roman"/>
          <w:sz w:val="24"/>
          <w:szCs w:val="24"/>
        </w:rPr>
        <w:tab/>
        <w:t xml:space="preserve"> for large Atlantic salmon (</w:t>
      </w:r>
      <w:r>
        <w:rPr>
          <w:rFonts w:ascii="Times New Roman" w:hAnsi="Times New Roman" w:cs="Times New Roman"/>
          <w:i/>
          <w:iCs/>
          <w:sz w:val="24"/>
          <w:szCs w:val="24"/>
        </w:rPr>
        <w:t>Salmo sar L.</w:t>
      </w:r>
      <w:r>
        <w:rPr>
          <w:rFonts w:ascii="Times New Roman" w:hAnsi="Times New Roman" w:cs="Times New Roman"/>
          <w:sz w:val="24"/>
          <w:szCs w:val="24"/>
        </w:rPr>
        <w:t>) on glycogen retention, plasma glucose and fish</w:t>
      </w:r>
      <w:r>
        <w:rPr>
          <w:rFonts w:ascii="Times New Roman" w:hAnsi="Times New Roman" w:cs="Times New Roman"/>
          <w:sz w:val="24"/>
          <w:szCs w:val="24"/>
        </w:rPr>
        <w:tab/>
      </w:r>
      <w:r>
        <w:rPr>
          <w:rFonts w:ascii="Times New Roman" w:hAnsi="Times New Roman" w:cs="Times New Roman"/>
          <w:sz w:val="24"/>
          <w:szCs w:val="24"/>
        </w:rPr>
        <w:tab/>
        <w:t xml:space="preserve"> health.</w:t>
      </w:r>
      <w:r>
        <w:rPr>
          <w:rFonts w:ascii="Times New Roman" w:hAnsi="Times New Roman" w:cs="Times New Roman"/>
          <w:sz w:val="24"/>
          <w:szCs w:val="24"/>
        </w:rPr>
        <w:tab/>
        <w:t xml:space="preserve"> Aquaculture Nutrition 2: 33-39.</w:t>
      </w:r>
    </w:p>
    <w:p w14:paraId="6CCC4C13"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Mehboob A, Khan N, Atiq U, Iqbal KJ, Tayyab R, et al. (2017). Effect of fenugreek as a </w:t>
      </w:r>
      <w:r>
        <w:rPr>
          <w:rFonts w:ascii="Times New Roman" w:hAnsi="Times New Roman" w:cs="Times New Roman"/>
          <w:sz w:val="24"/>
          <w:szCs w:val="24"/>
        </w:rPr>
        <w:tab/>
        <w:t xml:space="preserve">feed </w:t>
      </w:r>
      <w:r>
        <w:rPr>
          <w:rFonts w:ascii="Times New Roman" w:hAnsi="Times New Roman" w:cs="Times New Roman"/>
          <w:sz w:val="24"/>
          <w:szCs w:val="24"/>
        </w:rPr>
        <w:tab/>
        <w:t xml:space="preserve">additive on the growth, body composition and apparent nutrients </w:t>
      </w:r>
      <w:r>
        <w:rPr>
          <w:rFonts w:ascii="Times New Roman" w:hAnsi="Times New Roman" w:cs="Times New Roman"/>
          <w:sz w:val="24"/>
          <w:szCs w:val="24"/>
        </w:rPr>
        <w:tab/>
        <w:t xml:space="preserve">digestibility of striped </w:t>
      </w:r>
      <w:r>
        <w:rPr>
          <w:rFonts w:ascii="Times New Roman" w:hAnsi="Times New Roman" w:cs="Times New Roman"/>
          <w:sz w:val="24"/>
          <w:szCs w:val="24"/>
        </w:rPr>
        <w:tab/>
        <w:t xml:space="preserve">catfish </w:t>
      </w:r>
      <w:r>
        <w:rPr>
          <w:rFonts w:ascii="Times New Roman" w:hAnsi="Times New Roman" w:cs="Times New Roman"/>
          <w:i/>
          <w:iCs/>
          <w:sz w:val="24"/>
          <w:szCs w:val="24"/>
        </w:rPr>
        <w:t xml:space="preserve">Pangasius hypophthalmus </w:t>
      </w:r>
      <w:r>
        <w:rPr>
          <w:rFonts w:ascii="Times New Roman" w:hAnsi="Times New Roman" w:cs="Times New Roman"/>
          <w:sz w:val="24"/>
          <w:szCs w:val="24"/>
        </w:rPr>
        <w:t>fry. Pakistan J. Zool 49: 2037-2042.</w:t>
      </w:r>
    </w:p>
    <w:p w14:paraId="748F6D3C"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Molander D.W, Sheppard E., and Payne M.A (1957). Serum transaminase in liver disease. </w:t>
      </w:r>
      <w:r>
        <w:rPr>
          <w:rFonts w:ascii="Times New Roman" w:hAnsi="Times New Roman" w:cs="Times New Roman"/>
          <w:i/>
          <w:color w:val="231F20"/>
          <w:sz w:val="24"/>
          <w:szCs w:val="24"/>
        </w:rPr>
        <w:t>J. Am.</w:t>
      </w:r>
      <w:r>
        <w:rPr>
          <w:rFonts w:ascii="Times New Roman" w:hAnsi="Times New Roman" w:cs="Times New Roman"/>
          <w:i/>
          <w:color w:val="231F20"/>
          <w:sz w:val="24"/>
          <w:szCs w:val="24"/>
        </w:rPr>
        <w:tab/>
      </w:r>
      <w:r>
        <w:rPr>
          <w:rFonts w:ascii="Times New Roman" w:hAnsi="Times New Roman" w:cs="Times New Roman"/>
          <w:i/>
          <w:color w:val="231F20"/>
          <w:sz w:val="24"/>
          <w:szCs w:val="24"/>
        </w:rPr>
        <w:tab/>
        <w:t xml:space="preserve"> Med. </w:t>
      </w:r>
      <w:r>
        <w:rPr>
          <w:rFonts w:ascii="Times New Roman" w:hAnsi="Times New Roman" w:cs="Times New Roman"/>
          <w:i/>
          <w:color w:val="231F20"/>
          <w:sz w:val="24"/>
          <w:szCs w:val="24"/>
        </w:rPr>
        <w:tab/>
        <w:t>Assoc</w:t>
      </w:r>
      <w:r>
        <w:rPr>
          <w:rFonts w:ascii="Times New Roman" w:hAnsi="Times New Roman" w:cs="Times New Roman"/>
          <w:color w:val="231F20"/>
          <w:sz w:val="24"/>
          <w:szCs w:val="24"/>
        </w:rPr>
        <w:t>. 163:1461-1465.</w:t>
      </w:r>
    </w:p>
    <w:p w14:paraId="3D5E8C36" w14:textId="77777777" w:rsidR="00C244EE" w:rsidRDefault="00000000">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Mousa M.M.A, El-Ashram, A.M.M and Hamed M. (2008). Effects of Neem leaf extract on </w:t>
      </w:r>
      <w:r>
        <w:rPr>
          <w:rFonts w:ascii="Times New Roman" w:hAnsi="Times New Roman" w:cs="Times New Roman"/>
          <w:color w:val="231F20"/>
          <w:sz w:val="24"/>
          <w:szCs w:val="24"/>
        </w:rPr>
        <w:tab/>
        <w:t>freshwater fishes and zooplankton community. 8</w:t>
      </w:r>
      <w:r>
        <w:rPr>
          <w:rFonts w:ascii="Times New Roman" w:hAnsi="Times New Roman" w:cs="Times New Roman"/>
          <w:color w:val="231F20"/>
          <w:sz w:val="24"/>
          <w:szCs w:val="24"/>
          <w:vertAlign w:val="superscript"/>
        </w:rPr>
        <w:t>th</w:t>
      </w:r>
      <w:r>
        <w:rPr>
          <w:rFonts w:ascii="Times New Roman" w:hAnsi="Times New Roman" w:cs="Times New Roman"/>
          <w:color w:val="231F20"/>
          <w:sz w:val="24"/>
          <w:szCs w:val="24"/>
        </w:rPr>
        <w:t xml:space="preserve"> International symposium on Tilapia in </w:t>
      </w:r>
      <w:r>
        <w:rPr>
          <w:rFonts w:ascii="Times New Roman" w:hAnsi="Times New Roman" w:cs="Times New Roman"/>
          <w:color w:val="231F20"/>
          <w:sz w:val="24"/>
          <w:szCs w:val="24"/>
        </w:rPr>
        <w:tab/>
        <w:t>aquaculture. The central laboratory for aquaculture Research, Cairo, Egypt. October 12-</w:t>
      </w:r>
      <w:r>
        <w:rPr>
          <w:rFonts w:ascii="Times New Roman" w:hAnsi="Times New Roman" w:cs="Times New Roman"/>
          <w:color w:val="231F20"/>
          <w:sz w:val="24"/>
          <w:szCs w:val="24"/>
        </w:rPr>
        <w:tab/>
        <w:t>14.</w:t>
      </w:r>
    </w:p>
    <w:p w14:paraId="6F35BF5E"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Diskin C.J, Tomasso C.L, Alper J.C, Glase M.L, Fliegel S.E. (1979).</w:t>
      </w:r>
      <w:r>
        <w:rPr>
          <w:rStyle w:val="st"/>
          <w:rFonts w:ascii="Times New Roman" w:hAnsi="Times New Roman" w:cs="Times New Roman"/>
        </w:rPr>
        <w:t xml:space="preserve"> Long-term selenium </w:t>
      </w:r>
      <w:r>
        <w:rPr>
          <w:rStyle w:val="st"/>
          <w:rFonts w:ascii="Times New Roman" w:hAnsi="Times New Roman" w:cs="Times New Roman"/>
        </w:rPr>
        <w:tab/>
        <w:t>exposure.</w:t>
      </w:r>
      <w:r>
        <w:rPr>
          <w:rFonts w:ascii="Times New Roman" w:hAnsi="Times New Roman" w:cs="Times New Roman"/>
          <w:sz w:val="24"/>
          <w:szCs w:val="24"/>
        </w:rPr>
        <w:t>Arch.  Intern. Med., 139, 824-826.</w:t>
      </w:r>
    </w:p>
    <w:p w14:paraId="7BFB6B7C" w14:textId="77777777" w:rsidR="00C244EE"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Cabot S. (2000). The liver and detoxification. http://nancymarkle.com/liver.txt.</w:t>
      </w:r>
    </w:p>
    <w:sectPr w:rsidR="00C244EE">
      <w:headerReference w:type="even" r:id="rId11"/>
      <w:headerReference w:type="default" r:id="rId12"/>
      <w:footerReference w:type="even" r:id="rId13"/>
      <w:footerReference w:type="default" r:id="rId14"/>
      <w:headerReference w:type="first" r:id="rId15"/>
      <w:footerReference w:type="first" r:id="rId16"/>
      <w:pgSz w:w="12240" w:h="15840"/>
      <w:pgMar w:top="446" w:right="994"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9B61" w14:textId="77777777" w:rsidR="00320CB9" w:rsidRDefault="00320CB9" w:rsidP="005A39CC">
      <w:pPr>
        <w:spacing w:after="0" w:line="240" w:lineRule="auto"/>
      </w:pPr>
      <w:r>
        <w:separator/>
      </w:r>
    </w:p>
  </w:endnote>
  <w:endnote w:type="continuationSeparator" w:id="0">
    <w:p w14:paraId="11D74A85" w14:textId="77777777" w:rsidR="00320CB9" w:rsidRDefault="00320CB9" w:rsidP="005A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EF4B" w14:textId="77777777" w:rsidR="005A39CC" w:rsidRDefault="005A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E7A1" w14:textId="77777777" w:rsidR="005A39CC" w:rsidRDefault="005A3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1149" w14:textId="77777777" w:rsidR="005A39CC" w:rsidRDefault="005A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F76F" w14:textId="77777777" w:rsidR="00320CB9" w:rsidRDefault="00320CB9" w:rsidP="005A39CC">
      <w:pPr>
        <w:spacing w:after="0" w:line="240" w:lineRule="auto"/>
      </w:pPr>
      <w:r>
        <w:separator/>
      </w:r>
    </w:p>
  </w:footnote>
  <w:footnote w:type="continuationSeparator" w:id="0">
    <w:p w14:paraId="2F22B04D" w14:textId="77777777" w:rsidR="00320CB9" w:rsidRDefault="00320CB9" w:rsidP="005A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167E" w14:textId="2E8BAB04" w:rsidR="005A39CC" w:rsidRDefault="005A39CC">
    <w:pPr>
      <w:pStyle w:val="Header"/>
    </w:pPr>
    <w:r>
      <w:rPr>
        <w:noProof/>
      </w:rPr>
      <w:pict w14:anchorId="6372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119313"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0F72" w14:textId="1AE9A98B" w:rsidR="005A39CC" w:rsidRDefault="005A39CC">
    <w:pPr>
      <w:pStyle w:val="Header"/>
    </w:pPr>
    <w:r>
      <w:rPr>
        <w:noProof/>
      </w:rPr>
      <w:pict w14:anchorId="764A4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119314"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2F61" w14:textId="20988077" w:rsidR="005A39CC" w:rsidRDefault="005A39CC">
    <w:pPr>
      <w:pStyle w:val="Header"/>
    </w:pPr>
    <w:r>
      <w:rPr>
        <w:noProof/>
      </w:rPr>
      <w:pict w14:anchorId="42D5D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119312"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346AB88"/>
    <w:lvl w:ilvl="0" w:tplc="C2DCEF52">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2"/>
    <w:multiLevelType w:val="hybridMultilevel"/>
    <w:tmpl w:val="664CFAF8"/>
    <w:lvl w:ilvl="0" w:tplc="AF167BB6">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03"/>
    <w:multiLevelType w:val="hybridMultilevel"/>
    <w:tmpl w:val="8338A1D4"/>
    <w:lvl w:ilvl="0" w:tplc="89BC83C4">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0000004"/>
    <w:multiLevelType w:val="hybridMultilevel"/>
    <w:tmpl w:val="ADD8CED6"/>
    <w:lvl w:ilvl="0" w:tplc="60DEA0CE">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0000005"/>
    <w:multiLevelType w:val="hybridMultilevel"/>
    <w:tmpl w:val="CB6ED9E4"/>
    <w:lvl w:ilvl="0" w:tplc="78000FC2">
      <w:start w:val="17"/>
      <w:numFmt w:val="decimal"/>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0000006"/>
    <w:multiLevelType w:val="hybridMultilevel"/>
    <w:tmpl w:val="783E6678"/>
    <w:lvl w:ilvl="0" w:tplc="F200ADD6">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0000007"/>
    <w:multiLevelType w:val="hybridMultilevel"/>
    <w:tmpl w:val="147AD626"/>
    <w:lvl w:ilvl="0" w:tplc="F0F205B4">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0000008"/>
    <w:multiLevelType w:val="hybridMultilevel"/>
    <w:tmpl w:val="8AFA2EFE"/>
    <w:lvl w:ilvl="0" w:tplc="2F60C6C2">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0000009"/>
    <w:multiLevelType w:val="hybridMultilevel"/>
    <w:tmpl w:val="F6FE01D4"/>
    <w:lvl w:ilvl="0" w:tplc="520A9F0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000000A"/>
    <w:multiLevelType w:val="hybridMultilevel"/>
    <w:tmpl w:val="D21CF7B6"/>
    <w:lvl w:ilvl="0" w:tplc="8C6A54C8">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000000B"/>
    <w:multiLevelType w:val="hybridMultilevel"/>
    <w:tmpl w:val="F3885670"/>
    <w:lvl w:ilvl="0" w:tplc="4050A832">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000000C"/>
    <w:multiLevelType w:val="hybridMultilevel"/>
    <w:tmpl w:val="1B2CB0A8"/>
    <w:lvl w:ilvl="0" w:tplc="F49A58FC">
      <w:start w:val="2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000000D"/>
    <w:multiLevelType w:val="hybridMultilevel"/>
    <w:tmpl w:val="4BDA66E4"/>
    <w:lvl w:ilvl="0" w:tplc="6B262DCC">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000000E"/>
    <w:multiLevelType w:val="hybridMultilevel"/>
    <w:tmpl w:val="2ACC5B04"/>
    <w:lvl w:ilvl="0" w:tplc="9168CE70">
      <w:start w:val="18"/>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000000F"/>
    <w:multiLevelType w:val="hybridMultilevel"/>
    <w:tmpl w:val="0CFC7912"/>
    <w:lvl w:ilvl="0" w:tplc="382C5DEE">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0000010"/>
    <w:multiLevelType w:val="hybridMultilevel"/>
    <w:tmpl w:val="5F14212A"/>
    <w:lvl w:ilvl="0" w:tplc="E38C3276">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0000011"/>
    <w:multiLevelType w:val="hybridMultilevel"/>
    <w:tmpl w:val="57586544"/>
    <w:lvl w:ilvl="0" w:tplc="EB5E2B1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0000012"/>
    <w:multiLevelType w:val="hybridMultilevel"/>
    <w:tmpl w:val="8DE87836"/>
    <w:lvl w:ilvl="0" w:tplc="AE2C3EF4">
      <w:start w:val="18"/>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0000013"/>
    <w:multiLevelType w:val="hybridMultilevel"/>
    <w:tmpl w:val="2DF0C09A"/>
    <w:lvl w:ilvl="0" w:tplc="FC283CE2">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0000014"/>
    <w:multiLevelType w:val="hybridMultilevel"/>
    <w:tmpl w:val="38EC3A3E"/>
    <w:lvl w:ilvl="0" w:tplc="BD2CE42E">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00000015"/>
    <w:multiLevelType w:val="hybridMultilevel"/>
    <w:tmpl w:val="778C9322"/>
    <w:lvl w:ilvl="0" w:tplc="86BC831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0000016"/>
    <w:multiLevelType w:val="hybridMultilevel"/>
    <w:tmpl w:val="C5E46388"/>
    <w:lvl w:ilvl="0" w:tplc="10EA606E">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0000017"/>
    <w:multiLevelType w:val="hybridMultilevel"/>
    <w:tmpl w:val="B24A7134"/>
    <w:lvl w:ilvl="0" w:tplc="69AC746A">
      <w:start w:val="1"/>
      <w:numFmt w:val="decimal"/>
      <w:lvlText w:val="%1."/>
      <w:lvlJc w:val="left"/>
      <w:pPr>
        <w:ind w:left="720" w:hanging="360"/>
      </w:pPr>
      <w:rPr>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3773CF0"/>
    <w:multiLevelType w:val="hybridMultilevel"/>
    <w:tmpl w:val="E10E691C"/>
    <w:lvl w:ilvl="0" w:tplc="5052F386">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8264610">
    <w:abstractNumId w:val="22"/>
  </w:num>
  <w:num w:numId="2" w16cid:durableId="260652949">
    <w:abstractNumId w:val="13"/>
  </w:num>
  <w:num w:numId="3" w16cid:durableId="1947425982">
    <w:abstractNumId w:val="15"/>
  </w:num>
  <w:num w:numId="4" w16cid:durableId="2046171705">
    <w:abstractNumId w:val="1"/>
  </w:num>
  <w:num w:numId="5" w16cid:durableId="82384492">
    <w:abstractNumId w:val="10"/>
  </w:num>
  <w:num w:numId="6" w16cid:durableId="1253244969">
    <w:abstractNumId w:val="2"/>
  </w:num>
  <w:num w:numId="7" w16cid:durableId="102893883">
    <w:abstractNumId w:val="20"/>
  </w:num>
  <w:num w:numId="8" w16cid:durableId="1405027881">
    <w:abstractNumId w:val="6"/>
  </w:num>
  <w:num w:numId="9" w16cid:durableId="1752045366">
    <w:abstractNumId w:val="23"/>
  </w:num>
  <w:num w:numId="10" w16cid:durableId="711734271">
    <w:abstractNumId w:val="11"/>
  </w:num>
  <w:num w:numId="11" w16cid:durableId="1743523211">
    <w:abstractNumId w:val="4"/>
  </w:num>
  <w:num w:numId="12" w16cid:durableId="355280390">
    <w:abstractNumId w:val="14"/>
  </w:num>
  <w:num w:numId="13" w16cid:durableId="435753759">
    <w:abstractNumId w:val="3"/>
  </w:num>
  <w:num w:numId="14" w16cid:durableId="335229590">
    <w:abstractNumId w:val="0"/>
  </w:num>
  <w:num w:numId="15" w16cid:durableId="1092437472">
    <w:abstractNumId w:val="9"/>
  </w:num>
  <w:num w:numId="16" w16cid:durableId="925653242">
    <w:abstractNumId w:val="5"/>
  </w:num>
  <w:num w:numId="17" w16cid:durableId="772939293">
    <w:abstractNumId w:val="19"/>
  </w:num>
  <w:num w:numId="18" w16cid:durableId="797265902">
    <w:abstractNumId w:val="12"/>
  </w:num>
  <w:num w:numId="19" w16cid:durableId="290013481">
    <w:abstractNumId w:val="18"/>
  </w:num>
  <w:num w:numId="20" w16cid:durableId="637033312">
    <w:abstractNumId w:val="16"/>
  </w:num>
  <w:num w:numId="21" w16cid:durableId="2136098510">
    <w:abstractNumId w:val="7"/>
  </w:num>
  <w:num w:numId="22" w16cid:durableId="1592931704">
    <w:abstractNumId w:val="17"/>
  </w:num>
  <w:num w:numId="23" w16cid:durableId="657734358">
    <w:abstractNumId w:val="21"/>
  </w:num>
  <w:num w:numId="24" w16cid:durableId="769669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EE"/>
    <w:rsid w:val="00192523"/>
    <w:rsid w:val="0027065D"/>
    <w:rsid w:val="00320CB9"/>
    <w:rsid w:val="0046243D"/>
    <w:rsid w:val="00483683"/>
    <w:rsid w:val="004910AF"/>
    <w:rsid w:val="00514234"/>
    <w:rsid w:val="005A39CC"/>
    <w:rsid w:val="00797416"/>
    <w:rsid w:val="008C2DCE"/>
    <w:rsid w:val="008C4092"/>
    <w:rsid w:val="00914B22"/>
    <w:rsid w:val="00A049E3"/>
    <w:rsid w:val="00B209DD"/>
    <w:rsid w:val="00B63684"/>
    <w:rsid w:val="00C24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A491"/>
  <w15:docId w15:val="{38569345-F162-A248-97EB-8A0354E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table" w:styleId="TableGrid">
    <w:name w:val="Table Grid"/>
    <w:basedOn w:val="TableNormal"/>
    <w:uiPriority w:val="3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24kjd">
    <w:name w:val="e24kjd"/>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BalloonTextChar">
    <w:name w:val="Balloon Text Char"/>
    <w:basedOn w:val="DefaultParagraphFont"/>
    <w:link w:val="BalloonText"/>
    <w:qFormat/>
    <w:rPr>
      <w:rFonts w:ascii="Tahoma" w:hAnsi="Tahoma" w:cs="Tahoma"/>
      <w:sz w:val="16"/>
      <w:szCs w:val="16"/>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14234"/>
    <w:rPr>
      <w:color w:val="0000FF" w:themeColor="hyperlink"/>
      <w:u w:val="single"/>
    </w:rPr>
  </w:style>
  <w:style w:type="character" w:styleId="UnresolvedMention">
    <w:name w:val="Unresolved Mention"/>
    <w:basedOn w:val="DefaultParagraphFont"/>
    <w:uiPriority w:val="99"/>
    <w:semiHidden/>
    <w:unhideWhenUsed/>
    <w:rsid w:val="00514234"/>
    <w:rPr>
      <w:color w:val="605E5C"/>
      <w:shd w:val="clear" w:color="auto" w:fill="E1DFDD"/>
    </w:rPr>
  </w:style>
  <w:style w:type="paragraph" w:styleId="Header">
    <w:name w:val="header"/>
    <w:basedOn w:val="Normal"/>
    <w:link w:val="HeaderChar"/>
    <w:uiPriority w:val="99"/>
    <w:unhideWhenUsed/>
    <w:rsid w:val="005A3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9CC"/>
    <w:rPr>
      <w:sz w:val="22"/>
      <w:szCs w:val="22"/>
    </w:rPr>
  </w:style>
  <w:style w:type="paragraph" w:styleId="Footer">
    <w:name w:val="footer"/>
    <w:basedOn w:val="Normal"/>
    <w:link w:val="FooterChar"/>
    <w:uiPriority w:val="99"/>
    <w:unhideWhenUsed/>
    <w:rsid w:val="005A3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9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3E9296C-5DBA-4243-B465-75C3E05F6E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4723</Words>
  <Characters>26925</Characters>
  <Application>Microsoft Office Word</Application>
  <DocSecurity>0</DocSecurity>
  <Lines>224</Lines>
  <Paragraphs>63</Paragraphs>
  <ScaleCrop>false</ScaleCrop>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Editor-22</cp:lastModifiedBy>
  <cp:revision>4</cp:revision>
  <dcterms:created xsi:type="dcterms:W3CDTF">2024-03-05T15:09:00Z</dcterms:created>
  <dcterms:modified xsi:type="dcterms:W3CDTF">2025-02-11T10:42:00Z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ICV">
    <vt:lpwstr>04dfcf55e5fb4c0cba9362d9842fa19d</vt:lpwstr>
  </property>
</Properties>
</file>