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7BF6" w14:textId="77777777" w:rsidR="007B4B3E" w:rsidRPr="007B4B3E" w:rsidRDefault="007B4B3E" w:rsidP="007B4B3E">
      <w:pPr>
        <w:spacing w:after="0"/>
        <w:jc w:val="center"/>
        <w:rPr>
          <w:rFonts w:ascii="Times New Roman" w:hAnsi="Times New Roman" w:cs="Times New Roman"/>
          <w:b/>
          <w:bCs/>
          <w:i/>
          <w:iCs/>
          <w:sz w:val="36"/>
          <w:szCs w:val="36"/>
          <w:u w:val="single"/>
        </w:rPr>
      </w:pPr>
      <w:r w:rsidRPr="007B4B3E">
        <w:rPr>
          <w:rFonts w:ascii="Times New Roman" w:hAnsi="Times New Roman" w:cs="Times New Roman"/>
          <w:b/>
          <w:bCs/>
          <w:i/>
          <w:iCs/>
          <w:sz w:val="36"/>
          <w:szCs w:val="36"/>
          <w:u w:val="single"/>
        </w:rPr>
        <w:t>Original Research Article</w:t>
      </w:r>
    </w:p>
    <w:p w14:paraId="46024F56" w14:textId="77777777" w:rsidR="007B4B3E" w:rsidRDefault="007B4B3E" w:rsidP="007A0C93">
      <w:pPr>
        <w:spacing w:after="0"/>
        <w:jc w:val="center"/>
        <w:rPr>
          <w:rFonts w:ascii="Times New Roman" w:hAnsi="Times New Roman" w:cs="Times New Roman"/>
          <w:b/>
          <w:bCs/>
          <w:sz w:val="36"/>
          <w:szCs w:val="36"/>
        </w:rPr>
      </w:pPr>
    </w:p>
    <w:p w14:paraId="12C19E39" w14:textId="5FFE9E0D" w:rsidR="00E9520E" w:rsidRDefault="00E9520E" w:rsidP="007A0C93">
      <w:pPr>
        <w:spacing w:after="0"/>
        <w:jc w:val="center"/>
        <w:rPr>
          <w:rFonts w:ascii="Times New Roman" w:hAnsi="Times New Roman" w:cs="Times New Roman"/>
          <w:b/>
          <w:bCs/>
          <w:sz w:val="36"/>
          <w:szCs w:val="36"/>
        </w:rPr>
      </w:pPr>
      <w:r w:rsidRPr="00E9520E">
        <w:rPr>
          <w:rFonts w:ascii="Times New Roman" w:hAnsi="Times New Roman" w:cs="Times New Roman"/>
          <w:b/>
          <w:bCs/>
          <w:sz w:val="36"/>
          <w:szCs w:val="36"/>
        </w:rPr>
        <w:t>Formulation and Evaluation of Economical Extruded Fish Feed for GIFT Tilapia (Oreochromis niloticus) Fingerlings: A Study in Sustainable Aquaculture</w:t>
      </w:r>
    </w:p>
    <w:p w14:paraId="47469204" w14:textId="77777777" w:rsidR="003E6911" w:rsidRDefault="003E6911" w:rsidP="007A0C93">
      <w:pPr>
        <w:spacing w:after="0"/>
        <w:jc w:val="center"/>
        <w:rPr>
          <w:rFonts w:ascii="Times New Roman" w:hAnsi="Times New Roman" w:cs="Times New Roman"/>
          <w:b/>
          <w:bCs/>
          <w:sz w:val="36"/>
          <w:szCs w:val="36"/>
        </w:rPr>
      </w:pPr>
    </w:p>
    <w:p w14:paraId="04BF9DC1" w14:textId="77777777" w:rsidR="00E20582" w:rsidRDefault="00E20582"/>
    <w:p w14:paraId="127DF981" w14:textId="77777777" w:rsidR="007A0C93" w:rsidRDefault="007A0C93" w:rsidP="007A0C9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14:paraId="05D993E5" w14:textId="06214EC7" w:rsidR="007A0C93" w:rsidRDefault="007A0C93" w:rsidP="007A0C93">
      <w:pPr>
        <w:spacing w:before="120" w:after="120" w:line="360" w:lineRule="auto"/>
        <w:ind w:firstLine="720"/>
        <w:jc w:val="both"/>
        <w:rPr>
          <w:rFonts w:ascii="Times New Roman" w:eastAsia="Times New Roman" w:hAnsi="Times New Roman" w:cs="Times New Roman"/>
          <w:b/>
        </w:rPr>
      </w:pPr>
      <w:bookmarkStart w:id="0" w:name="_Hlk158030330"/>
      <w:r>
        <w:rPr>
          <w:rFonts w:ascii="Times New Roman" w:eastAsia="Times New Roman" w:hAnsi="Times New Roman" w:cs="Times New Roman"/>
        </w:rPr>
        <w:t>The purpose of this research was</w:t>
      </w:r>
      <w:r w:rsidR="00F324A0">
        <w:rPr>
          <w:rFonts w:ascii="Times New Roman" w:eastAsia="Times New Roman" w:hAnsi="Times New Roman" w:cs="Times New Roman"/>
        </w:rPr>
        <w:t xml:space="preserve"> to</w:t>
      </w:r>
      <w:r w:rsidR="00901AEB">
        <w:rPr>
          <w:rFonts w:ascii="Times New Roman" w:eastAsia="Times New Roman" w:hAnsi="Times New Roman" w:cs="Times New Roman"/>
        </w:rPr>
        <w:t xml:space="preserve"> find </w:t>
      </w:r>
      <w:r w:rsidR="00901AEB">
        <w:rPr>
          <w:rFonts w:ascii="Times New Roman" w:eastAsia="Times New Roman" w:hAnsi="Times New Roman" w:cs="Times New Roman"/>
          <w:color w:val="000000"/>
        </w:rPr>
        <w:t xml:space="preserve">promising alternative ingredients </w:t>
      </w:r>
      <w:r w:rsidR="00F324A0">
        <w:rPr>
          <w:rFonts w:ascii="Times New Roman" w:eastAsia="Times New Roman" w:hAnsi="Times New Roman" w:cs="Times New Roman"/>
          <w:color w:val="000000"/>
        </w:rPr>
        <w:t xml:space="preserve">which </w:t>
      </w:r>
      <w:r w:rsidR="00901AEB">
        <w:rPr>
          <w:rFonts w:ascii="Times New Roman" w:eastAsia="Times New Roman" w:hAnsi="Times New Roman" w:cs="Times New Roman"/>
          <w:color w:val="000000"/>
        </w:rPr>
        <w:t xml:space="preserve">partially replace expensive GNOC for formulation of cost effective feed </w:t>
      </w:r>
      <w:r w:rsidR="00F324A0">
        <w:rPr>
          <w:rFonts w:ascii="Times New Roman" w:eastAsia="Times New Roman" w:hAnsi="Times New Roman" w:cs="Times New Roman"/>
          <w:color w:val="000000"/>
        </w:rPr>
        <w:t>havi</w:t>
      </w:r>
      <w:r w:rsidR="001B5717">
        <w:rPr>
          <w:rFonts w:ascii="Times New Roman" w:eastAsia="Times New Roman" w:hAnsi="Times New Roman" w:cs="Times New Roman"/>
          <w:color w:val="000000"/>
        </w:rPr>
        <w:t>ng</w:t>
      </w:r>
      <w:r w:rsidR="00901AEB">
        <w:rPr>
          <w:rFonts w:ascii="Times New Roman" w:eastAsia="Times New Roman" w:hAnsi="Times New Roman" w:cs="Times New Roman"/>
          <w:color w:val="000000"/>
        </w:rPr>
        <w:t xml:space="preserve"> better growth and feed efficiency of GIFT tilapia</w:t>
      </w:r>
      <w:r w:rsidR="00901AEB">
        <w:rPr>
          <w:rFonts w:ascii="Times New Roman" w:eastAsia="Times New Roman" w:hAnsi="Times New Roman" w:cs="Times New Roman"/>
        </w:rPr>
        <w:t xml:space="preserve"> </w:t>
      </w:r>
      <w:r w:rsidR="00F324A0">
        <w:rPr>
          <w:rFonts w:ascii="Times New Roman" w:eastAsia="Times New Roman" w:hAnsi="Times New Roman" w:cs="Times New Roman"/>
        </w:rPr>
        <w:t xml:space="preserve">and </w:t>
      </w:r>
      <w:proofErr w:type="spellStart"/>
      <w:proofErr w:type="gramStart"/>
      <w:r>
        <w:rPr>
          <w:rFonts w:ascii="Times New Roman" w:eastAsia="Times New Roman" w:hAnsi="Times New Roman" w:cs="Times New Roman"/>
        </w:rPr>
        <w:t>optimise</w:t>
      </w:r>
      <w:proofErr w:type="spellEnd"/>
      <w:r w:rsidR="00901AEB">
        <w:rPr>
          <w:rFonts w:ascii="Times New Roman" w:eastAsia="Times New Roman" w:hAnsi="Times New Roman" w:cs="Times New Roman"/>
        </w:rPr>
        <w:t xml:space="preserve"> </w:t>
      </w:r>
      <w:r>
        <w:rPr>
          <w:rFonts w:ascii="Times New Roman" w:eastAsia="Times New Roman" w:hAnsi="Times New Roman" w:cs="Times New Roman"/>
        </w:rPr>
        <w:t xml:space="preserve"> extruder</w:t>
      </w:r>
      <w:proofErr w:type="gramEnd"/>
      <w:r>
        <w:rPr>
          <w:rFonts w:ascii="Times New Roman" w:eastAsia="Times New Roman" w:hAnsi="Times New Roman" w:cs="Times New Roman"/>
        </w:rPr>
        <w:t xml:space="preserve"> parameters for the preparation of floating fish diets with appropriate physicochemical qualities. </w:t>
      </w:r>
      <w:r>
        <w:rPr>
          <w:rFonts w:ascii="Times New Roman" w:eastAsia="Times New Roman" w:hAnsi="Times New Roman" w:cs="Times New Roman"/>
          <w:color w:val="000000"/>
        </w:rPr>
        <w:t>Accordingly, four iso-nitrogenous (crude protein 35%) experimental diets were formulated for GIFT tilapia advance fry by replacing 50% of GNOC protein of the control diet (T</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by sunflower oilcake (SFOC) (T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by linseed oilcake (LSOC) (T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by </w:t>
      </w:r>
      <w:proofErr w:type="gramStart"/>
      <w:r>
        <w:rPr>
          <w:rFonts w:ascii="Times New Roman" w:eastAsia="Times New Roman" w:hAnsi="Times New Roman" w:cs="Times New Roman"/>
          <w:color w:val="000000"/>
        </w:rPr>
        <w:t>fish based</w:t>
      </w:r>
      <w:proofErr w:type="gramEnd"/>
      <w:r>
        <w:rPr>
          <w:rFonts w:ascii="Times New Roman" w:eastAsia="Times New Roman" w:hAnsi="Times New Roman" w:cs="Times New Roman"/>
          <w:color w:val="000000"/>
        </w:rPr>
        <w:t xml:space="preserve"> silage (T</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protein. </w:t>
      </w:r>
      <w:r>
        <w:rPr>
          <w:rFonts w:ascii="Times New Roman" w:eastAsia="Times New Roman" w:hAnsi="Times New Roman" w:cs="Times New Roman"/>
        </w:rPr>
        <w:t xml:space="preserve">The pellets extruded using a combination of 120 </w:t>
      </w:r>
      <w:proofErr w:type="spellStart"/>
      <w:r>
        <w:rPr>
          <w:rFonts w:ascii="Times New Roman" w:eastAsia="Times New Roman" w:hAnsi="Times New Roman" w:cs="Times New Roman"/>
          <w:vertAlign w:val="superscript"/>
        </w:rPr>
        <w:t>o</w:t>
      </w:r>
      <w:r>
        <w:rPr>
          <w:rFonts w:ascii="Times New Roman" w:eastAsia="Times New Roman" w:hAnsi="Times New Roman" w:cs="Times New Roman"/>
        </w:rPr>
        <w:t>C</w:t>
      </w:r>
      <w:proofErr w:type="spellEnd"/>
      <w:r>
        <w:rPr>
          <w:rFonts w:ascii="Times New Roman" w:eastAsia="Times New Roman" w:hAnsi="Times New Roman" w:cs="Times New Roman"/>
        </w:rPr>
        <w:t xml:space="preserve"> extruder barrel temperature, 25% moisture content of feed mix, 2.0 mm die diameter and 30 minute of pre-conditioning</w:t>
      </w:r>
      <w:r w:rsidR="001B5717">
        <w:rPr>
          <w:rFonts w:ascii="Times New Roman" w:eastAsia="Times New Roman" w:hAnsi="Times New Roman" w:cs="Times New Roman"/>
        </w:rPr>
        <w:t xml:space="preserve"> time</w:t>
      </w:r>
      <w:r w:rsidR="00901AEB">
        <w:rPr>
          <w:rFonts w:ascii="Times New Roman" w:eastAsia="Times New Roman" w:hAnsi="Times New Roman" w:cs="Times New Roman"/>
        </w:rPr>
        <w:t>.</w:t>
      </w:r>
      <w:r>
        <w:rPr>
          <w:rFonts w:ascii="Times New Roman" w:eastAsia="Times New Roman" w:hAnsi="Times New Roman" w:cs="Times New Roman"/>
        </w:rPr>
        <w:t xml:space="preserve"> Results of the feeding trial using </w:t>
      </w:r>
      <w:r>
        <w:rPr>
          <w:rFonts w:ascii="Times New Roman" w:eastAsia="Times New Roman" w:hAnsi="Times New Roman" w:cs="Times New Roman"/>
          <w:color w:val="000000"/>
        </w:rPr>
        <w:t>one hundred twenty number of GIFT tilapia advance fry</w:t>
      </w:r>
      <w:r>
        <w:rPr>
          <w:rFonts w:ascii="Times New Roman" w:eastAsia="Times New Roman" w:hAnsi="Times New Roman" w:cs="Times New Roman"/>
        </w:rPr>
        <w:t xml:space="preserve"> of average weight 1.20 ± 0.34 g reared in twelve number of 200L FRP tanks under continuous aeration and fed with above four experimental diets in triplicate concluded that </w:t>
      </w:r>
      <w:r>
        <w:rPr>
          <w:rFonts w:ascii="Times New Roman" w:eastAsia="Times New Roman" w:hAnsi="Times New Roman" w:cs="Times New Roman"/>
          <w:color w:val="000000"/>
        </w:rPr>
        <w:t xml:space="preserve">SFOC can be used to partially replace GNOC in floating fish feed without significantly (P&lt;0.05) affecting the growth performance of GIFT tilapia, </w:t>
      </w:r>
      <w:proofErr w:type="spellStart"/>
      <w:r>
        <w:rPr>
          <w:rFonts w:ascii="Times New Roman" w:eastAsia="Times New Roman" w:hAnsi="Times New Roman" w:cs="Times New Roman"/>
          <w:color w:val="000000"/>
        </w:rPr>
        <w:t>where as</w:t>
      </w:r>
      <w:proofErr w:type="spellEnd"/>
      <w:r>
        <w:rPr>
          <w:rFonts w:ascii="Times New Roman" w:eastAsia="Times New Roman" w:hAnsi="Times New Roman" w:cs="Times New Roman"/>
          <w:color w:val="000000"/>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w:t>
      </w:r>
      <w:proofErr w:type="gramStart"/>
      <w:r>
        <w:rPr>
          <w:rFonts w:ascii="Times New Roman" w:eastAsia="Times New Roman" w:hAnsi="Times New Roman" w:cs="Times New Roman"/>
          <w:color w:val="000000"/>
        </w:rPr>
        <w:t>cost effective</w:t>
      </w:r>
      <w:proofErr w:type="gramEnd"/>
      <w:r>
        <w:rPr>
          <w:rFonts w:ascii="Times New Roman" w:eastAsia="Times New Roman" w:hAnsi="Times New Roman" w:cs="Times New Roman"/>
          <w:color w:val="000000"/>
        </w:rPr>
        <w:t xml:space="preserve"> feed for better growth and feed efficiency of GIFT tilapia.</w:t>
      </w:r>
    </w:p>
    <w:p w14:paraId="070B7D5B" w14:textId="77777777" w:rsidR="007A0C93" w:rsidRDefault="007A0C93" w:rsidP="007A0C93">
      <w:pPr>
        <w:spacing w:before="120" w:after="120" w:line="360" w:lineRule="auto"/>
        <w:rPr>
          <w:rFonts w:ascii="Times New Roman" w:eastAsia="Times New Roman" w:hAnsi="Times New Roman" w:cs="Times New Roman"/>
        </w:rPr>
      </w:pPr>
      <w:proofErr w:type="gramStart"/>
      <w:r>
        <w:rPr>
          <w:rFonts w:ascii="Times New Roman" w:eastAsia="Times New Roman" w:hAnsi="Times New Roman" w:cs="Times New Roman"/>
          <w:b/>
        </w:rPr>
        <w:t>Key  words</w:t>
      </w:r>
      <w:proofErr w:type="gramEnd"/>
      <w:r>
        <w:rPr>
          <w:rFonts w:ascii="Times New Roman" w:eastAsia="Times New Roman" w:hAnsi="Times New Roman" w:cs="Times New Roman"/>
          <w:b/>
        </w:rPr>
        <w:t>:</w:t>
      </w:r>
      <w:r>
        <w:rPr>
          <w:rFonts w:ascii="Times New Roman" w:eastAsia="Times New Roman" w:hAnsi="Times New Roman" w:cs="Times New Roman"/>
        </w:rPr>
        <w:t xml:space="preserve"> Twin screw extruder,  GIFT tilapia, sunflower oil cake, linseed oil cake, fish silage</w:t>
      </w:r>
    </w:p>
    <w:p w14:paraId="05A7EC69" w14:textId="77777777" w:rsidR="0096384D" w:rsidRDefault="0096384D" w:rsidP="007A0C93">
      <w:pPr>
        <w:spacing w:before="120" w:after="120" w:line="360" w:lineRule="auto"/>
        <w:rPr>
          <w:rFonts w:ascii="Times New Roman" w:eastAsia="Times New Roman" w:hAnsi="Times New Roman" w:cs="Times New Roman"/>
        </w:rPr>
      </w:pPr>
    </w:p>
    <w:p w14:paraId="1E64BC5F" w14:textId="77777777" w:rsidR="0096384D" w:rsidRDefault="0096384D" w:rsidP="007A0C93">
      <w:pPr>
        <w:spacing w:before="120" w:after="120" w:line="360" w:lineRule="auto"/>
        <w:rPr>
          <w:rFonts w:ascii="Times New Roman" w:eastAsia="Times New Roman" w:hAnsi="Times New Roman" w:cs="Times New Roman"/>
          <w:color w:val="000000"/>
        </w:rPr>
      </w:pPr>
    </w:p>
    <w:p w14:paraId="25638C81" w14:textId="77777777" w:rsidR="002E725F" w:rsidRDefault="002E725F" w:rsidP="007A0C93">
      <w:pPr>
        <w:spacing w:before="120" w:after="120" w:line="360" w:lineRule="auto"/>
        <w:rPr>
          <w:rFonts w:ascii="Times New Roman" w:eastAsia="Times New Roman" w:hAnsi="Times New Roman" w:cs="Times New Roman"/>
          <w:color w:val="000000"/>
        </w:rPr>
      </w:pPr>
    </w:p>
    <w:p w14:paraId="5B661297" w14:textId="56B145D2" w:rsidR="002E725F" w:rsidRDefault="002E725F" w:rsidP="007A0C93">
      <w:pPr>
        <w:spacing w:before="120" w:after="120" w:line="360" w:lineRule="auto"/>
        <w:rPr>
          <w:rFonts w:ascii="Times New Roman" w:eastAsia="Times New Roman" w:hAnsi="Times New Roman" w:cs="Times New Roman"/>
          <w:color w:val="000000"/>
        </w:rPr>
      </w:pPr>
    </w:p>
    <w:p w14:paraId="69D08059" w14:textId="7ED8C838" w:rsidR="00FA349E" w:rsidRDefault="00FA349E" w:rsidP="007A0C93">
      <w:pPr>
        <w:spacing w:before="120" w:after="120" w:line="360" w:lineRule="auto"/>
        <w:rPr>
          <w:rFonts w:ascii="Times New Roman" w:eastAsia="Times New Roman" w:hAnsi="Times New Roman" w:cs="Times New Roman"/>
          <w:color w:val="000000"/>
        </w:rPr>
      </w:pPr>
    </w:p>
    <w:p w14:paraId="5D861024" w14:textId="77777777" w:rsidR="00FA349E" w:rsidRDefault="00FA349E" w:rsidP="007A0C93">
      <w:pPr>
        <w:spacing w:before="120" w:after="120" w:line="360" w:lineRule="auto"/>
        <w:rPr>
          <w:rFonts w:ascii="Times New Roman" w:eastAsia="Times New Roman" w:hAnsi="Times New Roman" w:cs="Times New Roman"/>
          <w:color w:val="000000"/>
        </w:rPr>
      </w:pPr>
      <w:bookmarkStart w:id="1" w:name="_GoBack"/>
      <w:bookmarkEnd w:id="1"/>
    </w:p>
    <w:p w14:paraId="2F9AF476" w14:textId="77777777" w:rsidR="002E725F" w:rsidRDefault="002E725F" w:rsidP="007A0C93">
      <w:pPr>
        <w:spacing w:before="120" w:after="120" w:line="360" w:lineRule="auto"/>
        <w:rPr>
          <w:rFonts w:ascii="Times New Roman" w:eastAsia="Times New Roman" w:hAnsi="Times New Roman" w:cs="Times New Roman"/>
          <w:color w:val="000000"/>
        </w:rPr>
      </w:pPr>
    </w:p>
    <w:bookmarkEnd w:id="0"/>
    <w:p w14:paraId="7B653C4F" w14:textId="77777777" w:rsidR="007A0C93" w:rsidRDefault="007A0C93" w:rsidP="007A0C93">
      <w:pPr>
        <w:numPr>
          <w:ilvl w:val="0"/>
          <w:numId w:val="2"/>
        </w:numPr>
        <w:pBdr>
          <w:top w:val="nil"/>
          <w:left w:val="nil"/>
          <w:bottom w:val="nil"/>
          <w:right w:val="nil"/>
          <w:between w:val="nil"/>
        </w:pBdr>
        <w:spacing w:after="360" w:line="276"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INTRODUCTION</w:t>
      </w:r>
    </w:p>
    <w:p w14:paraId="6027F4CE" w14:textId="15CBC43E" w:rsidR="003B1BEC" w:rsidRDefault="00D01279" w:rsidP="00574A9D">
      <w:pPr>
        <w:spacing w:before="288" w:after="120" w:line="360" w:lineRule="auto"/>
        <w:ind w:firstLine="720"/>
        <w:jc w:val="both"/>
        <w:rPr>
          <w:rFonts w:ascii="Times New Roman" w:eastAsia="Times New Roman" w:hAnsi="Times New Roman" w:cs="Times New Roman"/>
          <w:sz w:val="24"/>
          <w:szCs w:val="24"/>
        </w:rPr>
      </w:pPr>
      <w:r w:rsidRPr="00D01279">
        <w:rPr>
          <w:rFonts w:ascii="Times New Roman" w:eastAsia="Times New Roman" w:hAnsi="Times New Roman" w:cs="Times New Roman"/>
          <w:sz w:val="24"/>
          <w:szCs w:val="24"/>
        </w:rPr>
        <w:t>Almost half of the fish consumed by people globally come from aquaculture (Halden, et al., 2014). Mushrooming growth of aquaculture activity has created a huge demand for fish feed for its sustenance. However, access to quality fish feed at affordable cost is a challenging task</w:t>
      </w:r>
      <w:r w:rsidR="003B1BEC">
        <w:rPr>
          <w:rFonts w:ascii="Times New Roman" w:eastAsia="Times New Roman" w:hAnsi="Times New Roman" w:cs="Times New Roman"/>
          <w:sz w:val="24"/>
          <w:szCs w:val="24"/>
        </w:rPr>
        <w:t xml:space="preserve"> </w:t>
      </w:r>
      <w:r w:rsidRPr="00D01279">
        <w:rPr>
          <w:rFonts w:ascii="Times New Roman" w:eastAsia="Times New Roman" w:hAnsi="Times New Roman" w:cs="Times New Roman"/>
          <w:sz w:val="24"/>
          <w:szCs w:val="24"/>
        </w:rPr>
        <w:t xml:space="preserve">and also threatens the profitability and sustainability of aquaculture (Munguti et al., 2014). Thus, feed production is a key aspect to consider in both subsistence and commercial fish farming, since it affects both growth efficiency and resource </w:t>
      </w:r>
      <w:proofErr w:type="spellStart"/>
      <w:r w:rsidRPr="00D01279">
        <w:rPr>
          <w:rFonts w:ascii="Times New Roman" w:eastAsia="Times New Roman" w:hAnsi="Times New Roman" w:cs="Times New Roman"/>
          <w:sz w:val="24"/>
          <w:szCs w:val="24"/>
        </w:rPr>
        <w:t>utilisation</w:t>
      </w:r>
      <w:proofErr w:type="spellEnd"/>
      <w:r w:rsidRPr="00D01279">
        <w:rPr>
          <w:rFonts w:ascii="Times New Roman" w:eastAsia="Times New Roman" w:hAnsi="Times New Roman" w:cs="Times New Roman"/>
          <w:sz w:val="24"/>
          <w:szCs w:val="24"/>
        </w:rPr>
        <w:t xml:space="preserve"> (</w:t>
      </w:r>
      <w:proofErr w:type="spellStart"/>
      <w:r w:rsidRPr="00D01279">
        <w:rPr>
          <w:rFonts w:ascii="Times New Roman" w:eastAsia="Times New Roman" w:hAnsi="Times New Roman" w:cs="Times New Roman"/>
          <w:sz w:val="24"/>
          <w:szCs w:val="24"/>
        </w:rPr>
        <w:t>Tsevis</w:t>
      </w:r>
      <w:proofErr w:type="spellEnd"/>
      <w:r w:rsidRPr="00D01279">
        <w:rPr>
          <w:rFonts w:ascii="Times New Roman" w:eastAsia="Times New Roman" w:hAnsi="Times New Roman" w:cs="Times New Roman"/>
          <w:sz w:val="24"/>
          <w:szCs w:val="24"/>
        </w:rPr>
        <w:t xml:space="preserve"> et al., 2000). </w:t>
      </w:r>
      <w:r w:rsidR="007A0C93">
        <w:rPr>
          <w:rFonts w:ascii="Times New Roman" w:eastAsia="Times New Roman" w:hAnsi="Times New Roman" w:cs="Times New Roman"/>
          <w:color w:val="000000"/>
          <w:sz w:val="24"/>
          <w:szCs w:val="24"/>
        </w:rPr>
        <w:t xml:space="preserve">Fishes generally require more protein in their diet then terrestrial farmed animals and therefore aqua-diets demand more protein rich ingredients (Hasan,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2007). Accordingly, the cost of protein source accounts for about 60% of the total cost of all the ingredients taken together (Arruda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2009).</w:t>
      </w:r>
      <w:r w:rsidR="007A0C93">
        <w:rPr>
          <w:rFonts w:ascii="Times New Roman" w:eastAsia="Times New Roman" w:hAnsi="Times New Roman" w:cs="Times New Roman"/>
          <w:sz w:val="24"/>
          <w:szCs w:val="24"/>
        </w:rPr>
        <w:t xml:space="preserve"> </w:t>
      </w:r>
      <w:proofErr w:type="gramStart"/>
      <w:r w:rsidR="007A0C93">
        <w:rPr>
          <w:rFonts w:ascii="Times New Roman" w:eastAsia="Times New Roman" w:hAnsi="Times New Roman" w:cs="Times New Roman"/>
          <w:sz w:val="24"/>
          <w:szCs w:val="24"/>
        </w:rPr>
        <w:t>Generally</w:t>
      </w:r>
      <w:proofErr w:type="gramEnd"/>
      <w:r w:rsidR="007A0C93">
        <w:rPr>
          <w:rFonts w:ascii="Times New Roman" w:eastAsia="Times New Roman" w:hAnsi="Times New Roman" w:cs="Times New Roman"/>
          <w:sz w:val="24"/>
          <w:szCs w:val="24"/>
        </w:rPr>
        <w:t xml:space="preserve"> protein from animal sources is the best, as it has better bioavailability. But animal protein, especially fish meal, is costlier and its availability is scanty.</w:t>
      </w:r>
    </w:p>
    <w:p w14:paraId="3B8C75DF" w14:textId="77777777" w:rsidR="00574A9D" w:rsidRDefault="007A0C93" w:rsidP="003B1BEC">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plant originated protein sources, groundnut oil cake (GNOC) and soybean meal are the most preferred conventional ingredients for preparation of aquafeed (Barman and </w:t>
      </w:r>
      <w:proofErr w:type="spellStart"/>
      <w:r>
        <w:rPr>
          <w:rFonts w:ascii="Times New Roman" w:eastAsia="Times New Roman" w:hAnsi="Times New Roman" w:cs="Times New Roman"/>
          <w:sz w:val="24"/>
          <w:szCs w:val="24"/>
        </w:rPr>
        <w:t>karim</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Manomaitis</w:t>
      </w:r>
      <w:proofErr w:type="spellEnd"/>
      <w:r>
        <w:rPr>
          <w:rFonts w:ascii="Times New Roman" w:eastAsia="Times New Roman" w:hAnsi="Times New Roman" w:cs="Times New Roman"/>
          <w:sz w:val="24"/>
          <w:szCs w:val="24"/>
        </w:rPr>
        <w:t xml:space="preserve">, 2009). However, their scanty availability and escalated cost has necessitated to find out suitable alternative source of protein, so as to replace these conventional feed ingredients and meet the protein requirement of the targeted fish at an affordable cost (Rath </w:t>
      </w:r>
      <w:r>
        <w:rPr>
          <w:rFonts w:ascii="Times New Roman" w:eastAsia="Times New Roman" w:hAnsi="Times New Roman" w:cs="Times New Roman"/>
          <w:i/>
          <w:sz w:val="24"/>
          <w:szCs w:val="24"/>
        </w:rPr>
        <w:t xml:space="preserve">et al., 2014; </w:t>
      </w:r>
      <w:r>
        <w:rPr>
          <w:rFonts w:ascii="Times New Roman" w:eastAsia="Times New Roman" w:hAnsi="Times New Roman" w:cs="Times New Roman"/>
          <w:sz w:val="24"/>
          <w:szCs w:val="24"/>
        </w:rPr>
        <w:t xml:space="preserve">Lenka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Danniel, 2016).</w:t>
      </w:r>
    </w:p>
    <w:p w14:paraId="579681FC" w14:textId="1692B8E4" w:rsidR="007A0C93" w:rsidRDefault="003B1BEC" w:rsidP="00574A9D">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C93">
        <w:rPr>
          <w:rFonts w:ascii="Times New Roman" w:eastAsia="Times New Roman" w:hAnsi="Times New Roman" w:cs="Times New Roman"/>
          <w:sz w:val="24"/>
          <w:szCs w:val="24"/>
        </w:rPr>
        <w:t xml:space="preserve">There are many types of oilcake available in our locality that are fairly rich in protein. Among them the oilcakes like Sunflower oilcake (SFOC), Linseed oilcake (LSOC) and Coconut oilcake (COC) are available in plenty at a cheap price. SFOC </w:t>
      </w:r>
      <w:proofErr w:type="gramStart"/>
      <w:r w:rsidR="007A0C93">
        <w:rPr>
          <w:rFonts w:ascii="Times New Roman" w:eastAsia="Times New Roman" w:hAnsi="Times New Roman" w:cs="Times New Roman"/>
          <w:sz w:val="24"/>
          <w:szCs w:val="24"/>
        </w:rPr>
        <w:t>contains  27.8</w:t>
      </w:r>
      <w:proofErr w:type="gramEnd"/>
      <w:r w:rsidR="007A0C93">
        <w:rPr>
          <w:rFonts w:ascii="Times New Roman" w:eastAsia="Times New Roman" w:hAnsi="Times New Roman" w:cs="Times New Roman"/>
          <w:sz w:val="24"/>
          <w:szCs w:val="24"/>
        </w:rPr>
        <w:t xml:space="preserve"> – 37.4% crude protein (CP) with the limiting amino acids like methionine, arginine  (NRC, 1982). Similarly, LSOC contains 31.5% CP, 9.0% crude fiber, 6% ash, 0.8% phosphorus and 0.4% calcium (</w:t>
      </w:r>
      <w:proofErr w:type="spellStart"/>
      <w:r w:rsidR="007A0C93">
        <w:rPr>
          <w:rFonts w:ascii="Times New Roman" w:eastAsia="Times New Roman" w:hAnsi="Times New Roman" w:cs="Times New Roman"/>
          <w:sz w:val="24"/>
          <w:szCs w:val="24"/>
        </w:rPr>
        <w:t>Declrq</w:t>
      </w:r>
      <w:proofErr w:type="spellEnd"/>
      <w:r w:rsidR="007A0C93">
        <w:rPr>
          <w:rFonts w:ascii="Times New Roman" w:eastAsia="Times New Roman" w:hAnsi="Times New Roman" w:cs="Times New Roman"/>
          <w:sz w:val="24"/>
          <w:szCs w:val="24"/>
        </w:rPr>
        <w:t xml:space="preserve">, 2006). However, they are considered as non- conventional sources of protein as their use in animal feed has not yet been popularized and </w:t>
      </w:r>
      <w:proofErr w:type="spellStart"/>
      <w:proofErr w:type="gramStart"/>
      <w:r w:rsidR="007A0C93">
        <w:rPr>
          <w:rFonts w:ascii="Times New Roman" w:eastAsia="Times New Roman" w:hAnsi="Times New Roman" w:cs="Times New Roman"/>
          <w:sz w:val="24"/>
          <w:szCs w:val="24"/>
        </w:rPr>
        <w:t>standardized.Use</w:t>
      </w:r>
      <w:proofErr w:type="spellEnd"/>
      <w:proofErr w:type="gramEnd"/>
      <w:r w:rsidR="007A0C93">
        <w:rPr>
          <w:rFonts w:ascii="Times New Roman" w:eastAsia="Times New Roman" w:hAnsi="Times New Roman" w:cs="Times New Roman"/>
          <w:sz w:val="24"/>
          <w:szCs w:val="24"/>
        </w:rPr>
        <w:t xml:space="preserve"> of such non-conventional feed ingredients have not gained suitable attention of the aquafeed industry due to the presence of a range of anti-nutritional factors (ANFs) e.g.- phytic acid, tannin, protease inhibitors, gossypol, saponin, lectins, </w:t>
      </w:r>
      <w:proofErr w:type="spellStart"/>
      <w:r w:rsidR="007A0C93">
        <w:rPr>
          <w:rFonts w:ascii="Times New Roman" w:eastAsia="Times New Roman" w:hAnsi="Times New Roman" w:cs="Times New Roman"/>
          <w:sz w:val="24"/>
          <w:szCs w:val="24"/>
        </w:rPr>
        <w:t>haemoglutinis</w:t>
      </w:r>
      <w:proofErr w:type="spellEnd"/>
      <w:r w:rsidR="007A0C93">
        <w:rPr>
          <w:rFonts w:ascii="Times New Roman" w:eastAsia="Times New Roman" w:hAnsi="Times New Roman" w:cs="Times New Roman"/>
          <w:sz w:val="24"/>
          <w:szCs w:val="24"/>
        </w:rPr>
        <w:t xml:space="preserve"> </w:t>
      </w:r>
      <w:proofErr w:type="spellStart"/>
      <w:r w:rsidR="007A0C93">
        <w:rPr>
          <w:rFonts w:ascii="Times New Roman" w:eastAsia="Times New Roman" w:hAnsi="Times New Roman" w:cs="Times New Roman"/>
          <w:sz w:val="24"/>
          <w:szCs w:val="24"/>
        </w:rPr>
        <w:t>etc</w:t>
      </w:r>
      <w:proofErr w:type="spellEnd"/>
      <w:r w:rsidR="007A0C93">
        <w:rPr>
          <w:rFonts w:ascii="Times New Roman" w:eastAsia="Times New Roman" w:hAnsi="Times New Roman" w:cs="Times New Roman"/>
          <w:sz w:val="24"/>
          <w:szCs w:val="24"/>
        </w:rPr>
        <w:t xml:space="preserve"> (Francis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2001). Non-ruminant organisms like fish are unable to break the phytate compound due to lack of phytase enzyme. A number of processing techniques e.g., roasting, germination, extrusion cooking, soaking, </w:t>
      </w:r>
      <w:r w:rsidR="007A0C93">
        <w:rPr>
          <w:rFonts w:ascii="Times New Roman" w:eastAsia="Times New Roman" w:hAnsi="Times New Roman" w:cs="Times New Roman"/>
          <w:sz w:val="24"/>
          <w:szCs w:val="24"/>
        </w:rPr>
        <w:lastRenderedPageBreak/>
        <w:t xml:space="preserve">fermentation etc. have been suggested by many researchers for amelioration of ANFs and to increase their nutrient utilization (Garg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2003). Recently, extrusion cooking using twin screw extruder have been popularized to destroy anti-nutritional factors (</w:t>
      </w:r>
      <w:proofErr w:type="spellStart"/>
      <w:r w:rsidR="007A0C93">
        <w:rPr>
          <w:rFonts w:ascii="Times New Roman" w:eastAsia="Times New Roman" w:hAnsi="Times New Roman" w:cs="Times New Roman"/>
          <w:sz w:val="24"/>
          <w:szCs w:val="24"/>
        </w:rPr>
        <w:t>Nikmaram</w:t>
      </w:r>
      <w:proofErr w:type="spellEnd"/>
      <w:r w:rsidR="007A0C93">
        <w:rPr>
          <w:rFonts w:ascii="Times New Roman" w:eastAsia="Times New Roman" w:hAnsi="Times New Roman" w:cs="Times New Roman"/>
          <w:sz w:val="24"/>
          <w:szCs w:val="24"/>
        </w:rPr>
        <w:t xml:space="preserve">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2015; Moscicki, 2011), increase nitrogen content and dietary </w:t>
      </w:r>
      <w:proofErr w:type="spellStart"/>
      <w:r w:rsidR="007A0C93">
        <w:rPr>
          <w:rFonts w:ascii="Times New Roman" w:eastAsia="Times New Roman" w:hAnsi="Times New Roman" w:cs="Times New Roman"/>
          <w:sz w:val="24"/>
          <w:szCs w:val="24"/>
        </w:rPr>
        <w:t>fibre</w:t>
      </w:r>
      <w:proofErr w:type="spellEnd"/>
      <w:r w:rsidR="007A0C93">
        <w:rPr>
          <w:rFonts w:ascii="Times New Roman" w:eastAsia="Times New Roman" w:hAnsi="Times New Roman" w:cs="Times New Roman"/>
          <w:sz w:val="24"/>
          <w:szCs w:val="24"/>
        </w:rPr>
        <w:t xml:space="preserve"> solubility, decrease lipid spoilage by denaturing deteriorative enzymes (Alam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2016) and destroy microbiological pathogen as well as to overcome problems associated with sinking pelleted feeds such as wastage of raw materials and water pollution, lower functional quality, particularly in terms of physicochemical qualities, etc. (Munguti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2014).</w:t>
      </w:r>
    </w:p>
    <w:p w14:paraId="440573B8" w14:textId="77777777"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Extruded fish feed is getting increasingly popular, because it provides superior water stability, better floating properties, ease of digestion, growth, zero water pollution, </w:t>
      </w:r>
      <w:proofErr w:type="spellStart"/>
      <w:r>
        <w:rPr>
          <w:rFonts w:ascii="Times New Roman" w:eastAsia="Times New Roman" w:hAnsi="Times New Roman" w:cs="Times New Roman"/>
          <w:color w:val="000000"/>
          <w:sz w:val="24"/>
          <w:szCs w:val="24"/>
        </w:rPr>
        <w:t>optimised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usage and zero wastage of raw materials (</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 The nutrients are retained for a reasonable period of time while floating, allowing fish to consume the entire extruded ration (Kearns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1989)</w:t>
      </w:r>
      <w:r>
        <w:rPr>
          <w:rFonts w:ascii="Times New Roman" w:eastAsia="Times New Roman" w:hAnsi="Times New Roman" w:cs="Times New Roman"/>
          <w:sz w:val="24"/>
          <w:szCs w:val="24"/>
        </w:rPr>
        <w:t>. It is ideal for pelagic or surface feeders because the fish can easily access the feed and do not have to invest much energy searching for food at the bottom (</w:t>
      </w: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The use of floating feed is safer because feed ingredients can be </w:t>
      </w:r>
      <w:proofErr w:type="spellStart"/>
      <w:r>
        <w:rPr>
          <w:rFonts w:ascii="Times New Roman" w:eastAsia="Times New Roman" w:hAnsi="Times New Roman" w:cs="Times New Roman"/>
          <w:sz w:val="24"/>
          <w:szCs w:val="24"/>
        </w:rPr>
        <w:t>pasteurised</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sterilised</w:t>
      </w:r>
      <w:proofErr w:type="spellEnd"/>
      <w:r>
        <w:rPr>
          <w:rFonts w:ascii="Times New Roman" w:eastAsia="Times New Roman" w:hAnsi="Times New Roman" w:cs="Times New Roman"/>
          <w:sz w:val="24"/>
          <w:szCs w:val="24"/>
        </w:rPr>
        <w:t xml:space="preserve"> during the feed extrusion process, improving feed digestibility and reducing the negative effects of some feed materials on aquatic animal health (</w:t>
      </w:r>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Farmers can see how much and how actively the fish eat by using floating feed as a management tool.</w:t>
      </w:r>
    </w:p>
    <w:p w14:paraId="31DEEB56" w14:textId="7B9CA963"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are well-suited to a wide range of aquaculture systems because of their ease of propagation, adaptability to a broad range of climatic conditions, high growth rate, superior palatability, marketability, and nutrient benefits (Coddington </w:t>
      </w:r>
      <w:proofErr w:type="gramStart"/>
      <w:r>
        <w:rPr>
          <w:rFonts w:ascii="Times New Roman" w:eastAsia="Times New Roman" w:hAnsi="Times New Roman" w:cs="Times New Roman"/>
          <w:sz w:val="24"/>
          <w:szCs w:val="24"/>
        </w:rPr>
        <w:t>et al.,,.</w:t>
      </w:r>
      <w:proofErr w:type="gramEnd"/>
      <w:r>
        <w:rPr>
          <w:rFonts w:ascii="Times New Roman" w:eastAsia="Times New Roman" w:hAnsi="Times New Roman" w:cs="Times New Roman"/>
          <w:sz w:val="24"/>
          <w:szCs w:val="24"/>
        </w:rPr>
        <w:t xml:space="preserve"> 1997). Theses fishes particularly well-suited for developing countries like India because they can resist to stress and disease, capacity to breed in confined water, and accept artificial diet soon after yolk sac absorption (Sayed et al., 2006). Besides their hardy nature, they are inexpensive and simple for small-scale farmers to grow for food, nutrition, and income (Fitzsimmons 2006). Tilapias have progressed from being a low-</w:t>
      </w:r>
      <w:proofErr w:type="spellStart"/>
      <w:r>
        <w:rPr>
          <w:rFonts w:ascii="Times New Roman" w:eastAsia="Times New Roman" w:hAnsi="Times New Roman" w:cs="Times New Roman"/>
          <w:sz w:val="24"/>
          <w:szCs w:val="24"/>
        </w:rPr>
        <w:t>prise</w:t>
      </w:r>
      <w:proofErr w:type="spellEnd"/>
      <w:r>
        <w:rPr>
          <w:rFonts w:ascii="Times New Roman" w:eastAsia="Times New Roman" w:hAnsi="Times New Roman" w:cs="Times New Roman"/>
          <w:sz w:val="24"/>
          <w:szCs w:val="24"/>
        </w:rPr>
        <w:t xml:space="preserve">, high-protein food fish to become popular as "aquatic chicken" (Pullin </w:t>
      </w:r>
      <w:r>
        <w:rPr>
          <w:rFonts w:ascii="Times New Roman" w:eastAsia="Times New Roman" w:hAnsi="Times New Roman" w:cs="Times New Roman"/>
          <w:i/>
          <w:sz w:val="24"/>
          <w:szCs w:val="24"/>
        </w:rPr>
        <w:t>at el</w:t>
      </w:r>
      <w:r>
        <w:rPr>
          <w:rFonts w:ascii="Times New Roman" w:eastAsia="Times New Roman" w:hAnsi="Times New Roman" w:cs="Times New Roman"/>
          <w:sz w:val="24"/>
          <w:szCs w:val="24"/>
        </w:rPr>
        <w:t>., 1985). Under this backdrop, present experiment has been designed to develop extruded fish feed using locally available ingredients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with the following </w:t>
      </w:r>
      <w:proofErr w:type="gramStart"/>
      <w:r>
        <w:rPr>
          <w:rFonts w:ascii="Times New Roman" w:eastAsia="Times New Roman" w:hAnsi="Times New Roman" w:cs="Times New Roman"/>
          <w:sz w:val="24"/>
          <w:szCs w:val="24"/>
        </w:rPr>
        <w:t>objectives :</w:t>
      </w:r>
      <w:proofErr w:type="gramEnd"/>
    </w:p>
    <w:p w14:paraId="55002EAE" w14:textId="78023E98" w:rsidR="007A0C93" w:rsidRDefault="007A0C93" w:rsidP="007A0C93">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extruded fish feed for 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xml:space="preserve">) using various </w:t>
      </w:r>
      <w:proofErr w:type="gramStart"/>
      <w:r>
        <w:rPr>
          <w:rFonts w:ascii="Times New Roman" w:eastAsia="Times New Roman" w:hAnsi="Times New Roman" w:cs="Times New Roman"/>
          <w:sz w:val="24"/>
          <w:szCs w:val="24"/>
        </w:rPr>
        <w:t>cost effective</w:t>
      </w:r>
      <w:proofErr w:type="gramEnd"/>
      <w:r>
        <w:rPr>
          <w:rFonts w:ascii="Times New Roman" w:eastAsia="Times New Roman" w:hAnsi="Times New Roman" w:cs="Times New Roman"/>
          <w:sz w:val="24"/>
          <w:szCs w:val="24"/>
        </w:rPr>
        <w:t xml:space="preserve"> feed ingredients </w:t>
      </w:r>
    </w:p>
    <w:p w14:paraId="448C5F01" w14:textId="2B02822B" w:rsidR="0096384D" w:rsidRDefault="007A0C93" w:rsidP="003B1BEC">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growth performance of the fish through feeding trials</w:t>
      </w:r>
    </w:p>
    <w:p w14:paraId="01B935C9" w14:textId="77777777" w:rsidR="00574A9D" w:rsidRPr="003B1BEC" w:rsidRDefault="00574A9D" w:rsidP="00574A9D">
      <w:pPr>
        <w:spacing w:before="200" w:after="0" w:line="240" w:lineRule="auto"/>
        <w:ind w:left="714"/>
        <w:jc w:val="both"/>
        <w:rPr>
          <w:rFonts w:ascii="Times New Roman" w:eastAsia="Times New Roman" w:hAnsi="Times New Roman" w:cs="Times New Roman"/>
          <w:sz w:val="24"/>
          <w:szCs w:val="24"/>
        </w:rPr>
      </w:pPr>
    </w:p>
    <w:p w14:paraId="17EE3839" w14:textId="5436D1B3" w:rsidR="00E23830" w:rsidRPr="0096384D" w:rsidRDefault="00E23830" w:rsidP="0096384D">
      <w:pPr>
        <w:pStyle w:val="ListParagraph"/>
        <w:numPr>
          <w:ilvl w:val="0"/>
          <w:numId w:val="2"/>
        </w:numPr>
        <w:tabs>
          <w:tab w:val="left" w:pos="720"/>
        </w:tabs>
        <w:spacing w:before="120" w:after="120" w:line="288" w:lineRule="auto"/>
        <w:jc w:val="center"/>
        <w:rPr>
          <w:rFonts w:ascii="Times New Roman" w:eastAsia="Times New Roman" w:hAnsi="Times New Roman" w:cs="Times New Roman"/>
          <w:b/>
          <w:color w:val="000000"/>
          <w:sz w:val="24"/>
          <w:szCs w:val="24"/>
        </w:rPr>
      </w:pPr>
      <w:r w:rsidRPr="0096384D">
        <w:rPr>
          <w:rFonts w:ascii="Times New Roman" w:eastAsia="Times New Roman" w:hAnsi="Times New Roman" w:cs="Times New Roman"/>
          <w:b/>
          <w:color w:val="000000"/>
          <w:sz w:val="24"/>
          <w:szCs w:val="24"/>
        </w:rPr>
        <w:t>MATERIALS AND METHODS</w:t>
      </w:r>
    </w:p>
    <w:p w14:paraId="4CC06DB3" w14:textId="7162CF01" w:rsidR="00E23830" w:rsidRDefault="0096384D"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sidR="00E23830">
        <w:rPr>
          <w:rFonts w:ascii="Times New Roman" w:eastAsia="Times New Roman" w:hAnsi="Times New Roman" w:cs="Times New Roman"/>
          <w:b/>
          <w:color w:val="000000"/>
          <w:sz w:val="24"/>
          <w:szCs w:val="24"/>
        </w:rPr>
        <w:t>Formulation and Preparation of the Experimental diets</w:t>
      </w:r>
      <w:r w:rsidR="00E23830">
        <w:rPr>
          <w:rFonts w:ascii="Times New Roman" w:eastAsia="Times New Roman" w:hAnsi="Times New Roman" w:cs="Times New Roman"/>
          <w:color w:val="000000"/>
          <w:sz w:val="24"/>
          <w:szCs w:val="24"/>
        </w:rPr>
        <w:t xml:space="preserve"> </w:t>
      </w:r>
    </w:p>
    <w:p w14:paraId="0D3D584D" w14:textId="16CB691B" w:rsidR="00E23830" w:rsidRDefault="00E23830" w:rsidP="0096384D">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 iso-nitrogenous experimental diets with 35</w:t>
      </w:r>
      <w:proofErr w:type="gramStart"/>
      <w:r>
        <w:rPr>
          <w:rFonts w:ascii="Times New Roman" w:eastAsia="Times New Roman" w:hAnsi="Times New Roman" w:cs="Times New Roman"/>
          <w:color w:val="000000"/>
          <w:sz w:val="24"/>
          <w:szCs w:val="24"/>
        </w:rPr>
        <w:t>%  crude</w:t>
      </w:r>
      <w:proofErr w:type="gramEnd"/>
      <w:r>
        <w:rPr>
          <w:rFonts w:ascii="Times New Roman" w:eastAsia="Times New Roman" w:hAnsi="Times New Roman" w:cs="Times New Roman"/>
          <w:color w:val="000000"/>
          <w:sz w:val="24"/>
          <w:szCs w:val="24"/>
        </w:rPr>
        <w:t xml:space="preserve"> protein (CP) recommended for advance tilapia fry (FAO, 2017) were formulated in this experiment by adding different ingredients as per their standard nutrient composition evaluated earlier (Barik, 2021). The control diet was prepared using conventional ingredients like fish meal, GNOC, soya meal, mustard oil cake, corn flour, </w:t>
      </w:r>
      <w:proofErr w:type="spellStart"/>
      <w:r>
        <w:rPr>
          <w:rFonts w:ascii="Times New Roman" w:eastAsia="Times New Roman" w:hAnsi="Times New Roman" w:cs="Times New Roman"/>
          <w:color w:val="000000"/>
          <w:sz w:val="24"/>
          <w:szCs w:val="24"/>
        </w:rPr>
        <w:t>vitabest</w:t>
      </w:r>
      <w:proofErr w:type="spellEnd"/>
      <w:r>
        <w:rPr>
          <w:rFonts w:ascii="Times New Roman" w:eastAsia="Times New Roman" w:hAnsi="Times New Roman" w:cs="Times New Roman"/>
          <w:color w:val="000000"/>
          <w:sz w:val="24"/>
          <w:szCs w:val="24"/>
        </w:rPr>
        <w:t xml:space="preserve"> and vitamin and mineral mixture. The experimental diets were formulated by replacing 50% GNOC protein with experimental oil cakes e.g., SFOC, LSOC and silage, while keeping all other ingredients constant. All the feeds were fortified with vitamin mineral premix. Accordingly, the different experimental diets were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control diet formulated with the conventional feed ingredients;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50% of GNOC protein replaced with SFOC;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50% of GNOC protein replaced with LSOC; T3: 50% of GNOC protein replaced with silage on dry weight basis (Table </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p w14:paraId="65D10F48" w14:textId="7B507032" w:rsidR="00E23830" w:rsidRDefault="00E23830" w:rsidP="0096384D">
      <w:pPr>
        <w:widowControl w:val="0"/>
        <w:pBdr>
          <w:top w:val="nil"/>
          <w:left w:val="nil"/>
          <w:bottom w:val="nil"/>
          <w:right w:val="nil"/>
          <w:between w:val="nil"/>
        </w:pBdr>
        <w:spacing w:before="120" w:after="120" w:line="33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the experimental diets, all the powdered ingredients were weighed accurately one by one as per details given in Table-</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on to a tray. They were then hand mixed properly to get a uniform mixing. </w:t>
      </w:r>
      <w:proofErr w:type="spellStart"/>
      <w:r>
        <w:rPr>
          <w:rFonts w:ascii="Times New Roman" w:eastAsia="Times New Roman" w:hAnsi="Times New Roman" w:cs="Times New Roman"/>
          <w:color w:val="000000"/>
          <w:sz w:val="24"/>
          <w:szCs w:val="24"/>
        </w:rPr>
        <w:t>Vitabest</w:t>
      </w:r>
      <w:proofErr w:type="spellEnd"/>
      <w:r>
        <w:rPr>
          <w:rFonts w:ascii="Times New Roman" w:eastAsia="Times New Roman" w:hAnsi="Times New Roman" w:cs="Times New Roman"/>
          <w:color w:val="000000"/>
          <w:sz w:val="24"/>
          <w:szCs w:val="24"/>
        </w:rPr>
        <w:t xml:space="preserve">, the lipid source and silage </w:t>
      </w:r>
      <w:proofErr w:type="gramStart"/>
      <w:r>
        <w:rPr>
          <w:rFonts w:ascii="Times New Roman" w:eastAsia="Times New Roman" w:hAnsi="Times New Roman" w:cs="Times New Roman"/>
          <w:color w:val="000000"/>
          <w:sz w:val="24"/>
          <w:szCs w:val="24"/>
        </w:rPr>
        <w:t>was</w:t>
      </w:r>
      <w:proofErr w:type="gramEnd"/>
      <w:r>
        <w:rPr>
          <w:rFonts w:ascii="Times New Roman" w:eastAsia="Times New Roman" w:hAnsi="Times New Roman" w:cs="Times New Roman"/>
          <w:color w:val="000000"/>
          <w:sz w:val="24"/>
          <w:szCs w:val="24"/>
        </w:rPr>
        <w:t xml:space="preserve"> then added as per requirement and the feed mix was mixed by repeated rubbing with hand. Then water was added at 25 % of the weight of the feed mix, hand kneaded thoroughly and kept pressed at one corner of the tray for half an hour for proper soaking. Feed mix were then used for preparation of extruder fish feed using instrument parameters as standardized.</w:t>
      </w:r>
    </w:p>
    <w:p w14:paraId="20441AD2" w14:textId="3257B1C8" w:rsidR="00E23830" w:rsidRDefault="00E23830" w:rsidP="00E2383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w:t>
      </w:r>
      <w:r w:rsidR="0096384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Percentage composition </w:t>
      </w:r>
      <w:proofErr w:type="gramStart"/>
      <w:r>
        <w:rPr>
          <w:rFonts w:ascii="Times New Roman" w:eastAsia="Times New Roman" w:hAnsi="Times New Roman" w:cs="Times New Roman"/>
          <w:b/>
          <w:color w:val="000000"/>
          <w:sz w:val="24"/>
          <w:szCs w:val="24"/>
        </w:rPr>
        <w:t>of  ingredients</w:t>
      </w:r>
      <w:proofErr w:type="gramEnd"/>
      <w:r>
        <w:rPr>
          <w:rFonts w:ascii="Times New Roman" w:eastAsia="Times New Roman" w:hAnsi="Times New Roman" w:cs="Times New Roman"/>
          <w:b/>
          <w:color w:val="000000"/>
          <w:sz w:val="24"/>
          <w:szCs w:val="24"/>
        </w:rPr>
        <w:t xml:space="preserve"> in the experimental diets</w:t>
      </w:r>
    </w:p>
    <w:tbl>
      <w:tblPr>
        <w:tblW w:w="87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949"/>
        <w:gridCol w:w="1461"/>
        <w:gridCol w:w="1461"/>
        <w:gridCol w:w="1670"/>
        <w:gridCol w:w="1253"/>
      </w:tblGrid>
      <w:tr w:rsidR="00E23830" w14:paraId="50C5BF19" w14:textId="77777777" w:rsidTr="00B838D9">
        <w:trPr>
          <w:trHeight w:val="307"/>
          <w:jc w:val="center"/>
        </w:trPr>
        <w:tc>
          <w:tcPr>
            <w:tcW w:w="2949" w:type="dxa"/>
            <w:vAlign w:val="center"/>
          </w:tcPr>
          <w:p w14:paraId="6FC59FB6"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Ingredients</w:t>
            </w:r>
          </w:p>
        </w:tc>
        <w:tc>
          <w:tcPr>
            <w:tcW w:w="1461" w:type="dxa"/>
            <w:vAlign w:val="center"/>
          </w:tcPr>
          <w:p w14:paraId="0B8CF684"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0</w:t>
            </w:r>
          </w:p>
        </w:tc>
        <w:tc>
          <w:tcPr>
            <w:tcW w:w="1461" w:type="dxa"/>
            <w:vAlign w:val="center"/>
          </w:tcPr>
          <w:p w14:paraId="39D9E0EC"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w:t>
            </w:r>
          </w:p>
        </w:tc>
        <w:tc>
          <w:tcPr>
            <w:tcW w:w="1670" w:type="dxa"/>
            <w:vAlign w:val="center"/>
          </w:tcPr>
          <w:p w14:paraId="769695B2"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1253" w:type="dxa"/>
            <w:vAlign w:val="center"/>
          </w:tcPr>
          <w:p w14:paraId="09F9D750" w14:textId="77777777" w:rsidR="00E23830" w:rsidRDefault="00E23830" w:rsidP="00B838D9">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r>
      <w:tr w:rsidR="00E23830" w14:paraId="2BC16F16" w14:textId="77777777" w:rsidTr="00B838D9">
        <w:trPr>
          <w:trHeight w:val="315"/>
          <w:jc w:val="center"/>
        </w:trPr>
        <w:tc>
          <w:tcPr>
            <w:tcW w:w="2949" w:type="dxa"/>
            <w:vAlign w:val="center"/>
          </w:tcPr>
          <w:p w14:paraId="4D411446"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w:t>
            </w:r>
          </w:p>
        </w:tc>
        <w:tc>
          <w:tcPr>
            <w:tcW w:w="1461" w:type="dxa"/>
            <w:vAlign w:val="center"/>
          </w:tcPr>
          <w:p w14:paraId="54B39460"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61" w:type="dxa"/>
            <w:vAlign w:val="center"/>
          </w:tcPr>
          <w:p w14:paraId="085003A4"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70" w:type="dxa"/>
            <w:vAlign w:val="center"/>
          </w:tcPr>
          <w:p w14:paraId="00A8591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3" w:type="dxa"/>
            <w:vAlign w:val="center"/>
          </w:tcPr>
          <w:p w14:paraId="556F594B"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23830" w14:paraId="49527942" w14:textId="77777777" w:rsidTr="00B838D9">
        <w:trPr>
          <w:trHeight w:val="315"/>
          <w:jc w:val="center"/>
        </w:trPr>
        <w:tc>
          <w:tcPr>
            <w:tcW w:w="2949" w:type="dxa"/>
            <w:vAlign w:val="center"/>
          </w:tcPr>
          <w:p w14:paraId="36CF5FF5"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nut oil cake</w:t>
            </w:r>
          </w:p>
        </w:tc>
        <w:tc>
          <w:tcPr>
            <w:tcW w:w="1461" w:type="dxa"/>
            <w:vAlign w:val="center"/>
          </w:tcPr>
          <w:p w14:paraId="4CA0FFF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61" w:type="dxa"/>
            <w:vAlign w:val="center"/>
          </w:tcPr>
          <w:p w14:paraId="5789596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70" w:type="dxa"/>
            <w:vAlign w:val="center"/>
          </w:tcPr>
          <w:p w14:paraId="4B37FC7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53" w:type="dxa"/>
            <w:vAlign w:val="center"/>
          </w:tcPr>
          <w:p w14:paraId="3DDC591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4CA353CD" w14:textId="77777777" w:rsidTr="00B838D9">
        <w:trPr>
          <w:trHeight w:val="307"/>
          <w:jc w:val="center"/>
        </w:trPr>
        <w:tc>
          <w:tcPr>
            <w:tcW w:w="2949" w:type="dxa"/>
            <w:vAlign w:val="center"/>
          </w:tcPr>
          <w:p w14:paraId="7C02B1C3"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Mustard oil cake</w:t>
            </w:r>
          </w:p>
        </w:tc>
        <w:tc>
          <w:tcPr>
            <w:tcW w:w="1461" w:type="dxa"/>
            <w:vAlign w:val="center"/>
          </w:tcPr>
          <w:p w14:paraId="0E6A8F6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61" w:type="dxa"/>
            <w:vAlign w:val="center"/>
          </w:tcPr>
          <w:p w14:paraId="290C758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70" w:type="dxa"/>
            <w:vAlign w:val="center"/>
          </w:tcPr>
          <w:p w14:paraId="5E049ED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53" w:type="dxa"/>
            <w:vAlign w:val="center"/>
          </w:tcPr>
          <w:p w14:paraId="724E9B2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3830" w14:paraId="7B2B2C1D" w14:textId="77777777" w:rsidTr="00B838D9">
        <w:trPr>
          <w:trHeight w:val="315"/>
          <w:jc w:val="center"/>
        </w:trPr>
        <w:tc>
          <w:tcPr>
            <w:tcW w:w="2949" w:type="dxa"/>
            <w:vAlign w:val="center"/>
          </w:tcPr>
          <w:p w14:paraId="30D2CC7F" w14:textId="77777777" w:rsidR="00E23830" w:rsidRDefault="00E23830" w:rsidP="00B838D9">
            <w:pPr>
              <w:spacing w:before="60" w:after="6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Soya  meal</w:t>
            </w:r>
            <w:proofErr w:type="gramEnd"/>
            <w:r>
              <w:rPr>
                <w:rFonts w:ascii="Times New Roman" w:eastAsia="Times New Roman" w:hAnsi="Times New Roman" w:cs="Times New Roman"/>
                <w:sz w:val="24"/>
                <w:szCs w:val="24"/>
              </w:rPr>
              <w:t xml:space="preserve"> </w:t>
            </w:r>
          </w:p>
        </w:tc>
        <w:tc>
          <w:tcPr>
            <w:tcW w:w="1461" w:type="dxa"/>
            <w:vAlign w:val="center"/>
          </w:tcPr>
          <w:p w14:paraId="21FBE2A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1" w:type="dxa"/>
            <w:vAlign w:val="center"/>
          </w:tcPr>
          <w:p w14:paraId="573200B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70" w:type="dxa"/>
            <w:vAlign w:val="center"/>
          </w:tcPr>
          <w:p w14:paraId="34518E1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3" w:type="dxa"/>
            <w:vAlign w:val="center"/>
          </w:tcPr>
          <w:p w14:paraId="37C4277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23830" w14:paraId="23EDB481" w14:textId="77777777" w:rsidTr="00B838D9">
        <w:trPr>
          <w:trHeight w:val="307"/>
          <w:jc w:val="center"/>
        </w:trPr>
        <w:tc>
          <w:tcPr>
            <w:tcW w:w="2949" w:type="dxa"/>
            <w:vAlign w:val="center"/>
          </w:tcPr>
          <w:p w14:paraId="42484899"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 flour</w:t>
            </w:r>
          </w:p>
        </w:tc>
        <w:tc>
          <w:tcPr>
            <w:tcW w:w="1461" w:type="dxa"/>
            <w:vAlign w:val="center"/>
          </w:tcPr>
          <w:p w14:paraId="6A15FD5B"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1" w:type="dxa"/>
            <w:vAlign w:val="center"/>
          </w:tcPr>
          <w:p w14:paraId="68A57BD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70" w:type="dxa"/>
            <w:vAlign w:val="center"/>
          </w:tcPr>
          <w:p w14:paraId="2F8D345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53" w:type="dxa"/>
            <w:vAlign w:val="center"/>
          </w:tcPr>
          <w:p w14:paraId="571D8E6C"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0CA0FD7B" w14:textId="77777777" w:rsidTr="00B838D9">
        <w:trPr>
          <w:trHeight w:val="315"/>
          <w:jc w:val="center"/>
        </w:trPr>
        <w:tc>
          <w:tcPr>
            <w:tcW w:w="2949" w:type="dxa"/>
            <w:vAlign w:val="center"/>
          </w:tcPr>
          <w:p w14:paraId="71328896"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SFOC</w:t>
            </w:r>
          </w:p>
        </w:tc>
        <w:tc>
          <w:tcPr>
            <w:tcW w:w="1461" w:type="dxa"/>
            <w:vAlign w:val="center"/>
          </w:tcPr>
          <w:p w14:paraId="3AAEC68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5E02C90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70" w:type="dxa"/>
            <w:vAlign w:val="center"/>
          </w:tcPr>
          <w:p w14:paraId="2BE74D9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639956BA"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7AE4E02" w14:textId="77777777" w:rsidTr="00B838D9">
        <w:trPr>
          <w:trHeight w:val="307"/>
          <w:jc w:val="center"/>
        </w:trPr>
        <w:tc>
          <w:tcPr>
            <w:tcW w:w="2949" w:type="dxa"/>
            <w:vAlign w:val="center"/>
          </w:tcPr>
          <w:p w14:paraId="17291E58"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LSOC</w:t>
            </w:r>
          </w:p>
        </w:tc>
        <w:tc>
          <w:tcPr>
            <w:tcW w:w="1461" w:type="dxa"/>
            <w:vAlign w:val="center"/>
          </w:tcPr>
          <w:p w14:paraId="1F7DD476"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94C7913"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70" w:type="dxa"/>
            <w:vAlign w:val="center"/>
          </w:tcPr>
          <w:p w14:paraId="45CDAF4F"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1253" w:type="dxa"/>
            <w:vAlign w:val="center"/>
          </w:tcPr>
          <w:p w14:paraId="7ECB48A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A6AC24F" w14:textId="77777777" w:rsidTr="00B838D9">
        <w:trPr>
          <w:trHeight w:val="315"/>
          <w:jc w:val="center"/>
        </w:trPr>
        <w:tc>
          <w:tcPr>
            <w:tcW w:w="2949" w:type="dxa"/>
            <w:vAlign w:val="center"/>
          </w:tcPr>
          <w:p w14:paraId="54F396F0"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Silage</w:t>
            </w:r>
          </w:p>
        </w:tc>
        <w:tc>
          <w:tcPr>
            <w:tcW w:w="1461" w:type="dxa"/>
            <w:vAlign w:val="center"/>
          </w:tcPr>
          <w:p w14:paraId="1FF26AD4"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1F9013C"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70" w:type="dxa"/>
            <w:vAlign w:val="center"/>
          </w:tcPr>
          <w:p w14:paraId="38B139CF"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020379F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277D9D45" w14:textId="77777777" w:rsidTr="00B838D9">
        <w:trPr>
          <w:trHeight w:val="315"/>
          <w:jc w:val="center"/>
        </w:trPr>
        <w:tc>
          <w:tcPr>
            <w:tcW w:w="2949" w:type="dxa"/>
            <w:vAlign w:val="center"/>
          </w:tcPr>
          <w:p w14:paraId="4CAD38C7" w14:textId="77777777" w:rsidR="00E23830" w:rsidRDefault="00E23830" w:rsidP="00B838D9">
            <w:pPr>
              <w:spacing w:before="60" w:after="6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Vitabest</w:t>
            </w:r>
            <w:proofErr w:type="spellEnd"/>
          </w:p>
        </w:tc>
        <w:tc>
          <w:tcPr>
            <w:tcW w:w="1461" w:type="dxa"/>
            <w:vAlign w:val="center"/>
          </w:tcPr>
          <w:p w14:paraId="2C68003D"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2CDDE4C0"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579D634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4BF595B8"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23830" w14:paraId="1AFB2E77" w14:textId="77777777" w:rsidTr="00B838D9">
        <w:trPr>
          <w:trHeight w:val="502"/>
          <w:jc w:val="center"/>
        </w:trPr>
        <w:tc>
          <w:tcPr>
            <w:tcW w:w="2949" w:type="dxa"/>
            <w:vAlign w:val="center"/>
          </w:tcPr>
          <w:p w14:paraId="19072959" w14:textId="77777777" w:rsidR="00E23830" w:rsidRDefault="00E23830" w:rsidP="00B838D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Vitamin-mineral mixture</w:t>
            </w:r>
          </w:p>
        </w:tc>
        <w:tc>
          <w:tcPr>
            <w:tcW w:w="1461" w:type="dxa"/>
            <w:vAlign w:val="center"/>
          </w:tcPr>
          <w:p w14:paraId="42CA0789"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5B8FE231"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39E56052"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2FAD008F" w14:textId="77777777" w:rsidR="00E23830" w:rsidRDefault="00E23830" w:rsidP="00B838D9">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1324DC5" w14:textId="77777777" w:rsidR="00E23830" w:rsidRDefault="00E23830" w:rsidP="00E23830">
      <w:pPr>
        <w:spacing w:before="120" w:after="120" w:line="360" w:lineRule="auto"/>
        <w:jc w:val="both"/>
        <w:rPr>
          <w:rFonts w:ascii="Times New Roman" w:eastAsia="Times New Roman" w:hAnsi="Times New Roman" w:cs="Times New Roman"/>
          <w:sz w:val="24"/>
          <w:szCs w:val="24"/>
        </w:rPr>
      </w:pPr>
    </w:p>
    <w:p w14:paraId="518C48B3" w14:textId="0C2925EB" w:rsidR="00E23830" w:rsidRDefault="00D7044C" w:rsidP="00E23830">
      <w:pP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E23830">
        <w:rPr>
          <w:rFonts w:ascii="Times New Roman" w:eastAsia="Times New Roman" w:hAnsi="Times New Roman" w:cs="Times New Roman"/>
          <w:b/>
          <w:color w:val="000000"/>
          <w:sz w:val="24"/>
          <w:szCs w:val="24"/>
        </w:rPr>
        <w:t xml:space="preserve">Feeding experiment </w:t>
      </w:r>
    </w:p>
    <w:p w14:paraId="0DCDE37B" w14:textId="0F2CB705"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w:t>
      </w:r>
      <w:r w:rsidR="00E23830">
        <w:rPr>
          <w:rFonts w:ascii="Times New Roman" w:eastAsia="Times New Roman" w:hAnsi="Times New Roman" w:cs="Times New Roman"/>
          <w:b/>
          <w:color w:val="000000"/>
          <w:sz w:val="24"/>
          <w:szCs w:val="24"/>
        </w:rPr>
        <w:tab/>
        <w:t>Site of the experiment</w:t>
      </w:r>
      <w:r w:rsidR="00E23830">
        <w:rPr>
          <w:rFonts w:ascii="Times New Roman" w:eastAsia="Times New Roman" w:hAnsi="Times New Roman" w:cs="Times New Roman"/>
          <w:color w:val="000000"/>
          <w:sz w:val="24"/>
          <w:szCs w:val="24"/>
        </w:rPr>
        <w:t xml:space="preserve"> </w:t>
      </w:r>
    </w:p>
    <w:p w14:paraId="2E9CA11A" w14:textId="2D577BF1"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was carried out in Aquaculture Laboratory of College of Fisheries (OUAT), </w:t>
      </w:r>
      <w:proofErr w:type="spellStart"/>
      <w:r>
        <w:rPr>
          <w:rFonts w:ascii="Times New Roman" w:eastAsia="Times New Roman" w:hAnsi="Times New Roman" w:cs="Times New Roman"/>
          <w:color w:val="000000"/>
          <w:sz w:val="24"/>
          <w:szCs w:val="24"/>
        </w:rPr>
        <w:t>Rangailunda</w:t>
      </w:r>
      <w:proofErr w:type="spellEnd"/>
      <w:r>
        <w:rPr>
          <w:rFonts w:ascii="Times New Roman" w:eastAsia="Times New Roman" w:hAnsi="Times New Roman" w:cs="Times New Roman"/>
          <w:color w:val="000000"/>
          <w:sz w:val="24"/>
          <w:szCs w:val="24"/>
        </w:rPr>
        <w:t>. The feed preparation and chemical analysis were done in the Aquafeed Laboratory and Nutrition Laboratory of the College, respectably.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Experimental animal</w:t>
      </w:r>
      <w:r>
        <w:rPr>
          <w:rFonts w:ascii="Times New Roman" w:eastAsia="Times New Roman" w:hAnsi="Times New Roman" w:cs="Times New Roman"/>
          <w:color w:val="000000"/>
          <w:sz w:val="24"/>
          <w:szCs w:val="24"/>
        </w:rPr>
        <w:t xml:space="preserve"> </w:t>
      </w:r>
    </w:p>
    <w:p w14:paraId="49DD3DDC"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advance fry were used as the experimental animals in this study. About two hundred fifty 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advance fry were procured from Govt. Fish Farm, </w:t>
      </w:r>
      <w:proofErr w:type="spellStart"/>
      <w:r>
        <w:rPr>
          <w:rFonts w:ascii="Times New Roman" w:eastAsia="Times New Roman" w:hAnsi="Times New Roman" w:cs="Times New Roman"/>
          <w:color w:val="000000"/>
          <w:sz w:val="24"/>
          <w:szCs w:val="24"/>
        </w:rPr>
        <w:t>Kausalyaganga</w:t>
      </w:r>
      <w:proofErr w:type="spellEnd"/>
      <w:r>
        <w:rPr>
          <w:rFonts w:ascii="Times New Roman" w:eastAsia="Times New Roman" w:hAnsi="Times New Roman" w:cs="Times New Roman"/>
          <w:color w:val="000000"/>
          <w:sz w:val="24"/>
          <w:szCs w:val="24"/>
        </w:rPr>
        <w:t xml:space="preserve"> Bhubaneswar. The fishes were transported to the laboratory in polythene bags with oxygen supply. They were disinfected using 1 ppm </w:t>
      </w:r>
      <w:proofErr w:type="spellStart"/>
      <w:r>
        <w:rPr>
          <w:rFonts w:ascii="Times New Roman" w:eastAsia="Times New Roman" w:hAnsi="Times New Roman" w:cs="Times New Roman"/>
          <w:color w:val="000000"/>
          <w:sz w:val="24"/>
          <w:szCs w:val="24"/>
        </w:rPr>
        <w:t>Porassium</w:t>
      </w:r>
      <w:proofErr w:type="spellEnd"/>
      <w:r>
        <w:rPr>
          <w:rFonts w:ascii="Times New Roman" w:eastAsia="Times New Roman" w:hAnsi="Times New Roman" w:cs="Times New Roman"/>
          <w:color w:val="000000"/>
          <w:sz w:val="24"/>
          <w:szCs w:val="24"/>
        </w:rPr>
        <w:t xml:space="preserve"> permanganate solution and released in three fiber re-enforced plastic (FRP) tanks of 500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having clean borewell water. Introduced fishes were kept under aerated condition for two weeks for acclimatization to laboratory condition. During acclimatization period, they were fed with commercial carp feed twice a day up to satiation.</w:t>
      </w:r>
    </w:p>
    <w:p w14:paraId="479AEB7A" w14:textId="3CCA0B4C"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Experimental set-up</w:t>
      </w:r>
    </w:p>
    <w:p w14:paraId="1D4876E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done in 12 no. of FRP tanks of 200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xml:space="preserve"> capacity for four treatments in triplicate. After cleaning </w:t>
      </w:r>
      <w:proofErr w:type="gramStart"/>
      <w:r>
        <w:rPr>
          <w:rFonts w:ascii="Times New Roman" w:eastAsia="Times New Roman" w:hAnsi="Times New Roman" w:cs="Times New Roman"/>
          <w:color w:val="000000"/>
          <w:sz w:val="24"/>
          <w:szCs w:val="24"/>
        </w:rPr>
        <w:t>properly</w:t>
      </w:r>
      <w:proofErr w:type="gramEnd"/>
      <w:r>
        <w:rPr>
          <w:rFonts w:ascii="Times New Roman" w:eastAsia="Times New Roman" w:hAnsi="Times New Roman" w:cs="Times New Roman"/>
          <w:color w:val="000000"/>
          <w:sz w:val="24"/>
          <w:szCs w:val="24"/>
        </w:rPr>
        <w:t xml:space="preserve"> the tanks were soaked with potassium permanganate (KMnO4) solution and kept for overnight. On the next day, the tanks were thoroughly washed and filled with clean bore well water for stocking of the experimental fishes. </w:t>
      </w:r>
    </w:p>
    <w:p w14:paraId="0006054A"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hundred twenty fishes of uniform size (average initial weight of 1.2 ± 0.16 </w:t>
      </w:r>
      <w:r>
        <w:rPr>
          <w:rFonts w:ascii="Times New Roman" w:eastAsia="Times New Roman" w:hAnsi="Times New Roman" w:cs="Times New Roman"/>
          <w:i/>
          <w:color w:val="000000"/>
          <w:sz w:val="24"/>
          <w:szCs w:val="24"/>
        </w:rPr>
        <w:t>g</w:t>
      </w:r>
      <w:r>
        <w:rPr>
          <w:rFonts w:ascii="Times New Roman" w:eastAsia="Times New Roman" w:hAnsi="Times New Roman" w:cs="Times New Roman"/>
          <w:color w:val="000000"/>
          <w:sz w:val="24"/>
          <w:szCs w:val="24"/>
        </w:rPr>
        <w:t>) were randomly distributed into four experimental groups (named as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in three </w:t>
      </w:r>
      <w:proofErr w:type="gramStart"/>
      <w:r>
        <w:rPr>
          <w:rFonts w:ascii="Times New Roman" w:eastAsia="Times New Roman" w:hAnsi="Times New Roman" w:cs="Times New Roman"/>
          <w:color w:val="000000"/>
          <w:sz w:val="24"/>
          <w:szCs w:val="24"/>
        </w:rPr>
        <w:t>replicate</w:t>
      </w:r>
      <w:proofErr w:type="gramEnd"/>
      <w:r>
        <w:rPr>
          <w:rFonts w:ascii="Times New Roman" w:eastAsia="Times New Roman" w:hAnsi="Times New Roman" w:cs="Times New Roman"/>
          <w:color w:val="000000"/>
          <w:sz w:val="24"/>
          <w:szCs w:val="24"/>
        </w:rPr>
        <w:t xml:space="preserve"> following a completely randomized design at the rate of ten fishes per tank. The fishes were subjected to 90 days of feeding trial under the provision of aeration for 24 </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 xml:space="preserve"> except the period of feeding. 25% water from the experimental tank was siphoned out daily to remove uneaten food and fecal matter followed by refilling of same amount of clean bore well water.</w:t>
      </w:r>
    </w:p>
    <w:p w14:paraId="0205900C" w14:textId="3C1E8C5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 xml:space="preserve">.4. </w:t>
      </w:r>
      <w:r w:rsidR="00E23830">
        <w:rPr>
          <w:rFonts w:ascii="Times New Roman" w:eastAsia="Times New Roman" w:hAnsi="Times New Roman" w:cs="Times New Roman"/>
          <w:b/>
          <w:color w:val="000000"/>
          <w:sz w:val="24"/>
          <w:szCs w:val="24"/>
        </w:rPr>
        <w:tab/>
        <w:t>Feeding</w:t>
      </w:r>
      <w:r w:rsidR="00E23830">
        <w:rPr>
          <w:rFonts w:ascii="Times New Roman" w:eastAsia="Times New Roman" w:hAnsi="Times New Roman" w:cs="Times New Roman"/>
          <w:color w:val="000000"/>
          <w:sz w:val="24"/>
          <w:szCs w:val="24"/>
        </w:rPr>
        <w:t xml:space="preserve"> </w:t>
      </w:r>
    </w:p>
    <w:p w14:paraId="2A73DDA0"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fishes categorized in to four experimental groups were fed with the designated experimental diet (i.e.,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for a duration of ninety days. Initially fishes were fed @ </w:t>
      </w:r>
      <w:r>
        <w:rPr>
          <w:rFonts w:ascii="Times New Roman" w:eastAsia="Times New Roman" w:hAnsi="Times New Roman" w:cs="Times New Roman"/>
          <w:color w:val="000000"/>
          <w:sz w:val="24"/>
          <w:szCs w:val="24"/>
        </w:rPr>
        <w:lastRenderedPageBreak/>
        <w:t xml:space="preserve">8% of the total biomass and subsequently feeding was adjusted according to the level of consumption. Daily ration was given in two equal parts in the morning at 8 AM and in the evening at 4 PM. The </w:t>
      </w:r>
      <w:proofErr w:type="gramStart"/>
      <w:r>
        <w:rPr>
          <w:rFonts w:ascii="Times New Roman" w:eastAsia="Times New Roman" w:hAnsi="Times New Roman" w:cs="Times New Roman"/>
          <w:color w:val="000000"/>
          <w:sz w:val="24"/>
          <w:szCs w:val="24"/>
        </w:rPr>
        <w:t>left over</w:t>
      </w:r>
      <w:proofErr w:type="gramEnd"/>
      <w:r>
        <w:rPr>
          <w:rFonts w:ascii="Times New Roman" w:eastAsia="Times New Roman" w:hAnsi="Times New Roman" w:cs="Times New Roman"/>
          <w:color w:val="000000"/>
          <w:sz w:val="24"/>
          <w:szCs w:val="24"/>
        </w:rPr>
        <w:t xml:space="preserve"> feed were siphoned out after 1 h of feeding. The siphoned water was passed through a strainer and dried to find out actual quantity of feed consumed by the experimental fishes. Periodical sampling was done in a three weeks interval to check the survival and growth of the experimental animals and to adjust the feeding ration.</w:t>
      </w:r>
    </w:p>
    <w:p w14:paraId="3A0A0C46" w14:textId="51980BE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b/>
        <w:t xml:space="preserve">Water quality parameters </w:t>
      </w:r>
      <w:r w:rsidR="00E23830">
        <w:rPr>
          <w:rFonts w:ascii="Times New Roman" w:eastAsia="Times New Roman" w:hAnsi="Times New Roman" w:cs="Times New Roman"/>
          <w:color w:val="000000"/>
          <w:sz w:val="24"/>
          <w:szCs w:val="24"/>
        </w:rPr>
        <w:t xml:space="preserve"> </w:t>
      </w:r>
    </w:p>
    <w:p w14:paraId="2E85B631"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Water quality standard of the research tanks like temperature, pH, total alkalinity, 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hardness were estimated following standard methods (APHA, 2018). </w:t>
      </w:r>
    </w:p>
    <w:p w14:paraId="5AAB4AB1" w14:textId="37B6338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Temperature</w:t>
      </w:r>
      <w:r w:rsidR="00E23830">
        <w:rPr>
          <w:rFonts w:ascii="Times New Roman" w:eastAsia="Times New Roman" w:hAnsi="Times New Roman" w:cs="Times New Roman"/>
          <w:color w:val="000000"/>
          <w:sz w:val="24"/>
          <w:szCs w:val="24"/>
        </w:rPr>
        <w:t xml:space="preserve"> </w:t>
      </w:r>
    </w:p>
    <w:p w14:paraId="785D60C8" w14:textId="195486FA"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temperature of the tank water were measured once a week before sunrise and at </w:t>
      </w:r>
      <w:proofErr w:type="spellStart"/>
      <w:r>
        <w:rPr>
          <w:rFonts w:ascii="Times New Roman" w:eastAsia="Times New Roman" w:hAnsi="Times New Roman" w:cs="Times New Roman"/>
          <w:color w:val="000000"/>
          <w:sz w:val="24"/>
          <w:szCs w:val="24"/>
        </w:rPr>
        <w:t>mid afternoon</w:t>
      </w:r>
      <w:proofErr w:type="spellEnd"/>
      <w:r>
        <w:rPr>
          <w:rFonts w:ascii="Times New Roman" w:eastAsia="Times New Roman" w:hAnsi="Times New Roman" w:cs="Times New Roman"/>
          <w:color w:val="000000"/>
          <w:sz w:val="24"/>
          <w:szCs w:val="24"/>
        </w:rPr>
        <w:t xml:space="preserve"> by using a mercury thermometer and </w:t>
      </w:r>
      <w:proofErr w:type="gramStart"/>
      <w:r>
        <w:rPr>
          <w:rFonts w:ascii="Times New Roman" w:eastAsia="Times New Roman" w:hAnsi="Times New Roman" w:cs="Times New Roman"/>
          <w:color w:val="000000"/>
          <w:sz w:val="24"/>
          <w:szCs w:val="24"/>
        </w:rPr>
        <w:t>represented  in</w:t>
      </w:r>
      <w:proofErr w:type="gramEnd"/>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pH range</w:t>
      </w:r>
    </w:p>
    <w:p w14:paraId="3156DBDB"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pH of the experimental tank water was measured once a week before and after water exchange by using a digital pH meter (ELICO-120).</w:t>
      </w:r>
      <w:r>
        <w:rPr>
          <w:rFonts w:ascii="Times New Roman" w:eastAsia="Times New Roman" w:hAnsi="Times New Roman" w:cs="Times New Roman"/>
          <w:b/>
          <w:color w:val="000000"/>
          <w:sz w:val="24"/>
          <w:szCs w:val="24"/>
        </w:rPr>
        <w:t xml:space="preserve"> </w:t>
      </w:r>
    </w:p>
    <w:p w14:paraId="6C3D3C7E" w14:textId="14970756"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Total alkalinity</w:t>
      </w:r>
      <w:r w:rsidR="00E23830">
        <w:rPr>
          <w:rFonts w:ascii="Times New Roman" w:eastAsia="Times New Roman" w:hAnsi="Times New Roman" w:cs="Times New Roman"/>
          <w:color w:val="000000"/>
          <w:sz w:val="24"/>
          <w:szCs w:val="24"/>
        </w:rPr>
        <w:t xml:space="preserve"> </w:t>
      </w:r>
    </w:p>
    <w:p w14:paraId="0446A91C"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Alkalinity is defined as the ability of water to neutralize acids. The acid base titration of phenolphthalein and methyl orange alkalinity was determined following standard methods (APHA, 2018). In a conical flask, 50 ml of tank water sample was collected, and 2 drops of the phenolphthalein indicator were added. The water turned pink due to the presence of carbonates in the sample.  It was then titrated by adding 0.02 N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drop by drop till a pale pink end point was achieved. To the solution, 2 more drops of the methyl orange indicator were added, so that the solution turned yellow and the same process was followed </w:t>
      </w:r>
      <w:proofErr w:type="spellStart"/>
      <w:r>
        <w:rPr>
          <w:rFonts w:ascii="Times New Roman" w:eastAsia="Times New Roman" w:hAnsi="Times New Roman" w:cs="Times New Roman"/>
          <w:color w:val="000000"/>
          <w:sz w:val="24"/>
          <w:szCs w:val="24"/>
        </w:rPr>
        <w:t>upto</w:t>
      </w:r>
      <w:proofErr w:type="spellEnd"/>
      <w:r>
        <w:rPr>
          <w:rFonts w:ascii="Times New Roman" w:eastAsia="Times New Roman" w:hAnsi="Times New Roman" w:cs="Times New Roman"/>
          <w:color w:val="000000"/>
          <w:sz w:val="24"/>
          <w:szCs w:val="24"/>
        </w:rPr>
        <w:t xml:space="preserve"> orange end point was achieved. The phenolphthalein alkalinity (mg/l) value determines the carbonate content, while total alkalinity (mg/l) was obtained by subtracting the value of phenolphthalein alkalinity from that of the methyl orange alkalinity. </w:t>
      </w:r>
    </w:p>
    <w:p w14:paraId="25D24A0D" w14:textId="594732A7"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.4 Total hardness</w:t>
      </w:r>
      <w:r w:rsidR="00E23830">
        <w:rPr>
          <w:rFonts w:ascii="Times New Roman" w:eastAsia="Times New Roman" w:hAnsi="Times New Roman" w:cs="Times New Roman"/>
          <w:color w:val="000000"/>
          <w:sz w:val="24"/>
          <w:szCs w:val="24"/>
        </w:rPr>
        <w:t xml:space="preserve"> </w:t>
      </w:r>
    </w:p>
    <w:p w14:paraId="0F6F9504" w14:textId="3728DC00"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Hardness of the water is a measure of the amount of dissolved calcium and magnesium present. In a conical flask, 50 ml of the water sample was obtained, 1 ml of buffer (NH4Cl and conc. NH4OH) was added, and was carefully mixed followed by adding 4 drops of the EBT indicator. </w:t>
      </w:r>
      <w:r>
        <w:rPr>
          <w:rFonts w:ascii="Times New Roman" w:eastAsia="Times New Roman" w:hAnsi="Times New Roman" w:cs="Times New Roman"/>
          <w:color w:val="000000"/>
          <w:sz w:val="24"/>
          <w:szCs w:val="24"/>
        </w:rPr>
        <w:lastRenderedPageBreak/>
        <w:t xml:space="preserve">After that, a </w:t>
      </w:r>
      <w:proofErr w:type="gramStart"/>
      <w:r>
        <w:rPr>
          <w:rFonts w:ascii="Times New Roman" w:eastAsia="Times New Roman" w:hAnsi="Times New Roman" w:cs="Times New Roman"/>
          <w:color w:val="000000"/>
          <w:sz w:val="24"/>
          <w:szCs w:val="24"/>
        </w:rPr>
        <w:t>wine red</w:t>
      </w:r>
      <w:proofErr w:type="gramEnd"/>
      <w:r>
        <w:rPr>
          <w:rFonts w:ascii="Times New Roman" w:eastAsia="Times New Roman" w:hAnsi="Times New Roman" w:cs="Times New Roman"/>
          <w:color w:val="000000"/>
          <w:sz w:val="24"/>
          <w:szCs w:val="24"/>
        </w:rPr>
        <w:t xml:space="preserve"> color sample was obtained, which was then titrated against standard EDTA till the solution turns to blue and disappeared again. At that point the end point was noted down. The value of Mg (mg/l) hardness was measured by subtracting the value of Ca hardness (mg/l).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 xml:space="preserve"> Dissolved Oxygen</w:t>
      </w:r>
      <w:r>
        <w:rPr>
          <w:rFonts w:ascii="Times New Roman" w:eastAsia="Times New Roman" w:hAnsi="Times New Roman" w:cs="Times New Roman"/>
          <w:color w:val="000000"/>
          <w:sz w:val="24"/>
          <w:szCs w:val="24"/>
        </w:rPr>
        <w:t xml:space="preserve"> </w:t>
      </w:r>
    </w:p>
    <w:p w14:paraId="1209DF39" w14:textId="15A8448C"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Winkler's technique was used to calculate the water sample's dissolved oxygen (mg/l) level. The water sample was taken in BOD bottle, and it was fixed by using Manganous Sulphate and alkaline KI solution, so that a precipitation was formed and then conc.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was slowly introduced to dissolve the precipitation, followed by titrating it against 0.025 N Sodium Thiosulphate solution till a </w:t>
      </w:r>
      <w:proofErr w:type="gramStart"/>
      <w:r>
        <w:rPr>
          <w:rFonts w:ascii="Times New Roman" w:eastAsia="Times New Roman" w:hAnsi="Times New Roman" w:cs="Times New Roman"/>
          <w:color w:val="000000"/>
          <w:sz w:val="24"/>
          <w:szCs w:val="24"/>
        </w:rPr>
        <w:t>pale yellow</w:t>
      </w:r>
      <w:proofErr w:type="gramEnd"/>
      <w:r>
        <w:rPr>
          <w:rFonts w:ascii="Times New Roman" w:eastAsia="Times New Roman" w:hAnsi="Times New Roman" w:cs="Times New Roman"/>
          <w:color w:val="000000"/>
          <w:sz w:val="24"/>
          <w:szCs w:val="24"/>
        </w:rPr>
        <w:t xml:space="preserve"> color was obtained. Following the addition of a few drops of starch indicator, the titration was continued by adding drops of thiosulphate solution until the solution turned </w:t>
      </w:r>
      <w:proofErr w:type="spellStart"/>
      <w:r>
        <w:rPr>
          <w:rFonts w:ascii="Times New Roman" w:eastAsia="Times New Roman" w:hAnsi="Times New Roman" w:cs="Times New Roman"/>
          <w:color w:val="000000"/>
          <w:sz w:val="24"/>
          <w:szCs w:val="24"/>
        </w:rPr>
        <w:t>colourless</w:t>
      </w:r>
      <w:proofErr w:type="spellEnd"/>
      <w:r>
        <w:rPr>
          <w:rFonts w:ascii="Times New Roman" w:eastAsia="Times New Roman" w:hAnsi="Times New Roman" w:cs="Times New Roman"/>
          <w:color w:val="000000"/>
          <w:sz w:val="24"/>
          <w:szCs w:val="24"/>
        </w:rPr>
        <w:t>, at which point the final reading was recorded.</w:t>
      </w:r>
      <w:r>
        <w:rPr>
          <w:rFonts w:ascii="Times New Roman" w:eastAsia="Times New Roman" w:hAnsi="Times New Roman" w:cs="Times New Roman"/>
          <w:color w:val="000000"/>
          <w:sz w:val="24"/>
          <w:szCs w:val="24"/>
        </w:rPr>
        <w:tab/>
      </w:r>
    </w:p>
    <w:p w14:paraId="1FC54F46" w14:textId="2599BB04" w:rsidR="00E23830" w:rsidRDefault="00D7044C" w:rsidP="00E23830">
      <w:pPr>
        <w:widowControl w:val="0"/>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Proximate composition</w:t>
      </w:r>
      <w:r w:rsidR="00E23830">
        <w:rPr>
          <w:rFonts w:ascii="Times New Roman" w:eastAsia="Times New Roman" w:hAnsi="Times New Roman" w:cs="Times New Roman"/>
          <w:color w:val="000000"/>
          <w:sz w:val="24"/>
          <w:szCs w:val="24"/>
        </w:rPr>
        <w:t xml:space="preserve"> </w:t>
      </w:r>
    </w:p>
    <w:p w14:paraId="6F7EE16E"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biochemical composition of the experimental diets was analyzed by following the standard procedures (AOAC, 2019) which are briefly described as follows:</w:t>
      </w:r>
    </w:p>
    <w:p w14:paraId="719B3138" w14:textId="3DCABD83"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Moisture</w:t>
      </w:r>
      <w:r w:rsidR="00E23830">
        <w:rPr>
          <w:rFonts w:ascii="Times New Roman" w:eastAsia="Times New Roman" w:hAnsi="Times New Roman" w:cs="Times New Roman"/>
          <w:color w:val="000000"/>
          <w:sz w:val="24"/>
          <w:szCs w:val="24"/>
        </w:rPr>
        <w:t xml:space="preserve"> </w:t>
      </w:r>
    </w:p>
    <w:p w14:paraId="69BC1FB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Moisture content in a given sample was quantified by drying the sample in a hot air oven at 100±2 °C for 14-16 hour till a constant weight was achieved. The difference in weigh of the sample before and after drying was calculated as the moisture content.</w:t>
      </w:r>
    </w:p>
    <w:p w14:paraId="71197862"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Moisture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Initial wt.  of sample - Final wt.  of sample </m:t>
            </m:r>
          </m:num>
          <m:den>
            <m:r>
              <w:rPr>
                <w:rFonts w:ascii="Cambria Math" w:eastAsia="Cambria Math" w:hAnsi="Cambria Math" w:cs="Cambria Math"/>
                <w:color w:val="000000"/>
                <w:sz w:val="30"/>
                <w:szCs w:val="30"/>
              </w:rPr>
              <m:t>Initial wt.of sample</m:t>
            </m:r>
          </m:den>
        </m:f>
        <m:r>
          <w:rPr>
            <w:rFonts w:ascii="Cambria Math" w:eastAsia="Cambria Math" w:hAnsi="Cambria Math" w:cs="Cambria Math"/>
            <w:color w:val="000000"/>
            <w:sz w:val="30"/>
            <w:szCs w:val="30"/>
          </w:rPr>
          <m:t xml:space="preserve"> </m:t>
        </m:r>
      </m:oMath>
      <w:r>
        <w:rPr>
          <w:rFonts w:ascii="Times New Roman" w:eastAsia="Times New Roman" w:hAnsi="Times New Roman" w:cs="Times New Roman"/>
          <w:color w:val="000000"/>
          <w:sz w:val="30"/>
          <w:szCs w:val="30"/>
        </w:rPr>
        <w:t>x 100</w:t>
      </w:r>
    </w:p>
    <w:p w14:paraId="792C3DAF" w14:textId="1F83573A"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Crude Protein</w:t>
      </w:r>
      <w:r w:rsidR="00E23830">
        <w:rPr>
          <w:rFonts w:ascii="Times New Roman" w:eastAsia="Times New Roman" w:hAnsi="Times New Roman" w:cs="Times New Roman"/>
          <w:color w:val="000000"/>
          <w:sz w:val="24"/>
          <w:szCs w:val="24"/>
        </w:rPr>
        <w:t xml:space="preserve"> </w:t>
      </w:r>
    </w:p>
    <w:p w14:paraId="31476CF8"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crude protein (CP) content of the samples was estimated as nitrogen content by micro-</w:t>
      </w:r>
      <w:proofErr w:type="spellStart"/>
      <w:r>
        <w:rPr>
          <w:rFonts w:ascii="Times New Roman" w:eastAsia="Times New Roman" w:hAnsi="Times New Roman" w:cs="Times New Roman"/>
          <w:color w:val="000000"/>
          <w:sz w:val="24"/>
          <w:szCs w:val="24"/>
        </w:rPr>
        <w:t>Kjeldahl</w:t>
      </w:r>
      <w:proofErr w:type="spellEnd"/>
      <w:r>
        <w:rPr>
          <w:rFonts w:ascii="Times New Roman" w:eastAsia="Times New Roman" w:hAnsi="Times New Roman" w:cs="Times New Roman"/>
          <w:color w:val="000000"/>
          <w:sz w:val="24"/>
          <w:szCs w:val="24"/>
        </w:rPr>
        <w:t xml:space="preserve"> method in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Nitrogen estimation system (M/s Pelican Instruments, Chennai). In this method, about 0.4 g sample was taken in the Kjeldahl digestion tubes, to which 10 ml of concentrated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and 3-4 gm of digestion mixture (Copper sulphate and anhydrous </w:t>
      </w:r>
      <w:proofErr w:type="spellStart"/>
      <w:r>
        <w:rPr>
          <w:rFonts w:ascii="Times New Roman" w:eastAsia="Times New Roman" w:hAnsi="Times New Roman" w:cs="Times New Roman"/>
          <w:color w:val="000000"/>
          <w:sz w:val="24"/>
          <w:szCs w:val="24"/>
        </w:rPr>
        <w:t>Potasium</w:t>
      </w:r>
      <w:proofErr w:type="spellEnd"/>
      <w:r>
        <w:rPr>
          <w:rFonts w:ascii="Times New Roman" w:eastAsia="Times New Roman" w:hAnsi="Times New Roman" w:cs="Times New Roman"/>
          <w:color w:val="000000"/>
          <w:sz w:val="24"/>
          <w:szCs w:val="24"/>
        </w:rPr>
        <w:t xml:space="preserve"> sulphate in the ratio of 1:5) were added. The flasks were then placed in the digestion chamber set at about 410 </w:t>
      </w:r>
      <w:proofErr w:type="spellStart"/>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roofErr w:type="spellEnd"/>
      <w:r>
        <w:rPr>
          <w:rFonts w:ascii="Times New Roman" w:eastAsia="Times New Roman" w:hAnsi="Times New Roman" w:cs="Times New Roman"/>
          <w:color w:val="000000"/>
          <w:sz w:val="24"/>
          <w:szCs w:val="24"/>
        </w:rPr>
        <w:t xml:space="preserve"> until complete digestion, indicated by clear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is achieved. About 30 ml of distilled water was then added to the digested samples to get a light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Then, the digestion flask containing sample was </w:t>
      </w:r>
      <w:r>
        <w:rPr>
          <w:rFonts w:ascii="Times New Roman" w:eastAsia="Times New Roman" w:hAnsi="Times New Roman" w:cs="Times New Roman"/>
          <w:color w:val="000000"/>
          <w:sz w:val="24"/>
          <w:szCs w:val="24"/>
        </w:rPr>
        <w:lastRenderedPageBreak/>
        <w:t xml:space="preserve">loaded on the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distillation unit. Then distillate was collected in 250 ml conical flask containing two drops of mixed indicator. The distillate containing nitrogen as ammonium borate was estimated by titrating against 0.1 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The quantity (ml) of 0.1N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consumed for titration was recorded. Crude protein content was estimated as </w:t>
      </w:r>
    </w:p>
    <w:p w14:paraId="0178BE8E" w14:textId="1DDDBA26" w:rsidR="00E23830" w:rsidRDefault="00E23830" w:rsidP="00D7044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Crude protein (%) =</w:t>
      </w:r>
      <w:r>
        <w:rPr>
          <w:rFonts w:ascii="Times New Roman" w:eastAsia="Times New Roman" w:hAnsi="Times New Roman" w:cs="Times New Roman"/>
          <w:color w:val="000000"/>
          <w:sz w:val="24"/>
          <w:szCs w:val="24"/>
        </w:rPr>
        <w:tab/>
        <w:t xml:space="preserve">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Volume of 0.1N sulphuric acid used×0.0014×6.25×100×100</m:t>
            </m:r>
          </m:num>
          <m:den>
            <m:r>
              <w:rPr>
                <w:rFonts w:ascii="Cambria Math" w:eastAsia="Cambria Math" w:hAnsi="Cambria Math" w:cs="Cambria Math"/>
                <w:color w:val="000000"/>
                <w:sz w:val="30"/>
                <w:szCs w:val="30"/>
              </w:rPr>
              <m:t>Volume of aliquot</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ml</m:t>
                </m:r>
              </m:e>
            </m:d>
            <m:r>
              <w:rPr>
                <w:rFonts w:ascii="Cambria Math" w:eastAsia="Cambria Math" w:hAnsi="Cambria Math" w:cs="Cambria Math"/>
                <w:color w:val="000000"/>
                <w:sz w:val="30"/>
                <w:szCs w:val="30"/>
              </w:rPr>
              <m:t>x weight of dry sample (g) ×10</m:t>
            </m:r>
          </m:den>
        </m:f>
      </m:oMath>
      <w:r>
        <w:rPr>
          <w:rFonts w:ascii="Times New Roman" w:eastAsia="Times New Roman" w:hAnsi="Times New Roman" w:cs="Times New Roman"/>
          <w:b/>
          <w:color w:val="000000"/>
          <w:sz w:val="24"/>
          <w:szCs w:val="24"/>
        </w:rPr>
        <w:t xml:space="preserve"> </w:t>
      </w:r>
    </w:p>
    <w:p w14:paraId="1032EDE2" w14:textId="7A51595A"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Crude fat</w:t>
      </w:r>
      <w:r w:rsidR="00E23830">
        <w:rPr>
          <w:rFonts w:ascii="Times New Roman" w:eastAsia="Times New Roman" w:hAnsi="Times New Roman" w:cs="Times New Roman"/>
          <w:color w:val="000000"/>
          <w:sz w:val="24"/>
          <w:szCs w:val="24"/>
        </w:rPr>
        <w:t xml:space="preserve"> </w:t>
      </w:r>
    </w:p>
    <w:p w14:paraId="0CDCB599"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amount of crude fat present in each sample was calculated as ether extract (EE) by automatic solvent extraction system (SOCS PLUS, M/s Pelican Instruments, Chennai). About 2 g of dry and powdered sample was accurately weighed into an extraction thimble. The thimble fitted with the thimble holder was then loaded into the fat extraction beaker and about 90 ml of petroleum ether was poured. After assembling the unit properly, extraction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started. The extraction was allowed to continue as per the standardized and set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After finishing of the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the extraction beakers with lipid were taken out and dried in a hot air oven set at 100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for 1.0 hr. The flasks were then cooled using a desiccator and weighed. Lipid content was calculated as </w:t>
      </w:r>
    </w:p>
    <w:p w14:paraId="0A2F59EF" w14:textId="77777777" w:rsidR="00E23830" w:rsidRDefault="00E23830" w:rsidP="00E238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Crude fat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Weight of flask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after-before</m:t>
                </m:r>
              </m:e>
            </m:d>
            <m:r>
              <w:rPr>
                <w:rFonts w:ascii="Cambria Math" w:eastAsia="Cambria Math" w:hAnsi="Cambria Math" w:cs="Cambria Math"/>
                <w:color w:val="000000"/>
                <w:sz w:val="30"/>
                <w:szCs w:val="30"/>
              </w:rPr>
              <m:t xml:space="preserve"> fat extraction</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x </w:t>
      </w:r>
      <w:r>
        <w:rPr>
          <w:rFonts w:ascii="Times New Roman" w:eastAsia="Times New Roman" w:hAnsi="Times New Roman" w:cs="Times New Roman"/>
          <w:color w:val="000000"/>
          <w:sz w:val="24"/>
          <w:szCs w:val="24"/>
        </w:rPr>
        <w:t>100</w:t>
      </w:r>
    </w:p>
    <w:p w14:paraId="5599C927" w14:textId="530E25E8"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ab/>
        <w:t>Ash</w:t>
      </w:r>
      <w:r w:rsidR="00E23830">
        <w:rPr>
          <w:rFonts w:ascii="Times New Roman" w:eastAsia="Times New Roman" w:hAnsi="Times New Roman" w:cs="Times New Roman"/>
          <w:color w:val="000000"/>
          <w:sz w:val="24"/>
          <w:szCs w:val="24"/>
        </w:rPr>
        <w:t xml:space="preserve"> </w:t>
      </w:r>
    </w:p>
    <w:p w14:paraId="07C6BC85"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ash content was calculated from fat free dried samples taken in quartz crucibles and incinerated in a muffle furnace set for 3 </w:t>
      </w:r>
      <w:proofErr w:type="spellStart"/>
      <w:r>
        <w:rPr>
          <w:rFonts w:ascii="Times New Roman" w:eastAsia="Times New Roman" w:hAnsi="Times New Roman" w:cs="Times New Roman"/>
          <w:color w:val="000000"/>
          <w:sz w:val="24"/>
          <w:szCs w:val="24"/>
        </w:rPr>
        <w:t>hrs</w:t>
      </w:r>
      <w:proofErr w:type="spellEnd"/>
      <w:r>
        <w:rPr>
          <w:rFonts w:ascii="Times New Roman" w:eastAsia="Times New Roman" w:hAnsi="Times New Roman" w:cs="Times New Roman"/>
          <w:color w:val="000000"/>
          <w:sz w:val="24"/>
          <w:szCs w:val="24"/>
        </w:rPr>
        <w:t xml:space="preserve"> at 600 ˚C. Ash content was estimated as </w:t>
      </w:r>
      <w:proofErr w:type="gramStart"/>
      <w:r>
        <w:rPr>
          <w:rFonts w:ascii="Times New Roman" w:eastAsia="Times New Roman" w:hAnsi="Times New Roman" w:cs="Times New Roman"/>
          <w:color w:val="000000"/>
          <w:sz w:val="24"/>
          <w:szCs w:val="24"/>
        </w:rPr>
        <w:t>follows :</w:t>
      </w:r>
      <w:proofErr w:type="gramEnd"/>
    </w:p>
    <w:p w14:paraId="6E3ADFEE"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Ash content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ash (g)</m:t>
            </m:r>
          </m:num>
          <m:den>
            <m:r>
              <w:rPr>
                <w:rFonts w:ascii="Cambria Math" w:eastAsia="Cambria Math" w:hAnsi="Cambria Math" w:cs="Cambria Math"/>
                <w:color w:val="000000"/>
                <w:sz w:val="30"/>
                <w:szCs w:val="30"/>
              </w:rPr>
              <m:t xml:space="preserve">Weight of sample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3AD8E57" w14:textId="1DB2A20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.5. </w:t>
      </w:r>
      <w:r w:rsidR="00E23830">
        <w:rPr>
          <w:rFonts w:ascii="Times New Roman" w:eastAsia="Times New Roman" w:hAnsi="Times New Roman" w:cs="Times New Roman"/>
          <w:b/>
          <w:color w:val="000000"/>
          <w:sz w:val="24"/>
          <w:szCs w:val="24"/>
        </w:rPr>
        <w:tab/>
        <w:t xml:space="preserve">Crude </w:t>
      </w:r>
      <w:proofErr w:type="spellStart"/>
      <w:r w:rsidR="00E23830">
        <w:rPr>
          <w:rFonts w:ascii="Times New Roman" w:eastAsia="Times New Roman" w:hAnsi="Times New Roman" w:cs="Times New Roman"/>
          <w:b/>
          <w:color w:val="000000"/>
          <w:sz w:val="24"/>
          <w:szCs w:val="24"/>
        </w:rPr>
        <w:t>fibre</w:t>
      </w:r>
      <w:proofErr w:type="spellEnd"/>
      <w:r w:rsidR="00E23830">
        <w:rPr>
          <w:rFonts w:ascii="Times New Roman" w:eastAsia="Times New Roman" w:hAnsi="Times New Roman" w:cs="Times New Roman"/>
          <w:color w:val="000000"/>
          <w:sz w:val="24"/>
          <w:szCs w:val="24"/>
        </w:rPr>
        <w:t xml:space="preserve"> </w:t>
      </w:r>
    </w:p>
    <w:p w14:paraId="143A9A91"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of experimental diet was estimated after successive treatment with boiling acid and alkali following standard protocol (Nambudiri, 1985). The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 was then calculated as follows: </w:t>
      </w:r>
    </w:p>
    <w:p w14:paraId="274862ED" w14:textId="77777777" w:rsidR="00E23830" w:rsidRDefault="00E23830" w:rsidP="00E23830">
      <w:pPr>
        <w:widowControl w:val="0"/>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fibre (g)</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1F07E50F" w14:textId="1C6FB71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ab/>
        <w:t xml:space="preserve"> Total carbohydrate</w:t>
      </w:r>
    </w:p>
    <w:p w14:paraId="0CEB2474"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carbohydrate expressed as NFE (Nitrogen free extract) was calculated by subtracting </w:t>
      </w:r>
      <w:r>
        <w:rPr>
          <w:rFonts w:ascii="Times New Roman" w:eastAsia="Times New Roman" w:hAnsi="Times New Roman" w:cs="Times New Roman"/>
          <w:color w:val="000000"/>
          <w:sz w:val="24"/>
          <w:szCs w:val="24"/>
        </w:rPr>
        <w:lastRenderedPageBreak/>
        <w:t xml:space="preserve">the percentage of other nutrients on % dry weight basis from 100. </w:t>
      </w:r>
    </w:p>
    <w:p w14:paraId="33E22BDE"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NFE = 100- {crude protein (%) + crude fat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 Ash (%)}</w:t>
      </w:r>
    </w:p>
    <w:p w14:paraId="06B9A032" w14:textId="186C7984"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.7. </w:t>
      </w:r>
      <w:r w:rsidR="00E23830">
        <w:rPr>
          <w:rFonts w:ascii="Times New Roman" w:eastAsia="Times New Roman" w:hAnsi="Times New Roman" w:cs="Times New Roman"/>
          <w:b/>
          <w:color w:val="000000"/>
          <w:sz w:val="24"/>
          <w:szCs w:val="24"/>
        </w:rPr>
        <w:tab/>
        <w:t>Digestible Energy</w:t>
      </w:r>
    </w:p>
    <w:p w14:paraId="1A4348A7"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digestible energy value of the experimental diets was calculated on the basis of standard physiological values (Halver, 1976) using the following formula. </w:t>
      </w:r>
    </w:p>
    <w:p w14:paraId="2246E1C5"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Digestible energy (Kcal/ 100 </w:t>
      </w:r>
      <w:proofErr w:type="gramStart"/>
      <w:r>
        <w:rPr>
          <w:rFonts w:ascii="Times New Roman" w:eastAsia="Times New Roman" w:hAnsi="Times New Roman" w:cs="Times New Roman"/>
          <w:color w:val="000000"/>
          <w:sz w:val="24"/>
          <w:szCs w:val="24"/>
        </w:rPr>
        <w:t>g)=</w:t>
      </w:r>
      <w:proofErr w:type="gramEnd"/>
      <w:r>
        <w:rPr>
          <w:rFonts w:ascii="Times New Roman" w:eastAsia="Times New Roman" w:hAnsi="Times New Roman" w:cs="Times New Roman"/>
          <w:color w:val="000000"/>
          <w:sz w:val="24"/>
          <w:szCs w:val="24"/>
        </w:rPr>
        <w:t xml:space="preserve"> Protein (%) × 4 + lipid (%) × 9 + carbohydrate (%) × 4</w:t>
      </w:r>
    </w:p>
    <w:p w14:paraId="145017C3" w14:textId="4375F693"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Assessment of growth performance</w:t>
      </w:r>
      <w:r w:rsidR="00E23830">
        <w:rPr>
          <w:rFonts w:ascii="Times New Roman" w:eastAsia="Times New Roman" w:hAnsi="Times New Roman" w:cs="Times New Roman"/>
          <w:color w:val="000000"/>
          <w:sz w:val="24"/>
          <w:szCs w:val="24"/>
        </w:rPr>
        <w:t xml:space="preserve"> </w:t>
      </w:r>
    </w:p>
    <w:p w14:paraId="5FAC5B78"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Sampling for assessment of survival and growth was done at 15 days interval and the body length and weight were measured. The weights of experimental fishes were measured in an electronic balance and lengths were measured in a scale. After 90 days of feeding trial following growth parameters were calculated using the standard formulae.</w:t>
      </w:r>
    </w:p>
    <w:p w14:paraId="723DFD4E" w14:textId="6F68B7F9"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Daily weight gain (g)</w:t>
      </w:r>
    </w:p>
    <w:p w14:paraId="4F2B9D0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(g)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r>
              <w:rPr>
                <w:rFonts w:ascii="Cambria Math" w:eastAsia="Cambria Math" w:hAnsi="Cambria Math" w:cs="Cambria Math"/>
                <w:color w:val="000000"/>
                <w:sz w:val="30"/>
                <w:szCs w:val="30"/>
              </w:rPr>
              <m:t>- Initial weight of fish(g)</m:t>
            </m:r>
          </m:num>
          <m:den>
            <m:r>
              <w:rPr>
                <w:rFonts w:ascii="Cambria Math" w:eastAsia="Cambria Math" w:hAnsi="Cambria Math" w:cs="Cambria Math"/>
                <w:color w:val="000000"/>
                <w:sz w:val="30"/>
                <w:szCs w:val="30"/>
              </w:rPr>
              <m:t>Total no. of experimental days</m:t>
            </m:r>
          </m:den>
        </m:f>
      </m:oMath>
    </w:p>
    <w:p w14:paraId="57352EE0" w14:textId="32FE465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Percentage weight gain</w:t>
      </w:r>
      <w:r w:rsidR="00E23830">
        <w:rPr>
          <w:rFonts w:ascii="Times New Roman" w:eastAsia="Times New Roman" w:hAnsi="Times New Roman" w:cs="Times New Roman"/>
          <w:color w:val="000000"/>
          <w:sz w:val="24"/>
          <w:szCs w:val="24"/>
        </w:rPr>
        <w:t xml:space="preserve">                 </w:t>
      </w:r>
    </w:p>
    <w:p w14:paraId="2E542CD4"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Weight gain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fish(g)-Initial weight of fish(g)</m:t>
            </m:r>
          </m:num>
          <m:den>
            <m:r>
              <w:rPr>
                <w:rFonts w:ascii="Cambria Math" w:eastAsia="Cambria Math" w:hAnsi="Cambria Math" w:cs="Cambria Math"/>
                <w:color w:val="000000"/>
                <w:sz w:val="30"/>
                <w:szCs w:val="30"/>
              </w:rPr>
              <m:t>Initial weight of fish(g)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E48989B" w14:textId="404A12CF"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Specific growth rate (SGR)</w:t>
      </w:r>
      <w:r w:rsidR="00E23830">
        <w:rPr>
          <w:rFonts w:ascii="Times New Roman" w:eastAsia="Times New Roman" w:hAnsi="Times New Roman" w:cs="Times New Roman"/>
          <w:color w:val="000000"/>
          <w:sz w:val="24"/>
          <w:szCs w:val="24"/>
        </w:rPr>
        <w:t xml:space="preserve"> </w:t>
      </w:r>
    </w:p>
    <w:p w14:paraId="7213591C" w14:textId="77777777" w:rsidR="00E23830" w:rsidRDefault="00E23830" w:rsidP="00E23830">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m:t>
            </m:r>
            <m:box>
              <m:boxPr>
                <m:opEmu m:val="1"/>
                <m:ctrlPr>
                  <w:rPr>
                    <w:rFonts w:ascii="Cambria Math" w:eastAsia="Cambria Math" w:hAnsi="Cambria Math" w:cs="Cambria Math"/>
                    <w:color w:val="000000"/>
                    <w:sz w:val="30"/>
                    <w:szCs w:val="30"/>
                  </w:rPr>
                </m:ctrlPr>
              </m:boxPr>
              <m:e>
                <m:r>
                  <w:rPr>
                    <w:rFonts w:ascii="Cambria Math" w:eastAsia="Cambria Math" w:hAnsi="Cambria Math" w:cs="Cambria Math"/>
                    <w:color w:val="000000"/>
                    <w:sz w:val="30"/>
                    <w:szCs w:val="30"/>
                  </w:rPr>
                  <m:t>log</m:t>
                </m:r>
              </m:e>
            </m:box>
            <m:r>
              <w:rPr>
                <w:rFonts w:ascii="Cambria Math" w:eastAsia="Cambria Math" w:hAnsi="Cambria Math" w:cs="Cambria Math"/>
                <w:color w:val="000000"/>
                <w:sz w:val="30"/>
                <w:szCs w:val="30"/>
              </w:rPr>
              <m:t>log</m:t>
            </m:r>
            <m:r>
              <w:rPr>
                <w:rFonts w:ascii="Cambria Math" w:eastAsia="Times New Roman" w:hAnsi="Cambria Math" w:cs="Times New Roman"/>
                <w:color w:val="000000"/>
                <w:sz w:val="24"/>
                <w:szCs w:val="24"/>
              </w:rPr>
              <m:t xml:space="preserve">  </m:t>
            </m:r>
            <m:r>
              <w:rPr>
                <w:rFonts w:ascii="Cambria Math" w:eastAsia="Cambria Math" w:hAnsi="Cambria Math" w:cs="Cambria Math"/>
                <w:color w:val="000000"/>
                <w:sz w:val="30"/>
                <w:szCs w:val="30"/>
              </w:rPr>
              <m:t>e Final body weight- log e Initial body weight)</m:t>
            </m:r>
          </m:num>
          <m:den>
            <m:r>
              <w:rPr>
                <w:rFonts w:ascii="Cambria Math" w:eastAsia="Cambria Math" w:hAnsi="Cambria Math" w:cs="Cambria Math"/>
                <w:color w:val="000000"/>
                <w:sz w:val="30"/>
                <w:szCs w:val="30"/>
              </w:rPr>
              <m:t>Total no.of experimental days</m:t>
            </m:r>
          </m:den>
        </m:f>
        <m:r>
          <w:rPr>
            <w:rFonts w:ascii="Cambria Math" w:eastAsia="Cambria Math" w:hAnsi="Cambria Math" w:cs="Cambria Math"/>
            <w:color w:val="000000"/>
            <w:sz w:val="30"/>
            <w:szCs w:val="30"/>
          </w:rPr>
          <m:t>×100</m:t>
        </m:r>
      </m:oMath>
    </w:p>
    <w:p w14:paraId="6B4E691A" w14:textId="78744F95" w:rsidR="00E23830" w:rsidRDefault="00A9744A" w:rsidP="00E23830">
      <w:pPr>
        <w:widowControl w:val="0"/>
        <w:pBdr>
          <w:top w:val="nil"/>
          <w:left w:val="nil"/>
          <w:bottom w:val="nil"/>
          <w:right w:val="nil"/>
          <w:between w:val="nil"/>
        </w:pBdr>
        <w:spacing w:before="36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Assessment of feed efficiency and nutrient retention efficiency </w:t>
      </w:r>
      <w:r w:rsidR="00E23830">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Feed conversion ratio (FCR)</w:t>
      </w:r>
      <w:r w:rsidR="00E23830">
        <w:rPr>
          <w:rFonts w:ascii="Times New Roman" w:eastAsia="Times New Roman" w:hAnsi="Times New Roman" w:cs="Times New Roman"/>
          <w:color w:val="000000"/>
          <w:sz w:val="24"/>
          <w:szCs w:val="24"/>
        </w:rPr>
        <w:t xml:space="preserve">     </w:t>
      </w:r>
      <w:r w:rsidR="00E23830">
        <w:rPr>
          <w:rFonts w:ascii="Times New Roman" w:eastAsia="Times New Roman" w:hAnsi="Times New Roman" w:cs="Times New Roman"/>
          <w:color w:val="000000"/>
          <w:sz w:val="24"/>
          <w:szCs w:val="24"/>
        </w:rPr>
        <w:tab/>
        <w:t xml:space="preserve"> </w:t>
      </w:r>
    </w:p>
    <w:p w14:paraId="3A22F3D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 conversion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dry food intake(g)</m:t>
            </m:r>
          </m:num>
          <m:den>
            <m:r>
              <w:rPr>
                <w:rFonts w:ascii="Cambria Math" w:eastAsia="Cambria Math" w:hAnsi="Cambria Math" w:cs="Cambria Math"/>
                <w:color w:val="000000"/>
                <w:sz w:val="30"/>
                <w:szCs w:val="30"/>
              </w:rPr>
              <m:t>Total live weight gain(g)</m:t>
            </m:r>
          </m:den>
        </m:f>
      </m:oMath>
    </w:p>
    <w:p w14:paraId="69F27B5D" w14:textId="6ABB4F8A"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Protein efficiency ratio (PER)</w:t>
      </w:r>
      <w:r w:rsidR="00E23830">
        <w:rPr>
          <w:rFonts w:ascii="Times New Roman" w:eastAsia="Times New Roman" w:hAnsi="Times New Roman" w:cs="Times New Roman"/>
          <w:color w:val="000000"/>
          <w:sz w:val="24"/>
          <w:szCs w:val="24"/>
        </w:rPr>
        <w:t xml:space="preserve">                         </w:t>
      </w:r>
    </w:p>
    <w:p w14:paraId="16739852"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Protein efficiency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live weight gain (g)</m:t>
            </m:r>
          </m:num>
          <m:den>
            <m:r>
              <w:rPr>
                <w:rFonts w:ascii="Cambria Math" w:eastAsia="Cambria Math" w:hAnsi="Cambria Math" w:cs="Cambria Math"/>
                <w:color w:val="000000"/>
                <w:sz w:val="30"/>
                <w:szCs w:val="30"/>
              </w:rPr>
              <m:t>Total Protein fed (g)</m:t>
            </m:r>
          </m:den>
        </m:f>
      </m:oMath>
    </w:p>
    <w:p w14:paraId="6BA74D17" w14:textId="4102B09D"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Statistical analysis</w:t>
      </w:r>
      <w:r w:rsidR="00E23830">
        <w:rPr>
          <w:rFonts w:ascii="Times New Roman" w:eastAsia="Times New Roman" w:hAnsi="Times New Roman" w:cs="Times New Roman"/>
          <w:color w:val="000000"/>
          <w:sz w:val="24"/>
          <w:szCs w:val="24"/>
        </w:rPr>
        <w:t xml:space="preserve"> </w:t>
      </w:r>
    </w:p>
    <w:p w14:paraId="694831E5" w14:textId="3791E07C" w:rsidR="00E23830" w:rsidRPr="00054224" w:rsidRDefault="00E23830" w:rsidP="00E238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data were statistically </w:t>
      </w:r>
      <w:proofErr w:type="spellStart"/>
      <w:r>
        <w:rPr>
          <w:rFonts w:ascii="Times New Roman" w:eastAsia="Times New Roman" w:hAnsi="Times New Roman" w:cs="Times New Roman"/>
          <w:color w:val="000000"/>
          <w:sz w:val="24"/>
          <w:szCs w:val="24"/>
        </w:rPr>
        <w:t>analysed</w:t>
      </w:r>
      <w:proofErr w:type="spellEnd"/>
      <w:r>
        <w:rPr>
          <w:rFonts w:ascii="Times New Roman" w:eastAsia="Times New Roman" w:hAnsi="Times New Roman" w:cs="Times New Roman"/>
          <w:color w:val="000000"/>
          <w:sz w:val="24"/>
          <w:szCs w:val="24"/>
        </w:rPr>
        <w:t xml:space="preserve"> by statistical package SPSS version 20.0, in which data were subjected to one way ANOVA and Duncan’s Multiple Range Test to quantify the significance differences between mean values (at 5% probability level).</w:t>
      </w:r>
    </w:p>
    <w:p w14:paraId="40BE9D1E" w14:textId="705BE9ED" w:rsidR="00B57EA8" w:rsidRPr="00A9744A" w:rsidRDefault="00B57EA8" w:rsidP="00A9744A">
      <w:pPr>
        <w:pStyle w:val="ListParagraph"/>
        <w:numPr>
          <w:ilvl w:val="0"/>
          <w:numId w:val="2"/>
        </w:numPr>
        <w:tabs>
          <w:tab w:val="left" w:pos="3084"/>
        </w:tabs>
        <w:spacing w:before="360" w:after="360"/>
        <w:jc w:val="center"/>
        <w:rPr>
          <w:rFonts w:ascii="Times New Roman" w:eastAsia="Times New Roman" w:hAnsi="Times New Roman" w:cs="Times New Roman"/>
          <w:b/>
          <w:sz w:val="24"/>
          <w:szCs w:val="24"/>
        </w:rPr>
      </w:pPr>
      <w:r w:rsidRPr="00A9744A">
        <w:rPr>
          <w:rFonts w:ascii="Times New Roman" w:eastAsia="Times New Roman" w:hAnsi="Times New Roman" w:cs="Times New Roman"/>
          <w:b/>
          <w:sz w:val="24"/>
          <w:szCs w:val="24"/>
        </w:rPr>
        <w:t>EXPERIMENTAL RESULTS</w:t>
      </w:r>
    </w:p>
    <w:p w14:paraId="69DAE47C" w14:textId="6D624254" w:rsidR="00B57EA8" w:rsidRDefault="00A9744A" w:rsidP="00B57EA8">
      <w:pPr>
        <w:tabs>
          <w:tab w:val="left" w:pos="9000"/>
        </w:tabs>
        <w:spacing w:line="360" w:lineRule="auto"/>
        <w:ind w:right="-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w:t>
      </w:r>
      <w:r w:rsidR="00B57EA8">
        <w:rPr>
          <w:rFonts w:ascii="Times New Roman" w:eastAsia="Times New Roman" w:hAnsi="Times New Roman" w:cs="Times New Roman"/>
          <w:b/>
          <w:color w:val="000000"/>
          <w:sz w:val="24"/>
          <w:szCs w:val="24"/>
        </w:rPr>
        <w:t>Water quality parameters</w:t>
      </w:r>
    </w:p>
    <w:p w14:paraId="0D7C4703" w14:textId="3EA1189C" w:rsidR="00B57EA8" w:rsidRDefault="00B57EA8" w:rsidP="00B57EA8">
      <w:pPr>
        <w:tabs>
          <w:tab w:val="left" w:pos="900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investigation period, the water quality parameters such as temperature (˚C), pH, dissolved oxygen (mg/l), total alkalinity (mg/l), hardness (mg/l) were </w:t>
      </w:r>
      <w:proofErr w:type="gramStart"/>
      <w:r>
        <w:rPr>
          <w:rFonts w:ascii="Times New Roman" w:eastAsia="Times New Roman" w:hAnsi="Times New Roman" w:cs="Times New Roman"/>
          <w:color w:val="000000"/>
          <w:sz w:val="24"/>
          <w:szCs w:val="24"/>
        </w:rPr>
        <w:t>noted  at</w:t>
      </w:r>
      <w:proofErr w:type="gramEnd"/>
      <w:r>
        <w:rPr>
          <w:rFonts w:ascii="Times New Roman" w:eastAsia="Times New Roman" w:hAnsi="Times New Roman" w:cs="Times New Roman"/>
          <w:color w:val="000000"/>
          <w:sz w:val="24"/>
          <w:szCs w:val="24"/>
        </w:rPr>
        <w:t xml:space="preserve"> weekly interval and the average values of all treatments were given in Table-</w:t>
      </w:r>
      <w:r w:rsidR="00A9744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73BCE905" w14:textId="77777777" w:rsidR="00B57EA8" w:rsidRDefault="00B57EA8" w:rsidP="00B57EA8">
      <w:pPr>
        <w:tabs>
          <w:tab w:val="left" w:pos="72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During the 90 days of feeding trial the average water temperature varied from 22.3˚C to 26.9˚C in the different experimental tanks. However, not much variation in water pH values were noted among the experimental tanks and ranged in between 7.3 to 8.3. Similarly, the dissolved oxygen concentration of water varied between 5.3 to 8.1 mg/l. The total hardness and alkalinity of all experimental tanks were also recorded within the range of 124 to 145 mg/l and 120 to 145 mg/l, respectively.</w:t>
      </w:r>
    </w:p>
    <w:p w14:paraId="31446818" w14:textId="5A27F683"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Table-</w:t>
      </w:r>
      <w:r w:rsidR="00A9744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Range of water quality parameters of the experimental tanks </w:t>
      </w:r>
    </w:p>
    <w:tbl>
      <w:tblPr>
        <w:tblW w:w="835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415"/>
        <w:gridCol w:w="1534"/>
        <w:gridCol w:w="1350"/>
        <w:gridCol w:w="1530"/>
        <w:gridCol w:w="1530"/>
      </w:tblGrid>
      <w:tr w:rsidR="00B57EA8" w14:paraId="3B80BC11" w14:textId="77777777" w:rsidTr="00B838D9">
        <w:trPr>
          <w:trHeight w:val="521"/>
          <w:jc w:val="center"/>
        </w:trPr>
        <w:tc>
          <w:tcPr>
            <w:tcW w:w="2415" w:type="dxa"/>
            <w:vAlign w:val="center"/>
          </w:tcPr>
          <w:p w14:paraId="285A1D3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Parameters</w:t>
            </w:r>
          </w:p>
        </w:tc>
        <w:tc>
          <w:tcPr>
            <w:tcW w:w="1534" w:type="dxa"/>
            <w:vAlign w:val="center"/>
          </w:tcPr>
          <w:p w14:paraId="241E8452"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350" w:type="dxa"/>
            <w:vAlign w:val="center"/>
          </w:tcPr>
          <w:p w14:paraId="41C6F503"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530" w:type="dxa"/>
            <w:vAlign w:val="center"/>
          </w:tcPr>
          <w:p w14:paraId="08B248EA"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530" w:type="dxa"/>
            <w:vAlign w:val="center"/>
          </w:tcPr>
          <w:p w14:paraId="3AA3DDCC"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r>
      <w:tr w:rsidR="00B57EA8" w14:paraId="615C72A6" w14:textId="77777777" w:rsidTr="00B838D9">
        <w:trPr>
          <w:trHeight w:val="318"/>
          <w:jc w:val="center"/>
        </w:trPr>
        <w:tc>
          <w:tcPr>
            <w:tcW w:w="2415" w:type="dxa"/>
            <w:vAlign w:val="center"/>
          </w:tcPr>
          <w:p w14:paraId="54BBB3AA"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tc>
        <w:tc>
          <w:tcPr>
            <w:tcW w:w="1534" w:type="dxa"/>
            <w:vAlign w:val="center"/>
          </w:tcPr>
          <w:p w14:paraId="3FE8524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22.3-26.8</w:t>
            </w:r>
          </w:p>
        </w:tc>
        <w:tc>
          <w:tcPr>
            <w:tcW w:w="1350" w:type="dxa"/>
            <w:vAlign w:val="center"/>
          </w:tcPr>
          <w:p w14:paraId="4EA95F9C"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22.9-26.2</w:t>
            </w:r>
          </w:p>
        </w:tc>
        <w:tc>
          <w:tcPr>
            <w:tcW w:w="1530" w:type="dxa"/>
            <w:vAlign w:val="center"/>
          </w:tcPr>
          <w:p w14:paraId="52C5BA23"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22.5-26.9</w:t>
            </w:r>
          </w:p>
        </w:tc>
        <w:tc>
          <w:tcPr>
            <w:tcW w:w="1530" w:type="dxa"/>
            <w:vAlign w:val="center"/>
          </w:tcPr>
          <w:p w14:paraId="0682C21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21.6-26.5</w:t>
            </w:r>
          </w:p>
        </w:tc>
      </w:tr>
      <w:tr w:rsidR="00B57EA8" w14:paraId="4B8416E9" w14:textId="77777777" w:rsidTr="00B838D9">
        <w:trPr>
          <w:trHeight w:val="174"/>
          <w:jc w:val="center"/>
        </w:trPr>
        <w:tc>
          <w:tcPr>
            <w:tcW w:w="2415" w:type="dxa"/>
            <w:vAlign w:val="center"/>
          </w:tcPr>
          <w:p w14:paraId="32A72E09"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534" w:type="dxa"/>
            <w:vAlign w:val="center"/>
          </w:tcPr>
          <w:p w14:paraId="529DE00B"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7.8-8.2</w:t>
            </w:r>
          </w:p>
        </w:tc>
        <w:tc>
          <w:tcPr>
            <w:tcW w:w="1350" w:type="dxa"/>
            <w:vAlign w:val="center"/>
          </w:tcPr>
          <w:p w14:paraId="0DA8D87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7.7-8.3</w:t>
            </w:r>
          </w:p>
        </w:tc>
        <w:tc>
          <w:tcPr>
            <w:tcW w:w="1530" w:type="dxa"/>
            <w:vAlign w:val="center"/>
          </w:tcPr>
          <w:p w14:paraId="21863317"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7.3-8.1</w:t>
            </w:r>
          </w:p>
        </w:tc>
        <w:tc>
          <w:tcPr>
            <w:tcW w:w="1530" w:type="dxa"/>
            <w:vAlign w:val="center"/>
          </w:tcPr>
          <w:p w14:paraId="3462C09D"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7.4-8.3</w:t>
            </w:r>
          </w:p>
        </w:tc>
      </w:tr>
      <w:tr w:rsidR="00B57EA8" w14:paraId="090E2953" w14:textId="77777777" w:rsidTr="00B838D9">
        <w:trPr>
          <w:trHeight w:val="120"/>
          <w:jc w:val="center"/>
        </w:trPr>
        <w:tc>
          <w:tcPr>
            <w:tcW w:w="2415" w:type="dxa"/>
            <w:vAlign w:val="center"/>
          </w:tcPr>
          <w:p w14:paraId="256FB440"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(mg/l)</w:t>
            </w:r>
          </w:p>
        </w:tc>
        <w:tc>
          <w:tcPr>
            <w:tcW w:w="1534" w:type="dxa"/>
            <w:vAlign w:val="center"/>
          </w:tcPr>
          <w:p w14:paraId="4962B94A"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350" w:type="dxa"/>
            <w:vAlign w:val="center"/>
          </w:tcPr>
          <w:p w14:paraId="6B6B3501"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5.3-8.1</w:t>
            </w:r>
          </w:p>
        </w:tc>
        <w:tc>
          <w:tcPr>
            <w:tcW w:w="1530" w:type="dxa"/>
            <w:vAlign w:val="center"/>
          </w:tcPr>
          <w:p w14:paraId="0ADD6180"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530" w:type="dxa"/>
            <w:vAlign w:val="center"/>
          </w:tcPr>
          <w:p w14:paraId="69F221F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6.0-7.9</w:t>
            </w:r>
          </w:p>
        </w:tc>
      </w:tr>
      <w:tr w:rsidR="00B57EA8" w14:paraId="03CEE2D7" w14:textId="77777777" w:rsidTr="00B838D9">
        <w:trPr>
          <w:trHeight w:val="255"/>
          <w:jc w:val="center"/>
        </w:trPr>
        <w:tc>
          <w:tcPr>
            <w:tcW w:w="2415" w:type="dxa"/>
            <w:vAlign w:val="center"/>
          </w:tcPr>
          <w:p w14:paraId="7F53FCC9"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alkalinity (mg/l)</w:t>
            </w:r>
          </w:p>
        </w:tc>
        <w:tc>
          <w:tcPr>
            <w:tcW w:w="1534" w:type="dxa"/>
            <w:vAlign w:val="center"/>
          </w:tcPr>
          <w:p w14:paraId="5415AE98"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120-142</w:t>
            </w:r>
          </w:p>
        </w:tc>
        <w:tc>
          <w:tcPr>
            <w:tcW w:w="1350" w:type="dxa"/>
            <w:vAlign w:val="center"/>
          </w:tcPr>
          <w:p w14:paraId="5ED7D58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118-146</w:t>
            </w:r>
          </w:p>
        </w:tc>
        <w:tc>
          <w:tcPr>
            <w:tcW w:w="1530" w:type="dxa"/>
            <w:vAlign w:val="center"/>
          </w:tcPr>
          <w:p w14:paraId="1928AEB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125-145</w:t>
            </w:r>
          </w:p>
        </w:tc>
        <w:tc>
          <w:tcPr>
            <w:tcW w:w="1530" w:type="dxa"/>
            <w:vAlign w:val="center"/>
          </w:tcPr>
          <w:p w14:paraId="48C334D6"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120-136</w:t>
            </w:r>
          </w:p>
        </w:tc>
      </w:tr>
      <w:tr w:rsidR="00B57EA8" w14:paraId="3A142CA9" w14:textId="77777777" w:rsidTr="00B838D9">
        <w:trPr>
          <w:trHeight w:val="381"/>
          <w:jc w:val="center"/>
        </w:trPr>
        <w:tc>
          <w:tcPr>
            <w:tcW w:w="2415" w:type="dxa"/>
            <w:vAlign w:val="center"/>
          </w:tcPr>
          <w:p w14:paraId="32E11791" w14:textId="77777777" w:rsidR="00B57EA8" w:rsidRDefault="00B57EA8" w:rsidP="00B838D9">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(mg/l)</w:t>
            </w:r>
          </w:p>
        </w:tc>
        <w:tc>
          <w:tcPr>
            <w:tcW w:w="1534" w:type="dxa"/>
            <w:vAlign w:val="center"/>
          </w:tcPr>
          <w:p w14:paraId="0051D7C4"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128-141</w:t>
            </w:r>
          </w:p>
        </w:tc>
        <w:tc>
          <w:tcPr>
            <w:tcW w:w="1350" w:type="dxa"/>
            <w:vAlign w:val="center"/>
          </w:tcPr>
          <w:p w14:paraId="5ECF359F"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130-142</w:t>
            </w:r>
          </w:p>
        </w:tc>
        <w:tc>
          <w:tcPr>
            <w:tcW w:w="1530" w:type="dxa"/>
            <w:vAlign w:val="center"/>
          </w:tcPr>
          <w:p w14:paraId="4E48F02D"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138-145</w:t>
            </w:r>
          </w:p>
        </w:tc>
        <w:tc>
          <w:tcPr>
            <w:tcW w:w="1530" w:type="dxa"/>
            <w:vAlign w:val="center"/>
          </w:tcPr>
          <w:p w14:paraId="5F32C749" w14:textId="77777777" w:rsidR="00B57EA8" w:rsidRDefault="00B57EA8" w:rsidP="00B838D9">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124-137</w:t>
            </w:r>
          </w:p>
        </w:tc>
      </w:tr>
    </w:tbl>
    <w:p w14:paraId="330233E0" w14:textId="77777777" w:rsidR="00B57EA8" w:rsidRDefault="00B57EA8" w:rsidP="00B57EA8">
      <w:pPr>
        <w:spacing w:line="360" w:lineRule="auto"/>
        <w:ind w:right="-58"/>
        <w:jc w:val="both"/>
      </w:pPr>
    </w:p>
    <w:p w14:paraId="768CE21A" w14:textId="424656B4" w:rsidR="00B57EA8" w:rsidRDefault="00A9744A" w:rsidP="00B57EA8">
      <w:pPr>
        <w:spacing w:line="36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2.    </w:t>
      </w:r>
      <w:r w:rsidR="00B57EA8">
        <w:rPr>
          <w:rFonts w:ascii="Times New Roman" w:eastAsia="Times New Roman" w:hAnsi="Times New Roman" w:cs="Times New Roman"/>
          <w:b/>
          <w:color w:val="000000"/>
          <w:sz w:val="24"/>
          <w:szCs w:val="24"/>
        </w:rPr>
        <w:t xml:space="preserve"> Proximate composition of experimental diets</w:t>
      </w:r>
    </w:p>
    <w:p w14:paraId="7A53F51E" w14:textId="77777777" w:rsidR="00B57EA8" w:rsidRDefault="00B57EA8" w:rsidP="00A9744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Proximate compositions (on % dry weight basis and wet weight basis) of four experimental diets (e.g.,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were analyzed and the result is given in Table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&amp;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The moisture (%) of the experimental diets varied from 5.34 ± 0.007% to 6.98 ± 0.03%. The crude protein (%) as % of dry weight basis varied from 34.31 ± 0.11% to 34.75 ± 0.10%. The ether extract (%) and total carbohydrate (%) ranged from 7.11 ± 0.28% to 8.13 ± 0.36% and 33.44 ± 0.58% to 41.34 ± 0.77%, respectively in the experimental diets. The total ash and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contents were ranged from 11.73 ± 0.45% to 15.50 ± 0.20% and 6.05 ± 0.23% to 7.56 ± 0.21% </w:t>
      </w:r>
      <w:r>
        <w:rPr>
          <w:rFonts w:ascii="Times New Roman" w:eastAsia="Times New Roman" w:hAnsi="Times New Roman" w:cs="Times New Roman"/>
          <w:color w:val="000000"/>
          <w:sz w:val="24"/>
          <w:szCs w:val="24"/>
        </w:rPr>
        <w:lastRenderedPageBreak/>
        <w:t>respectively. The digestible energy (kcal/ 100g) of the diets was observed to be in the range of 363.17 ± 0.92 and 389.497± 0.1.74.</w:t>
      </w:r>
    </w:p>
    <w:p w14:paraId="5A8868FC"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62130B1D"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263766A4" w14:textId="77777777" w:rsidR="00B57EA8" w:rsidRDefault="00B57EA8" w:rsidP="00B57E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W w:w="1019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40"/>
        <w:gridCol w:w="1108"/>
        <w:gridCol w:w="1220"/>
        <w:gridCol w:w="1220"/>
        <w:gridCol w:w="1109"/>
        <w:gridCol w:w="1220"/>
        <w:gridCol w:w="1220"/>
        <w:gridCol w:w="1221"/>
        <w:gridCol w:w="1240"/>
      </w:tblGrid>
      <w:tr w:rsidR="00B57EA8" w14:paraId="4C3F2281" w14:textId="77777777" w:rsidTr="000535BD">
        <w:trPr>
          <w:trHeight w:val="99"/>
          <w:jc w:val="center"/>
        </w:trPr>
        <w:tc>
          <w:tcPr>
            <w:tcW w:w="640" w:type="dxa"/>
            <w:vMerge w:val="restart"/>
            <w:vAlign w:val="center"/>
          </w:tcPr>
          <w:p w14:paraId="366972F3"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108" w:type="dxa"/>
            <w:vMerge w:val="restart"/>
            <w:vAlign w:val="center"/>
          </w:tcPr>
          <w:p w14:paraId="066BB829"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220" w:type="dxa"/>
            <w:vMerge w:val="restart"/>
            <w:vAlign w:val="center"/>
          </w:tcPr>
          <w:p w14:paraId="6D84B53D"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Dry matter</w:t>
            </w:r>
          </w:p>
        </w:tc>
        <w:tc>
          <w:tcPr>
            <w:tcW w:w="5990" w:type="dxa"/>
            <w:gridSpan w:val="5"/>
            <w:vAlign w:val="center"/>
          </w:tcPr>
          <w:p w14:paraId="1729D5C8"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 (as % of dry matter)</w:t>
            </w:r>
          </w:p>
        </w:tc>
        <w:tc>
          <w:tcPr>
            <w:tcW w:w="1240" w:type="dxa"/>
            <w:vMerge w:val="restart"/>
            <w:vAlign w:val="center"/>
          </w:tcPr>
          <w:p w14:paraId="3AFB0D6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Digestible energy (Kcal/ 100g)</w:t>
            </w:r>
          </w:p>
        </w:tc>
      </w:tr>
      <w:tr w:rsidR="00B57EA8" w14:paraId="18056489" w14:textId="77777777" w:rsidTr="000535BD">
        <w:trPr>
          <w:trHeight w:val="180"/>
          <w:jc w:val="center"/>
        </w:trPr>
        <w:tc>
          <w:tcPr>
            <w:tcW w:w="640" w:type="dxa"/>
            <w:vMerge/>
            <w:vAlign w:val="center"/>
          </w:tcPr>
          <w:p w14:paraId="2D1B9E22"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08" w:type="dxa"/>
            <w:vMerge/>
            <w:vAlign w:val="center"/>
          </w:tcPr>
          <w:p w14:paraId="178E4E14"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Merge/>
            <w:vAlign w:val="center"/>
          </w:tcPr>
          <w:p w14:paraId="495612EE"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Align w:val="center"/>
          </w:tcPr>
          <w:p w14:paraId="0621211C"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109" w:type="dxa"/>
            <w:vAlign w:val="center"/>
          </w:tcPr>
          <w:p w14:paraId="3FFFF12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220" w:type="dxa"/>
            <w:vAlign w:val="center"/>
          </w:tcPr>
          <w:p w14:paraId="58D472E3"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220" w:type="dxa"/>
            <w:vAlign w:val="center"/>
          </w:tcPr>
          <w:p w14:paraId="69484DF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220" w:type="dxa"/>
            <w:vAlign w:val="center"/>
          </w:tcPr>
          <w:p w14:paraId="15E5202F" w14:textId="77777777" w:rsidR="00B57EA8" w:rsidRDefault="00B57EA8" w:rsidP="00B838D9">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c>
          <w:tcPr>
            <w:tcW w:w="1240" w:type="dxa"/>
            <w:vMerge/>
            <w:vAlign w:val="center"/>
          </w:tcPr>
          <w:p w14:paraId="121057CF" w14:textId="77777777" w:rsidR="00B57EA8" w:rsidRDefault="00B57EA8" w:rsidP="00B838D9">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B57EA8" w14:paraId="19B76E66" w14:textId="77777777" w:rsidTr="000535BD">
        <w:trPr>
          <w:trHeight w:val="180"/>
          <w:jc w:val="center"/>
        </w:trPr>
        <w:tc>
          <w:tcPr>
            <w:tcW w:w="640" w:type="dxa"/>
            <w:vAlign w:val="center"/>
          </w:tcPr>
          <w:p w14:paraId="21EEA86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108" w:type="dxa"/>
            <w:vAlign w:val="center"/>
          </w:tcPr>
          <w:p w14:paraId="5BC00A1B"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5.54 ± 0.38</w:t>
            </w:r>
            <w:r>
              <w:rPr>
                <w:color w:val="000000"/>
                <w:sz w:val="24"/>
                <w:szCs w:val="24"/>
              </w:rPr>
              <w:t xml:space="preserve"> </w:t>
            </w:r>
          </w:p>
        </w:tc>
        <w:tc>
          <w:tcPr>
            <w:tcW w:w="1220" w:type="dxa"/>
            <w:vAlign w:val="center"/>
          </w:tcPr>
          <w:p w14:paraId="71508399"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94.45 ± 0.38</w:t>
            </w:r>
            <w:r>
              <w:rPr>
                <w:color w:val="000000"/>
                <w:sz w:val="24"/>
                <w:szCs w:val="24"/>
              </w:rPr>
              <w:t xml:space="preserve"> </w:t>
            </w:r>
          </w:p>
        </w:tc>
        <w:tc>
          <w:tcPr>
            <w:tcW w:w="1220" w:type="dxa"/>
            <w:vAlign w:val="center"/>
          </w:tcPr>
          <w:p w14:paraId="38D583F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34.31 ± 0.11</w:t>
            </w:r>
          </w:p>
        </w:tc>
        <w:tc>
          <w:tcPr>
            <w:tcW w:w="1109" w:type="dxa"/>
            <w:vAlign w:val="center"/>
          </w:tcPr>
          <w:p w14:paraId="7234461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 ± 0.17</w:t>
            </w:r>
          </w:p>
        </w:tc>
        <w:tc>
          <w:tcPr>
            <w:tcW w:w="1220" w:type="dxa"/>
            <w:vAlign w:val="center"/>
          </w:tcPr>
          <w:p w14:paraId="5A72A6E4"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38.39 ± 0.48</w:t>
            </w:r>
            <w:r>
              <w:rPr>
                <w:color w:val="000000"/>
                <w:sz w:val="24"/>
                <w:szCs w:val="24"/>
              </w:rPr>
              <w:t xml:space="preserve"> </w:t>
            </w:r>
          </w:p>
        </w:tc>
        <w:tc>
          <w:tcPr>
            <w:tcW w:w="1220" w:type="dxa"/>
            <w:vAlign w:val="center"/>
          </w:tcPr>
          <w:p w14:paraId="7B79697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 0.34</w:t>
            </w:r>
          </w:p>
        </w:tc>
        <w:tc>
          <w:tcPr>
            <w:tcW w:w="1220" w:type="dxa"/>
            <w:vAlign w:val="center"/>
          </w:tcPr>
          <w:p w14:paraId="7BCF1479"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13.32 ± 0.28</w:t>
            </w:r>
          </w:p>
        </w:tc>
        <w:tc>
          <w:tcPr>
            <w:tcW w:w="1240" w:type="dxa"/>
            <w:vAlign w:val="center"/>
          </w:tcPr>
          <w:p w14:paraId="5251730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367.25±0.43</w:t>
            </w:r>
          </w:p>
        </w:tc>
      </w:tr>
      <w:tr w:rsidR="00B57EA8" w14:paraId="44040DDA" w14:textId="77777777" w:rsidTr="000535BD">
        <w:trPr>
          <w:trHeight w:val="180"/>
          <w:jc w:val="center"/>
        </w:trPr>
        <w:tc>
          <w:tcPr>
            <w:tcW w:w="640" w:type="dxa"/>
            <w:vAlign w:val="center"/>
          </w:tcPr>
          <w:p w14:paraId="2D130D22"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108" w:type="dxa"/>
            <w:vAlign w:val="center"/>
          </w:tcPr>
          <w:p w14:paraId="4EEB8F2B"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6.50 ± 0.16</w:t>
            </w:r>
            <w:r>
              <w:rPr>
                <w:color w:val="000000"/>
                <w:sz w:val="24"/>
                <w:szCs w:val="24"/>
              </w:rPr>
              <w:t xml:space="preserve"> </w:t>
            </w:r>
          </w:p>
        </w:tc>
        <w:tc>
          <w:tcPr>
            <w:tcW w:w="1220" w:type="dxa"/>
            <w:vAlign w:val="center"/>
          </w:tcPr>
          <w:p w14:paraId="3DE038D7"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93.49 ± 0.16</w:t>
            </w:r>
            <w:r>
              <w:rPr>
                <w:color w:val="000000"/>
                <w:sz w:val="24"/>
                <w:szCs w:val="24"/>
              </w:rPr>
              <w:t xml:space="preserve"> </w:t>
            </w:r>
          </w:p>
        </w:tc>
        <w:tc>
          <w:tcPr>
            <w:tcW w:w="1220" w:type="dxa"/>
            <w:vAlign w:val="center"/>
          </w:tcPr>
          <w:p w14:paraId="5DF1703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34.36 ± 0.12</w:t>
            </w:r>
          </w:p>
        </w:tc>
        <w:tc>
          <w:tcPr>
            <w:tcW w:w="1109" w:type="dxa"/>
            <w:vAlign w:val="center"/>
          </w:tcPr>
          <w:p w14:paraId="126BAFB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±0.28</w:t>
            </w:r>
          </w:p>
        </w:tc>
        <w:tc>
          <w:tcPr>
            <w:tcW w:w="1220" w:type="dxa"/>
            <w:vAlign w:val="center"/>
          </w:tcPr>
          <w:p w14:paraId="484124B2"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35.44 ± 0.58</w:t>
            </w:r>
            <w:r>
              <w:rPr>
                <w:color w:val="000000"/>
                <w:sz w:val="24"/>
                <w:szCs w:val="24"/>
              </w:rPr>
              <w:t xml:space="preserve"> </w:t>
            </w:r>
          </w:p>
        </w:tc>
        <w:tc>
          <w:tcPr>
            <w:tcW w:w="1220" w:type="dxa"/>
            <w:vAlign w:val="center"/>
          </w:tcPr>
          <w:p w14:paraId="0629AE5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 ± 0.21</w:t>
            </w:r>
          </w:p>
        </w:tc>
        <w:tc>
          <w:tcPr>
            <w:tcW w:w="1220" w:type="dxa"/>
            <w:vAlign w:val="center"/>
          </w:tcPr>
          <w:p w14:paraId="0812D64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 ± 0.20</w:t>
            </w:r>
          </w:p>
        </w:tc>
        <w:tc>
          <w:tcPr>
            <w:tcW w:w="1240" w:type="dxa"/>
            <w:vAlign w:val="center"/>
          </w:tcPr>
          <w:p w14:paraId="55B2B62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363.17±0.92</w:t>
            </w:r>
          </w:p>
        </w:tc>
      </w:tr>
      <w:tr w:rsidR="00B57EA8" w14:paraId="7091ADE9" w14:textId="77777777" w:rsidTr="000535BD">
        <w:trPr>
          <w:trHeight w:val="180"/>
          <w:jc w:val="center"/>
        </w:trPr>
        <w:tc>
          <w:tcPr>
            <w:tcW w:w="640" w:type="dxa"/>
            <w:vAlign w:val="center"/>
          </w:tcPr>
          <w:p w14:paraId="6A9449C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108" w:type="dxa"/>
            <w:vAlign w:val="center"/>
          </w:tcPr>
          <w:p w14:paraId="55DFFCA3"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5.34 ± 0.07</w:t>
            </w:r>
            <w:r>
              <w:rPr>
                <w:color w:val="000000"/>
                <w:sz w:val="24"/>
                <w:szCs w:val="24"/>
              </w:rPr>
              <w:t xml:space="preserve"> </w:t>
            </w:r>
          </w:p>
        </w:tc>
        <w:tc>
          <w:tcPr>
            <w:tcW w:w="1220" w:type="dxa"/>
            <w:vAlign w:val="center"/>
          </w:tcPr>
          <w:p w14:paraId="0CEBD7C7"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94.66 ± 0.07</w:t>
            </w:r>
            <w:r>
              <w:rPr>
                <w:color w:val="000000"/>
                <w:sz w:val="24"/>
                <w:szCs w:val="24"/>
              </w:rPr>
              <w:t xml:space="preserve"> </w:t>
            </w:r>
          </w:p>
        </w:tc>
        <w:tc>
          <w:tcPr>
            <w:tcW w:w="1220" w:type="dxa"/>
            <w:vAlign w:val="center"/>
          </w:tcPr>
          <w:p w14:paraId="4EC1A99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 ± 0.11</w:t>
            </w:r>
          </w:p>
        </w:tc>
        <w:tc>
          <w:tcPr>
            <w:tcW w:w="1109" w:type="dxa"/>
            <w:vAlign w:val="center"/>
          </w:tcPr>
          <w:p w14:paraId="7694A7F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0.27</w:t>
            </w:r>
          </w:p>
        </w:tc>
        <w:tc>
          <w:tcPr>
            <w:tcW w:w="1220" w:type="dxa"/>
            <w:vAlign w:val="center"/>
          </w:tcPr>
          <w:p w14:paraId="3FFD07A6"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36.59 ± 0.39</w:t>
            </w:r>
            <w:r>
              <w:rPr>
                <w:color w:val="000000"/>
                <w:sz w:val="24"/>
                <w:szCs w:val="24"/>
              </w:rPr>
              <w:t xml:space="preserve"> </w:t>
            </w:r>
          </w:p>
        </w:tc>
        <w:tc>
          <w:tcPr>
            <w:tcW w:w="1220" w:type="dxa"/>
            <w:vAlign w:val="center"/>
          </w:tcPr>
          <w:p w14:paraId="691B3F7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 ± 0.47</w:t>
            </w:r>
          </w:p>
        </w:tc>
        <w:tc>
          <w:tcPr>
            <w:tcW w:w="1220" w:type="dxa"/>
            <w:vAlign w:val="center"/>
          </w:tcPr>
          <w:p w14:paraId="555DF7F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14.33 ± 0.08</w:t>
            </w:r>
          </w:p>
        </w:tc>
        <w:tc>
          <w:tcPr>
            <w:tcW w:w="1240" w:type="dxa"/>
            <w:vAlign w:val="center"/>
          </w:tcPr>
          <w:p w14:paraId="10FDB83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363.57±1.20</w:t>
            </w:r>
          </w:p>
        </w:tc>
      </w:tr>
      <w:tr w:rsidR="00B57EA8" w14:paraId="7B0FF6FE" w14:textId="77777777" w:rsidTr="000535BD">
        <w:trPr>
          <w:trHeight w:val="180"/>
          <w:jc w:val="center"/>
        </w:trPr>
        <w:tc>
          <w:tcPr>
            <w:tcW w:w="640" w:type="dxa"/>
            <w:vAlign w:val="center"/>
          </w:tcPr>
          <w:p w14:paraId="1FC9B4DD"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108" w:type="dxa"/>
            <w:vAlign w:val="center"/>
          </w:tcPr>
          <w:p w14:paraId="182C4772"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6.98 ± 0.03</w:t>
            </w:r>
            <w:r>
              <w:rPr>
                <w:color w:val="000000"/>
                <w:sz w:val="24"/>
                <w:szCs w:val="24"/>
              </w:rPr>
              <w:t xml:space="preserve"> </w:t>
            </w:r>
          </w:p>
        </w:tc>
        <w:tc>
          <w:tcPr>
            <w:tcW w:w="1220" w:type="dxa"/>
            <w:vAlign w:val="center"/>
          </w:tcPr>
          <w:p w14:paraId="75BDACFD"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93.02 ± 0.03</w:t>
            </w:r>
            <w:r>
              <w:rPr>
                <w:color w:val="000000"/>
                <w:sz w:val="24"/>
                <w:szCs w:val="24"/>
              </w:rPr>
              <w:t xml:space="preserve"> </w:t>
            </w:r>
          </w:p>
        </w:tc>
        <w:tc>
          <w:tcPr>
            <w:tcW w:w="1220" w:type="dxa"/>
            <w:vAlign w:val="center"/>
          </w:tcPr>
          <w:p w14:paraId="08A2582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34.75 ± 0.10</w:t>
            </w:r>
          </w:p>
        </w:tc>
        <w:tc>
          <w:tcPr>
            <w:tcW w:w="1109" w:type="dxa"/>
            <w:vAlign w:val="center"/>
          </w:tcPr>
          <w:p w14:paraId="571D905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 0.36</w:t>
            </w:r>
          </w:p>
        </w:tc>
        <w:tc>
          <w:tcPr>
            <w:tcW w:w="1220" w:type="dxa"/>
            <w:vAlign w:val="center"/>
          </w:tcPr>
          <w:p w14:paraId="243712DA" w14:textId="77777777" w:rsidR="00B57EA8" w:rsidRDefault="00B57EA8" w:rsidP="00B838D9">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39.34± 0.77</w:t>
            </w:r>
            <w:r>
              <w:rPr>
                <w:color w:val="000000"/>
                <w:sz w:val="24"/>
                <w:szCs w:val="24"/>
              </w:rPr>
              <w:t xml:space="preserve"> </w:t>
            </w:r>
          </w:p>
        </w:tc>
        <w:tc>
          <w:tcPr>
            <w:tcW w:w="1220" w:type="dxa"/>
            <w:vAlign w:val="center"/>
          </w:tcPr>
          <w:p w14:paraId="6FDB0657"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 ± 0.23</w:t>
            </w:r>
          </w:p>
        </w:tc>
        <w:tc>
          <w:tcPr>
            <w:tcW w:w="1220" w:type="dxa"/>
            <w:vAlign w:val="center"/>
          </w:tcPr>
          <w:p w14:paraId="408F2CF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 0.45</w:t>
            </w:r>
          </w:p>
        </w:tc>
        <w:tc>
          <w:tcPr>
            <w:tcW w:w="1240" w:type="dxa"/>
            <w:vAlign w:val="center"/>
          </w:tcPr>
          <w:p w14:paraId="4FBC04C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389.49±1.74</w:t>
            </w:r>
          </w:p>
        </w:tc>
      </w:tr>
    </w:tbl>
    <w:p w14:paraId="2E837106" w14:textId="61B8331F"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A9744A">
        <w:rPr>
          <w:rFonts w:ascii="Times New Roman" w:eastAsia="Times New Roman" w:hAnsi="Times New Roman" w:cs="Times New Roman"/>
          <w:b/>
          <w:sz w:val="24"/>
          <w:szCs w:val="24"/>
        </w:rPr>
        <w:t>3</w:t>
      </w:r>
      <w:r w:rsidR="00CD56D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Proximate composition of the experimental diets</w:t>
      </w:r>
    </w:p>
    <w:p w14:paraId="0393CBAD" w14:textId="77777777" w:rsidR="00B57EA8" w:rsidRDefault="00B57EA8" w:rsidP="00B57EA8">
      <w:pPr>
        <w:jc w:val="center"/>
        <w:rPr>
          <w:rFonts w:ascii="Times New Roman" w:eastAsia="Times New Roman" w:hAnsi="Times New Roman" w:cs="Times New Roman"/>
          <w:color w:val="000000"/>
          <w:sz w:val="24"/>
          <w:szCs w:val="24"/>
        </w:rPr>
      </w:pPr>
    </w:p>
    <w:p w14:paraId="57F94CD1" w14:textId="77777777" w:rsidR="00B57EA8" w:rsidRDefault="00B57EA8" w:rsidP="00B57EA8">
      <w:pPr>
        <w:jc w:val="center"/>
        <w:rPr>
          <w:rFonts w:ascii="Times New Roman" w:eastAsia="Times New Roman" w:hAnsi="Times New Roman" w:cs="Times New Roman"/>
          <w:color w:val="000000"/>
          <w:sz w:val="24"/>
          <w:szCs w:val="24"/>
        </w:rPr>
      </w:pPr>
    </w:p>
    <w:p w14:paraId="1204C4C5" w14:textId="7FF7D520"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w:t>
      </w:r>
      <w:r w:rsidR="00A9744A">
        <w:rPr>
          <w:rFonts w:ascii="Times New Roman" w:eastAsia="Times New Roman" w:hAnsi="Times New Roman" w:cs="Times New Roman"/>
          <w:b/>
          <w:color w:val="000000"/>
          <w:sz w:val="24"/>
          <w:szCs w:val="24"/>
        </w:rPr>
        <w:t>3</w:t>
      </w:r>
      <w:r w:rsidR="00CD56D8">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Proximate composition (%) of the experimental diets (on wet weight basis)</w:t>
      </w:r>
    </w:p>
    <w:tbl>
      <w:tblPr>
        <w:tblW w:w="10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7"/>
        <w:gridCol w:w="1466"/>
        <w:gridCol w:w="1580"/>
        <w:gridCol w:w="1353"/>
        <w:gridCol w:w="1579"/>
        <w:gridCol w:w="1303"/>
        <w:gridCol w:w="1504"/>
      </w:tblGrid>
      <w:tr w:rsidR="00B57EA8" w14:paraId="08C6B290" w14:textId="77777777" w:rsidTr="00A9744A">
        <w:trPr>
          <w:trHeight w:val="444"/>
        </w:trPr>
        <w:tc>
          <w:tcPr>
            <w:tcW w:w="1327" w:type="dxa"/>
            <w:vAlign w:val="center"/>
          </w:tcPr>
          <w:p w14:paraId="5BFD810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466" w:type="dxa"/>
            <w:vAlign w:val="center"/>
          </w:tcPr>
          <w:p w14:paraId="274C8E24"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580" w:type="dxa"/>
            <w:vAlign w:val="center"/>
          </w:tcPr>
          <w:p w14:paraId="3EF5BA51"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353" w:type="dxa"/>
            <w:vAlign w:val="center"/>
          </w:tcPr>
          <w:p w14:paraId="73F99AF3"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579" w:type="dxa"/>
            <w:vAlign w:val="center"/>
          </w:tcPr>
          <w:p w14:paraId="49BA6133"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303" w:type="dxa"/>
            <w:vAlign w:val="center"/>
          </w:tcPr>
          <w:p w14:paraId="0E2FC45C"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504" w:type="dxa"/>
            <w:vAlign w:val="center"/>
          </w:tcPr>
          <w:p w14:paraId="598CC74D"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r>
      <w:tr w:rsidR="00B57EA8" w14:paraId="5C34C5DD" w14:textId="77777777" w:rsidTr="00A9744A">
        <w:trPr>
          <w:trHeight w:val="332"/>
        </w:trPr>
        <w:tc>
          <w:tcPr>
            <w:tcW w:w="1327" w:type="dxa"/>
            <w:vAlign w:val="center"/>
          </w:tcPr>
          <w:p w14:paraId="49BCECC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466" w:type="dxa"/>
            <w:vAlign w:val="center"/>
          </w:tcPr>
          <w:p w14:paraId="6FD40CB8"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 ± 0.38</w:t>
            </w:r>
          </w:p>
        </w:tc>
        <w:tc>
          <w:tcPr>
            <w:tcW w:w="1580" w:type="dxa"/>
            <w:vAlign w:val="center"/>
          </w:tcPr>
          <w:p w14:paraId="34F8CFC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 ± 0.72</w:t>
            </w:r>
          </w:p>
        </w:tc>
        <w:tc>
          <w:tcPr>
            <w:tcW w:w="1353" w:type="dxa"/>
            <w:vAlign w:val="center"/>
          </w:tcPr>
          <w:p w14:paraId="4848C71C"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 ± 0.53</w:t>
            </w:r>
          </w:p>
        </w:tc>
        <w:tc>
          <w:tcPr>
            <w:tcW w:w="1579" w:type="dxa"/>
            <w:vAlign w:val="center"/>
          </w:tcPr>
          <w:p w14:paraId="2B0B5CA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37.15 ± 0.15</w:t>
            </w:r>
          </w:p>
        </w:tc>
        <w:tc>
          <w:tcPr>
            <w:tcW w:w="1303" w:type="dxa"/>
            <w:vAlign w:val="center"/>
          </w:tcPr>
          <w:p w14:paraId="6DED760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5.77 ± 0.43</w:t>
            </w:r>
          </w:p>
        </w:tc>
        <w:tc>
          <w:tcPr>
            <w:tcW w:w="1504" w:type="dxa"/>
            <w:vAlign w:val="center"/>
          </w:tcPr>
          <w:p w14:paraId="49D71B07"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 ± 0.13</w:t>
            </w:r>
          </w:p>
        </w:tc>
      </w:tr>
      <w:tr w:rsidR="00B57EA8" w14:paraId="0989457D" w14:textId="77777777" w:rsidTr="00A9744A">
        <w:trPr>
          <w:trHeight w:val="390"/>
        </w:trPr>
        <w:tc>
          <w:tcPr>
            <w:tcW w:w="1327" w:type="dxa"/>
            <w:vAlign w:val="center"/>
          </w:tcPr>
          <w:p w14:paraId="6F97A5D2"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466" w:type="dxa"/>
            <w:vAlign w:val="center"/>
          </w:tcPr>
          <w:p w14:paraId="27C150C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 0.16</w:t>
            </w:r>
          </w:p>
        </w:tc>
        <w:tc>
          <w:tcPr>
            <w:tcW w:w="1580" w:type="dxa"/>
            <w:vAlign w:val="center"/>
          </w:tcPr>
          <w:p w14:paraId="3E444333"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33.29 ± 0.39</w:t>
            </w:r>
          </w:p>
        </w:tc>
        <w:tc>
          <w:tcPr>
            <w:tcW w:w="1353" w:type="dxa"/>
            <w:vAlign w:val="center"/>
          </w:tcPr>
          <w:p w14:paraId="5BD2C6C1"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7.39 ± 0.39</w:t>
            </w:r>
          </w:p>
        </w:tc>
        <w:tc>
          <w:tcPr>
            <w:tcW w:w="1579" w:type="dxa"/>
            <w:vAlign w:val="center"/>
          </w:tcPr>
          <w:p w14:paraId="401FC20A"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31.30 ± 0.71</w:t>
            </w:r>
          </w:p>
        </w:tc>
        <w:tc>
          <w:tcPr>
            <w:tcW w:w="1303" w:type="dxa"/>
            <w:vAlign w:val="center"/>
          </w:tcPr>
          <w:p w14:paraId="1D63D100"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 ± 0.33</w:t>
            </w:r>
          </w:p>
        </w:tc>
        <w:tc>
          <w:tcPr>
            <w:tcW w:w="1504" w:type="dxa"/>
            <w:vAlign w:val="center"/>
          </w:tcPr>
          <w:p w14:paraId="1955BEE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 ± 0.57</w:t>
            </w:r>
          </w:p>
        </w:tc>
      </w:tr>
      <w:tr w:rsidR="00B57EA8" w14:paraId="0368C2E2" w14:textId="77777777" w:rsidTr="00A9744A">
        <w:trPr>
          <w:trHeight w:val="324"/>
        </w:trPr>
        <w:tc>
          <w:tcPr>
            <w:tcW w:w="1327" w:type="dxa"/>
            <w:vAlign w:val="center"/>
          </w:tcPr>
          <w:p w14:paraId="723B8E4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466" w:type="dxa"/>
            <w:vAlign w:val="center"/>
          </w:tcPr>
          <w:p w14:paraId="71CDE04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 0.07</w:t>
            </w:r>
          </w:p>
        </w:tc>
        <w:tc>
          <w:tcPr>
            <w:tcW w:w="1580" w:type="dxa"/>
            <w:vAlign w:val="center"/>
          </w:tcPr>
          <w:p w14:paraId="0222F84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33.62 ± 0.42</w:t>
            </w:r>
          </w:p>
        </w:tc>
        <w:tc>
          <w:tcPr>
            <w:tcW w:w="1353" w:type="dxa"/>
            <w:vAlign w:val="center"/>
          </w:tcPr>
          <w:p w14:paraId="129AF9C9"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 ± 0.76</w:t>
            </w:r>
          </w:p>
        </w:tc>
        <w:tc>
          <w:tcPr>
            <w:tcW w:w="1579" w:type="dxa"/>
            <w:vAlign w:val="center"/>
          </w:tcPr>
          <w:p w14:paraId="5E6D4686"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34.21 ± 0.56</w:t>
            </w:r>
          </w:p>
        </w:tc>
        <w:tc>
          <w:tcPr>
            <w:tcW w:w="1303" w:type="dxa"/>
            <w:vAlign w:val="center"/>
          </w:tcPr>
          <w:p w14:paraId="21375D7F"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 ± 0.25</w:t>
            </w:r>
          </w:p>
        </w:tc>
        <w:tc>
          <w:tcPr>
            <w:tcW w:w="1504" w:type="dxa"/>
            <w:vAlign w:val="center"/>
          </w:tcPr>
          <w:p w14:paraId="640A8A4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13.58 ± 0.69</w:t>
            </w:r>
          </w:p>
        </w:tc>
      </w:tr>
      <w:tr w:rsidR="00B57EA8" w14:paraId="08BE0179" w14:textId="77777777" w:rsidTr="00A9744A">
        <w:trPr>
          <w:trHeight w:val="315"/>
        </w:trPr>
        <w:tc>
          <w:tcPr>
            <w:tcW w:w="1327" w:type="dxa"/>
            <w:vAlign w:val="center"/>
          </w:tcPr>
          <w:p w14:paraId="650904D5" w14:textId="77777777" w:rsidR="00B57EA8" w:rsidRDefault="00B57EA8" w:rsidP="00B838D9">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466" w:type="dxa"/>
            <w:vAlign w:val="center"/>
          </w:tcPr>
          <w:p w14:paraId="260B4A14"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6.98 ± 0.03</w:t>
            </w:r>
          </w:p>
        </w:tc>
        <w:tc>
          <w:tcPr>
            <w:tcW w:w="1580" w:type="dxa"/>
            <w:vAlign w:val="center"/>
          </w:tcPr>
          <w:p w14:paraId="1A25ADEB"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33.50 ± 0.25</w:t>
            </w:r>
          </w:p>
        </w:tc>
        <w:tc>
          <w:tcPr>
            <w:tcW w:w="1353" w:type="dxa"/>
            <w:vAlign w:val="center"/>
          </w:tcPr>
          <w:p w14:paraId="328DE33E"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 ± 0.41</w:t>
            </w:r>
          </w:p>
        </w:tc>
        <w:tc>
          <w:tcPr>
            <w:tcW w:w="1579" w:type="dxa"/>
            <w:vAlign w:val="center"/>
          </w:tcPr>
          <w:p w14:paraId="0853975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 ± 0.25</w:t>
            </w:r>
          </w:p>
        </w:tc>
        <w:tc>
          <w:tcPr>
            <w:tcW w:w="1303" w:type="dxa"/>
            <w:vAlign w:val="center"/>
          </w:tcPr>
          <w:p w14:paraId="09E0D772"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 ± 0.27</w:t>
            </w:r>
          </w:p>
        </w:tc>
        <w:tc>
          <w:tcPr>
            <w:tcW w:w="1504" w:type="dxa"/>
            <w:vAlign w:val="center"/>
          </w:tcPr>
          <w:p w14:paraId="11B5DBCD" w14:textId="77777777" w:rsidR="00B57EA8" w:rsidRDefault="00B57EA8" w:rsidP="00B838D9">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 ± 0.21</w:t>
            </w:r>
          </w:p>
        </w:tc>
      </w:tr>
    </w:tbl>
    <w:p w14:paraId="7C4B22B2" w14:textId="77777777" w:rsidR="00B57EA8" w:rsidRDefault="00B57EA8" w:rsidP="00B57EA8">
      <w:pPr>
        <w:rPr>
          <w:rFonts w:ascii="Times New Roman" w:eastAsia="Times New Roman" w:hAnsi="Times New Roman" w:cs="Times New Roman"/>
          <w:b/>
          <w:color w:val="000000"/>
          <w:sz w:val="24"/>
          <w:szCs w:val="24"/>
        </w:rPr>
        <w:sectPr w:rsidR="00B57EA8" w:rsidSect="00B560E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531" w:left="1440" w:header="709" w:footer="709" w:gutter="0"/>
          <w:cols w:space="720"/>
        </w:sectPr>
      </w:pPr>
    </w:p>
    <w:p w14:paraId="697EF927" w14:textId="4C69DC0A" w:rsidR="00B57EA8" w:rsidRDefault="00A9744A" w:rsidP="00B57EA8">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 Growth parameters</w:t>
      </w:r>
      <w:r w:rsidR="00B57E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.1 Body weight gain</w:t>
      </w:r>
      <w:r w:rsidR="00B57EA8">
        <w:rPr>
          <w:rFonts w:ascii="Times New Roman" w:eastAsia="Times New Roman" w:hAnsi="Times New Roman" w:cs="Times New Roman"/>
          <w:color w:val="000000"/>
          <w:sz w:val="24"/>
          <w:szCs w:val="24"/>
        </w:rPr>
        <w:t xml:space="preserve"> </w:t>
      </w:r>
    </w:p>
    <w:p w14:paraId="47293BFD" w14:textId="29C1A221" w:rsidR="00B57EA8" w:rsidRDefault="00B57EA8" w:rsidP="00A9744A">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tilapia advance fry in different treatment groups measured at </w:t>
      </w:r>
      <w:proofErr w:type="gramStart"/>
      <w:r>
        <w:rPr>
          <w:rFonts w:ascii="Times New Roman" w:eastAsia="Times New Roman" w:hAnsi="Times New Roman" w:cs="Times New Roman"/>
          <w:color w:val="000000"/>
          <w:sz w:val="24"/>
          <w:szCs w:val="24"/>
        </w:rPr>
        <w:t>three week</w:t>
      </w:r>
      <w:proofErr w:type="gramEnd"/>
      <w:r>
        <w:rPr>
          <w:rFonts w:ascii="Times New Roman" w:eastAsia="Times New Roman" w:hAnsi="Times New Roman" w:cs="Times New Roman"/>
          <w:color w:val="000000"/>
          <w:sz w:val="24"/>
          <w:szCs w:val="24"/>
        </w:rPr>
        <w:t xml:space="preserve"> interval during the experimental period has been given in Table </w:t>
      </w:r>
      <w:r w:rsidR="00A974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initial and final body weight of different experimental groups is represented in the Fig.</w:t>
      </w:r>
      <w:r w:rsidR="00A974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The average initial body weight of the experimental animals varied from </w:t>
      </w: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to </w:t>
      </w: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final body weight varied from </w:t>
      </w: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group) to </w:t>
      </w: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xml:space="preserve">± 1.602 </w:t>
      </w:r>
      <w:r>
        <w:rPr>
          <w:rFonts w:ascii="Times New Roman" w:eastAsia="Times New Roman" w:hAnsi="Times New Roman" w:cs="Times New Roman"/>
          <w:sz w:val="24"/>
          <w:szCs w:val="24"/>
        </w:rPr>
        <w:t>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4"/>
          <w:szCs w:val="24"/>
        </w:rPr>
        <w:t xml:space="preserve"> group).</w:t>
      </w:r>
      <w:r>
        <w:rPr>
          <w:rFonts w:ascii="Times New Roman" w:eastAsia="Times New Roman" w:hAnsi="Times New Roman" w:cs="Times New Roman"/>
          <w:color w:val="000000"/>
          <w:sz w:val="24"/>
          <w:szCs w:val="24"/>
        </w:rPr>
        <w:t xml:space="preserve"> Hence, significantly (P&lt;0.05) the highest average body weight gain after 90 days of feeding trial was found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 and lowest was found in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group.</w:t>
      </w:r>
    </w:p>
    <w:p w14:paraId="13EF2531" w14:textId="77777777" w:rsidR="00B57EA8" w:rsidRDefault="00B57EA8" w:rsidP="00B57EA8">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27EB56FF" wp14:editId="0A75389A">
            <wp:extent cx="3954780" cy="2400300"/>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7278D4" w14:textId="2B4BA288"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 </w:t>
      </w:r>
      <w:r w:rsidR="00A9744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Initial</w:t>
      </w:r>
      <w:r>
        <w:rPr>
          <w:rFonts w:ascii="Times New Roman" w:eastAsia="Times New Roman" w:hAnsi="Times New Roman" w:cs="Times New Roman"/>
          <w:color w:val="000000"/>
          <w:sz w:val="24"/>
          <w:szCs w:val="24"/>
        </w:rPr>
        <w:t xml:space="preserve"> and final body weight gain of GIFT tilapia with different diets</w:t>
      </w:r>
    </w:p>
    <w:p w14:paraId="3A92476A" w14:textId="7D55BE21" w:rsidR="00B57EA8" w:rsidRDefault="00A9744A" w:rsidP="00B57EA8">
      <w:pPr>
        <w:spacing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.2 </w:t>
      </w:r>
      <w:r w:rsidR="000776E5">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Body</w:t>
      </w:r>
      <w:proofErr w:type="gramEnd"/>
      <w:r w:rsidR="00B57EA8">
        <w:rPr>
          <w:rFonts w:ascii="Times New Roman" w:eastAsia="Times New Roman" w:hAnsi="Times New Roman" w:cs="Times New Roman"/>
          <w:b/>
          <w:color w:val="000000"/>
          <w:sz w:val="24"/>
          <w:szCs w:val="24"/>
        </w:rPr>
        <w:t xml:space="preserve"> length gain</w:t>
      </w:r>
    </w:p>
    <w:p w14:paraId="18CA84A7" w14:textId="672A7BA3" w:rsidR="00B57EA8" w:rsidRDefault="00B57EA8" w:rsidP="000776E5">
      <w:pPr>
        <w:spacing w:line="384" w:lineRule="auto"/>
        <w:jc w:val="both"/>
        <w:rPr>
          <w:rFonts w:ascii="Times New Roman" w:eastAsia="Times New Roman" w:hAnsi="Times New Roman" w:cs="Times New Roman"/>
          <w:sz w:val="24"/>
          <w:szCs w:val="24"/>
        </w:rPr>
        <w:sectPr w:rsidR="00B57EA8" w:rsidSect="00B560E6">
          <w:pgSz w:w="11907" w:h="16839"/>
          <w:pgMar w:top="1440" w:right="1440" w:bottom="1440" w:left="1531" w:header="709" w:footer="709" w:gutter="0"/>
          <w:cols w:space="720"/>
        </w:sectPr>
      </w:pPr>
      <w:r>
        <w:rPr>
          <w:rFonts w:ascii="Times New Roman" w:eastAsia="Times New Roman" w:hAnsi="Times New Roman" w:cs="Times New Roman"/>
          <w:color w:val="000000"/>
          <w:sz w:val="24"/>
          <w:szCs w:val="24"/>
        </w:rPr>
        <w:t xml:space="preserve">Average body length gains of different experimental groups measured at </w:t>
      </w:r>
      <w:proofErr w:type="gramStart"/>
      <w:r>
        <w:rPr>
          <w:rFonts w:ascii="Times New Roman" w:eastAsia="Times New Roman" w:hAnsi="Times New Roman" w:cs="Times New Roman"/>
          <w:color w:val="000000"/>
          <w:sz w:val="24"/>
          <w:szCs w:val="24"/>
        </w:rPr>
        <w:t>three week</w:t>
      </w:r>
      <w:proofErr w:type="gramEnd"/>
      <w:r>
        <w:rPr>
          <w:rFonts w:ascii="Times New Roman" w:eastAsia="Times New Roman" w:hAnsi="Times New Roman" w:cs="Times New Roman"/>
          <w:color w:val="000000"/>
          <w:sz w:val="24"/>
          <w:szCs w:val="24"/>
        </w:rPr>
        <w:t xml:space="preserve"> interval have been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5</w:t>
      </w:r>
      <w:r>
        <w:rPr>
          <w:rFonts w:ascii="Times New Roman" w:eastAsia="Times New Roman" w:hAnsi="Times New Roman" w:cs="Times New Roman"/>
          <w:sz w:val="24"/>
          <w:szCs w:val="24"/>
        </w:rPr>
        <w:t>. Initial body length among the experimental groups varied from 4.223 ± 0.327</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 to 4.553 ± 0.231</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group). The final body length varied from 6.227 ± 0.355</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group) to 7.058 ± 0.406 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w:t>
      </w:r>
    </w:p>
    <w:p w14:paraId="2C4FB7A9" w14:textId="2A4B4294"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w:t>
      </w:r>
      <w:r w:rsidR="00A9744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Average weight gain (g) and survival (%) of GIFT tilapia advance fry fed with different experimental diets </w:t>
      </w:r>
    </w:p>
    <w:tbl>
      <w:tblPr>
        <w:tblW w:w="103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39"/>
        <w:gridCol w:w="1452"/>
        <w:gridCol w:w="1374"/>
        <w:gridCol w:w="1476"/>
        <w:gridCol w:w="1395"/>
        <w:gridCol w:w="1395"/>
        <w:gridCol w:w="1617"/>
      </w:tblGrid>
      <w:tr w:rsidR="00B57EA8" w14:paraId="114FEBE9" w14:textId="77777777" w:rsidTr="00B57EA8">
        <w:trPr>
          <w:trHeight w:val="515"/>
        </w:trPr>
        <w:tc>
          <w:tcPr>
            <w:tcW w:w="1639" w:type="dxa"/>
            <w:vAlign w:val="center"/>
          </w:tcPr>
          <w:p w14:paraId="0945A2B1"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Treatments</w:t>
            </w:r>
          </w:p>
        </w:tc>
        <w:tc>
          <w:tcPr>
            <w:tcW w:w="1452" w:type="dxa"/>
            <w:vAlign w:val="center"/>
          </w:tcPr>
          <w:p w14:paraId="4F7F210A"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Initial</w:t>
            </w:r>
          </w:p>
        </w:tc>
        <w:tc>
          <w:tcPr>
            <w:tcW w:w="1374" w:type="dxa"/>
            <w:vAlign w:val="center"/>
          </w:tcPr>
          <w:p w14:paraId="5B235413"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1st sampling</w:t>
            </w:r>
          </w:p>
        </w:tc>
        <w:tc>
          <w:tcPr>
            <w:tcW w:w="1476" w:type="dxa"/>
            <w:vAlign w:val="center"/>
          </w:tcPr>
          <w:p w14:paraId="755D35C4"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w:t>
            </w:r>
          </w:p>
        </w:tc>
        <w:tc>
          <w:tcPr>
            <w:tcW w:w="1395" w:type="dxa"/>
            <w:vAlign w:val="center"/>
          </w:tcPr>
          <w:p w14:paraId="13E48A61"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w:t>
            </w:r>
          </w:p>
        </w:tc>
        <w:tc>
          <w:tcPr>
            <w:tcW w:w="1395" w:type="dxa"/>
            <w:tcBorders>
              <w:right w:val="single" w:sz="4" w:space="0" w:color="000000"/>
            </w:tcBorders>
            <w:vAlign w:val="center"/>
          </w:tcPr>
          <w:p w14:paraId="419D6D8D"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w:t>
            </w:r>
          </w:p>
        </w:tc>
        <w:tc>
          <w:tcPr>
            <w:tcW w:w="1617" w:type="dxa"/>
            <w:tcBorders>
              <w:left w:val="single" w:sz="4" w:space="0" w:color="000000"/>
            </w:tcBorders>
            <w:vAlign w:val="center"/>
          </w:tcPr>
          <w:p w14:paraId="4F808A8C"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Survival</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w:t>
            </w:r>
          </w:p>
        </w:tc>
      </w:tr>
      <w:tr w:rsidR="00B57EA8" w14:paraId="0675B01D" w14:textId="77777777" w:rsidTr="00B57EA8">
        <w:trPr>
          <w:trHeight w:val="335"/>
        </w:trPr>
        <w:tc>
          <w:tcPr>
            <w:tcW w:w="1639" w:type="dxa"/>
            <w:vAlign w:val="center"/>
          </w:tcPr>
          <w:p w14:paraId="421A1553"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0</w:t>
            </w:r>
          </w:p>
        </w:tc>
        <w:tc>
          <w:tcPr>
            <w:tcW w:w="1452" w:type="dxa"/>
            <w:vAlign w:val="bottom"/>
          </w:tcPr>
          <w:p w14:paraId="7DB0D628"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p>
        </w:tc>
        <w:tc>
          <w:tcPr>
            <w:tcW w:w="1374" w:type="dxa"/>
            <w:vAlign w:val="bottom"/>
          </w:tcPr>
          <w:p w14:paraId="0414C7E7"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1.852 </w:t>
            </w:r>
            <w:r>
              <w:rPr>
                <w:rFonts w:ascii="Times New Roman" w:eastAsia="Times New Roman" w:hAnsi="Times New Roman" w:cs="Times New Roman"/>
                <w:color w:val="000000"/>
                <w:sz w:val="24"/>
                <w:szCs w:val="24"/>
              </w:rPr>
              <w:t>± 0.387</w:t>
            </w:r>
          </w:p>
        </w:tc>
        <w:tc>
          <w:tcPr>
            <w:tcW w:w="1476" w:type="dxa"/>
            <w:vAlign w:val="bottom"/>
          </w:tcPr>
          <w:p w14:paraId="2C4596B3"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2.749 </w:t>
            </w:r>
            <w:r>
              <w:rPr>
                <w:rFonts w:ascii="Times New Roman" w:eastAsia="Times New Roman" w:hAnsi="Times New Roman" w:cs="Times New Roman"/>
                <w:color w:val="000000"/>
                <w:sz w:val="24"/>
                <w:szCs w:val="24"/>
              </w:rPr>
              <w:t>± 0.603</w:t>
            </w:r>
          </w:p>
        </w:tc>
        <w:tc>
          <w:tcPr>
            <w:tcW w:w="1395" w:type="dxa"/>
            <w:vAlign w:val="bottom"/>
          </w:tcPr>
          <w:p w14:paraId="04B32A32"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3.901 </w:t>
            </w:r>
            <w:r>
              <w:rPr>
                <w:rFonts w:ascii="Times New Roman" w:eastAsia="Times New Roman" w:hAnsi="Times New Roman" w:cs="Times New Roman"/>
                <w:color w:val="000000"/>
                <w:sz w:val="24"/>
                <w:szCs w:val="24"/>
              </w:rPr>
              <w:t>± 1.018</w:t>
            </w:r>
          </w:p>
        </w:tc>
        <w:tc>
          <w:tcPr>
            <w:tcW w:w="1395" w:type="dxa"/>
            <w:tcBorders>
              <w:right w:val="single" w:sz="4" w:space="0" w:color="000000"/>
            </w:tcBorders>
            <w:vAlign w:val="bottom"/>
          </w:tcPr>
          <w:p w14:paraId="6866797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5.566 </w:t>
            </w:r>
            <w:r>
              <w:rPr>
                <w:rFonts w:ascii="Times New Roman" w:eastAsia="Times New Roman" w:hAnsi="Times New Roman" w:cs="Times New Roman"/>
                <w:color w:val="000000"/>
                <w:sz w:val="24"/>
                <w:szCs w:val="24"/>
              </w:rPr>
              <w:t>± 1.570</w:t>
            </w:r>
          </w:p>
        </w:tc>
        <w:tc>
          <w:tcPr>
            <w:tcW w:w="1617" w:type="dxa"/>
            <w:tcBorders>
              <w:left w:val="single" w:sz="4" w:space="0" w:color="000000"/>
            </w:tcBorders>
            <w:vAlign w:val="center"/>
          </w:tcPr>
          <w:p w14:paraId="3E4F622A"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B57EA8" w14:paraId="0DDE863B" w14:textId="77777777" w:rsidTr="00B57EA8">
        <w:trPr>
          <w:trHeight w:val="435"/>
        </w:trPr>
        <w:tc>
          <w:tcPr>
            <w:tcW w:w="1639" w:type="dxa"/>
            <w:vAlign w:val="center"/>
          </w:tcPr>
          <w:p w14:paraId="6BF20D9E"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1</w:t>
            </w:r>
          </w:p>
        </w:tc>
        <w:tc>
          <w:tcPr>
            <w:tcW w:w="1452" w:type="dxa"/>
            <w:vAlign w:val="center"/>
          </w:tcPr>
          <w:p w14:paraId="4001525F"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1.238 </w:t>
            </w:r>
            <w:r>
              <w:rPr>
                <w:rFonts w:ascii="Times New Roman" w:eastAsia="Times New Roman" w:hAnsi="Times New Roman" w:cs="Times New Roman"/>
                <w:color w:val="000000"/>
                <w:sz w:val="24"/>
                <w:szCs w:val="24"/>
              </w:rPr>
              <w:t>± 0.257</w:t>
            </w:r>
          </w:p>
        </w:tc>
        <w:tc>
          <w:tcPr>
            <w:tcW w:w="1374" w:type="dxa"/>
            <w:vAlign w:val="center"/>
          </w:tcPr>
          <w:p w14:paraId="0DC1D69D"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1.837 </w:t>
            </w:r>
            <w:r>
              <w:rPr>
                <w:rFonts w:ascii="Times New Roman" w:eastAsia="Times New Roman" w:hAnsi="Times New Roman" w:cs="Times New Roman"/>
                <w:color w:val="000000"/>
                <w:sz w:val="24"/>
                <w:szCs w:val="24"/>
              </w:rPr>
              <w:t>± 0.495</w:t>
            </w:r>
          </w:p>
        </w:tc>
        <w:tc>
          <w:tcPr>
            <w:tcW w:w="1476" w:type="dxa"/>
            <w:vAlign w:val="center"/>
          </w:tcPr>
          <w:p w14:paraId="6052FF2E"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2.783 </w:t>
            </w:r>
            <w:r>
              <w:rPr>
                <w:rFonts w:ascii="Times New Roman" w:eastAsia="Times New Roman" w:hAnsi="Times New Roman" w:cs="Times New Roman"/>
                <w:color w:val="000000"/>
                <w:sz w:val="24"/>
                <w:szCs w:val="24"/>
              </w:rPr>
              <w:t>± 0.902</w:t>
            </w:r>
          </w:p>
        </w:tc>
        <w:tc>
          <w:tcPr>
            <w:tcW w:w="1395" w:type="dxa"/>
            <w:vAlign w:val="center"/>
          </w:tcPr>
          <w:p w14:paraId="6B145FC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3.921 </w:t>
            </w:r>
            <w:r>
              <w:rPr>
                <w:rFonts w:ascii="Times New Roman" w:eastAsia="Times New Roman" w:hAnsi="Times New Roman" w:cs="Times New Roman"/>
                <w:color w:val="000000"/>
                <w:sz w:val="24"/>
                <w:szCs w:val="24"/>
              </w:rPr>
              <w:t>± 1.165</w:t>
            </w:r>
          </w:p>
        </w:tc>
        <w:tc>
          <w:tcPr>
            <w:tcW w:w="1395" w:type="dxa"/>
            <w:tcBorders>
              <w:right w:val="single" w:sz="4" w:space="0" w:color="000000"/>
            </w:tcBorders>
            <w:vAlign w:val="center"/>
          </w:tcPr>
          <w:p w14:paraId="07AA330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5.519 </w:t>
            </w:r>
            <w:r>
              <w:rPr>
                <w:rFonts w:ascii="Times New Roman" w:eastAsia="Times New Roman" w:hAnsi="Times New Roman" w:cs="Times New Roman"/>
                <w:color w:val="000000"/>
                <w:sz w:val="24"/>
                <w:szCs w:val="24"/>
              </w:rPr>
              <w:t>± 1.451</w:t>
            </w:r>
          </w:p>
        </w:tc>
        <w:tc>
          <w:tcPr>
            <w:tcW w:w="1617" w:type="dxa"/>
            <w:tcBorders>
              <w:left w:val="single" w:sz="4" w:space="0" w:color="000000"/>
            </w:tcBorders>
            <w:vAlign w:val="center"/>
          </w:tcPr>
          <w:p w14:paraId="2773505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4B8D8D11" w14:textId="77777777" w:rsidTr="00B57EA8">
        <w:trPr>
          <w:trHeight w:val="310"/>
        </w:trPr>
        <w:tc>
          <w:tcPr>
            <w:tcW w:w="1639" w:type="dxa"/>
            <w:vAlign w:val="center"/>
          </w:tcPr>
          <w:p w14:paraId="2CD050BD"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2</w:t>
            </w:r>
          </w:p>
        </w:tc>
        <w:tc>
          <w:tcPr>
            <w:tcW w:w="1452" w:type="dxa"/>
            <w:vAlign w:val="center"/>
          </w:tcPr>
          <w:p w14:paraId="4EB62B3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w:t>
            </w:r>
          </w:p>
        </w:tc>
        <w:tc>
          <w:tcPr>
            <w:tcW w:w="1374" w:type="dxa"/>
            <w:vAlign w:val="center"/>
          </w:tcPr>
          <w:p w14:paraId="3DA3CA0C"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1.778 </w:t>
            </w:r>
            <w:r>
              <w:rPr>
                <w:rFonts w:ascii="Times New Roman" w:eastAsia="Times New Roman" w:hAnsi="Times New Roman" w:cs="Times New Roman"/>
                <w:color w:val="000000"/>
                <w:sz w:val="24"/>
                <w:szCs w:val="24"/>
              </w:rPr>
              <w:t>± 0.438</w:t>
            </w:r>
          </w:p>
        </w:tc>
        <w:tc>
          <w:tcPr>
            <w:tcW w:w="1476" w:type="dxa"/>
            <w:vAlign w:val="center"/>
          </w:tcPr>
          <w:p w14:paraId="4F8B00A1"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2.857 </w:t>
            </w:r>
            <w:r>
              <w:rPr>
                <w:rFonts w:ascii="Times New Roman" w:eastAsia="Times New Roman" w:hAnsi="Times New Roman" w:cs="Times New Roman"/>
                <w:color w:val="000000"/>
                <w:sz w:val="24"/>
                <w:szCs w:val="24"/>
              </w:rPr>
              <w:t>± 0.733</w:t>
            </w:r>
          </w:p>
        </w:tc>
        <w:tc>
          <w:tcPr>
            <w:tcW w:w="1395" w:type="dxa"/>
            <w:vAlign w:val="center"/>
          </w:tcPr>
          <w:p w14:paraId="22A40B43"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3.878 </w:t>
            </w:r>
            <w:r>
              <w:rPr>
                <w:rFonts w:ascii="Times New Roman" w:eastAsia="Times New Roman" w:hAnsi="Times New Roman" w:cs="Times New Roman"/>
                <w:color w:val="000000"/>
                <w:sz w:val="24"/>
                <w:szCs w:val="24"/>
              </w:rPr>
              <w:t>± 1.215</w:t>
            </w:r>
          </w:p>
        </w:tc>
        <w:tc>
          <w:tcPr>
            <w:tcW w:w="1395" w:type="dxa"/>
            <w:tcBorders>
              <w:right w:val="single" w:sz="4" w:space="0" w:color="000000"/>
            </w:tcBorders>
            <w:vAlign w:val="center"/>
          </w:tcPr>
          <w:p w14:paraId="0A50DCF7"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p>
        </w:tc>
        <w:tc>
          <w:tcPr>
            <w:tcW w:w="1617" w:type="dxa"/>
            <w:tcBorders>
              <w:left w:val="single" w:sz="4" w:space="0" w:color="000000"/>
            </w:tcBorders>
            <w:vAlign w:val="center"/>
          </w:tcPr>
          <w:p w14:paraId="5B39981E"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75B7E799" w14:textId="77777777" w:rsidTr="00B57EA8">
        <w:trPr>
          <w:trHeight w:val="344"/>
        </w:trPr>
        <w:tc>
          <w:tcPr>
            <w:tcW w:w="1639" w:type="dxa"/>
            <w:vAlign w:val="center"/>
          </w:tcPr>
          <w:p w14:paraId="10699AAC" w14:textId="77777777" w:rsidR="00B57EA8" w:rsidRDefault="00B57EA8" w:rsidP="00B838D9">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3</w:t>
            </w:r>
          </w:p>
        </w:tc>
        <w:tc>
          <w:tcPr>
            <w:tcW w:w="1452" w:type="dxa"/>
            <w:vAlign w:val="center"/>
          </w:tcPr>
          <w:p w14:paraId="3E5F75A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1.160 </w:t>
            </w:r>
            <w:r>
              <w:rPr>
                <w:rFonts w:ascii="Times New Roman" w:eastAsia="Times New Roman" w:hAnsi="Times New Roman" w:cs="Times New Roman"/>
                <w:color w:val="000000"/>
                <w:sz w:val="24"/>
                <w:szCs w:val="24"/>
              </w:rPr>
              <w:t>± 0.199</w:t>
            </w:r>
          </w:p>
        </w:tc>
        <w:tc>
          <w:tcPr>
            <w:tcW w:w="1374" w:type="dxa"/>
            <w:vAlign w:val="center"/>
          </w:tcPr>
          <w:p w14:paraId="6F305D5A"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1.902 </w:t>
            </w:r>
            <w:r>
              <w:rPr>
                <w:rFonts w:ascii="Times New Roman" w:eastAsia="Times New Roman" w:hAnsi="Times New Roman" w:cs="Times New Roman"/>
                <w:color w:val="000000"/>
                <w:sz w:val="24"/>
                <w:szCs w:val="24"/>
              </w:rPr>
              <w:t>± 0.408</w:t>
            </w:r>
          </w:p>
        </w:tc>
        <w:tc>
          <w:tcPr>
            <w:tcW w:w="1476" w:type="dxa"/>
            <w:vAlign w:val="center"/>
          </w:tcPr>
          <w:p w14:paraId="2D7A4AEB"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3.133 </w:t>
            </w:r>
            <w:r>
              <w:rPr>
                <w:rFonts w:ascii="Times New Roman" w:eastAsia="Times New Roman" w:hAnsi="Times New Roman" w:cs="Times New Roman"/>
                <w:color w:val="000000"/>
                <w:sz w:val="24"/>
                <w:szCs w:val="24"/>
              </w:rPr>
              <w:t>± 0.876</w:t>
            </w:r>
          </w:p>
        </w:tc>
        <w:tc>
          <w:tcPr>
            <w:tcW w:w="1395" w:type="dxa"/>
            <w:vAlign w:val="center"/>
          </w:tcPr>
          <w:p w14:paraId="4798F1B6"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4.494 </w:t>
            </w:r>
            <w:r>
              <w:rPr>
                <w:rFonts w:ascii="Times New Roman" w:eastAsia="Times New Roman" w:hAnsi="Times New Roman" w:cs="Times New Roman"/>
                <w:color w:val="000000"/>
                <w:sz w:val="24"/>
                <w:szCs w:val="24"/>
              </w:rPr>
              <w:t>± 1.178</w:t>
            </w:r>
          </w:p>
        </w:tc>
        <w:tc>
          <w:tcPr>
            <w:tcW w:w="1395" w:type="dxa"/>
            <w:tcBorders>
              <w:right w:val="single" w:sz="4" w:space="0" w:color="000000"/>
            </w:tcBorders>
            <w:vAlign w:val="center"/>
          </w:tcPr>
          <w:p w14:paraId="517DB2E0"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1.602</w:t>
            </w:r>
          </w:p>
        </w:tc>
        <w:tc>
          <w:tcPr>
            <w:tcW w:w="1617" w:type="dxa"/>
            <w:tcBorders>
              <w:left w:val="single" w:sz="4" w:space="0" w:color="000000"/>
            </w:tcBorders>
            <w:vAlign w:val="center"/>
          </w:tcPr>
          <w:p w14:paraId="5E441A75" w14:textId="77777777" w:rsidR="00B57EA8" w:rsidRDefault="00B57EA8" w:rsidP="00B838D9">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bl>
    <w:p w14:paraId="2B3CC468" w14:textId="77777777" w:rsidR="00B57EA8" w:rsidRDefault="00B57EA8" w:rsidP="00B57EA8">
      <w:pP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indicates the standard deviation</w:t>
      </w:r>
    </w:p>
    <w:p w14:paraId="55478BF1" w14:textId="77777777" w:rsidR="00B57EA8" w:rsidRDefault="00B57EA8" w:rsidP="00B57EA8">
      <w:pPr>
        <w:spacing w:before="120" w:after="0"/>
        <w:rPr>
          <w:rFonts w:ascii="Times New Roman" w:eastAsia="Times New Roman" w:hAnsi="Times New Roman" w:cs="Times New Roman"/>
          <w:color w:val="000000"/>
          <w:sz w:val="24"/>
          <w:szCs w:val="24"/>
        </w:rPr>
      </w:pPr>
    </w:p>
    <w:p w14:paraId="34D0854D" w14:textId="77777777" w:rsidR="00B57EA8" w:rsidRDefault="00B57EA8" w:rsidP="00B57EA8">
      <w:pPr>
        <w:spacing w:before="120" w:after="0"/>
        <w:rPr>
          <w:rFonts w:ascii="Times New Roman" w:eastAsia="Times New Roman" w:hAnsi="Times New Roman" w:cs="Times New Roman"/>
          <w:color w:val="000000"/>
          <w:sz w:val="24"/>
          <w:szCs w:val="24"/>
        </w:rPr>
      </w:pPr>
    </w:p>
    <w:p w14:paraId="3E96B244" w14:textId="1014F909"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w:t>
      </w:r>
      <w:r w:rsidR="000776E5">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Average body length gain (cm) of GIFT tilapia advance fry fed with different experimental diets</w:t>
      </w:r>
      <w:r>
        <w:rPr>
          <w:rFonts w:ascii="Times New Roman" w:eastAsia="Times New Roman" w:hAnsi="Times New Roman" w:cs="Times New Roman"/>
          <w:b/>
          <w:color w:val="000000"/>
          <w:sz w:val="24"/>
          <w:szCs w:val="24"/>
        </w:rPr>
        <w:t xml:space="preserve"> </w:t>
      </w:r>
    </w:p>
    <w:tbl>
      <w:tblPr>
        <w:tblW w:w="102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2"/>
        <w:gridCol w:w="1686"/>
        <w:gridCol w:w="1798"/>
        <w:gridCol w:w="1798"/>
        <w:gridCol w:w="1798"/>
        <w:gridCol w:w="1798"/>
      </w:tblGrid>
      <w:tr w:rsidR="00B57EA8" w14:paraId="3E043B15" w14:textId="77777777" w:rsidTr="00B57EA8">
        <w:trPr>
          <w:trHeight w:val="750"/>
        </w:trPr>
        <w:tc>
          <w:tcPr>
            <w:tcW w:w="1322" w:type="dxa"/>
            <w:vAlign w:val="center"/>
          </w:tcPr>
          <w:p w14:paraId="3641A5A2"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1686" w:type="dxa"/>
            <w:vAlign w:val="center"/>
          </w:tcPr>
          <w:p w14:paraId="0F7C03E8"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w:t>
            </w:r>
          </w:p>
        </w:tc>
        <w:tc>
          <w:tcPr>
            <w:tcW w:w="1798" w:type="dxa"/>
            <w:vAlign w:val="center"/>
          </w:tcPr>
          <w:p w14:paraId="23AE9CC5"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sampling</w:t>
            </w:r>
          </w:p>
        </w:tc>
        <w:tc>
          <w:tcPr>
            <w:tcW w:w="1798" w:type="dxa"/>
            <w:vAlign w:val="center"/>
          </w:tcPr>
          <w:p w14:paraId="7CC101F6"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 </w:t>
            </w:r>
          </w:p>
        </w:tc>
        <w:tc>
          <w:tcPr>
            <w:tcW w:w="1798" w:type="dxa"/>
            <w:vAlign w:val="center"/>
          </w:tcPr>
          <w:p w14:paraId="137536C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 </w:t>
            </w:r>
          </w:p>
        </w:tc>
        <w:tc>
          <w:tcPr>
            <w:tcW w:w="1798" w:type="dxa"/>
            <w:vAlign w:val="center"/>
          </w:tcPr>
          <w:p w14:paraId="12C22B4F"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 </w:t>
            </w:r>
          </w:p>
        </w:tc>
      </w:tr>
      <w:tr w:rsidR="00B57EA8" w14:paraId="74ABB57F" w14:textId="77777777" w:rsidTr="00B57EA8">
        <w:trPr>
          <w:trHeight w:val="692"/>
        </w:trPr>
        <w:tc>
          <w:tcPr>
            <w:tcW w:w="1322" w:type="dxa"/>
            <w:vAlign w:val="center"/>
          </w:tcPr>
          <w:p w14:paraId="435B761C"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0</w:t>
            </w:r>
          </w:p>
        </w:tc>
        <w:tc>
          <w:tcPr>
            <w:tcW w:w="1686" w:type="dxa"/>
            <w:vAlign w:val="bottom"/>
          </w:tcPr>
          <w:p w14:paraId="26CEF614"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4.553 ± 0.231</w:t>
            </w:r>
          </w:p>
        </w:tc>
        <w:tc>
          <w:tcPr>
            <w:tcW w:w="1798" w:type="dxa"/>
            <w:vAlign w:val="bottom"/>
          </w:tcPr>
          <w:p w14:paraId="6CC311F0"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4.835 ± 0.548</w:t>
            </w:r>
          </w:p>
        </w:tc>
        <w:tc>
          <w:tcPr>
            <w:tcW w:w="1798" w:type="dxa"/>
            <w:vAlign w:val="bottom"/>
          </w:tcPr>
          <w:p w14:paraId="129418A1"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5.413 ± 0.247</w:t>
            </w:r>
          </w:p>
        </w:tc>
        <w:tc>
          <w:tcPr>
            <w:tcW w:w="1798" w:type="dxa"/>
            <w:vAlign w:val="bottom"/>
          </w:tcPr>
          <w:p w14:paraId="56819674"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5.749 ± 0.426</w:t>
            </w:r>
          </w:p>
        </w:tc>
        <w:tc>
          <w:tcPr>
            <w:tcW w:w="1798" w:type="dxa"/>
            <w:vAlign w:val="center"/>
          </w:tcPr>
          <w:p w14:paraId="4475C24C"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6.604 ± 0.349</w:t>
            </w:r>
          </w:p>
        </w:tc>
      </w:tr>
      <w:tr w:rsidR="00B57EA8" w14:paraId="752BFE34" w14:textId="77777777" w:rsidTr="00B57EA8">
        <w:trPr>
          <w:trHeight w:val="657"/>
        </w:trPr>
        <w:tc>
          <w:tcPr>
            <w:tcW w:w="1322" w:type="dxa"/>
            <w:vAlign w:val="center"/>
          </w:tcPr>
          <w:p w14:paraId="7A5ECBCF"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p>
        </w:tc>
        <w:tc>
          <w:tcPr>
            <w:tcW w:w="1686" w:type="dxa"/>
            <w:vAlign w:val="bottom"/>
          </w:tcPr>
          <w:p w14:paraId="21BDBC03"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4.432 ± 0.153</w:t>
            </w:r>
          </w:p>
        </w:tc>
        <w:tc>
          <w:tcPr>
            <w:tcW w:w="1798" w:type="dxa"/>
            <w:vAlign w:val="bottom"/>
          </w:tcPr>
          <w:p w14:paraId="06E283A7"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4.809 ± 0.177</w:t>
            </w:r>
          </w:p>
        </w:tc>
        <w:tc>
          <w:tcPr>
            <w:tcW w:w="1798" w:type="dxa"/>
            <w:vAlign w:val="bottom"/>
          </w:tcPr>
          <w:p w14:paraId="3AE158DD"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5.485 ± 0.335</w:t>
            </w:r>
          </w:p>
        </w:tc>
        <w:tc>
          <w:tcPr>
            <w:tcW w:w="1798" w:type="dxa"/>
            <w:vAlign w:val="bottom"/>
          </w:tcPr>
          <w:p w14:paraId="721ADCCA" w14:textId="77777777" w:rsidR="00B57EA8" w:rsidRDefault="00B57EA8" w:rsidP="00B838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5.752 ± 0.358</w:t>
            </w:r>
          </w:p>
        </w:tc>
        <w:tc>
          <w:tcPr>
            <w:tcW w:w="1798" w:type="dxa"/>
            <w:vAlign w:val="center"/>
          </w:tcPr>
          <w:p w14:paraId="0B952EAB"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6.601 ± 0.532</w:t>
            </w:r>
          </w:p>
        </w:tc>
      </w:tr>
      <w:tr w:rsidR="00B57EA8" w14:paraId="5A810775" w14:textId="77777777" w:rsidTr="00B57EA8">
        <w:trPr>
          <w:trHeight w:val="595"/>
        </w:trPr>
        <w:tc>
          <w:tcPr>
            <w:tcW w:w="1322" w:type="dxa"/>
            <w:vAlign w:val="center"/>
          </w:tcPr>
          <w:p w14:paraId="33C417EA"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p>
        </w:tc>
        <w:tc>
          <w:tcPr>
            <w:tcW w:w="1686" w:type="dxa"/>
            <w:vAlign w:val="center"/>
          </w:tcPr>
          <w:p w14:paraId="04D62BC7"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4.237 ± 0.342</w:t>
            </w:r>
          </w:p>
        </w:tc>
        <w:tc>
          <w:tcPr>
            <w:tcW w:w="1798" w:type="dxa"/>
            <w:vAlign w:val="center"/>
          </w:tcPr>
          <w:p w14:paraId="275A1483"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4.759 ± 0.660</w:t>
            </w:r>
          </w:p>
        </w:tc>
        <w:tc>
          <w:tcPr>
            <w:tcW w:w="1798" w:type="dxa"/>
            <w:vAlign w:val="center"/>
          </w:tcPr>
          <w:p w14:paraId="45D1A74D"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5.503 ± 0.146</w:t>
            </w:r>
          </w:p>
        </w:tc>
        <w:tc>
          <w:tcPr>
            <w:tcW w:w="1798" w:type="dxa"/>
            <w:vAlign w:val="center"/>
          </w:tcPr>
          <w:p w14:paraId="170C1A47"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5.716 ± 0.217</w:t>
            </w:r>
          </w:p>
        </w:tc>
        <w:tc>
          <w:tcPr>
            <w:tcW w:w="1798" w:type="dxa"/>
            <w:vAlign w:val="center"/>
          </w:tcPr>
          <w:p w14:paraId="4658DF73"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6.227 ± 0.355</w:t>
            </w:r>
          </w:p>
        </w:tc>
      </w:tr>
      <w:tr w:rsidR="00B57EA8" w14:paraId="538B4169" w14:textId="77777777" w:rsidTr="00B57EA8">
        <w:trPr>
          <w:trHeight w:val="604"/>
        </w:trPr>
        <w:tc>
          <w:tcPr>
            <w:tcW w:w="1322" w:type="dxa"/>
            <w:vAlign w:val="center"/>
          </w:tcPr>
          <w:p w14:paraId="2307F4B0" w14:textId="77777777" w:rsidR="00B57EA8" w:rsidRDefault="00B57EA8" w:rsidP="00B838D9">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p>
        </w:tc>
        <w:tc>
          <w:tcPr>
            <w:tcW w:w="1686" w:type="dxa"/>
            <w:vAlign w:val="center"/>
          </w:tcPr>
          <w:p w14:paraId="0342CDF8"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4.223 ± 0.327</w:t>
            </w:r>
          </w:p>
        </w:tc>
        <w:tc>
          <w:tcPr>
            <w:tcW w:w="1798" w:type="dxa"/>
            <w:vAlign w:val="center"/>
          </w:tcPr>
          <w:p w14:paraId="34E46841"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5.116 ± 0.633</w:t>
            </w:r>
          </w:p>
        </w:tc>
        <w:tc>
          <w:tcPr>
            <w:tcW w:w="1798" w:type="dxa"/>
            <w:vAlign w:val="center"/>
          </w:tcPr>
          <w:p w14:paraId="39805231"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5.597 ± 0.430</w:t>
            </w:r>
          </w:p>
        </w:tc>
        <w:tc>
          <w:tcPr>
            <w:tcW w:w="1798" w:type="dxa"/>
            <w:vAlign w:val="center"/>
          </w:tcPr>
          <w:p w14:paraId="0ADE04B6"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6.249 ± 0.571</w:t>
            </w:r>
          </w:p>
        </w:tc>
        <w:tc>
          <w:tcPr>
            <w:tcW w:w="1798" w:type="dxa"/>
            <w:vAlign w:val="center"/>
          </w:tcPr>
          <w:p w14:paraId="0267649B" w14:textId="77777777" w:rsidR="00B57EA8" w:rsidRDefault="00B57EA8" w:rsidP="00B838D9">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7.058 ± 0.406 </w:t>
            </w:r>
          </w:p>
        </w:tc>
      </w:tr>
    </w:tbl>
    <w:p w14:paraId="20592E58" w14:textId="77777777" w:rsidR="00B57EA8" w:rsidRDefault="00B57EA8" w:rsidP="00B57EA8">
      <w:pPr>
        <w:spacing w:before="120" w:after="0"/>
        <w:rPr>
          <w:rFonts w:ascii="Times New Roman" w:eastAsia="Times New Roman" w:hAnsi="Times New Roman" w:cs="Times New Roman"/>
          <w:color w:val="000000"/>
          <w:sz w:val="24"/>
          <w:szCs w:val="24"/>
        </w:rPr>
        <w:sectPr w:rsidR="00B57EA8" w:rsidSect="00B560E6">
          <w:pgSz w:w="11907" w:h="16839"/>
          <w:pgMar w:top="1440" w:right="1440" w:bottom="1531" w:left="1440" w:header="709" w:footer="709" w:gutter="0"/>
          <w:cols w:space="720"/>
        </w:sectPr>
      </w:pPr>
      <w:r>
        <w:rPr>
          <w:rFonts w:ascii="Times New Roman" w:eastAsia="Times New Roman" w:hAnsi="Times New Roman" w:cs="Times New Roman"/>
          <w:color w:val="000000"/>
          <w:sz w:val="24"/>
          <w:szCs w:val="24"/>
        </w:rPr>
        <w:t>* “±” indicates the standard deviation</w:t>
      </w:r>
    </w:p>
    <w:p w14:paraId="18539E3E" w14:textId="1F0444C7"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Percentage body weight gain</w:t>
      </w:r>
    </w:p>
    <w:p w14:paraId="5AEA73CF" w14:textId="774C9C5F"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the experimental animals calculated in percentage is expressed in Table </w:t>
      </w:r>
      <w:r w:rsidR="000776E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and Fig </w:t>
      </w:r>
      <w:r w:rsidR="000776E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Analysis of variance (ANOVA) of data specified significant effect (P&lt;0.05) of different experimental diets on percentage body weight gain of the experimental animals. Significantly (P&lt;0.05) highest percentage body weight gain (474.2 %) was found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substituted by fish silage. There is no significant (P&gt;0.05) difference in percentage body weight gain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lowest weight gain percentage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group (339.4 %).</w:t>
      </w:r>
    </w:p>
    <w:p w14:paraId="6F69AA62"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0915C1" wp14:editId="4D947497">
            <wp:extent cx="3997779" cy="2090420"/>
            <wp:effectExtent l="19050" t="0" r="21771"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BA57CE" w14:textId="5972F7C3"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 </w:t>
      </w:r>
      <w:r w:rsidR="000776E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t xml:space="preserve"> </w:t>
      </w:r>
      <w:r>
        <w:rPr>
          <w:rFonts w:ascii="Times New Roman" w:eastAsia="Times New Roman" w:hAnsi="Times New Roman" w:cs="Times New Roman"/>
          <w:color w:val="000000"/>
          <w:sz w:val="24"/>
          <w:szCs w:val="24"/>
        </w:rPr>
        <w:t>Percentage weight gain of tilapia fry fed with different diet.</w:t>
      </w:r>
    </w:p>
    <w:p w14:paraId="5EC74A62" w14:textId="1B5ACA56"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Daily weight gain</w:t>
      </w:r>
      <w:r w:rsidR="00B57EA8">
        <w:rPr>
          <w:rFonts w:ascii="Times New Roman" w:eastAsia="Times New Roman" w:hAnsi="Times New Roman" w:cs="Times New Roman"/>
          <w:color w:val="000000"/>
          <w:sz w:val="24"/>
          <w:szCs w:val="24"/>
        </w:rPr>
        <w:t xml:space="preserve"> </w:t>
      </w:r>
    </w:p>
    <w:p w14:paraId="1E7D758F" w14:textId="69D004B4"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(DWG) of the treatment groups fed with different experimental diets was calculated at the end the feeding trial and is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Highest daily weight gain </w:t>
      </w:r>
      <w:r>
        <w:rPr>
          <w:rFonts w:ascii="Times New Roman" w:eastAsia="Times New Roman" w:hAnsi="Times New Roman" w:cs="Times New Roman"/>
          <w:sz w:val="24"/>
          <w:szCs w:val="24"/>
        </w:rPr>
        <w:t>(0.092g)</w:t>
      </w:r>
      <w:r>
        <w:rPr>
          <w:rFonts w:ascii="Times New Roman" w:eastAsia="Times New Roman" w:hAnsi="Times New Roman" w:cs="Times New Roman"/>
          <w:color w:val="000000"/>
          <w:sz w:val="24"/>
          <w:szCs w:val="24"/>
        </w:rPr>
        <w:t xml:space="preserve"> was found in T</w:t>
      </w:r>
      <w:r>
        <w:rPr>
          <w:rFonts w:ascii="Times New Roman" w:eastAsia="Times New Roman" w:hAnsi="Times New Roman" w:cs="Times New Roman"/>
          <w:color w:val="000000"/>
          <w:sz w:val="28"/>
          <w:szCs w:val="28"/>
          <w:vertAlign w:val="subscript"/>
        </w:rPr>
        <w:t xml:space="preserve">3 </w:t>
      </w:r>
      <w:r>
        <w:rPr>
          <w:rFonts w:ascii="Times New Roman" w:eastAsia="Times New Roman" w:hAnsi="Times New Roman" w:cs="Times New Roman"/>
          <w:color w:val="000000"/>
          <w:sz w:val="24"/>
          <w:szCs w:val="24"/>
        </w:rPr>
        <w:t>group, fed a diet where 50% of GNOC protein had been replaced by fish silage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r>
        <w:rPr>
          <w:color w:val="000000"/>
        </w:rPr>
        <w:t>0.</w:t>
      </w:r>
      <w:r>
        <w:t>072</w:t>
      </w:r>
      <w:r>
        <w:rPr>
          <w:rFonts w:ascii="Times New Roman" w:eastAsia="Times New Roman" w:hAnsi="Times New Roman" w:cs="Times New Roman"/>
          <w:sz w:val="24"/>
          <w:szCs w:val="24"/>
        </w:rPr>
        <w:t xml:space="preserve"> g) and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t>0.071</w:t>
      </w:r>
      <w:r>
        <w:rPr>
          <w:rFonts w:ascii="Times New Roman" w:eastAsia="Times New Roman" w:hAnsi="Times New Roman" w:cs="Times New Roman"/>
          <w:sz w:val="24"/>
          <w:szCs w:val="24"/>
        </w:rPr>
        <w:t xml:space="preserve"> g) group, </w:t>
      </w:r>
      <w:proofErr w:type="gramStart"/>
      <w:r>
        <w:rPr>
          <w:rFonts w:ascii="Times New Roman" w:eastAsia="Times New Roman" w:hAnsi="Times New Roman" w:cs="Times New Roman"/>
          <w:sz w:val="24"/>
          <w:szCs w:val="24"/>
        </w:rPr>
        <w:t>respectively..</w:t>
      </w:r>
      <w:proofErr w:type="gramEnd"/>
      <w:r>
        <w:rPr>
          <w:rFonts w:ascii="Times New Roman" w:eastAsia="Times New Roman" w:hAnsi="Times New Roman" w:cs="Times New Roman"/>
          <w:sz w:val="24"/>
          <w:szCs w:val="24"/>
        </w:rPr>
        <w:t xml:space="preserve"> Lowest DWG was found in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t xml:space="preserve">0.066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p>
    <w:p w14:paraId="4E13AE43" w14:textId="0B7085BD"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Specific growth rate</w:t>
      </w:r>
      <w:r w:rsidR="00B57EA8">
        <w:rPr>
          <w:rFonts w:ascii="Times New Roman" w:eastAsia="Times New Roman" w:hAnsi="Times New Roman" w:cs="Times New Roman"/>
          <w:color w:val="000000"/>
          <w:sz w:val="24"/>
          <w:szCs w:val="24"/>
        </w:rPr>
        <w:t xml:space="preserve"> </w:t>
      </w:r>
    </w:p>
    <w:p w14:paraId="64112CD6" w14:textId="1249A9C0"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rates (SGR) of different groups after completion of the feeding trial are shown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and Fig.</w:t>
      </w:r>
      <w:r w:rsidR="000776E5">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The result showed significant (P&lt;0.05) difference among the experimental groups. SGR showed the same trend as that of the weight gain percentage. Significantly (P&lt;0.05) highest SGR (2.91) was observed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replaced by </w:t>
      </w:r>
      <w:proofErr w:type="gramStart"/>
      <w:r>
        <w:rPr>
          <w:rFonts w:ascii="Times New Roman" w:eastAsia="Times New Roman" w:hAnsi="Times New Roman" w:cs="Times New Roman"/>
          <w:color w:val="000000"/>
          <w:sz w:val="24"/>
          <w:szCs w:val="24"/>
        </w:rPr>
        <w:t>fish based</w:t>
      </w:r>
      <w:proofErr w:type="gramEnd"/>
      <w:r>
        <w:rPr>
          <w:rFonts w:ascii="Times New Roman" w:eastAsia="Times New Roman" w:hAnsi="Times New Roman" w:cs="Times New Roman"/>
          <w:color w:val="000000"/>
          <w:sz w:val="24"/>
          <w:szCs w:val="24"/>
        </w:rPr>
        <w:t xml:space="preserve"> silage. The lowest SGR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02.47)group</w:t>
      </w:r>
      <w:proofErr w:type="gramEnd"/>
      <w:r>
        <w:rPr>
          <w:rFonts w:ascii="Times New Roman" w:eastAsia="Times New Roman" w:hAnsi="Times New Roman" w:cs="Times New Roman"/>
          <w:color w:val="000000"/>
          <w:sz w:val="24"/>
          <w:szCs w:val="24"/>
        </w:rPr>
        <w:t>.</w:t>
      </w:r>
    </w:p>
    <w:p w14:paraId="01F1E82F"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34998C6" wp14:editId="4976CE8D">
            <wp:extent cx="3997960" cy="2298700"/>
            <wp:effectExtent l="19050" t="0" r="2159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650FC4" w14:textId="73E529F2"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 </w:t>
      </w:r>
      <w:r w:rsidR="000776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Specific growth rate of tilapia fry fed with different diets</w:t>
      </w:r>
    </w:p>
    <w:p w14:paraId="181AB0FE" w14:textId="7D73F089"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.6.</w:t>
      </w:r>
      <w:r w:rsidR="00B57EA8">
        <w:rPr>
          <w:rFonts w:ascii="Times New Roman" w:eastAsia="Times New Roman" w:hAnsi="Times New Roman" w:cs="Times New Roman"/>
          <w:b/>
          <w:color w:val="000000"/>
          <w:sz w:val="24"/>
          <w:szCs w:val="24"/>
        </w:rPr>
        <w:tab/>
        <w:t xml:space="preserve"> Survival (%)</w:t>
      </w:r>
    </w:p>
    <w:p w14:paraId="5304C222" w14:textId="77777777" w:rsidR="00B57EA8" w:rsidRDefault="00B57EA8" w:rsidP="000776E5">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feeding trial, the survivability (%) of tilapia advance fry in different treatment groups were found to be ranged in between 85 to 100%.</w:t>
      </w:r>
    </w:p>
    <w:p w14:paraId="78988597" w14:textId="26386DA5" w:rsidR="00B57EA8" w:rsidRDefault="000776E5" w:rsidP="00B57EA8">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ab/>
        <w:t xml:space="preserve"> Feed efficiency indices</w:t>
      </w:r>
    </w:p>
    <w:p w14:paraId="0E49D9A2" w14:textId="3A1291AE" w:rsidR="00B57EA8" w:rsidRDefault="000776E5" w:rsidP="00B57EA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.1.</w:t>
      </w:r>
      <w:r w:rsidR="00B57EA8">
        <w:rPr>
          <w:rFonts w:ascii="Times New Roman" w:eastAsia="Times New Roman" w:hAnsi="Times New Roman" w:cs="Times New Roman"/>
          <w:b/>
          <w:color w:val="000000"/>
          <w:sz w:val="24"/>
          <w:szCs w:val="24"/>
        </w:rPr>
        <w:tab/>
        <w:t xml:space="preserve"> Feed conversion ratio</w:t>
      </w:r>
      <w:r w:rsidR="00B57EA8">
        <w:rPr>
          <w:rFonts w:ascii="Times New Roman" w:eastAsia="Times New Roman" w:hAnsi="Times New Roman" w:cs="Times New Roman"/>
          <w:color w:val="000000"/>
          <w:sz w:val="24"/>
          <w:szCs w:val="24"/>
        </w:rPr>
        <w:t xml:space="preserve"> </w:t>
      </w:r>
    </w:p>
    <w:p w14:paraId="422EE55B" w14:textId="2CAF6FA9" w:rsidR="00B57EA8" w:rsidRDefault="00B57EA8" w:rsidP="000776E5">
      <w:pPr>
        <w:spacing w:line="384" w:lineRule="auto"/>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 xml:space="preserve">Effect of experimental diets on feed conversion ratio (FCR) of the different experimental groups after finishing the feeding trial is given in 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and Fig </w:t>
      </w:r>
      <w:r w:rsidR="000776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average values of FCR varied significantly (P&lt;0.05) among different experimental groups. A significantly (P&lt;0.05) better FCR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2.27 :</w:t>
      </w:r>
      <w:proofErr w:type="gramEnd"/>
      <w:r>
        <w:rPr>
          <w:rFonts w:ascii="Times New Roman" w:eastAsia="Times New Roman" w:hAnsi="Times New Roman" w:cs="Times New Roman"/>
          <w:sz w:val="24"/>
          <w:szCs w:val="24"/>
        </w:rPr>
        <w:t xml:space="preserve"> 1)</w:t>
      </w:r>
      <w:r>
        <w:rPr>
          <w:rFonts w:ascii="Times New Roman" w:eastAsia="Times New Roman" w:hAnsi="Times New Roman" w:cs="Times New Roman"/>
          <w:color w:val="000000"/>
          <w:sz w:val="24"/>
          <w:szCs w:val="24"/>
        </w:rPr>
        <w:t xml:space="preserve"> fed with the experimental diet, where 50% of GNOC protein was replaced with fish based silage,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(2.68: 1)</w:t>
      </w:r>
      <w:r>
        <w:rPr>
          <w:rFonts w:ascii="Times New Roman" w:eastAsia="Times New Roman" w:hAnsi="Times New Roman" w:cs="Times New Roman"/>
          <w:color w:val="000000"/>
          <w:sz w:val="24"/>
          <w:szCs w:val="24"/>
        </w:rPr>
        <w:t xml:space="preserve"> group fed with the </w:t>
      </w:r>
      <w:proofErr w:type="spellStart"/>
      <w:r>
        <w:rPr>
          <w:rFonts w:ascii="Times New Roman" w:eastAsia="Times New Roman" w:hAnsi="Times New Roman" w:cs="Times New Roman"/>
          <w:color w:val="000000"/>
          <w:sz w:val="24"/>
          <w:szCs w:val="24"/>
        </w:rPr>
        <w:t>conrol</w:t>
      </w:r>
      <w:proofErr w:type="spellEnd"/>
      <w:r>
        <w:rPr>
          <w:rFonts w:ascii="Times New Roman" w:eastAsia="Times New Roman" w:hAnsi="Times New Roman" w:cs="Times New Roman"/>
          <w:color w:val="000000"/>
          <w:sz w:val="24"/>
          <w:szCs w:val="24"/>
        </w:rPr>
        <w:t xml:space="preserve"> diet. Significantly (P&lt;0.05) highest </w:t>
      </w:r>
      <w:r>
        <w:rPr>
          <w:rFonts w:ascii="Times New Roman" w:eastAsia="Times New Roman" w:hAnsi="Times New Roman" w:cs="Times New Roman"/>
          <w:sz w:val="24"/>
          <w:szCs w:val="24"/>
        </w:rPr>
        <w:t>FCR (3.09: 1) was</w:t>
      </w:r>
      <w:r>
        <w:rPr>
          <w:rFonts w:ascii="Times New Roman" w:eastAsia="Times New Roman" w:hAnsi="Times New Roman" w:cs="Times New Roman"/>
          <w:color w:val="000000"/>
          <w:sz w:val="24"/>
          <w:szCs w:val="24"/>
        </w:rPr>
        <w:t xml:space="preserve"> observed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No significant (P&gt;0.05) difference in FCR value was found in between the group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and T</w:t>
      </w:r>
      <w:r>
        <w:rPr>
          <w:rFonts w:ascii="Times New Roman" w:eastAsia="Times New Roman" w:hAnsi="Times New Roman" w:cs="Times New Roman"/>
          <w:color w:val="000000"/>
          <w:sz w:val="24"/>
          <w:szCs w:val="24"/>
          <w:vertAlign w:val="subscript"/>
        </w:rPr>
        <w:t>1.</w:t>
      </w:r>
    </w:p>
    <w:p w14:paraId="1C21B52B" w14:textId="77777777" w:rsidR="00B57EA8" w:rsidRDefault="00B57EA8" w:rsidP="00B57EA8">
      <w:pP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noProof/>
          <w:color w:val="000000"/>
          <w:sz w:val="24"/>
          <w:szCs w:val="24"/>
          <w:vertAlign w:val="subscript"/>
        </w:rPr>
        <w:drawing>
          <wp:inline distT="0" distB="0" distL="0" distR="0" wp14:anchorId="6DDEE344" wp14:editId="1AC1A510">
            <wp:extent cx="4022271" cy="2117271"/>
            <wp:effectExtent l="19050" t="0" r="16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2FF5AE" w14:textId="70926F9C"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 </w:t>
      </w:r>
      <w:r w:rsidR="000776E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Feed conversion ratio of different experimental diets</w:t>
      </w:r>
    </w:p>
    <w:p w14:paraId="4EF103DA" w14:textId="186E4E24"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w:t>
      </w:r>
      <w:r w:rsidR="00B57EA8">
        <w:rPr>
          <w:rFonts w:ascii="Times New Roman" w:eastAsia="Times New Roman" w:hAnsi="Times New Roman" w:cs="Times New Roman"/>
          <w:b/>
          <w:color w:val="000000"/>
          <w:sz w:val="24"/>
          <w:szCs w:val="24"/>
        </w:rPr>
        <w:tab/>
        <w:t>Protein efficiency ratio</w:t>
      </w:r>
      <w:r w:rsidR="00B57EA8">
        <w:rPr>
          <w:rFonts w:ascii="Times New Roman" w:eastAsia="Times New Roman" w:hAnsi="Times New Roman" w:cs="Times New Roman"/>
          <w:color w:val="000000"/>
          <w:sz w:val="24"/>
          <w:szCs w:val="24"/>
        </w:rPr>
        <w:t xml:space="preserve"> </w:t>
      </w:r>
    </w:p>
    <w:p w14:paraId="218171F5" w14:textId="245905A6" w:rsidR="00B57EA8" w:rsidRPr="000776E5"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protein efficiency ratio (PER) values of different experimental groups has been given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Analysis of the data indicated significant difference (P&lt;0.05) among the experimental groups. Significantly (P&lt;0.05) highest PER value </w:t>
      </w:r>
      <w:r>
        <w:rPr>
          <w:rFonts w:ascii="Times New Roman" w:eastAsia="Times New Roman" w:hAnsi="Times New Roman" w:cs="Times New Roman"/>
          <w:sz w:val="24"/>
          <w:szCs w:val="24"/>
        </w:rPr>
        <w:t>(1.26)</w:t>
      </w:r>
      <w:r>
        <w:rPr>
          <w:rFonts w:ascii="Times New Roman" w:eastAsia="Times New Roman" w:hAnsi="Times New Roman" w:cs="Times New Roman"/>
          <w:color w:val="000000"/>
          <w:sz w:val="24"/>
          <w:szCs w:val="24"/>
        </w:rPr>
        <w:t xml:space="preserve">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(1.06)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(1.05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respectively. No significant difference (P&gt;0.05) was reported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experimental groups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(0.96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showed significantly lowest protein efficiency ratio. </w:t>
      </w:r>
      <w:r>
        <w:rPr>
          <w:rFonts w:ascii="Times New Roman" w:eastAsia="Times New Roman" w:hAnsi="Times New Roman" w:cs="Times New Roman"/>
          <w:i/>
          <w:sz w:val="24"/>
          <w:szCs w:val="24"/>
        </w:rPr>
        <w:t xml:space="preserve">                                                                                                                                                                                                                                                                       </w:t>
      </w:r>
    </w:p>
    <w:p w14:paraId="7DFD918D" w14:textId="05D10D47" w:rsidR="00B57EA8" w:rsidRDefault="00B57EA8" w:rsidP="00B57EA8">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Table </w:t>
      </w:r>
      <w:proofErr w:type="gramStart"/>
      <w:r w:rsidR="000776E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Growth performance and feed efficiency parameters</w:t>
      </w:r>
      <w:r>
        <w:rPr>
          <w:rFonts w:ascii="Times New Roman" w:eastAsia="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842"/>
        <w:gridCol w:w="1843"/>
        <w:gridCol w:w="1843"/>
      </w:tblGrid>
      <w:tr w:rsidR="00B57EA8" w14:paraId="5F0587BF" w14:textId="77777777" w:rsidTr="00B838D9">
        <w:trPr>
          <w:trHeight w:val="288"/>
        </w:trPr>
        <w:tc>
          <w:tcPr>
            <w:tcW w:w="1985" w:type="dxa"/>
            <w:shd w:val="clear" w:color="auto" w:fill="auto"/>
            <w:vAlign w:val="center"/>
          </w:tcPr>
          <w:p w14:paraId="03C5CE5B"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43" w:type="dxa"/>
            <w:shd w:val="clear" w:color="auto" w:fill="auto"/>
            <w:vAlign w:val="center"/>
          </w:tcPr>
          <w:p w14:paraId="568A1D8C"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T0</w:t>
            </w:r>
          </w:p>
        </w:tc>
        <w:tc>
          <w:tcPr>
            <w:tcW w:w="1842" w:type="dxa"/>
            <w:shd w:val="clear" w:color="auto" w:fill="auto"/>
            <w:vAlign w:val="center"/>
          </w:tcPr>
          <w:p w14:paraId="0B9C6F4F"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T1</w:t>
            </w:r>
          </w:p>
        </w:tc>
        <w:tc>
          <w:tcPr>
            <w:tcW w:w="1843" w:type="dxa"/>
            <w:shd w:val="clear" w:color="auto" w:fill="auto"/>
            <w:vAlign w:val="center"/>
          </w:tcPr>
          <w:p w14:paraId="0B66EF50"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T2</w:t>
            </w:r>
          </w:p>
        </w:tc>
        <w:tc>
          <w:tcPr>
            <w:tcW w:w="1843" w:type="dxa"/>
            <w:shd w:val="clear" w:color="auto" w:fill="auto"/>
            <w:vAlign w:val="center"/>
          </w:tcPr>
          <w:p w14:paraId="06F779BA" w14:textId="77777777" w:rsidR="00B57EA8" w:rsidRDefault="00B57EA8" w:rsidP="00B838D9">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T3</w:t>
            </w:r>
          </w:p>
        </w:tc>
      </w:tr>
      <w:tr w:rsidR="00B57EA8" w14:paraId="471C6114" w14:textId="77777777" w:rsidTr="00B838D9">
        <w:trPr>
          <w:trHeight w:val="288"/>
        </w:trPr>
        <w:tc>
          <w:tcPr>
            <w:tcW w:w="1985" w:type="dxa"/>
            <w:shd w:val="clear" w:color="auto" w:fill="auto"/>
            <w:vAlign w:val="center"/>
          </w:tcPr>
          <w:p w14:paraId="7235868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weight (g)</w:t>
            </w:r>
          </w:p>
        </w:tc>
        <w:tc>
          <w:tcPr>
            <w:tcW w:w="1843" w:type="dxa"/>
            <w:shd w:val="clear" w:color="auto" w:fill="auto"/>
            <w:vAlign w:val="center"/>
          </w:tcPr>
          <w:p w14:paraId="0A7792B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 ± 0.273</w:t>
            </w:r>
          </w:p>
        </w:tc>
        <w:tc>
          <w:tcPr>
            <w:tcW w:w="1842" w:type="dxa"/>
            <w:shd w:val="clear" w:color="auto" w:fill="auto"/>
            <w:vAlign w:val="center"/>
          </w:tcPr>
          <w:p w14:paraId="2845031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 ± 0.257</w:t>
            </w:r>
          </w:p>
        </w:tc>
        <w:tc>
          <w:tcPr>
            <w:tcW w:w="1843" w:type="dxa"/>
            <w:shd w:val="clear" w:color="auto" w:fill="auto"/>
            <w:vAlign w:val="center"/>
          </w:tcPr>
          <w:p w14:paraId="7A94B6E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 0.214</w:t>
            </w:r>
          </w:p>
        </w:tc>
        <w:tc>
          <w:tcPr>
            <w:tcW w:w="1843" w:type="dxa"/>
            <w:shd w:val="clear" w:color="auto" w:fill="auto"/>
            <w:vAlign w:val="center"/>
          </w:tcPr>
          <w:p w14:paraId="3639166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1.160 ± 0.199</w:t>
            </w:r>
          </w:p>
        </w:tc>
      </w:tr>
      <w:tr w:rsidR="00B57EA8" w14:paraId="0BDCC334" w14:textId="77777777" w:rsidTr="00B838D9">
        <w:trPr>
          <w:trHeight w:val="288"/>
        </w:trPr>
        <w:tc>
          <w:tcPr>
            <w:tcW w:w="1985" w:type="dxa"/>
            <w:shd w:val="clear" w:color="auto" w:fill="auto"/>
            <w:vAlign w:val="center"/>
          </w:tcPr>
          <w:p w14:paraId="26C50DF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weight (g)</w:t>
            </w:r>
          </w:p>
        </w:tc>
        <w:tc>
          <w:tcPr>
            <w:tcW w:w="1843" w:type="dxa"/>
            <w:shd w:val="clear" w:color="auto" w:fill="auto"/>
            <w:vAlign w:val="center"/>
          </w:tcPr>
          <w:p w14:paraId="70B4899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5.566 ± 1.570</w:t>
            </w:r>
          </w:p>
        </w:tc>
        <w:tc>
          <w:tcPr>
            <w:tcW w:w="1842" w:type="dxa"/>
            <w:shd w:val="clear" w:color="auto" w:fill="auto"/>
            <w:vAlign w:val="center"/>
          </w:tcPr>
          <w:p w14:paraId="590EC0F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 ± 1.451</w:t>
            </w:r>
          </w:p>
        </w:tc>
        <w:tc>
          <w:tcPr>
            <w:tcW w:w="1843" w:type="dxa"/>
            <w:shd w:val="clear" w:color="auto" w:fill="auto"/>
            <w:vAlign w:val="center"/>
          </w:tcPr>
          <w:p w14:paraId="260E9C07"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5.101 ± 1.260</w:t>
            </w:r>
          </w:p>
        </w:tc>
        <w:tc>
          <w:tcPr>
            <w:tcW w:w="1843" w:type="dxa"/>
            <w:shd w:val="clear" w:color="auto" w:fill="auto"/>
            <w:vAlign w:val="center"/>
          </w:tcPr>
          <w:p w14:paraId="1984848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6.661 ± 1.602</w:t>
            </w:r>
          </w:p>
        </w:tc>
      </w:tr>
      <w:tr w:rsidR="00B57EA8" w14:paraId="7FA876AB" w14:textId="77777777" w:rsidTr="00B838D9">
        <w:trPr>
          <w:trHeight w:val="288"/>
        </w:trPr>
        <w:tc>
          <w:tcPr>
            <w:tcW w:w="1985" w:type="dxa"/>
            <w:shd w:val="clear" w:color="auto" w:fill="auto"/>
            <w:vAlign w:val="center"/>
          </w:tcPr>
          <w:p w14:paraId="2F39500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gain (g)</w:t>
            </w:r>
          </w:p>
        </w:tc>
        <w:tc>
          <w:tcPr>
            <w:tcW w:w="1843" w:type="dxa"/>
            <w:shd w:val="clear" w:color="auto" w:fill="auto"/>
            <w:vAlign w:val="center"/>
          </w:tcPr>
          <w:p w14:paraId="44C0B20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1.223</w:t>
            </w:r>
          </w:p>
        </w:tc>
        <w:tc>
          <w:tcPr>
            <w:tcW w:w="1842" w:type="dxa"/>
            <w:shd w:val="clear" w:color="auto" w:fill="auto"/>
            <w:vAlign w:val="center"/>
          </w:tcPr>
          <w:p w14:paraId="2F799B7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1.198</w:t>
            </w:r>
          </w:p>
        </w:tc>
        <w:tc>
          <w:tcPr>
            <w:tcW w:w="1843" w:type="dxa"/>
            <w:shd w:val="clear" w:color="auto" w:fill="auto"/>
            <w:vAlign w:val="center"/>
          </w:tcPr>
          <w:p w14:paraId="674D180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1.046</w:t>
            </w:r>
          </w:p>
        </w:tc>
        <w:tc>
          <w:tcPr>
            <w:tcW w:w="1843" w:type="dxa"/>
            <w:shd w:val="clear" w:color="auto" w:fill="auto"/>
            <w:vAlign w:val="center"/>
          </w:tcPr>
          <w:p w14:paraId="13A0173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1.401</w:t>
            </w:r>
          </w:p>
        </w:tc>
      </w:tr>
      <w:tr w:rsidR="00B57EA8" w14:paraId="1D3AF55B" w14:textId="77777777" w:rsidTr="00B838D9">
        <w:trPr>
          <w:trHeight w:val="288"/>
        </w:trPr>
        <w:tc>
          <w:tcPr>
            <w:tcW w:w="1985" w:type="dxa"/>
            <w:shd w:val="clear" w:color="auto" w:fill="auto"/>
            <w:vAlign w:val="center"/>
          </w:tcPr>
          <w:p w14:paraId="7CDD7375" w14:textId="77777777" w:rsidR="00B57EA8" w:rsidRDefault="00B57EA8" w:rsidP="00B838D9">
            <w:pPr>
              <w:spacing w:after="0" w:line="48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Weight gain (%)</w:t>
            </w:r>
          </w:p>
        </w:tc>
        <w:tc>
          <w:tcPr>
            <w:tcW w:w="1843" w:type="dxa"/>
            <w:shd w:val="clear" w:color="auto" w:fill="auto"/>
            <w:vAlign w:val="center"/>
          </w:tcPr>
          <w:p w14:paraId="56A33AB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9.17</w:t>
            </w:r>
          </w:p>
        </w:tc>
        <w:tc>
          <w:tcPr>
            <w:tcW w:w="1842" w:type="dxa"/>
            <w:shd w:val="clear" w:color="auto" w:fill="auto"/>
            <w:vAlign w:val="center"/>
          </w:tcPr>
          <w:p w14:paraId="4F10C8B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20.6</w:t>
            </w:r>
          </w:p>
        </w:tc>
        <w:tc>
          <w:tcPr>
            <w:tcW w:w="1843" w:type="dxa"/>
            <w:shd w:val="clear" w:color="auto" w:fill="auto"/>
            <w:vAlign w:val="center"/>
          </w:tcPr>
          <w:p w14:paraId="51F0D179"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339.4</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5.45</w:t>
            </w:r>
          </w:p>
        </w:tc>
        <w:tc>
          <w:tcPr>
            <w:tcW w:w="1843" w:type="dxa"/>
            <w:shd w:val="clear" w:color="auto" w:fill="auto"/>
            <w:vAlign w:val="center"/>
          </w:tcPr>
          <w:p w14:paraId="1EA0E341"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474.2</w:t>
            </w:r>
            <w:proofErr w:type="gramStart"/>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24.6</w:t>
            </w:r>
          </w:p>
        </w:tc>
      </w:tr>
      <w:tr w:rsidR="00B57EA8" w14:paraId="6B0ADE4F" w14:textId="77777777" w:rsidTr="00B838D9">
        <w:trPr>
          <w:trHeight w:val="288"/>
        </w:trPr>
        <w:tc>
          <w:tcPr>
            <w:tcW w:w="1985" w:type="dxa"/>
            <w:shd w:val="clear" w:color="auto" w:fill="auto"/>
            <w:vAlign w:val="center"/>
          </w:tcPr>
          <w:p w14:paraId="79E3552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w:t>
            </w:r>
          </w:p>
        </w:tc>
        <w:tc>
          <w:tcPr>
            <w:tcW w:w="1843" w:type="dxa"/>
            <w:shd w:val="clear" w:color="auto" w:fill="auto"/>
            <w:vAlign w:val="center"/>
          </w:tcPr>
          <w:p w14:paraId="2145F89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c>
          <w:tcPr>
            <w:tcW w:w="1842" w:type="dxa"/>
            <w:shd w:val="clear" w:color="auto" w:fill="auto"/>
            <w:vAlign w:val="center"/>
          </w:tcPr>
          <w:p w14:paraId="145E3018"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0.071</w:t>
            </w:r>
          </w:p>
        </w:tc>
        <w:tc>
          <w:tcPr>
            <w:tcW w:w="1843" w:type="dxa"/>
            <w:shd w:val="clear" w:color="auto" w:fill="auto"/>
            <w:vAlign w:val="center"/>
          </w:tcPr>
          <w:p w14:paraId="7C67B28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0.066</w:t>
            </w:r>
          </w:p>
        </w:tc>
        <w:tc>
          <w:tcPr>
            <w:tcW w:w="1843" w:type="dxa"/>
            <w:shd w:val="clear" w:color="auto" w:fill="auto"/>
            <w:vAlign w:val="center"/>
          </w:tcPr>
          <w:p w14:paraId="3138CC8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0.092</w:t>
            </w:r>
          </w:p>
        </w:tc>
      </w:tr>
      <w:tr w:rsidR="00B57EA8" w14:paraId="61B9441A" w14:textId="77777777" w:rsidTr="00B838D9">
        <w:trPr>
          <w:trHeight w:val="288"/>
        </w:trPr>
        <w:tc>
          <w:tcPr>
            <w:tcW w:w="1985" w:type="dxa"/>
            <w:shd w:val="clear" w:color="auto" w:fill="auto"/>
            <w:vAlign w:val="center"/>
          </w:tcPr>
          <w:p w14:paraId="1AFF6E4B"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SGR (%) *</w:t>
            </w:r>
          </w:p>
        </w:tc>
        <w:tc>
          <w:tcPr>
            <w:tcW w:w="1843" w:type="dxa"/>
            <w:shd w:val="clear" w:color="auto" w:fill="auto"/>
            <w:vAlign w:val="center"/>
          </w:tcPr>
          <w:p w14:paraId="5436F4C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0.02</w:t>
            </w:r>
          </w:p>
        </w:tc>
        <w:tc>
          <w:tcPr>
            <w:tcW w:w="1842" w:type="dxa"/>
            <w:shd w:val="clear" w:color="auto" w:fill="auto"/>
            <w:vAlign w:val="center"/>
          </w:tcPr>
          <w:p w14:paraId="5B5A809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0.06</w:t>
            </w:r>
          </w:p>
        </w:tc>
        <w:tc>
          <w:tcPr>
            <w:tcW w:w="1843" w:type="dxa"/>
            <w:shd w:val="clear" w:color="auto" w:fill="auto"/>
            <w:vAlign w:val="center"/>
          </w:tcPr>
          <w:p w14:paraId="3A030C9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0.01</w:t>
            </w:r>
          </w:p>
        </w:tc>
        <w:tc>
          <w:tcPr>
            <w:tcW w:w="1843" w:type="dxa"/>
            <w:shd w:val="clear" w:color="auto" w:fill="auto"/>
            <w:vAlign w:val="center"/>
          </w:tcPr>
          <w:p w14:paraId="22062B56"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0.06</w:t>
            </w:r>
          </w:p>
        </w:tc>
      </w:tr>
      <w:tr w:rsidR="00B57EA8" w14:paraId="0AB6E4E0" w14:textId="77777777" w:rsidTr="00B838D9">
        <w:trPr>
          <w:trHeight w:val="288"/>
        </w:trPr>
        <w:tc>
          <w:tcPr>
            <w:tcW w:w="1985" w:type="dxa"/>
            <w:shd w:val="clear" w:color="auto" w:fill="auto"/>
            <w:vAlign w:val="center"/>
          </w:tcPr>
          <w:p w14:paraId="1B768CB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feed fed (g)</w:t>
            </w:r>
          </w:p>
        </w:tc>
        <w:tc>
          <w:tcPr>
            <w:tcW w:w="1843" w:type="dxa"/>
            <w:shd w:val="clear" w:color="auto" w:fill="auto"/>
            <w:vAlign w:val="center"/>
          </w:tcPr>
          <w:p w14:paraId="2DFFFD5A"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 ± 0.13</w:t>
            </w:r>
          </w:p>
        </w:tc>
        <w:tc>
          <w:tcPr>
            <w:tcW w:w="1842" w:type="dxa"/>
            <w:shd w:val="clear" w:color="auto" w:fill="auto"/>
            <w:vAlign w:val="center"/>
          </w:tcPr>
          <w:p w14:paraId="50A72F20"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11.94 ± 0.13</w:t>
            </w:r>
          </w:p>
        </w:tc>
        <w:tc>
          <w:tcPr>
            <w:tcW w:w="1843" w:type="dxa"/>
            <w:shd w:val="clear" w:color="auto" w:fill="auto"/>
            <w:vAlign w:val="center"/>
          </w:tcPr>
          <w:p w14:paraId="38C7B8C4"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 ± 0.15</w:t>
            </w:r>
          </w:p>
        </w:tc>
        <w:tc>
          <w:tcPr>
            <w:tcW w:w="1843" w:type="dxa"/>
            <w:shd w:val="clear" w:color="auto" w:fill="auto"/>
            <w:vAlign w:val="center"/>
          </w:tcPr>
          <w:p w14:paraId="6107FE6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 0.13</w:t>
            </w:r>
          </w:p>
        </w:tc>
      </w:tr>
      <w:tr w:rsidR="00B57EA8" w14:paraId="131CC675" w14:textId="77777777" w:rsidTr="00B838D9">
        <w:trPr>
          <w:trHeight w:val="288"/>
        </w:trPr>
        <w:tc>
          <w:tcPr>
            <w:tcW w:w="1985" w:type="dxa"/>
            <w:shd w:val="clear" w:color="auto" w:fill="auto"/>
            <w:vAlign w:val="center"/>
          </w:tcPr>
          <w:p w14:paraId="25770EB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FCR *</w:t>
            </w:r>
          </w:p>
        </w:tc>
        <w:tc>
          <w:tcPr>
            <w:tcW w:w="1843" w:type="dxa"/>
            <w:shd w:val="clear" w:color="auto" w:fill="auto"/>
            <w:vAlign w:val="center"/>
          </w:tcPr>
          <w:p w14:paraId="637D265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0.10</w:t>
            </w:r>
          </w:p>
        </w:tc>
        <w:tc>
          <w:tcPr>
            <w:tcW w:w="1842" w:type="dxa"/>
            <w:shd w:val="clear" w:color="auto" w:fill="auto"/>
            <w:vAlign w:val="center"/>
          </w:tcPr>
          <w:p w14:paraId="53342AC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0.29</w:t>
            </w:r>
          </w:p>
        </w:tc>
        <w:tc>
          <w:tcPr>
            <w:tcW w:w="1843" w:type="dxa"/>
            <w:shd w:val="clear" w:color="auto" w:fill="auto"/>
            <w:vAlign w:val="center"/>
          </w:tcPr>
          <w:p w14:paraId="135ABC7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1AFDBBDD"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0.23</w:t>
            </w:r>
          </w:p>
        </w:tc>
      </w:tr>
      <w:tr w:rsidR="00B57EA8" w14:paraId="79B85706" w14:textId="77777777" w:rsidTr="00B838D9">
        <w:trPr>
          <w:trHeight w:val="288"/>
        </w:trPr>
        <w:tc>
          <w:tcPr>
            <w:tcW w:w="1985" w:type="dxa"/>
            <w:shd w:val="clear" w:color="auto" w:fill="auto"/>
            <w:vAlign w:val="center"/>
          </w:tcPr>
          <w:p w14:paraId="51F640A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fed (g)</w:t>
            </w:r>
          </w:p>
        </w:tc>
        <w:tc>
          <w:tcPr>
            <w:tcW w:w="1843" w:type="dxa"/>
            <w:shd w:val="clear" w:color="auto" w:fill="auto"/>
            <w:vAlign w:val="center"/>
          </w:tcPr>
          <w:p w14:paraId="6F1C4CAB"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 ± 0.05</w:t>
            </w:r>
          </w:p>
        </w:tc>
        <w:tc>
          <w:tcPr>
            <w:tcW w:w="1842" w:type="dxa"/>
            <w:shd w:val="clear" w:color="auto" w:fill="auto"/>
            <w:vAlign w:val="center"/>
          </w:tcPr>
          <w:p w14:paraId="2BB626D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 ± 0.04</w:t>
            </w:r>
          </w:p>
        </w:tc>
        <w:tc>
          <w:tcPr>
            <w:tcW w:w="1843" w:type="dxa"/>
            <w:shd w:val="clear" w:color="auto" w:fill="auto"/>
            <w:vAlign w:val="center"/>
          </w:tcPr>
          <w:p w14:paraId="05FC12F2"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 0.05</w:t>
            </w:r>
          </w:p>
        </w:tc>
        <w:tc>
          <w:tcPr>
            <w:tcW w:w="1843" w:type="dxa"/>
            <w:shd w:val="clear" w:color="auto" w:fill="auto"/>
            <w:vAlign w:val="center"/>
          </w:tcPr>
          <w:p w14:paraId="326F7A6C"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 ± 0.04</w:t>
            </w:r>
          </w:p>
        </w:tc>
      </w:tr>
      <w:tr w:rsidR="00B57EA8" w14:paraId="5751E04C" w14:textId="77777777" w:rsidTr="00B838D9">
        <w:trPr>
          <w:trHeight w:val="288"/>
        </w:trPr>
        <w:tc>
          <w:tcPr>
            <w:tcW w:w="1985" w:type="dxa"/>
            <w:shd w:val="clear" w:color="auto" w:fill="auto"/>
            <w:vAlign w:val="center"/>
          </w:tcPr>
          <w:p w14:paraId="2FEF808F"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w:t>
            </w:r>
          </w:p>
        </w:tc>
        <w:tc>
          <w:tcPr>
            <w:tcW w:w="1843" w:type="dxa"/>
            <w:shd w:val="clear" w:color="auto" w:fill="auto"/>
            <w:vAlign w:val="center"/>
          </w:tcPr>
          <w:p w14:paraId="1223BFB3"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0.07</w:t>
            </w:r>
          </w:p>
        </w:tc>
        <w:tc>
          <w:tcPr>
            <w:tcW w:w="1842" w:type="dxa"/>
            <w:shd w:val="clear" w:color="auto" w:fill="auto"/>
            <w:vAlign w:val="center"/>
          </w:tcPr>
          <w:p w14:paraId="007DF007"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7A6DE048"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64421CA5" w14:textId="77777777" w:rsidR="00B57EA8" w:rsidRDefault="00B57EA8" w:rsidP="00B838D9">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0.09</w:t>
            </w:r>
          </w:p>
        </w:tc>
      </w:tr>
    </w:tbl>
    <w:p w14:paraId="7B16B533" w14:textId="77777777" w:rsidR="00B57EA8" w:rsidRDefault="00B57EA8" w:rsidP="00B57EA8">
      <w:pPr>
        <w:shd w:val="clear" w:color="auto" w:fill="FFFFFF"/>
        <w:rPr>
          <w:rFonts w:ascii="Times New Roman" w:eastAsia="Times New Roman" w:hAnsi="Times New Roman" w:cs="Times New Roman"/>
          <w:sz w:val="28"/>
          <w:szCs w:val="28"/>
        </w:rPr>
      </w:pPr>
    </w:p>
    <w:p w14:paraId="31324D7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SGR*- Specific growth </w:t>
      </w:r>
      <w:proofErr w:type="gramStart"/>
      <w:r>
        <w:rPr>
          <w:rFonts w:ascii="Times New Roman" w:eastAsia="Times New Roman" w:hAnsi="Times New Roman" w:cs="Times New Roman"/>
          <w:sz w:val="24"/>
          <w:szCs w:val="24"/>
        </w:rPr>
        <w:t>rate;  FCR</w:t>
      </w:r>
      <w:proofErr w:type="gramEnd"/>
      <w:r>
        <w:rPr>
          <w:rFonts w:ascii="Times New Roman" w:eastAsia="Times New Roman" w:hAnsi="Times New Roman" w:cs="Times New Roman"/>
          <w:sz w:val="24"/>
          <w:szCs w:val="24"/>
        </w:rPr>
        <w:t>*- Feed conversion ratio; PER*- Protein efficiency ratio</w:t>
      </w:r>
    </w:p>
    <w:p w14:paraId="71D2329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Mean values </w:t>
      </w:r>
      <w:proofErr w:type="gramStart"/>
      <w:r>
        <w:rPr>
          <w:rFonts w:ascii="Times New Roman" w:eastAsia="Times New Roman" w:hAnsi="Times New Roman" w:cs="Times New Roman"/>
          <w:sz w:val="24"/>
          <w:szCs w:val="24"/>
        </w:rPr>
        <w:t>sharing  a</w:t>
      </w:r>
      <w:proofErr w:type="gramEnd"/>
      <w:r>
        <w:rPr>
          <w:rFonts w:ascii="Times New Roman" w:eastAsia="Times New Roman" w:hAnsi="Times New Roman" w:cs="Times New Roman"/>
          <w:sz w:val="24"/>
          <w:szCs w:val="24"/>
        </w:rPr>
        <w:t xml:space="preserve"> common superscript did not differ significantly (P&gt;0.05)</w:t>
      </w:r>
    </w:p>
    <w:p w14:paraId="2B1C2D3B" w14:textId="77777777" w:rsidR="00B57EA8" w:rsidRDefault="00B57EA8"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99DB9CE"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3DB03472"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E50FDDC" w14:textId="1F6BC9F0" w:rsidR="00B57EA8" w:rsidRPr="000776E5" w:rsidRDefault="00B57EA8" w:rsidP="000776E5">
      <w:pPr>
        <w:pStyle w:val="ListParagraph"/>
        <w:numPr>
          <w:ilvl w:val="0"/>
          <w:numId w:val="2"/>
        </w:numPr>
        <w:pBdr>
          <w:top w:val="nil"/>
          <w:left w:val="nil"/>
          <w:bottom w:val="nil"/>
          <w:right w:val="nil"/>
          <w:between w:val="nil"/>
        </w:pBdr>
        <w:tabs>
          <w:tab w:val="left" w:pos="3060"/>
        </w:tabs>
        <w:spacing w:after="200" w:line="360" w:lineRule="auto"/>
        <w:jc w:val="center"/>
        <w:rPr>
          <w:rFonts w:ascii="Times" w:eastAsia="Times" w:hAnsi="Times" w:cs="Times"/>
          <w:b/>
          <w:color w:val="000000"/>
          <w:sz w:val="24"/>
          <w:szCs w:val="24"/>
        </w:rPr>
      </w:pPr>
      <w:r w:rsidRPr="000776E5">
        <w:rPr>
          <w:rFonts w:ascii="Times" w:eastAsia="Times" w:hAnsi="Times" w:cs="Times"/>
          <w:b/>
          <w:color w:val="000000"/>
          <w:sz w:val="24"/>
          <w:szCs w:val="24"/>
        </w:rPr>
        <w:lastRenderedPageBreak/>
        <w:t>DISCUSSION</w:t>
      </w:r>
    </w:p>
    <w:p w14:paraId="5F6C8114" w14:textId="64D52C7E" w:rsidR="00B57EA8" w:rsidRDefault="00B57EA8" w:rsidP="00B57EA8">
      <w:pPr>
        <w:tabs>
          <w:tab w:val="left" w:pos="3060"/>
        </w:tabs>
        <w:spacing w:before="288" w:after="288"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Feeding fish accounts for the highest cost in intensive and semi-intensive fish culture operation contributing to about 50-70% of the total recurring cost (Dayal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Increasing cost of the conventional feed ingredients, like fish meal and groundnut oil cake (GNOC), therefore remains the greatest challenge for the feed industry to produce cost effective diet. Because of its better nutrient and feed processing characteristics, GNOC is in great demand and hence the price is also escalating at a faster pace (Omoregie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2014). Therefore, to make affordable and cost-effective diets, suitable alternative protein source to replace the GNOC, at least partially, is the demand of time. In this context, three non-conventional sources of protein such as sunflower oil cake (SFOC), linseed oil cake (LSOC) and fish dressing based silage have been used in this study by replacing 50% GNOC to develop cost effective diet for GIFT tilapia advance fry. </w:t>
      </w:r>
    </w:p>
    <w:p w14:paraId="6BC10442" w14:textId="449096D3" w:rsidR="00B57EA8" w:rsidRDefault="00D8716E" w:rsidP="00B57E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B57E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57EA8">
        <w:rPr>
          <w:rFonts w:ascii="Times New Roman" w:eastAsia="Times New Roman" w:hAnsi="Times New Roman" w:cs="Times New Roman"/>
          <w:b/>
          <w:sz w:val="24"/>
          <w:szCs w:val="24"/>
        </w:rPr>
        <w:t xml:space="preserve">   Feeding trial experiment </w:t>
      </w:r>
    </w:p>
    <w:p w14:paraId="66CD47B1" w14:textId="104A293F"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 xml:space="preserve">.2.1. </w:t>
      </w:r>
      <w:proofErr w:type="spellStart"/>
      <w:r w:rsidR="00B57EA8">
        <w:rPr>
          <w:rFonts w:ascii="Times New Roman" w:eastAsia="Times New Roman" w:hAnsi="Times New Roman" w:cs="Times New Roman"/>
          <w:b/>
          <w:color w:val="000000"/>
          <w:sz w:val="24"/>
          <w:szCs w:val="24"/>
        </w:rPr>
        <w:t>Physico</w:t>
      </w:r>
      <w:proofErr w:type="spellEnd"/>
      <w:r w:rsidR="00B57EA8">
        <w:rPr>
          <w:rFonts w:ascii="Times New Roman" w:eastAsia="Times New Roman" w:hAnsi="Times New Roman" w:cs="Times New Roman"/>
          <w:b/>
          <w:color w:val="000000"/>
          <w:sz w:val="24"/>
          <w:szCs w:val="24"/>
        </w:rPr>
        <w:t>-Chemical Parameters of water</w:t>
      </w:r>
    </w:p>
    <w:p w14:paraId="6C444AE8" w14:textId="5B98967E"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various water quality parameter such as 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pH, dissolved oxygen (mg/l), total alkalinity (mg/l), hardness (mg/l) of different experimental tanks ranged from 23.3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28.9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7.4 to 8.6, 5.3 to 8.4 mg/l, 120 to 143 mg/l and 124 to 145 mg /l, respectively during the 90 days of feeding trial </w:t>
      </w:r>
      <w:r>
        <w:rPr>
          <w:rFonts w:ascii="Times New Roman" w:eastAsia="Times New Roman" w:hAnsi="Times New Roman" w:cs="Times New Roman"/>
          <w:sz w:val="24"/>
          <w:szCs w:val="24"/>
        </w:rPr>
        <w:t xml:space="preserve">(Table </w:t>
      </w:r>
      <w:r w:rsidR="00D8716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The observations indicated that the parameters of all the experimental tanks were well within the ideal range, providing a suitable environment for growth of a warm water fish (Saha and Ray, 2011; Ayyappan, 2011; Choudhary, 2002) and hence, not considered as a factor to affect the result of the experiment.</w:t>
      </w:r>
    </w:p>
    <w:p w14:paraId="12FA9EEB" w14:textId="28BF3946"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.2.2. Proximate composition of experimental diets</w:t>
      </w:r>
    </w:p>
    <w:p w14:paraId="33AF61EE" w14:textId="076719F5"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feeding of GIFT tilapia fry, four isonitrogenous and isocaloric diets were prepared using the various conventional and non-conventional feed ingredients. After formulation (Table </w:t>
      </w:r>
      <w:r w:rsidR="00D8716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of experimental diets proximate composition of these were found to be containing 34.31 ± 0.11% to 34.75 ± 0.10% CP, 7.11 ± 0.28% to 8.13 ± 0.36% EE, 6.05 ± 0.23% to 7.59 ± 0.21%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33.44 ± 0.58% to 41.34 ± 0.77% total carbohydrate, 11.73 ± 0.45 % to 15.50 ± 0.22% ash and 363.17 ± 0.92 to 389.49 ± 174 Kcal/100g digestible energy (Table-</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&amp; </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(A)). Yaw (2014) has reported that maximum growth of tilapia fry under laboratory condition occurred at dietary protein content about 38%, but economically 35% of dietary protein content had been </w:t>
      </w:r>
      <w:r>
        <w:rPr>
          <w:rFonts w:ascii="Times New Roman" w:eastAsia="Times New Roman" w:hAnsi="Times New Roman" w:cs="Times New Roman"/>
          <w:color w:val="000000"/>
          <w:sz w:val="24"/>
          <w:szCs w:val="24"/>
        </w:rPr>
        <w:lastRenderedPageBreak/>
        <w:t xml:space="preserve">reported as optimum for growth of tilapia (FAO, 2017). Mishra and </w:t>
      </w:r>
      <w:proofErr w:type="spellStart"/>
      <w:r>
        <w:rPr>
          <w:rFonts w:ascii="Times New Roman" w:eastAsia="Times New Roman" w:hAnsi="Times New Roman" w:cs="Times New Roman"/>
          <w:color w:val="000000"/>
          <w:sz w:val="24"/>
          <w:szCs w:val="24"/>
        </w:rPr>
        <w:t>Samantaray</w:t>
      </w:r>
      <w:proofErr w:type="spellEnd"/>
      <w:r>
        <w:rPr>
          <w:rFonts w:ascii="Times New Roman" w:eastAsia="Times New Roman" w:hAnsi="Times New Roman" w:cs="Times New Roman"/>
          <w:color w:val="000000"/>
          <w:sz w:val="24"/>
          <w:szCs w:val="24"/>
        </w:rPr>
        <w:t xml:space="preserve"> (2004) suggested that lipid requirement of fish is temperature dependent. The lipid requirement for tilapia fry at 21˚C was 6%, </w:t>
      </w:r>
      <w:proofErr w:type="spellStart"/>
      <w:r>
        <w:rPr>
          <w:rFonts w:ascii="Times New Roman" w:eastAsia="Times New Roman" w:hAnsi="Times New Roman" w:cs="Times New Roman"/>
          <w:color w:val="000000"/>
          <w:sz w:val="24"/>
          <w:szCs w:val="24"/>
        </w:rPr>
        <w:t>where as</w:t>
      </w:r>
      <w:proofErr w:type="spellEnd"/>
      <w:r>
        <w:rPr>
          <w:rFonts w:ascii="Times New Roman" w:eastAsia="Times New Roman" w:hAnsi="Times New Roman" w:cs="Times New Roman"/>
          <w:color w:val="000000"/>
          <w:sz w:val="24"/>
          <w:szCs w:val="24"/>
        </w:rPr>
        <w:t xml:space="preserve"> this requirement increases to 9% at 31˚C. Hence the experimental diets prepared in the present study can fulfil the lipid requirement of GIFT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when the temperature of tank water ranged between 21.6</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26.9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(Table </w:t>
      </w:r>
      <w:r w:rsidR="00407D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6A4CC904" w14:textId="6C2D5B6B" w:rsidR="00B57EA8" w:rsidRDefault="005D1161"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.2.3 Growth performance of experimental animals</w:t>
      </w:r>
    </w:p>
    <w:p w14:paraId="1EC88B54" w14:textId="519EF619" w:rsidR="00B57EA8" w:rsidRDefault="00B57EA8" w:rsidP="005D1161">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growth performance of the Tilapia advance fry segregated into four treatments and fed with four different experimental diets differed significantly (p&lt;0.05) after ninety days of feeding trials (Table-</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growth performance comprising of parameters like weight gain, percentage weight gain and specific growth rate was significantly (P&lt;0.05) highest in the experimental group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(fed with the diet, where 50% of the GNOC protein was replaced by </w:t>
      </w:r>
      <w:proofErr w:type="gramStart"/>
      <w:r>
        <w:rPr>
          <w:rFonts w:ascii="Times New Roman" w:eastAsia="Times New Roman" w:hAnsi="Times New Roman" w:cs="Times New Roman"/>
          <w:color w:val="000000"/>
          <w:sz w:val="24"/>
          <w:szCs w:val="24"/>
        </w:rPr>
        <w:t>fish based</w:t>
      </w:r>
      <w:proofErr w:type="gramEnd"/>
      <w:r>
        <w:rPr>
          <w:rFonts w:ascii="Times New Roman" w:eastAsia="Times New Roman" w:hAnsi="Times New Roman" w:cs="Times New Roman"/>
          <w:color w:val="000000"/>
          <w:sz w:val="24"/>
          <w:szCs w:val="24"/>
        </w:rPr>
        <w:t xml:space="preserve"> silage, followed by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(fed with the diet, where 50% of the GNOC protein was replaced with SFOC). This was followed by the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control group and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group (fed with diet where 50% of the GNOC protein was replaced with LSOC) (Table- </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Better weight gain was reported in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with raw Sunflower meal than the diet containing soybean meal due to absence of some growth inhibitors in Sunflower meal (Khan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 Significantly (P&lt;0.05) better weigh gain and SGR has also been reported by </w:t>
      </w:r>
      <w:proofErr w:type="spellStart"/>
      <w:r>
        <w:rPr>
          <w:rFonts w:ascii="Times New Roman" w:eastAsia="Times New Roman" w:hAnsi="Times New Roman" w:cs="Times New Roman"/>
          <w:color w:val="000000"/>
          <w:sz w:val="24"/>
          <w:szCs w:val="24"/>
        </w:rPr>
        <w:t>Mahanty</w:t>
      </w:r>
      <w:proofErr w:type="spellEnd"/>
      <w:r>
        <w:rPr>
          <w:rFonts w:ascii="Times New Roman" w:eastAsia="Times New Roman" w:hAnsi="Times New Roman" w:cs="Times New Roman"/>
          <w:color w:val="000000"/>
          <w:sz w:val="24"/>
          <w:szCs w:val="24"/>
        </w:rPr>
        <w:t xml:space="preserve"> (2021) when GNOC was partially replaced by raw SFOC. Rehman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 have reported that </w:t>
      </w:r>
      <w:proofErr w:type="gramStart"/>
      <w:r>
        <w:rPr>
          <w:rFonts w:ascii="Times New Roman" w:eastAsia="Times New Roman" w:hAnsi="Times New Roman" w:cs="Times New Roman"/>
          <w:color w:val="000000"/>
          <w:sz w:val="24"/>
          <w:szCs w:val="24"/>
        </w:rPr>
        <w:t>fish based</w:t>
      </w:r>
      <w:proofErr w:type="gramEnd"/>
      <w:r>
        <w:rPr>
          <w:rFonts w:ascii="Times New Roman" w:eastAsia="Times New Roman" w:hAnsi="Times New Roman" w:cs="Times New Roman"/>
          <w:color w:val="000000"/>
          <w:sz w:val="24"/>
          <w:szCs w:val="24"/>
        </w:rPr>
        <w:t xml:space="preserve"> silage and SFOC can be effectively incorporated in the feed formulation for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without any </w:t>
      </w:r>
      <w:proofErr w:type="spellStart"/>
      <w:r>
        <w:rPr>
          <w:rFonts w:ascii="Times New Roman" w:eastAsia="Times New Roman" w:hAnsi="Times New Roman" w:cs="Times New Roman"/>
          <w:color w:val="000000"/>
          <w:sz w:val="24"/>
          <w:szCs w:val="24"/>
        </w:rPr>
        <w:t>adverse affect</w:t>
      </w:r>
      <w:proofErr w:type="spellEnd"/>
      <w:r>
        <w:rPr>
          <w:rFonts w:ascii="Times New Roman" w:eastAsia="Times New Roman" w:hAnsi="Times New Roman" w:cs="Times New Roman"/>
          <w:color w:val="000000"/>
          <w:sz w:val="24"/>
          <w:szCs w:val="24"/>
        </w:rPr>
        <w:t xml:space="preserve"> on the weight gain percentage and SGR. Hanafy (2006) suggested that soybean meal can be completely replaced by LSOC with supplementation of </w:t>
      </w:r>
      <w:r>
        <w:rPr>
          <w:rFonts w:ascii="Times New Roman" w:eastAsia="Times New Roman" w:hAnsi="Times New Roman" w:cs="Times New Roman"/>
          <w:i/>
          <w:color w:val="000000"/>
          <w:sz w:val="24"/>
          <w:szCs w:val="24"/>
        </w:rPr>
        <w:t xml:space="preserve">Yucca </w:t>
      </w:r>
      <w:proofErr w:type="spellStart"/>
      <w:r>
        <w:rPr>
          <w:rFonts w:ascii="Times New Roman" w:eastAsia="Times New Roman" w:hAnsi="Times New Roman" w:cs="Times New Roman"/>
          <w:i/>
          <w:color w:val="000000"/>
          <w:sz w:val="24"/>
          <w:szCs w:val="24"/>
        </w:rPr>
        <w:t>schidigera</w:t>
      </w:r>
      <w:proofErr w:type="spellEnd"/>
      <w:r>
        <w:rPr>
          <w:rFonts w:ascii="Times New Roman" w:eastAsia="Times New Roman" w:hAnsi="Times New Roman" w:cs="Times New Roman"/>
          <w:color w:val="000000"/>
          <w:sz w:val="24"/>
          <w:szCs w:val="24"/>
        </w:rPr>
        <w:t xml:space="preserve"> in Nile tilapia.</w:t>
      </w:r>
    </w:p>
    <w:p w14:paraId="0E95C613"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present investigation, significantly (p&lt;0.05) highest SGR and weight gain percentage was obtained in T</w:t>
      </w:r>
      <w:proofErr w:type="gramStart"/>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w:t>
      </w:r>
      <w:proofErr w:type="gramEnd"/>
      <w:r>
        <w:rPr>
          <w:rFonts w:ascii="Times New Roman" w:eastAsia="Times New Roman" w:hAnsi="Times New Roman" w:cs="Times New Roman"/>
          <w:color w:val="000000"/>
          <w:sz w:val="24"/>
          <w:szCs w:val="24"/>
        </w:rPr>
        <w:t xml:space="preserve">, which shows similarity with the research finding of Mukhopadhyay and Ray (2001) and Kamei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who fed Tilapia fingerlings with the diet containing 50% and 75% of the fish meal protein replaced with fish based silage. </w:t>
      </w:r>
    </w:p>
    <w:p w14:paraId="22DC6EFE"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same time the experimental group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(50% GNOC protein was replaced with raw LSOC) showed reduced growth performance including weight gain and specific growth rate (SGR) as compared to the control group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though they are not significantly (P&gt;0.05) </w:t>
      </w:r>
      <w:r>
        <w:rPr>
          <w:rFonts w:ascii="Times New Roman" w:eastAsia="Times New Roman" w:hAnsi="Times New Roman" w:cs="Times New Roman"/>
          <w:color w:val="000000"/>
          <w:sz w:val="24"/>
          <w:szCs w:val="24"/>
        </w:rPr>
        <w:lastRenderedPageBreak/>
        <w:t xml:space="preserve">different. This result is in agreement with the findings of Mukhopadhyay and Ray (1999), who concluded that the growth of tilapia fingerlings was declined due to the incorporation of raw LSOC by replacement of fish meal at 40%. Such a reduced growth rate of experimental fish with incorporation of raw LSOC may attributed be to its high amount of tannin content and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(Edwards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1985). </w:t>
      </w:r>
      <w:proofErr w:type="spellStart"/>
      <w:proofErr w:type="gramStart"/>
      <w:r>
        <w:rPr>
          <w:rFonts w:ascii="Times New Roman" w:eastAsia="Times New Roman" w:hAnsi="Times New Roman" w:cs="Times New Roman"/>
          <w:color w:val="000000"/>
          <w:sz w:val="24"/>
          <w:szCs w:val="24"/>
        </w:rPr>
        <w:t>Mahanty</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2021) has recommended to use solid state fermentation technology for amelioration anti-nutritional factors on raw LSOC, so that significantly (P&lt;0.05) better growth rate can be achieved. </w:t>
      </w:r>
    </w:p>
    <w:p w14:paraId="7D9AC090" w14:textId="77777777" w:rsidR="00B57EA8" w:rsidRDefault="00B57EA8" w:rsidP="00B57EA8">
      <w:pPr>
        <w:spacing w:line="360" w:lineRule="auto"/>
        <w:jc w:val="both"/>
        <w:rPr>
          <w:rFonts w:ascii="Times New Roman" w:eastAsia="Times New Roman" w:hAnsi="Times New Roman" w:cs="Times New Roman"/>
          <w:b/>
          <w:color w:val="000000"/>
          <w:sz w:val="24"/>
          <w:szCs w:val="24"/>
        </w:rPr>
      </w:pPr>
    </w:p>
    <w:p w14:paraId="34DA60A7" w14:textId="2A1AA133" w:rsidR="00B57EA8" w:rsidRDefault="009A33F6"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 Feed efficiency and nutrient retention parameters</w:t>
      </w:r>
    </w:p>
    <w:p w14:paraId="38BAC8C0" w14:textId="4CDB20F1" w:rsidR="00B57EA8" w:rsidRDefault="00B57EA8" w:rsidP="00B57E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 efficiency and nutrient retention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parameters; including FCR, PER; differed significantly (P&lt;0.05) among the experimental diets (Fig.</w:t>
      </w:r>
      <w:r w:rsidR="009A33F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 xml:space="preserve"> and Table </w:t>
      </w:r>
      <w:r w:rsidR="009A33F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Significantly (P&lt;0.05) lowest, i.e., the best, FCR was estimated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(2.27 ± 0.031: 1) group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(2.68 ± 0.016: 1) group. No significant (P&gt;0.05) difference in FCR was noted among T</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(2.79 ± 0.043: 1) and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(2.68 ± 0.039: 1) group. Silage based experimental diets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resulted in significantly (P&lt;0.05) better FCR than the control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group. A similar trend was observed in case of PER after 90 days of feeding trial in Tilapia advance fry. The study indicated significantly (P&lt;0.05) better feed efficiency and nutrient efficiency parameters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 xml:space="preserve">diet (where 50% GNOC protein had been replaced </w:t>
      </w:r>
      <w:proofErr w:type="gramStart"/>
      <w:r>
        <w:rPr>
          <w:rFonts w:ascii="Times New Roman" w:eastAsia="Times New Roman" w:hAnsi="Times New Roman" w:cs="Times New Roman"/>
          <w:color w:val="000000"/>
          <w:sz w:val="24"/>
          <w:szCs w:val="24"/>
        </w:rPr>
        <w:t>fish based</w:t>
      </w:r>
      <w:proofErr w:type="gramEnd"/>
      <w:r>
        <w:rPr>
          <w:rFonts w:ascii="Times New Roman" w:eastAsia="Times New Roman" w:hAnsi="Times New Roman" w:cs="Times New Roman"/>
          <w:color w:val="000000"/>
          <w:sz w:val="24"/>
          <w:szCs w:val="24"/>
        </w:rPr>
        <w:t xml:space="preserve"> silage)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control diet. The findings of this study matches well with the findings of Nayak </w:t>
      </w:r>
      <w:r>
        <w:rPr>
          <w:rFonts w:ascii="Times New Roman" w:eastAsia="Times New Roman" w:hAnsi="Times New Roman" w:cs="Times New Roman"/>
          <w:i/>
          <w:color w:val="000000"/>
          <w:sz w:val="24"/>
          <w:szCs w:val="24"/>
        </w:rPr>
        <w:t xml:space="preserve">et </w:t>
      </w:r>
      <w:proofErr w:type="gramStart"/>
      <w:r>
        <w:rPr>
          <w:rFonts w:ascii="Times New Roman" w:eastAsia="Times New Roman" w:hAnsi="Times New Roman" w:cs="Times New Roman"/>
          <w:i/>
          <w:color w:val="000000"/>
          <w:sz w:val="24"/>
          <w:szCs w:val="24"/>
        </w:rPr>
        <w:t>al,.</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(2017), who has reported significantly (P&lt;0.05) better FCR (2.052 ± 0.002: 1) and PER (1.603 ± 0.003) in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fed with the diet containing 39% </w:t>
      </w:r>
      <w:proofErr w:type="gramStart"/>
      <w:r>
        <w:rPr>
          <w:rFonts w:ascii="Times New Roman" w:eastAsia="Times New Roman" w:hAnsi="Times New Roman" w:cs="Times New Roman"/>
          <w:color w:val="000000"/>
          <w:sz w:val="24"/>
          <w:szCs w:val="24"/>
        </w:rPr>
        <w:t>fish based</w:t>
      </w:r>
      <w:proofErr w:type="gramEnd"/>
      <w:r>
        <w:rPr>
          <w:rFonts w:ascii="Times New Roman" w:eastAsia="Times New Roman" w:hAnsi="Times New Roman" w:cs="Times New Roman"/>
          <w:color w:val="000000"/>
          <w:sz w:val="24"/>
          <w:szCs w:val="24"/>
        </w:rPr>
        <w:t xml:space="preserve"> silage. Kamei (2018) and Rana (2019) also lad reported in the similar line when 75% of fish meal protein was replaced with silage based blended protein, it resulted in 126% better growth performance and feed efficiency parameters. Despite of high oil content in silage, it was proved as a good protein source after heat processed due to its good amino acid profile (Nayak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Lowest PER (0.96 ± 0.010) were found in the experimental diet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(where 50% GNOC protein had been replaced with raw LSOC). The findings of this study is in </w:t>
      </w:r>
      <w:proofErr w:type="gramStart"/>
      <w:r>
        <w:rPr>
          <w:rFonts w:ascii="Times New Roman" w:eastAsia="Times New Roman" w:hAnsi="Times New Roman" w:cs="Times New Roman"/>
          <w:color w:val="000000"/>
          <w:sz w:val="24"/>
          <w:szCs w:val="24"/>
        </w:rPr>
        <w:t>agreement  with</w:t>
      </w:r>
      <w:proofErr w:type="gramEnd"/>
      <w:r>
        <w:rPr>
          <w:rFonts w:ascii="Times New Roman" w:eastAsia="Times New Roman" w:hAnsi="Times New Roman" w:cs="Times New Roman"/>
          <w:color w:val="000000"/>
          <w:sz w:val="24"/>
          <w:szCs w:val="24"/>
        </w:rPr>
        <w:t xml:space="preserve"> Santos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 who have reported significantly </w:t>
      </w:r>
      <w:proofErr w:type="spellStart"/>
      <w:r>
        <w:rPr>
          <w:rFonts w:ascii="Times New Roman" w:eastAsia="Times New Roman" w:hAnsi="Times New Roman" w:cs="Times New Roman"/>
          <w:color w:val="000000"/>
          <w:sz w:val="24"/>
          <w:szCs w:val="24"/>
        </w:rPr>
        <w:t>lowerest</w:t>
      </w:r>
      <w:proofErr w:type="spellEnd"/>
      <w:r>
        <w:rPr>
          <w:rFonts w:ascii="Times New Roman" w:eastAsia="Times New Roman" w:hAnsi="Times New Roman" w:cs="Times New Roman"/>
          <w:color w:val="000000"/>
          <w:sz w:val="24"/>
          <w:szCs w:val="24"/>
        </w:rPr>
        <w:t xml:space="preserve"> feed conversion efficiency in 45% LSOC inclusion in diet of Nile tilapia. Similarly, Mukhopadhyay and Ray (1999) reported reduced PER (1.09 ± 0.11) with inclusion of 30% raw LSOC in the diet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Olude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also found decline in growth rate of Nile tilapia with increase in inclusion of LSOC in the diet.</w:t>
      </w:r>
    </w:p>
    <w:p w14:paraId="2AEB4380" w14:textId="77777777" w:rsidR="00D3027C" w:rsidRDefault="00D3027C" w:rsidP="00B57EA8">
      <w:pPr>
        <w:spacing w:line="360" w:lineRule="auto"/>
        <w:ind w:firstLine="720"/>
        <w:jc w:val="both"/>
        <w:rPr>
          <w:rFonts w:ascii="Times New Roman" w:eastAsia="Times New Roman" w:hAnsi="Times New Roman" w:cs="Times New Roman"/>
          <w:color w:val="000000"/>
          <w:sz w:val="24"/>
          <w:szCs w:val="24"/>
        </w:rPr>
      </w:pPr>
    </w:p>
    <w:p w14:paraId="1E8941D2" w14:textId="77777777" w:rsidR="00D3027C" w:rsidRDefault="00D3027C" w:rsidP="00D3027C">
      <w:pPr>
        <w:spacing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CONCLUSION</w:t>
      </w:r>
    </w:p>
    <w:p w14:paraId="70B43EAB" w14:textId="55327DC7" w:rsidR="00D3027C" w:rsidRPr="00171326" w:rsidRDefault="00574A9D" w:rsidP="00171326">
      <w:pPr>
        <w:spacing w:before="120" w:after="120" w:line="360" w:lineRule="auto"/>
        <w:ind w:firstLine="720"/>
        <w:jc w:val="both"/>
        <w:rPr>
          <w:rFonts w:ascii="Times New Roman" w:eastAsia="Times New Roman" w:hAnsi="Times New Roman" w:cs="Times New Roman"/>
          <w:color w:val="000000"/>
          <w:sz w:val="24"/>
          <w:szCs w:val="24"/>
        </w:rPr>
        <w:sectPr w:rsidR="00D3027C" w:rsidRPr="00171326" w:rsidSect="00B560E6">
          <w:pgSz w:w="11907" w:h="16839"/>
          <w:pgMar w:top="1440" w:right="1440" w:bottom="1440" w:left="1440" w:header="708" w:footer="708" w:gutter="0"/>
          <w:cols w:space="720"/>
        </w:sectPr>
      </w:pPr>
      <w:bookmarkStart w:id="2" w:name="_Hlk158487139"/>
      <w:r w:rsidRPr="00171326">
        <w:rPr>
          <w:rFonts w:ascii="Times New Roman" w:eastAsia="Times New Roman" w:hAnsi="Times New Roman" w:cs="Times New Roman"/>
          <w:sz w:val="24"/>
          <w:szCs w:val="24"/>
        </w:rPr>
        <w:t xml:space="preserve">The purpose of this research was to find </w:t>
      </w:r>
      <w:r w:rsidRPr="00171326">
        <w:rPr>
          <w:rFonts w:ascii="Times New Roman" w:eastAsia="Times New Roman" w:hAnsi="Times New Roman" w:cs="Times New Roman"/>
          <w:color w:val="000000"/>
          <w:sz w:val="24"/>
          <w:szCs w:val="24"/>
        </w:rPr>
        <w:t xml:space="preserve">promising alternative </w:t>
      </w:r>
      <w:proofErr w:type="gramStart"/>
      <w:r w:rsidRPr="00171326">
        <w:rPr>
          <w:rFonts w:ascii="Times New Roman" w:eastAsia="Times New Roman" w:hAnsi="Times New Roman" w:cs="Times New Roman"/>
          <w:color w:val="000000"/>
          <w:sz w:val="24"/>
          <w:szCs w:val="24"/>
        </w:rPr>
        <w:t xml:space="preserve">ingredients </w:t>
      </w:r>
      <w:bookmarkEnd w:id="2"/>
      <w:r w:rsidR="00171326" w:rsidRPr="00171326">
        <w:rPr>
          <w:rFonts w:ascii="Times New Roman" w:eastAsia="Times New Roman" w:hAnsi="Times New Roman" w:cs="Times New Roman"/>
          <w:color w:val="000000"/>
          <w:sz w:val="24"/>
          <w:szCs w:val="24"/>
        </w:rPr>
        <w:t xml:space="preserve"> and</w:t>
      </w:r>
      <w:proofErr w:type="gramEnd"/>
      <w:r w:rsidR="00171326" w:rsidRPr="00171326">
        <w:rPr>
          <w:rFonts w:ascii="Times New Roman" w:eastAsia="Times New Roman" w:hAnsi="Times New Roman" w:cs="Times New Roman"/>
          <w:color w:val="000000"/>
          <w:sz w:val="24"/>
          <w:szCs w:val="24"/>
        </w:rPr>
        <w:t xml:space="preserve"> result </w:t>
      </w:r>
      <w:r w:rsidR="00171326" w:rsidRPr="00171326">
        <w:rPr>
          <w:rFonts w:ascii="Times New Roman" w:eastAsia="Times New Roman" w:hAnsi="Times New Roman" w:cs="Times New Roman"/>
          <w:sz w:val="24"/>
          <w:szCs w:val="24"/>
        </w:rPr>
        <w:t xml:space="preserve">concluded that </w:t>
      </w:r>
      <w:r w:rsidR="00171326" w:rsidRPr="00171326">
        <w:rPr>
          <w:rFonts w:ascii="Times New Roman" w:eastAsia="Times New Roman" w:hAnsi="Times New Roman" w:cs="Times New Roman"/>
          <w:color w:val="000000"/>
          <w:sz w:val="24"/>
          <w:szCs w:val="24"/>
        </w:rPr>
        <w:t xml:space="preserve">SFOC can be used to partially replace GNOC in floating fish feed without significantly (P&lt;0.05) affecting the growth performance of GIFT tilapia, </w:t>
      </w:r>
      <w:proofErr w:type="spellStart"/>
      <w:r w:rsidR="00171326" w:rsidRPr="00171326">
        <w:rPr>
          <w:rFonts w:ascii="Times New Roman" w:eastAsia="Times New Roman" w:hAnsi="Times New Roman" w:cs="Times New Roman"/>
          <w:color w:val="000000"/>
          <w:sz w:val="24"/>
          <w:szCs w:val="24"/>
        </w:rPr>
        <w:t>where as</w:t>
      </w:r>
      <w:proofErr w:type="spellEnd"/>
      <w:r w:rsidR="00171326" w:rsidRPr="00171326">
        <w:rPr>
          <w:rFonts w:ascii="Times New Roman" w:eastAsia="Times New Roman" w:hAnsi="Times New Roman" w:cs="Times New Roman"/>
          <w:color w:val="000000"/>
          <w:sz w:val="24"/>
          <w:szCs w:val="24"/>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w:t>
      </w:r>
      <w:proofErr w:type="gramStart"/>
      <w:r w:rsidR="00171326" w:rsidRPr="00171326">
        <w:rPr>
          <w:rFonts w:ascii="Times New Roman" w:eastAsia="Times New Roman" w:hAnsi="Times New Roman" w:cs="Times New Roman"/>
          <w:color w:val="000000"/>
          <w:sz w:val="24"/>
          <w:szCs w:val="24"/>
        </w:rPr>
        <w:t>cost effective</w:t>
      </w:r>
      <w:proofErr w:type="gramEnd"/>
      <w:r w:rsidR="00171326" w:rsidRPr="00171326">
        <w:rPr>
          <w:rFonts w:ascii="Times New Roman" w:eastAsia="Times New Roman" w:hAnsi="Times New Roman" w:cs="Times New Roman"/>
          <w:color w:val="000000"/>
          <w:sz w:val="24"/>
          <w:szCs w:val="24"/>
        </w:rPr>
        <w:t xml:space="preserve"> feed for better growth and feed efficiency of GIFT tilapia.</w:t>
      </w:r>
    </w:p>
    <w:p w14:paraId="4C7BF39C" w14:textId="77777777" w:rsidR="00B57EA8" w:rsidRDefault="00B57EA8" w:rsidP="00B57E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REFERENCES</w:t>
      </w:r>
    </w:p>
    <w:p w14:paraId="5B90E5D7"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
    <w:p w14:paraId="7CC369C2" w14:textId="2B3102E1" w:rsidR="00880542" w:rsidRPr="00880542" w:rsidRDefault="00880542" w:rsidP="00880542">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Akdogan</w:t>
      </w:r>
      <w:proofErr w:type="spellEnd"/>
      <w:r>
        <w:rPr>
          <w:rFonts w:ascii="Times New Roman" w:eastAsia="Times New Roman" w:hAnsi="Times New Roman" w:cs="Times New Roman"/>
          <w:sz w:val="24"/>
          <w:szCs w:val="24"/>
        </w:rPr>
        <w:t xml:space="preserve"> H. 1999. High moisture food extrusion. </w:t>
      </w:r>
      <w:r>
        <w:rPr>
          <w:rFonts w:ascii="Times New Roman" w:eastAsia="Times New Roman" w:hAnsi="Times New Roman" w:cs="Times New Roman"/>
          <w:i/>
          <w:sz w:val="24"/>
          <w:szCs w:val="24"/>
        </w:rPr>
        <w:t>International Journal of Food Science &amp;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(3), 195–207.</w:t>
      </w:r>
    </w:p>
    <w:p w14:paraId="484D488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Alam MS, Kaur J, Khaira H and Gupta K. 2016. Extrusion and extruded products: Changes in quality attributes as affected by extrusion process parameters: </w:t>
      </w:r>
      <w:r>
        <w:rPr>
          <w:rFonts w:ascii="Times New Roman" w:eastAsia="Times New Roman" w:hAnsi="Times New Roman" w:cs="Times New Roman"/>
          <w:i/>
          <w:sz w:val="24"/>
          <w:szCs w:val="24"/>
        </w:rPr>
        <w:t>A review. Critical Reviews in Food Science and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(3), 445–473.</w:t>
      </w:r>
    </w:p>
    <w:p w14:paraId="07D3244A" w14:textId="12484B95"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Alves RML, Grossmann MVE and Silva RSSF. 1999. Gelling properties of extruded yam (</w:t>
      </w:r>
      <w:r>
        <w:rPr>
          <w:rFonts w:ascii="Times New Roman" w:eastAsia="Times New Roman" w:hAnsi="Times New Roman" w:cs="Times New Roman"/>
          <w:i/>
          <w:sz w:val="24"/>
          <w:szCs w:val="24"/>
        </w:rPr>
        <w:t>Dioscorea alata</w:t>
      </w:r>
      <w:r>
        <w:rPr>
          <w:rFonts w:ascii="Times New Roman" w:eastAsia="Times New Roman" w:hAnsi="Times New Roman" w:cs="Times New Roman"/>
          <w:sz w:val="24"/>
          <w:szCs w:val="24"/>
        </w:rPr>
        <w:t xml:space="preserve">) starch. </w:t>
      </w:r>
      <w:r>
        <w:rPr>
          <w:rFonts w:ascii="Times New Roman" w:eastAsia="Times New Roman" w:hAnsi="Times New Roman" w:cs="Times New Roman"/>
          <w:i/>
          <w:sz w:val="24"/>
          <w:szCs w:val="24"/>
        </w:rPr>
        <w:t>Food 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(2), 123–127.</w:t>
      </w:r>
    </w:p>
    <w:p w14:paraId="38236542"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S. 2010. Extruded floating fish feed a boon for farmers. </w:t>
      </w:r>
      <w:r>
        <w:rPr>
          <w:rFonts w:ascii="Times New Roman" w:eastAsia="Times New Roman" w:hAnsi="Times New Roman" w:cs="Times New Roman"/>
          <w:i/>
          <w:sz w:val="24"/>
          <w:szCs w:val="24"/>
        </w:rPr>
        <w:t xml:space="preserve">Online Publication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Hindu: Sci Tech / Agriculture</w:t>
      </w:r>
      <w:r>
        <w:rPr>
          <w:rFonts w:ascii="Times New Roman" w:eastAsia="Times New Roman" w:hAnsi="Times New Roman" w:cs="Times New Roman"/>
          <w:sz w:val="24"/>
          <w:szCs w:val="24"/>
        </w:rPr>
        <w:t>.</w:t>
      </w:r>
    </w:p>
    <w:p w14:paraId="1455E598" w14:textId="77777777" w:rsidR="00880542" w:rsidRDefault="00880542" w:rsidP="00B57EA8">
      <w:pPr>
        <w:tabs>
          <w:tab w:val="left" w:pos="3084"/>
        </w:tabs>
        <w:spacing w:before="360" w:after="120"/>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AOAC. 2019. AOAC Official Methods of Analysis.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Association of Official Analytical Chemists</w:t>
      </w:r>
      <w:r>
        <w:rPr>
          <w:rFonts w:ascii="Times New Roman" w:eastAsia="Times New Roman" w:hAnsi="Times New Roman" w:cs="Times New Roman"/>
          <w:sz w:val="24"/>
          <w:szCs w:val="24"/>
        </w:rPr>
        <w:t>, Washington DC, USA.</w:t>
      </w:r>
    </w:p>
    <w:p w14:paraId="2C9A6DEF" w14:textId="68216F68" w:rsidR="00880542" w:rsidRPr="00880542" w:rsidRDefault="00880542" w:rsidP="00880542">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APHA. 2018. Standard Methods for the Examination of Water and Waste water,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American Public Health Association</w:t>
      </w:r>
      <w:r>
        <w:rPr>
          <w:rFonts w:ascii="Times New Roman" w:eastAsia="Times New Roman" w:hAnsi="Times New Roman" w:cs="Times New Roman"/>
          <w:sz w:val="24"/>
          <w:szCs w:val="24"/>
        </w:rPr>
        <w:t>, AWWA, WPCE, Washington DC, USA.</w:t>
      </w:r>
    </w:p>
    <w:p w14:paraId="3B782BE9"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JD and Haller RD. 1982. The Intensive culture of tilapia in tanks, receiving cases in recent advances in aquaculture. (Eds. J. F. Mur, R.K Roberts), </w:t>
      </w:r>
      <w:proofErr w:type="spellStart"/>
      <w:r>
        <w:rPr>
          <w:rFonts w:ascii="Times New Roman" w:eastAsia="Times New Roman" w:hAnsi="Times New Roman" w:cs="Times New Roman"/>
          <w:i/>
          <w:sz w:val="24"/>
          <w:szCs w:val="24"/>
        </w:rPr>
        <w:t>Lonon</w:t>
      </w:r>
      <w:proofErr w:type="spellEnd"/>
      <w:r>
        <w:rPr>
          <w:rFonts w:ascii="Times New Roman" w:eastAsia="Times New Roman" w:hAnsi="Times New Roman" w:cs="Times New Roman"/>
          <w:i/>
          <w:sz w:val="24"/>
          <w:szCs w:val="24"/>
        </w:rPr>
        <w:t xml:space="preserve"> Croon </w:t>
      </w:r>
      <w:proofErr w:type="spellStart"/>
      <w:r>
        <w:rPr>
          <w:rFonts w:ascii="Times New Roman" w:eastAsia="Times New Roman" w:hAnsi="Times New Roman" w:cs="Times New Roman"/>
          <w:i/>
          <w:sz w:val="24"/>
          <w:szCs w:val="24"/>
        </w:rPr>
        <w:t>Heln</w:t>
      </w:r>
      <w:proofErr w:type="spellEnd"/>
      <w:r>
        <w:rPr>
          <w:rFonts w:ascii="Times New Roman" w:eastAsia="Times New Roman" w:hAnsi="Times New Roman" w:cs="Times New Roman"/>
          <w:i/>
          <w:sz w:val="24"/>
          <w:szCs w:val="24"/>
        </w:rPr>
        <w:t xml:space="preserve"> Ltd</w:t>
      </w:r>
      <w:r>
        <w:rPr>
          <w:rFonts w:ascii="Times New Roman" w:eastAsia="Times New Roman" w:hAnsi="Times New Roman" w:cs="Times New Roman"/>
          <w:sz w:val="24"/>
          <w:szCs w:val="24"/>
        </w:rPr>
        <w:t>, 260-360.</w:t>
      </w:r>
    </w:p>
    <w:p w14:paraId="15D24285"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Barman BK and Karim M. 2007. Analysis of feeds and fertilizers for sustainable aquaculture development in India,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 113-140.</w:t>
      </w:r>
    </w:p>
    <w:p w14:paraId="746FE00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Dayal JS, Rajaram V, </w:t>
      </w:r>
      <w:proofErr w:type="spellStart"/>
      <w:r>
        <w:rPr>
          <w:rFonts w:ascii="Times New Roman" w:eastAsia="Times New Roman" w:hAnsi="Times New Roman" w:cs="Times New Roman"/>
          <w:color w:val="000000"/>
          <w:sz w:val="24"/>
          <w:szCs w:val="24"/>
        </w:rPr>
        <w:t>Ambasankar</w:t>
      </w:r>
      <w:proofErr w:type="spellEnd"/>
      <w:r>
        <w:rPr>
          <w:rFonts w:ascii="Times New Roman" w:eastAsia="Times New Roman" w:hAnsi="Times New Roman" w:cs="Times New Roman"/>
          <w:color w:val="000000"/>
          <w:sz w:val="24"/>
          <w:szCs w:val="24"/>
        </w:rPr>
        <w:t xml:space="preserve"> K and Ali SA. 2011. Sunflower oil cake as a replacement for fish meal in feeds of Tiger shrimp, </w:t>
      </w:r>
      <w:r>
        <w:rPr>
          <w:rFonts w:ascii="Times New Roman" w:eastAsia="Times New Roman" w:hAnsi="Times New Roman" w:cs="Times New Roman"/>
          <w:i/>
          <w:color w:val="000000"/>
          <w:sz w:val="24"/>
          <w:szCs w:val="24"/>
        </w:rPr>
        <w:t>Penaeus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monodon </w:t>
      </w:r>
      <w:r>
        <w:rPr>
          <w:rFonts w:ascii="Times New Roman" w:eastAsia="Times New Roman" w:hAnsi="Times New Roman" w:cs="Times New Roman"/>
          <w:color w:val="000000"/>
          <w:sz w:val="24"/>
          <w:szCs w:val="24"/>
        </w:rPr>
        <w:t xml:space="preserve">reared in tank and in net cages, </w:t>
      </w:r>
      <w:r>
        <w:rPr>
          <w:rFonts w:ascii="Times New Roman" w:eastAsia="Times New Roman" w:hAnsi="Times New Roman" w:cs="Times New Roman"/>
          <w:i/>
          <w:color w:val="000000"/>
          <w:sz w:val="24"/>
          <w:szCs w:val="24"/>
        </w:rPr>
        <w:t xml:space="preserve">Indian Journal </w:t>
      </w:r>
      <w:proofErr w:type="gramStart"/>
      <w:r>
        <w:rPr>
          <w:rFonts w:ascii="Times New Roman" w:eastAsia="Times New Roman" w:hAnsi="Times New Roman" w:cs="Times New Roman"/>
          <w:i/>
          <w:color w:val="000000"/>
          <w:sz w:val="24"/>
          <w:szCs w:val="24"/>
        </w:rPr>
        <w:t>of  Geo</w:t>
      </w:r>
      <w:proofErr w:type="gramEnd"/>
      <w:r>
        <w:rPr>
          <w:rFonts w:ascii="Times New Roman" w:eastAsia="Times New Roman" w:hAnsi="Times New Roman" w:cs="Times New Roman"/>
          <w:i/>
          <w:color w:val="000000"/>
          <w:sz w:val="24"/>
          <w:szCs w:val="24"/>
        </w:rPr>
        <w:t>-Marine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 460-70.</w:t>
      </w:r>
    </w:p>
    <w:p w14:paraId="3E7E58A7" w14:textId="12ED14D7" w:rsidR="00880542" w:rsidRPr="00880542" w:rsidRDefault="00880542" w:rsidP="00880542">
      <w:pPr>
        <w:spacing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Declercq</w:t>
      </w:r>
      <w:proofErr w:type="spellEnd"/>
      <w:r>
        <w:rPr>
          <w:rFonts w:ascii="Times New Roman" w:eastAsia="Times New Roman" w:hAnsi="Times New Roman" w:cs="Times New Roman"/>
          <w:color w:val="000000"/>
          <w:sz w:val="24"/>
          <w:szCs w:val="24"/>
        </w:rPr>
        <w:t xml:space="preserve"> DR. 2006. Quality of Western Canadian flaxseed, Canadian Grain Commission. </w:t>
      </w:r>
      <w:hyperlink r:id="rId17">
        <w:r>
          <w:rPr>
            <w:i/>
            <w:color w:val="000000"/>
            <w:sz w:val="24"/>
            <w:szCs w:val="24"/>
            <w:u w:val="single"/>
          </w:rPr>
          <w:t>www.graincanada.gc.ca</w:t>
        </w:r>
      </w:hyperlink>
      <w:r>
        <w:rPr>
          <w:rFonts w:ascii="Times New Roman" w:eastAsia="Times New Roman" w:hAnsi="Times New Roman" w:cs="Times New Roman"/>
          <w:sz w:val="24"/>
          <w:szCs w:val="24"/>
        </w:rPr>
        <w:t>.</w:t>
      </w:r>
    </w:p>
    <w:p w14:paraId="188CED8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Edwards P, Kamal M and Wee KL. 1985. Incorporation of composted and dried water hyacinth in pelleted feed for the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(Peters), </w:t>
      </w:r>
      <w:r>
        <w:rPr>
          <w:rFonts w:ascii="Times New Roman" w:eastAsia="Times New Roman" w:hAnsi="Times New Roman" w:cs="Times New Roman"/>
          <w:i/>
          <w:color w:val="000000"/>
          <w:sz w:val="24"/>
          <w:szCs w:val="24"/>
        </w:rPr>
        <w:t>Aquaculture &amp; Fishery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:233-248.</w:t>
      </w:r>
    </w:p>
    <w:p w14:paraId="37758C62" w14:textId="77777777" w:rsid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FAO 2017. National aquaculture overview: Indian country profile fact sheets, FAO. Fisheries and Aquaculture Department, FAO, Rome.</w:t>
      </w:r>
    </w:p>
    <w:p w14:paraId="076C9099" w14:textId="2193A033" w:rsidR="00880542" w:rsidRP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Fitzsimmons K. 2006. Prospect and potential for global production In Tilapia: Biology, Culture, and Nutrition; Lim, C., Webster, C., Eds.; </w:t>
      </w:r>
      <w:r>
        <w:rPr>
          <w:rFonts w:ascii="Times New Roman" w:eastAsia="Times New Roman" w:hAnsi="Times New Roman" w:cs="Times New Roman"/>
          <w:i/>
          <w:sz w:val="24"/>
          <w:szCs w:val="24"/>
        </w:rPr>
        <w:t>Harworth Press</w:t>
      </w:r>
      <w:r>
        <w:rPr>
          <w:rFonts w:ascii="Times New Roman" w:eastAsia="Times New Roman" w:hAnsi="Times New Roman" w:cs="Times New Roman"/>
          <w:sz w:val="24"/>
          <w:szCs w:val="24"/>
        </w:rPr>
        <w:t>: Binghamton, NY, USA; pp. 51–72.</w:t>
      </w:r>
    </w:p>
    <w:p w14:paraId="3DB5F8C3"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Garg SK, Alok K and Bhatnagar A. 2003. Oilcakes as protein sources in supplementary diets for the growth of (</w:t>
      </w:r>
      <w:proofErr w:type="spellStart"/>
      <w:r>
        <w:rPr>
          <w:rFonts w:ascii="Times New Roman" w:eastAsia="Times New Roman" w:hAnsi="Times New Roman" w:cs="Times New Roman"/>
          <w:i/>
          <w:color w:val="000000"/>
          <w:sz w:val="24"/>
          <w:szCs w:val="24"/>
        </w:rPr>
        <w:t>Cirrihinus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mrigala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fingerlings: laboratory and field studies, </w:t>
      </w:r>
      <w:r>
        <w:rPr>
          <w:rFonts w:ascii="Times New Roman" w:eastAsia="Times New Roman" w:hAnsi="Times New Roman" w:cs="Times New Roman"/>
          <w:i/>
          <w:color w:val="000000"/>
          <w:sz w:val="24"/>
          <w:szCs w:val="24"/>
        </w:rPr>
        <w:t>Bioresource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86</w:t>
      </w:r>
      <w:r>
        <w:rPr>
          <w:rFonts w:ascii="Times New Roman" w:eastAsia="Times New Roman" w:hAnsi="Times New Roman" w:cs="Times New Roman"/>
          <w:color w:val="000000"/>
          <w:sz w:val="24"/>
          <w:szCs w:val="24"/>
        </w:rPr>
        <w:t>: 283–291.</w:t>
      </w:r>
    </w:p>
    <w:p w14:paraId="20209EF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Halver JE. 1976. Formulating practical diet for fish, </w:t>
      </w:r>
      <w:r>
        <w:rPr>
          <w:rFonts w:ascii="Times New Roman" w:eastAsia="Times New Roman" w:hAnsi="Times New Roman" w:cs="Times New Roman"/>
          <w:i/>
          <w:color w:val="000000"/>
          <w:sz w:val="24"/>
          <w:szCs w:val="24"/>
        </w:rPr>
        <w:t>Journal of the Fisheries Research</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Board of Canada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1032-1039.</w:t>
      </w:r>
    </w:p>
    <w:p w14:paraId="7EE790E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Hasan MR, Hecht T, De silva SS and Tacon AGJ. 2007. Study and analysis of feeds and </w:t>
      </w:r>
      <w:proofErr w:type="spellStart"/>
      <w:r>
        <w:rPr>
          <w:rFonts w:ascii="Times New Roman" w:eastAsia="Times New Roman" w:hAnsi="Times New Roman" w:cs="Times New Roman"/>
          <w:color w:val="000000"/>
          <w:sz w:val="24"/>
          <w:szCs w:val="24"/>
        </w:rPr>
        <w:t>fertilisers</w:t>
      </w:r>
      <w:proofErr w:type="spellEnd"/>
      <w:r>
        <w:rPr>
          <w:rFonts w:ascii="Times New Roman" w:eastAsia="Times New Roman" w:hAnsi="Times New Roman" w:cs="Times New Roman"/>
          <w:color w:val="000000"/>
          <w:sz w:val="24"/>
          <w:szCs w:val="24"/>
        </w:rPr>
        <w:t xml:space="preserve"> for sustainable aquaculture development, FAO Fisheries Technical Paper No. 49, pp. 510,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w:t>
      </w:r>
    </w:p>
    <w:p w14:paraId="272192C6" w14:textId="77777777" w:rsid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Schoenlechner</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Berghofe</w:t>
      </w:r>
      <w:proofErr w:type="spellEnd"/>
      <w:r>
        <w:rPr>
          <w:rFonts w:ascii="Times New Roman" w:eastAsia="Times New Roman" w:hAnsi="Times New Roman" w:cs="Times New Roman"/>
          <w:sz w:val="24"/>
          <w:szCs w:val="24"/>
        </w:rPr>
        <w:t xml:space="preserve"> E. 2000. Role of lipids in the extrusion cooking processes. </w:t>
      </w:r>
      <w:proofErr w:type="spellStart"/>
      <w:r>
        <w:rPr>
          <w:rFonts w:ascii="Times New Roman" w:eastAsia="Times New Roman" w:hAnsi="Times New Roman" w:cs="Times New Roman"/>
          <w:i/>
          <w:sz w:val="24"/>
          <w:szCs w:val="24"/>
        </w:rPr>
        <w:t>Grasasy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Aceites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(1–2): 97–110.</w:t>
      </w:r>
    </w:p>
    <w:p w14:paraId="00D5FCAD" w14:textId="533804EB" w:rsidR="00880542"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Kamei, M., </w:t>
      </w:r>
      <w:r>
        <w:rPr>
          <w:rFonts w:ascii="Times New Roman" w:eastAsia="Times New Roman" w:hAnsi="Times New Roman" w:cs="Times New Roman"/>
          <w:b/>
          <w:sz w:val="24"/>
          <w:szCs w:val="24"/>
        </w:rPr>
        <w:t>Sahu, B</w:t>
      </w:r>
      <w:r>
        <w:rPr>
          <w:rFonts w:ascii="Times New Roman" w:eastAsia="Times New Roman" w:hAnsi="Times New Roman" w:cs="Times New Roman"/>
          <w:sz w:val="24"/>
          <w:szCs w:val="24"/>
        </w:rPr>
        <w:t xml:space="preserve">., Raman, S., Nanda, S., Choudhury, D. and Dorothy, M.S., 2018. Use of fish silage based blended protein source for replacement of fish meal in Thai-Pangas diet. </w:t>
      </w:r>
      <w:r>
        <w:rPr>
          <w:rFonts w:ascii="Times New Roman" w:eastAsia="Times New Roman" w:hAnsi="Times New Roman" w:cs="Times New Roman"/>
          <w:i/>
          <w:sz w:val="24"/>
          <w:szCs w:val="24"/>
        </w:rPr>
        <w:t>Int. J. Curr. Microbiol. App. Sci., 7</w:t>
      </w:r>
      <w:r>
        <w:rPr>
          <w:rFonts w:ascii="Times New Roman" w:eastAsia="Times New Roman" w:hAnsi="Times New Roman" w:cs="Times New Roman"/>
          <w:sz w:val="24"/>
          <w:szCs w:val="24"/>
        </w:rPr>
        <w:t>(10): 2949-61</w:t>
      </w:r>
    </w:p>
    <w:p w14:paraId="0A4B0174"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Kearns J. 1989. Key points in extruding fish feeds. Feed international, Nov. 9. Cited by Kerry W. T. et al. (1996), </w:t>
      </w:r>
      <w:r>
        <w:rPr>
          <w:rFonts w:ascii="Times New Roman" w:eastAsia="Times New Roman" w:hAnsi="Times New Roman" w:cs="Times New Roman"/>
          <w:i/>
          <w:sz w:val="24"/>
          <w:szCs w:val="24"/>
        </w:rPr>
        <w:t>Aquaculture Engineering</w:t>
      </w:r>
      <w:r>
        <w:rPr>
          <w:rFonts w:ascii="Times New Roman" w:eastAsia="Times New Roman" w:hAnsi="Times New Roman" w:cs="Times New Roman"/>
          <w:sz w:val="24"/>
          <w:szCs w:val="24"/>
        </w:rPr>
        <w:t xml:space="preserve"> Vol. </w:t>
      </w: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(1): 53-65.</w:t>
      </w:r>
    </w:p>
    <w:p w14:paraId="47C63B6F"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Lenka S, Giri SS and Paul BN. 2010. Nutrient digestibility and gastro-intestinal enzyme activity of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fingerlings fed water washed neem seed cake incorporated diets, </w:t>
      </w:r>
      <w:r>
        <w:rPr>
          <w:rFonts w:ascii="Times New Roman" w:eastAsia="Times New Roman" w:hAnsi="Times New Roman" w:cs="Times New Roman"/>
          <w:i/>
          <w:color w:val="000000"/>
          <w:sz w:val="24"/>
          <w:szCs w:val="24"/>
        </w:rPr>
        <w:t>Indian Journal of Animal Science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80</w:t>
      </w:r>
      <w:r>
        <w:rPr>
          <w:rFonts w:ascii="Times New Roman" w:eastAsia="Times New Roman" w:hAnsi="Times New Roman" w:cs="Times New Roman"/>
          <w:color w:val="000000"/>
          <w:sz w:val="24"/>
          <w:szCs w:val="24"/>
        </w:rPr>
        <w:t>: 96-100.</w:t>
      </w:r>
    </w:p>
    <w:p w14:paraId="69AE0B9B"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Manomaitis</w:t>
      </w:r>
      <w:proofErr w:type="spellEnd"/>
      <w:r>
        <w:rPr>
          <w:rFonts w:ascii="Times New Roman" w:eastAsia="Times New Roman" w:hAnsi="Times New Roman" w:cs="Times New Roman"/>
          <w:color w:val="000000"/>
          <w:sz w:val="24"/>
          <w:szCs w:val="24"/>
        </w:rPr>
        <w:t xml:space="preserve"> L. 2009. Improving South-east Asian aquaculture through feeds and technology,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Proceeding of the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ASAIM SEA Feed Technology and Nutrition Workshop, Vietnam, pp. 15-19.</w:t>
      </w:r>
    </w:p>
    <w:p w14:paraId="44B10DEE" w14:textId="77777777" w:rsidR="00880542" w:rsidRDefault="00880542" w:rsidP="00B57EA8">
      <w:pPr>
        <w:spacing w:line="36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Mukhopadhyay N </w:t>
      </w:r>
      <w:proofErr w:type="gramStart"/>
      <w:r>
        <w:rPr>
          <w:rFonts w:ascii="Times New Roman" w:eastAsia="Times New Roman" w:hAnsi="Times New Roman" w:cs="Times New Roman"/>
          <w:color w:val="000000"/>
          <w:sz w:val="24"/>
          <w:szCs w:val="24"/>
        </w:rPr>
        <w:t>and  Ray</w:t>
      </w:r>
      <w:proofErr w:type="gramEnd"/>
      <w:r>
        <w:rPr>
          <w:rFonts w:ascii="Times New Roman" w:eastAsia="Times New Roman" w:hAnsi="Times New Roman" w:cs="Times New Roman"/>
          <w:color w:val="000000"/>
          <w:sz w:val="24"/>
          <w:szCs w:val="24"/>
        </w:rPr>
        <w:t xml:space="preserve"> AK. 2001. Effects of amino acid supplementation on the nutritive quality </w:t>
      </w:r>
      <w:proofErr w:type="gramStart"/>
      <w:r>
        <w:rPr>
          <w:rFonts w:ascii="Times New Roman" w:eastAsia="Times New Roman" w:hAnsi="Times New Roman" w:cs="Times New Roman"/>
          <w:color w:val="000000"/>
          <w:sz w:val="24"/>
          <w:szCs w:val="24"/>
        </w:rPr>
        <w:t>of  fermented</w:t>
      </w:r>
      <w:proofErr w:type="gramEnd"/>
      <w:r>
        <w:rPr>
          <w:rFonts w:ascii="Times New Roman" w:eastAsia="Times New Roman" w:hAnsi="Times New Roman" w:cs="Times New Roman"/>
          <w:color w:val="000000"/>
          <w:sz w:val="24"/>
          <w:szCs w:val="24"/>
        </w:rPr>
        <w:t xml:space="preserve"> linseed meal protein in the diets for rohu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w:t>
      </w:r>
      <w:r>
        <w:rPr>
          <w:rFonts w:ascii="Times New Roman" w:eastAsia="Times New Roman" w:hAnsi="Times New Roman" w:cs="Times New Roman"/>
          <w:color w:val="000000"/>
          <w:sz w:val="24"/>
          <w:szCs w:val="24"/>
        </w:rPr>
        <w:t>51-67</w:t>
      </w:r>
      <w:r>
        <w:rPr>
          <w:rFonts w:ascii="Times New Roman" w:eastAsia="Times New Roman" w:hAnsi="Times New Roman" w:cs="Times New Roman"/>
          <w:i/>
          <w:color w:val="000000"/>
          <w:sz w:val="24"/>
          <w:szCs w:val="24"/>
        </w:rPr>
        <w:t>.</w:t>
      </w:r>
    </w:p>
    <w:p w14:paraId="71F87690" w14:textId="78B8CA1B"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Munguti JM, Kim JD, </w:t>
      </w:r>
      <w:proofErr w:type="spellStart"/>
      <w:r>
        <w:rPr>
          <w:rFonts w:ascii="Times New Roman" w:eastAsia="Times New Roman" w:hAnsi="Times New Roman" w:cs="Times New Roman"/>
          <w:sz w:val="24"/>
          <w:szCs w:val="24"/>
        </w:rPr>
        <w:t>Ogello</w:t>
      </w:r>
      <w:proofErr w:type="spellEnd"/>
      <w:r>
        <w:rPr>
          <w:rFonts w:ascii="Times New Roman" w:eastAsia="Times New Roman" w:hAnsi="Times New Roman" w:cs="Times New Roman"/>
          <w:sz w:val="24"/>
          <w:szCs w:val="24"/>
        </w:rPr>
        <w:t xml:space="preserve"> EO. 2014. An overview of Kenyan aquaculture: Current status, challenges, and opportunities for future development. </w:t>
      </w:r>
      <w:r>
        <w:rPr>
          <w:rFonts w:ascii="Times New Roman" w:eastAsia="Times New Roman" w:hAnsi="Times New Roman" w:cs="Times New Roman"/>
          <w:i/>
          <w:sz w:val="24"/>
          <w:szCs w:val="24"/>
        </w:rPr>
        <w:t>Fisheries and Aquatic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(1): 1–11.</w:t>
      </w:r>
    </w:p>
    <w:p w14:paraId="04FDB96D" w14:textId="3BCB6390" w:rsidR="00880542" w:rsidRPr="009B02E2" w:rsidRDefault="00880542" w:rsidP="009B02E2">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Nayak AP, Misra SK, Nanda S, </w:t>
      </w:r>
      <w:proofErr w:type="spellStart"/>
      <w:r>
        <w:rPr>
          <w:rFonts w:ascii="Times New Roman" w:eastAsia="Times New Roman" w:hAnsi="Times New Roman" w:cs="Times New Roman"/>
          <w:color w:val="000000"/>
          <w:sz w:val="24"/>
          <w:szCs w:val="24"/>
        </w:rPr>
        <w:t>Mohanta</w:t>
      </w:r>
      <w:proofErr w:type="spellEnd"/>
      <w:r>
        <w:rPr>
          <w:rFonts w:ascii="Times New Roman" w:eastAsia="Times New Roman" w:hAnsi="Times New Roman" w:cs="Times New Roman"/>
          <w:color w:val="000000"/>
          <w:sz w:val="24"/>
          <w:szCs w:val="24"/>
        </w:rPr>
        <w:t xml:space="preserve"> KN, </w:t>
      </w:r>
      <w:proofErr w:type="spellStart"/>
      <w:r>
        <w:rPr>
          <w:rFonts w:ascii="Times New Roman" w:eastAsia="Times New Roman" w:hAnsi="Times New Roman" w:cs="Times New Roman"/>
          <w:color w:val="000000"/>
          <w:sz w:val="24"/>
          <w:szCs w:val="24"/>
        </w:rPr>
        <w:t>Satpathy</w:t>
      </w:r>
      <w:proofErr w:type="spellEnd"/>
      <w:r>
        <w:rPr>
          <w:rFonts w:ascii="Times New Roman" w:eastAsia="Times New Roman" w:hAnsi="Times New Roman" w:cs="Times New Roman"/>
          <w:color w:val="000000"/>
          <w:sz w:val="24"/>
          <w:szCs w:val="24"/>
        </w:rPr>
        <w:t xml:space="preserve"> D, Mishra RN and </w:t>
      </w:r>
      <w:proofErr w:type="spellStart"/>
      <w:r>
        <w:rPr>
          <w:rFonts w:ascii="Times New Roman" w:eastAsia="Times New Roman" w:hAnsi="Times New Roman" w:cs="Times New Roman"/>
          <w:color w:val="000000"/>
          <w:sz w:val="24"/>
          <w:szCs w:val="24"/>
        </w:rPr>
        <w:t>Siddaiah</w:t>
      </w:r>
      <w:proofErr w:type="spellEnd"/>
      <w:r>
        <w:rPr>
          <w:rFonts w:ascii="Times New Roman" w:eastAsia="Times New Roman" w:hAnsi="Times New Roman" w:cs="Times New Roman"/>
          <w:color w:val="000000"/>
          <w:sz w:val="24"/>
          <w:szCs w:val="24"/>
        </w:rPr>
        <w:t xml:space="preserve"> GM. 2017. Evaluation of nutritionally enhanced feed through microbial fermentation on growth and survival of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(Hamilton), </w:t>
      </w:r>
      <w:r>
        <w:rPr>
          <w:rFonts w:ascii="Times New Roman" w:eastAsia="Times New Roman" w:hAnsi="Times New Roman" w:cs="Times New Roman"/>
          <w:i/>
          <w:color w:val="000000"/>
          <w:sz w:val="24"/>
          <w:szCs w:val="24"/>
        </w:rPr>
        <w:t xml:space="preserve">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(4): 458-462.</w:t>
      </w:r>
    </w:p>
    <w:p w14:paraId="5E5124B3" w14:textId="77777777" w:rsidR="00880542" w:rsidRDefault="00880542" w:rsidP="00B57EA8">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Nikmaram</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Kamani</w:t>
      </w:r>
      <w:proofErr w:type="spellEnd"/>
      <w:r>
        <w:rPr>
          <w:rFonts w:ascii="Times New Roman" w:eastAsia="Times New Roman" w:hAnsi="Times New Roman" w:cs="Times New Roman"/>
          <w:sz w:val="24"/>
          <w:szCs w:val="24"/>
        </w:rPr>
        <w:t xml:space="preserve"> MH and </w:t>
      </w:r>
      <w:proofErr w:type="spellStart"/>
      <w:r>
        <w:rPr>
          <w:rFonts w:ascii="Times New Roman" w:eastAsia="Times New Roman" w:hAnsi="Times New Roman" w:cs="Times New Roman"/>
          <w:sz w:val="24"/>
          <w:szCs w:val="24"/>
        </w:rPr>
        <w:t>Ghalavand</w:t>
      </w:r>
      <w:proofErr w:type="spellEnd"/>
      <w:r>
        <w:rPr>
          <w:rFonts w:ascii="Times New Roman" w:eastAsia="Times New Roman" w:hAnsi="Times New Roman" w:cs="Times New Roman"/>
          <w:sz w:val="24"/>
          <w:szCs w:val="24"/>
        </w:rPr>
        <w:t xml:space="preserve"> R. 2015. The effects of extrusion cooking on antinutritional factors, chemical </w:t>
      </w:r>
      <w:proofErr w:type="spellStart"/>
      <w:r>
        <w:rPr>
          <w:rFonts w:ascii="Times New Roman" w:eastAsia="Times New Roman" w:hAnsi="Times New Roman" w:cs="Times New Roman"/>
          <w:sz w:val="24"/>
          <w:szCs w:val="24"/>
        </w:rPr>
        <w:t>propertiesand</w:t>
      </w:r>
      <w:proofErr w:type="spellEnd"/>
      <w:r>
        <w:rPr>
          <w:rFonts w:ascii="Times New Roman" w:eastAsia="Times New Roman" w:hAnsi="Times New Roman" w:cs="Times New Roman"/>
          <w:sz w:val="24"/>
          <w:szCs w:val="24"/>
        </w:rPr>
        <w:t xml:space="preserve"> contaminating microorganisms of food. </w:t>
      </w:r>
      <w:r>
        <w:rPr>
          <w:rFonts w:ascii="Times New Roman" w:eastAsia="Times New Roman" w:hAnsi="Times New Roman" w:cs="Times New Roman"/>
          <w:i/>
          <w:sz w:val="24"/>
          <w:szCs w:val="24"/>
        </w:rPr>
        <w:t>International Journal of Farming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(4): 352–354.</w:t>
      </w:r>
    </w:p>
    <w:p w14:paraId="2D859507" w14:textId="09D5E4AC" w:rsidR="00880542" w:rsidRDefault="00880542" w:rsidP="00B57EA8">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Odunayo O and Ajiboye O. 2020. Optimization of Heat and Mass Transfer Process in Single Screw Floating Fish Feed Extruder, </w:t>
      </w:r>
      <w:r>
        <w:rPr>
          <w:rFonts w:ascii="Times New Roman" w:eastAsia="Times New Roman" w:hAnsi="Times New Roman" w:cs="Times New Roman"/>
          <w:i/>
          <w:sz w:val="24"/>
          <w:szCs w:val="24"/>
        </w:rPr>
        <w:t xml:space="preserve">Journal of Engineering Research and Reports, </w:t>
      </w:r>
      <w:r>
        <w:rPr>
          <w:rFonts w:ascii="Times New Roman" w:eastAsia="Times New Roman" w:hAnsi="Times New Roman" w:cs="Times New Roman"/>
          <w:b/>
          <w:sz w:val="24"/>
          <w:szCs w:val="24"/>
        </w:rPr>
        <w:t>15</w:t>
      </w:r>
      <w:r>
        <w:rPr>
          <w:rFonts w:ascii="Times New Roman" w:eastAsia="Times New Roman" w:hAnsi="Times New Roman" w:cs="Times New Roman"/>
          <w:i/>
          <w:sz w:val="24"/>
          <w:szCs w:val="24"/>
        </w:rPr>
        <w:t>(1): 34-43.</w:t>
      </w:r>
    </w:p>
    <w:p w14:paraId="06B091F8"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Olukunle</w:t>
      </w:r>
      <w:proofErr w:type="spellEnd"/>
      <w:r>
        <w:rPr>
          <w:rFonts w:ascii="Times New Roman" w:eastAsia="Times New Roman" w:hAnsi="Times New Roman" w:cs="Times New Roman"/>
          <w:sz w:val="24"/>
          <w:szCs w:val="24"/>
        </w:rPr>
        <w:t xml:space="preserve"> O and </w:t>
      </w:r>
      <w:proofErr w:type="spellStart"/>
      <w:r>
        <w:rPr>
          <w:rFonts w:ascii="Times New Roman" w:eastAsia="Times New Roman" w:hAnsi="Times New Roman" w:cs="Times New Roman"/>
          <w:sz w:val="24"/>
          <w:szCs w:val="24"/>
        </w:rPr>
        <w:t>Aduewa</w:t>
      </w:r>
      <w:proofErr w:type="spellEnd"/>
      <w:r>
        <w:rPr>
          <w:rFonts w:ascii="Times New Roman" w:eastAsia="Times New Roman" w:hAnsi="Times New Roman" w:cs="Times New Roman"/>
          <w:sz w:val="24"/>
          <w:szCs w:val="24"/>
        </w:rPr>
        <w:t xml:space="preserve"> T. 2014. Performance Evaluation of Floating Fish Feed Extruder, </w:t>
      </w:r>
      <w:r>
        <w:rPr>
          <w:rFonts w:ascii="Times New Roman" w:eastAsia="Times New Roman" w:hAnsi="Times New Roman" w:cs="Times New Roman"/>
          <w:i/>
          <w:sz w:val="24"/>
          <w:szCs w:val="24"/>
        </w:rPr>
        <w:t xml:space="preserve">IOSR Journal of Agriculture and Veterinary Science (IOSR-JAVS), </w:t>
      </w:r>
      <w:r>
        <w:rPr>
          <w:rFonts w:ascii="Times New Roman" w:eastAsia="Times New Roman" w:hAnsi="Times New Roman" w:cs="Times New Roman"/>
          <w:sz w:val="24"/>
          <w:szCs w:val="24"/>
        </w:rPr>
        <w:t>Volume 7, Issue 12 Ver. II (Dec. 2014), PP 103-113.</w:t>
      </w:r>
    </w:p>
    <w:p w14:paraId="2C1EE756"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Omoregie E, </w:t>
      </w:r>
      <w:proofErr w:type="spellStart"/>
      <w:r>
        <w:rPr>
          <w:rFonts w:ascii="Times New Roman" w:eastAsia="Times New Roman" w:hAnsi="Times New Roman" w:cs="Times New Roman"/>
          <w:color w:val="000000"/>
          <w:sz w:val="24"/>
          <w:szCs w:val="24"/>
        </w:rPr>
        <w:t>Idoko</w:t>
      </w:r>
      <w:proofErr w:type="spellEnd"/>
      <w:r>
        <w:rPr>
          <w:rFonts w:ascii="Times New Roman" w:eastAsia="Times New Roman" w:hAnsi="Times New Roman" w:cs="Times New Roman"/>
          <w:color w:val="000000"/>
          <w:sz w:val="24"/>
          <w:szCs w:val="24"/>
        </w:rPr>
        <w:t xml:space="preserve"> DI and </w:t>
      </w:r>
      <w:proofErr w:type="spellStart"/>
      <w:r>
        <w:rPr>
          <w:rFonts w:ascii="Times New Roman" w:eastAsia="Times New Roman" w:hAnsi="Times New Roman" w:cs="Times New Roman"/>
          <w:color w:val="000000"/>
          <w:sz w:val="24"/>
          <w:szCs w:val="24"/>
        </w:rPr>
        <w:t>Ojobe</w:t>
      </w:r>
      <w:proofErr w:type="spellEnd"/>
      <w:r>
        <w:rPr>
          <w:rFonts w:ascii="Times New Roman" w:eastAsia="Times New Roman" w:hAnsi="Times New Roman" w:cs="Times New Roman"/>
          <w:color w:val="000000"/>
          <w:sz w:val="24"/>
          <w:szCs w:val="24"/>
        </w:rPr>
        <w:t xml:space="preserve"> TO. 2004. Replacement of groundnut meal by cottonseed meal in diets for the toothed carp (</w:t>
      </w:r>
      <w:proofErr w:type="spellStart"/>
      <w:r>
        <w:rPr>
          <w:rFonts w:ascii="Times New Roman" w:eastAsia="Times New Roman" w:hAnsi="Times New Roman" w:cs="Times New Roman"/>
          <w:i/>
          <w:color w:val="000000"/>
          <w:sz w:val="24"/>
          <w:szCs w:val="24"/>
        </w:rPr>
        <w:t>Aphyosemion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gairdneri</w:t>
      </w:r>
      <w:proofErr w:type="spellEnd"/>
      <w:r>
        <w:rPr>
          <w:rFonts w:ascii="Times New Roman" w:eastAsia="Times New Roman" w:hAnsi="Times New Roman" w:cs="Times New Roman"/>
          <w:color w:val="000000"/>
          <w:sz w:val="24"/>
          <w:szCs w:val="24"/>
        </w:rPr>
        <w:t xml:space="preserve">): Growth and feed </w:t>
      </w:r>
      <w:proofErr w:type="spellStart"/>
      <w:r>
        <w:rPr>
          <w:rFonts w:ascii="Times New Roman" w:eastAsia="Times New Roman" w:hAnsi="Times New Roman" w:cs="Times New Roman"/>
          <w:color w:val="000000"/>
          <w:sz w:val="24"/>
          <w:szCs w:val="24"/>
        </w:rPr>
        <w:t>utilisation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Discovery and innovation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(1/2): 26-31.</w:t>
      </w:r>
    </w:p>
    <w:p w14:paraId="3229D75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Pullin R. 1985. Tilapia: Everyman’s fish. </w:t>
      </w:r>
      <w:r>
        <w:rPr>
          <w:rFonts w:ascii="Times New Roman" w:eastAsia="Times New Roman" w:hAnsi="Times New Roman" w:cs="Times New Roman"/>
          <w:i/>
          <w:sz w:val="24"/>
          <w:szCs w:val="24"/>
        </w:rPr>
        <w:t xml:space="preserve">Biologist </w:t>
      </w:r>
      <w:r>
        <w:rPr>
          <w:rFonts w:ascii="Times New Roman" w:eastAsia="Times New Roman" w:hAnsi="Times New Roman" w:cs="Times New Roman"/>
          <w:sz w:val="24"/>
          <w:szCs w:val="24"/>
        </w:rPr>
        <w:t xml:space="preserve">1985,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84–88.</w:t>
      </w:r>
    </w:p>
    <w:p w14:paraId="37FF7F2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Rehman T, Asad F, Qureshi NA and Iqbal S. 2013. Effect of plant ingredients (Soybean and Sunflower meal) on growth and body composition </w:t>
      </w:r>
      <w:r>
        <w:rPr>
          <w:rFonts w:ascii="Times New Roman" w:eastAsia="Times New Roman" w:hAnsi="Times New Roman" w:cs="Times New Roman"/>
          <w:i/>
          <w:color w:val="000000"/>
          <w:sz w:val="24"/>
          <w:szCs w:val="24"/>
        </w:rPr>
        <w:t xml:space="preserve">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American Journal of Life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(3): 125-129.</w:t>
      </w:r>
    </w:p>
    <w:p w14:paraId="09CEDD74"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Saha S, Ray AK. 2011. Evaluation of nutritive value of water hyacinth (</w:t>
      </w:r>
      <w:r>
        <w:rPr>
          <w:rFonts w:ascii="Times New Roman" w:eastAsia="Times New Roman" w:hAnsi="Times New Roman" w:cs="Times New Roman"/>
          <w:i/>
          <w:color w:val="000000"/>
          <w:sz w:val="24"/>
          <w:szCs w:val="24"/>
        </w:rPr>
        <w:t>Eichhornia crassipes</w:t>
      </w:r>
      <w:r>
        <w:rPr>
          <w:rFonts w:ascii="Times New Roman" w:eastAsia="Times New Roman" w:hAnsi="Times New Roman" w:cs="Times New Roman"/>
          <w:color w:val="000000"/>
          <w:sz w:val="24"/>
          <w:szCs w:val="24"/>
        </w:rPr>
        <w:t xml:space="preserve">) leaf meal in compound diets for rohu,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(Hamilton, 1822) fingerlings after fermentation with two bacterial strains isolated from</w:t>
      </w:r>
      <w:r>
        <w:rPr>
          <w:rFonts w:ascii="Times New Roman" w:eastAsia="Times New Roman" w:hAnsi="Times New Roman" w:cs="Times New Roman"/>
          <w:color w:val="000000"/>
          <w:sz w:val="24"/>
          <w:szCs w:val="24"/>
        </w:rPr>
        <w:br/>
        <w:t xml:space="preserve">fish gut, </w:t>
      </w:r>
      <w:r>
        <w:rPr>
          <w:rFonts w:ascii="Times New Roman" w:eastAsia="Times New Roman" w:hAnsi="Times New Roman" w:cs="Times New Roman"/>
          <w:i/>
          <w:color w:val="000000"/>
          <w:sz w:val="24"/>
          <w:szCs w:val="24"/>
        </w:rPr>
        <w:t>Turkish Journal of Fisheries and Aquatic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:199-207.</w:t>
      </w:r>
    </w:p>
    <w:p w14:paraId="75B8D210"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Sorensen M. 2012. A review of the effects of ingredient composition and processing conditions on the physical qualities of extruded </w:t>
      </w:r>
      <w:proofErr w:type="spellStart"/>
      <w:r>
        <w:rPr>
          <w:rFonts w:ascii="Times New Roman" w:eastAsia="Times New Roman" w:hAnsi="Times New Roman" w:cs="Times New Roman"/>
          <w:sz w:val="24"/>
          <w:szCs w:val="24"/>
        </w:rPr>
        <w:t>highenergy</w:t>
      </w:r>
      <w:proofErr w:type="spellEnd"/>
      <w:r>
        <w:rPr>
          <w:rFonts w:ascii="Times New Roman" w:eastAsia="Times New Roman" w:hAnsi="Times New Roman" w:cs="Times New Roman"/>
          <w:sz w:val="24"/>
          <w:szCs w:val="24"/>
        </w:rPr>
        <w:t xml:space="preserve"> fish feed as measured by prevailing methods. </w:t>
      </w:r>
      <w:r>
        <w:rPr>
          <w:rFonts w:ascii="Times New Roman" w:eastAsia="Times New Roman" w:hAnsi="Times New Roman" w:cs="Times New Roman"/>
          <w:i/>
          <w:sz w:val="24"/>
          <w:szCs w:val="24"/>
        </w:rPr>
        <w:t>Aquaculture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(3): 233–248.</w:t>
      </w:r>
    </w:p>
    <w:p w14:paraId="4002A69D" w14:textId="4E0882E1" w:rsidR="00B57EA8" w:rsidRP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Tsevis</w:t>
      </w:r>
      <w:proofErr w:type="spellEnd"/>
      <w:r>
        <w:rPr>
          <w:rFonts w:ascii="Times New Roman" w:eastAsia="Times New Roman" w:hAnsi="Times New Roman" w:cs="Times New Roman"/>
          <w:sz w:val="24"/>
          <w:szCs w:val="24"/>
        </w:rPr>
        <w:t xml:space="preserve"> AA and </w:t>
      </w:r>
      <w:proofErr w:type="spellStart"/>
      <w:r>
        <w:rPr>
          <w:rFonts w:ascii="Times New Roman" w:eastAsia="Times New Roman" w:hAnsi="Times New Roman" w:cs="Times New Roman"/>
          <w:sz w:val="24"/>
          <w:szCs w:val="24"/>
        </w:rPr>
        <w:t>Azzaydi</w:t>
      </w:r>
      <w:proofErr w:type="spellEnd"/>
      <w:r>
        <w:rPr>
          <w:rFonts w:ascii="Times New Roman" w:eastAsia="Times New Roman" w:hAnsi="Times New Roman" w:cs="Times New Roman"/>
          <w:sz w:val="24"/>
          <w:szCs w:val="24"/>
        </w:rPr>
        <w:t xml:space="preserve"> TA. 2000. Effect of feeding regime on selected species of fish. </w:t>
      </w:r>
      <w:r>
        <w:rPr>
          <w:rFonts w:ascii="Times New Roman" w:eastAsia="Times New Roman" w:hAnsi="Times New Roman" w:cs="Times New Roman"/>
          <w:i/>
          <w:sz w:val="24"/>
          <w:szCs w:val="24"/>
        </w:rPr>
        <w:t>Article publication of FISON</w:t>
      </w:r>
      <w:r>
        <w:rPr>
          <w:rFonts w:ascii="Times New Roman" w:eastAsia="Times New Roman" w:hAnsi="Times New Roman" w:cs="Times New Roman"/>
          <w:sz w:val="24"/>
          <w:szCs w:val="24"/>
        </w:rPr>
        <w:t>, Feb., 2000, Agora.</w:t>
      </w:r>
    </w:p>
    <w:sectPr w:rsidR="00B57EA8" w:rsidRPr="00054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BF5D1" w14:textId="77777777" w:rsidR="00DA1E77" w:rsidRDefault="00DA1E77" w:rsidP="00FA349E">
      <w:pPr>
        <w:spacing w:after="0" w:line="240" w:lineRule="auto"/>
      </w:pPr>
      <w:r>
        <w:separator/>
      </w:r>
    </w:p>
  </w:endnote>
  <w:endnote w:type="continuationSeparator" w:id="0">
    <w:p w14:paraId="6FA7F2D2" w14:textId="77777777" w:rsidR="00DA1E77" w:rsidRDefault="00DA1E77" w:rsidP="00FA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78C9" w14:textId="77777777" w:rsidR="00FA349E" w:rsidRDefault="00FA3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72D" w14:textId="77777777" w:rsidR="00FA349E" w:rsidRDefault="00FA3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7FB4" w14:textId="77777777" w:rsidR="00FA349E" w:rsidRDefault="00FA3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75FA0" w14:textId="77777777" w:rsidR="00DA1E77" w:rsidRDefault="00DA1E77" w:rsidP="00FA349E">
      <w:pPr>
        <w:spacing w:after="0" w:line="240" w:lineRule="auto"/>
      </w:pPr>
      <w:r>
        <w:separator/>
      </w:r>
    </w:p>
  </w:footnote>
  <w:footnote w:type="continuationSeparator" w:id="0">
    <w:p w14:paraId="40B873CA" w14:textId="77777777" w:rsidR="00DA1E77" w:rsidRDefault="00DA1E77" w:rsidP="00FA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97F6" w14:textId="135C9DDA" w:rsidR="00FA349E" w:rsidRDefault="00FA349E">
    <w:pPr>
      <w:pStyle w:val="Header"/>
    </w:pPr>
    <w:r>
      <w:rPr>
        <w:noProof/>
      </w:rPr>
      <w:pict w14:anchorId="7BC36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EE38" w14:textId="6A95751B" w:rsidR="00FA349E" w:rsidRDefault="00FA349E">
    <w:pPr>
      <w:pStyle w:val="Header"/>
    </w:pPr>
    <w:r>
      <w:rPr>
        <w:noProof/>
      </w:rPr>
      <w:pict w14:anchorId="626C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A7B" w14:textId="7F84B911" w:rsidR="00FA349E" w:rsidRDefault="00FA349E">
    <w:pPr>
      <w:pStyle w:val="Header"/>
    </w:pPr>
    <w:r>
      <w:rPr>
        <w:noProof/>
      </w:rPr>
      <w:pict w14:anchorId="50524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669"/>
    <w:multiLevelType w:val="multilevel"/>
    <w:tmpl w:val="DCDED0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10AF4"/>
    <w:multiLevelType w:val="multilevel"/>
    <w:tmpl w:val="ADAE6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47C94"/>
    <w:multiLevelType w:val="multilevel"/>
    <w:tmpl w:val="1378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93"/>
    <w:rsid w:val="00002606"/>
    <w:rsid w:val="000535BD"/>
    <w:rsid w:val="00054224"/>
    <w:rsid w:val="000776E5"/>
    <w:rsid w:val="00113A3B"/>
    <w:rsid w:val="0013614C"/>
    <w:rsid w:val="00171326"/>
    <w:rsid w:val="001B5717"/>
    <w:rsid w:val="002D3E5E"/>
    <w:rsid w:val="002E725F"/>
    <w:rsid w:val="00331412"/>
    <w:rsid w:val="003B1BEC"/>
    <w:rsid w:val="003E375F"/>
    <w:rsid w:val="003E6911"/>
    <w:rsid w:val="003F5D44"/>
    <w:rsid w:val="00407DB0"/>
    <w:rsid w:val="004875E5"/>
    <w:rsid w:val="005057AF"/>
    <w:rsid w:val="005538F2"/>
    <w:rsid w:val="005623AA"/>
    <w:rsid w:val="00574A9D"/>
    <w:rsid w:val="005A11CE"/>
    <w:rsid w:val="005D1161"/>
    <w:rsid w:val="005E5E4A"/>
    <w:rsid w:val="007A0C93"/>
    <w:rsid w:val="007B4B3E"/>
    <w:rsid w:val="007C2659"/>
    <w:rsid w:val="007D6CAB"/>
    <w:rsid w:val="007E7ECE"/>
    <w:rsid w:val="00880542"/>
    <w:rsid w:val="008F22F3"/>
    <w:rsid w:val="00901AEB"/>
    <w:rsid w:val="00903593"/>
    <w:rsid w:val="00904D20"/>
    <w:rsid w:val="0096384D"/>
    <w:rsid w:val="00996AC3"/>
    <w:rsid w:val="009A33F6"/>
    <w:rsid w:val="009B02E2"/>
    <w:rsid w:val="009B3388"/>
    <w:rsid w:val="00A1465D"/>
    <w:rsid w:val="00A2278D"/>
    <w:rsid w:val="00A76DC2"/>
    <w:rsid w:val="00A9744A"/>
    <w:rsid w:val="00AA3C63"/>
    <w:rsid w:val="00B560E6"/>
    <w:rsid w:val="00B57EA8"/>
    <w:rsid w:val="00BA39C4"/>
    <w:rsid w:val="00BF7574"/>
    <w:rsid w:val="00CD56D8"/>
    <w:rsid w:val="00CF6775"/>
    <w:rsid w:val="00D01279"/>
    <w:rsid w:val="00D22007"/>
    <w:rsid w:val="00D3027C"/>
    <w:rsid w:val="00D62ECC"/>
    <w:rsid w:val="00D7044C"/>
    <w:rsid w:val="00D8716E"/>
    <w:rsid w:val="00DA1E77"/>
    <w:rsid w:val="00E20582"/>
    <w:rsid w:val="00E23830"/>
    <w:rsid w:val="00E3180D"/>
    <w:rsid w:val="00E7021F"/>
    <w:rsid w:val="00E9520E"/>
    <w:rsid w:val="00F324A0"/>
    <w:rsid w:val="00FA349E"/>
    <w:rsid w:val="00FE4A41"/>
    <w:rsid w:val="00FE560F"/>
    <w:rsid w:val="00FE6E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984B6"/>
  <w15:chartTrackingRefBased/>
  <w15:docId w15:val="{158F93D3-396C-4703-8946-069F004E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D"/>
    <w:pPr>
      <w:ind w:left="720"/>
      <w:contextualSpacing/>
    </w:pPr>
  </w:style>
  <w:style w:type="character" w:styleId="Hyperlink">
    <w:name w:val="Hyperlink"/>
    <w:basedOn w:val="DefaultParagraphFont"/>
    <w:uiPriority w:val="99"/>
    <w:unhideWhenUsed/>
    <w:rsid w:val="003E6911"/>
    <w:rPr>
      <w:color w:val="0563C1" w:themeColor="hyperlink"/>
      <w:u w:val="single"/>
    </w:rPr>
  </w:style>
  <w:style w:type="character" w:styleId="UnresolvedMention">
    <w:name w:val="Unresolved Mention"/>
    <w:basedOn w:val="DefaultParagraphFont"/>
    <w:uiPriority w:val="99"/>
    <w:semiHidden/>
    <w:unhideWhenUsed/>
    <w:rsid w:val="003E6911"/>
    <w:rPr>
      <w:color w:val="605E5C"/>
      <w:shd w:val="clear" w:color="auto" w:fill="E1DFDD"/>
    </w:rPr>
  </w:style>
  <w:style w:type="paragraph" w:styleId="Header">
    <w:name w:val="header"/>
    <w:basedOn w:val="Normal"/>
    <w:link w:val="HeaderChar"/>
    <w:uiPriority w:val="99"/>
    <w:unhideWhenUsed/>
    <w:rsid w:val="00FA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9E"/>
  </w:style>
  <w:style w:type="paragraph" w:styleId="Footer">
    <w:name w:val="footer"/>
    <w:basedOn w:val="Normal"/>
    <w:link w:val="FooterChar"/>
    <w:uiPriority w:val="99"/>
    <w:unhideWhenUsed/>
    <w:rsid w:val="00FA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97432">
      <w:bodyDiv w:val="1"/>
      <w:marLeft w:val="0"/>
      <w:marRight w:val="0"/>
      <w:marTop w:val="0"/>
      <w:marBottom w:val="0"/>
      <w:divBdr>
        <w:top w:val="none" w:sz="0" w:space="0" w:color="auto"/>
        <w:left w:val="none" w:sz="0" w:space="0" w:color="auto"/>
        <w:bottom w:val="none" w:sz="0" w:space="0" w:color="auto"/>
        <w:right w:val="none" w:sz="0" w:space="0" w:color="auto"/>
      </w:divBdr>
    </w:div>
    <w:div w:id="19194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raincanada.gc.ca" TargetMode="Externa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Weight</a:t>
            </a:r>
            <a:r>
              <a:rPr lang="en-US" sz="1200" baseline="0"/>
              <a:t> gain in fish</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42929466846954"/>
          <c:y val="0.19493561727636224"/>
          <c:w val="0.69790317408666358"/>
          <c:h val="0.60784338759753065"/>
        </c:manualLayout>
      </c:layout>
      <c:bar3DChart>
        <c:barDir val="col"/>
        <c:grouping val="clustered"/>
        <c:varyColors val="0"/>
        <c:ser>
          <c:idx val="0"/>
          <c:order val="0"/>
          <c:tx>
            <c:strRef>
              <c:f>Sheet1!$M$38</c:f>
              <c:strCache>
                <c:ptCount val="1"/>
                <c:pt idx="0">
                  <c:v>Initial weight </c:v>
                </c:pt>
              </c:strCache>
            </c:strRef>
          </c:tx>
          <c:invertIfNegative val="0"/>
          <c:dLbls>
            <c:dLbl>
              <c:idx val="0"/>
              <c:layout>
                <c:manualLayout>
                  <c:x val="-1.003058142620652E-2"/>
                  <c:y val="8.49331198321847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Sheet1!$N$38:$Q$38</c:f>
              <c:numCache>
                <c:formatCode>General</c:formatCode>
                <c:ptCount val="4"/>
                <c:pt idx="0">
                  <c:v>1.256</c:v>
                </c:pt>
                <c:pt idx="1">
                  <c:v>1.238</c:v>
                </c:pt>
                <c:pt idx="2">
                  <c:v>1.161</c:v>
                </c:pt>
                <c:pt idx="3" formatCode="0.000">
                  <c:v>1.1599999999999839</c:v>
                </c:pt>
              </c:numCache>
            </c:numRef>
          </c:val>
          <c:extLst>
            <c:ext xmlns:c16="http://schemas.microsoft.com/office/drawing/2014/chart" uri="{C3380CC4-5D6E-409C-BE32-E72D297353CC}">
              <c16:uniqueId val="{00000001-41C0-4567-9785-464854D22752}"/>
            </c:ext>
          </c:extLst>
        </c:ser>
        <c:ser>
          <c:idx val="1"/>
          <c:order val="1"/>
          <c:tx>
            <c:strRef>
              <c:f>Sheet1!$M$39</c:f>
              <c:strCache>
                <c:ptCount val="1"/>
                <c:pt idx="0">
                  <c:v>Final weight </c:v>
                </c:pt>
              </c:strCache>
            </c:strRef>
          </c:tx>
          <c:invertIfNegative val="0"/>
          <c:dLbls>
            <c:dLbl>
              <c:idx val="0"/>
              <c:layout>
                <c:manualLayout>
                  <c:x val="7.52293606965488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C0-4567-9785-464854D22752}"/>
                </c:ext>
              </c:extLst>
            </c:dLbl>
            <c:dLbl>
              <c:idx val="2"/>
              <c:layout>
                <c:manualLayout>
                  <c:x val="5.0152907131033814E-3"/>
                  <c:y val="-1.853107657894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C0-4567-9785-464854D22752}"/>
                </c:ext>
              </c:extLst>
            </c:dLbl>
            <c:dLbl>
              <c:idx val="3"/>
              <c:layout>
                <c:manualLayout>
                  <c:x val="1.003058142620652E-2"/>
                  <c:y val="-1.38983074342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Sheet1!$N$39:$Q$39</c:f>
              <c:numCache>
                <c:formatCode>General</c:formatCode>
                <c:ptCount val="4"/>
                <c:pt idx="0">
                  <c:v>5.5659999999999945</c:v>
                </c:pt>
                <c:pt idx="1">
                  <c:v>5.5190000000000001</c:v>
                </c:pt>
                <c:pt idx="2">
                  <c:v>5.101</c:v>
                </c:pt>
                <c:pt idx="3">
                  <c:v>6.6609999999999845</c:v>
                </c:pt>
              </c:numCache>
            </c:numRef>
          </c:val>
          <c:extLst>
            <c:ext xmlns:c16="http://schemas.microsoft.com/office/drawing/2014/chart" uri="{C3380CC4-5D6E-409C-BE32-E72D297353CC}">
              <c16:uniqueId val="{00000005-41C0-4567-9785-464854D22752}"/>
            </c:ext>
          </c:extLst>
        </c:ser>
        <c:dLbls>
          <c:showLegendKey val="0"/>
          <c:showVal val="0"/>
          <c:showCatName val="0"/>
          <c:showSerName val="0"/>
          <c:showPercent val="0"/>
          <c:showBubbleSize val="0"/>
        </c:dLbls>
        <c:gapWidth val="150"/>
        <c:shape val="box"/>
        <c:axId val="420519296"/>
        <c:axId val="420537856"/>
        <c:axId val="0"/>
      </c:bar3DChart>
      <c:catAx>
        <c:axId val="420519296"/>
        <c:scaling>
          <c:orientation val="minMax"/>
        </c:scaling>
        <c:delete val="0"/>
        <c:axPos val="b"/>
        <c:title>
          <c:tx>
            <c:rich>
              <a:bodyPr/>
              <a:lstStyle/>
              <a:p>
                <a:pPr>
                  <a:defRPr/>
                </a:pPr>
                <a:r>
                  <a:rPr lang="en-US" sz="1000"/>
                  <a:t>Treatments</a:t>
                </a:r>
              </a:p>
            </c:rich>
          </c:tx>
          <c:overlay val="0"/>
        </c:title>
        <c:numFmt formatCode="General" sourceLinked="0"/>
        <c:majorTickMark val="out"/>
        <c:minorTickMark val="none"/>
        <c:tickLblPos val="nextTo"/>
        <c:crossAx val="420537856"/>
        <c:crosses val="autoZero"/>
        <c:auto val="1"/>
        <c:lblAlgn val="ctr"/>
        <c:lblOffset val="100"/>
        <c:noMultiLvlLbl val="0"/>
      </c:catAx>
      <c:valAx>
        <c:axId val="420537856"/>
        <c:scaling>
          <c:orientation val="minMax"/>
        </c:scaling>
        <c:delete val="0"/>
        <c:axPos val="l"/>
        <c:majorGridlines/>
        <c:title>
          <c:tx>
            <c:rich>
              <a:bodyPr rot="-5400000" vert="horz"/>
              <a:lstStyle/>
              <a:p>
                <a:pPr>
                  <a:defRPr/>
                </a:pPr>
                <a:r>
                  <a:rPr lang="en-US" sz="1000"/>
                  <a:t>Weight</a:t>
                </a:r>
                <a:r>
                  <a:rPr lang="en-US" sz="1000" baseline="0"/>
                  <a:t> of fish</a:t>
                </a:r>
                <a:endParaRPr lang="en-US" sz="1000"/>
              </a:p>
            </c:rich>
          </c:tx>
          <c:overlay val="0"/>
        </c:title>
        <c:numFmt formatCode="General" sourceLinked="1"/>
        <c:majorTickMark val="out"/>
        <c:minorTickMark val="none"/>
        <c:tickLblPos val="nextTo"/>
        <c:crossAx val="420519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Percentage Weight Gain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791494594555342"/>
          <c:y val="0.17539111001672841"/>
          <c:w val="0.79319371266882299"/>
          <c:h val="0.60555103759054463"/>
        </c:manualLayout>
      </c:layout>
      <c:bar3DChart>
        <c:barDir val="col"/>
        <c:grouping val="clustered"/>
        <c:varyColors val="0"/>
        <c:ser>
          <c:idx val="0"/>
          <c:order val="0"/>
          <c:tx>
            <c:strRef>
              <c:f>Sheet1!$D$51</c:f>
              <c:strCache>
                <c:ptCount val="1"/>
                <c:pt idx="0">
                  <c:v>Percentage Weight Gain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Sheet1!$E$50:$H$50</c:f>
              <c:strCache>
                <c:ptCount val="4"/>
                <c:pt idx="0">
                  <c:v>T0</c:v>
                </c:pt>
                <c:pt idx="1">
                  <c:v>T1</c:v>
                </c:pt>
                <c:pt idx="2">
                  <c:v>T2</c:v>
                </c:pt>
                <c:pt idx="3">
                  <c:v>T3</c:v>
                </c:pt>
              </c:strCache>
            </c:strRef>
          </c:cat>
          <c:val>
            <c:numRef>
              <c:f>Sheet1!$E$51:$H$51</c:f>
              <c:numCache>
                <c:formatCode>0.0</c:formatCode>
                <c:ptCount val="4"/>
                <c:pt idx="0">
                  <c:v>343.2</c:v>
                </c:pt>
                <c:pt idx="1">
                  <c:v>345.8</c:v>
                </c:pt>
                <c:pt idx="2">
                  <c:v>339.4</c:v>
                </c:pt>
                <c:pt idx="3">
                  <c:v>474.2</c:v>
                </c:pt>
              </c:numCache>
            </c:numRef>
          </c:val>
          <c:extLst>
            <c:ext xmlns:c16="http://schemas.microsoft.com/office/drawing/2014/chart" uri="{C3380CC4-5D6E-409C-BE32-E72D297353CC}">
              <c16:uniqueId val="{00000000-9BE2-40A0-A664-63ADE6F3C5A8}"/>
            </c:ext>
          </c:extLst>
        </c:ser>
        <c:dLbls>
          <c:showLegendKey val="0"/>
          <c:showVal val="0"/>
          <c:showCatName val="0"/>
          <c:showSerName val="0"/>
          <c:showPercent val="0"/>
          <c:showBubbleSize val="0"/>
        </c:dLbls>
        <c:gapWidth val="150"/>
        <c:shape val="box"/>
        <c:axId val="421350016"/>
        <c:axId val="421397248"/>
        <c:axId val="0"/>
      </c:bar3DChart>
      <c:catAx>
        <c:axId val="421350016"/>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322340377305496"/>
              <c:y val="0.90132956294396749"/>
            </c:manualLayout>
          </c:layout>
          <c:overlay val="0"/>
        </c:title>
        <c:numFmt formatCode="General" sourceLinked="0"/>
        <c:majorTickMark val="out"/>
        <c:minorTickMark val="none"/>
        <c:tickLblPos val="nextTo"/>
        <c:crossAx val="421397248"/>
        <c:crosses val="autoZero"/>
        <c:auto val="1"/>
        <c:lblAlgn val="ctr"/>
        <c:lblOffset val="100"/>
        <c:noMultiLvlLbl val="0"/>
      </c:catAx>
      <c:valAx>
        <c:axId val="421397248"/>
        <c:scaling>
          <c:orientation val="minMax"/>
        </c:scaling>
        <c:delete val="0"/>
        <c:axPos val="l"/>
        <c:majorGridlines/>
        <c:title>
          <c:tx>
            <c:rich>
              <a:bodyPr rot="-5400000" vert="horz"/>
              <a:lstStyle/>
              <a:p>
                <a:pPr>
                  <a:defRPr/>
                </a:pPr>
                <a:r>
                  <a:rPr lang="en-US" sz="1000"/>
                  <a:t>Weight gain (%)</a:t>
                </a:r>
              </a:p>
            </c:rich>
          </c:tx>
          <c:overlay val="0"/>
        </c:title>
        <c:numFmt formatCode="0.0" sourceLinked="1"/>
        <c:majorTickMark val="out"/>
        <c:minorTickMark val="none"/>
        <c:tickLblPos val="nextTo"/>
        <c:crossAx val="421350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Specific Growth Rate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28018372703797"/>
          <c:y val="0.18431409880327282"/>
          <c:w val="0.81916426071740756"/>
          <c:h val="0.60798027271899502"/>
        </c:manualLayout>
      </c:layout>
      <c:bar3DChart>
        <c:barDir val="col"/>
        <c:grouping val="clustered"/>
        <c:varyColors val="0"/>
        <c:ser>
          <c:idx val="0"/>
          <c:order val="0"/>
          <c:tx>
            <c:strRef>
              <c:f>Sheet1!$T$38</c:f>
              <c:strCache>
                <c:ptCount val="1"/>
                <c:pt idx="0">
                  <c:v>Specific Growth Rate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Sheet1!$U$37:$X$37</c:f>
              <c:strCache>
                <c:ptCount val="4"/>
                <c:pt idx="0">
                  <c:v>T0</c:v>
                </c:pt>
                <c:pt idx="1">
                  <c:v>T1</c:v>
                </c:pt>
                <c:pt idx="2">
                  <c:v>T2</c:v>
                </c:pt>
                <c:pt idx="3">
                  <c:v>T3</c:v>
                </c:pt>
              </c:strCache>
            </c:strRef>
          </c:cat>
          <c:val>
            <c:numRef>
              <c:f>Sheet1!$U$38:$X$38</c:f>
              <c:numCache>
                <c:formatCode>0.00</c:formatCode>
                <c:ptCount val="4"/>
                <c:pt idx="0">
                  <c:v>2.48</c:v>
                </c:pt>
                <c:pt idx="1">
                  <c:v>2.4899999999999998</c:v>
                </c:pt>
                <c:pt idx="2">
                  <c:v>2.4699999999999998</c:v>
                </c:pt>
                <c:pt idx="3">
                  <c:v>2.9099999999999997</c:v>
                </c:pt>
              </c:numCache>
            </c:numRef>
          </c:val>
          <c:extLst>
            <c:ext xmlns:c16="http://schemas.microsoft.com/office/drawing/2014/chart" uri="{C3380CC4-5D6E-409C-BE32-E72D297353CC}">
              <c16:uniqueId val="{00000000-701B-4489-8718-2BF92A383DDF}"/>
            </c:ext>
          </c:extLst>
        </c:ser>
        <c:dLbls>
          <c:showLegendKey val="0"/>
          <c:showVal val="0"/>
          <c:showCatName val="0"/>
          <c:showSerName val="0"/>
          <c:showPercent val="0"/>
          <c:showBubbleSize val="0"/>
        </c:dLbls>
        <c:gapWidth val="150"/>
        <c:shape val="box"/>
        <c:axId val="421537280"/>
        <c:axId val="421539200"/>
        <c:axId val="0"/>
      </c:bar3DChart>
      <c:catAx>
        <c:axId val="421537280"/>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837490766749126"/>
              <c:y val="0.90572014635821363"/>
            </c:manualLayout>
          </c:layout>
          <c:overlay val="0"/>
        </c:title>
        <c:numFmt formatCode="General" sourceLinked="0"/>
        <c:majorTickMark val="out"/>
        <c:minorTickMark val="none"/>
        <c:tickLblPos val="nextTo"/>
        <c:crossAx val="421539200"/>
        <c:crosses val="autoZero"/>
        <c:auto val="1"/>
        <c:lblAlgn val="ctr"/>
        <c:lblOffset val="100"/>
        <c:noMultiLvlLbl val="0"/>
      </c:catAx>
      <c:valAx>
        <c:axId val="421539200"/>
        <c:scaling>
          <c:orientation val="minMax"/>
        </c:scaling>
        <c:delete val="0"/>
        <c:axPos val="l"/>
        <c:majorGridlines/>
        <c:title>
          <c:tx>
            <c:rich>
              <a:bodyPr rot="-5400000" vert="horz"/>
              <a:lstStyle/>
              <a:p>
                <a:pPr>
                  <a:defRPr/>
                </a:pPr>
                <a:r>
                  <a:rPr lang="en-US" sz="1000"/>
                  <a:t>S.G.R Value</a:t>
                </a:r>
              </a:p>
            </c:rich>
          </c:tx>
          <c:overlay val="0"/>
        </c:title>
        <c:numFmt formatCode="0.00" sourceLinked="1"/>
        <c:majorTickMark val="out"/>
        <c:minorTickMark val="none"/>
        <c:tickLblPos val="nextTo"/>
        <c:crossAx val="4215372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Feed Conversion Ratio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563520433952965"/>
          <c:y val="0.17177170889294371"/>
          <c:w val="0.84678069673841383"/>
          <c:h val="0.61247629810508875"/>
        </c:manualLayout>
      </c:layout>
      <c:bar3DChart>
        <c:barDir val="col"/>
        <c:grouping val="clustered"/>
        <c:varyColors val="0"/>
        <c:ser>
          <c:idx val="0"/>
          <c:order val="0"/>
          <c:tx>
            <c:strRef>
              <c:f>Sheet1!$K$60</c:f>
              <c:strCache>
                <c:ptCount val="1"/>
                <c:pt idx="0">
                  <c:v>Feed Conversion Ratio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Sheet1!$L$59:$O$59</c:f>
              <c:strCache>
                <c:ptCount val="4"/>
                <c:pt idx="0">
                  <c:v>T0</c:v>
                </c:pt>
                <c:pt idx="1">
                  <c:v>T1</c:v>
                </c:pt>
                <c:pt idx="2">
                  <c:v>T2</c:v>
                </c:pt>
                <c:pt idx="3">
                  <c:v>T3</c:v>
                </c:pt>
              </c:strCache>
            </c:strRef>
          </c:cat>
          <c:val>
            <c:numRef>
              <c:f>Sheet1!$L$60:$O$60</c:f>
              <c:numCache>
                <c:formatCode>0.00</c:formatCode>
                <c:ptCount val="4"/>
                <c:pt idx="0">
                  <c:v>2.68</c:v>
                </c:pt>
                <c:pt idx="1">
                  <c:v>2.79</c:v>
                </c:pt>
                <c:pt idx="2">
                  <c:v>3.09</c:v>
                </c:pt>
                <c:pt idx="3">
                  <c:v>2.27</c:v>
                </c:pt>
              </c:numCache>
            </c:numRef>
          </c:val>
          <c:extLst>
            <c:ext xmlns:c16="http://schemas.microsoft.com/office/drawing/2014/chart" uri="{C3380CC4-5D6E-409C-BE32-E72D297353CC}">
              <c16:uniqueId val="{00000000-3D2E-4063-86F3-2F1CF94365A0}"/>
            </c:ext>
          </c:extLst>
        </c:ser>
        <c:dLbls>
          <c:showLegendKey val="0"/>
          <c:showVal val="1"/>
          <c:showCatName val="0"/>
          <c:showSerName val="0"/>
          <c:showPercent val="0"/>
          <c:showBubbleSize val="0"/>
        </c:dLbls>
        <c:gapWidth val="150"/>
        <c:shape val="box"/>
        <c:axId val="421585664"/>
        <c:axId val="421587584"/>
        <c:axId val="0"/>
      </c:bar3DChart>
      <c:catAx>
        <c:axId val="421585664"/>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0329813038772999"/>
              <c:y val="0.88390299739477662"/>
            </c:manualLayout>
          </c:layout>
          <c:overlay val="0"/>
        </c:title>
        <c:numFmt formatCode="General" sourceLinked="1"/>
        <c:majorTickMark val="out"/>
        <c:minorTickMark val="none"/>
        <c:tickLblPos val="nextTo"/>
        <c:crossAx val="421587584"/>
        <c:crosses val="autoZero"/>
        <c:auto val="1"/>
        <c:lblAlgn val="ctr"/>
        <c:lblOffset val="100"/>
        <c:noMultiLvlLbl val="0"/>
      </c:catAx>
      <c:valAx>
        <c:axId val="421587584"/>
        <c:scaling>
          <c:orientation val="minMax"/>
        </c:scaling>
        <c:delete val="0"/>
        <c:axPos val="l"/>
        <c:majorGridlines/>
        <c:title>
          <c:tx>
            <c:rich>
              <a:bodyPr rot="-5400000" vert="horz"/>
              <a:lstStyle/>
              <a:p>
                <a:pPr>
                  <a:defRPr/>
                </a:pPr>
                <a:r>
                  <a:rPr lang="en-US" sz="1000"/>
                  <a:t>F.C.R</a:t>
                </a:r>
                <a:r>
                  <a:rPr lang="en-US" sz="1000" baseline="0"/>
                  <a:t> Value</a:t>
                </a:r>
                <a:endParaRPr lang="en-US" sz="1000"/>
              </a:p>
            </c:rich>
          </c:tx>
          <c:layout>
            <c:manualLayout>
              <c:xMode val="edge"/>
              <c:yMode val="edge"/>
              <c:x val="2.2836352896162412E-2"/>
              <c:y val="0.36503168465444608"/>
            </c:manualLayout>
          </c:layout>
          <c:overlay val="0"/>
        </c:title>
        <c:numFmt formatCode="0.00" sourceLinked="1"/>
        <c:majorTickMark val="out"/>
        <c:minorTickMark val="none"/>
        <c:tickLblPos val="nextTo"/>
        <c:crossAx val="421585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23</Pages>
  <Words>6674</Words>
  <Characters>38047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11</cp:revision>
  <dcterms:created xsi:type="dcterms:W3CDTF">2024-03-31T18:36:00Z</dcterms:created>
  <dcterms:modified xsi:type="dcterms:W3CDTF">2025-03-28T06:44:00Z</dcterms:modified>
</cp:coreProperties>
</file>