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7BE60" w14:textId="6C51F5F9" w:rsidR="0033363D" w:rsidRDefault="0033363D" w:rsidP="0025158E">
      <w:pPr>
        <w:spacing w:line="480" w:lineRule="auto"/>
        <w:jc w:val="both"/>
        <w:rPr>
          <w:rFonts w:ascii="Palatino Linotype" w:hAnsi="Palatino Linotype" w:cs="Times New Roman"/>
          <w:b/>
          <w:bCs/>
          <w:sz w:val="20"/>
          <w:szCs w:val="20"/>
        </w:rPr>
      </w:pPr>
      <w:r w:rsidRPr="0033363D">
        <w:rPr>
          <w:rFonts w:ascii="Palatino Linotype" w:hAnsi="Palatino Linotype" w:cs="Times New Roman"/>
          <w:b/>
          <w:bCs/>
          <w:sz w:val="20"/>
          <w:szCs w:val="20"/>
        </w:rPr>
        <w:t>Chronic Inhalation of Carbon Soot PM</w:t>
      </w:r>
      <w:r>
        <w:rPr>
          <w:rFonts w:ascii="Palatino Linotype" w:hAnsi="Palatino Linotype" w:cs="Times New Roman"/>
          <w:b/>
          <w:bCs/>
          <w:sz w:val="20"/>
          <w:szCs w:val="20"/>
        </w:rPr>
        <w:t xml:space="preserve">2.5 </w:t>
      </w:r>
      <w:r w:rsidRPr="0033363D">
        <w:rPr>
          <w:rFonts w:ascii="Palatino Linotype" w:hAnsi="Palatino Linotype" w:cs="Times New Roman"/>
          <w:b/>
          <w:bCs/>
          <w:sz w:val="20"/>
          <w:szCs w:val="20"/>
        </w:rPr>
        <w:t>Induces Weight Loss and Cerebellar Cytoarchitectural Disruption in Wistar Rats</w:t>
      </w:r>
    </w:p>
    <w:p w14:paraId="3796C7F0" w14:textId="77777777" w:rsidR="00752EE6" w:rsidRDefault="00752EE6" w:rsidP="0025158E">
      <w:pPr>
        <w:spacing w:line="480" w:lineRule="auto"/>
        <w:jc w:val="both"/>
        <w:rPr>
          <w:rFonts w:ascii="Palatino Linotype" w:hAnsi="Palatino Linotype" w:cs="Times New Roman"/>
          <w:b/>
          <w:sz w:val="20"/>
          <w:szCs w:val="20"/>
        </w:rPr>
      </w:pPr>
    </w:p>
    <w:p w14:paraId="6C12D4AC" w14:textId="7596DC85" w:rsidR="00134D90" w:rsidRDefault="00134D90" w:rsidP="0025158E">
      <w:pPr>
        <w:spacing w:line="480" w:lineRule="auto"/>
        <w:jc w:val="both"/>
        <w:rPr>
          <w:rFonts w:ascii="Palatino Linotype" w:hAnsi="Palatino Linotype" w:cs="Times New Roman"/>
          <w:b/>
          <w:sz w:val="20"/>
          <w:szCs w:val="20"/>
        </w:rPr>
      </w:pPr>
      <w:bookmarkStart w:id="0" w:name="_GoBack"/>
      <w:bookmarkEnd w:id="0"/>
      <w:r>
        <w:rPr>
          <w:rFonts w:ascii="Palatino Linotype" w:hAnsi="Palatino Linotype" w:cs="Times New Roman"/>
          <w:b/>
          <w:sz w:val="20"/>
          <w:szCs w:val="20"/>
        </w:rPr>
        <w:t>ABSTRACT</w:t>
      </w:r>
    </w:p>
    <w:p w14:paraId="09D0D0D6" w14:textId="5FEC91FB" w:rsidR="00134D90" w:rsidRPr="00134D90" w:rsidRDefault="00134D90" w:rsidP="00134D90">
      <w:pPr>
        <w:spacing w:line="276" w:lineRule="auto"/>
        <w:jc w:val="both"/>
        <w:rPr>
          <w:rFonts w:ascii="Palatino Linotype" w:hAnsi="Palatino Linotype" w:cs="Times New Roman"/>
          <w:bCs/>
          <w:sz w:val="20"/>
          <w:szCs w:val="20"/>
        </w:rPr>
      </w:pPr>
      <w:r w:rsidRPr="00134D90">
        <w:rPr>
          <w:rFonts w:ascii="Palatino Linotype" w:hAnsi="Palatino Linotype" w:cs="Times New Roman"/>
          <w:b/>
          <w:bCs/>
          <w:sz w:val="20"/>
          <w:szCs w:val="20"/>
        </w:rPr>
        <w:t>Background</w:t>
      </w:r>
      <w:r w:rsidRPr="00134D90">
        <w:rPr>
          <w:rFonts w:ascii="Palatino Linotype" w:hAnsi="Palatino Linotype" w:cs="Times New Roman"/>
          <w:bCs/>
          <w:sz w:val="20"/>
          <w:szCs w:val="20"/>
        </w:rPr>
        <w:t>: Carbon soot particulate matter (PM</w:t>
      </w:r>
      <w:r>
        <w:rPr>
          <w:rFonts w:ascii="Palatino Linotype" w:hAnsi="Palatino Linotype" w:cs="Times New Roman"/>
          <w:bCs/>
          <w:sz w:val="20"/>
          <w:szCs w:val="20"/>
        </w:rPr>
        <w:t>2.5</w:t>
      </w:r>
      <w:r w:rsidRPr="00134D90">
        <w:rPr>
          <w:rFonts w:ascii="Palatino Linotype" w:hAnsi="Palatino Linotype" w:cs="Times New Roman"/>
          <w:bCs/>
          <w:sz w:val="20"/>
          <w:szCs w:val="20"/>
        </w:rPr>
        <w:t>) from crude oil combustion poses significant health risks, yet its systemic and neurological effects remain understudied. This study investigated the impact of chronic carbon soot PM</w:t>
      </w:r>
      <w:r>
        <w:rPr>
          <w:rFonts w:ascii="Palatino Linotype" w:hAnsi="Palatino Linotype" w:cs="Times New Roman"/>
          <w:bCs/>
          <w:sz w:val="20"/>
          <w:szCs w:val="20"/>
        </w:rPr>
        <w:t>2.5</w:t>
      </w:r>
      <w:r w:rsidRPr="00134D90">
        <w:rPr>
          <w:rFonts w:ascii="Palatino Linotype" w:hAnsi="Palatino Linotype" w:cs="Times New Roman"/>
          <w:bCs/>
          <w:sz w:val="20"/>
          <w:szCs w:val="20"/>
        </w:rPr>
        <w:t xml:space="preserve"> inhalation on body weight and cerebellar cytoarchitecture in Wistar rats.</w:t>
      </w:r>
      <w:r>
        <w:rPr>
          <w:rFonts w:ascii="Palatino Linotype" w:hAnsi="Palatino Linotype" w:cs="Times New Roman"/>
          <w:bCs/>
          <w:sz w:val="20"/>
          <w:szCs w:val="20"/>
        </w:rPr>
        <w:t xml:space="preserve"> </w:t>
      </w:r>
      <w:r w:rsidRPr="00134D90">
        <w:rPr>
          <w:rFonts w:ascii="Palatino Linotype" w:hAnsi="Palatino Linotype" w:cs="Times New Roman"/>
          <w:b/>
          <w:bCs/>
          <w:sz w:val="20"/>
          <w:szCs w:val="20"/>
        </w:rPr>
        <w:t>Methods</w:t>
      </w:r>
      <w:r w:rsidRPr="00134D90">
        <w:rPr>
          <w:rFonts w:ascii="Palatino Linotype" w:hAnsi="Palatino Linotype" w:cs="Times New Roman"/>
          <w:bCs/>
          <w:sz w:val="20"/>
          <w:szCs w:val="20"/>
        </w:rPr>
        <w:t>: Twenty-eight male Wistar rats were acclimatized and randomized into four groups: one control (unexposed) and three experimental groups exposed to PM</w:t>
      </w:r>
      <w:r>
        <w:rPr>
          <w:rFonts w:ascii="Palatino Linotype" w:hAnsi="Palatino Linotype" w:cs="Times New Roman"/>
          <w:bCs/>
          <w:sz w:val="20"/>
          <w:szCs w:val="20"/>
        </w:rPr>
        <w:t>2.5</w:t>
      </w:r>
      <w:r w:rsidRPr="00134D90">
        <w:rPr>
          <w:rFonts w:ascii="Palatino Linotype" w:hAnsi="Palatino Linotype" w:cs="Times New Roman"/>
          <w:bCs/>
          <w:sz w:val="20"/>
          <w:szCs w:val="20"/>
        </w:rPr>
        <w:t xml:space="preserve"> concentrations (1.221 ± 0.169, 1.290 ± 0.214, and 1.282 ± 0.235 mg/m³) via a whole-body inhalation system for 4 hours/day over 28 days. Carbon soot was sourced from Nigerian crude oil combustion and authenticated. Body weight was recorded daily, and cerebellar tissues were processed histologically (H&amp;E staining) post-sacrifice. Data were analyzed using ANOVA and Tukey’s post hoc test (p&lt;0.05).</w:t>
      </w:r>
      <w:r>
        <w:rPr>
          <w:rFonts w:ascii="Palatino Linotype" w:hAnsi="Palatino Linotype" w:cs="Times New Roman"/>
          <w:bCs/>
          <w:sz w:val="20"/>
          <w:szCs w:val="20"/>
        </w:rPr>
        <w:t xml:space="preserve"> </w:t>
      </w:r>
      <w:r w:rsidRPr="00134D90">
        <w:rPr>
          <w:rFonts w:ascii="Palatino Linotype" w:hAnsi="Palatino Linotype" w:cs="Times New Roman"/>
          <w:b/>
          <w:bCs/>
          <w:sz w:val="20"/>
          <w:szCs w:val="20"/>
        </w:rPr>
        <w:t>Results</w:t>
      </w:r>
      <w:r w:rsidRPr="00134D90">
        <w:rPr>
          <w:rFonts w:ascii="Palatino Linotype" w:hAnsi="Palatino Linotype" w:cs="Times New Roman"/>
          <w:bCs/>
          <w:sz w:val="20"/>
          <w:szCs w:val="20"/>
        </w:rPr>
        <w:t>: Control rats exhibited normal weight gain (120.10 ± 2.00 g to 140.20 ± 3.05 g). All PM</w:t>
      </w:r>
      <w:r>
        <w:rPr>
          <w:rFonts w:ascii="Palatino Linotype" w:hAnsi="Palatino Linotype" w:cs="Times New Roman"/>
          <w:bCs/>
          <w:sz w:val="20"/>
          <w:szCs w:val="20"/>
        </w:rPr>
        <w:t>2.5</w:t>
      </w:r>
      <w:r w:rsidRPr="00134D90">
        <w:rPr>
          <w:rFonts w:ascii="Palatino Linotype" w:hAnsi="Palatino Linotype" w:cs="Times New Roman"/>
          <w:bCs/>
          <w:sz w:val="20"/>
          <w:szCs w:val="20"/>
        </w:rPr>
        <w:t>-exposed groups showed significant weight loss, most pronounced in Experimental Group 3 (113.15 ± 1.56 g to 105.80 ± 1.56 g, p&lt;0.05). Histological analysis revealed dose-dependent cerebellar damage: mild vacuolation in Group 1, Purkinje cell degeneration in Group 2, and severe cytoarchitectural disruption (pyknotic granular cells, necrosis) in Group 3.</w:t>
      </w:r>
      <w:r>
        <w:rPr>
          <w:rFonts w:ascii="Palatino Linotype" w:hAnsi="Palatino Linotype" w:cs="Times New Roman"/>
          <w:bCs/>
          <w:sz w:val="20"/>
          <w:szCs w:val="20"/>
        </w:rPr>
        <w:t xml:space="preserve"> </w:t>
      </w:r>
      <w:r w:rsidRPr="00134D90">
        <w:rPr>
          <w:rFonts w:ascii="Palatino Linotype" w:hAnsi="Palatino Linotype" w:cs="Times New Roman"/>
          <w:b/>
          <w:bCs/>
          <w:sz w:val="20"/>
          <w:szCs w:val="20"/>
        </w:rPr>
        <w:t>Conclusion</w:t>
      </w:r>
      <w:r w:rsidRPr="00134D90">
        <w:rPr>
          <w:rFonts w:ascii="Palatino Linotype" w:hAnsi="Palatino Linotype" w:cs="Times New Roman"/>
          <w:bCs/>
          <w:sz w:val="20"/>
          <w:szCs w:val="20"/>
        </w:rPr>
        <w:t>: Chronic carbon soot PM</w:t>
      </w:r>
      <w:r>
        <w:rPr>
          <w:rFonts w:ascii="Palatino Linotype" w:hAnsi="Palatino Linotype" w:cs="Times New Roman"/>
          <w:bCs/>
          <w:sz w:val="20"/>
          <w:szCs w:val="20"/>
        </w:rPr>
        <w:t>2.5</w:t>
      </w:r>
      <w:r w:rsidRPr="00134D90">
        <w:rPr>
          <w:rFonts w:ascii="Palatino Linotype" w:hAnsi="Palatino Linotype" w:cs="Times New Roman"/>
          <w:bCs/>
          <w:sz w:val="20"/>
          <w:szCs w:val="20"/>
        </w:rPr>
        <w:t xml:space="preserve"> exposure induces systemic toxicity (weight loss) and progressive cerebellar neurodegeneration in a dose-dependent manner. These findings underscore the urgent need for stricter air quality regulations in regions with high industrial emissions and highlight PM</w:t>
      </w:r>
      <w:r>
        <w:rPr>
          <w:rFonts w:ascii="Palatino Linotype" w:hAnsi="Palatino Linotype" w:cs="Times New Roman"/>
          <w:bCs/>
          <w:sz w:val="20"/>
          <w:szCs w:val="20"/>
        </w:rPr>
        <w:t>2.5</w:t>
      </w:r>
      <w:r w:rsidRPr="00134D90">
        <w:rPr>
          <w:rFonts w:ascii="Palatino Linotype" w:hAnsi="Palatino Linotype" w:cs="Times New Roman"/>
          <w:bCs/>
          <w:sz w:val="20"/>
          <w:szCs w:val="20"/>
        </w:rPr>
        <w:t>’s potential role in metabolic and neurological disorders.</w:t>
      </w:r>
    </w:p>
    <w:p w14:paraId="058EF478" w14:textId="34DB1670" w:rsidR="00134D90" w:rsidRPr="00134D90" w:rsidRDefault="00134D90" w:rsidP="00134D90">
      <w:pPr>
        <w:spacing w:line="480" w:lineRule="auto"/>
        <w:jc w:val="both"/>
        <w:rPr>
          <w:rFonts w:ascii="Palatino Linotype" w:hAnsi="Palatino Linotype" w:cs="Times New Roman"/>
          <w:sz w:val="20"/>
          <w:szCs w:val="20"/>
        </w:rPr>
      </w:pPr>
      <w:r>
        <w:rPr>
          <w:rFonts w:ascii="Palatino Linotype" w:hAnsi="Palatino Linotype" w:cs="Times New Roman"/>
          <w:b/>
          <w:sz w:val="20"/>
          <w:szCs w:val="20"/>
        </w:rPr>
        <w:t xml:space="preserve">Keywords: </w:t>
      </w:r>
      <w:r w:rsidRPr="00134D90">
        <w:rPr>
          <w:rFonts w:ascii="Palatino Linotype" w:hAnsi="Palatino Linotype" w:cs="Times New Roman"/>
          <w:sz w:val="20"/>
          <w:szCs w:val="20"/>
        </w:rPr>
        <w:t>Carbon soot PM2.5, Particulate Matter, Weight Loss, Cerebellar Cytoarchitectural, Disruption, Wistar Rats</w:t>
      </w:r>
    </w:p>
    <w:p w14:paraId="52411FBB" w14:textId="77777777" w:rsidR="00134D90" w:rsidRDefault="00134D90" w:rsidP="0025158E">
      <w:pPr>
        <w:spacing w:line="480" w:lineRule="auto"/>
        <w:jc w:val="both"/>
        <w:rPr>
          <w:rFonts w:ascii="Palatino Linotype" w:hAnsi="Palatino Linotype" w:cs="Times New Roman"/>
          <w:b/>
          <w:sz w:val="20"/>
          <w:szCs w:val="20"/>
        </w:rPr>
      </w:pPr>
    </w:p>
    <w:p w14:paraId="4CC092A3" w14:textId="78CB48E0" w:rsidR="0074157A" w:rsidRDefault="0074157A" w:rsidP="0025158E">
      <w:pPr>
        <w:spacing w:line="480" w:lineRule="auto"/>
        <w:jc w:val="both"/>
        <w:rPr>
          <w:rFonts w:ascii="Palatino Linotype" w:hAnsi="Palatino Linotype" w:cs="Times New Roman"/>
          <w:b/>
          <w:sz w:val="20"/>
          <w:szCs w:val="20"/>
        </w:rPr>
      </w:pPr>
      <w:r>
        <w:rPr>
          <w:rFonts w:ascii="Palatino Linotype" w:hAnsi="Palatino Linotype" w:cs="Times New Roman"/>
          <w:b/>
          <w:sz w:val="20"/>
          <w:szCs w:val="20"/>
        </w:rPr>
        <w:t>INTRODUCTION</w:t>
      </w:r>
    </w:p>
    <w:p w14:paraId="0128C9F6" w14:textId="4EA6EFF6" w:rsidR="0033363D" w:rsidRPr="0033363D" w:rsidRDefault="0033363D"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Air pollution remains a major public health challenge, with fine particulate matter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being a particularly hazardous component due to its ability to penetrate deep into biological systems and elicit systemic and organ-specific toxic effects (Xing et al., 2016; </w:t>
      </w:r>
      <w:proofErr w:type="spellStart"/>
      <w:r w:rsidRPr="0033363D">
        <w:rPr>
          <w:rFonts w:ascii="Palatino Linotype" w:hAnsi="Palatino Linotype" w:cs="Times New Roman"/>
          <w:bCs/>
          <w:sz w:val="20"/>
          <w:szCs w:val="20"/>
        </w:rPr>
        <w:t>Schraufnagel</w:t>
      </w:r>
      <w:proofErr w:type="spellEnd"/>
      <w:r w:rsidRPr="0033363D">
        <w:rPr>
          <w:rFonts w:ascii="Palatino Linotype" w:hAnsi="Palatino Linotype" w:cs="Times New Roman"/>
          <w:bCs/>
          <w:sz w:val="20"/>
          <w:szCs w:val="20"/>
        </w:rPr>
        <w:t xml:space="preserve">, 2020). The World Health Organization (WHO) estimates that air pollution contributes to approximately 7 million premature deaths </w:t>
      </w:r>
      <w:r w:rsidRPr="0033363D">
        <w:rPr>
          <w:rFonts w:ascii="Palatino Linotype" w:hAnsi="Palatino Linotype" w:cs="Times New Roman"/>
          <w:bCs/>
          <w:sz w:val="20"/>
          <w:szCs w:val="20"/>
        </w:rPr>
        <w:lastRenderedPageBreak/>
        <w:t>annually, largely due to cardiovascular, respiratory, and neurological diseases associated with prolonged PM</w:t>
      </w:r>
      <w:r>
        <w:rPr>
          <w:rFonts w:ascii="Palatino Linotype" w:hAnsi="Palatino Linotype" w:cs="Times New Roman"/>
          <w:bCs/>
          <w:sz w:val="20"/>
          <w:szCs w:val="20"/>
        </w:rPr>
        <w:t xml:space="preserve">2.5 </w:t>
      </w:r>
      <w:r w:rsidRPr="0033363D">
        <w:rPr>
          <w:rFonts w:ascii="Palatino Linotype" w:hAnsi="Palatino Linotype" w:cs="Times New Roman"/>
          <w:bCs/>
          <w:sz w:val="20"/>
          <w:szCs w:val="20"/>
        </w:rPr>
        <w:t>exposure (WHO, 201</w:t>
      </w:r>
      <w:r w:rsidR="00162CA7">
        <w:rPr>
          <w:rFonts w:ascii="Palatino Linotype" w:hAnsi="Palatino Linotype" w:cs="Times New Roman"/>
          <w:bCs/>
          <w:sz w:val="20"/>
          <w:szCs w:val="20"/>
        </w:rPr>
        <w:t>8</w:t>
      </w:r>
      <w:r w:rsidRPr="0033363D">
        <w:rPr>
          <w:rFonts w:ascii="Palatino Linotype" w:hAnsi="Palatino Linotype" w:cs="Times New Roman"/>
          <w:bCs/>
          <w:sz w:val="20"/>
          <w:szCs w:val="20"/>
        </w:rPr>
        <w:t>).</w:t>
      </w:r>
    </w:p>
    <w:p w14:paraId="14D88536" w14:textId="5894AEB5" w:rsidR="0033363D" w:rsidRPr="0033363D" w:rsidRDefault="0033363D"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In developing nations such as Nigeria,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exposure is exacerbated by industrial emissions, biomass combustion, and unregulated petroleum refining (</w:t>
      </w:r>
      <w:r w:rsidR="00162CA7" w:rsidRPr="0003062D">
        <w:t>Ana</w:t>
      </w:r>
      <w:r w:rsidRPr="0033363D">
        <w:rPr>
          <w:rFonts w:ascii="Palatino Linotype" w:hAnsi="Palatino Linotype" w:cs="Times New Roman"/>
          <w:bCs/>
          <w:sz w:val="20"/>
          <w:szCs w:val="20"/>
        </w:rPr>
        <w:t>, 20</w:t>
      </w:r>
      <w:r w:rsidR="00162CA7">
        <w:rPr>
          <w:rFonts w:ascii="Palatino Linotype" w:hAnsi="Palatino Linotype" w:cs="Times New Roman"/>
          <w:bCs/>
          <w:sz w:val="20"/>
          <w:szCs w:val="20"/>
        </w:rPr>
        <w:t>11</w:t>
      </w:r>
      <w:r w:rsidRPr="0033363D">
        <w:rPr>
          <w:rFonts w:ascii="Palatino Linotype" w:hAnsi="Palatino Linotype" w:cs="Times New Roman"/>
          <w:bCs/>
          <w:sz w:val="20"/>
          <w:szCs w:val="20"/>
        </w:rPr>
        <w:t>). The Niger Delta region, known for its extensive crude oil exploration and artisanal refining activities, experiences severe air pollution, with carbon soot contributing significantly to ambient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levels (</w:t>
      </w:r>
      <w:proofErr w:type="spellStart"/>
      <w:r w:rsidRPr="0033363D">
        <w:rPr>
          <w:rFonts w:ascii="Palatino Linotype" w:hAnsi="Palatino Linotype" w:cs="Times New Roman"/>
          <w:bCs/>
          <w:sz w:val="20"/>
          <w:szCs w:val="20"/>
        </w:rPr>
        <w:t>Aroh</w:t>
      </w:r>
      <w:proofErr w:type="spellEnd"/>
      <w:r w:rsidRPr="0033363D">
        <w:rPr>
          <w:rFonts w:ascii="Palatino Linotype" w:hAnsi="Palatino Linotype" w:cs="Times New Roman"/>
          <w:bCs/>
          <w:sz w:val="20"/>
          <w:szCs w:val="20"/>
        </w:rPr>
        <w:t xml:space="preserve"> et al., 2010). Soot-laden air has been implicated in increased cases of respiratory ailments, cardiovascular disorders, and potential neurotoxic effects in exposed populations (</w:t>
      </w:r>
      <w:proofErr w:type="spellStart"/>
      <w:r w:rsidR="00134D90" w:rsidRPr="00ED57A4">
        <w:t>Ekhator</w:t>
      </w:r>
      <w:proofErr w:type="spellEnd"/>
      <w:r w:rsidR="00134D90" w:rsidRPr="0033363D">
        <w:rPr>
          <w:rFonts w:ascii="Palatino Linotype" w:hAnsi="Palatino Linotype" w:cs="Times New Roman"/>
          <w:bCs/>
          <w:sz w:val="20"/>
          <w:szCs w:val="20"/>
        </w:rPr>
        <w:t xml:space="preserve"> </w:t>
      </w:r>
      <w:r w:rsidRPr="0033363D">
        <w:rPr>
          <w:rFonts w:ascii="Palatino Linotype" w:hAnsi="Palatino Linotype" w:cs="Times New Roman"/>
          <w:bCs/>
          <w:sz w:val="20"/>
          <w:szCs w:val="20"/>
        </w:rPr>
        <w:t>et al., 202</w:t>
      </w:r>
      <w:r w:rsidR="00134D90">
        <w:rPr>
          <w:rFonts w:ascii="Palatino Linotype" w:hAnsi="Palatino Linotype" w:cs="Times New Roman"/>
          <w:bCs/>
          <w:sz w:val="20"/>
          <w:szCs w:val="20"/>
        </w:rPr>
        <w:t>4</w:t>
      </w:r>
      <w:r w:rsidRPr="0033363D">
        <w:rPr>
          <w:rFonts w:ascii="Palatino Linotype" w:hAnsi="Palatino Linotype" w:cs="Times New Roman"/>
          <w:bCs/>
          <w:sz w:val="20"/>
          <w:szCs w:val="20"/>
        </w:rPr>
        <w:t>).</w:t>
      </w:r>
    </w:p>
    <w:p w14:paraId="7D9AE33D" w14:textId="594BF778" w:rsidR="0033363D" w:rsidRPr="0033363D" w:rsidRDefault="0033363D"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Previous studies have established that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exposure is linked to respiratory and cardiovascular diseases, oxidative stress, and neuroinflammation (Block et al., 20</w:t>
      </w:r>
      <w:r w:rsidR="00134D90">
        <w:rPr>
          <w:rFonts w:ascii="Palatino Linotype" w:hAnsi="Palatino Linotype" w:cs="Times New Roman"/>
          <w:bCs/>
          <w:sz w:val="20"/>
          <w:szCs w:val="20"/>
        </w:rPr>
        <w:t>09</w:t>
      </w:r>
      <w:r w:rsidRPr="0033363D">
        <w:rPr>
          <w:rFonts w:ascii="Palatino Linotype" w:hAnsi="Palatino Linotype" w:cs="Times New Roman"/>
          <w:bCs/>
          <w:sz w:val="20"/>
          <w:szCs w:val="20"/>
        </w:rPr>
        <w:t xml:space="preserve">; </w:t>
      </w:r>
      <w:r w:rsidR="00134D90">
        <w:rPr>
          <w:rFonts w:ascii="Palatino Linotype" w:hAnsi="Palatino Linotype" w:cs="Times New Roman"/>
          <w:bCs/>
          <w:sz w:val="20"/>
          <w:szCs w:val="20"/>
        </w:rPr>
        <w:t>Lim &amp; Kim</w:t>
      </w:r>
      <w:r w:rsidRPr="0033363D">
        <w:rPr>
          <w:rFonts w:ascii="Palatino Linotype" w:hAnsi="Palatino Linotype" w:cs="Times New Roman"/>
          <w:bCs/>
          <w:sz w:val="20"/>
          <w:szCs w:val="20"/>
        </w:rPr>
        <w:t>, 202</w:t>
      </w:r>
      <w:r w:rsidR="00134D90">
        <w:rPr>
          <w:rFonts w:ascii="Palatino Linotype" w:hAnsi="Palatino Linotype" w:cs="Times New Roman"/>
          <w:bCs/>
          <w:sz w:val="20"/>
          <w:szCs w:val="20"/>
        </w:rPr>
        <w:t>4</w:t>
      </w:r>
      <w:r w:rsidRPr="0033363D">
        <w:rPr>
          <w:rFonts w:ascii="Palatino Linotype" w:hAnsi="Palatino Linotype" w:cs="Times New Roman"/>
          <w:bCs/>
          <w:sz w:val="20"/>
          <w:szCs w:val="20"/>
        </w:rPr>
        <w:t>). However, there is limited research on the toxicological profile of carbon soot-derived PM</w:t>
      </w:r>
      <w:r>
        <w:rPr>
          <w:rFonts w:ascii="Palatino Linotype" w:hAnsi="Palatino Linotype" w:cs="Times New Roman"/>
          <w:bCs/>
          <w:sz w:val="20"/>
          <w:szCs w:val="20"/>
        </w:rPr>
        <w:t>2.5</w:t>
      </w:r>
      <w:r w:rsidRPr="0033363D">
        <w:rPr>
          <w:rFonts w:ascii="Palatino Linotype" w:hAnsi="Palatino Linotype" w:cs="Times New Roman"/>
          <w:bCs/>
          <w:sz w:val="20"/>
          <w:szCs w:val="20"/>
        </w:rPr>
        <w:t>, particularly its dose-dependent effects on metabolic parameters such as body weight and its neurostructural impact on the cerebellum.</w:t>
      </w:r>
    </w:p>
    <w:p w14:paraId="3A0C97FE" w14:textId="65D7D822" w:rsidR="0033363D" w:rsidRPr="0033363D" w:rsidRDefault="0033363D"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Furthermore, while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has been shown to cross the blood-brain barrier and contribute to neurodegenerative conditions (Calderón-</w:t>
      </w:r>
      <w:proofErr w:type="spellStart"/>
      <w:r w:rsidRPr="0033363D">
        <w:rPr>
          <w:rFonts w:ascii="Palatino Linotype" w:hAnsi="Palatino Linotype" w:cs="Times New Roman"/>
          <w:bCs/>
          <w:sz w:val="20"/>
          <w:szCs w:val="20"/>
        </w:rPr>
        <w:t>Garcidueñas</w:t>
      </w:r>
      <w:proofErr w:type="spellEnd"/>
      <w:r w:rsidRPr="0033363D">
        <w:rPr>
          <w:rFonts w:ascii="Palatino Linotype" w:hAnsi="Palatino Linotype" w:cs="Times New Roman"/>
          <w:bCs/>
          <w:sz w:val="20"/>
          <w:szCs w:val="20"/>
        </w:rPr>
        <w:t xml:space="preserve"> et al., 201</w:t>
      </w:r>
      <w:r w:rsidR="00134D90">
        <w:rPr>
          <w:rFonts w:ascii="Palatino Linotype" w:hAnsi="Palatino Linotype" w:cs="Times New Roman"/>
          <w:bCs/>
          <w:sz w:val="20"/>
          <w:szCs w:val="20"/>
        </w:rPr>
        <w:t>1</w:t>
      </w:r>
      <w:r w:rsidRPr="0033363D">
        <w:rPr>
          <w:rFonts w:ascii="Palatino Linotype" w:hAnsi="Palatino Linotype" w:cs="Times New Roman"/>
          <w:bCs/>
          <w:sz w:val="20"/>
          <w:szCs w:val="20"/>
        </w:rPr>
        <w:t>), the specific histopathological changes induced by chronic exposure to carbon soot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remain poorly understood. Another critical gap is the paucity of studies examining the impact of PM</w:t>
      </w:r>
      <w:r>
        <w:rPr>
          <w:rFonts w:ascii="Palatino Linotype" w:hAnsi="Palatino Linotype" w:cs="Times New Roman"/>
          <w:bCs/>
          <w:sz w:val="20"/>
          <w:szCs w:val="20"/>
        </w:rPr>
        <w:t xml:space="preserve">2.5 </w:t>
      </w:r>
      <w:r w:rsidRPr="0033363D">
        <w:rPr>
          <w:rFonts w:ascii="Palatino Linotype" w:hAnsi="Palatino Linotype" w:cs="Times New Roman"/>
          <w:bCs/>
          <w:sz w:val="20"/>
          <w:szCs w:val="20"/>
        </w:rPr>
        <w:t>exposure on body weight regulation, an important indicator of metabolic and systemic health (</w:t>
      </w:r>
      <w:proofErr w:type="spellStart"/>
      <w:r w:rsidR="00134D90" w:rsidRPr="00ED57A4">
        <w:t>Bahreynian</w:t>
      </w:r>
      <w:proofErr w:type="spellEnd"/>
      <w:r w:rsidR="00134D90" w:rsidRPr="00ED57A4">
        <w:t xml:space="preserve"> </w:t>
      </w:r>
      <w:r w:rsidRPr="0033363D">
        <w:rPr>
          <w:rFonts w:ascii="Palatino Linotype" w:hAnsi="Palatino Linotype" w:cs="Times New Roman"/>
          <w:bCs/>
          <w:sz w:val="20"/>
          <w:szCs w:val="20"/>
        </w:rPr>
        <w:t>et al., 20</w:t>
      </w:r>
      <w:r w:rsidR="00134D90">
        <w:rPr>
          <w:rFonts w:ascii="Palatino Linotype" w:hAnsi="Palatino Linotype" w:cs="Times New Roman"/>
          <w:bCs/>
          <w:sz w:val="20"/>
          <w:szCs w:val="20"/>
        </w:rPr>
        <w:t>20</w:t>
      </w:r>
      <w:r w:rsidRPr="0033363D">
        <w:rPr>
          <w:rFonts w:ascii="Palatino Linotype" w:hAnsi="Palatino Linotype" w:cs="Times New Roman"/>
          <w:bCs/>
          <w:sz w:val="20"/>
          <w:szCs w:val="20"/>
        </w:rPr>
        <w:t>).</w:t>
      </w:r>
    </w:p>
    <w:p w14:paraId="13CC9796" w14:textId="6E596D94" w:rsidR="0033363D" w:rsidRPr="0033363D" w:rsidRDefault="0033363D" w:rsidP="0033363D">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This study aims to evaluate the systemic (body weight) and neurological (cerebellar histopathology) effects of escalating concentrations of carbon soot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in Wistar rats</w:t>
      </w:r>
      <w:r w:rsidR="00134D90">
        <w:rPr>
          <w:rFonts w:ascii="Palatino Linotype" w:hAnsi="Palatino Linotype" w:cs="Times New Roman"/>
          <w:bCs/>
          <w:sz w:val="20"/>
          <w:szCs w:val="20"/>
        </w:rPr>
        <w:t xml:space="preserve">, with the </w:t>
      </w:r>
      <w:r w:rsidRPr="0033363D">
        <w:rPr>
          <w:rFonts w:ascii="Palatino Linotype" w:hAnsi="Palatino Linotype" w:cs="Times New Roman"/>
          <w:bCs/>
          <w:sz w:val="20"/>
          <w:szCs w:val="20"/>
        </w:rPr>
        <w:t>following hypotheses tested:</w:t>
      </w:r>
    </w:p>
    <w:p w14:paraId="2AE01C27" w14:textId="2B562DE5" w:rsidR="0033363D" w:rsidRPr="0033363D" w:rsidRDefault="0033363D" w:rsidP="0033363D">
      <w:pPr>
        <w:numPr>
          <w:ilvl w:val="0"/>
          <w:numId w:val="5"/>
        </w:num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Chronic exposure to carbon soot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will result in progressive weight loss due to systemic metabolic disruptions.</w:t>
      </w:r>
    </w:p>
    <w:p w14:paraId="72A4C2A8" w14:textId="33F67E45" w:rsidR="0033363D" w:rsidRPr="0033363D" w:rsidRDefault="0033363D" w:rsidP="0033363D">
      <w:pPr>
        <w:numPr>
          <w:ilvl w:val="0"/>
          <w:numId w:val="5"/>
        </w:num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lastRenderedPageBreak/>
        <w:t>Exposure to escalating doses of carbon soot PM</w:t>
      </w:r>
      <w:r>
        <w:rPr>
          <w:rFonts w:ascii="Palatino Linotype" w:hAnsi="Palatino Linotype" w:cs="Times New Roman"/>
          <w:bCs/>
          <w:sz w:val="20"/>
          <w:szCs w:val="20"/>
        </w:rPr>
        <w:t>2.5</w:t>
      </w:r>
      <w:r w:rsidRPr="0033363D">
        <w:rPr>
          <w:rFonts w:ascii="Palatino Linotype" w:hAnsi="Palatino Linotype" w:cs="Times New Roman"/>
          <w:bCs/>
          <w:sz w:val="20"/>
          <w:szCs w:val="20"/>
        </w:rPr>
        <w:t xml:space="preserve"> will induce significant cerebellar histopathological alterations, including neuronal loss and inflammation.</w:t>
      </w:r>
    </w:p>
    <w:p w14:paraId="568C4ECB" w14:textId="6AFE1B4E" w:rsidR="0074157A" w:rsidRPr="0074157A" w:rsidRDefault="0033363D" w:rsidP="0025158E">
      <w:pPr>
        <w:spacing w:line="480" w:lineRule="auto"/>
        <w:jc w:val="both"/>
        <w:rPr>
          <w:rFonts w:ascii="Palatino Linotype" w:hAnsi="Palatino Linotype" w:cs="Times New Roman"/>
          <w:bCs/>
          <w:sz w:val="20"/>
          <w:szCs w:val="20"/>
        </w:rPr>
      </w:pPr>
      <w:r w:rsidRPr="0033363D">
        <w:rPr>
          <w:rFonts w:ascii="Palatino Linotype" w:hAnsi="Palatino Linotype" w:cs="Times New Roman"/>
          <w:bCs/>
          <w:sz w:val="20"/>
          <w:szCs w:val="20"/>
        </w:rPr>
        <w:t xml:space="preserve">The findings of this study have direct implications for populations residing in industrialized or high-pollution areas, particularly in low-resource settings where emissions are poorly regulated. </w:t>
      </w:r>
    </w:p>
    <w:p w14:paraId="0EF73121" w14:textId="3F466A42" w:rsidR="0025158E" w:rsidRPr="0025158E" w:rsidRDefault="0025158E" w:rsidP="0025158E">
      <w:pPr>
        <w:spacing w:line="480" w:lineRule="auto"/>
        <w:jc w:val="both"/>
        <w:rPr>
          <w:rFonts w:ascii="Palatino Linotype" w:hAnsi="Palatino Linotype" w:cs="Times New Roman"/>
          <w:b/>
          <w:sz w:val="20"/>
          <w:szCs w:val="20"/>
        </w:rPr>
      </w:pPr>
      <w:r w:rsidRPr="0025158E">
        <w:rPr>
          <w:rFonts w:ascii="Palatino Linotype" w:hAnsi="Palatino Linotype" w:cs="Times New Roman"/>
          <w:b/>
          <w:sz w:val="20"/>
          <w:szCs w:val="20"/>
        </w:rPr>
        <w:t>MATERIALS AND METHODS</w:t>
      </w:r>
    </w:p>
    <w:p w14:paraId="3C246DD2" w14:textId="7B3D64D5" w:rsidR="0025158E" w:rsidRPr="0025158E" w:rsidRDefault="0025158E" w:rsidP="0025158E">
      <w:pPr>
        <w:spacing w:line="480" w:lineRule="auto"/>
        <w:jc w:val="both"/>
        <w:rPr>
          <w:rFonts w:ascii="Palatino Linotype" w:hAnsi="Palatino Linotype" w:cs="Times New Roman"/>
          <w:b/>
          <w:sz w:val="20"/>
          <w:szCs w:val="20"/>
        </w:rPr>
      </w:pPr>
      <w:r w:rsidRPr="0025158E">
        <w:rPr>
          <w:rFonts w:ascii="Palatino Linotype" w:hAnsi="Palatino Linotype" w:cs="Times New Roman"/>
          <w:b/>
          <w:sz w:val="20"/>
          <w:szCs w:val="20"/>
        </w:rPr>
        <w:t>Study design</w:t>
      </w:r>
    </w:p>
    <w:p w14:paraId="5C95D8EB" w14:textId="7F16BEBC" w:rsidR="0025158E" w:rsidRPr="0025158E" w:rsidRDefault="0025158E" w:rsidP="0025158E">
      <w:pPr>
        <w:spacing w:line="480" w:lineRule="auto"/>
        <w:jc w:val="both"/>
        <w:rPr>
          <w:rFonts w:ascii="Palatino Linotype" w:hAnsi="Palatino Linotype" w:cs="Times New Roman"/>
          <w:iCs/>
          <w:sz w:val="20"/>
          <w:szCs w:val="20"/>
        </w:rPr>
      </w:pPr>
      <w:r w:rsidRPr="0025158E">
        <w:rPr>
          <w:rFonts w:ascii="Palatino Linotype" w:hAnsi="Palatino Linotype" w:cs="Times New Roman"/>
          <w:sz w:val="20"/>
          <w:szCs w:val="20"/>
        </w:rPr>
        <w:t>The study was conducted using male albino Wistar rat and the rats were exposed to Carbon Soot particulate matter by inhalation.</w:t>
      </w:r>
      <w:r w:rsidRPr="0025158E">
        <w:rPr>
          <w:rFonts w:ascii="Palatino Linotype" w:hAnsi="Palatino Linotype" w:cs="Times New Roman"/>
          <w:iCs/>
          <w:sz w:val="20"/>
          <w:szCs w:val="20"/>
        </w:rPr>
        <w:t xml:space="preserve"> </w:t>
      </w:r>
    </w:p>
    <w:p w14:paraId="4A4CDCB7" w14:textId="74059BFB" w:rsidR="0025158E" w:rsidRPr="0025158E" w:rsidRDefault="0025158E" w:rsidP="0025158E">
      <w:pPr>
        <w:spacing w:line="480" w:lineRule="auto"/>
        <w:jc w:val="both"/>
        <w:rPr>
          <w:rFonts w:ascii="Palatino Linotype" w:hAnsi="Palatino Linotype" w:cs="Times New Roman"/>
          <w:sz w:val="20"/>
          <w:szCs w:val="20"/>
        </w:rPr>
      </w:pPr>
      <w:r w:rsidRPr="0025158E">
        <w:rPr>
          <w:rFonts w:ascii="Palatino Linotype" w:hAnsi="Palatino Linotype" w:cs="Times New Roman"/>
          <w:b/>
          <w:sz w:val="20"/>
          <w:szCs w:val="20"/>
        </w:rPr>
        <w:t>Carbon Soot Particulate Matter</w:t>
      </w:r>
      <w:r>
        <w:rPr>
          <w:rFonts w:ascii="Palatino Linotype" w:hAnsi="Palatino Linotype" w:cs="Times New Roman"/>
          <w:b/>
          <w:sz w:val="20"/>
          <w:szCs w:val="20"/>
        </w:rPr>
        <w:t xml:space="preserve"> Production and Authentication</w:t>
      </w:r>
    </w:p>
    <w:p w14:paraId="2B92C915" w14:textId="500D3EF1" w:rsidR="0025158E" w:rsidRDefault="0025158E" w:rsidP="0025158E">
      <w:pPr>
        <w:spacing w:line="480" w:lineRule="auto"/>
        <w:jc w:val="both"/>
        <w:rPr>
          <w:rFonts w:ascii="Palatino Linotype" w:hAnsi="Palatino Linotype" w:cs="Times New Roman"/>
          <w:noProof/>
          <w:sz w:val="20"/>
          <w:szCs w:val="20"/>
        </w:rPr>
      </w:pPr>
      <w:r w:rsidRPr="0025158E">
        <w:rPr>
          <w:rFonts w:ascii="Palatino Linotype" w:hAnsi="Palatino Linotype" w:cs="Times New Roman"/>
          <w:sz w:val="20"/>
          <w:szCs w:val="20"/>
        </w:rPr>
        <w:t xml:space="preserve">The carbon soot used as particulate matter in this study was obtained from the combustion of crude oil sourced from Shell-BP Petroleum Development Company of Nigeria Limited in Rivers State, Nigeria. Combustion was carried out in a local refinery and a controlled combustion chamber </w:t>
      </w:r>
      <w:r>
        <w:rPr>
          <w:rFonts w:ascii="Palatino Linotype" w:hAnsi="Palatino Linotype" w:cs="Times New Roman"/>
          <w:sz w:val="20"/>
          <w:szCs w:val="20"/>
        </w:rPr>
        <w:t>(</w:t>
      </w:r>
      <w:r w:rsidRPr="0025158E">
        <w:rPr>
          <w:rFonts w:ascii="Palatino Linotype" w:hAnsi="Palatino Linotype" w:cs="Times New Roman"/>
          <w:b/>
          <w:bCs/>
          <w:sz w:val="20"/>
          <w:szCs w:val="20"/>
        </w:rPr>
        <w:t>Figure 1</w:t>
      </w:r>
      <w:r>
        <w:rPr>
          <w:rFonts w:ascii="Palatino Linotype" w:hAnsi="Palatino Linotype" w:cs="Times New Roman"/>
          <w:sz w:val="20"/>
          <w:szCs w:val="20"/>
        </w:rPr>
        <w:t xml:space="preserve">) </w:t>
      </w:r>
      <w:r w:rsidRPr="0025158E">
        <w:rPr>
          <w:rFonts w:ascii="Palatino Linotype" w:hAnsi="Palatino Linotype" w:cs="Times New Roman"/>
          <w:sz w:val="20"/>
          <w:szCs w:val="20"/>
        </w:rPr>
        <w:t xml:space="preserve">at the Engineering Workshop of the Department of Mechanical Engineering, University of Port Harcourt. The resulting carbon soot particulate matter was subsequently identified and authenticated by Dr. </w:t>
      </w:r>
      <w:proofErr w:type="spellStart"/>
      <w:r w:rsidRPr="0025158E">
        <w:rPr>
          <w:rFonts w:ascii="Palatino Linotype" w:hAnsi="Palatino Linotype" w:cs="Times New Roman"/>
          <w:sz w:val="20"/>
          <w:szCs w:val="20"/>
        </w:rPr>
        <w:t>Akuma</w:t>
      </w:r>
      <w:proofErr w:type="spellEnd"/>
      <w:r w:rsidRPr="0025158E">
        <w:rPr>
          <w:rFonts w:ascii="Palatino Linotype" w:hAnsi="Palatino Linotype" w:cs="Times New Roman"/>
          <w:sz w:val="20"/>
          <w:szCs w:val="20"/>
        </w:rPr>
        <w:t xml:space="preserve"> Oji from the</w:t>
      </w:r>
      <w:r>
        <w:rPr>
          <w:rFonts w:ascii="Palatino Linotype" w:hAnsi="Palatino Linotype" w:cs="Times New Roman"/>
          <w:sz w:val="20"/>
          <w:szCs w:val="20"/>
        </w:rPr>
        <w:t xml:space="preserve"> </w:t>
      </w:r>
      <w:r w:rsidRPr="0025158E">
        <w:rPr>
          <w:rFonts w:ascii="Palatino Linotype" w:hAnsi="Palatino Linotype" w:cs="Times New Roman"/>
          <w:sz w:val="20"/>
          <w:szCs w:val="20"/>
        </w:rPr>
        <w:t xml:space="preserve">Department of Chemical Engineering, University of Port Harcourt, </w:t>
      </w:r>
      <w:proofErr w:type="spellStart"/>
      <w:r w:rsidRPr="0025158E">
        <w:rPr>
          <w:rFonts w:ascii="Palatino Linotype" w:hAnsi="Palatino Linotype" w:cs="Times New Roman"/>
          <w:sz w:val="20"/>
          <w:szCs w:val="20"/>
        </w:rPr>
        <w:t>Choba</w:t>
      </w:r>
      <w:proofErr w:type="spellEnd"/>
      <w:r w:rsidRPr="0025158E">
        <w:rPr>
          <w:rFonts w:ascii="Palatino Linotype" w:hAnsi="Palatino Linotype" w:cs="Times New Roman"/>
          <w:sz w:val="20"/>
          <w:szCs w:val="20"/>
        </w:rPr>
        <w:t>, Rivers State, Nigeria.</w:t>
      </w:r>
    </w:p>
    <w:p w14:paraId="3B8E6431" w14:textId="46FE2E32" w:rsidR="0025158E" w:rsidRPr="0025158E" w:rsidRDefault="0025158E" w:rsidP="0025158E">
      <w:pPr>
        <w:spacing w:line="480" w:lineRule="auto"/>
        <w:jc w:val="both"/>
        <w:rPr>
          <w:rFonts w:ascii="Palatino Linotype" w:hAnsi="Palatino Linotype" w:cs="Times New Roman"/>
          <w:sz w:val="20"/>
          <w:szCs w:val="20"/>
        </w:rPr>
      </w:pPr>
      <w:r>
        <w:rPr>
          <w:rFonts w:ascii="Palatino Linotype" w:hAnsi="Palatino Linotype" w:cs="Times New Roman"/>
          <w:noProof/>
          <w:sz w:val="20"/>
          <w:szCs w:val="20"/>
        </w:rPr>
        <w:lastRenderedPageBreak/>
        <w:drawing>
          <wp:inline distT="0" distB="0" distL="0" distR="0" wp14:anchorId="28BE7D43" wp14:editId="5DB7D3E7">
            <wp:extent cx="4489450" cy="4467860"/>
            <wp:effectExtent l="0" t="0" r="6350" b="8890"/>
            <wp:docPr id="167710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1822" cy="4470221"/>
                    </a:xfrm>
                    <a:prstGeom prst="rect">
                      <a:avLst/>
                    </a:prstGeom>
                    <a:noFill/>
                  </pic:spPr>
                </pic:pic>
              </a:graphicData>
            </a:graphic>
          </wp:inline>
        </w:drawing>
      </w:r>
    </w:p>
    <w:p w14:paraId="39390452" w14:textId="34378D77" w:rsidR="0025158E" w:rsidRPr="0025158E" w:rsidRDefault="0025158E" w:rsidP="0025158E">
      <w:pPr>
        <w:spacing w:line="480" w:lineRule="auto"/>
        <w:jc w:val="both"/>
        <w:rPr>
          <w:rFonts w:ascii="Palatino Linotype" w:hAnsi="Palatino Linotype" w:cs="Times New Roman"/>
          <w:b/>
          <w:bCs/>
          <w:sz w:val="20"/>
          <w:szCs w:val="20"/>
        </w:rPr>
      </w:pPr>
      <w:r w:rsidRPr="0025158E">
        <w:rPr>
          <w:rFonts w:ascii="Palatino Linotype" w:hAnsi="Palatino Linotype" w:cs="Times New Roman"/>
          <w:b/>
          <w:bCs/>
          <w:sz w:val="20"/>
          <w:szCs w:val="20"/>
        </w:rPr>
        <w:t>Figure 1. A local refinery and combustion Chamber</w:t>
      </w:r>
    </w:p>
    <w:p w14:paraId="5B679887" w14:textId="29DD1EF0" w:rsidR="0025158E" w:rsidRDefault="00F36F36" w:rsidP="0025158E">
      <w:pPr>
        <w:spacing w:line="480" w:lineRule="auto"/>
        <w:jc w:val="both"/>
        <w:rPr>
          <w:rFonts w:ascii="Palatino Linotype" w:hAnsi="Palatino Linotype" w:cs="Times New Roman"/>
          <w:b/>
          <w:caps/>
          <w:sz w:val="20"/>
          <w:szCs w:val="20"/>
        </w:rPr>
      </w:pPr>
      <w:r w:rsidRPr="0025158E">
        <w:rPr>
          <w:rFonts w:ascii="Palatino Linotype" w:hAnsi="Palatino Linotype" w:cs="Times New Roman"/>
          <w:b/>
          <w:sz w:val="20"/>
          <w:szCs w:val="20"/>
        </w:rPr>
        <w:t>Carbon Soot Particulate Matter Exposure System</w:t>
      </w:r>
    </w:p>
    <w:p w14:paraId="3703BC82" w14:textId="462E083D" w:rsidR="00F36F36" w:rsidRDefault="00F36F36" w:rsidP="0025158E">
      <w:pPr>
        <w:spacing w:line="480" w:lineRule="auto"/>
        <w:jc w:val="both"/>
        <w:rPr>
          <w:rFonts w:ascii="Palatino Linotype" w:hAnsi="Palatino Linotype" w:cs="Times New Roman"/>
          <w:sz w:val="20"/>
          <w:szCs w:val="20"/>
        </w:rPr>
      </w:pPr>
      <w:r w:rsidRPr="00F36F36">
        <w:rPr>
          <w:rFonts w:ascii="Palatino Linotype" w:hAnsi="Palatino Linotype" w:cs="Times New Roman"/>
          <w:sz w:val="20"/>
          <w:szCs w:val="20"/>
        </w:rPr>
        <w:t>The whole-body exposure system</w:t>
      </w:r>
      <w:r w:rsidR="00205FD0">
        <w:rPr>
          <w:rFonts w:ascii="Palatino Linotype" w:hAnsi="Palatino Linotype" w:cs="Times New Roman"/>
          <w:sz w:val="20"/>
          <w:szCs w:val="20"/>
        </w:rPr>
        <w:t xml:space="preserve">, </w:t>
      </w:r>
      <w:r w:rsidR="00205FD0" w:rsidRPr="00205FD0">
        <w:rPr>
          <w:rFonts w:ascii="Palatino Linotype" w:hAnsi="Palatino Linotype" w:cs="Times New Roman"/>
          <w:sz w:val="20"/>
          <w:szCs w:val="20"/>
        </w:rPr>
        <w:t>a well-established method for studying the effects of airborne pollutants like PM2.5 on animal models</w:t>
      </w:r>
      <w:r w:rsidR="00205FD0">
        <w:rPr>
          <w:rFonts w:ascii="Palatino Linotype" w:hAnsi="Palatino Linotype" w:cs="Times New Roman"/>
          <w:sz w:val="20"/>
          <w:szCs w:val="20"/>
        </w:rPr>
        <w:t xml:space="preserve"> (Song et al., 2021), </w:t>
      </w:r>
      <w:r w:rsidR="00205FD0" w:rsidRPr="00F36F36">
        <w:rPr>
          <w:rFonts w:ascii="Palatino Linotype" w:hAnsi="Palatino Linotype" w:cs="Times New Roman"/>
          <w:sz w:val="20"/>
          <w:szCs w:val="20"/>
        </w:rPr>
        <w:t>was utilized for the study</w:t>
      </w:r>
      <w:r w:rsidR="00205FD0" w:rsidRPr="00205FD0">
        <w:rPr>
          <w:rFonts w:ascii="Palatino Linotype" w:hAnsi="Palatino Linotype" w:cs="Times New Roman"/>
          <w:sz w:val="20"/>
          <w:szCs w:val="20"/>
        </w:rPr>
        <w:t>. This approach allows for naturalistic exposure patterns similar to environmental conditions humans might experience.</w:t>
      </w:r>
      <w:r w:rsidR="00205FD0">
        <w:rPr>
          <w:rFonts w:ascii="Palatino Linotype" w:hAnsi="Palatino Linotype" w:cs="Times New Roman"/>
          <w:sz w:val="20"/>
          <w:szCs w:val="20"/>
        </w:rPr>
        <w:t xml:space="preserve"> </w:t>
      </w:r>
      <w:r w:rsidRPr="00F36F36">
        <w:rPr>
          <w:rFonts w:ascii="Palatino Linotype" w:hAnsi="Palatino Linotype" w:cs="Times New Roman"/>
          <w:sz w:val="20"/>
          <w:szCs w:val="20"/>
        </w:rPr>
        <w:t>The apparatus for the carbon soot particulate matter inhalation system comprised a carbon soot particulate matter sample, a particulate matter concentration analyzer and quantifier (PM sensor and meter), three inhalation exposure cages, a circulatory machine (installed fan), and a thermometer to monitor the system's temperature</w:t>
      </w:r>
      <w:r>
        <w:rPr>
          <w:rFonts w:ascii="Palatino Linotype" w:hAnsi="Palatino Linotype" w:cs="Times New Roman"/>
          <w:sz w:val="20"/>
          <w:szCs w:val="20"/>
        </w:rPr>
        <w:t xml:space="preserve"> (see </w:t>
      </w:r>
      <w:r w:rsidRPr="00F36F36">
        <w:rPr>
          <w:rFonts w:ascii="Palatino Linotype" w:hAnsi="Palatino Linotype" w:cs="Times New Roman"/>
          <w:b/>
          <w:bCs/>
          <w:sz w:val="20"/>
          <w:szCs w:val="20"/>
        </w:rPr>
        <w:t>Figure 1</w:t>
      </w:r>
      <w:r>
        <w:rPr>
          <w:rFonts w:ascii="Palatino Linotype" w:hAnsi="Palatino Linotype" w:cs="Times New Roman"/>
          <w:sz w:val="20"/>
          <w:szCs w:val="20"/>
        </w:rPr>
        <w:t>)</w:t>
      </w:r>
      <w:r w:rsidRPr="00F36F36">
        <w:rPr>
          <w:rFonts w:ascii="Palatino Linotype" w:hAnsi="Palatino Linotype" w:cs="Times New Roman"/>
          <w:sz w:val="20"/>
          <w:szCs w:val="20"/>
        </w:rPr>
        <w:t>.</w:t>
      </w:r>
    </w:p>
    <w:p w14:paraId="718CF078" w14:textId="43F6B8FA" w:rsidR="00E02BB6" w:rsidRPr="00E02BB6" w:rsidRDefault="00E02BB6" w:rsidP="0025158E">
      <w:pPr>
        <w:spacing w:line="480" w:lineRule="auto"/>
        <w:jc w:val="both"/>
        <w:rPr>
          <w:rFonts w:ascii="Palatino Linotype" w:hAnsi="Palatino Linotype" w:cs="Times New Roman"/>
          <w:b/>
          <w:bCs/>
          <w:sz w:val="20"/>
          <w:szCs w:val="20"/>
        </w:rPr>
      </w:pPr>
      <w:r w:rsidRPr="00E02BB6">
        <w:rPr>
          <w:rFonts w:ascii="Palatino Linotype" w:hAnsi="Palatino Linotype" w:cs="Times New Roman"/>
          <w:b/>
          <w:bCs/>
          <w:sz w:val="20"/>
          <w:szCs w:val="20"/>
        </w:rPr>
        <w:lastRenderedPageBreak/>
        <w:t>Animal</w:t>
      </w:r>
      <w:r w:rsidR="00134D90">
        <w:rPr>
          <w:rFonts w:ascii="Palatino Linotype" w:hAnsi="Palatino Linotype" w:cs="Times New Roman"/>
          <w:b/>
          <w:bCs/>
          <w:sz w:val="20"/>
          <w:szCs w:val="20"/>
        </w:rPr>
        <w:t xml:space="preserve"> model</w:t>
      </w:r>
    </w:p>
    <w:p w14:paraId="668EA260" w14:textId="6F50D3B0" w:rsidR="00E02BB6" w:rsidRPr="00E02BB6" w:rsidRDefault="00E02BB6" w:rsidP="0025158E">
      <w:pPr>
        <w:spacing w:line="480" w:lineRule="auto"/>
        <w:jc w:val="both"/>
        <w:rPr>
          <w:rFonts w:ascii="Palatino Linotype" w:hAnsi="Palatino Linotype" w:cs="Times New Roman"/>
          <w:sz w:val="20"/>
          <w:szCs w:val="20"/>
        </w:rPr>
      </w:pPr>
      <w:r w:rsidRPr="00F36F36">
        <w:rPr>
          <w:rFonts w:ascii="Palatino Linotype" w:hAnsi="Palatino Linotype" w:cs="Times New Roman"/>
          <w:sz w:val="20"/>
          <w:szCs w:val="20"/>
        </w:rPr>
        <w:t xml:space="preserve">A total of </w:t>
      </w:r>
      <w:r w:rsidRPr="0025158E">
        <w:rPr>
          <w:rFonts w:ascii="Palatino Linotype" w:hAnsi="Palatino Linotype" w:cs="Times New Roman"/>
          <w:sz w:val="20"/>
          <w:szCs w:val="20"/>
        </w:rPr>
        <w:t>Twenty-</w:t>
      </w:r>
      <w:r>
        <w:rPr>
          <w:rFonts w:ascii="Palatino Linotype" w:hAnsi="Palatino Linotype" w:cs="Times New Roman"/>
          <w:sz w:val="20"/>
          <w:szCs w:val="20"/>
        </w:rPr>
        <w:t>eight</w:t>
      </w:r>
      <w:r w:rsidRPr="0025158E">
        <w:rPr>
          <w:rFonts w:ascii="Palatino Linotype" w:hAnsi="Palatino Linotype" w:cs="Times New Roman"/>
          <w:sz w:val="20"/>
          <w:szCs w:val="20"/>
        </w:rPr>
        <w:t xml:space="preserve"> (2</w:t>
      </w:r>
      <w:r w:rsidR="005625DB">
        <w:rPr>
          <w:rFonts w:ascii="Palatino Linotype" w:hAnsi="Palatino Linotype" w:cs="Times New Roman"/>
          <w:sz w:val="20"/>
          <w:szCs w:val="20"/>
        </w:rPr>
        <w:t>3</w:t>
      </w:r>
      <w:r w:rsidRPr="0025158E">
        <w:rPr>
          <w:rFonts w:ascii="Palatino Linotype" w:hAnsi="Palatino Linotype" w:cs="Times New Roman"/>
          <w:sz w:val="20"/>
          <w:szCs w:val="20"/>
        </w:rPr>
        <w:t xml:space="preserve">) </w:t>
      </w:r>
      <w:r w:rsidRPr="00F36F36">
        <w:rPr>
          <w:rFonts w:ascii="Palatino Linotype" w:hAnsi="Palatino Linotype" w:cs="Times New Roman"/>
          <w:sz w:val="20"/>
          <w:szCs w:val="20"/>
        </w:rPr>
        <w:t>male Wistar rats, aged between 30 and 60 days</w:t>
      </w:r>
      <w:r w:rsidR="00F01BBF">
        <w:rPr>
          <w:rFonts w:ascii="Palatino Linotype" w:hAnsi="Palatino Linotype" w:cs="Times New Roman"/>
          <w:sz w:val="20"/>
          <w:szCs w:val="20"/>
        </w:rPr>
        <w:t xml:space="preserve"> and </w:t>
      </w:r>
      <w:r w:rsidR="00F01BBF" w:rsidRPr="0064217E">
        <w:rPr>
          <w:rFonts w:ascii="Palatino Linotype" w:hAnsi="Palatino Linotype" w:cs="Times"/>
          <w:sz w:val="20"/>
          <w:szCs w:val="20"/>
        </w:rPr>
        <w:t xml:space="preserve">weighing </w:t>
      </w:r>
      <w:r w:rsidR="00F01BBF">
        <w:rPr>
          <w:rFonts w:ascii="Palatino Linotype" w:hAnsi="Palatino Linotype" w:cs="Times"/>
          <w:sz w:val="20"/>
          <w:szCs w:val="20"/>
        </w:rPr>
        <w:t>10</w:t>
      </w:r>
      <w:r w:rsidR="00F01BBF" w:rsidRPr="0064217E">
        <w:rPr>
          <w:rFonts w:ascii="Palatino Linotype" w:hAnsi="Palatino Linotype" w:cs="Times"/>
          <w:sz w:val="20"/>
          <w:szCs w:val="20"/>
        </w:rPr>
        <w:t>0-1</w:t>
      </w:r>
      <w:r w:rsidR="00F01BBF">
        <w:rPr>
          <w:rFonts w:ascii="Palatino Linotype" w:hAnsi="Palatino Linotype" w:cs="Times"/>
          <w:sz w:val="20"/>
          <w:szCs w:val="20"/>
        </w:rPr>
        <w:t>5</w:t>
      </w:r>
      <w:r w:rsidR="00F01BBF" w:rsidRPr="0064217E">
        <w:rPr>
          <w:rFonts w:ascii="Palatino Linotype" w:hAnsi="Palatino Linotype" w:cs="Times"/>
          <w:sz w:val="20"/>
          <w:szCs w:val="20"/>
        </w:rPr>
        <w:t>0g</w:t>
      </w:r>
      <w:r w:rsidRPr="00F36F36">
        <w:rPr>
          <w:rFonts w:ascii="Palatino Linotype" w:hAnsi="Palatino Linotype" w:cs="Times New Roman"/>
          <w:sz w:val="20"/>
          <w:szCs w:val="20"/>
        </w:rPr>
        <w:t>, were procured from the Animal Farm House of the Department of Pharmacology, University of Port Harcourt for the study. They were then acclimatized for two weeks before exposure.</w:t>
      </w:r>
      <w:r>
        <w:rPr>
          <w:rFonts w:ascii="Palatino Linotype" w:hAnsi="Palatino Linotype" w:cs="Times New Roman"/>
          <w:sz w:val="20"/>
          <w:szCs w:val="20"/>
        </w:rPr>
        <w:t xml:space="preserve"> </w:t>
      </w:r>
      <w:r w:rsidRPr="0025158E">
        <w:rPr>
          <w:rFonts w:ascii="Palatino Linotype" w:hAnsi="Palatino Linotype" w:cs="Times New Roman"/>
          <w:sz w:val="20"/>
          <w:szCs w:val="20"/>
        </w:rPr>
        <w:t xml:space="preserve">The rats were bred and housed in the animal house of the Faculty of Basic Medical Sciences, University of Port Harcourt. The animals were kept and nurtured under laboratory conditions, temperature, humidity, and light (temperature </w:t>
      </w:r>
      <w:r w:rsidR="00AC2631" w:rsidRPr="00AC2631">
        <w:rPr>
          <w:rFonts w:ascii="Palatino Linotype" w:hAnsi="Palatino Linotype" w:cs="Times New Roman"/>
          <w:sz w:val="20"/>
          <w:szCs w:val="20"/>
        </w:rPr>
        <w:t>25 ± 2.0°C</w:t>
      </w:r>
      <w:r w:rsidRPr="0025158E">
        <w:rPr>
          <w:rFonts w:ascii="Palatino Linotype" w:hAnsi="Palatino Linotype" w:cs="Times New Roman"/>
          <w:sz w:val="20"/>
          <w:szCs w:val="20"/>
        </w:rPr>
        <w:t xml:space="preserve">, 12hr light/12hr dark cycle) and were allowed free access to food and water ad libitum. The animals were fed with standard rat feed (Eastern Premier Mills Limited, Calabar). Rats were identified by special markings on the ears. Wire meshed cages were used to house the animals and saw dust were laid in as beddings. The cages were cleaned daily to enhance clean environment and reduce </w:t>
      </w:r>
      <w:proofErr w:type="spellStart"/>
      <w:r w:rsidRPr="0025158E">
        <w:rPr>
          <w:rFonts w:ascii="Palatino Linotype" w:hAnsi="Palatino Linotype" w:cs="Times New Roman"/>
          <w:sz w:val="20"/>
          <w:szCs w:val="20"/>
        </w:rPr>
        <w:t>odour</w:t>
      </w:r>
      <w:proofErr w:type="spellEnd"/>
      <w:r w:rsidRPr="0025158E">
        <w:rPr>
          <w:rFonts w:ascii="Palatino Linotype" w:hAnsi="Palatino Linotype" w:cs="Times New Roman"/>
          <w:sz w:val="20"/>
          <w:szCs w:val="20"/>
        </w:rPr>
        <w:t>. There was cross ventilation in the animal house. Before commencement of the experiment, the animals were allowed to acclimatize for three weeks under the standard conditions of temperature and illumination.</w:t>
      </w:r>
    </w:p>
    <w:p w14:paraId="49D2C6A8" w14:textId="77777777" w:rsidR="002E2754" w:rsidRDefault="002E2754" w:rsidP="0025158E">
      <w:pPr>
        <w:spacing w:line="480" w:lineRule="auto"/>
        <w:jc w:val="both"/>
        <w:rPr>
          <w:rFonts w:ascii="Palatino Linotype" w:hAnsi="Palatino Linotype" w:cs="Times New Roman"/>
          <w:b/>
          <w:bCs/>
          <w:sz w:val="20"/>
          <w:szCs w:val="20"/>
        </w:rPr>
      </w:pPr>
      <w:r w:rsidRPr="002E2754">
        <w:rPr>
          <w:rFonts w:ascii="Palatino Linotype" w:hAnsi="Palatino Linotype" w:cs="Times New Roman"/>
          <w:b/>
          <w:bCs/>
          <w:sz w:val="20"/>
          <w:szCs w:val="20"/>
        </w:rPr>
        <w:t>Quality Assessment of the Inhalation System</w:t>
      </w:r>
    </w:p>
    <w:p w14:paraId="007687FD" w14:textId="61A502BA" w:rsidR="00E02BB6" w:rsidRDefault="00F36F36" w:rsidP="0025158E">
      <w:pPr>
        <w:spacing w:line="480" w:lineRule="auto"/>
        <w:jc w:val="both"/>
        <w:rPr>
          <w:rFonts w:ascii="Palatino Linotype" w:hAnsi="Palatino Linotype" w:cs="Times New Roman"/>
          <w:sz w:val="20"/>
          <w:szCs w:val="20"/>
        </w:rPr>
      </w:pPr>
      <w:r w:rsidRPr="00F36F36">
        <w:rPr>
          <w:rFonts w:ascii="Palatino Linotype" w:hAnsi="Palatino Linotype" w:cs="Times New Roman"/>
          <w:sz w:val="20"/>
          <w:szCs w:val="20"/>
        </w:rPr>
        <w:t xml:space="preserve">Prior to rat exposure, a quality </w:t>
      </w:r>
      <w:r w:rsidR="002E2754">
        <w:rPr>
          <w:rFonts w:ascii="Palatino Linotype" w:hAnsi="Palatino Linotype" w:cs="Times New Roman"/>
          <w:sz w:val="20"/>
          <w:szCs w:val="20"/>
        </w:rPr>
        <w:t>assessment</w:t>
      </w:r>
      <w:r w:rsidRPr="00F36F36">
        <w:rPr>
          <w:rFonts w:ascii="Palatino Linotype" w:hAnsi="Palatino Linotype" w:cs="Times New Roman"/>
          <w:sz w:val="20"/>
          <w:szCs w:val="20"/>
        </w:rPr>
        <w:t xml:space="preserve"> was conducted on the inhalation system</w:t>
      </w:r>
      <w:r>
        <w:rPr>
          <w:rFonts w:ascii="Palatino Linotype" w:hAnsi="Palatino Linotype" w:cs="Times New Roman"/>
          <w:sz w:val="20"/>
          <w:szCs w:val="20"/>
        </w:rPr>
        <w:t xml:space="preserve"> of the </w:t>
      </w:r>
      <w:r w:rsidRPr="00F36F36">
        <w:rPr>
          <w:rFonts w:ascii="Palatino Linotype" w:hAnsi="Palatino Linotype" w:cs="Times New Roman"/>
          <w:sz w:val="20"/>
          <w:szCs w:val="20"/>
        </w:rPr>
        <w:t>local refinery and combustion chamber to assess its efficiency, soot production, and determine optimal exposure time and concentration. The analysis focused on volatile organic compounds (VOCs), methane, and CO₂. Soot production and accumulation were measured at intermittent time intervals of 30 to 60 minutes to evaluate variations in particulate matter generation.</w:t>
      </w:r>
      <w:r w:rsidR="00E02BB6">
        <w:rPr>
          <w:rFonts w:ascii="Palatino Linotype" w:hAnsi="Palatino Linotype" w:cs="Times New Roman"/>
          <w:sz w:val="20"/>
          <w:szCs w:val="20"/>
        </w:rPr>
        <w:t xml:space="preserve"> </w:t>
      </w:r>
    </w:p>
    <w:p w14:paraId="484B6B04" w14:textId="77777777" w:rsidR="002E2754" w:rsidRPr="002E2754" w:rsidRDefault="002E2754" w:rsidP="0025158E">
      <w:pPr>
        <w:spacing w:line="480" w:lineRule="auto"/>
        <w:jc w:val="both"/>
        <w:rPr>
          <w:rFonts w:ascii="Palatino Linotype" w:hAnsi="Palatino Linotype" w:cs="Times New Roman"/>
          <w:b/>
          <w:bCs/>
          <w:sz w:val="20"/>
          <w:szCs w:val="20"/>
        </w:rPr>
      </w:pPr>
      <w:r w:rsidRPr="002E2754">
        <w:rPr>
          <w:rFonts w:ascii="Palatino Linotype" w:hAnsi="Palatino Linotype" w:cs="Times New Roman"/>
          <w:b/>
          <w:bCs/>
          <w:sz w:val="20"/>
          <w:szCs w:val="20"/>
        </w:rPr>
        <w:t>Baseline Assessment and Exposure Monitoring</w:t>
      </w:r>
    </w:p>
    <w:p w14:paraId="7A661800" w14:textId="470C415B" w:rsidR="00F36F36" w:rsidRDefault="00E02BB6" w:rsidP="0025158E">
      <w:pPr>
        <w:spacing w:line="480" w:lineRule="auto"/>
        <w:jc w:val="both"/>
        <w:rPr>
          <w:rFonts w:ascii="Palatino Linotype" w:hAnsi="Palatino Linotype" w:cs="Times New Roman"/>
          <w:sz w:val="20"/>
          <w:szCs w:val="20"/>
        </w:rPr>
      </w:pPr>
      <w:r>
        <w:rPr>
          <w:rFonts w:ascii="Palatino Linotype" w:hAnsi="Palatino Linotype" w:cs="Times New Roman"/>
          <w:sz w:val="20"/>
          <w:szCs w:val="20"/>
        </w:rPr>
        <w:t>T</w:t>
      </w:r>
      <w:r w:rsidR="001E3504" w:rsidRPr="00F36F36">
        <w:rPr>
          <w:rFonts w:ascii="Palatino Linotype" w:hAnsi="Palatino Linotype" w:cs="Times New Roman"/>
          <w:sz w:val="20"/>
          <w:szCs w:val="20"/>
        </w:rPr>
        <w:t>o establish a baseline and confirm the absence of contamination, three (3) rats were sacrificed and their cerebellar tissues were analyzed for soot deposition</w:t>
      </w:r>
      <w:r w:rsidR="001E3504">
        <w:rPr>
          <w:rFonts w:ascii="Palatino Linotype" w:hAnsi="Palatino Linotype" w:cs="Times New Roman"/>
          <w:sz w:val="20"/>
          <w:szCs w:val="20"/>
        </w:rPr>
        <w:t xml:space="preserve"> histologically</w:t>
      </w:r>
      <w:r w:rsidR="001E3504" w:rsidRPr="00F36F36">
        <w:rPr>
          <w:rFonts w:ascii="Palatino Linotype" w:hAnsi="Palatino Linotype" w:cs="Times New Roman"/>
          <w:sz w:val="20"/>
          <w:szCs w:val="20"/>
        </w:rPr>
        <w:t xml:space="preserve">. This was to ensure that the animals were free from soot contamination before the experiment. The rats were weighed, and their initial body weights recorded. </w:t>
      </w:r>
      <w:r w:rsidR="001E3504">
        <w:rPr>
          <w:rFonts w:ascii="Palatino Linotype" w:hAnsi="Palatino Linotype" w:cs="Times New Roman"/>
          <w:sz w:val="20"/>
          <w:szCs w:val="20"/>
        </w:rPr>
        <w:t xml:space="preserve">During the study, </w:t>
      </w:r>
      <w:r w:rsidR="00F36F36" w:rsidRPr="00F36F36">
        <w:rPr>
          <w:rFonts w:ascii="Palatino Linotype" w:hAnsi="Palatino Linotype" w:cs="Times New Roman"/>
          <w:sz w:val="20"/>
          <w:szCs w:val="20"/>
        </w:rPr>
        <w:t xml:space="preserve">the rats were exposed for four (4) hours per day, while emission measurements </w:t>
      </w:r>
      <w:r w:rsidR="00F36F36" w:rsidRPr="00F36F36">
        <w:rPr>
          <w:rFonts w:ascii="Palatino Linotype" w:hAnsi="Palatino Linotype" w:cs="Times New Roman"/>
          <w:sz w:val="20"/>
          <w:szCs w:val="20"/>
        </w:rPr>
        <w:lastRenderedPageBreak/>
        <w:t>were recorded every three (3) days. Temperature measurements were taken at least three times per cage daily, and an additional thermometer was placed in the combustion chamber for continuous monitoring throughout the exposure duration.</w:t>
      </w:r>
    </w:p>
    <w:p w14:paraId="4F253FD3" w14:textId="77EB99FE" w:rsidR="0025158E" w:rsidRPr="0025158E" w:rsidRDefault="00E02BB6" w:rsidP="0025158E">
      <w:pPr>
        <w:spacing w:line="480" w:lineRule="auto"/>
        <w:jc w:val="both"/>
        <w:rPr>
          <w:rFonts w:ascii="Palatino Linotype" w:hAnsi="Palatino Linotype" w:cs="Times New Roman"/>
          <w:b/>
          <w:sz w:val="20"/>
          <w:szCs w:val="20"/>
        </w:rPr>
      </w:pPr>
      <w:r>
        <w:rPr>
          <w:rFonts w:ascii="Palatino Linotype" w:hAnsi="Palatino Linotype" w:cs="Times New Roman"/>
          <w:b/>
          <w:sz w:val="20"/>
          <w:szCs w:val="20"/>
        </w:rPr>
        <w:t>Experimental grouping/</w:t>
      </w:r>
      <w:r w:rsidR="00670C91">
        <w:rPr>
          <w:rFonts w:ascii="Palatino Linotype" w:hAnsi="Palatino Linotype" w:cs="Times New Roman"/>
          <w:b/>
          <w:sz w:val="20"/>
          <w:szCs w:val="20"/>
        </w:rPr>
        <w:t>r</w:t>
      </w:r>
      <w:r>
        <w:rPr>
          <w:rFonts w:ascii="Palatino Linotype" w:hAnsi="Palatino Linotype" w:cs="Times New Roman"/>
          <w:b/>
          <w:sz w:val="20"/>
          <w:szCs w:val="20"/>
        </w:rPr>
        <w:t>andomization</w:t>
      </w:r>
    </w:p>
    <w:p w14:paraId="630E58CB" w14:textId="6F379EDE" w:rsidR="0025158E" w:rsidRPr="002E2754" w:rsidRDefault="00E02BB6" w:rsidP="0025158E">
      <w:pPr>
        <w:spacing w:line="480" w:lineRule="auto"/>
        <w:jc w:val="both"/>
        <w:rPr>
          <w:rFonts w:ascii="Palatino Linotype" w:hAnsi="Palatino Linotype" w:cs="Times New Roman"/>
          <w:sz w:val="20"/>
          <w:szCs w:val="20"/>
        </w:rPr>
      </w:pPr>
      <w:r w:rsidRPr="002E2754">
        <w:rPr>
          <w:rFonts w:ascii="Palatino Linotype" w:hAnsi="Palatino Linotype" w:cs="Times New Roman"/>
          <w:sz w:val="20"/>
          <w:szCs w:val="20"/>
        </w:rPr>
        <w:t xml:space="preserve">The </w:t>
      </w:r>
      <w:proofErr w:type="gramStart"/>
      <w:r w:rsidR="0025158E" w:rsidRPr="002E2754">
        <w:rPr>
          <w:rFonts w:ascii="Palatino Linotype" w:hAnsi="Palatino Linotype" w:cs="Times New Roman"/>
          <w:sz w:val="20"/>
          <w:szCs w:val="20"/>
        </w:rPr>
        <w:t>2</w:t>
      </w:r>
      <w:r w:rsidR="005625DB">
        <w:rPr>
          <w:rFonts w:ascii="Palatino Linotype" w:hAnsi="Palatino Linotype" w:cs="Times New Roman"/>
          <w:sz w:val="20"/>
          <w:szCs w:val="20"/>
        </w:rPr>
        <w:t>0</w:t>
      </w:r>
      <w:r w:rsidR="0025158E" w:rsidRPr="002E2754">
        <w:rPr>
          <w:rFonts w:ascii="Palatino Linotype" w:hAnsi="Palatino Linotype" w:cs="Times New Roman"/>
          <w:sz w:val="20"/>
          <w:szCs w:val="20"/>
        </w:rPr>
        <w:t xml:space="preserve"> male</w:t>
      </w:r>
      <w:proofErr w:type="gramEnd"/>
      <w:r w:rsidR="0025158E" w:rsidRPr="002E2754">
        <w:rPr>
          <w:rFonts w:ascii="Palatino Linotype" w:hAnsi="Palatino Linotype" w:cs="Times New Roman"/>
          <w:sz w:val="20"/>
          <w:szCs w:val="20"/>
        </w:rPr>
        <w:t xml:space="preserve"> albino Wistar rats </w:t>
      </w:r>
      <w:r w:rsidRPr="002E2754">
        <w:rPr>
          <w:rFonts w:ascii="Palatino Linotype" w:hAnsi="Palatino Linotype" w:cs="Times New Roman"/>
          <w:sz w:val="20"/>
          <w:szCs w:val="20"/>
        </w:rPr>
        <w:t xml:space="preserve">left after sacrificing 3 </w:t>
      </w:r>
      <w:r w:rsidR="00E358C1">
        <w:rPr>
          <w:rFonts w:ascii="Palatino Linotype" w:hAnsi="Palatino Linotype" w:cs="Times New Roman"/>
          <w:sz w:val="20"/>
          <w:szCs w:val="20"/>
        </w:rPr>
        <w:t xml:space="preserve">for baseline assessment </w:t>
      </w:r>
      <w:r w:rsidR="0025158E" w:rsidRPr="002E2754">
        <w:rPr>
          <w:rFonts w:ascii="Palatino Linotype" w:hAnsi="Palatino Linotype" w:cs="Times New Roman"/>
          <w:sz w:val="20"/>
          <w:szCs w:val="20"/>
        </w:rPr>
        <w:t xml:space="preserve">were used for this study. </w:t>
      </w:r>
      <w:r w:rsidR="002E2754" w:rsidRPr="002E2754">
        <w:rPr>
          <w:rFonts w:ascii="Palatino Linotype" w:hAnsi="Palatino Linotype" w:cs="Times New Roman"/>
          <w:sz w:val="20"/>
          <w:szCs w:val="20"/>
        </w:rPr>
        <w:t xml:space="preserve">The rats were </w:t>
      </w:r>
      <w:r w:rsidR="002E2754">
        <w:rPr>
          <w:rFonts w:ascii="Palatino Linotype" w:hAnsi="Palatino Linotype" w:cs="Times New Roman"/>
          <w:sz w:val="20"/>
          <w:szCs w:val="20"/>
        </w:rPr>
        <w:t xml:space="preserve">randomized into 4 groups of </w:t>
      </w:r>
      <w:r w:rsidR="002E2754" w:rsidRPr="002E2754">
        <w:rPr>
          <w:rFonts w:ascii="Palatino Linotype" w:hAnsi="Palatino Linotype" w:cs="Times New Roman"/>
          <w:sz w:val="20"/>
          <w:szCs w:val="20"/>
        </w:rPr>
        <w:t>5</w:t>
      </w:r>
      <w:r w:rsidR="002E2754">
        <w:rPr>
          <w:rFonts w:ascii="Palatino Linotype" w:hAnsi="Palatino Linotype" w:cs="Times New Roman"/>
          <w:sz w:val="20"/>
          <w:szCs w:val="20"/>
        </w:rPr>
        <w:t xml:space="preserve"> (n=5)</w:t>
      </w:r>
      <w:r w:rsidR="002E2754" w:rsidRPr="002E2754">
        <w:rPr>
          <w:rFonts w:ascii="Palatino Linotype" w:hAnsi="Palatino Linotype" w:cs="Times New Roman"/>
          <w:sz w:val="20"/>
          <w:szCs w:val="20"/>
        </w:rPr>
        <w:t xml:space="preserve"> animals </w:t>
      </w:r>
      <w:r w:rsidR="002E2754">
        <w:rPr>
          <w:rFonts w:ascii="Palatino Linotype" w:hAnsi="Palatino Linotype" w:cs="Times New Roman"/>
          <w:sz w:val="20"/>
          <w:szCs w:val="20"/>
        </w:rPr>
        <w:t>each</w:t>
      </w:r>
      <w:r w:rsidR="00E358C1">
        <w:rPr>
          <w:rFonts w:ascii="Palatino Linotype" w:hAnsi="Palatino Linotype" w:cs="Times New Roman"/>
          <w:sz w:val="20"/>
          <w:szCs w:val="20"/>
        </w:rPr>
        <w:t xml:space="preserve"> as shown in Table 1</w:t>
      </w:r>
      <w:r w:rsidR="002E2754" w:rsidRPr="002E2754">
        <w:rPr>
          <w:rFonts w:ascii="Palatino Linotype" w:hAnsi="Palatino Linotype" w:cs="Times New Roman"/>
          <w:sz w:val="20"/>
          <w:szCs w:val="20"/>
        </w:rPr>
        <w:t>.</w:t>
      </w:r>
    </w:p>
    <w:p w14:paraId="69CA0C6D" w14:textId="0475DDBD" w:rsidR="002E2754" w:rsidRPr="0064217E" w:rsidRDefault="002E2754" w:rsidP="002E2754">
      <w:pPr>
        <w:jc w:val="both"/>
        <w:rPr>
          <w:rFonts w:ascii="Palatino Linotype" w:hAnsi="Palatino Linotype" w:cs="Times New Roman"/>
          <w:b/>
          <w:bCs/>
          <w:sz w:val="20"/>
          <w:szCs w:val="20"/>
        </w:rPr>
      </w:pPr>
      <w:r w:rsidRPr="0064217E">
        <w:rPr>
          <w:rFonts w:ascii="Palatino Linotype" w:hAnsi="Palatino Linotype" w:cs="Times New Roman"/>
          <w:b/>
          <w:bCs/>
          <w:sz w:val="20"/>
          <w:szCs w:val="20"/>
        </w:rPr>
        <w:t xml:space="preserve">Table 1. </w:t>
      </w:r>
      <w:r>
        <w:rPr>
          <w:rFonts w:ascii="Palatino Linotype" w:hAnsi="Palatino Linotype" w:cs="Times New Roman"/>
          <w:b/>
          <w:bCs/>
          <w:sz w:val="20"/>
          <w:szCs w:val="20"/>
        </w:rPr>
        <w:t>Randomization of animals and exposure</w:t>
      </w:r>
    </w:p>
    <w:tbl>
      <w:tblPr>
        <w:tblStyle w:val="TableGrid"/>
        <w:tblW w:w="0" w:type="auto"/>
        <w:tblLook w:val="04A0" w:firstRow="1" w:lastRow="0" w:firstColumn="1" w:lastColumn="0" w:noHBand="0" w:noVBand="1"/>
      </w:tblPr>
      <w:tblGrid>
        <w:gridCol w:w="1129"/>
        <w:gridCol w:w="2268"/>
        <w:gridCol w:w="5953"/>
      </w:tblGrid>
      <w:tr w:rsidR="002E2754" w:rsidRPr="002E2754" w14:paraId="41F0CDDB" w14:textId="77777777" w:rsidTr="00670C91">
        <w:trPr>
          <w:trHeight w:val="435"/>
        </w:trPr>
        <w:tc>
          <w:tcPr>
            <w:tcW w:w="1129" w:type="dxa"/>
            <w:vAlign w:val="center"/>
            <w:hideMark/>
          </w:tcPr>
          <w:p w14:paraId="1B1DA261" w14:textId="77777777" w:rsidR="002E2754" w:rsidRPr="002E2754" w:rsidRDefault="002E2754"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Group</w:t>
            </w:r>
          </w:p>
        </w:tc>
        <w:tc>
          <w:tcPr>
            <w:tcW w:w="2268" w:type="dxa"/>
            <w:vAlign w:val="center"/>
            <w:hideMark/>
          </w:tcPr>
          <w:p w14:paraId="5AEB1524" w14:textId="77777777" w:rsidR="002E2754" w:rsidRPr="002E2754" w:rsidRDefault="002E2754"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Identification</w:t>
            </w:r>
          </w:p>
        </w:tc>
        <w:tc>
          <w:tcPr>
            <w:tcW w:w="5953" w:type="dxa"/>
            <w:vAlign w:val="center"/>
            <w:hideMark/>
          </w:tcPr>
          <w:p w14:paraId="0796DEDF" w14:textId="77777777" w:rsidR="002E2754" w:rsidRPr="002E2754" w:rsidRDefault="002E2754" w:rsidP="002E2754">
            <w:pPr>
              <w:spacing w:after="160"/>
              <w:jc w:val="both"/>
              <w:rPr>
                <w:rFonts w:ascii="Palatino Linotype" w:hAnsi="Palatino Linotype" w:cs="Times New Roman"/>
                <w:b/>
                <w:bCs/>
                <w:sz w:val="20"/>
                <w:szCs w:val="20"/>
              </w:rPr>
            </w:pPr>
            <w:r w:rsidRPr="002E2754">
              <w:rPr>
                <w:rFonts w:ascii="Palatino Linotype" w:hAnsi="Palatino Linotype" w:cs="Times New Roman"/>
                <w:b/>
                <w:bCs/>
                <w:sz w:val="20"/>
                <w:szCs w:val="20"/>
              </w:rPr>
              <w:t>Exposure</w:t>
            </w:r>
          </w:p>
        </w:tc>
      </w:tr>
      <w:tr w:rsidR="002E2754" w:rsidRPr="002E2754" w14:paraId="179C2CE0" w14:textId="77777777" w:rsidTr="00670C91">
        <w:trPr>
          <w:trHeight w:val="554"/>
        </w:trPr>
        <w:tc>
          <w:tcPr>
            <w:tcW w:w="1129" w:type="dxa"/>
            <w:vAlign w:val="center"/>
            <w:hideMark/>
          </w:tcPr>
          <w:p w14:paraId="4E1610EA"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1</w:t>
            </w:r>
          </w:p>
        </w:tc>
        <w:tc>
          <w:tcPr>
            <w:tcW w:w="2268" w:type="dxa"/>
            <w:vAlign w:val="center"/>
            <w:hideMark/>
          </w:tcPr>
          <w:p w14:paraId="3F93D05A"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General Control</w:t>
            </w:r>
          </w:p>
        </w:tc>
        <w:tc>
          <w:tcPr>
            <w:tcW w:w="5953" w:type="dxa"/>
            <w:vAlign w:val="center"/>
            <w:hideMark/>
          </w:tcPr>
          <w:p w14:paraId="24ACE364" w14:textId="4A9A38F2"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Rats in this group were not exposed to Carbon Soot Particulate Matter</w:t>
            </w:r>
          </w:p>
        </w:tc>
      </w:tr>
      <w:tr w:rsidR="002E2754" w:rsidRPr="002E2754" w14:paraId="641103C4" w14:textId="77777777" w:rsidTr="00670C91">
        <w:tc>
          <w:tcPr>
            <w:tcW w:w="1129" w:type="dxa"/>
            <w:vAlign w:val="center"/>
            <w:hideMark/>
          </w:tcPr>
          <w:p w14:paraId="5D725408"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2</w:t>
            </w:r>
          </w:p>
        </w:tc>
        <w:tc>
          <w:tcPr>
            <w:tcW w:w="2268" w:type="dxa"/>
            <w:vAlign w:val="center"/>
            <w:hideMark/>
          </w:tcPr>
          <w:p w14:paraId="060E9BC3"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1</w:t>
            </w:r>
          </w:p>
        </w:tc>
        <w:tc>
          <w:tcPr>
            <w:tcW w:w="5953" w:type="dxa"/>
            <w:vAlign w:val="center"/>
            <w:hideMark/>
          </w:tcPr>
          <w:p w14:paraId="797A4E0B" w14:textId="247F9CA3" w:rsidR="002E2754" w:rsidRPr="00670C91" w:rsidRDefault="002E2754"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Exposed to an average concentration of 1.221 ± 0.169 mg/m³ of Carbon Soot Particulate Matter (PM2.5)</w:t>
            </w:r>
          </w:p>
        </w:tc>
      </w:tr>
      <w:tr w:rsidR="002E2754" w:rsidRPr="002E2754" w14:paraId="2D057159" w14:textId="77777777" w:rsidTr="00670C91">
        <w:tc>
          <w:tcPr>
            <w:tcW w:w="1129" w:type="dxa"/>
            <w:vAlign w:val="center"/>
            <w:hideMark/>
          </w:tcPr>
          <w:p w14:paraId="7BCA5522"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3</w:t>
            </w:r>
          </w:p>
        </w:tc>
        <w:tc>
          <w:tcPr>
            <w:tcW w:w="2268" w:type="dxa"/>
            <w:vAlign w:val="center"/>
            <w:hideMark/>
          </w:tcPr>
          <w:p w14:paraId="1C30FEE0"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2</w:t>
            </w:r>
          </w:p>
        </w:tc>
        <w:tc>
          <w:tcPr>
            <w:tcW w:w="5953" w:type="dxa"/>
            <w:vAlign w:val="center"/>
            <w:hideMark/>
          </w:tcPr>
          <w:p w14:paraId="1EAEA53A" w14:textId="4EA8DA54" w:rsidR="002E2754" w:rsidRPr="00670C91" w:rsidRDefault="002E2754"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Exposed to an average concentration of 1.290 ± 0.214 mg/m³ of Carbon Soot Particulate Matter (PM2.5)</w:t>
            </w:r>
          </w:p>
        </w:tc>
      </w:tr>
      <w:tr w:rsidR="002E2754" w:rsidRPr="002E2754" w14:paraId="39B297F8" w14:textId="77777777" w:rsidTr="00670C91">
        <w:tc>
          <w:tcPr>
            <w:tcW w:w="1129" w:type="dxa"/>
            <w:vAlign w:val="center"/>
            <w:hideMark/>
          </w:tcPr>
          <w:p w14:paraId="44DA1D8D"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Group 4</w:t>
            </w:r>
          </w:p>
        </w:tc>
        <w:tc>
          <w:tcPr>
            <w:tcW w:w="2268" w:type="dxa"/>
            <w:vAlign w:val="center"/>
            <w:hideMark/>
          </w:tcPr>
          <w:p w14:paraId="7EAC893A" w14:textId="77777777" w:rsidR="002E2754" w:rsidRPr="002E2754" w:rsidRDefault="002E2754" w:rsidP="002E2754">
            <w:pPr>
              <w:spacing w:after="160"/>
              <w:jc w:val="both"/>
              <w:rPr>
                <w:rFonts w:ascii="Palatino Linotype" w:hAnsi="Palatino Linotype" w:cs="Times New Roman"/>
                <w:sz w:val="20"/>
                <w:szCs w:val="20"/>
              </w:rPr>
            </w:pPr>
            <w:r w:rsidRPr="002E2754">
              <w:rPr>
                <w:rFonts w:ascii="Palatino Linotype" w:hAnsi="Palatino Linotype" w:cs="Times New Roman"/>
                <w:sz w:val="20"/>
                <w:szCs w:val="20"/>
              </w:rPr>
              <w:t>Experimental Group 3</w:t>
            </w:r>
          </w:p>
        </w:tc>
        <w:tc>
          <w:tcPr>
            <w:tcW w:w="5953" w:type="dxa"/>
            <w:vAlign w:val="center"/>
            <w:hideMark/>
          </w:tcPr>
          <w:p w14:paraId="3C198290" w14:textId="3ECC9C70" w:rsidR="002E2754" w:rsidRPr="00670C91" w:rsidRDefault="002E2754" w:rsidP="002E2754">
            <w:pPr>
              <w:spacing w:after="160"/>
              <w:jc w:val="both"/>
              <w:rPr>
                <w:rFonts w:ascii="Palatino Linotype" w:hAnsi="Palatino Linotype" w:cs="Times New Roman"/>
                <w:sz w:val="20"/>
                <w:szCs w:val="20"/>
              </w:rPr>
            </w:pPr>
            <w:r w:rsidRPr="00670C91">
              <w:rPr>
                <w:rFonts w:ascii="Palatino Linotype" w:hAnsi="Palatino Linotype" w:cs="Times New Roman"/>
                <w:sz w:val="20"/>
                <w:szCs w:val="20"/>
              </w:rPr>
              <w:t>Exposed to an average concentration of 1.282 ± 0.235 mg/m³ of Carbon Soot Particulate Matter (PM2.5)</w:t>
            </w:r>
          </w:p>
        </w:tc>
      </w:tr>
    </w:tbl>
    <w:p w14:paraId="58FFB838" w14:textId="77777777" w:rsidR="002E2754" w:rsidRDefault="002E2754" w:rsidP="002E2754">
      <w:pPr>
        <w:spacing w:line="480" w:lineRule="auto"/>
        <w:jc w:val="both"/>
        <w:rPr>
          <w:rFonts w:ascii="Palatino Linotype" w:hAnsi="Palatino Linotype" w:cs="Times New Roman"/>
          <w:sz w:val="20"/>
          <w:szCs w:val="20"/>
        </w:rPr>
      </w:pPr>
    </w:p>
    <w:p w14:paraId="61CCD98D" w14:textId="5EE851A5" w:rsidR="00C66AF1" w:rsidRDefault="00C66AF1" w:rsidP="0025158E">
      <w:pPr>
        <w:spacing w:before="240" w:line="480" w:lineRule="auto"/>
        <w:jc w:val="both"/>
        <w:rPr>
          <w:rFonts w:ascii="Palatino Linotype" w:hAnsi="Palatino Linotype" w:cs="Times New Roman"/>
          <w:b/>
          <w:bCs/>
          <w:sz w:val="20"/>
          <w:szCs w:val="20"/>
        </w:rPr>
      </w:pPr>
      <w:r>
        <w:rPr>
          <w:rFonts w:ascii="Palatino Linotype" w:hAnsi="Palatino Linotype" w:cs="Times New Roman"/>
          <w:b/>
          <w:bCs/>
          <w:sz w:val="20"/>
          <w:szCs w:val="20"/>
        </w:rPr>
        <w:t>Determination of Body Weight</w:t>
      </w:r>
    </w:p>
    <w:p w14:paraId="06F3DB00" w14:textId="7FBB2313" w:rsidR="00C66AF1" w:rsidRPr="00915FD1" w:rsidRDefault="00915FD1" w:rsidP="0025158E">
      <w:pPr>
        <w:spacing w:before="240" w:line="480" w:lineRule="auto"/>
        <w:jc w:val="both"/>
        <w:rPr>
          <w:rFonts w:ascii="Palatino Linotype" w:hAnsi="Palatino Linotype" w:cs="Times New Roman"/>
          <w:sz w:val="20"/>
          <w:szCs w:val="20"/>
        </w:rPr>
      </w:pPr>
      <w:r w:rsidRPr="00915FD1">
        <w:rPr>
          <w:rFonts w:ascii="Palatino Linotype" w:hAnsi="Palatino Linotype" w:cs="Times New Roman"/>
          <w:sz w:val="20"/>
          <w:szCs w:val="20"/>
        </w:rPr>
        <w:t>The animals were weighed daily with an electric weighing scale (SF-400C) and the body weight of the rats was recorded</w:t>
      </w:r>
      <w:r>
        <w:rPr>
          <w:rFonts w:ascii="Palatino Linotype" w:hAnsi="Palatino Linotype" w:cs="Times New Roman"/>
          <w:sz w:val="20"/>
          <w:szCs w:val="20"/>
        </w:rPr>
        <w:t xml:space="preserve">. </w:t>
      </w:r>
    </w:p>
    <w:p w14:paraId="22751016" w14:textId="485AE340" w:rsidR="0025158E" w:rsidRPr="0025158E" w:rsidRDefault="002E2754" w:rsidP="0025158E">
      <w:pPr>
        <w:spacing w:before="240" w:line="480" w:lineRule="auto"/>
        <w:jc w:val="both"/>
        <w:rPr>
          <w:rFonts w:ascii="Palatino Linotype" w:hAnsi="Palatino Linotype" w:cs="Times New Roman"/>
          <w:b/>
          <w:sz w:val="20"/>
          <w:szCs w:val="20"/>
        </w:rPr>
      </w:pPr>
      <w:r w:rsidRPr="0025158E">
        <w:rPr>
          <w:rFonts w:ascii="Palatino Linotype" w:hAnsi="Palatino Linotype" w:cs="Times New Roman"/>
          <w:b/>
          <w:bCs/>
          <w:sz w:val="20"/>
          <w:szCs w:val="20"/>
        </w:rPr>
        <w:t>Animal Sacrifice and Processing of Tissues</w:t>
      </w:r>
    </w:p>
    <w:p w14:paraId="7FF6E771" w14:textId="02BEBC7D" w:rsidR="0025158E" w:rsidRPr="0025158E" w:rsidRDefault="002E2754" w:rsidP="002E2754">
      <w:pPr>
        <w:spacing w:line="480" w:lineRule="auto"/>
        <w:jc w:val="both"/>
        <w:rPr>
          <w:rFonts w:ascii="Palatino Linotype" w:hAnsi="Palatino Linotype" w:cs="Times New Roman"/>
          <w:sz w:val="20"/>
          <w:szCs w:val="20"/>
        </w:rPr>
      </w:pPr>
      <w:r w:rsidRPr="0025158E">
        <w:rPr>
          <w:rFonts w:ascii="Palatino Linotype" w:hAnsi="Palatino Linotype" w:cs="Times New Roman"/>
          <w:sz w:val="20"/>
          <w:szCs w:val="20"/>
        </w:rPr>
        <w:t xml:space="preserve">The </w:t>
      </w:r>
      <w:r w:rsidRPr="0025158E">
        <w:rPr>
          <w:rFonts w:ascii="Palatino Linotype" w:eastAsia="SimSun" w:hAnsi="Palatino Linotype" w:cs="Times New Roman"/>
          <w:sz w:val="20"/>
          <w:szCs w:val="20"/>
        </w:rPr>
        <w:t>exposure</w:t>
      </w:r>
      <w:r w:rsidRPr="0025158E">
        <w:rPr>
          <w:rFonts w:ascii="Palatino Linotype" w:hAnsi="Palatino Linotype" w:cs="Times New Roman"/>
          <w:sz w:val="20"/>
          <w:szCs w:val="20"/>
        </w:rPr>
        <w:t xml:space="preserve"> of animals</w:t>
      </w:r>
      <w:r w:rsidRPr="0025158E">
        <w:rPr>
          <w:rFonts w:ascii="Palatino Linotype" w:eastAsia="SimSun" w:hAnsi="Palatino Linotype" w:cs="Times New Roman"/>
          <w:sz w:val="20"/>
          <w:szCs w:val="20"/>
        </w:rPr>
        <w:t xml:space="preserve"> </w:t>
      </w:r>
      <w:r w:rsidRPr="0025158E">
        <w:rPr>
          <w:rFonts w:ascii="Palatino Linotype" w:hAnsi="Palatino Linotype" w:cs="Times New Roman"/>
          <w:sz w:val="20"/>
          <w:szCs w:val="20"/>
        </w:rPr>
        <w:t>was</w:t>
      </w:r>
      <w:r w:rsidRPr="0025158E">
        <w:rPr>
          <w:rFonts w:ascii="Palatino Linotype" w:eastAsia="SimSun" w:hAnsi="Palatino Linotype" w:cs="Times New Roman"/>
          <w:sz w:val="20"/>
          <w:szCs w:val="20"/>
        </w:rPr>
        <w:t xml:space="preserve"> conducted for 28 days</w:t>
      </w:r>
      <w:r w:rsidRPr="0025158E">
        <w:rPr>
          <w:rFonts w:ascii="Palatino Linotype" w:hAnsi="Palatino Linotype" w:cs="Times New Roman"/>
          <w:sz w:val="20"/>
          <w:szCs w:val="20"/>
        </w:rPr>
        <w:t>. The animals from each group were sacrificed on day 28 post exposure to the soot</w:t>
      </w:r>
      <w:r w:rsidR="0025158E" w:rsidRPr="0025158E">
        <w:rPr>
          <w:rFonts w:ascii="Palatino Linotype" w:hAnsi="Palatino Linotype" w:cs="Times New Roman"/>
          <w:sz w:val="20"/>
          <w:szCs w:val="20"/>
        </w:rPr>
        <w:t xml:space="preserve">. The rats were anesthetized with diethyl ether and incision made in the thoracic region to expose the heart. The right atrium cut to drain the blood immediately followed by trans-cardiac perfusion using 0.9% saline and then 10ml of 4% paraformaldehyde (PFA) solution through the left </w:t>
      </w:r>
      <w:r w:rsidR="0025158E" w:rsidRPr="0025158E">
        <w:rPr>
          <w:rFonts w:ascii="Palatino Linotype" w:hAnsi="Palatino Linotype" w:cs="Times New Roman"/>
          <w:sz w:val="20"/>
          <w:szCs w:val="20"/>
        </w:rPr>
        <w:lastRenderedPageBreak/>
        <w:t xml:space="preserve">ventricle of the heart. The </w:t>
      </w:r>
      <w:r w:rsidR="00FA39B0">
        <w:rPr>
          <w:rFonts w:ascii="Palatino Linotype" w:hAnsi="Palatino Linotype" w:cs="Times New Roman"/>
          <w:sz w:val="20"/>
          <w:szCs w:val="20"/>
        </w:rPr>
        <w:t>brain</w:t>
      </w:r>
      <w:r w:rsidR="0025158E" w:rsidRPr="0025158E">
        <w:rPr>
          <w:rFonts w:ascii="Palatino Linotype" w:hAnsi="Palatino Linotype" w:cs="Times New Roman"/>
          <w:sz w:val="20"/>
          <w:szCs w:val="20"/>
        </w:rPr>
        <w:t xml:space="preserve"> </w:t>
      </w:r>
      <w:r w:rsidR="00FA39B0">
        <w:rPr>
          <w:rFonts w:ascii="Palatino Linotype" w:hAnsi="Palatino Linotype" w:cs="Times New Roman"/>
          <w:sz w:val="20"/>
          <w:szCs w:val="20"/>
        </w:rPr>
        <w:t xml:space="preserve">was </w:t>
      </w:r>
      <w:r w:rsidR="0025158E" w:rsidRPr="0025158E">
        <w:rPr>
          <w:rFonts w:ascii="Palatino Linotype" w:hAnsi="Palatino Linotype" w:cs="Times New Roman"/>
          <w:sz w:val="20"/>
          <w:szCs w:val="20"/>
        </w:rPr>
        <w:t>extracted, post</w:t>
      </w:r>
      <w:r w:rsidR="00FA39B0">
        <w:rPr>
          <w:rFonts w:ascii="Palatino Linotype" w:hAnsi="Palatino Linotype" w:cs="Times New Roman"/>
          <w:sz w:val="20"/>
          <w:szCs w:val="20"/>
        </w:rPr>
        <w:t>-</w:t>
      </w:r>
      <w:r w:rsidR="0025158E" w:rsidRPr="0025158E">
        <w:rPr>
          <w:rFonts w:ascii="Palatino Linotype" w:hAnsi="Palatino Linotype" w:cs="Times New Roman"/>
          <w:sz w:val="20"/>
          <w:szCs w:val="20"/>
        </w:rPr>
        <w:t>fixed overnight in 4% paraformaldehyde at 4°C. tissues were prepared histologically.</w:t>
      </w:r>
    </w:p>
    <w:p w14:paraId="083A4C2A" w14:textId="18A398C1" w:rsidR="0025158E" w:rsidRDefault="0025158E" w:rsidP="00FA39B0">
      <w:pPr>
        <w:autoSpaceDE w:val="0"/>
        <w:autoSpaceDN w:val="0"/>
        <w:adjustRightInd w:val="0"/>
        <w:spacing w:after="0" w:line="480" w:lineRule="auto"/>
        <w:jc w:val="both"/>
        <w:rPr>
          <w:rFonts w:ascii="Palatino Linotype" w:hAnsi="Palatino Linotype"/>
          <w:b/>
          <w:bCs/>
          <w:sz w:val="20"/>
          <w:szCs w:val="20"/>
        </w:rPr>
      </w:pPr>
      <w:r w:rsidRPr="002E2754">
        <w:rPr>
          <w:rFonts w:ascii="Palatino Linotype" w:hAnsi="Palatino Linotype"/>
          <w:b/>
          <w:bCs/>
          <w:sz w:val="20"/>
          <w:szCs w:val="20"/>
        </w:rPr>
        <w:t xml:space="preserve">Histological Preparation of </w:t>
      </w:r>
      <w:r w:rsidR="00FA39B0" w:rsidRPr="00FA39B0">
        <w:rPr>
          <w:rFonts w:ascii="Palatino Linotype" w:hAnsi="Palatino Linotype"/>
          <w:b/>
          <w:bCs/>
          <w:sz w:val="20"/>
          <w:szCs w:val="20"/>
        </w:rPr>
        <w:t>brain</w:t>
      </w:r>
      <w:r w:rsidR="00FA39B0">
        <w:rPr>
          <w:rFonts w:ascii="Palatino Linotype" w:hAnsi="Palatino Linotype"/>
          <w:sz w:val="20"/>
          <w:szCs w:val="20"/>
        </w:rPr>
        <w:t xml:space="preserve"> </w:t>
      </w:r>
      <w:r w:rsidRPr="002E2754">
        <w:rPr>
          <w:rFonts w:ascii="Palatino Linotype" w:hAnsi="Palatino Linotype"/>
          <w:b/>
          <w:bCs/>
          <w:sz w:val="20"/>
          <w:szCs w:val="20"/>
        </w:rPr>
        <w:t>tissues</w:t>
      </w:r>
    </w:p>
    <w:p w14:paraId="1476DE41" w14:textId="5F323B07" w:rsidR="00FA39B0" w:rsidRPr="00FA39B0" w:rsidRDefault="00FA39B0" w:rsidP="00FA39B0">
      <w:pPr>
        <w:autoSpaceDE w:val="0"/>
        <w:autoSpaceDN w:val="0"/>
        <w:adjustRightInd w:val="0"/>
        <w:spacing w:after="0" w:line="480" w:lineRule="auto"/>
        <w:jc w:val="both"/>
        <w:rPr>
          <w:rFonts w:ascii="Palatino Linotype" w:hAnsi="Palatino Linotype"/>
          <w:sz w:val="20"/>
          <w:szCs w:val="20"/>
        </w:rPr>
      </w:pPr>
      <w:r w:rsidRPr="00FA39B0">
        <w:rPr>
          <w:rFonts w:ascii="Palatino Linotype" w:hAnsi="Palatino Linotype"/>
          <w:sz w:val="20"/>
          <w:szCs w:val="20"/>
        </w:rPr>
        <w:t xml:space="preserve">The processing of </w:t>
      </w:r>
      <w:r>
        <w:rPr>
          <w:rFonts w:ascii="Palatino Linotype" w:hAnsi="Palatino Linotype"/>
          <w:sz w:val="20"/>
          <w:szCs w:val="20"/>
        </w:rPr>
        <w:t>brain</w:t>
      </w:r>
      <w:r w:rsidRPr="00FA39B0">
        <w:rPr>
          <w:rFonts w:ascii="Palatino Linotype" w:hAnsi="Palatino Linotype"/>
          <w:sz w:val="20"/>
          <w:szCs w:val="20"/>
        </w:rPr>
        <w:t xml:space="preserve"> tissues followed a structured histological procedure. Upon removal, the tissues were immediately fixed in 10% formal saline fixative for two weeks to prevent autolysis and bacterial decomposition. Following fixation, dehydration was carried out using ascending grades of alcohol: 50% for two hours, 70% for another two hours, 95% overnight, and absolute alcohol for two hours the next morning. The tissues were then cleared using pure xylene for two hours to eliminate residual alcohol. Impregnation was performed by transferring the tissues into molten paraffin wax on a hot plate, allowing infiltration of the wax into the tissue. Embedding followed, where the tissues were placed in an embedding mold with molten paraffin wax, left to solidify, and then mounted on a wooden block holder in preparation for sectioning. The sectioning process utilized a sliding microtome (Germany), cutting the tissue into 5µm sections, which were floated on a slide containing 20% alcohol and placed on a warm water bath. The sections were then collected onto slides, dried on a hot plate, and further treated in a hot oven before staining.</w:t>
      </w:r>
    </w:p>
    <w:p w14:paraId="67234A1C" w14:textId="036BEFAC" w:rsidR="00FA39B0" w:rsidRPr="00E358C1" w:rsidRDefault="00FA39B0" w:rsidP="00E358C1">
      <w:pPr>
        <w:autoSpaceDE w:val="0"/>
        <w:autoSpaceDN w:val="0"/>
        <w:adjustRightInd w:val="0"/>
        <w:spacing w:after="0" w:line="480" w:lineRule="auto"/>
        <w:jc w:val="both"/>
        <w:rPr>
          <w:rFonts w:ascii="Palatino Linotype" w:hAnsi="Palatino Linotype"/>
          <w:sz w:val="20"/>
          <w:szCs w:val="20"/>
        </w:rPr>
      </w:pPr>
      <w:r w:rsidRPr="00FA39B0">
        <w:rPr>
          <w:rFonts w:ascii="Palatino Linotype" w:hAnsi="Palatino Linotype"/>
          <w:sz w:val="20"/>
          <w:szCs w:val="20"/>
        </w:rPr>
        <w:t xml:space="preserve">Hematoxylin and eosin (H&amp;E) staining was performed to enhance tissue visualization. The slides were first placed in xylene for five minutes, followed by dehydration through descending grades of alcohol (absolute, absolute, and 95%) with 10 dips in each solution. Afterward, the tissue sections were washed in tap water for one minute and stained with hematoxylin for three minutes. Following another one-minute wash, differentiation was carried out using 1% acid alcohol, followed by another tap water wash. The slides were then counterstained with eosin for five minutes and washed again in tap water for five minutes. Dehydration was repeated in ascending grades of alcohol (95%, absolute, and absolute alcohol), with 10 dips in each solution. The slides were subsequently placed in xylene twice for five minutes each, blotted in a one-way direction with filter paper, and finally cover-slipped using DPX </w:t>
      </w:r>
      <w:proofErr w:type="spellStart"/>
      <w:r w:rsidRPr="00FA39B0">
        <w:rPr>
          <w:rFonts w:ascii="Palatino Linotype" w:hAnsi="Palatino Linotype"/>
          <w:sz w:val="20"/>
          <w:szCs w:val="20"/>
        </w:rPr>
        <w:t>mountant</w:t>
      </w:r>
      <w:proofErr w:type="spellEnd"/>
      <w:r w:rsidRPr="00FA39B0">
        <w:rPr>
          <w:rFonts w:ascii="Palatino Linotype" w:hAnsi="Palatino Linotype"/>
          <w:sz w:val="20"/>
          <w:szCs w:val="20"/>
        </w:rPr>
        <w:t xml:space="preserve">. After drying, </w:t>
      </w:r>
      <w:r w:rsidRPr="00FA39B0">
        <w:rPr>
          <w:rFonts w:ascii="Palatino Linotype" w:hAnsi="Palatino Linotype"/>
          <w:sz w:val="20"/>
          <w:szCs w:val="20"/>
        </w:rPr>
        <w:lastRenderedPageBreak/>
        <w:t xml:space="preserve">photomicrographs were taken using a Zeiss </w:t>
      </w:r>
      <w:proofErr w:type="spellStart"/>
      <w:r w:rsidRPr="00FA39B0">
        <w:rPr>
          <w:rFonts w:ascii="Palatino Linotype" w:hAnsi="Palatino Linotype"/>
          <w:sz w:val="20"/>
          <w:szCs w:val="20"/>
        </w:rPr>
        <w:t>Axioshop</w:t>
      </w:r>
      <w:proofErr w:type="spellEnd"/>
      <w:r w:rsidRPr="00FA39B0">
        <w:rPr>
          <w:rFonts w:ascii="Palatino Linotype" w:hAnsi="Palatino Linotype"/>
          <w:sz w:val="20"/>
          <w:szCs w:val="20"/>
        </w:rPr>
        <w:t xml:space="preserve"> microscope to capture the stained tissue sections.</w:t>
      </w:r>
      <w:r w:rsidR="00E358C1">
        <w:rPr>
          <w:rFonts w:ascii="Palatino Linotype" w:hAnsi="Palatino Linotype"/>
          <w:sz w:val="20"/>
          <w:szCs w:val="20"/>
        </w:rPr>
        <w:t xml:space="preserve"> </w:t>
      </w:r>
      <w:r w:rsidR="0025158E" w:rsidRPr="0025158E">
        <w:rPr>
          <w:rFonts w:ascii="Palatino Linotype" w:hAnsi="Palatino Linotype" w:cs="Times New Roman"/>
          <w:sz w:val="20"/>
          <w:szCs w:val="20"/>
        </w:rPr>
        <w:t>Section</w:t>
      </w:r>
      <w:r>
        <w:rPr>
          <w:rFonts w:ascii="Palatino Linotype" w:hAnsi="Palatino Linotype" w:cs="Times New Roman"/>
          <w:sz w:val="20"/>
          <w:szCs w:val="20"/>
        </w:rPr>
        <w:t>s</w:t>
      </w:r>
      <w:r w:rsidR="0025158E" w:rsidRPr="0025158E">
        <w:rPr>
          <w:rFonts w:ascii="Palatino Linotype" w:hAnsi="Palatino Linotype" w:cs="Times New Roman"/>
          <w:sz w:val="20"/>
          <w:szCs w:val="20"/>
        </w:rPr>
        <w:t xml:space="preserve"> </w:t>
      </w:r>
      <w:r w:rsidRPr="0025158E">
        <w:rPr>
          <w:rFonts w:ascii="Palatino Linotype" w:hAnsi="Palatino Linotype" w:cs="Times New Roman"/>
          <w:sz w:val="20"/>
          <w:szCs w:val="20"/>
        </w:rPr>
        <w:t>were</w:t>
      </w:r>
      <w:r w:rsidR="0025158E" w:rsidRPr="0025158E">
        <w:rPr>
          <w:rFonts w:ascii="Palatino Linotype" w:hAnsi="Palatino Linotype" w:cs="Times New Roman"/>
          <w:sz w:val="20"/>
          <w:szCs w:val="20"/>
        </w:rPr>
        <w:t xml:space="preserve"> observed under a digital brightfield microscope (OMAX 40-2000X 3MP Digital Compound Microscope, USA) and photomicrographs were taken 400x magnification.</w:t>
      </w:r>
    </w:p>
    <w:p w14:paraId="51E4A676" w14:textId="77777777" w:rsidR="00FA39B0" w:rsidRDefault="0025158E" w:rsidP="00FA39B0">
      <w:pPr>
        <w:spacing w:line="480" w:lineRule="auto"/>
        <w:jc w:val="both"/>
        <w:rPr>
          <w:rFonts w:ascii="Palatino Linotype" w:hAnsi="Palatino Linotype" w:cs="Times New Roman"/>
          <w:sz w:val="20"/>
          <w:szCs w:val="20"/>
        </w:rPr>
      </w:pPr>
      <w:r w:rsidRPr="0025158E">
        <w:rPr>
          <w:rFonts w:ascii="Palatino Linotype" w:hAnsi="Palatino Linotype" w:cs="Times New Roman"/>
          <w:b/>
          <w:bCs/>
          <w:sz w:val="20"/>
          <w:szCs w:val="20"/>
        </w:rPr>
        <w:t>Statistical analysis</w:t>
      </w:r>
    </w:p>
    <w:p w14:paraId="3933A79A" w14:textId="2B3113D1" w:rsidR="00FA39B0" w:rsidRPr="00E358C1" w:rsidRDefault="00915FD1" w:rsidP="00FA39B0">
      <w:pPr>
        <w:spacing w:line="480" w:lineRule="auto"/>
        <w:jc w:val="both"/>
        <w:rPr>
          <w:rFonts w:ascii="Palatino Linotype" w:hAnsi="Palatino Linotype" w:cs="Times"/>
          <w:sz w:val="20"/>
          <w:szCs w:val="20"/>
        </w:rPr>
      </w:pPr>
      <w:r w:rsidRPr="00915FD1">
        <w:rPr>
          <w:rFonts w:ascii="Palatino Linotype" w:hAnsi="Palatino Linotype" w:cs="Times"/>
          <w:sz w:val="20"/>
          <w:szCs w:val="20"/>
        </w:rPr>
        <w:t xml:space="preserve">The results </w:t>
      </w:r>
      <w:r>
        <w:rPr>
          <w:rFonts w:ascii="Palatino Linotype" w:hAnsi="Palatino Linotype" w:cs="Times"/>
          <w:sz w:val="20"/>
          <w:szCs w:val="20"/>
        </w:rPr>
        <w:t xml:space="preserve">of the weight of the Wistar rats </w:t>
      </w:r>
      <w:r w:rsidRPr="00915FD1">
        <w:rPr>
          <w:rFonts w:ascii="Palatino Linotype" w:hAnsi="Palatino Linotype" w:cs="Times"/>
          <w:sz w:val="20"/>
          <w:szCs w:val="20"/>
        </w:rPr>
        <w:t>were expressed as mean</w:t>
      </w:r>
      <w:r>
        <w:rPr>
          <w:rFonts w:ascii="Palatino Linotype" w:hAnsi="Palatino Linotype" w:cs="Times"/>
          <w:sz w:val="20"/>
          <w:szCs w:val="20"/>
        </w:rPr>
        <w:t xml:space="preserve"> </w:t>
      </w:r>
      <w:r w:rsidRPr="00915FD1">
        <w:rPr>
          <w:rFonts w:ascii="Palatino Linotype" w:hAnsi="Palatino Linotype" w:cs="Times"/>
          <w:sz w:val="20"/>
          <w:szCs w:val="20"/>
        </w:rPr>
        <w:t>±</w:t>
      </w:r>
      <w:r>
        <w:rPr>
          <w:rFonts w:ascii="Palatino Linotype" w:hAnsi="Palatino Linotype" w:cs="Times"/>
          <w:sz w:val="20"/>
          <w:szCs w:val="20"/>
        </w:rPr>
        <w:t xml:space="preserve"> </w:t>
      </w:r>
      <w:r w:rsidRPr="00915FD1">
        <w:rPr>
          <w:rFonts w:ascii="Palatino Linotype" w:hAnsi="Palatino Linotype" w:cs="Times"/>
          <w:sz w:val="20"/>
          <w:szCs w:val="20"/>
        </w:rPr>
        <w:t>SEM. The results were analyzed, using ANOVA and a post hoc Turkey test was used to determine if there are significant differences</w:t>
      </w:r>
      <w:r>
        <w:rPr>
          <w:rFonts w:ascii="Palatino Linotype" w:hAnsi="Palatino Linotype" w:cs="Times"/>
          <w:sz w:val="20"/>
          <w:szCs w:val="20"/>
        </w:rPr>
        <w:t xml:space="preserve">, and p </w:t>
      </w:r>
      <w:r w:rsidRPr="00915FD1">
        <w:rPr>
          <w:rFonts w:ascii="Palatino Linotype" w:hAnsi="Palatino Linotype" w:cs="Times"/>
          <w:sz w:val="20"/>
          <w:szCs w:val="20"/>
        </w:rPr>
        <w:t>&lt;</w:t>
      </w:r>
      <w:r>
        <w:rPr>
          <w:rFonts w:ascii="Palatino Linotype" w:hAnsi="Palatino Linotype" w:cs="Times"/>
          <w:sz w:val="20"/>
          <w:szCs w:val="20"/>
        </w:rPr>
        <w:t xml:space="preserve"> </w:t>
      </w:r>
      <w:r w:rsidRPr="00915FD1">
        <w:rPr>
          <w:rFonts w:ascii="Palatino Linotype" w:hAnsi="Palatino Linotype" w:cs="Times"/>
          <w:sz w:val="20"/>
          <w:szCs w:val="20"/>
        </w:rPr>
        <w:t>0.05 was taken as statistically significant.</w:t>
      </w:r>
      <w:r w:rsidR="00E358C1">
        <w:rPr>
          <w:rFonts w:ascii="Palatino Linotype" w:hAnsi="Palatino Linotype" w:cs="Times"/>
          <w:sz w:val="20"/>
          <w:szCs w:val="20"/>
        </w:rPr>
        <w:t xml:space="preserve"> Data was analyzed using IBM SPSS version 26.0. </w:t>
      </w:r>
    </w:p>
    <w:p w14:paraId="1ADDC83F" w14:textId="507B56D9" w:rsidR="00FA39B0" w:rsidRDefault="00FA39B0" w:rsidP="00FA39B0">
      <w:pPr>
        <w:spacing w:line="480" w:lineRule="auto"/>
        <w:jc w:val="both"/>
        <w:rPr>
          <w:rFonts w:ascii="Palatino Linotype" w:hAnsi="Palatino Linotype" w:cs="Times New Roman"/>
          <w:sz w:val="20"/>
          <w:szCs w:val="20"/>
        </w:rPr>
      </w:pPr>
      <w:r w:rsidRPr="0064217E">
        <w:rPr>
          <w:rFonts w:ascii="Palatino Linotype" w:hAnsi="Palatino Linotype" w:cs="Times"/>
          <w:b/>
          <w:bCs/>
          <w:sz w:val="20"/>
          <w:szCs w:val="20"/>
        </w:rPr>
        <w:t xml:space="preserve">Ethics </w:t>
      </w:r>
      <w:r>
        <w:rPr>
          <w:rFonts w:ascii="Palatino Linotype" w:hAnsi="Palatino Linotype" w:cs="Times"/>
          <w:b/>
          <w:bCs/>
          <w:sz w:val="20"/>
          <w:szCs w:val="20"/>
        </w:rPr>
        <w:t>Considerations</w:t>
      </w:r>
    </w:p>
    <w:p w14:paraId="1B7A1651" w14:textId="76AE28ED" w:rsidR="00A15F0C" w:rsidRDefault="00FA39B0" w:rsidP="00FA39B0">
      <w:pPr>
        <w:spacing w:line="480" w:lineRule="auto"/>
        <w:jc w:val="both"/>
        <w:rPr>
          <w:rFonts w:ascii="Palatino Linotype" w:hAnsi="Palatino Linotype" w:cs="Times New Roman"/>
          <w:sz w:val="20"/>
          <w:szCs w:val="20"/>
        </w:rPr>
      </w:pPr>
      <w:r w:rsidRPr="0064217E">
        <w:rPr>
          <w:rFonts w:ascii="Palatino Linotype" w:hAnsi="Palatino Linotype" w:cs="Times"/>
          <w:sz w:val="20"/>
          <w:szCs w:val="20"/>
        </w:rPr>
        <w:t>The study was carried out in adherence to ethical guidelines set by the National Institute of Health (NIH) for the ethical treatment of animals in research. The study was approved by the Research Ethics Committee of the University of Port Harcourt, Rivers State, Nigeria before commencement of the study.</w:t>
      </w:r>
    </w:p>
    <w:p w14:paraId="14F53499" w14:textId="6EE49850" w:rsidR="00F01BBF" w:rsidRDefault="00FA39B0" w:rsidP="00F01BBF">
      <w:pPr>
        <w:spacing w:line="480" w:lineRule="auto"/>
        <w:jc w:val="both"/>
        <w:rPr>
          <w:rFonts w:ascii="Palatino Linotype" w:hAnsi="Palatino Linotype" w:cs="Times New Roman"/>
          <w:b/>
          <w:bCs/>
          <w:sz w:val="20"/>
          <w:szCs w:val="20"/>
        </w:rPr>
      </w:pPr>
      <w:r w:rsidRPr="006F1350">
        <w:rPr>
          <w:rFonts w:ascii="Palatino Linotype" w:hAnsi="Palatino Linotype" w:cs="Times New Roman"/>
          <w:b/>
          <w:bCs/>
          <w:sz w:val="20"/>
          <w:szCs w:val="20"/>
        </w:rPr>
        <w:t>RESULTS</w:t>
      </w:r>
    </w:p>
    <w:p w14:paraId="4F52D4DA" w14:textId="37BC8E81" w:rsidR="00C66AF1" w:rsidRPr="00C66AF1" w:rsidRDefault="00C66AF1" w:rsidP="00C66AF1">
      <w:pPr>
        <w:spacing w:line="480" w:lineRule="auto"/>
        <w:jc w:val="both"/>
        <w:rPr>
          <w:rFonts w:ascii="Palatino Linotype" w:hAnsi="Palatino Linotype" w:cs="Times New Roman"/>
          <w:b/>
          <w:bCs/>
          <w:sz w:val="20"/>
          <w:szCs w:val="20"/>
        </w:rPr>
      </w:pPr>
      <w:r w:rsidRPr="00C66AF1">
        <w:rPr>
          <w:rFonts w:ascii="Palatino Linotype" w:hAnsi="Palatino Linotype" w:cs="Times New Roman"/>
          <w:b/>
          <w:bCs/>
          <w:sz w:val="20"/>
          <w:szCs w:val="20"/>
        </w:rPr>
        <w:t xml:space="preserve">Effect of Carbon Soot Particulate Matter (PM2.5) Exposure on Body Weight of Wistar Rats </w:t>
      </w:r>
    </w:p>
    <w:p w14:paraId="0C02FCBA" w14:textId="5CB83D88" w:rsidR="00C66AF1" w:rsidRPr="00C66AF1" w:rsidRDefault="00C66AF1" w:rsidP="00F01BBF">
      <w:pPr>
        <w:spacing w:line="480" w:lineRule="auto"/>
        <w:jc w:val="both"/>
        <w:rPr>
          <w:rFonts w:ascii="Palatino Linotype" w:hAnsi="Palatino Linotype" w:cs="Times New Roman"/>
          <w:sz w:val="20"/>
          <w:szCs w:val="20"/>
        </w:rPr>
      </w:pPr>
      <w:r w:rsidRPr="00C66AF1">
        <w:rPr>
          <w:rFonts w:ascii="Palatino Linotype" w:hAnsi="Palatino Linotype" w:cs="Times New Roman"/>
          <w:sz w:val="20"/>
          <w:szCs w:val="20"/>
        </w:rPr>
        <w:t xml:space="preserve">Table </w:t>
      </w:r>
      <w:r w:rsidR="00E358C1">
        <w:rPr>
          <w:rFonts w:ascii="Palatino Linotype" w:hAnsi="Palatino Linotype" w:cs="Times New Roman"/>
          <w:sz w:val="20"/>
          <w:szCs w:val="20"/>
        </w:rPr>
        <w:t>2</w:t>
      </w:r>
      <w:r w:rsidRPr="00C66AF1">
        <w:rPr>
          <w:rFonts w:ascii="Palatino Linotype" w:hAnsi="Palatino Linotype" w:cs="Times New Roman"/>
          <w:sz w:val="20"/>
          <w:szCs w:val="20"/>
        </w:rPr>
        <w:t xml:space="preserve"> presents the effect of Carbon Soot Particulate Matter (PM2.5) exposure on the body weight of Wistar rats over four weeks. The General Control group showed a progressive increase in body weight from 120.10 ± 2.00 g in Week 1 to 140.20 ± 3.05 g in Week 4, indicating normal growth. In contrast, all experimental groups exhibited a gradual decline in body weight over the study period.</w:t>
      </w:r>
      <w:r>
        <w:rPr>
          <w:rFonts w:ascii="Palatino Linotype" w:hAnsi="Palatino Linotype" w:cs="Times New Roman"/>
          <w:sz w:val="20"/>
          <w:szCs w:val="20"/>
        </w:rPr>
        <w:t xml:space="preserve"> </w:t>
      </w:r>
      <w:r w:rsidRPr="00C66AF1">
        <w:rPr>
          <w:rFonts w:ascii="Palatino Linotype" w:hAnsi="Palatino Linotype" w:cs="Times New Roman"/>
          <w:sz w:val="20"/>
          <w:szCs w:val="20"/>
        </w:rPr>
        <w:t>Experimental Group 1, exposed to an average PM2.5 concentration of 1.221 ± 0.169 mg/m³, showed a slight but significant weight reduction, from 118.50 ± 1.85 g in Week 1 to 110.12 ± 1.90 g in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&lt;0.05). Similarly, Experimental Group 2, exposed to 1.290 ± 0.214 mg/m³ of PM2.5, demonstrated a steady decline in body weight from 115.20 ± 1.77 g in Week 1 to 108.20 ± 1.75 g in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 xml:space="preserve">&lt;0.05). The most pronounced weight loss was observed in Experimental Group 3, which received the highest PM2.5 exposure (1.282 ± 0.235 mg/m³), with body weight </w:t>
      </w:r>
      <w:r w:rsidRPr="00C66AF1">
        <w:rPr>
          <w:rFonts w:ascii="Palatino Linotype" w:hAnsi="Palatino Linotype" w:cs="Times New Roman"/>
          <w:sz w:val="20"/>
          <w:szCs w:val="20"/>
        </w:rPr>
        <w:lastRenderedPageBreak/>
        <w:t>decreasing from 113.15 ± 1.56 g in Week 1 to 105.80 ± 1.56 g in Week 4 (</w:t>
      </w:r>
      <w:r w:rsidRPr="00C66AF1">
        <w:rPr>
          <w:rFonts w:ascii="Palatino Linotype" w:hAnsi="Palatino Linotype" w:cs="Times New Roman"/>
          <w:i/>
          <w:iCs/>
          <w:sz w:val="20"/>
          <w:szCs w:val="20"/>
        </w:rPr>
        <w:t>p</w:t>
      </w:r>
      <w:r w:rsidRPr="00C66AF1">
        <w:rPr>
          <w:rFonts w:ascii="Palatino Linotype" w:hAnsi="Palatino Linotype" w:cs="Times New Roman"/>
          <w:sz w:val="20"/>
          <w:szCs w:val="20"/>
        </w:rPr>
        <w:t>&lt;0.05).</w:t>
      </w:r>
      <w:r>
        <w:rPr>
          <w:rFonts w:ascii="Palatino Linotype" w:hAnsi="Palatino Linotype" w:cs="Times New Roman"/>
          <w:sz w:val="20"/>
          <w:szCs w:val="20"/>
        </w:rPr>
        <w:t xml:space="preserve"> </w:t>
      </w:r>
      <w:r w:rsidRPr="00C66AF1">
        <w:rPr>
          <w:rFonts w:ascii="Palatino Linotype" w:hAnsi="Palatino Linotype" w:cs="Times New Roman"/>
          <w:sz w:val="20"/>
          <w:szCs w:val="20"/>
        </w:rPr>
        <w:t>The significant weight reduction across all experimental groups compared to the control suggests a negative impact of PM2.5 exposure on body weight, potentially indicating systemic toxicity or metabolic alterations.</w:t>
      </w:r>
    </w:p>
    <w:p w14:paraId="0DD752B5" w14:textId="4096BB25" w:rsidR="00F01BBF" w:rsidRPr="00F01BBF" w:rsidRDefault="00F01BBF" w:rsidP="00F01BBF">
      <w:pPr>
        <w:spacing w:after="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 xml:space="preserve">Table </w:t>
      </w:r>
      <w:r w:rsidR="00072581">
        <w:rPr>
          <w:rFonts w:ascii="Palatino Linotype" w:hAnsi="Palatino Linotype" w:cs="Times New Roman"/>
          <w:b/>
          <w:bCs/>
          <w:sz w:val="20"/>
          <w:szCs w:val="20"/>
        </w:rPr>
        <w:t>2</w:t>
      </w:r>
      <w:r w:rsidRPr="00F01BBF">
        <w:rPr>
          <w:rFonts w:ascii="Palatino Linotype" w:hAnsi="Palatino Linotype" w:cs="Times New Roman"/>
          <w:b/>
          <w:bCs/>
          <w:sz w:val="20"/>
          <w:szCs w:val="20"/>
        </w:rPr>
        <w:t xml:space="preserve">: Effect of Carbon Soot Particulate Matter (PM2.5) Exposure on Body Weight of Wistar Rats </w:t>
      </w:r>
    </w:p>
    <w:tbl>
      <w:tblPr>
        <w:tblStyle w:val="TableGrid"/>
        <w:tblW w:w="9493" w:type="dxa"/>
        <w:tblLook w:val="04A0" w:firstRow="1" w:lastRow="0" w:firstColumn="1" w:lastColumn="0" w:noHBand="0" w:noVBand="1"/>
      </w:tblPr>
      <w:tblGrid>
        <w:gridCol w:w="2830"/>
        <w:gridCol w:w="1701"/>
        <w:gridCol w:w="1701"/>
        <w:gridCol w:w="1701"/>
        <w:gridCol w:w="1560"/>
      </w:tblGrid>
      <w:tr w:rsidR="00F01BBF" w:rsidRPr="00F01BBF" w14:paraId="6FE10266" w14:textId="77777777" w:rsidTr="00F01BBF">
        <w:tc>
          <w:tcPr>
            <w:tcW w:w="2830" w:type="dxa"/>
            <w:vAlign w:val="center"/>
            <w:hideMark/>
          </w:tcPr>
          <w:p w14:paraId="1DEF7BD8" w14:textId="77777777" w:rsidR="00F01BBF" w:rsidRPr="00F01BBF" w:rsidRDefault="00F01BBF"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Group</w:t>
            </w:r>
          </w:p>
        </w:tc>
        <w:tc>
          <w:tcPr>
            <w:tcW w:w="1701" w:type="dxa"/>
            <w:vAlign w:val="center"/>
            <w:hideMark/>
          </w:tcPr>
          <w:p w14:paraId="076ED208" w14:textId="77777777" w:rsidR="00F01BBF" w:rsidRPr="00F01BBF" w:rsidRDefault="00F01BBF"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1</w:t>
            </w:r>
          </w:p>
        </w:tc>
        <w:tc>
          <w:tcPr>
            <w:tcW w:w="1701" w:type="dxa"/>
            <w:vAlign w:val="center"/>
            <w:hideMark/>
          </w:tcPr>
          <w:p w14:paraId="417C381A" w14:textId="77777777" w:rsidR="00F01BBF" w:rsidRPr="00F01BBF" w:rsidRDefault="00F01BBF"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2</w:t>
            </w:r>
          </w:p>
        </w:tc>
        <w:tc>
          <w:tcPr>
            <w:tcW w:w="1701" w:type="dxa"/>
            <w:vAlign w:val="center"/>
            <w:hideMark/>
          </w:tcPr>
          <w:p w14:paraId="558103F4" w14:textId="77777777" w:rsidR="00F01BBF" w:rsidRPr="00F01BBF" w:rsidRDefault="00F01BBF"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3</w:t>
            </w:r>
          </w:p>
        </w:tc>
        <w:tc>
          <w:tcPr>
            <w:tcW w:w="1560" w:type="dxa"/>
            <w:vAlign w:val="center"/>
            <w:hideMark/>
          </w:tcPr>
          <w:p w14:paraId="51817E8F" w14:textId="77777777" w:rsidR="00F01BBF" w:rsidRPr="00F01BBF" w:rsidRDefault="00F01BBF" w:rsidP="00F01BBF">
            <w:pPr>
              <w:spacing w:after="160" w:line="276" w:lineRule="auto"/>
              <w:jc w:val="both"/>
              <w:rPr>
                <w:rFonts w:ascii="Palatino Linotype" w:hAnsi="Palatino Linotype" w:cs="Times New Roman"/>
                <w:b/>
                <w:bCs/>
                <w:sz w:val="20"/>
                <w:szCs w:val="20"/>
              </w:rPr>
            </w:pPr>
            <w:r w:rsidRPr="00F01BBF">
              <w:rPr>
                <w:rFonts w:ascii="Palatino Linotype" w:hAnsi="Palatino Linotype" w:cs="Times New Roman"/>
                <w:b/>
                <w:bCs/>
                <w:sz w:val="20"/>
                <w:szCs w:val="20"/>
              </w:rPr>
              <w:t>Week 4</w:t>
            </w:r>
          </w:p>
        </w:tc>
      </w:tr>
      <w:tr w:rsidR="00F01BBF" w:rsidRPr="00F01BBF" w14:paraId="0EE3183C" w14:textId="77777777" w:rsidTr="00F01BBF">
        <w:tc>
          <w:tcPr>
            <w:tcW w:w="2830" w:type="dxa"/>
            <w:vAlign w:val="center"/>
            <w:hideMark/>
          </w:tcPr>
          <w:p w14:paraId="2625E3B7" w14:textId="77777777"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General Control</w:t>
            </w:r>
          </w:p>
        </w:tc>
        <w:tc>
          <w:tcPr>
            <w:tcW w:w="1701" w:type="dxa"/>
            <w:vAlign w:val="center"/>
            <w:hideMark/>
          </w:tcPr>
          <w:p w14:paraId="169DA33F" w14:textId="5E6C9ABB"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120</w:t>
            </w:r>
            <w:r>
              <w:rPr>
                <w:rFonts w:ascii="Palatino Linotype" w:hAnsi="Palatino Linotype" w:cs="Times New Roman"/>
                <w:sz w:val="20"/>
                <w:szCs w:val="20"/>
              </w:rPr>
              <w:t>.10</w:t>
            </w:r>
            <w:r w:rsidRPr="00F01BBF">
              <w:rPr>
                <w:rFonts w:ascii="Palatino Linotype" w:hAnsi="Palatino Linotype" w:cs="Times New Roman"/>
                <w:sz w:val="20"/>
                <w:szCs w:val="20"/>
              </w:rPr>
              <w:t xml:space="preserve"> ± 2.0</w:t>
            </w:r>
            <w:r>
              <w:rPr>
                <w:rFonts w:ascii="Palatino Linotype" w:hAnsi="Palatino Linotype" w:cs="Times New Roman"/>
                <w:sz w:val="20"/>
                <w:szCs w:val="20"/>
              </w:rPr>
              <w:t>0</w:t>
            </w:r>
          </w:p>
        </w:tc>
        <w:tc>
          <w:tcPr>
            <w:tcW w:w="1701" w:type="dxa"/>
            <w:vAlign w:val="center"/>
            <w:hideMark/>
          </w:tcPr>
          <w:p w14:paraId="388C7178" w14:textId="22555C7B"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130</w:t>
            </w:r>
            <w:r>
              <w:rPr>
                <w:rFonts w:ascii="Palatino Linotype" w:hAnsi="Palatino Linotype" w:cs="Times New Roman"/>
                <w:sz w:val="20"/>
                <w:szCs w:val="20"/>
              </w:rPr>
              <w:t>.10</w:t>
            </w:r>
            <w:r w:rsidRPr="00F01BBF">
              <w:rPr>
                <w:rFonts w:ascii="Palatino Linotype" w:hAnsi="Palatino Linotype" w:cs="Times New Roman"/>
                <w:sz w:val="20"/>
                <w:szCs w:val="20"/>
              </w:rPr>
              <w:t xml:space="preserve"> ± 2.5</w:t>
            </w:r>
            <w:r>
              <w:rPr>
                <w:rFonts w:ascii="Palatino Linotype" w:hAnsi="Palatino Linotype" w:cs="Times New Roman"/>
                <w:sz w:val="20"/>
                <w:szCs w:val="20"/>
              </w:rPr>
              <w:t>0</w:t>
            </w:r>
          </w:p>
        </w:tc>
        <w:tc>
          <w:tcPr>
            <w:tcW w:w="1701" w:type="dxa"/>
            <w:vAlign w:val="center"/>
            <w:hideMark/>
          </w:tcPr>
          <w:p w14:paraId="7EE9CA4D" w14:textId="29872BBB"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135</w:t>
            </w:r>
            <w:r w:rsidR="00C66AF1">
              <w:rPr>
                <w:rFonts w:ascii="Palatino Linotype" w:hAnsi="Palatino Linotype" w:cs="Times New Roman"/>
                <w:sz w:val="20"/>
                <w:szCs w:val="20"/>
              </w:rPr>
              <w:t>.00</w:t>
            </w:r>
            <w:r w:rsidRPr="00F01BBF">
              <w:rPr>
                <w:rFonts w:ascii="Palatino Linotype" w:hAnsi="Palatino Linotype" w:cs="Times New Roman"/>
                <w:sz w:val="20"/>
                <w:szCs w:val="20"/>
              </w:rPr>
              <w:t xml:space="preserve"> ± 2.8</w:t>
            </w:r>
            <w:r w:rsidR="00C66AF1">
              <w:rPr>
                <w:rFonts w:ascii="Palatino Linotype" w:hAnsi="Palatino Linotype" w:cs="Times New Roman"/>
                <w:sz w:val="20"/>
                <w:szCs w:val="20"/>
              </w:rPr>
              <w:t>2</w:t>
            </w:r>
          </w:p>
        </w:tc>
        <w:tc>
          <w:tcPr>
            <w:tcW w:w="1560" w:type="dxa"/>
            <w:vAlign w:val="center"/>
            <w:hideMark/>
          </w:tcPr>
          <w:p w14:paraId="6A02F7A3" w14:textId="5F06477F"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140</w:t>
            </w:r>
            <w:r w:rsidR="00C66AF1">
              <w:rPr>
                <w:rFonts w:ascii="Palatino Linotype" w:hAnsi="Palatino Linotype" w:cs="Times New Roman"/>
                <w:sz w:val="20"/>
                <w:szCs w:val="20"/>
              </w:rPr>
              <w:t>.20</w:t>
            </w:r>
            <w:r w:rsidRPr="00F01BBF">
              <w:rPr>
                <w:rFonts w:ascii="Palatino Linotype" w:hAnsi="Palatino Linotype" w:cs="Times New Roman"/>
                <w:sz w:val="20"/>
                <w:szCs w:val="20"/>
              </w:rPr>
              <w:t xml:space="preserve"> ± 3.0</w:t>
            </w:r>
            <w:r w:rsidR="00C66AF1">
              <w:rPr>
                <w:rFonts w:ascii="Palatino Linotype" w:hAnsi="Palatino Linotype" w:cs="Times New Roman"/>
                <w:sz w:val="20"/>
                <w:szCs w:val="20"/>
              </w:rPr>
              <w:t>5</w:t>
            </w:r>
          </w:p>
        </w:tc>
      </w:tr>
      <w:tr w:rsidR="00F01BBF" w:rsidRPr="00F01BBF" w14:paraId="1AEDC956" w14:textId="77777777" w:rsidTr="00F01BBF">
        <w:tc>
          <w:tcPr>
            <w:tcW w:w="2830" w:type="dxa"/>
            <w:vAlign w:val="center"/>
            <w:hideMark/>
          </w:tcPr>
          <w:p w14:paraId="39257E7A" w14:textId="77777777"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Experimental Group 1</w:t>
            </w:r>
          </w:p>
        </w:tc>
        <w:tc>
          <w:tcPr>
            <w:tcW w:w="1701" w:type="dxa"/>
            <w:vAlign w:val="center"/>
            <w:hideMark/>
          </w:tcPr>
          <w:p w14:paraId="6E71EF80" w14:textId="0778CE08"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118</w:t>
            </w:r>
            <w:r>
              <w:rPr>
                <w:rFonts w:ascii="Palatino Linotype" w:hAnsi="Palatino Linotype" w:cs="Times New Roman"/>
                <w:sz w:val="20"/>
                <w:szCs w:val="20"/>
              </w:rPr>
              <w:t>.50</w:t>
            </w:r>
            <w:r w:rsidRPr="00F01BBF">
              <w:rPr>
                <w:rFonts w:ascii="Palatino Linotype" w:hAnsi="Palatino Linotype" w:cs="Times New Roman"/>
                <w:sz w:val="20"/>
                <w:szCs w:val="20"/>
              </w:rPr>
              <w:t xml:space="preserve"> ± 1.8</w:t>
            </w:r>
            <w:r>
              <w:rPr>
                <w:rFonts w:ascii="Palatino Linotype" w:hAnsi="Palatino Linotype" w:cs="Times New Roman"/>
                <w:sz w:val="20"/>
                <w:szCs w:val="20"/>
              </w:rPr>
              <w:t>5</w:t>
            </w:r>
          </w:p>
        </w:tc>
        <w:tc>
          <w:tcPr>
            <w:tcW w:w="1701" w:type="dxa"/>
            <w:vAlign w:val="center"/>
            <w:hideMark/>
          </w:tcPr>
          <w:p w14:paraId="23FDF1E5" w14:textId="497CD57A"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115</w:t>
            </w:r>
            <w:r w:rsidR="00C66AF1">
              <w:rPr>
                <w:rFonts w:ascii="Palatino Linotype" w:hAnsi="Palatino Linotype" w:cs="Times New Roman"/>
                <w:sz w:val="20"/>
                <w:szCs w:val="20"/>
              </w:rPr>
              <w:t>.30</w:t>
            </w:r>
            <w:r w:rsidRPr="00F01BBF">
              <w:rPr>
                <w:rFonts w:ascii="Palatino Linotype" w:hAnsi="Palatino Linotype" w:cs="Times New Roman"/>
                <w:sz w:val="20"/>
                <w:szCs w:val="20"/>
              </w:rPr>
              <w:t xml:space="preserve"> ± 2.2</w:t>
            </w:r>
            <w:r>
              <w:rPr>
                <w:rFonts w:ascii="Palatino Linotype" w:hAnsi="Palatino Linotype" w:cs="Times New Roman"/>
                <w:sz w:val="20"/>
                <w:szCs w:val="20"/>
              </w:rPr>
              <w:t>5</w:t>
            </w:r>
            <w:r w:rsidR="00C66AF1" w:rsidRPr="00C66AF1">
              <w:rPr>
                <w:rFonts w:ascii="Palatino Linotype" w:hAnsi="Palatino Linotype" w:cs="Times New Roman"/>
                <w:sz w:val="20"/>
                <w:szCs w:val="20"/>
                <w:vertAlign w:val="superscript"/>
              </w:rPr>
              <w:t xml:space="preserve"> a</w:t>
            </w:r>
          </w:p>
        </w:tc>
        <w:tc>
          <w:tcPr>
            <w:tcW w:w="1701" w:type="dxa"/>
            <w:vAlign w:val="center"/>
            <w:hideMark/>
          </w:tcPr>
          <w:p w14:paraId="6035A359" w14:textId="560C7B59"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113</w:t>
            </w:r>
            <w:r w:rsidR="00C66AF1">
              <w:rPr>
                <w:rFonts w:ascii="Palatino Linotype" w:hAnsi="Palatino Linotype" w:cs="Times New Roman"/>
                <w:sz w:val="20"/>
                <w:szCs w:val="20"/>
              </w:rPr>
              <w:t>.15</w:t>
            </w:r>
            <w:r w:rsidRPr="00F01BBF">
              <w:rPr>
                <w:rFonts w:ascii="Palatino Linotype" w:hAnsi="Palatino Linotype" w:cs="Times New Roman"/>
                <w:sz w:val="20"/>
                <w:szCs w:val="20"/>
              </w:rPr>
              <w:t xml:space="preserve"> ± 2.0</w:t>
            </w:r>
            <w:r w:rsidR="00C66AF1">
              <w:rPr>
                <w:rFonts w:ascii="Palatino Linotype" w:hAnsi="Palatino Linotype" w:cs="Times New Roman"/>
                <w:sz w:val="20"/>
                <w:szCs w:val="20"/>
              </w:rPr>
              <w:t>5</w:t>
            </w:r>
            <w:r w:rsidR="00C66AF1" w:rsidRPr="00C66AF1">
              <w:rPr>
                <w:rFonts w:ascii="Palatino Linotype" w:hAnsi="Palatino Linotype" w:cs="Times New Roman"/>
                <w:sz w:val="20"/>
                <w:szCs w:val="20"/>
                <w:vertAlign w:val="superscript"/>
              </w:rPr>
              <w:t xml:space="preserve"> a</w:t>
            </w:r>
          </w:p>
        </w:tc>
        <w:tc>
          <w:tcPr>
            <w:tcW w:w="1560" w:type="dxa"/>
            <w:vAlign w:val="center"/>
            <w:hideMark/>
          </w:tcPr>
          <w:p w14:paraId="04C88047" w14:textId="53B820EE"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110</w:t>
            </w:r>
            <w:r w:rsidR="00C66AF1">
              <w:rPr>
                <w:rFonts w:ascii="Palatino Linotype" w:hAnsi="Palatino Linotype" w:cs="Times New Roman"/>
                <w:sz w:val="20"/>
                <w:szCs w:val="20"/>
              </w:rPr>
              <w:t>.12</w:t>
            </w:r>
            <w:r w:rsidRPr="00F01BBF">
              <w:rPr>
                <w:rFonts w:ascii="Palatino Linotype" w:hAnsi="Palatino Linotype" w:cs="Times New Roman"/>
                <w:sz w:val="20"/>
                <w:szCs w:val="20"/>
              </w:rPr>
              <w:t xml:space="preserve"> ± 1.9</w:t>
            </w:r>
            <w:r w:rsidR="00C66AF1">
              <w:rPr>
                <w:rFonts w:ascii="Palatino Linotype" w:hAnsi="Palatino Linotype" w:cs="Times New Roman"/>
                <w:sz w:val="20"/>
                <w:szCs w:val="20"/>
              </w:rPr>
              <w:t>0</w:t>
            </w:r>
            <w:r w:rsidR="00C66AF1" w:rsidRPr="00C66AF1">
              <w:rPr>
                <w:rFonts w:ascii="Palatino Linotype" w:hAnsi="Palatino Linotype" w:cs="Times New Roman"/>
                <w:sz w:val="20"/>
                <w:szCs w:val="20"/>
                <w:vertAlign w:val="superscript"/>
              </w:rPr>
              <w:t xml:space="preserve"> a</w:t>
            </w:r>
          </w:p>
        </w:tc>
      </w:tr>
      <w:tr w:rsidR="00F01BBF" w:rsidRPr="00F01BBF" w14:paraId="71BD6120" w14:textId="77777777" w:rsidTr="00F01BBF">
        <w:trPr>
          <w:trHeight w:val="309"/>
        </w:trPr>
        <w:tc>
          <w:tcPr>
            <w:tcW w:w="2830" w:type="dxa"/>
            <w:vAlign w:val="center"/>
            <w:hideMark/>
          </w:tcPr>
          <w:p w14:paraId="2F519BCB" w14:textId="77777777"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Experimental Group 2</w:t>
            </w:r>
          </w:p>
        </w:tc>
        <w:tc>
          <w:tcPr>
            <w:tcW w:w="1701" w:type="dxa"/>
            <w:vAlign w:val="center"/>
            <w:hideMark/>
          </w:tcPr>
          <w:p w14:paraId="68D29362" w14:textId="0EF1C362"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115</w:t>
            </w:r>
            <w:r>
              <w:rPr>
                <w:rFonts w:ascii="Palatino Linotype" w:hAnsi="Palatino Linotype" w:cs="Times New Roman"/>
                <w:sz w:val="20"/>
                <w:szCs w:val="20"/>
              </w:rPr>
              <w:t>.20</w:t>
            </w:r>
            <w:r w:rsidRPr="00F01BBF">
              <w:rPr>
                <w:rFonts w:ascii="Palatino Linotype" w:hAnsi="Palatino Linotype" w:cs="Times New Roman"/>
                <w:sz w:val="20"/>
                <w:szCs w:val="20"/>
              </w:rPr>
              <w:t xml:space="preserve"> ± 1.7</w:t>
            </w:r>
            <w:r>
              <w:rPr>
                <w:rFonts w:ascii="Palatino Linotype" w:hAnsi="Palatino Linotype" w:cs="Times New Roman"/>
                <w:sz w:val="20"/>
                <w:szCs w:val="20"/>
              </w:rPr>
              <w:t>7</w:t>
            </w:r>
            <w:r w:rsidR="00C66AF1" w:rsidRPr="00C66AF1">
              <w:rPr>
                <w:rFonts w:ascii="Palatino Linotype" w:hAnsi="Palatino Linotype" w:cs="Times New Roman"/>
                <w:sz w:val="20"/>
                <w:szCs w:val="20"/>
                <w:vertAlign w:val="superscript"/>
              </w:rPr>
              <w:t>a</w:t>
            </w:r>
          </w:p>
        </w:tc>
        <w:tc>
          <w:tcPr>
            <w:tcW w:w="1701" w:type="dxa"/>
            <w:vAlign w:val="center"/>
            <w:hideMark/>
          </w:tcPr>
          <w:p w14:paraId="716D123B" w14:textId="5A737BEC"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112</w:t>
            </w:r>
            <w:r>
              <w:rPr>
                <w:rFonts w:ascii="Palatino Linotype" w:hAnsi="Palatino Linotype" w:cs="Times New Roman"/>
                <w:sz w:val="20"/>
                <w:szCs w:val="20"/>
              </w:rPr>
              <w:t>.05</w:t>
            </w:r>
            <w:r w:rsidRPr="00F01BBF">
              <w:rPr>
                <w:rFonts w:ascii="Palatino Linotype" w:hAnsi="Palatino Linotype" w:cs="Times New Roman"/>
                <w:sz w:val="20"/>
                <w:szCs w:val="20"/>
              </w:rPr>
              <w:t xml:space="preserve"> ± 2.0</w:t>
            </w:r>
            <w:r>
              <w:rPr>
                <w:rFonts w:ascii="Palatino Linotype" w:hAnsi="Palatino Linotype" w:cs="Times New Roman"/>
                <w:sz w:val="20"/>
                <w:szCs w:val="20"/>
              </w:rPr>
              <w:t>0</w:t>
            </w:r>
            <w:r w:rsidR="00C66AF1" w:rsidRPr="00C66AF1">
              <w:rPr>
                <w:rFonts w:ascii="Palatino Linotype" w:hAnsi="Palatino Linotype" w:cs="Times New Roman"/>
                <w:sz w:val="20"/>
                <w:szCs w:val="20"/>
                <w:vertAlign w:val="superscript"/>
              </w:rPr>
              <w:t xml:space="preserve"> a</w:t>
            </w:r>
          </w:p>
        </w:tc>
        <w:tc>
          <w:tcPr>
            <w:tcW w:w="1701" w:type="dxa"/>
            <w:vAlign w:val="center"/>
            <w:hideMark/>
          </w:tcPr>
          <w:p w14:paraId="00615667" w14:textId="60F69C4E"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110</w:t>
            </w:r>
            <w:r w:rsidR="00C66AF1">
              <w:rPr>
                <w:rFonts w:ascii="Palatino Linotype" w:hAnsi="Palatino Linotype" w:cs="Times New Roman"/>
                <w:sz w:val="20"/>
                <w:szCs w:val="20"/>
              </w:rPr>
              <w:t>.40</w:t>
            </w:r>
            <w:r w:rsidRPr="00F01BBF">
              <w:rPr>
                <w:rFonts w:ascii="Palatino Linotype" w:hAnsi="Palatino Linotype" w:cs="Times New Roman"/>
                <w:sz w:val="20"/>
                <w:szCs w:val="20"/>
              </w:rPr>
              <w:t xml:space="preserve"> ± 1.8</w:t>
            </w:r>
            <w:r w:rsidR="00C66AF1">
              <w:rPr>
                <w:rFonts w:ascii="Palatino Linotype" w:hAnsi="Palatino Linotype" w:cs="Times New Roman"/>
                <w:sz w:val="20"/>
                <w:szCs w:val="20"/>
              </w:rPr>
              <w:t>8</w:t>
            </w:r>
            <w:r w:rsidR="00C66AF1" w:rsidRPr="00C66AF1">
              <w:rPr>
                <w:rFonts w:ascii="Palatino Linotype" w:hAnsi="Palatino Linotype" w:cs="Times New Roman"/>
                <w:sz w:val="20"/>
                <w:szCs w:val="20"/>
                <w:vertAlign w:val="superscript"/>
              </w:rPr>
              <w:t xml:space="preserve"> a</w:t>
            </w:r>
          </w:p>
        </w:tc>
        <w:tc>
          <w:tcPr>
            <w:tcW w:w="1560" w:type="dxa"/>
            <w:vAlign w:val="center"/>
            <w:hideMark/>
          </w:tcPr>
          <w:p w14:paraId="313C4F5D" w14:textId="3B78A486"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108</w:t>
            </w:r>
            <w:r w:rsidR="00C66AF1">
              <w:rPr>
                <w:rFonts w:ascii="Palatino Linotype" w:hAnsi="Palatino Linotype" w:cs="Times New Roman"/>
                <w:sz w:val="20"/>
                <w:szCs w:val="20"/>
              </w:rPr>
              <w:t>.20</w:t>
            </w:r>
            <w:r w:rsidRPr="00F01BBF">
              <w:rPr>
                <w:rFonts w:ascii="Palatino Linotype" w:hAnsi="Palatino Linotype" w:cs="Times New Roman"/>
                <w:sz w:val="20"/>
                <w:szCs w:val="20"/>
              </w:rPr>
              <w:t xml:space="preserve"> ± 1.7</w:t>
            </w:r>
            <w:r w:rsidR="00C66AF1">
              <w:rPr>
                <w:rFonts w:ascii="Palatino Linotype" w:hAnsi="Palatino Linotype" w:cs="Times New Roman"/>
                <w:sz w:val="20"/>
                <w:szCs w:val="20"/>
              </w:rPr>
              <w:t>5</w:t>
            </w:r>
            <w:r w:rsidR="00C66AF1" w:rsidRPr="00C66AF1">
              <w:rPr>
                <w:rFonts w:ascii="Palatino Linotype" w:hAnsi="Palatino Linotype" w:cs="Times New Roman"/>
                <w:sz w:val="20"/>
                <w:szCs w:val="20"/>
                <w:vertAlign w:val="superscript"/>
              </w:rPr>
              <w:t xml:space="preserve"> a</w:t>
            </w:r>
          </w:p>
        </w:tc>
      </w:tr>
      <w:tr w:rsidR="00F01BBF" w:rsidRPr="00F01BBF" w14:paraId="5C49C097" w14:textId="77777777" w:rsidTr="00F01BBF">
        <w:trPr>
          <w:trHeight w:val="245"/>
        </w:trPr>
        <w:tc>
          <w:tcPr>
            <w:tcW w:w="2830" w:type="dxa"/>
            <w:vAlign w:val="center"/>
            <w:hideMark/>
          </w:tcPr>
          <w:p w14:paraId="0943F5A6" w14:textId="77777777"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Experimental Group 3</w:t>
            </w:r>
          </w:p>
        </w:tc>
        <w:tc>
          <w:tcPr>
            <w:tcW w:w="1701" w:type="dxa"/>
            <w:vAlign w:val="center"/>
            <w:hideMark/>
          </w:tcPr>
          <w:p w14:paraId="0F339FE0" w14:textId="6BE13DD2"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113</w:t>
            </w:r>
            <w:r>
              <w:rPr>
                <w:rFonts w:ascii="Palatino Linotype" w:hAnsi="Palatino Linotype" w:cs="Times New Roman"/>
                <w:sz w:val="20"/>
                <w:szCs w:val="20"/>
              </w:rPr>
              <w:t>.15</w:t>
            </w:r>
            <w:r w:rsidRPr="00F01BBF">
              <w:rPr>
                <w:rFonts w:ascii="Palatino Linotype" w:hAnsi="Palatino Linotype" w:cs="Times New Roman"/>
                <w:sz w:val="20"/>
                <w:szCs w:val="20"/>
              </w:rPr>
              <w:t xml:space="preserve"> ± 1.5</w:t>
            </w:r>
            <w:r>
              <w:rPr>
                <w:rFonts w:ascii="Palatino Linotype" w:hAnsi="Palatino Linotype" w:cs="Times New Roman"/>
                <w:sz w:val="20"/>
                <w:szCs w:val="20"/>
              </w:rPr>
              <w:t>6</w:t>
            </w:r>
            <w:r w:rsidR="00C66AF1" w:rsidRPr="00C66AF1">
              <w:rPr>
                <w:rFonts w:ascii="Palatino Linotype" w:hAnsi="Palatino Linotype" w:cs="Times New Roman"/>
                <w:sz w:val="20"/>
                <w:szCs w:val="20"/>
                <w:vertAlign w:val="superscript"/>
              </w:rPr>
              <w:t>a</w:t>
            </w:r>
          </w:p>
        </w:tc>
        <w:tc>
          <w:tcPr>
            <w:tcW w:w="1701" w:type="dxa"/>
            <w:vAlign w:val="center"/>
            <w:hideMark/>
          </w:tcPr>
          <w:p w14:paraId="4A88FB30" w14:textId="2ECA0CE5"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110</w:t>
            </w:r>
            <w:r>
              <w:rPr>
                <w:rFonts w:ascii="Palatino Linotype" w:hAnsi="Palatino Linotype" w:cs="Times New Roman"/>
                <w:sz w:val="20"/>
                <w:szCs w:val="20"/>
              </w:rPr>
              <w:t>.08</w:t>
            </w:r>
            <w:r w:rsidRPr="00F01BBF">
              <w:rPr>
                <w:rFonts w:ascii="Palatino Linotype" w:hAnsi="Palatino Linotype" w:cs="Times New Roman"/>
                <w:sz w:val="20"/>
                <w:szCs w:val="20"/>
              </w:rPr>
              <w:t xml:space="preserve"> ± 1.9</w:t>
            </w:r>
            <w:r w:rsidR="00C66AF1">
              <w:rPr>
                <w:rFonts w:ascii="Palatino Linotype" w:hAnsi="Palatino Linotype" w:cs="Times New Roman"/>
                <w:sz w:val="20"/>
                <w:szCs w:val="20"/>
              </w:rPr>
              <w:t>5</w:t>
            </w:r>
            <w:r w:rsidR="00C66AF1" w:rsidRPr="00C66AF1">
              <w:rPr>
                <w:rFonts w:ascii="Palatino Linotype" w:hAnsi="Palatino Linotype" w:cs="Times New Roman"/>
                <w:sz w:val="20"/>
                <w:szCs w:val="20"/>
                <w:vertAlign w:val="superscript"/>
              </w:rPr>
              <w:t xml:space="preserve"> a</w:t>
            </w:r>
          </w:p>
        </w:tc>
        <w:tc>
          <w:tcPr>
            <w:tcW w:w="1701" w:type="dxa"/>
            <w:vAlign w:val="center"/>
            <w:hideMark/>
          </w:tcPr>
          <w:p w14:paraId="04193DBA" w14:textId="2E320EED"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108</w:t>
            </w:r>
            <w:r w:rsidR="00C66AF1">
              <w:rPr>
                <w:rFonts w:ascii="Palatino Linotype" w:hAnsi="Palatino Linotype" w:cs="Times New Roman"/>
                <w:sz w:val="20"/>
                <w:szCs w:val="20"/>
              </w:rPr>
              <w:t>.15</w:t>
            </w:r>
            <w:r w:rsidRPr="00F01BBF">
              <w:rPr>
                <w:rFonts w:ascii="Palatino Linotype" w:hAnsi="Palatino Linotype" w:cs="Times New Roman"/>
                <w:sz w:val="20"/>
                <w:szCs w:val="20"/>
              </w:rPr>
              <w:t xml:space="preserve"> ± 1.6</w:t>
            </w:r>
            <w:r w:rsidR="00C66AF1">
              <w:rPr>
                <w:rFonts w:ascii="Palatino Linotype" w:hAnsi="Palatino Linotype" w:cs="Times New Roman"/>
                <w:sz w:val="20"/>
                <w:szCs w:val="20"/>
              </w:rPr>
              <w:t>6</w:t>
            </w:r>
            <w:r w:rsidR="00C66AF1" w:rsidRPr="00C66AF1">
              <w:rPr>
                <w:rFonts w:ascii="Palatino Linotype" w:hAnsi="Palatino Linotype" w:cs="Times New Roman"/>
                <w:sz w:val="20"/>
                <w:szCs w:val="20"/>
                <w:vertAlign w:val="superscript"/>
              </w:rPr>
              <w:t xml:space="preserve"> a</w:t>
            </w:r>
          </w:p>
        </w:tc>
        <w:tc>
          <w:tcPr>
            <w:tcW w:w="1560" w:type="dxa"/>
            <w:vAlign w:val="center"/>
            <w:hideMark/>
          </w:tcPr>
          <w:p w14:paraId="5761C184" w14:textId="76C80A8A" w:rsidR="00F01BBF" w:rsidRPr="00F01BBF" w:rsidRDefault="00F01BBF" w:rsidP="00F01BBF">
            <w:pPr>
              <w:spacing w:after="160" w:line="276" w:lineRule="auto"/>
              <w:jc w:val="both"/>
              <w:rPr>
                <w:rFonts w:ascii="Palatino Linotype" w:hAnsi="Palatino Linotype" w:cs="Times New Roman"/>
                <w:sz w:val="20"/>
                <w:szCs w:val="20"/>
              </w:rPr>
            </w:pPr>
            <w:r w:rsidRPr="00F01BBF">
              <w:rPr>
                <w:rFonts w:ascii="Palatino Linotype" w:hAnsi="Palatino Linotype" w:cs="Times New Roman"/>
                <w:sz w:val="20"/>
                <w:szCs w:val="20"/>
              </w:rPr>
              <w:t>105</w:t>
            </w:r>
            <w:r w:rsidR="00C66AF1">
              <w:rPr>
                <w:rFonts w:ascii="Palatino Linotype" w:hAnsi="Palatino Linotype" w:cs="Times New Roman"/>
                <w:sz w:val="20"/>
                <w:szCs w:val="20"/>
              </w:rPr>
              <w:t>.80</w:t>
            </w:r>
            <w:r w:rsidRPr="00F01BBF">
              <w:rPr>
                <w:rFonts w:ascii="Palatino Linotype" w:hAnsi="Palatino Linotype" w:cs="Times New Roman"/>
                <w:sz w:val="20"/>
                <w:szCs w:val="20"/>
              </w:rPr>
              <w:t xml:space="preserve"> ± 1.5</w:t>
            </w:r>
            <w:r w:rsidR="00C66AF1">
              <w:rPr>
                <w:rFonts w:ascii="Palatino Linotype" w:hAnsi="Palatino Linotype" w:cs="Times New Roman"/>
                <w:sz w:val="20"/>
                <w:szCs w:val="20"/>
              </w:rPr>
              <w:t>6</w:t>
            </w:r>
            <w:r w:rsidR="00C66AF1" w:rsidRPr="00C66AF1">
              <w:rPr>
                <w:rFonts w:ascii="Palatino Linotype" w:hAnsi="Palatino Linotype" w:cs="Times New Roman"/>
                <w:sz w:val="20"/>
                <w:szCs w:val="20"/>
                <w:vertAlign w:val="superscript"/>
              </w:rPr>
              <w:t xml:space="preserve"> a</w:t>
            </w:r>
          </w:p>
        </w:tc>
      </w:tr>
    </w:tbl>
    <w:p w14:paraId="19718D21" w14:textId="77777777" w:rsidR="00E358C1" w:rsidRDefault="00C66AF1" w:rsidP="00E358C1">
      <w:pPr>
        <w:spacing w:line="240" w:lineRule="auto"/>
        <w:jc w:val="both"/>
        <w:rPr>
          <w:rFonts w:ascii="Palatino Linotype" w:hAnsi="Palatino Linotype" w:cs="Times New Roman"/>
          <w:i/>
          <w:iCs/>
          <w:sz w:val="20"/>
          <w:szCs w:val="20"/>
        </w:rPr>
      </w:pPr>
      <w:r w:rsidRPr="0064217E">
        <w:rPr>
          <w:rFonts w:ascii="Palatino Linotype" w:eastAsia="Times New Roman" w:hAnsi="Palatino Linotype" w:cs="Times New Roman"/>
          <w:b/>
          <w:sz w:val="20"/>
          <w:szCs w:val="20"/>
          <w:vertAlign w:val="superscript"/>
        </w:rPr>
        <w:t>a</w:t>
      </w:r>
      <w:r w:rsidRPr="0064217E">
        <w:rPr>
          <w:rFonts w:ascii="Palatino Linotype" w:eastAsia="Times New Roman" w:hAnsi="Palatino Linotype" w:cs="Times New Roman"/>
          <w:bCs/>
          <w:sz w:val="20"/>
          <w:szCs w:val="20"/>
        </w:rPr>
        <w:t xml:space="preserve"> S</w:t>
      </w:r>
      <w:r w:rsidRPr="0064217E">
        <w:rPr>
          <w:rFonts w:ascii="Palatino Linotype" w:eastAsia="Times New Roman" w:hAnsi="Palatino Linotype" w:cs="Times New Roman"/>
          <w:bCs/>
          <w:i/>
          <w:iCs/>
          <w:sz w:val="20"/>
          <w:szCs w:val="20"/>
        </w:rPr>
        <w:t xml:space="preserve">ignificant at p&lt;0.05 compared to </w:t>
      </w:r>
      <w:r>
        <w:rPr>
          <w:rFonts w:ascii="Palatino Linotype" w:eastAsia="Times New Roman" w:hAnsi="Palatino Linotype" w:cs="Times New Roman"/>
          <w:bCs/>
          <w:i/>
          <w:iCs/>
          <w:sz w:val="20"/>
          <w:szCs w:val="20"/>
        </w:rPr>
        <w:t>General control g</w:t>
      </w:r>
      <w:r w:rsidRPr="0064217E">
        <w:rPr>
          <w:rFonts w:ascii="Palatino Linotype" w:eastAsia="Times New Roman" w:hAnsi="Palatino Linotype" w:cs="Times New Roman"/>
          <w:bCs/>
          <w:i/>
          <w:iCs/>
          <w:sz w:val="20"/>
          <w:szCs w:val="20"/>
        </w:rPr>
        <w:t xml:space="preserve">roup; </w:t>
      </w:r>
      <w:r w:rsidRPr="0064217E">
        <w:rPr>
          <w:rFonts w:ascii="Palatino Linotype" w:hAnsi="Palatino Linotype" w:cs="Times New Roman"/>
          <w:i/>
          <w:iCs/>
          <w:sz w:val="20"/>
          <w:szCs w:val="20"/>
        </w:rPr>
        <w:t xml:space="preserve">Values are presented with Mean ± </w:t>
      </w:r>
      <w:r>
        <w:rPr>
          <w:rFonts w:ascii="Palatino Linotype" w:hAnsi="Palatino Linotype" w:cs="Times New Roman"/>
          <w:i/>
          <w:iCs/>
          <w:sz w:val="20"/>
          <w:szCs w:val="20"/>
        </w:rPr>
        <w:t>SEM</w:t>
      </w:r>
      <w:r w:rsidRPr="0064217E">
        <w:rPr>
          <w:rFonts w:ascii="Palatino Linotype" w:hAnsi="Palatino Linotype" w:cs="Times New Roman"/>
          <w:i/>
          <w:iCs/>
          <w:sz w:val="20"/>
          <w:szCs w:val="20"/>
        </w:rPr>
        <w:t>.</w:t>
      </w:r>
    </w:p>
    <w:p w14:paraId="15E9777E" w14:textId="77777777" w:rsidR="00E358C1" w:rsidRDefault="00E358C1" w:rsidP="00E358C1">
      <w:pPr>
        <w:spacing w:line="240" w:lineRule="auto"/>
        <w:jc w:val="both"/>
        <w:rPr>
          <w:rFonts w:ascii="Palatino Linotype" w:hAnsi="Palatino Linotype" w:cs="Times New Roman"/>
          <w:i/>
          <w:iCs/>
          <w:sz w:val="20"/>
          <w:szCs w:val="20"/>
        </w:rPr>
      </w:pPr>
    </w:p>
    <w:p w14:paraId="02D5C48C" w14:textId="343FFD69" w:rsidR="008A5216" w:rsidRPr="00E358C1" w:rsidRDefault="008A5216" w:rsidP="00E358C1">
      <w:pPr>
        <w:spacing w:line="240" w:lineRule="auto"/>
        <w:jc w:val="both"/>
        <w:rPr>
          <w:rFonts w:ascii="Palatino Linotype" w:hAnsi="Palatino Linotype" w:cs="Times New Roman"/>
          <w:i/>
          <w:iCs/>
          <w:sz w:val="20"/>
          <w:szCs w:val="20"/>
        </w:rPr>
      </w:pPr>
      <w:r w:rsidRPr="008A5216">
        <w:rPr>
          <w:rFonts w:ascii="Palatino Linotype" w:eastAsia="Times New Roman" w:hAnsi="Palatino Linotype" w:cs="Times New Roman"/>
          <w:b/>
          <w:bCs/>
          <w:sz w:val="20"/>
          <w:szCs w:val="20"/>
        </w:rPr>
        <w:t>Histopathological Assessment of Cerebellar Cytoarchitecture</w:t>
      </w:r>
    </w:p>
    <w:p w14:paraId="51CE6CC9" w14:textId="08BE2D1F" w:rsidR="008A5216" w:rsidRPr="006F1350" w:rsidRDefault="008A5216" w:rsidP="00FA39B0">
      <w:pPr>
        <w:spacing w:line="480" w:lineRule="auto"/>
        <w:jc w:val="both"/>
        <w:rPr>
          <w:rFonts w:ascii="Palatino Linotype" w:hAnsi="Palatino Linotype" w:cs="Times New Roman"/>
          <w:sz w:val="20"/>
          <w:szCs w:val="20"/>
        </w:rPr>
        <w:sectPr w:rsidR="008A5216" w:rsidRPr="006F135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8A5216">
        <w:rPr>
          <w:rFonts w:ascii="Palatino Linotype" w:hAnsi="Palatino Linotype" w:cs="Times New Roman"/>
          <w:sz w:val="20"/>
          <w:szCs w:val="20"/>
        </w:rPr>
        <w:t>The histological analysis of cerebellar cytoarchitecture revealed progressive structural alterations across experimental groups, with increasing severity of damage compared to the general control (Figure 2A). In Experimental Group 1, the molecular and Purkinje cell layers remained well-delineated, though vacuolation was observed in the medullary white matter, indicating mild cytoarchitectural distortion (Figures 2B, 3B). In Experimental Group 2, there was evident degeneration of the Purkinje cell layer, along with pyknotic and necrotic granular cells, leading to severe disruption of cerebellar structure (Figures 2C, 3C). Experimental Group 3 exhibited similar degeneration of the Purkinje cell layer with pyknotic granular cells, further confirming the progressive distortion of cerebellar cytoarchitecture (Figures 2D, 3D). These findings suggest a dose-dependent impact on cerebellar integrity, with increased cellular degeneration and vacuolation correlating with higher exposure levels.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6166"/>
      </w:tblGrid>
      <w:tr w:rsidR="00670C91" w:rsidRPr="00670C91" w14:paraId="20125CEF" w14:textId="77777777" w:rsidTr="00746259">
        <w:trPr>
          <w:jc w:val="center"/>
        </w:trPr>
        <w:tc>
          <w:tcPr>
            <w:tcW w:w="6226" w:type="dxa"/>
          </w:tcPr>
          <w:p w14:paraId="447D32D5" w14:textId="77777777" w:rsidR="00670C91" w:rsidRPr="00670C91" w:rsidRDefault="00670C91"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lastRenderedPageBreak/>
              <w:drawing>
                <wp:inline distT="0" distB="0" distL="0" distR="0" wp14:anchorId="7C7A4C18" wp14:editId="7AC63CED">
                  <wp:extent cx="3816350" cy="2171700"/>
                  <wp:effectExtent l="0" t="0" r="0" b="0"/>
                  <wp:docPr id="20676002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4" cstate="print"/>
                          <a:srcRect/>
                          <a:stretch/>
                        </pic:blipFill>
                        <pic:spPr>
                          <a:xfrm>
                            <a:off x="0" y="0"/>
                            <a:ext cx="3816350" cy="2171700"/>
                          </a:xfrm>
                          <a:prstGeom prst="rect">
                            <a:avLst/>
                          </a:prstGeom>
                          <a:ln>
                            <a:noFill/>
                          </a:ln>
                        </pic:spPr>
                      </pic:pic>
                    </a:graphicData>
                  </a:graphic>
                </wp:inline>
              </w:drawing>
            </w:r>
          </w:p>
        </w:tc>
        <w:tc>
          <w:tcPr>
            <w:tcW w:w="6166" w:type="dxa"/>
          </w:tcPr>
          <w:p w14:paraId="1213E3AF" w14:textId="77777777" w:rsidR="00670C91" w:rsidRPr="00670C91" w:rsidRDefault="00670C91"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14:anchorId="221C49B5" wp14:editId="3244771A">
                  <wp:extent cx="3676650" cy="2178050"/>
                  <wp:effectExtent l="0" t="0" r="0" b="0"/>
                  <wp:docPr id="189928640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15" cstate="print"/>
                          <a:srcRect/>
                          <a:stretch/>
                        </pic:blipFill>
                        <pic:spPr>
                          <a:xfrm>
                            <a:off x="0" y="0"/>
                            <a:ext cx="3676650" cy="2178050"/>
                          </a:xfrm>
                          <a:prstGeom prst="rect">
                            <a:avLst/>
                          </a:prstGeom>
                          <a:ln>
                            <a:noFill/>
                          </a:ln>
                        </pic:spPr>
                      </pic:pic>
                    </a:graphicData>
                  </a:graphic>
                </wp:inline>
              </w:drawing>
            </w:r>
          </w:p>
        </w:tc>
      </w:tr>
      <w:tr w:rsidR="00670C91" w:rsidRPr="00670C91" w14:paraId="2E1894BE" w14:textId="77777777" w:rsidTr="00746259">
        <w:trPr>
          <w:jc w:val="center"/>
        </w:trPr>
        <w:tc>
          <w:tcPr>
            <w:tcW w:w="6226" w:type="dxa"/>
          </w:tcPr>
          <w:p w14:paraId="7B8404AD" w14:textId="75026D7E" w:rsidR="00670C91" w:rsidRPr="00670C91" w:rsidRDefault="00746259" w:rsidP="00DB1419">
            <w:pPr>
              <w:jc w:val="both"/>
              <w:rPr>
                <w:rFonts w:ascii="Palatino Linotype" w:hAnsi="Palatino Linotype" w:cs="Times New Roman"/>
                <w:sz w:val="20"/>
                <w:szCs w:val="20"/>
              </w:rPr>
            </w:pPr>
            <w:r>
              <w:rPr>
                <w:rFonts w:ascii="Palatino Linotype" w:hAnsi="Palatino Linotype" w:cs="Times New Roman"/>
                <w:sz w:val="20"/>
                <w:szCs w:val="20"/>
              </w:rPr>
              <w:t xml:space="preserve">(A). </w:t>
            </w:r>
            <w:r w:rsidR="00670C91" w:rsidRPr="00670C91">
              <w:rPr>
                <w:rFonts w:ascii="Palatino Linotype" w:hAnsi="Palatino Linotype" w:cs="Times New Roman"/>
                <w:sz w:val="20"/>
                <w:szCs w:val="20"/>
              </w:rPr>
              <w:t>Group 1 (General control)</w:t>
            </w:r>
          </w:p>
        </w:tc>
        <w:tc>
          <w:tcPr>
            <w:tcW w:w="6166" w:type="dxa"/>
          </w:tcPr>
          <w:p w14:paraId="12B46879" w14:textId="29C4E63A" w:rsidR="00670C91" w:rsidRPr="00670C91" w:rsidRDefault="00746259" w:rsidP="00DB1419">
            <w:pPr>
              <w:jc w:val="both"/>
              <w:rPr>
                <w:rFonts w:ascii="Palatino Linotype" w:hAnsi="Palatino Linotype" w:cs="Times New Roman"/>
                <w:sz w:val="20"/>
                <w:szCs w:val="20"/>
              </w:rPr>
            </w:pPr>
            <w:r>
              <w:rPr>
                <w:rFonts w:ascii="Palatino Linotype" w:hAnsi="Palatino Linotype" w:cs="Times New Roman"/>
                <w:sz w:val="20"/>
                <w:szCs w:val="20"/>
              </w:rPr>
              <w:t xml:space="preserve">(B). </w:t>
            </w:r>
            <w:r w:rsidR="00670C91" w:rsidRPr="00670C91">
              <w:rPr>
                <w:rFonts w:ascii="Palatino Linotype" w:hAnsi="Palatino Linotype" w:cs="Times New Roman"/>
                <w:sz w:val="20"/>
                <w:szCs w:val="20"/>
              </w:rPr>
              <w:t>Group 2 (Experimental group 1): 1.221 ± 0.169 mg/m³ PM2.5</w:t>
            </w:r>
          </w:p>
        </w:tc>
      </w:tr>
      <w:tr w:rsidR="00670C91" w:rsidRPr="00670C91" w14:paraId="6F8FAF3F" w14:textId="77777777" w:rsidTr="00746259">
        <w:trPr>
          <w:jc w:val="center"/>
        </w:trPr>
        <w:tc>
          <w:tcPr>
            <w:tcW w:w="6226" w:type="dxa"/>
          </w:tcPr>
          <w:p w14:paraId="000F0C01" w14:textId="77777777" w:rsidR="00670C91" w:rsidRPr="00670C91" w:rsidRDefault="00670C91"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14:anchorId="0799EBD4" wp14:editId="36F8CD27">
                  <wp:extent cx="3816350" cy="2311400"/>
                  <wp:effectExtent l="0" t="0" r="0" b="0"/>
                  <wp:docPr id="9225930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3"/>
                          <pic:cNvPicPr/>
                        </pic:nvPicPr>
                        <pic:blipFill>
                          <a:blip r:embed="rId16" cstate="print"/>
                          <a:srcRect/>
                          <a:stretch/>
                        </pic:blipFill>
                        <pic:spPr>
                          <a:xfrm>
                            <a:off x="0" y="0"/>
                            <a:ext cx="3816350" cy="2311400"/>
                          </a:xfrm>
                          <a:prstGeom prst="rect">
                            <a:avLst/>
                          </a:prstGeom>
                          <a:ln>
                            <a:noFill/>
                          </a:ln>
                        </pic:spPr>
                      </pic:pic>
                    </a:graphicData>
                  </a:graphic>
                </wp:inline>
              </w:drawing>
            </w:r>
          </w:p>
        </w:tc>
        <w:tc>
          <w:tcPr>
            <w:tcW w:w="6166" w:type="dxa"/>
          </w:tcPr>
          <w:p w14:paraId="5C4C20B5" w14:textId="77777777" w:rsidR="00670C91" w:rsidRPr="00670C91" w:rsidRDefault="00670C91" w:rsidP="00DB1419">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14:anchorId="01E3204C" wp14:editId="015AAFE5">
                  <wp:extent cx="3041650" cy="2298700"/>
                  <wp:effectExtent l="0" t="0" r="6350" b="6350"/>
                  <wp:docPr id="95911746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17" cstate="print"/>
                          <a:srcRect/>
                          <a:stretch/>
                        </pic:blipFill>
                        <pic:spPr>
                          <a:xfrm>
                            <a:off x="0" y="0"/>
                            <a:ext cx="3041650" cy="2298700"/>
                          </a:xfrm>
                          <a:prstGeom prst="rect">
                            <a:avLst/>
                          </a:prstGeom>
                          <a:ln>
                            <a:noFill/>
                          </a:ln>
                        </pic:spPr>
                      </pic:pic>
                    </a:graphicData>
                  </a:graphic>
                </wp:inline>
              </w:drawing>
            </w:r>
          </w:p>
        </w:tc>
      </w:tr>
      <w:tr w:rsidR="00670C91" w:rsidRPr="00670C91" w14:paraId="0B7AAE38" w14:textId="77777777" w:rsidTr="00746259">
        <w:trPr>
          <w:jc w:val="center"/>
        </w:trPr>
        <w:tc>
          <w:tcPr>
            <w:tcW w:w="6226" w:type="dxa"/>
          </w:tcPr>
          <w:p w14:paraId="7642F626" w14:textId="655611CD" w:rsidR="00670C91" w:rsidRPr="00670C91" w:rsidRDefault="00746259" w:rsidP="00DB1419">
            <w:pPr>
              <w:jc w:val="both"/>
              <w:rPr>
                <w:rFonts w:ascii="Palatino Linotype" w:hAnsi="Palatino Linotype" w:cs="Times New Roman"/>
                <w:sz w:val="20"/>
                <w:szCs w:val="20"/>
              </w:rPr>
            </w:pPr>
            <w:r>
              <w:rPr>
                <w:rFonts w:ascii="Palatino Linotype" w:hAnsi="Palatino Linotype" w:cs="Times New Roman"/>
                <w:sz w:val="20"/>
                <w:szCs w:val="20"/>
              </w:rPr>
              <w:t xml:space="preserve">(C). </w:t>
            </w:r>
            <w:r w:rsidR="00670C91" w:rsidRPr="00670C91">
              <w:rPr>
                <w:rFonts w:ascii="Palatino Linotype" w:hAnsi="Palatino Linotype" w:cs="Times New Roman"/>
                <w:sz w:val="20"/>
                <w:szCs w:val="20"/>
              </w:rPr>
              <w:t>Group 3 (Experimental group 2): 1.290 ± 0.214 mg/m³ PM2.5</w:t>
            </w:r>
          </w:p>
        </w:tc>
        <w:tc>
          <w:tcPr>
            <w:tcW w:w="6166" w:type="dxa"/>
          </w:tcPr>
          <w:p w14:paraId="01EA1029" w14:textId="3E7C68EC" w:rsidR="00670C91" w:rsidRPr="00670C91" w:rsidRDefault="00746259" w:rsidP="00DB1419">
            <w:pPr>
              <w:jc w:val="both"/>
              <w:rPr>
                <w:rFonts w:ascii="Palatino Linotype" w:hAnsi="Palatino Linotype" w:cs="Times New Roman"/>
                <w:sz w:val="20"/>
                <w:szCs w:val="20"/>
              </w:rPr>
            </w:pPr>
            <w:r>
              <w:rPr>
                <w:rFonts w:ascii="Palatino Linotype" w:hAnsi="Palatino Linotype" w:cs="Times New Roman"/>
                <w:sz w:val="20"/>
                <w:szCs w:val="20"/>
              </w:rPr>
              <w:t xml:space="preserve">(D). </w:t>
            </w:r>
            <w:r w:rsidR="00670C91" w:rsidRPr="00670C91">
              <w:rPr>
                <w:rFonts w:ascii="Palatino Linotype" w:hAnsi="Palatino Linotype" w:cs="Times New Roman"/>
                <w:sz w:val="20"/>
                <w:szCs w:val="20"/>
              </w:rPr>
              <w:t>Group 4 (Experimental group 3): 1.282 ± 0.235 mg/m³ PM2.5</w:t>
            </w:r>
          </w:p>
        </w:tc>
      </w:tr>
    </w:tbl>
    <w:p w14:paraId="67FF5C10" w14:textId="1A212D18" w:rsidR="00670C91" w:rsidRPr="00746259" w:rsidRDefault="00746259" w:rsidP="00746259">
      <w:pPr>
        <w:spacing w:before="240" w:line="276" w:lineRule="auto"/>
        <w:jc w:val="both"/>
        <w:rPr>
          <w:rFonts w:ascii="Palatino Linotype" w:hAnsi="Palatino Linotype" w:cs="Times New Roman"/>
          <w:sz w:val="20"/>
          <w:szCs w:val="20"/>
        </w:rPr>
      </w:pPr>
      <w:r w:rsidRPr="00746259">
        <w:rPr>
          <w:rFonts w:ascii="Palatino Linotype" w:hAnsi="Palatino Linotype" w:cs="Times New Roman"/>
          <w:b/>
          <w:bCs/>
          <w:sz w:val="20"/>
          <w:szCs w:val="20"/>
        </w:rPr>
        <w:t xml:space="preserve">Figure 2. Photomicrograph of cerebellar cytoarchitecture. </w:t>
      </w:r>
      <w:r w:rsidRPr="00746259">
        <w:rPr>
          <w:rFonts w:ascii="Palatino Linotype" w:hAnsi="Palatino Linotype" w:cs="Times New Roman"/>
          <w:sz w:val="20"/>
          <w:szCs w:val="20"/>
        </w:rPr>
        <w:t xml:space="preserve">(A) General control group showing normal molecular, Purkinje, and granular cell layers. (B) Experimental Group 1 displaying well-delineated cells with no obvious pathology in the molecular and Purkinje layers but mild vacuolation in the medullary white matter, indicating slight cytoarchitectural distortion. (C) Experimental Group 2 showing Purkinje cell degeneration, pyknotic and necrotic granular layers, and severe cytoarchitectural distortion. (D) Experimental Group 3 revealing Purkinje cell degeneration and pyknotic granular layers, indicating cerebellar cytoarchitectural disruption. </w:t>
      </w:r>
      <w:r w:rsidRPr="00746259">
        <w:rPr>
          <w:rFonts w:ascii="Palatino Linotype" w:hAnsi="Palatino Linotype" w:cs="Times New Roman"/>
          <w:b/>
          <w:bCs/>
          <w:sz w:val="20"/>
          <w:szCs w:val="20"/>
        </w:rPr>
        <w:t>Stain/Magnification:</w:t>
      </w:r>
      <w:r w:rsidRPr="00746259">
        <w:rPr>
          <w:rFonts w:ascii="Palatino Linotype" w:hAnsi="Palatino Linotype" w:cs="Times New Roman"/>
          <w:sz w:val="20"/>
          <w:szCs w:val="20"/>
        </w:rPr>
        <w:t xml:space="preserve"> </w:t>
      </w:r>
      <w:r w:rsidRPr="00746259">
        <w:rPr>
          <w:rFonts w:ascii="Palatino Linotype" w:hAnsi="Palatino Linotype" w:cs="Times New Roman"/>
          <w:b/>
          <w:bCs/>
          <w:sz w:val="20"/>
          <w:szCs w:val="20"/>
        </w:rPr>
        <w:t>H&amp;E, x100.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6"/>
        <w:gridCol w:w="6166"/>
      </w:tblGrid>
      <w:tr w:rsidR="00746259" w:rsidRPr="00670C91" w14:paraId="01046D6E" w14:textId="77777777" w:rsidTr="00746259">
        <w:trPr>
          <w:trHeight w:val="3530"/>
        </w:trPr>
        <w:tc>
          <w:tcPr>
            <w:tcW w:w="12172" w:type="dxa"/>
            <w:gridSpan w:val="2"/>
          </w:tcPr>
          <w:p w14:paraId="22506376" w14:textId="77777777" w:rsidR="00746259" w:rsidRPr="00670C91" w:rsidRDefault="00746259" w:rsidP="00746259">
            <w:pPr>
              <w:jc w:val="center"/>
              <w:rPr>
                <w:rFonts w:ascii="Palatino Linotype" w:hAnsi="Palatino Linotype" w:cs="Times New Roman"/>
                <w:sz w:val="20"/>
                <w:szCs w:val="20"/>
              </w:rPr>
            </w:pPr>
            <w:r w:rsidRPr="00670C91">
              <w:rPr>
                <w:rFonts w:ascii="Palatino Linotype" w:hAnsi="Palatino Linotype" w:cs="Times New Roman"/>
                <w:noProof/>
                <w:sz w:val="20"/>
                <w:szCs w:val="20"/>
                <w:lang w:eastAsia="en-GB"/>
              </w:rPr>
              <w:lastRenderedPageBreak/>
              <w:drawing>
                <wp:inline distT="0" distB="0" distL="0" distR="0" wp14:anchorId="53F593A1" wp14:editId="4C3E8BF3">
                  <wp:extent cx="3930650" cy="2457450"/>
                  <wp:effectExtent l="0" t="0" r="0" b="0"/>
                  <wp:docPr id="13465926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a:blip r:embed="rId18" cstate="print"/>
                          <a:srcRect/>
                          <a:stretch/>
                        </pic:blipFill>
                        <pic:spPr>
                          <a:xfrm>
                            <a:off x="0" y="0"/>
                            <a:ext cx="3930650" cy="2457450"/>
                          </a:xfrm>
                          <a:prstGeom prst="rect">
                            <a:avLst/>
                          </a:prstGeom>
                          <a:ln>
                            <a:noFill/>
                          </a:ln>
                        </pic:spPr>
                      </pic:pic>
                    </a:graphicData>
                  </a:graphic>
                </wp:inline>
              </w:drawing>
            </w:r>
          </w:p>
        </w:tc>
      </w:tr>
      <w:tr w:rsidR="00746259" w:rsidRPr="00670C91" w14:paraId="787BBC29" w14:textId="77777777" w:rsidTr="00746259">
        <w:tc>
          <w:tcPr>
            <w:tcW w:w="12172" w:type="dxa"/>
            <w:gridSpan w:val="2"/>
          </w:tcPr>
          <w:p w14:paraId="2A9385AB" w14:textId="2404AF1A" w:rsidR="00746259" w:rsidRPr="00670C91" w:rsidRDefault="00746259" w:rsidP="00746259">
            <w:pPr>
              <w:jc w:val="center"/>
              <w:rPr>
                <w:rFonts w:ascii="Palatino Linotype" w:hAnsi="Palatino Linotype" w:cs="Times New Roman"/>
                <w:sz w:val="20"/>
                <w:szCs w:val="20"/>
              </w:rPr>
            </w:pPr>
            <w:r>
              <w:rPr>
                <w:rFonts w:ascii="Palatino Linotype" w:hAnsi="Palatino Linotype" w:cs="Times New Roman"/>
                <w:sz w:val="20"/>
                <w:szCs w:val="20"/>
              </w:rPr>
              <w:t xml:space="preserve">(B). </w:t>
            </w:r>
            <w:r w:rsidRPr="00670C91">
              <w:rPr>
                <w:rFonts w:ascii="Palatino Linotype" w:hAnsi="Palatino Linotype" w:cs="Times New Roman"/>
                <w:sz w:val="20"/>
                <w:szCs w:val="20"/>
              </w:rPr>
              <w:t>Group 2 (Experimental group 1): 1.221 ± 0.169 mg/m³ PM2.5</w:t>
            </w:r>
          </w:p>
        </w:tc>
      </w:tr>
      <w:tr w:rsidR="00670C91" w:rsidRPr="00670C91" w14:paraId="6C8ED229" w14:textId="77777777" w:rsidTr="00746259">
        <w:tc>
          <w:tcPr>
            <w:tcW w:w="6006" w:type="dxa"/>
          </w:tcPr>
          <w:p w14:paraId="3DEE5A95" w14:textId="77777777" w:rsidR="00670C91" w:rsidRPr="00670C91" w:rsidRDefault="00670C91" w:rsidP="00670C91">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14:anchorId="59DF11FD" wp14:editId="67672DD9">
                  <wp:extent cx="3816350" cy="2209800"/>
                  <wp:effectExtent l="0" t="0" r="0" b="0"/>
                  <wp:docPr id="6885728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4"/>
                          <pic:cNvPicPr/>
                        </pic:nvPicPr>
                        <pic:blipFill>
                          <a:blip r:embed="rId19" cstate="print"/>
                          <a:srcRect/>
                          <a:stretch/>
                        </pic:blipFill>
                        <pic:spPr>
                          <a:xfrm>
                            <a:off x="0" y="0"/>
                            <a:ext cx="3816350" cy="2209800"/>
                          </a:xfrm>
                          <a:prstGeom prst="rect">
                            <a:avLst/>
                          </a:prstGeom>
                          <a:ln>
                            <a:noFill/>
                          </a:ln>
                        </pic:spPr>
                      </pic:pic>
                    </a:graphicData>
                  </a:graphic>
                </wp:inline>
              </w:drawing>
            </w:r>
          </w:p>
        </w:tc>
        <w:tc>
          <w:tcPr>
            <w:tcW w:w="6166" w:type="dxa"/>
          </w:tcPr>
          <w:p w14:paraId="7C15D4BA" w14:textId="77777777" w:rsidR="00670C91" w:rsidRPr="00670C91" w:rsidRDefault="00670C91" w:rsidP="00670C91">
            <w:pPr>
              <w:jc w:val="both"/>
              <w:rPr>
                <w:rFonts w:ascii="Palatino Linotype" w:hAnsi="Palatino Linotype" w:cs="Times New Roman"/>
                <w:sz w:val="20"/>
                <w:szCs w:val="20"/>
              </w:rPr>
            </w:pPr>
            <w:r w:rsidRPr="00670C91">
              <w:rPr>
                <w:rFonts w:ascii="Palatino Linotype" w:hAnsi="Palatino Linotype" w:cs="Times New Roman"/>
                <w:noProof/>
                <w:sz w:val="20"/>
                <w:szCs w:val="20"/>
                <w:lang w:eastAsia="en-GB"/>
              </w:rPr>
              <w:drawing>
                <wp:inline distT="0" distB="0" distL="0" distR="0" wp14:anchorId="77D2BE2A" wp14:editId="0AA121FB">
                  <wp:extent cx="3505200" cy="2228850"/>
                  <wp:effectExtent l="0" t="0" r="0" b="0"/>
                  <wp:docPr id="539733225"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6"/>
                          <pic:cNvPicPr/>
                        </pic:nvPicPr>
                        <pic:blipFill>
                          <a:blip r:embed="rId20" cstate="print"/>
                          <a:srcRect/>
                          <a:stretch/>
                        </pic:blipFill>
                        <pic:spPr>
                          <a:xfrm>
                            <a:off x="0" y="0"/>
                            <a:ext cx="3505200" cy="2228850"/>
                          </a:xfrm>
                          <a:prstGeom prst="rect">
                            <a:avLst/>
                          </a:prstGeom>
                          <a:ln>
                            <a:noFill/>
                          </a:ln>
                        </pic:spPr>
                      </pic:pic>
                    </a:graphicData>
                  </a:graphic>
                </wp:inline>
              </w:drawing>
            </w:r>
          </w:p>
        </w:tc>
      </w:tr>
      <w:tr w:rsidR="00746259" w:rsidRPr="00670C91" w14:paraId="14119EB1" w14:textId="77777777" w:rsidTr="00746259">
        <w:tc>
          <w:tcPr>
            <w:tcW w:w="6006" w:type="dxa"/>
          </w:tcPr>
          <w:p w14:paraId="3E2172FE" w14:textId="74050AA6" w:rsidR="00746259" w:rsidRPr="00670C91" w:rsidRDefault="00746259" w:rsidP="00746259">
            <w:pPr>
              <w:jc w:val="both"/>
              <w:rPr>
                <w:rFonts w:ascii="Palatino Linotype" w:hAnsi="Palatino Linotype" w:cs="Times New Roman"/>
                <w:sz w:val="20"/>
                <w:szCs w:val="20"/>
              </w:rPr>
            </w:pPr>
            <w:r>
              <w:rPr>
                <w:rFonts w:ascii="Palatino Linotype" w:hAnsi="Palatino Linotype" w:cs="Times New Roman"/>
                <w:sz w:val="20"/>
                <w:szCs w:val="20"/>
              </w:rPr>
              <w:t xml:space="preserve">(C). </w:t>
            </w:r>
            <w:r w:rsidRPr="00670C91">
              <w:rPr>
                <w:rFonts w:ascii="Palatino Linotype" w:hAnsi="Palatino Linotype" w:cs="Times New Roman"/>
                <w:sz w:val="20"/>
                <w:szCs w:val="20"/>
              </w:rPr>
              <w:t>Group 3 (Experimental group 2): 1.290 ± 0.214 mg/m³ PM2.5</w:t>
            </w:r>
          </w:p>
        </w:tc>
        <w:tc>
          <w:tcPr>
            <w:tcW w:w="6166" w:type="dxa"/>
          </w:tcPr>
          <w:p w14:paraId="24455D1B" w14:textId="5A128E15" w:rsidR="00746259" w:rsidRPr="00670C91" w:rsidRDefault="00746259" w:rsidP="00746259">
            <w:pPr>
              <w:jc w:val="both"/>
              <w:rPr>
                <w:rFonts w:ascii="Palatino Linotype" w:hAnsi="Palatino Linotype" w:cs="Times New Roman"/>
                <w:sz w:val="20"/>
                <w:szCs w:val="20"/>
              </w:rPr>
            </w:pPr>
            <w:r>
              <w:rPr>
                <w:rFonts w:ascii="Palatino Linotype" w:hAnsi="Palatino Linotype" w:cs="Times New Roman"/>
                <w:sz w:val="20"/>
                <w:szCs w:val="20"/>
              </w:rPr>
              <w:t xml:space="preserve">(D). </w:t>
            </w:r>
            <w:r w:rsidRPr="00670C91">
              <w:rPr>
                <w:rFonts w:ascii="Palatino Linotype" w:hAnsi="Palatino Linotype" w:cs="Times New Roman"/>
                <w:sz w:val="20"/>
                <w:szCs w:val="20"/>
              </w:rPr>
              <w:t>Group 4 (Experimental group 3): 1.282 ± 0.235 mg/m³ PM2.5</w:t>
            </w:r>
          </w:p>
        </w:tc>
      </w:tr>
    </w:tbl>
    <w:p w14:paraId="0CB6EA36" w14:textId="77777777" w:rsidR="008A5216" w:rsidRDefault="008A5216" w:rsidP="00670C91">
      <w:pPr>
        <w:rPr>
          <w:sz w:val="24"/>
          <w:szCs w:val="24"/>
        </w:rPr>
      </w:pPr>
    </w:p>
    <w:p w14:paraId="6129607E" w14:textId="1BBBBFB9" w:rsidR="008A5216" w:rsidRPr="008A5216" w:rsidRDefault="008A5216" w:rsidP="008A5216">
      <w:pPr>
        <w:jc w:val="both"/>
        <w:rPr>
          <w:rFonts w:ascii="Palatino Linotype" w:hAnsi="Palatino Linotype" w:cs="Times New Roman"/>
          <w:sz w:val="20"/>
          <w:szCs w:val="20"/>
        </w:rPr>
        <w:sectPr w:rsidR="008A5216" w:rsidRPr="008A5216" w:rsidSect="00746259">
          <w:pgSz w:w="15840" w:h="12240" w:orient="landscape"/>
          <w:pgMar w:top="1134" w:right="1440" w:bottom="1440" w:left="1440" w:header="720" w:footer="720" w:gutter="0"/>
          <w:cols w:space="720"/>
          <w:docGrid w:linePitch="360"/>
        </w:sectPr>
      </w:pPr>
      <w:r w:rsidRPr="008A5216">
        <w:rPr>
          <w:rFonts w:ascii="Palatino Linotype" w:hAnsi="Palatino Linotype" w:cs="Times New Roman"/>
          <w:b/>
          <w:bCs/>
          <w:sz w:val="20"/>
          <w:szCs w:val="20"/>
        </w:rPr>
        <w:t xml:space="preserve">Figure 3. Photomicrograph of cerebellar cytoarchitecture. </w:t>
      </w:r>
      <w:r w:rsidRPr="008A5216">
        <w:rPr>
          <w:rFonts w:ascii="Palatino Linotype" w:hAnsi="Palatino Linotype" w:cs="Times New Roman"/>
          <w:sz w:val="20"/>
          <w:szCs w:val="20"/>
        </w:rPr>
        <w:t xml:space="preserve">(B) Experimental Group 1 showing well-delineated molecular and Purkinje cell layers with no obvious pathology, but with vacuolation in the medullary white matter, indicating mild cytoarchitectural distortion. (C) Experimental Group 2 displaying Purkinje cell degeneration and granular cell aggregation, with severe cytoarchitectural distortion. (D) Experimental Group 3 revealing Purkinje cell degeneration and pyknotic granular cell layers, indicating cytoarchitectural disruption. </w:t>
      </w:r>
      <w:r w:rsidRPr="00C62117">
        <w:rPr>
          <w:rFonts w:ascii="Palatino Linotype" w:hAnsi="Palatino Linotype" w:cs="Times New Roman"/>
          <w:b/>
          <w:bCs/>
          <w:sz w:val="20"/>
          <w:szCs w:val="20"/>
        </w:rPr>
        <w:t>Stain/Magnification: H&amp;E, x400.</w:t>
      </w:r>
    </w:p>
    <w:p w14:paraId="5D2AA723" w14:textId="77777777" w:rsidR="00C66AF1" w:rsidRPr="00C66AF1" w:rsidRDefault="00C66AF1" w:rsidP="008A5216">
      <w:pPr>
        <w:spacing w:line="480" w:lineRule="auto"/>
        <w:jc w:val="both"/>
        <w:rPr>
          <w:rFonts w:ascii="Palatino Linotype" w:eastAsia="Times New Roman" w:hAnsi="Palatino Linotype" w:cs="Times New Roman"/>
          <w:b/>
          <w:bCs/>
          <w:sz w:val="20"/>
          <w:szCs w:val="20"/>
        </w:rPr>
      </w:pPr>
      <w:r w:rsidRPr="00C66AF1">
        <w:rPr>
          <w:rFonts w:ascii="Palatino Linotype" w:eastAsia="Times New Roman" w:hAnsi="Palatino Linotype" w:cs="Times New Roman"/>
          <w:b/>
          <w:bCs/>
          <w:sz w:val="20"/>
          <w:szCs w:val="20"/>
        </w:rPr>
        <w:lastRenderedPageBreak/>
        <w:t>DISCUSSION</w:t>
      </w:r>
    </w:p>
    <w:p w14:paraId="0F2B6119" w14:textId="75019A28" w:rsidR="00FA39B0" w:rsidRDefault="00DA7E14" w:rsidP="00FA39B0">
      <w:pPr>
        <w:spacing w:line="480" w:lineRule="auto"/>
        <w:jc w:val="both"/>
        <w:rPr>
          <w:rFonts w:ascii="Palatino Linotype" w:hAnsi="Palatino Linotype" w:cs="Times New Roman"/>
          <w:sz w:val="20"/>
          <w:szCs w:val="20"/>
        </w:rPr>
      </w:pPr>
      <w:r w:rsidRPr="00DA7E14">
        <w:rPr>
          <w:rFonts w:ascii="Palatino Linotype" w:hAnsi="Palatino Linotype" w:cs="Times New Roman"/>
          <w:sz w:val="20"/>
          <w:szCs w:val="20"/>
        </w:rPr>
        <w:t>The present study demonstrated that chronic exposure to Carbon Soot Particulate Matter (PM2.5) induced significant body weight reduction and cerebellar cytoarchitectural damage in Wistar rats. All experimental groups exhibited progressive weight loss over four weeks, contrasting with the steady weight gain observed in the control group. Histological analysis further revealed dose-dependent cerebellar degeneration, characterized by vacuolation, Purkinje cell layer necrosis, and pyknotic granular cells. These findings collectively suggest that PM2.5 exposure disrupts metabolic homeostasis and induces neurostructural damage, with severity escalating alongside exposure levels.</w:t>
      </w:r>
    </w:p>
    <w:p w14:paraId="4ADC2054" w14:textId="171E8CC4" w:rsidR="00DA7E14" w:rsidRDefault="00DA7E14" w:rsidP="00FA39B0">
      <w:pPr>
        <w:spacing w:line="480" w:lineRule="auto"/>
        <w:jc w:val="both"/>
        <w:rPr>
          <w:rFonts w:ascii="Palatino Linotype" w:hAnsi="Palatino Linotype" w:cs="Times New Roman"/>
          <w:sz w:val="20"/>
          <w:szCs w:val="20"/>
        </w:rPr>
      </w:pPr>
      <w:r w:rsidRPr="00DA7E14">
        <w:rPr>
          <w:rFonts w:ascii="Palatino Linotype" w:hAnsi="Palatino Linotype" w:cs="Times New Roman"/>
          <w:sz w:val="20"/>
          <w:szCs w:val="20"/>
        </w:rPr>
        <w:t>These findings align with previous research that highlights the systemic and neurological impacts of PM2.5 exposure. For example, studies have shown that PM2.5 exposure impairs glucose metabolism, reduces energy expenditure, and induces oxidative stress, leading to weight loss and metabolic dysfunction in animal models</w:t>
      </w:r>
      <w:r>
        <w:rPr>
          <w:rFonts w:ascii="Palatino Linotype" w:hAnsi="Palatino Linotype" w:cs="Times New Roman"/>
          <w:sz w:val="20"/>
          <w:szCs w:val="20"/>
        </w:rPr>
        <w:t xml:space="preserve"> (Xu et al., 2019; </w:t>
      </w:r>
      <w:r w:rsidRPr="00DA7E14">
        <w:rPr>
          <w:rFonts w:ascii="Palatino Linotype" w:hAnsi="Palatino Linotype" w:cs="Times New Roman"/>
          <w:sz w:val="20"/>
          <w:szCs w:val="20"/>
        </w:rPr>
        <w:t>Rajagopalan</w:t>
      </w:r>
      <w:r>
        <w:rPr>
          <w:rFonts w:ascii="Palatino Linotype" w:hAnsi="Palatino Linotype" w:cs="Times New Roman"/>
          <w:sz w:val="20"/>
          <w:szCs w:val="20"/>
        </w:rPr>
        <w:t xml:space="preserve"> et al., 2020)</w:t>
      </w:r>
      <w:r w:rsidRPr="00DA7E14">
        <w:rPr>
          <w:rFonts w:ascii="Palatino Linotype" w:hAnsi="Palatino Linotype" w:cs="Times New Roman"/>
          <w:sz w:val="20"/>
          <w:szCs w:val="20"/>
        </w:rPr>
        <w:t>. Similarly, PM2.5 has been implicated in neuroinflammation and neurodegeneration through mechanisms involving oxidative stress and pro-inflammatory cytokine release</w:t>
      </w:r>
      <w:r>
        <w:rPr>
          <w:rFonts w:ascii="Palatino Linotype" w:hAnsi="Palatino Linotype" w:cs="Times New Roman"/>
          <w:sz w:val="20"/>
          <w:szCs w:val="20"/>
        </w:rPr>
        <w:t xml:space="preserve"> (</w:t>
      </w:r>
      <w:r w:rsidRPr="00DA7E14">
        <w:rPr>
          <w:rFonts w:ascii="Palatino Linotype" w:hAnsi="Palatino Linotype" w:cs="Times New Roman"/>
          <w:sz w:val="20"/>
          <w:szCs w:val="20"/>
        </w:rPr>
        <w:t>Kang</w:t>
      </w:r>
      <w:r>
        <w:rPr>
          <w:rFonts w:ascii="Palatino Linotype" w:hAnsi="Palatino Linotype" w:cs="Times New Roman"/>
          <w:sz w:val="20"/>
          <w:szCs w:val="20"/>
        </w:rPr>
        <w:t xml:space="preserve"> et al., 2021; </w:t>
      </w:r>
      <w:r w:rsidRPr="00DA7E14">
        <w:rPr>
          <w:rFonts w:ascii="Palatino Linotype" w:hAnsi="Palatino Linotype" w:cs="Times New Roman"/>
          <w:sz w:val="20"/>
          <w:szCs w:val="20"/>
        </w:rPr>
        <w:t>Chen</w:t>
      </w:r>
      <w:r>
        <w:rPr>
          <w:rFonts w:ascii="Palatino Linotype" w:hAnsi="Palatino Linotype" w:cs="Times New Roman"/>
          <w:sz w:val="20"/>
          <w:szCs w:val="20"/>
        </w:rPr>
        <w:t xml:space="preserve"> et al., 2022)</w:t>
      </w:r>
      <w:r w:rsidRPr="00DA7E14">
        <w:rPr>
          <w:rFonts w:ascii="Palatino Linotype" w:hAnsi="Palatino Linotype" w:cs="Times New Roman"/>
          <w:sz w:val="20"/>
          <w:szCs w:val="20"/>
        </w:rPr>
        <w:t>. The observed cerebellar damage is consistent with reports of PM2.5-induced neurotoxicity in human brain models, where particulate matter penetrates the blood-brain barrier and triggers astrogliosis, neuronal loss, and microglial activation</w:t>
      </w:r>
      <w:r>
        <w:rPr>
          <w:rFonts w:ascii="Palatino Linotype" w:hAnsi="Palatino Linotype" w:cs="Times New Roman"/>
          <w:sz w:val="20"/>
          <w:szCs w:val="20"/>
        </w:rPr>
        <w:t xml:space="preserve"> (</w:t>
      </w:r>
      <w:r w:rsidRPr="00DA7E14">
        <w:rPr>
          <w:rFonts w:ascii="Palatino Linotype" w:hAnsi="Palatino Linotype" w:cs="Times New Roman"/>
          <w:sz w:val="20"/>
          <w:szCs w:val="20"/>
        </w:rPr>
        <w:t>Chen</w:t>
      </w:r>
      <w:r>
        <w:rPr>
          <w:rFonts w:ascii="Palatino Linotype" w:hAnsi="Palatino Linotype" w:cs="Times New Roman"/>
          <w:sz w:val="20"/>
          <w:szCs w:val="20"/>
        </w:rPr>
        <w:t xml:space="preserve"> et al., 2022)</w:t>
      </w:r>
      <w:r w:rsidRPr="00DA7E14">
        <w:rPr>
          <w:rFonts w:ascii="Palatino Linotype" w:hAnsi="Palatino Linotype" w:cs="Times New Roman"/>
          <w:sz w:val="20"/>
          <w:szCs w:val="20"/>
        </w:rPr>
        <w:t>. These parallels suggest that PM2.5 exposure may disrupt both systemic and neurological homeostasis.</w:t>
      </w:r>
    </w:p>
    <w:p w14:paraId="6738E5B4" w14:textId="2DF3E2B6" w:rsidR="005E1A78" w:rsidRDefault="005E1A78" w:rsidP="00FA39B0">
      <w:pPr>
        <w:spacing w:line="480" w:lineRule="auto"/>
        <w:jc w:val="both"/>
        <w:rPr>
          <w:rFonts w:ascii="Palatino Linotype" w:hAnsi="Palatino Linotype" w:cs="Times New Roman"/>
          <w:sz w:val="20"/>
          <w:szCs w:val="20"/>
        </w:rPr>
      </w:pPr>
      <w:r w:rsidRPr="005E1A78">
        <w:rPr>
          <w:rFonts w:ascii="Palatino Linotype" w:hAnsi="Palatino Linotype" w:cs="Times New Roman"/>
          <w:sz w:val="20"/>
          <w:szCs w:val="20"/>
        </w:rPr>
        <w:t>The observed weight loss and cerebellar damage in Wistar rats following PM2.5 exposure have significant real-world implications. In humans, prolonged exposure to fine particulate matter has been linked to various health issues, including respiratory and cardiovascular diseases</w:t>
      </w:r>
      <w:r>
        <w:rPr>
          <w:rFonts w:ascii="Palatino Linotype" w:hAnsi="Palatino Linotype" w:cs="Times New Roman"/>
          <w:sz w:val="20"/>
          <w:szCs w:val="20"/>
        </w:rPr>
        <w:t xml:space="preserve"> (</w:t>
      </w:r>
      <w:r w:rsidR="00DD5FF7" w:rsidRPr="00DD5FF7">
        <w:rPr>
          <w:rFonts w:ascii="Palatino Linotype" w:hAnsi="Palatino Linotype" w:cs="Times New Roman"/>
          <w:sz w:val="20"/>
          <w:szCs w:val="20"/>
        </w:rPr>
        <w:t>Garcia</w:t>
      </w:r>
      <w:r w:rsidR="00DD5FF7">
        <w:rPr>
          <w:rFonts w:ascii="Palatino Linotype" w:hAnsi="Palatino Linotype" w:cs="Times New Roman"/>
          <w:sz w:val="20"/>
          <w:szCs w:val="20"/>
        </w:rPr>
        <w:t xml:space="preserve"> et al., 2023; </w:t>
      </w:r>
      <w:r w:rsidR="00DD5FF7" w:rsidRPr="00DD5FF7">
        <w:rPr>
          <w:rFonts w:ascii="Palatino Linotype" w:hAnsi="Palatino Linotype" w:cs="Times New Roman"/>
          <w:sz w:val="20"/>
          <w:szCs w:val="20"/>
        </w:rPr>
        <w:t xml:space="preserve">Wan </w:t>
      </w:r>
      <w:proofErr w:type="spellStart"/>
      <w:r w:rsidR="00DD5FF7" w:rsidRPr="00DD5FF7">
        <w:rPr>
          <w:rFonts w:ascii="Palatino Linotype" w:hAnsi="Palatino Linotype" w:cs="Times New Roman"/>
          <w:sz w:val="20"/>
          <w:szCs w:val="20"/>
        </w:rPr>
        <w:t>Mahiyuddin</w:t>
      </w:r>
      <w:proofErr w:type="spellEnd"/>
      <w:r w:rsidR="00DD5FF7">
        <w:rPr>
          <w:rFonts w:ascii="Palatino Linotype" w:hAnsi="Palatino Linotype" w:cs="Times New Roman"/>
          <w:sz w:val="20"/>
          <w:szCs w:val="20"/>
        </w:rPr>
        <w:t xml:space="preserve"> et al., 2023; </w:t>
      </w:r>
      <w:proofErr w:type="spellStart"/>
      <w:r w:rsidR="00DD5FF7" w:rsidRPr="00DD5FF7">
        <w:rPr>
          <w:rFonts w:ascii="Palatino Linotype" w:hAnsi="Palatino Linotype" w:cs="Times New Roman"/>
          <w:sz w:val="20"/>
          <w:szCs w:val="20"/>
        </w:rPr>
        <w:t>Sarawut</w:t>
      </w:r>
      <w:proofErr w:type="spellEnd"/>
      <w:r w:rsidR="00DD5FF7">
        <w:rPr>
          <w:rFonts w:ascii="Palatino Linotype" w:hAnsi="Palatino Linotype" w:cs="Times New Roman"/>
          <w:sz w:val="20"/>
          <w:szCs w:val="20"/>
        </w:rPr>
        <w:t xml:space="preserve"> et al., 2024</w:t>
      </w:r>
      <w:r>
        <w:rPr>
          <w:rFonts w:ascii="Palatino Linotype" w:hAnsi="Palatino Linotype" w:cs="Times New Roman"/>
          <w:sz w:val="20"/>
          <w:szCs w:val="20"/>
        </w:rPr>
        <w:t>)</w:t>
      </w:r>
      <w:r w:rsidRPr="005E1A78">
        <w:rPr>
          <w:rFonts w:ascii="Palatino Linotype" w:hAnsi="Palatino Linotype" w:cs="Times New Roman"/>
          <w:sz w:val="20"/>
          <w:szCs w:val="20"/>
        </w:rPr>
        <w:t xml:space="preserve">. The neurological impairments observed in this study suggest that PM2.5 exposure may also contribute to neurodegenerative conditions, potentially impacting cognitive </w:t>
      </w:r>
      <w:r w:rsidRPr="005E1A78">
        <w:rPr>
          <w:rFonts w:ascii="Palatino Linotype" w:hAnsi="Palatino Linotype" w:cs="Times New Roman"/>
          <w:sz w:val="20"/>
          <w:szCs w:val="20"/>
        </w:rPr>
        <w:lastRenderedPageBreak/>
        <w:t>functions and motor skills. Clinically, the results suggest that prolonged PM</w:t>
      </w:r>
      <w:r>
        <w:rPr>
          <w:rFonts w:ascii="Palatino Linotype" w:hAnsi="Palatino Linotype" w:cs="Times New Roman"/>
          <w:sz w:val="20"/>
          <w:szCs w:val="20"/>
        </w:rPr>
        <w:t xml:space="preserve">2.5 </w:t>
      </w:r>
      <w:r w:rsidRPr="005E1A78">
        <w:rPr>
          <w:rFonts w:ascii="Palatino Linotype" w:hAnsi="Palatino Linotype" w:cs="Times New Roman"/>
          <w:sz w:val="20"/>
          <w:szCs w:val="20"/>
        </w:rPr>
        <w:t xml:space="preserve">exposure may contribute to underrecognized comorbidities such as cachexia or neurodegenerative disorders, warranting enhanced screening in high-risk populations. These findings </w:t>
      </w:r>
      <w:r>
        <w:rPr>
          <w:rFonts w:ascii="Palatino Linotype" w:hAnsi="Palatino Linotype" w:cs="Times New Roman"/>
          <w:sz w:val="20"/>
          <w:szCs w:val="20"/>
        </w:rPr>
        <w:t xml:space="preserve">highlight </w:t>
      </w:r>
      <w:r w:rsidRPr="005E1A78">
        <w:rPr>
          <w:rFonts w:ascii="Palatino Linotype" w:hAnsi="Palatino Linotype" w:cs="Times New Roman"/>
          <w:sz w:val="20"/>
          <w:szCs w:val="20"/>
        </w:rPr>
        <w:t>the importance of stringent air quality regulations and public health interventions aimed at reducing PM2.5 emissions to safeguard both human and animal health. Furthermore, the study contributes to the growing body of evidence highlighting the systemic toxicity of air pollutants, emphasizing the need for comprehensive environmental policies.</w:t>
      </w:r>
    </w:p>
    <w:p w14:paraId="64FC31D0" w14:textId="1C908884" w:rsidR="005E1A78" w:rsidRPr="005E1A78" w:rsidRDefault="005E1A78" w:rsidP="005E1A78">
      <w:pPr>
        <w:spacing w:line="480" w:lineRule="auto"/>
        <w:jc w:val="both"/>
        <w:rPr>
          <w:rFonts w:ascii="Palatino Linotype" w:hAnsi="Palatino Linotype" w:cs="Times New Roman"/>
          <w:sz w:val="20"/>
          <w:szCs w:val="20"/>
        </w:rPr>
      </w:pPr>
      <w:r w:rsidRPr="005E1A78">
        <w:rPr>
          <w:rFonts w:ascii="Palatino Linotype" w:hAnsi="Palatino Linotype" w:cs="Times New Roman"/>
          <w:sz w:val="20"/>
          <w:szCs w:val="20"/>
        </w:rPr>
        <w:t>While the study provides valuable insights, certain limitations must be acknowledged. The sample size of 2</w:t>
      </w:r>
      <w:r w:rsidR="005625DB">
        <w:rPr>
          <w:rFonts w:ascii="Palatino Linotype" w:hAnsi="Palatino Linotype" w:cs="Times New Roman"/>
          <w:sz w:val="20"/>
          <w:szCs w:val="20"/>
        </w:rPr>
        <w:t>3</w:t>
      </w:r>
      <w:r w:rsidRPr="005E1A78">
        <w:rPr>
          <w:rFonts w:ascii="Palatino Linotype" w:hAnsi="Palatino Linotype" w:cs="Times New Roman"/>
          <w:sz w:val="20"/>
          <w:szCs w:val="20"/>
        </w:rPr>
        <w:t xml:space="preserve"> rats, though adequate for preliminary observations, may not capture the full spectrum of potential biological responses to PM2.5 exposure. Additionally, the study's duration was limited to four weeks; longer exposure periods might reveal more pronounced or additional effects. The specific composition of the carbon soot particulate matter was not analyzed, leaving the possibility that certain components may have disproportionately contributed to the observed effects. Moreover, the study focused solely on male Wistar rats, which may limit the generalizability of the findings across different sexes or species. These limitations suggest that while the results are indicative, they should be interpreted with caution and in the context of broader </w:t>
      </w:r>
      <w:proofErr w:type="gramStart"/>
      <w:r w:rsidRPr="005E1A78">
        <w:rPr>
          <w:rFonts w:ascii="Palatino Linotype" w:hAnsi="Palatino Linotype" w:cs="Times New Roman"/>
          <w:sz w:val="20"/>
          <w:szCs w:val="20"/>
        </w:rPr>
        <w:t>research.​</w:t>
      </w:r>
      <w:proofErr w:type="gramEnd"/>
    </w:p>
    <w:p w14:paraId="6D15F42E" w14:textId="04141DCF" w:rsidR="005E1A78" w:rsidRDefault="00464D30" w:rsidP="00FA39B0">
      <w:pPr>
        <w:spacing w:line="480" w:lineRule="auto"/>
        <w:jc w:val="both"/>
        <w:rPr>
          <w:rFonts w:ascii="Palatino Linotype" w:hAnsi="Palatino Linotype" w:cs="Times New Roman"/>
          <w:sz w:val="20"/>
          <w:szCs w:val="20"/>
        </w:rPr>
      </w:pPr>
      <w:r w:rsidRPr="00464D30">
        <w:rPr>
          <w:rFonts w:ascii="Palatino Linotype" w:hAnsi="Palatino Linotype" w:cs="Times New Roman"/>
          <w:sz w:val="20"/>
          <w:szCs w:val="20"/>
        </w:rPr>
        <w:t xml:space="preserve">Future studies should aim to address these limitations by incorporating larger, more diverse animal cohorts and extending the exposure duration to assess long-term effects. Detailed chemical characterization of the particulate matter would help identify specific toxic components, facilitating targeted mitigation strategies. Investigating the underlying mechanisms of PM2.5-induced neurotoxicity, such as oxidative stress and inflammation pathways, could provide deeper insights into the pathophysiology observed. Additionally, exploring potential protective interventions, such as antioxidants or anti-inflammatory agents, may offer therapeutic avenues to counteract the adverse effects of PM2.5 exposure. Comparative studies involving </w:t>
      </w:r>
      <w:r w:rsidRPr="00464D30">
        <w:rPr>
          <w:rFonts w:ascii="Palatino Linotype" w:hAnsi="Palatino Linotype" w:cs="Times New Roman"/>
          <w:sz w:val="20"/>
          <w:szCs w:val="20"/>
        </w:rPr>
        <w:lastRenderedPageBreak/>
        <w:t>different species and both sexes would enhance the generalizability of findings, contributing to a more comprehensive understanding of air pollution's impact on health.</w:t>
      </w:r>
    </w:p>
    <w:p w14:paraId="3B7C57AD" w14:textId="0B9361DA" w:rsidR="00464D30" w:rsidRPr="0074157A" w:rsidRDefault="00464D30" w:rsidP="00FA39B0">
      <w:pPr>
        <w:spacing w:line="480" w:lineRule="auto"/>
        <w:jc w:val="both"/>
        <w:rPr>
          <w:rFonts w:ascii="Palatino Linotype" w:hAnsi="Palatino Linotype" w:cs="Times New Roman"/>
          <w:b/>
          <w:bCs/>
          <w:sz w:val="20"/>
          <w:szCs w:val="20"/>
        </w:rPr>
      </w:pPr>
      <w:r w:rsidRPr="0074157A">
        <w:rPr>
          <w:rFonts w:ascii="Palatino Linotype" w:hAnsi="Palatino Linotype" w:cs="Times New Roman"/>
          <w:b/>
          <w:bCs/>
          <w:sz w:val="20"/>
          <w:szCs w:val="20"/>
        </w:rPr>
        <w:t>CONCLUSION</w:t>
      </w:r>
    </w:p>
    <w:p w14:paraId="2AA49E3A" w14:textId="77777777" w:rsidR="0074157A" w:rsidRDefault="0074157A" w:rsidP="0074157A">
      <w:pPr>
        <w:spacing w:line="480" w:lineRule="auto"/>
        <w:jc w:val="both"/>
        <w:rPr>
          <w:rFonts w:ascii="Palatino Linotype" w:hAnsi="Palatino Linotype" w:cs="Times New Roman"/>
          <w:sz w:val="20"/>
          <w:szCs w:val="20"/>
        </w:rPr>
      </w:pPr>
      <w:r w:rsidRPr="0074157A">
        <w:rPr>
          <w:rFonts w:ascii="Palatino Linotype" w:hAnsi="Palatino Linotype" w:cs="Times New Roman"/>
          <w:sz w:val="20"/>
          <w:szCs w:val="20"/>
        </w:rPr>
        <w:t xml:space="preserve">This study demonstrates that exposure to Carbon Soot Particulate Matter (PM2.5) adversely affects the health of Wistar rats, evidenced by significant weight loss and cerebellar structural damage. The control group exhibited normal growth patterns, while experimental groups exposed to varying PM2.5 concentrations experienced progressive weight reduction over four weeks. Histological analyses revealed dose-dependent cerebellar degeneration, with increased cellular damage correlating with higher PM2.5 exposure levels. These findings </w:t>
      </w:r>
      <w:r>
        <w:rPr>
          <w:rFonts w:ascii="Palatino Linotype" w:hAnsi="Palatino Linotype" w:cs="Times New Roman"/>
          <w:sz w:val="20"/>
          <w:szCs w:val="20"/>
        </w:rPr>
        <w:t>highlight</w:t>
      </w:r>
      <w:r w:rsidRPr="0074157A">
        <w:rPr>
          <w:rFonts w:ascii="Palatino Linotype" w:hAnsi="Palatino Linotype" w:cs="Times New Roman"/>
          <w:sz w:val="20"/>
          <w:szCs w:val="20"/>
        </w:rPr>
        <w:t xml:space="preserve"> the potential systemic and neurological risks associated with PM2.5 inhalation, </w:t>
      </w:r>
      <w:r>
        <w:rPr>
          <w:rFonts w:ascii="Palatino Linotype" w:hAnsi="Palatino Linotype" w:cs="Times New Roman"/>
          <w:sz w:val="20"/>
          <w:szCs w:val="20"/>
        </w:rPr>
        <w:t xml:space="preserve">and </w:t>
      </w:r>
      <w:r w:rsidRPr="0074157A">
        <w:rPr>
          <w:rFonts w:ascii="Palatino Linotype" w:hAnsi="Palatino Linotype" w:cs="Times New Roman"/>
          <w:sz w:val="20"/>
          <w:szCs w:val="20"/>
        </w:rPr>
        <w:t>the need for further research into its health implications and the development of strategies to mitigate exposure.</w:t>
      </w:r>
    </w:p>
    <w:p w14:paraId="2FC99BAA" w14:textId="5FAD8A3A" w:rsidR="0074157A" w:rsidRPr="0074157A" w:rsidRDefault="0074157A" w:rsidP="0074157A">
      <w:pPr>
        <w:spacing w:line="480" w:lineRule="auto"/>
        <w:jc w:val="both"/>
        <w:rPr>
          <w:rFonts w:ascii="Palatino Linotype" w:hAnsi="Palatino Linotype" w:cs="Times New Roman"/>
          <w:b/>
          <w:bCs/>
          <w:sz w:val="20"/>
          <w:szCs w:val="20"/>
        </w:rPr>
      </w:pPr>
      <w:r w:rsidRPr="0074157A">
        <w:rPr>
          <w:rFonts w:ascii="Palatino Linotype" w:hAnsi="Palatino Linotype" w:cs="Times New Roman"/>
          <w:b/>
          <w:bCs/>
          <w:sz w:val="20"/>
          <w:szCs w:val="20"/>
        </w:rPr>
        <w:t>Conflict of interest</w:t>
      </w:r>
    </w:p>
    <w:p w14:paraId="58A7F80E" w14:textId="69C90B05" w:rsidR="0074157A" w:rsidRPr="0074157A" w:rsidRDefault="0074157A" w:rsidP="0074157A">
      <w:pPr>
        <w:spacing w:line="480" w:lineRule="auto"/>
        <w:jc w:val="both"/>
        <w:rPr>
          <w:rFonts w:ascii="Palatino Linotype" w:hAnsi="Palatino Linotype" w:cs="Times New Roman"/>
          <w:sz w:val="20"/>
          <w:szCs w:val="20"/>
        </w:rPr>
      </w:pPr>
      <w:r>
        <w:rPr>
          <w:rFonts w:ascii="Palatino Linotype" w:hAnsi="Palatino Linotype" w:cs="Times New Roman"/>
          <w:sz w:val="20"/>
          <w:szCs w:val="20"/>
        </w:rPr>
        <w:t>Authors declare no conflict of interest exist</w:t>
      </w:r>
    </w:p>
    <w:p w14:paraId="5CEBDD69" w14:textId="5EE9D62A" w:rsidR="0074157A" w:rsidRDefault="0074157A" w:rsidP="0074157A">
      <w:pPr>
        <w:spacing w:line="480" w:lineRule="auto"/>
        <w:jc w:val="both"/>
        <w:rPr>
          <w:rFonts w:ascii="Palatino Linotype" w:hAnsi="Palatino Linotype" w:cs="Times New Roman"/>
          <w:sz w:val="20"/>
          <w:szCs w:val="20"/>
        </w:rPr>
      </w:pPr>
      <w:r w:rsidRPr="001831A5">
        <w:rPr>
          <w:rFonts w:ascii="Palatino Linotype" w:hAnsi="Palatino Linotype" w:cs="Times New Roman"/>
          <w:b/>
          <w:bCs/>
          <w:sz w:val="20"/>
          <w:szCs w:val="20"/>
        </w:rPr>
        <w:t>COMPETING INTERESTS DISCLAIMER</w:t>
      </w:r>
    </w:p>
    <w:p w14:paraId="3812FD55" w14:textId="06AAAE42" w:rsidR="0074157A" w:rsidRPr="0074157A" w:rsidRDefault="0074157A" w:rsidP="0074157A">
      <w:pPr>
        <w:spacing w:line="480" w:lineRule="auto"/>
        <w:jc w:val="both"/>
        <w:rPr>
          <w:rFonts w:ascii="Palatino Linotype" w:hAnsi="Palatino Linotype" w:cs="Times New Roman"/>
          <w:sz w:val="20"/>
          <w:szCs w:val="20"/>
        </w:rPr>
      </w:pPr>
      <w:r w:rsidRPr="001831A5">
        <w:rPr>
          <w:rFonts w:ascii="Palatino Linotype" w:hAnsi="Palatino Linotype" w:cs="Times New Roman"/>
          <w:sz w:val="20"/>
          <w:szCs w:val="20"/>
        </w:rPr>
        <w:t>Authors have declared that they have no known competing financial interests OR non-financial interests OR personal relationships that could have appeared to influence the work reported in this paper.</w:t>
      </w:r>
    </w:p>
    <w:p w14:paraId="74E58819" w14:textId="2B1C49F6" w:rsidR="00DA7E14" w:rsidRPr="00DA7E14" w:rsidRDefault="00DA7E14" w:rsidP="00FA39B0">
      <w:pPr>
        <w:spacing w:line="480" w:lineRule="auto"/>
        <w:jc w:val="both"/>
        <w:rPr>
          <w:rFonts w:ascii="Palatino Linotype" w:hAnsi="Palatino Linotype" w:cs="Times New Roman"/>
          <w:b/>
          <w:bCs/>
          <w:sz w:val="20"/>
          <w:szCs w:val="20"/>
        </w:rPr>
      </w:pPr>
      <w:r w:rsidRPr="00DA7E14">
        <w:rPr>
          <w:rFonts w:ascii="Palatino Linotype" w:hAnsi="Palatino Linotype" w:cs="Times New Roman"/>
          <w:b/>
          <w:bCs/>
          <w:sz w:val="20"/>
          <w:szCs w:val="20"/>
        </w:rPr>
        <w:t>REFERENCES</w:t>
      </w:r>
    </w:p>
    <w:p w14:paraId="472B9DCB"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Ana, G. R. (2011). Air pollution in the Niger Delta area: Scope, challenges and remedies. In M. K. </w:t>
      </w:r>
      <w:proofErr w:type="spellStart"/>
      <w:r w:rsidRPr="00DD5FF7">
        <w:rPr>
          <w:rFonts w:ascii="Palatino Linotype" w:hAnsi="Palatino Linotype" w:cs="Times New Roman"/>
          <w:sz w:val="20"/>
          <w:szCs w:val="20"/>
        </w:rPr>
        <w:t>Khallaf</w:t>
      </w:r>
      <w:proofErr w:type="spellEnd"/>
      <w:r w:rsidRPr="00DD5FF7">
        <w:rPr>
          <w:rFonts w:ascii="Palatino Linotype" w:hAnsi="Palatino Linotype" w:cs="Times New Roman"/>
          <w:sz w:val="20"/>
          <w:szCs w:val="20"/>
        </w:rPr>
        <w:t xml:space="preserve"> (Ed.), </w:t>
      </w:r>
      <w:r w:rsidRPr="00DD5FF7">
        <w:rPr>
          <w:rFonts w:ascii="Palatino Linotype" w:hAnsi="Palatino Linotype" w:cs="Times New Roman"/>
          <w:i/>
          <w:iCs/>
          <w:sz w:val="20"/>
          <w:szCs w:val="20"/>
        </w:rPr>
        <w:t>The impact of air pollution on health, economy, environment and agricultural sources</w:t>
      </w:r>
      <w:r w:rsidRPr="00DD5FF7">
        <w:rPr>
          <w:rFonts w:ascii="Palatino Linotype" w:hAnsi="Palatino Linotype" w:cs="Times New Roman"/>
          <w:sz w:val="20"/>
          <w:szCs w:val="20"/>
        </w:rPr>
        <w:t xml:space="preserve"> (pp. 181-198). </w:t>
      </w:r>
      <w:proofErr w:type="spellStart"/>
      <w:r w:rsidRPr="00DD5FF7">
        <w:rPr>
          <w:rFonts w:ascii="Palatino Linotype" w:hAnsi="Palatino Linotype" w:cs="Times New Roman"/>
          <w:sz w:val="20"/>
          <w:szCs w:val="20"/>
        </w:rPr>
        <w:t>InTech</w:t>
      </w:r>
      <w:proofErr w:type="spellEnd"/>
      <w:r w:rsidRPr="00DD5FF7">
        <w:rPr>
          <w:rFonts w:ascii="Palatino Linotype" w:hAnsi="Palatino Linotype" w:cs="Times New Roman"/>
          <w:sz w:val="20"/>
          <w:szCs w:val="20"/>
        </w:rPr>
        <w:t>. </w:t>
      </w:r>
      <w:hyperlink r:id="rId21" w:tgtFrame="_blank" w:history="1">
        <w:r w:rsidRPr="00DD5FF7">
          <w:rPr>
            <w:rStyle w:val="Hyperlink"/>
            <w:rFonts w:ascii="Palatino Linotype" w:hAnsi="Palatino Linotype" w:cs="Times New Roman"/>
            <w:sz w:val="20"/>
            <w:szCs w:val="20"/>
          </w:rPr>
          <w:t>https://doi.org/10.5772/17831</w:t>
        </w:r>
      </w:hyperlink>
    </w:p>
    <w:p w14:paraId="6F514418"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cs="Times New Roman"/>
          <w:sz w:val="20"/>
          <w:szCs w:val="20"/>
        </w:rPr>
        <w:t>Aroh</w:t>
      </w:r>
      <w:proofErr w:type="spellEnd"/>
      <w:r w:rsidRPr="00DD5FF7">
        <w:rPr>
          <w:rFonts w:ascii="Palatino Linotype" w:hAnsi="Palatino Linotype" w:cs="Times New Roman"/>
          <w:sz w:val="20"/>
          <w:szCs w:val="20"/>
        </w:rPr>
        <w:t xml:space="preserve">, K. N., </w:t>
      </w:r>
      <w:proofErr w:type="spellStart"/>
      <w:r w:rsidRPr="00DD5FF7">
        <w:rPr>
          <w:rFonts w:ascii="Palatino Linotype" w:hAnsi="Palatino Linotype" w:cs="Times New Roman"/>
          <w:sz w:val="20"/>
          <w:szCs w:val="20"/>
        </w:rPr>
        <w:t>Ubong</w:t>
      </w:r>
      <w:proofErr w:type="spellEnd"/>
      <w:r w:rsidRPr="00DD5FF7">
        <w:rPr>
          <w:rFonts w:ascii="Palatino Linotype" w:hAnsi="Palatino Linotype" w:cs="Times New Roman"/>
          <w:sz w:val="20"/>
          <w:szCs w:val="20"/>
        </w:rPr>
        <w:t xml:space="preserve">, I. U., </w:t>
      </w:r>
      <w:proofErr w:type="spellStart"/>
      <w:r w:rsidRPr="00DD5FF7">
        <w:rPr>
          <w:rFonts w:ascii="Palatino Linotype" w:hAnsi="Palatino Linotype" w:cs="Times New Roman"/>
          <w:sz w:val="20"/>
          <w:szCs w:val="20"/>
        </w:rPr>
        <w:t>Eze</w:t>
      </w:r>
      <w:proofErr w:type="spellEnd"/>
      <w:r w:rsidRPr="00DD5FF7">
        <w:rPr>
          <w:rFonts w:ascii="Palatino Linotype" w:hAnsi="Palatino Linotype" w:cs="Times New Roman"/>
          <w:sz w:val="20"/>
          <w:szCs w:val="20"/>
        </w:rPr>
        <w:t xml:space="preserve">, C. L., Harry, I. M., </w:t>
      </w:r>
      <w:proofErr w:type="spellStart"/>
      <w:r w:rsidRPr="00DD5FF7">
        <w:rPr>
          <w:rFonts w:ascii="Palatino Linotype" w:hAnsi="Palatino Linotype" w:cs="Times New Roman"/>
          <w:sz w:val="20"/>
          <w:szCs w:val="20"/>
        </w:rPr>
        <w:t>Umo-Otong</w:t>
      </w:r>
      <w:proofErr w:type="spellEnd"/>
      <w:r w:rsidRPr="00DD5FF7">
        <w:rPr>
          <w:rFonts w:ascii="Palatino Linotype" w:hAnsi="Palatino Linotype" w:cs="Times New Roman"/>
          <w:sz w:val="20"/>
          <w:szCs w:val="20"/>
        </w:rPr>
        <w:t xml:space="preserve">, J. C., &amp; Gobo, A. E. (2010). Oil spill incidents and pipeline vandalization in Nigeria: Impact on public health and negation to attainment of Millennium Development Goal: The </w:t>
      </w:r>
      <w:proofErr w:type="spellStart"/>
      <w:r w:rsidRPr="00DD5FF7">
        <w:rPr>
          <w:rFonts w:ascii="Palatino Linotype" w:hAnsi="Palatino Linotype" w:cs="Times New Roman"/>
          <w:sz w:val="20"/>
          <w:szCs w:val="20"/>
        </w:rPr>
        <w:t>Ishiagu</w:t>
      </w:r>
      <w:proofErr w:type="spellEnd"/>
      <w:r w:rsidRPr="00DD5FF7">
        <w:rPr>
          <w:rFonts w:ascii="Palatino Linotype" w:hAnsi="Palatino Linotype" w:cs="Times New Roman"/>
          <w:sz w:val="20"/>
          <w:szCs w:val="20"/>
        </w:rPr>
        <w:t xml:space="preserve"> example. </w:t>
      </w:r>
      <w:r w:rsidRPr="00DD5FF7">
        <w:rPr>
          <w:rFonts w:ascii="Palatino Linotype" w:hAnsi="Palatino Linotype" w:cs="Times New Roman"/>
          <w:i/>
          <w:iCs/>
          <w:sz w:val="20"/>
          <w:szCs w:val="20"/>
        </w:rPr>
        <w:t>Disaster Prevention and Management, 19</w:t>
      </w:r>
      <w:r w:rsidRPr="00DD5FF7">
        <w:rPr>
          <w:rFonts w:ascii="Palatino Linotype" w:hAnsi="Palatino Linotype" w:cs="Times New Roman"/>
          <w:sz w:val="20"/>
          <w:szCs w:val="20"/>
        </w:rPr>
        <w:t>(1), 70-87. </w:t>
      </w:r>
      <w:hyperlink r:id="rId22" w:tgtFrame="_blank" w:history="1">
        <w:r w:rsidRPr="00DD5FF7">
          <w:rPr>
            <w:rStyle w:val="Hyperlink"/>
            <w:rFonts w:ascii="Palatino Linotype" w:hAnsi="Palatino Linotype" w:cs="Times New Roman"/>
            <w:sz w:val="20"/>
            <w:szCs w:val="20"/>
          </w:rPr>
          <w:t>https://doi.org/10.1108/09653561011022153</w:t>
        </w:r>
      </w:hyperlink>
    </w:p>
    <w:p w14:paraId="1BAE3446"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cs="Times New Roman"/>
          <w:sz w:val="20"/>
          <w:szCs w:val="20"/>
        </w:rPr>
        <w:lastRenderedPageBreak/>
        <w:t>Bahreynian</w:t>
      </w:r>
      <w:proofErr w:type="spellEnd"/>
      <w:r w:rsidRPr="00DD5FF7">
        <w:rPr>
          <w:rFonts w:ascii="Palatino Linotype" w:hAnsi="Palatino Linotype" w:cs="Times New Roman"/>
          <w:sz w:val="20"/>
          <w:szCs w:val="20"/>
        </w:rPr>
        <w:t xml:space="preserve">, M., </w:t>
      </w:r>
      <w:proofErr w:type="spellStart"/>
      <w:r w:rsidRPr="00DD5FF7">
        <w:rPr>
          <w:rFonts w:ascii="Palatino Linotype" w:hAnsi="Palatino Linotype" w:cs="Times New Roman"/>
          <w:sz w:val="20"/>
          <w:szCs w:val="20"/>
        </w:rPr>
        <w:t>Mansourian</w:t>
      </w:r>
      <w:proofErr w:type="spellEnd"/>
      <w:r w:rsidRPr="00DD5FF7">
        <w:rPr>
          <w:rFonts w:ascii="Palatino Linotype" w:hAnsi="Palatino Linotype" w:cs="Times New Roman"/>
          <w:sz w:val="20"/>
          <w:szCs w:val="20"/>
        </w:rPr>
        <w:t xml:space="preserve">, M., </w:t>
      </w:r>
      <w:proofErr w:type="spellStart"/>
      <w:r w:rsidRPr="00DD5FF7">
        <w:rPr>
          <w:rFonts w:ascii="Palatino Linotype" w:hAnsi="Palatino Linotype" w:cs="Times New Roman"/>
          <w:sz w:val="20"/>
          <w:szCs w:val="20"/>
        </w:rPr>
        <w:t>Mozaffarian</w:t>
      </w:r>
      <w:proofErr w:type="spellEnd"/>
      <w:r w:rsidRPr="00DD5FF7">
        <w:rPr>
          <w:rFonts w:ascii="Palatino Linotype" w:hAnsi="Palatino Linotype" w:cs="Times New Roman"/>
          <w:sz w:val="20"/>
          <w:szCs w:val="20"/>
        </w:rPr>
        <w:t xml:space="preserve">, N., </w:t>
      </w:r>
      <w:proofErr w:type="spellStart"/>
      <w:r w:rsidRPr="00DD5FF7">
        <w:rPr>
          <w:rFonts w:ascii="Palatino Linotype" w:hAnsi="Palatino Linotype" w:cs="Times New Roman"/>
          <w:sz w:val="20"/>
          <w:szCs w:val="20"/>
        </w:rPr>
        <w:t>Poursafa</w:t>
      </w:r>
      <w:proofErr w:type="spellEnd"/>
      <w:r w:rsidRPr="00DD5FF7">
        <w:rPr>
          <w:rFonts w:ascii="Palatino Linotype" w:hAnsi="Palatino Linotype" w:cs="Times New Roman"/>
          <w:sz w:val="20"/>
          <w:szCs w:val="20"/>
        </w:rPr>
        <w:t xml:space="preserve">, P., </w:t>
      </w:r>
      <w:proofErr w:type="spellStart"/>
      <w:r w:rsidRPr="00DD5FF7">
        <w:rPr>
          <w:rFonts w:ascii="Palatino Linotype" w:hAnsi="Palatino Linotype" w:cs="Times New Roman"/>
          <w:sz w:val="20"/>
          <w:szCs w:val="20"/>
        </w:rPr>
        <w:t>Khoshhali</w:t>
      </w:r>
      <w:proofErr w:type="spellEnd"/>
      <w:r w:rsidRPr="00DD5FF7">
        <w:rPr>
          <w:rFonts w:ascii="Palatino Linotype" w:hAnsi="Palatino Linotype" w:cs="Times New Roman"/>
          <w:sz w:val="20"/>
          <w:szCs w:val="20"/>
        </w:rPr>
        <w:t xml:space="preserve">, M., &amp; </w:t>
      </w:r>
      <w:proofErr w:type="spellStart"/>
      <w:r w:rsidRPr="00DD5FF7">
        <w:rPr>
          <w:rFonts w:ascii="Palatino Linotype" w:hAnsi="Palatino Linotype" w:cs="Times New Roman"/>
          <w:sz w:val="20"/>
          <w:szCs w:val="20"/>
        </w:rPr>
        <w:t>Kelishadi</w:t>
      </w:r>
      <w:proofErr w:type="spellEnd"/>
      <w:r w:rsidRPr="00DD5FF7">
        <w:rPr>
          <w:rFonts w:ascii="Palatino Linotype" w:hAnsi="Palatino Linotype" w:cs="Times New Roman"/>
          <w:sz w:val="20"/>
          <w:szCs w:val="20"/>
        </w:rPr>
        <w:t>, R. (2020). The association between exposure to ambient particulate matter and childhood obesity: A systematic review and meta-analysis. </w:t>
      </w:r>
      <w:r w:rsidRPr="00DD5FF7">
        <w:rPr>
          <w:rFonts w:ascii="Palatino Linotype" w:hAnsi="Palatino Linotype" w:cs="Times New Roman"/>
          <w:i/>
          <w:iCs/>
          <w:sz w:val="20"/>
          <w:szCs w:val="20"/>
        </w:rPr>
        <w:t>Journal of Pediatrics Review, 8</w:t>
      </w:r>
      <w:r w:rsidRPr="00DD5FF7">
        <w:rPr>
          <w:rFonts w:ascii="Palatino Linotype" w:hAnsi="Palatino Linotype" w:cs="Times New Roman"/>
          <w:sz w:val="20"/>
          <w:szCs w:val="20"/>
        </w:rPr>
        <w:t>(1), 1-14. </w:t>
      </w:r>
      <w:hyperlink r:id="rId23" w:tgtFrame="_blank" w:history="1">
        <w:r w:rsidRPr="00DD5FF7">
          <w:rPr>
            <w:rStyle w:val="Hyperlink"/>
            <w:rFonts w:ascii="Palatino Linotype" w:hAnsi="Palatino Linotype" w:cs="Times New Roman"/>
            <w:sz w:val="20"/>
            <w:szCs w:val="20"/>
          </w:rPr>
          <w:t>https://doi.org/10.32598/jpr.8.1.1</w:t>
        </w:r>
      </w:hyperlink>
    </w:p>
    <w:p w14:paraId="0518161C"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Block, M. L., &amp; Calderón-</w:t>
      </w:r>
      <w:proofErr w:type="spellStart"/>
      <w:r w:rsidRPr="00DD5FF7">
        <w:rPr>
          <w:rFonts w:ascii="Palatino Linotype" w:hAnsi="Palatino Linotype" w:cs="Times New Roman"/>
          <w:sz w:val="20"/>
          <w:szCs w:val="20"/>
        </w:rPr>
        <w:t>Garcidueñas</w:t>
      </w:r>
      <w:proofErr w:type="spellEnd"/>
      <w:r w:rsidRPr="00DD5FF7">
        <w:rPr>
          <w:rFonts w:ascii="Palatino Linotype" w:hAnsi="Palatino Linotype" w:cs="Times New Roman"/>
          <w:sz w:val="20"/>
          <w:szCs w:val="20"/>
        </w:rPr>
        <w:t>, L. (2009). Air pollution: Mechanisms of neuroinflammation and CNS disease. </w:t>
      </w:r>
      <w:r w:rsidRPr="00DD5FF7">
        <w:rPr>
          <w:rFonts w:ascii="Palatino Linotype" w:hAnsi="Palatino Linotype" w:cs="Times New Roman"/>
          <w:i/>
          <w:iCs/>
          <w:sz w:val="20"/>
          <w:szCs w:val="20"/>
        </w:rPr>
        <w:t>Trends in Neurosciences, 32</w:t>
      </w:r>
      <w:r w:rsidRPr="00DD5FF7">
        <w:rPr>
          <w:rFonts w:ascii="Palatino Linotype" w:hAnsi="Palatino Linotype" w:cs="Times New Roman"/>
          <w:sz w:val="20"/>
          <w:szCs w:val="20"/>
        </w:rPr>
        <w:t>(9), 506-516. </w:t>
      </w:r>
      <w:hyperlink r:id="rId24" w:tgtFrame="_blank" w:history="1">
        <w:r w:rsidRPr="00DD5FF7">
          <w:rPr>
            <w:rStyle w:val="Hyperlink"/>
            <w:rFonts w:ascii="Palatino Linotype" w:hAnsi="Palatino Linotype" w:cs="Times New Roman"/>
            <w:sz w:val="20"/>
            <w:szCs w:val="20"/>
          </w:rPr>
          <w:t>https://doi.org/10.1016/j.tins.2009.05.009</w:t>
        </w:r>
      </w:hyperlink>
    </w:p>
    <w:p w14:paraId="0814D7E3"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cs="Times New Roman"/>
          <w:sz w:val="20"/>
          <w:szCs w:val="20"/>
        </w:rPr>
        <w:t>Brockmeyer</w:t>
      </w:r>
      <w:proofErr w:type="spellEnd"/>
      <w:r w:rsidRPr="00DD5FF7">
        <w:rPr>
          <w:rFonts w:ascii="Palatino Linotype" w:hAnsi="Palatino Linotype" w:cs="Times New Roman"/>
          <w:sz w:val="20"/>
          <w:szCs w:val="20"/>
        </w:rPr>
        <w:t xml:space="preserve">, S., &amp; </w:t>
      </w:r>
      <w:proofErr w:type="spellStart"/>
      <w:r w:rsidRPr="00DD5FF7">
        <w:rPr>
          <w:rFonts w:ascii="Palatino Linotype" w:hAnsi="Palatino Linotype" w:cs="Times New Roman"/>
          <w:sz w:val="20"/>
          <w:szCs w:val="20"/>
        </w:rPr>
        <w:t>D'Angiulli</w:t>
      </w:r>
      <w:proofErr w:type="spellEnd"/>
      <w:r w:rsidRPr="00DD5FF7">
        <w:rPr>
          <w:rFonts w:ascii="Palatino Linotype" w:hAnsi="Palatino Linotype" w:cs="Times New Roman"/>
          <w:sz w:val="20"/>
          <w:szCs w:val="20"/>
        </w:rPr>
        <w:t>, A. (2016). How air pollution alters brain development: The role of neuroinflammation. </w:t>
      </w:r>
      <w:r w:rsidRPr="00DD5FF7">
        <w:rPr>
          <w:rFonts w:ascii="Palatino Linotype" w:hAnsi="Palatino Linotype" w:cs="Times New Roman"/>
          <w:i/>
          <w:iCs/>
          <w:sz w:val="20"/>
          <w:szCs w:val="20"/>
        </w:rPr>
        <w:t>Translational Neuroscience, 7</w:t>
      </w:r>
      <w:r w:rsidRPr="00DD5FF7">
        <w:rPr>
          <w:rFonts w:ascii="Palatino Linotype" w:hAnsi="Palatino Linotype" w:cs="Times New Roman"/>
          <w:sz w:val="20"/>
          <w:szCs w:val="20"/>
        </w:rPr>
        <w:t>(1), 24-30. </w:t>
      </w:r>
      <w:hyperlink r:id="rId25" w:tgtFrame="_blank" w:history="1">
        <w:r w:rsidRPr="00DD5FF7">
          <w:rPr>
            <w:rStyle w:val="Hyperlink"/>
            <w:rFonts w:ascii="Palatino Linotype" w:hAnsi="Palatino Linotype" w:cs="Times New Roman"/>
            <w:sz w:val="20"/>
            <w:szCs w:val="20"/>
          </w:rPr>
          <w:t>https://doi.org/10.1515/tnsci-2016-0005</w:t>
        </w:r>
      </w:hyperlink>
    </w:p>
    <w:p w14:paraId="22AADD48"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Calderón-</w:t>
      </w:r>
      <w:proofErr w:type="spellStart"/>
      <w:r w:rsidRPr="00DD5FF7">
        <w:rPr>
          <w:rFonts w:ascii="Palatino Linotype" w:hAnsi="Palatino Linotype" w:cs="Times New Roman"/>
          <w:sz w:val="20"/>
          <w:szCs w:val="20"/>
        </w:rPr>
        <w:t>Garcidueñas</w:t>
      </w:r>
      <w:proofErr w:type="spellEnd"/>
      <w:r w:rsidRPr="00DD5FF7">
        <w:rPr>
          <w:rFonts w:ascii="Palatino Linotype" w:hAnsi="Palatino Linotype" w:cs="Times New Roman"/>
          <w:sz w:val="20"/>
          <w:szCs w:val="20"/>
        </w:rPr>
        <w:t xml:space="preserve">, L., </w:t>
      </w:r>
      <w:proofErr w:type="spellStart"/>
      <w:r w:rsidRPr="00DD5FF7">
        <w:rPr>
          <w:rFonts w:ascii="Palatino Linotype" w:hAnsi="Palatino Linotype" w:cs="Times New Roman"/>
          <w:sz w:val="20"/>
          <w:szCs w:val="20"/>
        </w:rPr>
        <w:t>D'Angiulli</w:t>
      </w:r>
      <w:proofErr w:type="spellEnd"/>
      <w:r w:rsidRPr="00DD5FF7">
        <w:rPr>
          <w:rFonts w:ascii="Palatino Linotype" w:hAnsi="Palatino Linotype" w:cs="Times New Roman"/>
          <w:sz w:val="20"/>
          <w:szCs w:val="20"/>
        </w:rPr>
        <w:t xml:space="preserve">, A., </w:t>
      </w:r>
      <w:proofErr w:type="spellStart"/>
      <w:r w:rsidRPr="00DD5FF7">
        <w:rPr>
          <w:rFonts w:ascii="Palatino Linotype" w:hAnsi="Palatino Linotype" w:cs="Times New Roman"/>
          <w:sz w:val="20"/>
          <w:szCs w:val="20"/>
        </w:rPr>
        <w:t>Kulesza</w:t>
      </w:r>
      <w:proofErr w:type="spellEnd"/>
      <w:r w:rsidRPr="00DD5FF7">
        <w:rPr>
          <w:rFonts w:ascii="Palatino Linotype" w:hAnsi="Palatino Linotype" w:cs="Times New Roman"/>
          <w:sz w:val="20"/>
          <w:szCs w:val="20"/>
        </w:rPr>
        <w:t>, R. J., Torres-</w:t>
      </w:r>
      <w:proofErr w:type="spellStart"/>
      <w:r w:rsidRPr="00DD5FF7">
        <w:rPr>
          <w:rFonts w:ascii="Palatino Linotype" w:hAnsi="Palatino Linotype" w:cs="Times New Roman"/>
          <w:sz w:val="20"/>
          <w:szCs w:val="20"/>
        </w:rPr>
        <w:t>Jardón</w:t>
      </w:r>
      <w:proofErr w:type="spellEnd"/>
      <w:r w:rsidRPr="00DD5FF7">
        <w:rPr>
          <w:rFonts w:ascii="Palatino Linotype" w:hAnsi="Palatino Linotype" w:cs="Times New Roman"/>
          <w:sz w:val="20"/>
          <w:szCs w:val="20"/>
        </w:rPr>
        <w:t xml:space="preserve">, R., </w:t>
      </w:r>
      <w:proofErr w:type="spellStart"/>
      <w:r w:rsidRPr="00DD5FF7">
        <w:rPr>
          <w:rFonts w:ascii="Palatino Linotype" w:hAnsi="Palatino Linotype" w:cs="Times New Roman"/>
          <w:sz w:val="20"/>
          <w:szCs w:val="20"/>
        </w:rPr>
        <w:t>Osnaya</w:t>
      </w:r>
      <w:proofErr w:type="spellEnd"/>
      <w:r w:rsidRPr="00DD5FF7">
        <w:rPr>
          <w:rFonts w:ascii="Palatino Linotype" w:hAnsi="Palatino Linotype" w:cs="Times New Roman"/>
          <w:sz w:val="20"/>
          <w:szCs w:val="20"/>
        </w:rPr>
        <w:t xml:space="preserve">, N., Romero, L., Keefe, S., </w:t>
      </w:r>
      <w:proofErr w:type="spellStart"/>
      <w:r w:rsidRPr="00DD5FF7">
        <w:rPr>
          <w:rFonts w:ascii="Palatino Linotype" w:hAnsi="Palatino Linotype" w:cs="Times New Roman"/>
          <w:sz w:val="20"/>
          <w:szCs w:val="20"/>
        </w:rPr>
        <w:t>Herritt</w:t>
      </w:r>
      <w:proofErr w:type="spellEnd"/>
      <w:r w:rsidRPr="00DD5FF7">
        <w:rPr>
          <w:rFonts w:ascii="Palatino Linotype" w:hAnsi="Palatino Linotype" w:cs="Times New Roman"/>
          <w:sz w:val="20"/>
          <w:szCs w:val="20"/>
        </w:rPr>
        <w:t>, L., Brooks, D. M., Avila-Ramirez, J., Delgado-Chávez, R., Medina-Cortina, H., &amp; González-González, L. O. (2011). Air pollution is associated with brainstem auditory nuclei pathology and delayed brainstem auditory evoked potentials. </w:t>
      </w:r>
      <w:r w:rsidRPr="00DD5FF7">
        <w:rPr>
          <w:rFonts w:ascii="Palatino Linotype" w:hAnsi="Palatino Linotype" w:cs="Times New Roman"/>
          <w:i/>
          <w:iCs/>
          <w:sz w:val="20"/>
          <w:szCs w:val="20"/>
        </w:rPr>
        <w:t>International Journal of Developmental Neuroscience, 29</w:t>
      </w:r>
      <w:r w:rsidRPr="00DD5FF7">
        <w:rPr>
          <w:rFonts w:ascii="Palatino Linotype" w:hAnsi="Palatino Linotype" w:cs="Times New Roman"/>
          <w:sz w:val="20"/>
          <w:szCs w:val="20"/>
        </w:rPr>
        <w:t>(4), 365-375. </w:t>
      </w:r>
      <w:hyperlink r:id="rId26" w:tgtFrame="_blank" w:history="1">
        <w:r w:rsidRPr="00DD5FF7">
          <w:rPr>
            <w:rStyle w:val="Hyperlink"/>
            <w:rFonts w:ascii="Palatino Linotype" w:hAnsi="Palatino Linotype" w:cs="Times New Roman"/>
            <w:sz w:val="20"/>
            <w:szCs w:val="20"/>
          </w:rPr>
          <w:t>https://doi.org/10.1016/j.ijdevneu.2011.03.007</w:t>
        </w:r>
      </w:hyperlink>
    </w:p>
    <w:p w14:paraId="0FF7E761"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Chen, W., Chen, S., Zhao, L., Zhang, M., </w:t>
      </w:r>
      <w:proofErr w:type="spellStart"/>
      <w:r w:rsidRPr="00DD5FF7">
        <w:rPr>
          <w:rFonts w:ascii="Palatino Linotype" w:hAnsi="Palatino Linotype" w:cs="Times New Roman"/>
          <w:sz w:val="20"/>
          <w:szCs w:val="20"/>
        </w:rPr>
        <w:t>Geng</w:t>
      </w:r>
      <w:proofErr w:type="spellEnd"/>
      <w:r w:rsidRPr="00DD5FF7">
        <w:rPr>
          <w:rFonts w:ascii="Palatino Linotype" w:hAnsi="Palatino Linotype" w:cs="Times New Roman"/>
          <w:sz w:val="20"/>
          <w:szCs w:val="20"/>
        </w:rPr>
        <w:t>, H., Dong, C., &amp; Li, R. (2022). Effects of real-ambient PM2.5 exposure plus lipopolysaccharide on multiple organ damage in mice. </w:t>
      </w:r>
      <w:r w:rsidRPr="00DD5FF7">
        <w:rPr>
          <w:rFonts w:ascii="Palatino Linotype" w:hAnsi="Palatino Linotype" w:cs="Times New Roman"/>
          <w:i/>
          <w:iCs/>
          <w:sz w:val="20"/>
          <w:szCs w:val="20"/>
        </w:rPr>
        <w:t>Human &amp; Experimental Toxicology, 41</w:t>
      </w:r>
      <w:r w:rsidRPr="00DD5FF7">
        <w:rPr>
          <w:rFonts w:ascii="Palatino Linotype" w:hAnsi="Palatino Linotype" w:cs="Times New Roman"/>
          <w:sz w:val="20"/>
          <w:szCs w:val="20"/>
        </w:rPr>
        <w:t>. </w:t>
      </w:r>
      <w:hyperlink r:id="rId27" w:tgtFrame="_blank" w:history="1">
        <w:r w:rsidRPr="00DD5FF7">
          <w:rPr>
            <w:rStyle w:val="Hyperlink"/>
            <w:rFonts w:ascii="Palatino Linotype" w:hAnsi="Palatino Linotype" w:cs="Times New Roman"/>
            <w:sz w:val="20"/>
            <w:szCs w:val="20"/>
          </w:rPr>
          <w:t>https://doi.org/10.1177/09603271211061505</w:t>
        </w:r>
      </w:hyperlink>
    </w:p>
    <w:p w14:paraId="34742E02"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cs="Times New Roman"/>
          <w:sz w:val="20"/>
          <w:szCs w:val="20"/>
        </w:rPr>
        <w:t>Ekhator</w:t>
      </w:r>
      <w:proofErr w:type="spellEnd"/>
      <w:r w:rsidRPr="00DD5FF7">
        <w:rPr>
          <w:rFonts w:ascii="Palatino Linotype" w:hAnsi="Palatino Linotype" w:cs="Times New Roman"/>
          <w:sz w:val="20"/>
          <w:szCs w:val="20"/>
        </w:rPr>
        <w:t xml:space="preserve">, O. C., </w:t>
      </w:r>
      <w:proofErr w:type="spellStart"/>
      <w:r w:rsidRPr="00DD5FF7">
        <w:rPr>
          <w:rFonts w:ascii="Palatino Linotype" w:hAnsi="Palatino Linotype" w:cs="Times New Roman"/>
          <w:sz w:val="20"/>
          <w:szCs w:val="20"/>
        </w:rPr>
        <w:t>Orish</w:t>
      </w:r>
      <w:proofErr w:type="spellEnd"/>
      <w:r w:rsidRPr="00DD5FF7">
        <w:rPr>
          <w:rFonts w:ascii="Palatino Linotype" w:hAnsi="Palatino Linotype" w:cs="Times New Roman"/>
          <w:sz w:val="20"/>
          <w:szCs w:val="20"/>
        </w:rPr>
        <w:t xml:space="preserve">, F. C., </w:t>
      </w:r>
      <w:proofErr w:type="spellStart"/>
      <w:r w:rsidRPr="00DD5FF7">
        <w:rPr>
          <w:rFonts w:ascii="Palatino Linotype" w:hAnsi="Palatino Linotype" w:cs="Times New Roman"/>
          <w:sz w:val="20"/>
          <w:szCs w:val="20"/>
        </w:rPr>
        <w:t>Nnadi</w:t>
      </w:r>
      <w:proofErr w:type="spellEnd"/>
      <w:r w:rsidRPr="00DD5FF7">
        <w:rPr>
          <w:rFonts w:ascii="Palatino Linotype" w:hAnsi="Palatino Linotype" w:cs="Times New Roman"/>
          <w:sz w:val="20"/>
          <w:szCs w:val="20"/>
        </w:rPr>
        <w:t xml:space="preserve">, E. O., </w:t>
      </w:r>
      <w:proofErr w:type="spellStart"/>
      <w:r w:rsidRPr="00DD5FF7">
        <w:rPr>
          <w:rFonts w:ascii="Palatino Linotype" w:hAnsi="Palatino Linotype" w:cs="Times New Roman"/>
          <w:sz w:val="20"/>
          <w:szCs w:val="20"/>
        </w:rPr>
        <w:t>Ogaji</w:t>
      </w:r>
      <w:proofErr w:type="spellEnd"/>
      <w:r w:rsidRPr="00DD5FF7">
        <w:rPr>
          <w:rFonts w:ascii="Palatino Linotype" w:hAnsi="Palatino Linotype" w:cs="Times New Roman"/>
          <w:sz w:val="20"/>
          <w:szCs w:val="20"/>
        </w:rPr>
        <w:t xml:space="preserve">, D. S., </w:t>
      </w:r>
      <w:proofErr w:type="spellStart"/>
      <w:r w:rsidRPr="00DD5FF7">
        <w:rPr>
          <w:rFonts w:ascii="Palatino Linotype" w:hAnsi="Palatino Linotype" w:cs="Times New Roman"/>
          <w:sz w:val="20"/>
          <w:szCs w:val="20"/>
        </w:rPr>
        <w:t>Isuman</w:t>
      </w:r>
      <w:proofErr w:type="spellEnd"/>
      <w:r w:rsidRPr="00DD5FF7">
        <w:rPr>
          <w:rFonts w:ascii="Palatino Linotype" w:hAnsi="Palatino Linotype" w:cs="Times New Roman"/>
          <w:sz w:val="20"/>
          <w:szCs w:val="20"/>
        </w:rPr>
        <w:t xml:space="preserve">, S., &amp; </w:t>
      </w:r>
      <w:proofErr w:type="spellStart"/>
      <w:r w:rsidRPr="00DD5FF7">
        <w:rPr>
          <w:rFonts w:ascii="Palatino Linotype" w:hAnsi="Palatino Linotype" w:cs="Times New Roman"/>
          <w:sz w:val="20"/>
          <w:szCs w:val="20"/>
        </w:rPr>
        <w:t>Orisakwe</w:t>
      </w:r>
      <w:proofErr w:type="spellEnd"/>
      <w:r w:rsidRPr="00DD5FF7">
        <w:rPr>
          <w:rFonts w:ascii="Palatino Linotype" w:hAnsi="Palatino Linotype" w:cs="Times New Roman"/>
          <w:sz w:val="20"/>
          <w:szCs w:val="20"/>
        </w:rPr>
        <w:t>, O. E. (2024). Impact of black soot emissions on public health in Niger Delta, Nigeria: Understanding the severity of the problem. </w:t>
      </w:r>
      <w:r w:rsidRPr="00DD5FF7">
        <w:rPr>
          <w:rFonts w:ascii="Palatino Linotype" w:hAnsi="Palatino Linotype" w:cs="Times New Roman"/>
          <w:i/>
          <w:iCs/>
          <w:sz w:val="20"/>
          <w:szCs w:val="20"/>
        </w:rPr>
        <w:t>Inhalation Toxicology, 36</w:t>
      </w:r>
      <w:r w:rsidRPr="00DD5FF7">
        <w:rPr>
          <w:rFonts w:ascii="Palatino Linotype" w:hAnsi="Palatino Linotype" w:cs="Times New Roman"/>
          <w:sz w:val="20"/>
          <w:szCs w:val="20"/>
        </w:rPr>
        <w:t>(5), 314-326. </w:t>
      </w:r>
      <w:hyperlink r:id="rId28" w:tgtFrame="_blank" w:history="1">
        <w:r w:rsidRPr="00DD5FF7">
          <w:rPr>
            <w:rStyle w:val="Hyperlink"/>
            <w:rFonts w:ascii="Palatino Linotype" w:hAnsi="Palatino Linotype" w:cs="Times New Roman"/>
            <w:sz w:val="20"/>
            <w:szCs w:val="20"/>
          </w:rPr>
          <w:t>https://doi.org/10.1080/08958378.2023.2297698</w:t>
        </w:r>
      </w:hyperlink>
    </w:p>
    <w:p w14:paraId="6815DE49"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sz w:val="20"/>
          <w:szCs w:val="20"/>
        </w:rPr>
        <w:t xml:space="preserve">Garcia, A., Santa-Helena, E., De Falco, A., de Paula Ribeiro, J., </w:t>
      </w:r>
      <w:proofErr w:type="spellStart"/>
      <w:r w:rsidRPr="00DD5FF7">
        <w:rPr>
          <w:rFonts w:ascii="Palatino Linotype" w:hAnsi="Palatino Linotype"/>
          <w:sz w:val="20"/>
          <w:szCs w:val="20"/>
        </w:rPr>
        <w:t>Gioda</w:t>
      </w:r>
      <w:proofErr w:type="spellEnd"/>
      <w:r w:rsidRPr="00DD5FF7">
        <w:rPr>
          <w:rFonts w:ascii="Palatino Linotype" w:hAnsi="Palatino Linotype"/>
          <w:sz w:val="20"/>
          <w:szCs w:val="20"/>
        </w:rPr>
        <w:t xml:space="preserve">, A., &amp; </w:t>
      </w:r>
      <w:proofErr w:type="spellStart"/>
      <w:r w:rsidRPr="00DD5FF7">
        <w:rPr>
          <w:rFonts w:ascii="Palatino Linotype" w:hAnsi="Palatino Linotype"/>
          <w:sz w:val="20"/>
          <w:szCs w:val="20"/>
        </w:rPr>
        <w:t>Gioda</w:t>
      </w:r>
      <w:proofErr w:type="spellEnd"/>
      <w:r w:rsidRPr="00DD5FF7">
        <w:rPr>
          <w:rFonts w:ascii="Palatino Linotype" w:hAnsi="Palatino Linotype"/>
          <w:sz w:val="20"/>
          <w:szCs w:val="20"/>
        </w:rPr>
        <w:t>, C. R. (2023). Toxicological effects of fine particulate matter (PM2.5): Health risks and associated systemic injuries—Systematic review. </w:t>
      </w:r>
      <w:r w:rsidRPr="00DD5FF7">
        <w:rPr>
          <w:rFonts w:ascii="Palatino Linotype" w:hAnsi="Palatino Linotype"/>
          <w:i/>
          <w:iCs/>
          <w:sz w:val="20"/>
          <w:szCs w:val="20"/>
        </w:rPr>
        <w:t>Water, Air, and Soil Pollution, 234</w:t>
      </w:r>
      <w:r w:rsidRPr="00DD5FF7">
        <w:rPr>
          <w:rFonts w:ascii="Palatino Linotype" w:hAnsi="Palatino Linotype"/>
          <w:sz w:val="20"/>
          <w:szCs w:val="20"/>
        </w:rPr>
        <w:t>(6), 346. </w:t>
      </w:r>
      <w:hyperlink r:id="rId29" w:tgtFrame="_blank" w:history="1">
        <w:r w:rsidRPr="00DD5FF7">
          <w:rPr>
            <w:rStyle w:val="Hyperlink"/>
            <w:rFonts w:ascii="Palatino Linotype" w:hAnsi="Palatino Linotype"/>
            <w:sz w:val="20"/>
            <w:szCs w:val="20"/>
          </w:rPr>
          <w:t>https://doi.org/10.1007/s11270-023-06278-9</w:t>
        </w:r>
      </w:hyperlink>
    </w:p>
    <w:p w14:paraId="29FD9560"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Kang, Y. J., Tan, H. Y., Lee, C. Y., &amp; Cho, H. (2021). An air particulate pollutant induces neuroinflammation and neurodegeneration in human brain models. </w:t>
      </w:r>
      <w:r w:rsidRPr="00DD5FF7">
        <w:rPr>
          <w:rFonts w:ascii="Palatino Linotype" w:hAnsi="Palatino Linotype" w:cs="Times New Roman"/>
          <w:i/>
          <w:iCs/>
          <w:sz w:val="20"/>
          <w:szCs w:val="20"/>
        </w:rPr>
        <w:t>Advanced Science, 8</w:t>
      </w:r>
      <w:r w:rsidRPr="00DD5FF7">
        <w:rPr>
          <w:rFonts w:ascii="Palatino Linotype" w:hAnsi="Palatino Linotype" w:cs="Times New Roman"/>
          <w:sz w:val="20"/>
          <w:szCs w:val="20"/>
        </w:rPr>
        <w:t>(21), e2101251. </w:t>
      </w:r>
      <w:hyperlink r:id="rId30" w:tgtFrame="_blank" w:history="1">
        <w:r w:rsidRPr="00DD5FF7">
          <w:rPr>
            <w:rStyle w:val="Hyperlink"/>
            <w:rFonts w:ascii="Palatino Linotype" w:hAnsi="Palatino Linotype" w:cs="Times New Roman"/>
            <w:sz w:val="20"/>
            <w:szCs w:val="20"/>
          </w:rPr>
          <w:t>https://doi.org/10.1002/advs.202101251</w:t>
        </w:r>
      </w:hyperlink>
    </w:p>
    <w:p w14:paraId="00584B36"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Lim, E. Y., &amp; Kim, G.-D. (2024). Particulate matter-induced emerging health effects associated with oxidative stress and inflammation. </w:t>
      </w:r>
      <w:r w:rsidRPr="00DD5FF7">
        <w:rPr>
          <w:rFonts w:ascii="Palatino Linotype" w:hAnsi="Palatino Linotype" w:cs="Times New Roman"/>
          <w:i/>
          <w:iCs/>
          <w:sz w:val="20"/>
          <w:szCs w:val="20"/>
        </w:rPr>
        <w:t>Antioxidants, 13</w:t>
      </w:r>
      <w:r w:rsidRPr="00DD5FF7">
        <w:rPr>
          <w:rFonts w:ascii="Palatino Linotype" w:hAnsi="Palatino Linotype" w:cs="Times New Roman"/>
          <w:sz w:val="20"/>
          <w:szCs w:val="20"/>
        </w:rPr>
        <w:t>(10), 1256. </w:t>
      </w:r>
      <w:hyperlink r:id="rId31" w:tgtFrame="_blank" w:history="1">
        <w:r w:rsidRPr="00DD5FF7">
          <w:rPr>
            <w:rStyle w:val="Hyperlink"/>
            <w:rFonts w:ascii="Palatino Linotype" w:hAnsi="Palatino Linotype" w:cs="Times New Roman"/>
            <w:sz w:val="20"/>
            <w:szCs w:val="20"/>
          </w:rPr>
          <w:t>https://doi.org/10.3390/antiox13101256</w:t>
        </w:r>
      </w:hyperlink>
    </w:p>
    <w:p w14:paraId="564A0718"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Rajagopalan, S., Park, B., </w:t>
      </w:r>
      <w:proofErr w:type="spellStart"/>
      <w:r w:rsidRPr="00DD5FF7">
        <w:rPr>
          <w:rFonts w:ascii="Palatino Linotype" w:hAnsi="Palatino Linotype" w:cs="Times New Roman"/>
          <w:sz w:val="20"/>
          <w:szCs w:val="20"/>
        </w:rPr>
        <w:t>Palanivel</w:t>
      </w:r>
      <w:proofErr w:type="spellEnd"/>
      <w:r w:rsidRPr="00DD5FF7">
        <w:rPr>
          <w:rFonts w:ascii="Palatino Linotype" w:hAnsi="Palatino Linotype" w:cs="Times New Roman"/>
          <w:sz w:val="20"/>
          <w:szCs w:val="20"/>
        </w:rPr>
        <w:t xml:space="preserve">, R., </w:t>
      </w:r>
      <w:proofErr w:type="spellStart"/>
      <w:r w:rsidRPr="00DD5FF7">
        <w:rPr>
          <w:rFonts w:ascii="Palatino Linotype" w:hAnsi="Palatino Linotype" w:cs="Times New Roman"/>
          <w:sz w:val="20"/>
          <w:szCs w:val="20"/>
        </w:rPr>
        <w:t>Vinayachandran</w:t>
      </w:r>
      <w:proofErr w:type="spellEnd"/>
      <w:r w:rsidRPr="00DD5FF7">
        <w:rPr>
          <w:rFonts w:ascii="Palatino Linotype" w:hAnsi="Palatino Linotype" w:cs="Times New Roman"/>
          <w:sz w:val="20"/>
          <w:szCs w:val="20"/>
        </w:rPr>
        <w:t xml:space="preserve">, V., </w:t>
      </w:r>
      <w:proofErr w:type="spellStart"/>
      <w:r w:rsidRPr="00DD5FF7">
        <w:rPr>
          <w:rFonts w:ascii="Palatino Linotype" w:hAnsi="Palatino Linotype" w:cs="Times New Roman"/>
          <w:sz w:val="20"/>
          <w:szCs w:val="20"/>
        </w:rPr>
        <w:t>Deiuliis</w:t>
      </w:r>
      <w:proofErr w:type="spellEnd"/>
      <w:r w:rsidRPr="00DD5FF7">
        <w:rPr>
          <w:rFonts w:ascii="Palatino Linotype" w:hAnsi="Palatino Linotype" w:cs="Times New Roman"/>
          <w:sz w:val="20"/>
          <w:szCs w:val="20"/>
        </w:rPr>
        <w:t xml:space="preserve">, J. A., </w:t>
      </w:r>
      <w:proofErr w:type="spellStart"/>
      <w:r w:rsidRPr="00DD5FF7">
        <w:rPr>
          <w:rFonts w:ascii="Palatino Linotype" w:hAnsi="Palatino Linotype" w:cs="Times New Roman"/>
          <w:sz w:val="20"/>
          <w:szCs w:val="20"/>
        </w:rPr>
        <w:t>Gangwar</w:t>
      </w:r>
      <w:proofErr w:type="spellEnd"/>
      <w:r w:rsidRPr="00DD5FF7">
        <w:rPr>
          <w:rFonts w:ascii="Palatino Linotype" w:hAnsi="Palatino Linotype" w:cs="Times New Roman"/>
          <w:sz w:val="20"/>
          <w:szCs w:val="20"/>
        </w:rPr>
        <w:t>, R. S., Das, L., Yin, J., Choi, Y., Al-</w:t>
      </w:r>
      <w:proofErr w:type="spellStart"/>
      <w:r w:rsidRPr="00DD5FF7">
        <w:rPr>
          <w:rFonts w:ascii="Palatino Linotype" w:hAnsi="Palatino Linotype" w:cs="Times New Roman"/>
          <w:sz w:val="20"/>
          <w:szCs w:val="20"/>
        </w:rPr>
        <w:t>Kindi</w:t>
      </w:r>
      <w:proofErr w:type="spellEnd"/>
      <w:r w:rsidRPr="00DD5FF7">
        <w:rPr>
          <w:rFonts w:ascii="Palatino Linotype" w:hAnsi="Palatino Linotype" w:cs="Times New Roman"/>
          <w:sz w:val="20"/>
          <w:szCs w:val="20"/>
        </w:rPr>
        <w:t>, S., Jain, M. K., Hansen, K. D., &amp; Biswal, S. (2020). Metabolic effects of air pollution exposure and reversibility. </w:t>
      </w:r>
      <w:r w:rsidRPr="00DD5FF7">
        <w:rPr>
          <w:rFonts w:ascii="Palatino Linotype" w:hAnsi="Palatino Linotype" w:cs="Times New Roman"/>
          <w:i/>
          <w:iCs/>
          <w:sz w:val="20"/>
          <w:szCs w:val="20"/>
        </w:rPr>
        <w:t>Journal of Clinical Investigation, 130</w:t>
      </w:r>
      <w:r w:rsidRPr="00DD5FF7">
        <w:rPr>
          <w:rFonts w:ascii="Palatino Linotype" w:hAnsi="Palatino Linotype" w:cs="Times New Roman"/>
          <w:sz w:val="20"/>
          <w:szCs w:val="20"/>
        </w:rPr>
        <w:t>(11), 6034-6040. </w:t>
      </w:r>
      <w:hyperlink r:id="rId32" w:tgtFrame="_blank" w:history="1">
        <w:r w:rsidRPr="00DD5FF7">
          <w:rPr>
            <w:rStyle w:val="Hyperlink"/>
            <w:rFonts w:ascii="Palatino Linotype" w:hAnsi="Palatino Linotype" w:cs="Times New Roman"/>
            <w:sz w:val="20"/>
            <w:szCs w:val="20"/>
          </w:rPr>
          <w:t>https://doi.org/10.1172/JCI137315</w:t>
        </w:r>
      </w:hyperlink>
    </w:p>
    <w:p w14:paraId="70FF1190"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sz w:val="20"/>
          <w:szCs w:val="20"/>
        </w:rPr>
        <w:t>Sarawut</w:t>
      </w:r>
      <w:proofErr w:type="spellEnd"/>
      <w:r w:rsidRPr="00DD5FF7">
        <w:rPr>
          <w:rFonts w:ascii="Palatino Linotype" w:hAnsi="Palatino Linotype"/>
          <w:sz w:val="20"/>
          <w:szCs w:val="20"/>
        </w:rPr>
        <w:t xml:space="preserve">, S., </w:t>
      </w:r>
      <w:proofErr w:type="spellStart"/>
      <w:r w:rsidRPr="00DD5FF7">
        <w:rPr>
          <w:rFonts w:ascii="Palatino Linotype" w:hAnsi="Palatino Linotype"/>
          <w:sz w:val="20"/>
          <w:szCs w:val="20"/>
        </w:rPr>
        <w:t>Worradorn</w:t>
      </w:r>
      <w:proofErr w:type="spellEnd"/>
      <w:r w:rsidRPr="00DD5FF7">
        <w:rPr>
          <w:rFonts w:ascii="Palatino Linotype" w:hAnsi="Palatino Linotype"/>
          <w:sz w:val="20"/>
          <w:szCs w:val="20"/>
        </w:rPr>
        <w:t xml:space="preserve">, P., </w:t>
      </w:r>
      <w:proofErr w:type="spellStart"/>
      <w:r w:rsidRPr="00DD5FF7">
        <w:rPr>
          <w:rFonts w:ascii="Palatino Linotype" w:hAnsi="Palatino Linotype"/>
          <w:sz w:val="20"/>
          <w:szCs w:val="20"/>
        </w:rPr>
        <w:t>Samendra</w:t>
      </w:r>
      <w:proofErr w:type="spellEnd"/>
      <w:r w:rsidRPr="00DD5FF7">
        <w:rPr>
          <w:rFonts w:ascii="Palatino Linotype" w:hAnsi="Palatino Linotype"/>
          <w:sz w:val="20"/>
          <w:szCs w:val="20"/>
        </w:rPr>
        <w:t xml:space="preserve">, P. S., </w:t>
      </w:r>
      <w:proofErr w:type="spellStart"/>
      <w:r w:rsidRPr="00DD5FF7">
        <w:rPr>
          <w:rFonts w:ascii="Palatino Linotype" w:hAnsi="Palatino Linotype"/>
          <w:sz w:val="20"/>
          <w:szCs w:val="20"/>
        </w:rPr>
        <w:t>Nattapon</w:t>
      </w:r>
      <w:proofErr w:type="spellEnd"/>
      <w:r w:rsidRPr="00DD5FF7">
        <w:rPr>
          <w:rFonts w:ascii="Palatino Linotype" w:hAnsi="Palatino Linotype"/>
          <w:sz w:val="20"/>
          <w:szCs w:val="20"/>
        </w:rPr>
        <w:t xml:space="preserve">, P., </w:t>
      </w:r>
      <w:proofErr w:type="spellStart"/>
      <w:r w:rsidRPr="00DD5FF7">
        <w:rPr>
          <w:rFonts w:ascii="Palatino Linotype" w:hAnsi="Palatino Linotype"/>
          <w:sz w:val="20"/>
          <w:szCs w:val="20"/>
        </w:rPr>
        <w:t>Narongsuk</w:t>
      </w:r>
      <w:proofErr w:type="spellEnd"/>
      <w:r w:rsidRPr="00DD5FF7">
        <w:rPr>
          <w:rFonts w:ascii="Palatino Linotype" w:hAnsi="Palatino Linotype"/>
          <w:sz w:val="20"/>
          <w:szCs w:val="20"/>
        </w:rPr>
        <w:t xml:space="preserve">, M., </w:t>
      </w:r>
      <w:proofErr w:type="spellStart"/>
      <w:r w:rsidRPr="00DD5FF7">
        <w:rPr>
          <w:rFonts w:ascii="Palatino Linotype" w:hAnsi="Palatino Linotype"/>
          <w:sz w:val="20"/>
          <w:szCs w:val="20"/>
        </w:rPr>
        <w:t>Kritsada</w:t>
      </w:r>
      <w:proofErr w:type="spellEnd"/>
      <w:r w:rsidRPr="00DD5FF7">
        <w:rPr>
          <w:rFonts w:ascii="Palatino Linotype" w:hAnsi="Palatino Linotype"/>
          <w:sz w:val="20"/>
          <w:szCs w:val="20"/>
        </w:rPr>
        <w:t xml:space="preserve">, S., Md. </w:t>
      </w:r>
      <w:proofErr w:type="spellStart"/>
      <w:r w:rsidRPr="00DD5FF7">
        <w:rPr>
          <w:rFonts w:ascii="Palatino Linotype" w:hAnsi="Palatino Linotype"/>
          <w:sz w:val="20"/>
          <w:szCs w:val="20"/>
        </w:rPr>
        <w:t>Aminul</w:t>
      </w:r>
      <w:proofErr w:type="spellEnd"/>
      <w:r w:rsidRPr="00DD5FF7">
        <w:rPr>
          <w:rFonts w:ascii="Palatino Linotype" w:hAnsi="Palatino Linotype"/>
          <w:sz w:val="20"/>
          <w:szCs w:val="20"/>
        </w:rPr>
        <w:t xml:space="preserve">, I., &amp; </w:t>
      </w:r>
      <w:proofErr w:type="spellStart"/>
      <w:r w:rsidRPr="00DD5FF7">
        <w:rPr>
          <w:rFonts w:ascii="Palatino Linotype" w:hAnsi="Palatino Linotype"/>
          <w:sz w:val="20"/>
          <w:szCs w:val="20"/>
        </w:rPr>
        <w:t>Pornpun</w:t>
      </w:r>
      <w:proofErr w:type="spellEnd"/>
      <w:r w:rsidRPr="00DD5FF7">
        <w:rPr>
          <w:rFonts w:ascii="Palatino Linotype" w:hAnsi="Palatino Linotype"/>
          <w:sz w:val="20"/>
          <w:szCs w:val="20"/>
        </w:rPr>
        <w:t>, S. (2024). An update on adverse health effects from exposure to PM2.5. </w:t>
      </w:r>
      <w:r w:rsidRPr="00DD5FF7">
        <w:rPr>
          <w:rFonts w:ascii="Palatino Linotype" w:hAnsi="Palatino Linotype"/>
          <w:i/>
          <w:iCs/>
          <w:sz w:val="20"/>
          <w:szCs w:val="20"/>
        </w:rPr>
        <w:t>Environmental Advances, 18</w:t>
      </w:r>
      <w:r w:rsidRPr="00DD5FF7">
        <w:rPr>
          <w:rFonts w:ascii="Palatino Linotype" w:hAnsi="Palatino Linotype"/>
          <w:sz w:val="20"/>
          <w:szCs w:val="20"/>
        </w:rPr>
        <w:t>, 100603. </w:t>
      </w:r>
      <w:hyperlink r:id="rId33" w:tgtFrame="_blank" w:history="1">
        <w:r w:rsidRPr="00DD5FF7">
          <w:rPr>
            <w:rStyle w:val="Hyperlink"/>
            <w:rFonts w:ascii="Palatino Linotype" w:hAnsi="Palatino Linotype"/>
            <w:sz w:val="20"/>
            <w:szCs w:val="20"/>
          </w:rPr>
          <w:t>https://doi.org/10.1016/j.envadv.2024.100603</w:t>
        </w:r>
      </w:hyperlink>
    </w:p>
    <w:p w14:paraId="0451B47B" w14:textId="77777777" w:rsidR="00DD5FF7" w:rsidRPr="00DD5FF7" w:rsidRDefault="00DD5FF7" w:rsidP="00DD5FF7">
      <w:pPr>
        <w:ind w:left="709" w:hanging="709"/>
        <w:jc w:val="both"/>
        <w:rPr>
          <w:rFonts w:ascii="Palatino Linotype" w:hAnsi="Palatino Linotype" w:cs="Times New Roman"/>
          <w:sz w:val="20"/>
          <w:szCs w:val="20"/>
        </w:rPr>
      </w:pPr>
      <w:proofErr w:type="spellStart"/>
      <w:r w:rsidRPr="00DD5FF7">
        <w:rPr>
          <w:rFonts w:ascii="Palatino Linotype" w:hAnsi="Palatino Linotype" w:cs="Times New Roman"/>
          <w:sz w:val="20"/>
          <w:szCs w:val="20"/>
        </w:rPr>
        <w:t>Schraufnagel</w:t>
      </w:r>
      <w:proofErr w:type="spellEnd"/>
      <w:r w:rsidRPr="00DD5FF7">
        <w:rPr>
          <w:rFonts w:ascii="Palatino Linotype" w:hAnsi="Palatino Linotype" w:cs="Times New Roman"/>
          <w:sz w:val="20"/>
          <w:szCs w:val="20"/>
        </w:rPr>
        <w:t>, D. E. (2020). The health effects of ultrafine particles. </w:t>
      </w:r>
      <w:r w:rsidRPr="00DD5FF7">
        <w:rPr>
          <w:rFonts w:ascii="Palatino Linotype" w:hAnsi="Palatino Linotype" w:cs="Times New Roman"/>
          <w:i/>
          <w:iCs/>
          <w:sz w:val="20"/>
          <w:szCs w:val="20"/>
        </w:rPr>
        <w:t>Experimental &amp; Molecular Medicine, 52</w:t>
      </w:r>
      <w:r w:rsidRPr="00DD5FF7">
        <w:rPr>
          <w:rFonts w:ascii="Palatino Linotype" w:hAnsi="Palatino Linotype" w:cs="Times New Roman"/>
          <w:sz w:val="20"/>
          <w:szCs w:val="20"/>
        </w:rPr>
        <w:t>, 311-317. </w:t>
      </w:r>
      <w:hyperlink r:id="rId34" w:tgtFrame="_blank" w:history="1">
        <w:r w:rsidRPr="00DD5FF7">
          <w:rPr>
            <w:rStyle w:val="Hyperlink"/>
            <w:rFonts w:ascii="Palatino Linotype" w:hAnsi="Palatino Linotype" w:cs="Times New Roman"/>
            <w:sz w:val="20"/>
            <w:szCs w:val="20"/>
          </w:rPr>
          <w:t>https://doi.org/10.1038/s12276-020-0403-3</w:t>
        </w:r>
      </w:hyperlink>
    </w:p>
    <w:p w14:paraId="4D858D34"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lastRenderedPageBreak/>
        <w:t>Song, Y., Zhao, L., Qi, Z., Zhang, Y., Cao, G., Li, R., &amp; Cai, Z. (2021). Application of a real-ambient fine particulate matter exposure system on different animal models. </w:t>
      </w:r>
      <w:r w:rsidRPr="00DD5FF7">
        <w:rPr>
          <w:rFonts w:ascii="Palatino Linotype" w:hAnsi="Palatino Linotype" w:cs="Times New Roman"/>
          <w:i/>
          <w:iCs/>
          <w:sz w:val="20"/>
          <w:szCs w:val="20"/>
        </w:rPr>
        <w:t>Journal of Environmental Sciences, 105</w:t>
      </w:r>
      <w:r w:rsidRPr="00DD5FF7">
        <w:rPr>
          <w:rFonts w:ascii="Palatino Linotype" w:hAnsi="Palatino Linotype" w:cs="Times New Roman"/>
          <w:sz w:val="20"/>
          <w:szCs w:val="20"/>
        </w:rPr>
        <w:t>, 64-70. </w:t>
      </w:r>
      <w:hyperlink r:id="rId35" w:tgtFrame="_blank" w:history="1">
        <w:r w:rsidRPr="00DD5FF7">
          <w:rPr>
            <w:rStyle w:val="Hyperlink"/>
            <w:rFonts w:ascii="Palatino Linotype" w:hAnsi="Palatino Linotype" w:cs="Times New Roman"/>
            <w:sz w:val="20"/>
            <w:szCs w:val="20"/>
          </w:rPr>
          <w:t>https://doi.org/10.1016/j.jes.2020.12.007</w:t>
        </w:r>
      </w:hyperlink>
    </w:p>
    <w:p w14:paraId="1786D86A" w14:textId="77777777" w:rsidR="00DD5FF7" w:rsidRPr="00C66AF1" w:rsidRDefault="00DD5FF7" w:rsidP="00DD5FF7">
      <w:pPr>
        <w:ind w:left="709" w:hanging="709"/>
        <w:jc w:val="both"/>
        <w:rPr>
          <w:rFonts w:ascii="Palatino Linotype" w:hAnsi="Palatino Linotype" w:cs="Times New Roman"/>
          <w:sz w:val="20"/>
          <w:szCs w:val="20"/>
        </w:rPr>
      </w:pPr>
      <w:r w:rsidRPr="00DD5FF7">
        <w:rPr>
          <w:rFonts w:ascii="Palatino Linotype" w:hAnsi="Palatino Linotype"/>
          <w:sz w:val="20"/>
          <w:szCs w:val="20"/>
        </w:rPr>
        <w:t xml:space="preserve">Wan </w:t>
      </w:r>
      <w:proofErr w:type="spellStart"/>
      <w:r w:rsidRPr="00DD5FF7">
        <w:rPr>
          <w:rFonts w:ascii="Palatino Linotype" w:hAnsi="Palatino Linotype"/>
          <w:sz w:val="20"/>
          <w:szCs w:val="20"/>
        </w:rPr>
        <w:t>Mahiyuddin</w:t>
      </w:r>
      <w:proofErr w:type="spellEnd"/>
      <w:r w:rsidRPr="00DD5FF7">
        <w:rPr>
          <w:rFonts w:ascii="Palatino Linotype" w:hAnsi="Palatino Linotype"/>
          <w:sz w:val="20"/>
          <w:szCs w:val="20"/>
        </w:rPr>
        <w:t>, W. R., Ismail, R., Mohammad Sham, N., Ahmad, N. I., &amp; Nik Hassan, N. M. N. (2023). Cardiovascular and respiratory health effects of fine particulate matters (PM2.5): A review on time series studies. </w:t>
      </w:r>
      <w:r w:rsidRPr="00DD5FF7">
        <w:rPr>
          <w:rFonts w:ascii="Palatino Linotype" w:hAnsi="Palatino Linotype"/>
          <w:i/>
          <w:iCs/>
          <w:sz w:val="20"/>
          <w:szCs w:val="20"/>
        </w:rPr>
        <w:t>Atmosphere, 14</w:t>
      </w:r>
      <w:r w:rsidRPr="00DD5FF7">
        <w:rPr>
          <w:rFonts w:ascii="Palatino Linotype" w:hAnsi="Palatino Linotype"/>
          <w:sz w:val="20"/>
          <w:szCs w:val="20"/>
        </w:rPr>
        <w:t>(5), 856. </w:t>
      </w:r>
      <w:hyperlink r:id="rId36" w:tgtFrame="_blank" w:history="1">
        <w:r w:rsidRPr="00DD5FF7">
          <w:rPr>
            <w:rStyle w:val="Hyperlink"/>
            <w:rFonts w:ascii="Palatino Linotype" w:hAnsi="Palatino Linotype"/>
            <w:sz w:val="20"/>
            <w:szCs w:val="20"/>
          </w:rPr>
          <w:t>https://doi.org/10.3390/atmos14050856</w:t>
        </w:r>
      </w:hyperlink>
    </w:p>
    <w:p w14:paraId="2B2909CA"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World Health Organization. (2018). </w:t>
      </w:r>
      <w:r w:rsidRPr="00DD5FF7">
        <w:rPr>
          <w:rFonts w:ascii="Palatino Linotype" w:hAnsi="Palatino Linotype" w:cs="Times New Roman"/>
          <w:i/>
          <w:iCs/>
          <w:sz w:val="20"/>
          <w:szCs w:val="20"/>
        </w:rPr>
        <w:t>Air pollution and child health: Prescribing clean air</w:t>
      </w:r>
      <w:r w:rsidRPr="00DD5FF7">
        <w:rPr>
          <w:rFonts w:ascii="Palatino Linotype" w:hAnsi="Palatino Linotype" w:cs="Times New Roman"/>
          <w:sz w:val="20"/>
          <w:szCs w:val="20"/>
        </w:rPr>
        <w:t>. </w:t>
      </w:r>
      <w:hyperlink r:id="rId37" w:tgtFrame="_blank" w:history="1">
        <w:r w:rsidRPr="00DD5FF7">
          <w:rPr>
            <w:rStyle w:val="Hyperlink"/>
            <w:rFonts w:ascii="Palatino Linotype" w:hAnsi="Palatino Linotype" w:cs="Times New Roman"/>
            <w:sz w:val="20"/>
            <w:szCs w:val="20"/>
          </w:rPr>
          <w:t>https://www.who.int/publications-detail-redirect/air-pollution-and-child-health</w:t>
        </w:r>
      </w:hyperlink>
    </w:p>
    <w:p w14:paraId="60695576"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Xing, Y. F., Xu, Y. H., Shi, M. H., &amp; Lian, Y. X. (2016). The impact of PM2.5 on the human respiratory system. </w:t>
      </w:r>
      <w:r w:rsidRPr="00DD5FF7">
        <w:rPr>
          <w:rFonts w:ascii="Palatino Linotype" w:hAnsi="Palatino Linotype" w:cs="Times New Roman"/>
          <w:i/>
          <w:iCs/>
          <w:sz w:val="20"/>
          <w:szCs w:val="20"/>
        </w:rPr>
        <w:t>Journal of Thoracic Disease, 8</w:t>
      </w:r>
      <w:r w:rsidRPr="00DD5FF7">
        <w:rPr>
          <w:rFonts w:ascii="Palatino Linotype" w:hAnsi="Palatino Linotype" w:cs="Times New Roman"/>
          <w:sz w:val="20"/>
          <w:szCs w:val="20"/>
        </w:rPr>
        <w:t>(1), E69-E74. </w:t>
      </w:r>
      <w:hyperlink r:id="rId38" w:tgtFrame="_blank" w:history="1">
        <w:r w:rsidRPr="00DD5FF7">
          <w:rPr>
            <w:rStyle w:val="Hyperlink"/>
            <w:rFonts w:ascii="Palatino Linotype" w:hAnsi="Palatino Linotype" w:cs="Times New Roman"/>
            <w:sz w:val="20"/>
            <w:szCs w:val="20"/>
          </w:rPr>
          <w:t>https://doi.org/10.3978/j.issn.2072-1439.2016.01.19</w:t>
        </w:r>
      </w:hyperlink>
    </w:p>
    <w:p w14:paraId="440069DB" w14:textId="77777777" w:rsidR="00DD5FF7" w:rsidRPr="00DD5FF7" w:rsidRDefault="00DD5FF7" w:rsidP="00DD5FF7">
      <w:pPr>
        <w:ind w:left="709" w:hanging="709"/>
        <w:jc w:val="both"/>
        <w:rPr>
          <w:rFonts w:ascii="Palatino Linotype" w:hAnsi="Palatino Linotype" w:cs="Times New Roman"/>
          <w:sz w:val="20"/>
          <w:szCs w:val="20"/>
        </w:rPr>
      </w:pPr>
      <w:r w:rsidRPr="00DD5FF7">
        <w:rPr>
          <w:rFonts w:ascii="Palatino Linotype" w:hAnsi="Palatino Linotype" w:cs="Times New Roman"/>
          <w:sz w:val="20"/>
          <w:szCs w:val="20"/>
        </w:rPr>
        <w:t xml:space="preserve">Xu, Y., Wang, W., Zhou, J., Chen, M., Huang, X., Zhu, Y., </w:t>
      </w:r>
      <w:proofErr w:type="spellStart"/>
      <w:r w:rsidRPr="00DD5FF7">
        <w:rPr>
          <w:rFonts w:ascii="Palatino Linotype" w:hAnsi="Palatino Linotype" w:cs="Times New Roman"/>
          <w:sz w:val="20"/>
          <w:szCs w:val="20"/>
        </w:rPr>
        <w:t>Xie</w:t>
      </w:r>
      <w:proofErr w:type="spellEnd"/>
      <w:r w:rsidRPr="00DD5FF7">
        <w:rPr>
          <w:rFonts w:ascii="Palatino Linotype" w:hAnsi="Palatino Linotype" w:cs="Times New Roman"/>
          <w:sz w:val="20"/>
          <w:szCs w:val="20"/>
        </w:rPr>
        <w:t>, X., Li, W., Zhang, Y., Kan, H., &amp; Ying, Z. (2019). Metabolomics analysis of a mouse model for chronic exposure to ambient PM2.5. </w:t>
      </w:r>
      <w:r w:rsidRPr="00DD5FF7">
        <w:rPr>
          <w:rFonts w:ascii="Palatino Linotype" w:hAnsi="Palatino Linotype" w:cs="Times New Roman"/>
          <w:i/>
          <w:iCs/>
          <w:sz w:val="20"/>
          <w:szCs w:val="20"/>
        </w:rPr>
        <w:t>Environmental Pollution, 247</w:t>
      </w:r>
      <w:r w:rsidRPr="00DD5FF7">
        <w:rPr>
          <w:rFonts w:ascii="Palatino Linotype" w:hAnsi="Palatino Linotype" w:cs="Times New Roman"/>
          <w:sz w:val="20"/>
          <w:szCs w:val="20"/>
        </w:rPr>
        <w:t>, 953-963. </w:t>
      </w:r>
      <w:hyperlink r:id="rId39" w:tgtFrame="_blank" w:history="1">
        <w:r w:rsidRPr="00DD5FF7">
          <w:rPr>
            <w:rStyle w:val="Hyperlink"/>
            <w:rFonts w:ascii="Palatino Linotype" w:hAnsi="Palatino Linotype" w:cs="Times New Roman"/>
            <w:sz w:val="20"/>
            <w:szCs w:val="20"/>
          </w:rPr>
          <w:t>https://doi.org/10.1016/j.envpol.2019.01.118</w:t>
        </w:r>
      </w:hyperlink>
    </w:p>
    <w:sectPr w:rsidR="00DD5FF7" w:rsidRPr="00DD5FF7" w:rsidSect="006F13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98442" w14:textId="77777777" w:rsidR="00F252EC" w:rsidRDefault="00F252EC" w:rsidP="006F1350">
      <w:pPr>
        <w:spacing w:after="0" w:line="240" w:lineRule="auto"/>
      </w:pPr>
      <w:r>
        <w:separator/>
      </w:r>
    </w:p>
  </w:endnote>
  <w:endnote w:type="continuationSeparator" w:id="0">
    <w:p w14:paraId="71D64A42" w14:textId="77777777" w:rsidR="00F252EC" w:rsidRDefault="00F252EC" w:rsidP="006F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0C578" w14:textId="77777777" w:rsidR="00752EE6" w:rsidRDefault="00752E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CFC32" w14:textId="77777777" w:rsidR="00752EE6" w:rsidRDefault="00752E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780D7" w14:textId="77777777" w:rsidR="00752EE6" w:rsidRDefault="00752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5037A" w14:textId="77777777" w:rsidR="00F252EC" w:rsidRDefault="00F252EC" w:rsidP="006F1350">
      <w:pPr>
        <w:spacing w:after="0" w:line="240" w:lineRule="auto"/>
      </w:pPr>
      <w:r>
        <w:separator/>
      </w:r>
    </w:p>
  </w:footnote>
  <w:footnote w:type="continuationSeparator" w:id="0">
    <w:p w14:paraId="633FFF8A" w14:textId="77777777" w:rsidR="00F252EC" w:rsidRDefault="00F252EC" w:rsidP="006F1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C4BB8" w14:textId="7F61AD8D" w:rsidR="00752EE6" w:rsidRDefault="00752EE6">
    <w:pPr>
      <w:pStyle w:val="Header"/>
    </w:pPr>
    <w:r>
      <w:rPr>
        <w:noProof/>
      </w:rPr>
      <w:pict w14:anchorId="001D4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ADC98" w14:textId="5FDBD726" w:rsidR="00752EE6" w:rsidRDefault="00752EE6">
    <w:pPr>
      <w:pStyle w:val="Header"/>
    </w:pPr>
    <w:r>
      <w:rPr>
        <w:noProof/>
      </w:rPr>
      <w:pict w14:anchorId="73F6D8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9C4BC" w14:textId="2DA4F10B" w:rsidR="00752EE6" w:rsidRDefault="00752EE6">
    <w:pPr>
      <w:pStyle w:val="Header"/>
    </w:pPr>
    <w:r>
      <w:rPr>
        <w:noProof/>
      </w:rPr>
      <w:pict w14:anchorId="67EDE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0945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1B2A7D34"/>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000012"/>
    <w:multiLevelType w:val="hybridMultilevel"/>
    <w:tmpl w:val="5E5C592E"/>
    <w:lvl w:ilvl="0" w:tplc="72AEE46A">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15"/>
    <w:multiLevelType w:val="hybridMultilevel"/>
    <w:tmpl w:val="16F40CD4"/>
    <w:lvl w:ilvl="0" w:tplc="227665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9"/>
    <w:multiLevelType w:val="hybridMultilevel"/>
    <w:tmpl w:val="35F2EC58"/>
    <w:lvl w:ilvl="0" w:tplc="7DD85C9C">
      <w:start w:val="1"/>
      <w:numFmt w:val="bullet"/>
      <w:lvlText w:val=""/>
      <w:lvlJc w:val="left"/>
      <w:pPr>
        <w:tabs>
          <w:tab w:val="left" w:pos="720"/>
        </w:tabs>
        <w:ind w:left="720" w:hanging="360"/>
      </w:pPr>
      <w:rPr>
        <w:rFonts w:ascii="Wingdings" w:hAnsi="Wingdings" w:hint="default"/>
      </w:rPr>
    </w:lvl>
    <w:lvl w:ilvl="1" w:tplc="4C48C0CA" w:tentative="1">
      <w:start w:val="1"/>
      <w:numFmt w:val="bullet"/>
      <w:lvlText w:val=""/>
      <w:lvlJc w:val="left"/>
      <w:pPr>
        <w:tabs>
          <w:tab w:val="left" w:pos="1440"/>
        </w:tabs>
        <w:ind w:left="1440" w:hanging="360"/>
      </w:pPr>
      <w:rPr>
        <w:rFonts w:ascii="Wingdings" w:hAnsi="Wingdings" w:hint="default"/>
      </w:rPr>
    </w:lvl>
    <w:lvl w:ilvl="2" w:tplc="77067F20" w:tentative="1">
      <w:start w:val="1"/>
      <w:numFmt w:val="bullet"/>
      <w:lvlText w:val=""/>
      <w:lvlJc w:val="left"/>
      <w:pPr>
        <w:tabs>
          <w:tab w:val="left" w:pos="2160"/>
        </w:tabs>
        <w:ind w:left="2160" w:hanging="360"/>
      </w:pPr>
      <w:rPr>
        <w:rFonts w:ascii="Wingdings" w:hAnsi="Wingdings" w:hint="default"/>
      </w:rPr>
    </w:lvl>
    <w:lvl w:ilvl="3" w:tplc="4D7ABA28" w:tentative="1">
      <w:start w:val="1"/>
      <w:numFmt w:val="bullet"/>
      <w:lvlText w:val=""/>
      <w:lvlJc w:val="left"/>
      <w:pPr>
        <w:tabs>
          <w:tab w:val="left" w:pos="2880"/>
        </w:tabs>
        <w:ind w:left="2880" w:hanging="360"/>
      </w:pPr>
      <w:rPr>
        <w:rFonts w:ascii="Wingdings" w:hAnsi="Wingdings" w:hint="default"/>
      </w:rPr>
    </w:lvl>
    <w:lvl w:ilvl="4" w:tplc="48AA104C" w:tentative="1">
      <w:start w:val="1"/>
      <w:numFmt w:val="bullet"/>
      <w:lvlText w:val=""/>
      <w:lvlJc w:val="left"/>
      <w:pPr>
        <w:tabs>
          <w:tab w:val="left" w:pos="3600"/>
        </w:tabs>
        <w:ind w:left="3600" w:hanging="360"/>
      </w:pPr>
      <w:rPr>
        <w:rFonts w:ascii="Wingdings" w:hAnsi="Wingdings" w:hint="default"/>
      </w:rPr>
    </w:lvl>
    <w:lvl w:ilvl="5" w:tplc="B69644FC" w:tentative="1">
      <w:start w:val="1"/>
      <w:numFmt w:val="bullet"/>
      <w:lvlText w:val=""/>
      <w:lvlJc w:val="left"/>
      <w:pPr>
        <w:tabs>
          <w:tab w:val="left" w:pos="4320"/>
        </w:tabs>
        <w:ind w:left="4320" w:hanging="360"/>
      </w:pPr>
      <w:rPr>
        <w:rFonts w:ascii="Wingdings" w:hAnsi="Wingdings" w:hint="default"/>
      </w:rPr>
    </w:lvl>
    <w:lvl w:ilvl="6" w:tplc="FCB65CB2" w:tentative="1">
      <w:start w:val="1"/>
      <w:numFmt w:val="bullet"/>
      <w:lvlText w:val=""/>
      <w:lvlJc w:val="left"/>
      <w:pPr>
        <w:tabs>
          <w:tab w:val="left" w:pos="5040"/>
        </w:tabs>
        <w:ind w:left="5040" w:hanging="360"/>
      </w:pPr>
      <w:rPr>
        <w:rFonts w:ascii="Wingdings" w:hAnsi="Wingdings" w:hint="default"/>
      </w:rPr>
    </w:lvl>
    <w:lvl w:ilvl="7" w:tplc="AFCCA762" w:tentative="1">
      <w:start w:val="1"/>
      <w:numFmt w:val="bullet"/>
      <w:lvlText w:val=""/>
      <w:lvlJc w:val="left"/>
      <w:pPr>
        <w:tabs>
          <w:tab w:val="left" w:pos="5760"/>
        </w:tabs>
        <w:ind w:left="5760" w:hanging="360"/>
      </w:pPr>
      <w:rPr>
        <w:rFonts w:ascii="Wingdings" w:hAnsi="Wingdings" w:hint="default"/>
      </w:rPr>
    </w:lvl>
    <w:lvl w:ilvl="8" w:tplc="F376B6F6" w:tentative="1">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17C150B"/>
    <w:multiLevelType w:val="multilevel"/>
    <w:tmpl w:val="2F58969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F76ED"/>
    <w:multiLevelType w:val="multilevel"/>
    <w:tmpl w:val="847E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AFD71ED"/>
    <w:multiLevelType w:val="multilevel"/>
    <w:tmpl w:val="9E80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6E0FF7"/>
    <w:multiLevelType w:val="multilevel"/>
    <w:tmpl w:val="42AE7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4"/>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58E"/>
    <w:rsid w:val="00072581"/>
    <w:rsid w:val="00134D90"/>
    <w:rsid w:val="00162CA7"/>
    <w:rsid w:val="001D57F0"/>
    <w:rsid w:val="001E3504"/>
    <w:rsid w:val="00205FD0"/>
    <w:rsid w:val="0025158E"/>
    <w:rsid w:val="00266886"/>
    <w:rsid w:val="002E2754"/>
    <w:rsid w:val="0033363D"/>
    <w:rsid w:val="004507B8"/>
    <w:rsid w:val="00464D30"/>
    <w:rsid w:val="005625DB"/>
    <w:rsid w:val="00584C15"/>
    <w:rsid w:val="005E1A78"/>
    <w:rsid w:val="00650875"/>
    <w:rsid w:val="00670C91"/>
    <w:rsid w:val="006F1350"/>
    <w:rsid w:val="00733240"/>
    <w:rsid w:val="0074157A"/>
    <w:rsid w:val="00746259"/>
    <w:rsid w:val="00752EE6"/>
    <w:rsid w:val="0080594E"/>
    <w:rsid w:val="008A5216"/>
    <w:rsid w:val="00915FD1"/>
    <w:rsid w:val="00A15F0C"/>
    <w:rsid w:val="00AC2631"/>
    <w:rsid w:val="00C62117"/>
    <w:rsid w:val="00C66AF1"/>
    <w:rsid w:val="00D26B18"/>
    <w:rsid w:val="00DA7E14"/>
    <w:rsid w:val="00DD5FF7"/>
    <w:rsid w:val="00E02BB6"/>
    <w:rsid w:val="00E358C1"/>
    <w:rsid w:val="00F01BBF"/>
    <w:rsid w:val="00F13B77"/>
    <w:rsid w:val="00F17D53"/>
    <w:rsid w:val="00F252EC"/>
    <w:rsid w:val="00F36F36"/>
    <w:rsid w:val="00FA3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07C092"/>
  <w15:chartTrackingRefBased/>
  <w15:docId w15:val="{E240BCD3-0328-432A-B3FD-4CAE4B76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58E"/>
    <w:rPr>
      <w:rFonts w:ascii="Calibri" w:eastAsia="Calibri" w:hAnsi="Calibri" w:cs="SimSun"/>
    </w:rPr>
  </w:style>
  <w:style w:type="paragraph" w:styleId="Heading1">
    <w:name w:val="heading 1"/>
    <w:basedOn w:val="Normal"/>
    <w:next w:val="Normal"/>
    <w:link w:val="Heading1Char"/>
    <w:uiPriority w:val="9"/>
    <w:qFormat/>
    <w:rsid w:val="002515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15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158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158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158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15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15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15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15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58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15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158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158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158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15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15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15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158E"/>
    <w:rPr>
      <w:rFonts w:eastAsiaTheme="majorEastAsia" w:cstheme="majorBidi"/>
      <w:color w:val="272727" w:themeColor="text1" w:themeTint="D8"/>
    </w:rPr>
  </w:style>
  <w:style w:type="paragraph" w:styleId="Title">
    <w:name w:val="Title"/>
    <w:basedOn w:val="Normal"/>
    <w:next w:val="Normal"/>
    <w:link w:val="TitleChar"/>
    <w:uiPriority w:val="10"/>
    <w:qFormat/>
    <w:rsid w:val="002515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15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15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15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158E"/>
    <w:pPr>
      <w:spacing w:before="160"/>
      <w:jc w:val="center"/>
    </w:pPr>
    <w:rPr>
      <w:i/>
      <w:iCs/>
      <w:color w:val="404040" w:themeColor="text1" w:themeTint="BF"/>
    </w:rPr>
  </w:style>
  <w:style w:type="character" w:customStyle="1" w:styleId="QuoteChar">
    <w:name w:val="Quote Char"/>
    <w:basedOn w:val="DefaultParagraphFont"/>
    <w:link w:val="Quote"/>
    <w:uiPriority w:val="29"/>
    <w:rsid w:val="0025158E"/>
    <w:rPr>
      <w:i/>
      <w:iCs/>
      <w:color w:val="404040" w:themeColor="text1" w:themeTint="BF"/>
    </w:rPr>
  </w:style>
  <w:style w:type="paragraph" w:styleId="ListParagraph">
    <w:name w:val="List Paragraph"/>
    <w:basedOn w:val="Normal"/>
    <w:uiPriority w:val="34"/>
    <w:qFormat/>
    <w:rsid w:val="0025158E"/>
    <w:pPr>
      <w:ind w:left="720"/>
      <w:contextualSpacing/>
    </w:pPr>
  </w:style>
  <w:style w:type="character" w:styleId="IntenseEmphasis">
    <w:name w:val="Intense Emphasis"/>
    <w:basedOn w:val="DefaultParagraphFont"/>
    <w:uiPriority w:val="21"/>
    <w:qFormat/>
    <w:rsid w:val="0025158E"/>
    <w:rPr>
      <w:i/>
      <w:iCs/>
      <w:color w:val="2F5496" w:themeColor="accent1" w:themeShade="BF"/>
    </w:rPr>
  </w:style>
  <w:style w:type="paragraph" w:styleId="IntenseQuote">
    <w:name w:val="Intense Quote"/>
    <w:basedOn w:val="Normal"/>
    <w:next w:val="Normal"/>
    <w:link w:val="IntenseQuoteChar"/>
    <w:uiPriority w:val="30"/>
    <w:qFormat/>
    <w:rsid w:val="002515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158E"/>
    <w:rPr>
      <w:i/>
      <w:iCs/>
      <w:color w:val="2F5496" w:themeColor="accent1" w:themeShade="BF"/>
    </w:rPr>
  </w:style>
  <w:style w:type="character" w:styleId="IntenseReference">
    <w:name w:val="Intense Reference"/>
    <w:basedOn w:val="DefaultParagraphFont"/>
    <w:uiPriority w:val="32"/>
    <w:qFormat/>
    <w:rsid w:val="0025158E"/>
    <w:rPr>
      <w:b/>
      <w:bCs/>
      <w:smallCaps/>
      <w:color w:val="2F5496" w:themeColor="accent1" w:themeShade="BF"/>
      <w:spacing w:val="5"/>
    </w:rPr>
  </w:style>
  <w:style w:type="paragraph" w:styleId="NoSpacing">
    <w:name w:val="No Spacing"/>
    <w:uiPriority w:val="1"/>
    <w:qFormat/>
    <w:rsid w:val="0025158E"/>
    <w:pPr>
      <w:spacing w:after="0" w:line="240" w:lineRule="auto"/>
    </w:pPr>
    <w:rPr>
      <w:rFonts w:ascii="Calibri" w:eastAsia="Times New Roman" w:hAnsi="Calibri" w:cs="Times New Roman"/>
    </w:rPr>
  </w:style>
  <w:style w:type="table" w:styleId="TableGrid">
    <w:name w:val="Table Grid"/>
    <w:basedOn w:val="TableNormal"/>
    <w:uiPriority w:val="39"/>
    <w:qFormat/>
    <w:rsid w:val="002E275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50"/>
    <w:rPr>
      <w:rFonts w:ascii="Calibri" w:eastAsia="Calibri" w:hAnsi="Calibri" w:cs="SimSun"/>
    </w:rPr>
  </w:style>
  <w:style w:type="paragraph" w:styleId="Footer">
    <w:name w:val="footer"/>
    <w:basedOn w:val="Normal"/>
    <w:link w:val="FooterChar"/>
    <w:uiPriority w:val="99"/>
    <w:unhideWhenUsed/>
    <w:rsid w:val="006F1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50"/>
    <w:rPr>
      <w:rFonts w:ascii="Calibri" w:eastAsia="Calibri" w:hAnsi="Calibri" w:cs="SimSun"/>
    </w:rPr>
  </w:style>
  <w:style w:type="character" w:styleId="Hyperlink">
    <w:name w:val="Hyperlink"/>
    <w:basedOn w:val="DefaultParagraphFont"/>
    <w:uiPriority w:val="99"/>
    <w:unhideWhenUsed/>
    <w:rsid w:val="00DA7E14"/>
    <w:rPr>
      <w:color w:val="0563C1" w:themeColor="hyperlink"/>
      <w:u w:val="single"/>
    </w:rPr>
  </w:style>
  <w:style w:type="character" w:styleId="UnresolvedMention">
    <w:name w:val="Unresolved Mention"/>
    <w:basedOn w:val="DefaultParagraphFont"/>
    <w:uiPriority w:val="99"/>
    <w:semiHidden/>
    <w:unhideWhenUsed/>
    <w:rsid w:val="00DA7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7750">
      <w:bodyDiv w:val="1"/>
      <w:marLeft w:val="0"/>
      <w:marRight w:val="0"/>
      <w:marTop w:val="0"/>
      <w:marBottom w:val="0"/>
      <w:divBdr>
        <w:top w:val="none" w:sz="0" w:space="0" w:color="auto"/>
        <w:left w:val="none" w:sz="0" w:space="0" w:color="auto"/>
        <w:bottom w:val="none" w:sz="0" w:space="0" w:color="auto"/>
        <w:right w:val="none" w:sz="0" w:space="0" w:color="auto"/>
      </w:divBdr>
    </w:div>
    <w:div w:id="63571533">
      <w:bodyDiv w:val="1"/>
      <w:marLeft w:val="0"/>
      <w:marRight w:val="0"/>
      <w:marTop w:val="0"/>
      <w:marBottom w:val="0"/>
      <w:divBdr>
        <w:top w:val="none" w:sz="0" w:space="0" w:color="auto"/>
        <w:left w:val="none" w:sz="0" w:space="0" w:color="auto"/>
        <w:bottom w:val="none" w:sz="0" w:space="0" w:color="auto"/>
        <w:right w:val="none" w:sz="0" w:space="0" w:color="auto"/>
      </w:divBdr>
    </w:div>
    <w:div w:id="190336944">
      <w:bodyDiv w:val="1"/>
      <w:marLeft w:val="0"/>
      <w:marRight w:val="0"/>
      <w:marTop w:val="0"/>
      <w:marBottom w:val="0"/>
      <w:divBdr>
        <w:top w:val="none" w:sz="0" w:space="0" w:color="auto"/>
        <w:left w:val="none" w:sz="0" w:space="0" w:color="auto"/>
        <w:bottom w:val="none" w:sz="0" w:space="0" w:color="auto"/>
        <w:right w:val="none" w:sz="0" w:space="0" w:color="auto"/>
      </w:divBdr>
    </w:div>
    <w:div w:id="283973247">
      <w:bodyDiv w:val="1"/>
      <w:marLeft w:val="0"/>
      <w:marRight w:val="0"/>
      <w:marTop w:val="0"/>
      <w:marBottom w:val="0"/>
      <w:divBdr>
        <w:top w:val="none" w:sz="0" w:space="0" w:color="auto"/>
        <w:left w:val="none" w:sz="0" w:space="0" w:color="auto"/>
        <w:bottom w:val="none" w:sz="0" w:space="0" w:color="auto"/>
        <w:right w:val="none" w:sz="0" w:space="0" w:color="auto"/>
      </w:divBdr>
    </w:div>
    <w:div w:id="287396898">
      <w:bodyDiv w:val="1"/>
      <w:marLeft w:val="0"/>
      <w:marRight w:val="0"/>
      <w:marTop w:val="0"/>
      <w:marBottom w:val="0"/>
      <w:divBdr>
        <w:top w:val="none" w:sz="0" w:space="0" w:color="auto"/>
        <w:left w:val="none" w:sz="0" w:space="0" w:color="auto"/>
        <w:bottom w:val="none" w:sz="0" w:space="0" w:color="auto"/>
        <w:right w:val="none" w:sz="0" w:space="0" w:color="auto"/>
      </w:divBdr>
    </w:div>
    <w:div w:id="430129907">
      <w:bodyDiv w:val="1"/>
      <w:marLeft w:val="0"/>
      <w:marRight w:val="0"/>
      <w:marTop w:val="0"/>
      <w:marBottom w:val="0"/>
      <w:divBdr>
        <w:top w:val="none" w:sz="0" w:space="0" w:color="auto"/>
        <w:left w:val="none" w:sz="0" w:space="0" w:color="auto"/>
        <w:bottom w:val="none" w:sz="0" w:space="0" w:color="auto"/>
        <w:right w:val="none" w:sz="0" w:space="0" w:color="auto"/>
      </w:divBdr>
      <w:divsChild>
        <w:div w:id="608128463">
          <w:marLeft w:val="0"/>
          <w:marRight w:val="0"/>
          <w:marTop w:val="0"/>
          <w:marBottom w:val="0"/>
          <w:divBdr>
            <w:top w:val="none" w:sz="0" w:space="0" w:color="auto"/>
            <w:left w:val="none" w:sz="0" w:space="0" w:color="auto"/>
            <w:bottom w:val="none" w:sz="0" w:space="0" w:color="auto"/>
            <w:right w:val="none" w:sz="0" w:space="0" w:color="auto"/>
          </w:divBdr>
          <w:divsChild>
            <w:div w:id="583881588">
              <w:marLeft w:val="0"/>
              <w:marRight w:val="0"/>
              <w:marTop w:val="0"/>
              <w:marBottom w:val="0"/>
              <w:divBdr>
                <w:top w:val="none" w:sz="0" w:space="0" w:color="auto"/>
                <w:left w:val="none" w:sz="0" w:space="0" w:color="auto"/>
                <w:bottom w:val="none" w:sz="0" w:space="0" w:color="auto"/>
                <w:right w:val="none" w:sz="0" w:space="0" w:color="auto"/>
              </w:divBdr>
              <w:divsChild>
                <w:div w:id="517431217">
                  <w:marLeft w:val="0"/>
                  <w:marRight w:val="0"/>
                  <w:marTop w:val="0"/>
                  <w:marBottom w:val="0"/>
                  <w:divBdr>
                    <w:top w:val="none" w:sz="0" w:space="0" w:color="auto"/>
                    <w:left w:val="none" w:sz="0" w:space="0" w:color="auto"/>
                    <w:bottom w:val="none" w:sz="0" w:space="0" w:color="auto"/>
                    <w:right w:val="none" w:sz="0" w:space="0" w:color="auto"/>
                  </w:divBdr>
                  <w:divsChild>
                    <w:div w:id="1121848105">
                      <w:marLeft w:val="0"/>
                      <w:marRight w:val="0"/>
                      <w:marTop w:val="0"/>
                      <w:marBottom w:val="0"/>
                      <w:divBdr>
                        <w:top w:val="none" w:sz="0" w:space="0" w:color="auto"/>
                        <w:left w:val="none" w:sz="0" w:space="0" w:color="auto"/>
                        <w:bottom w:val="none" w:sz="0" w:space="0" w:color="auto"/>
                        <w:right w:val="none" w:sz="0" w:space="0" w:color="auto"/>
                      </w:divBdr>
                      <w:divsChild>
                        <w:div w:id="356154181">
                          <w:marLeft w:val="0"/>
                          <w:marRight w:val="0"/>
                          <w:marTop w:val="0"/>
                          <w:marBottom w:val="0"/>
                          <w:divBdr>
                            <w:top w:val="none" w:sz="0" w:space="0" w:color="auto"/>
                            <w:left w:val="none" w:sz="0" w:space="0" w:color="auto"/>
                            <w:bottom w:val="none" w:sz="0" w:space="0" w:color="auto"/>
                            <w:right w:val="none" w:sz="0" w:space="0" w:color="auto"/>
                          </w:divBdr>
                          <w:divsChild>
                            <w:div w:id="1099639661">
                              <w:marLeft w:val="0"/>
                              <w:marRight w:val="0"/>
                              <w:marTop w:val="0"/>
                              <w:marBottom w:val="0"/>
                              <w:divBdr>
                                <w:top w:val="none" w:sz="0" w:space="0" w:color="auto"/>
                                <w:left w:val="none" w:sz="0" w:space="0" w:color="auto"/>
                                <w:bottom w:val="none" w:sz="0" w:space="0" w:color="auto"/>
                                <w:right w:val="none" w:sz="0" w:space="0" w:color="auto"/>
                              </w:divBdr>
                              <w:divsChild>
                                <w:div w:id="2131196211">
                                  <w:marLeft w:val="0"/>
                                  <w:marRight w:val="0"/>
                                  <w:marTop w:val="0"/>
                                  <w:marBottom w:val="0"/>
                                  <w:divBdr>
                                    <w:top w:val="none" w:sz="0" w:space="0" w:color="auto"/>
                                    <w:left w:val="none" w:sz="0" w:space="0" w:color="auto"/>
                                    <w:bottom w:val="none" w:sz="0" w:space="0" w:color="auto"/>
                                    <w:right w:val="none" w:sz="0" w:space="0" w:color="auto"/>
                                  </w:divBdr>
                                  <w:divsChild>
                                    <w:div w:id="186096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664131">
      <w:bodyDiv w:val="1"/>
      <w:marLeft w:val="0"/>
      <w:marRight w:val="0"/>
      <w:marTop w:val="0"/>
      <w:marBottom w:val="0"/>
      <w:divBdr>
        <w:top w:val="none" w:sz="0" w:space="0" w:color="auto"/>
        <w:left w:val="none" w:sz="0" w:space="0" w:color="auto"/>
        <w:bottom w:val="none" w:sz="0" w:space="0" w:color="auto"/>
        <w:right w:val="none" w:sz="0" w:space="0" w:color="auto"/>
      </w:divBdr>
      <w:divsChild>
        <w:div w:id="967206416">
          <w:marLeft w:val="0"/>
          <w:marRight w:val="0"/>
          <w:marTop w:val="0"/>
          <w:marBottom w:val="0"/>
          <w:divBdr>
            <w:top w:val="none" w:sz="0" w:space="0" w:color="auto"/>
            <w:left w:val="none" w:sz="0" w:space="0" w:color="auto"/>
            <w:bottom w:val="none" w:sz="0" w:space="0" w:color="auto"/>
            <w:right w:val="none" w:sz="0" w:space="0" w:color="auto"/>
          </w:divBdr>
          <w:divsChild>
            <w:div w:id="497035668">
              <w:marLeft w:val="0"/>
              <w:marRight w:val="0"/>
              <w:marTop w:val="0"/>
              <w:marBottom w:val="0"/>
              <w:divBdr>
                <w:top w:val="none" w:sz="0" w:space="0" w:color="auto"/>
                <w:left w:val="none" w:sz="0" w:space="0" w:color="auto"/>
                <w:bottom w:val="none" w:sz="0" w:space="0" w:color="auto"/>
                <w:right w:val="none" w:sz="0" w:space="0" w:color="auto"/>
              </w:divBdr>
              <w:divsChild>
                <w:div w:id="1778014368">
                  <w:marLeft w:val="0"/>
                  <w:marRight w:val="0"/>
                  <w:marTop w:val="0"/>
                  <w:marBottom w:val="0"/>
                  <w:divBdr>
                    <w:top w:val="none" w:sz="0" w:space="0" w:color="auto"/>
                    <w:left w:val="none" w:sz="0" w:space="0" w:color="auto"/>
                    <w:bottom w:val="none" w:sz="0" w:space="0" w:color="auto"/>
                    <w:right w:val="none" w:sz="0" w:space="0" w:color="auto"/>
                  </w:divBdr>
                  <w:divsChild>
                    <w:div w:id="1282952857">
                      <w:marLeft w:val="0"/>
                      <w:marRight w:val="0"/>
                      <w:marTop w:val="0"/>
                      <w:marBottom w:val="0"/>
                      <w:divBdr>
                        <w:top w:val="none" w:sz="0" w:space="0" w:color="auto"/>
                        <w:left w:val="none" w:sz="0" w:space="0" w:color="auto"/>
                        <w:bottom w:val="none" w:sz="0" w:space="0" w:color="auto"/>
                        <w:right w:val="none" w:sz="0" w:space="0" w:color="auto"/>
                      </w:divBdr>
                      <w:divsChild>
                        <w:div w:id="1030955312">
                          <w:marLeft w:val="0"/>
                          <w:marRight w:val="0"/>
                          <w:marTop w:val="0"/>
                          <w:marBottom w:val="0"/>
                          <w:divBdr>
                            <w:top w:val="none" w:sz="0" w:space="0" w:color="auto"/>
                            <w:left w:val="none" w:sz="0" w:space="0" w:color="auto"/>
                            <w:bottom w:val="none" w:sz="0" w:space="0" w:color="auto"/>
                            <w:right w:val="none" w:sz="0" w:space="0" w:color="auto"/>
                          </w:divBdr>
                          <w:divsChild>
                            <w:div w:id="1774788378">
                              <w:marLeft w:val="0"/>
                              <w:marRight w:val="0"/>
                              <w:marTop w:val="0"/>
                              <w:marBottom w:val="0"/>
                              <w:divBdr>
                                <w:top w:val="none" w:sz="0" w:space="0" w:color="auto"/>
                                <w:left w:val="none" w:sz="0" w:space="0" w:color="auto"/>
                                <w:bottom w:val="none" w:sz="0" w:space="0" w:color="auto"/>
                                <w:right w:val="none" w:sz="0" w:space="0" w:color="auto"/>
                              </w:divBdr>
                              <w:divsChild>
                                <w:div w:id="1367757532">
                                  <w:marLeft w:val="0"/>
                                  <w:marRight w:val="0"/>
                                  <w:marTop w:val="0"/>
                                  <w:marBottom w:val="0"/>
                                  <w:divBdr>
                                    <w:top w:val="none" w:sz="0" w:space="0" w:color="auto"/>
                                    <w:left w:val="none" w:sz="0" w:space="0" w:color="auto"/>
                                    <w:bottom w:val="none" w:sz="0" w:space="0" w:color="auto"/>
                                    <w:right w:val="none" w:sz="0" w:space="0" w:color="auto"/>
                                  </w:divBdr>
                                  <w:divsChild>
                                    <w:div w:id="2870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222052">
      <w:bodyDiv w:val="1"/>
      <w:marLeft w:val="0"/>
      <w:marRight w:val="0"/>
      <w:marTop w:val="0"/>
      <w:marBottom w:val="0"/>
      <w:divBdr>
        <w:top w:val="none" w:sz="0" w:space="0" w:color="auto"/>
        <w:left w:val="none" w:sz="0" w:space="0" w:color="auto"/>
        <w:bottom w:val="none" w:sz="0" w:space="0" w:color="auto"/>
        <w:right w:val="none" w:sz="0" w:space="0" w:color="auto"/>
      </w:divBdr>
      <w:divsChild>
        <w:div w:id="429736478">
          <w:marLeft w:val="0"/>
          <w:marRight w:val="0"/>
          <w:marTop w:val="0"/>
          <w:marBottom w:val="0"/>
          <w:divBdr>
            <w:top w:val="none" w:sz="0" w:space="0" w:color="auto"/>
            <w:left w:val="none" w:sz="0" w:space="0" w:color="auto"/>
            <w:bottom w:val="none" w:sz="0" w:space="0" w:color="auto"/>
            <w:right w:val="none" w:sz="0" w:space="0" w:color="auto"/>
          </w:divBdr>
          <w:divsChild>
            <w:div w:id="1524788162">
              <w:marLeft w:val="0"/>
              <w:marRight w:val="0"/>
              <w:marTop w:val="0"/>
              <w:marBottom w:val="0"/>
              <w:divBdr>
                <w:top w:val="none" w:sz="0" w:space="0" w:color="auto"/>
                <w:left w:val="none" w:sz="0" w:space="0" w:color="auto"/>
                <w:bottom w:val="none" w:sz="0" w:space="0" w:color="auto"/>
                <w:right w:val="none" w:sz="0" w:space="0" w:color="auto"/>
              </w:divBdr>
              <w:divsChild>
                <w:div w:id="1710258410">
                  <w:marLeft w:val="0"/>
                  <w:marRight w:val="0"/>
                  <w:marTop w:val="0"/>
                  <w:marBottom w:val="0"/>
                  <w:divBdr>
                    <w:top w:val="none" w:sz="0" w:space="0" w:color="auto"/>
                    <w:left w:val="none" w:sz="0" w:space="0" w:color="auto"/>
                    <w:bottom w:val="none" w:sz="0" w:space="0" w:color="auto"/>
                    <w:right w:val="none" w:sz="0" w:space="0" w:color="auto"/>
                  </w:divBdr>
                  <w:divsChild>
                    <w:div w:id="1340546516">
                      <w:marLeft w:val="0"/>
                      <w:marRight w:val="0"/>
                      <w:marTop w:val="0"/>
                      <w:marBottom w:val="0"/>
                      <w:divBdr>
                        <w:top w:val="none" w:sz="0" w:space="0" w:color="auto"/>
                        <w:left w:val="none" w:sz="0" w:space="0" w:color="auto"/>
                        <w:bottom w:val="none" w:sz="0" w:space="0" w:color="auto"/>
                        <w:right w:val="none" w:sz="0" w:space="0" w:color="auto"/>
                      </w:divBdr>
                      <w:divsChild>
                        <w:div w:id="120540481">
                          <w:marLeft w:val="0"/>
                          <w:marRight w:val="0"/>
                          <w:marTop w:val="0"/>
                          <w:marBottom w:val="0"/>
                          <w:divBdr>
                            <w:top w:val="none" w:sz="0" w:space="0" w:color="auto"/>
                            <w:left w:val="none" w:sz="0" w:space="0" w:color="auto"/>
                            <w:bottom w:val="none" w:sz="0" w:space="0" w:color="auto"/>
                            <w:right w:val="none" w:sz="0" w:space="0" w:color="auto"/>
                          </w:divBdr>
                          <w:divsChild>
                            <w:div w:id="1490517735">
                              <w:marLeft w:val="0"/>
                              <w:marRight w:val="0"/>
                              <w:marTop w:val="0"/>
                              <w:marBottom w:val="0"/>
                              <w:divBdr>
                                <w:top w:val="none" w:sz="0" w:space="0" w:color="auto"/>
                                <w:left w:val="none" w:sz="0" w:space="0" w:color="auto"/>
                                <w:bottom w:val="none" w:sz="0" w:space="0" w:color="auto"/>
                                <w:right w:val="none" w:sz="0" w:space="0" w:color="auto"/>
                              </w:divBdr>
                              <w:divsChild>
                                <w:div w:id="1431009474">
                                  <w:marLeft w:val="0"/>
                                  <w:marRight w:val="0"/>
                                  <w:marTop w:val="0"/>
                                  <w:marBottom w:val="0"/>
                                  <w:divBdr>
                                    <w:top w:val="none" w:sz="0" w:space="0" w:color="auto"/>
                                    <w:left w:val="none" w:sz="0" w:space="0" w:color="auto"/>
                                    <w:bottom w:val="none" w:sz="0" w:space="0" w:color="auto"/>
                                    <w:right w:val="none" w:sz="0" w:space="0" w:color="auto"/>
                                  </w:divBdr>
                                  <w:divsChild>
                                    <w:div w:id="18252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78232">
      <w:bodyDiv w:val="1"/>
      <w:marLeft w:val="0"/>
      <w:marRight w:val="0"/>
      <w:marTop w:val="0"/>
      <w:marBottom w:val="0"/>
      <w:divBdr>
        <w:top w:val="none" w:sz="0" w:space="0" w:color="auto"/>
        <w:left w:val="none" w:sz="0" w:space="0" w:color="auto"/>
        <w:bottom w:val="none" w:sz="0" w:space="0" w:color="auto"/>
        <w:right w:val="none" w:sz="0" w:space="0" w:color="auto"/>
      </w:divBdr>
      <w:divsChild>
        <w:div w:id="1398750257">
          <w:marLeft w:val="0"/>
          <w:marRight w:val="0"/>
          <w:marTop w:val="0"/>
          <w:marBottom w:val="0"/>
          <w:divBdr>
            <w:top w:val="none" w:sz="0" w:space="0" w:color="auto"/>
            <w:left w:val="none" w:sz="0" w:space="0" w:color="auto"/>
            <w:bottom w:val="none" w:sz="0" w:space="0" w:color="auto"/>
            <w:right w:val="none" w:sz="0" w:space="0" w:color="auto"/>
          </w:divBdr>
          <w:divsChild>
            <w:div w:id="600914290">
              <w:marLeft w:val="0"/>
              <w:marRight w:val="0"/>
              <w:marTop w:val="0"/>
              <w:marBottom w:val="0"/>
              <w:divBdr>
                <w:top w:val="none" w:sz="0" w:space="0" w:color="auto"/>
                <w:left w:val="none" w:sz="0" w:space="0" w:color="auto"/>
                <w:bottom w:val="none" w:sz="0" w:space="0" w:color="auto"/>
                <w:right w:val="none" w:sz="0" w:space="0" w:color="auto"/>
              </w:divBdr>
              <w:divsChild>
                <w:div w:id="59914498">
                  <w:marLeft w:val="0"/>
                  <w:marRight w:val="0"/>
                  <w:marTop w:val="0"/>
                  <w:marBottom w:val="0"/>
                  <w:divBdr>
                    <w:top w:val="none" w:sz="0" w:space="0" w:color="auto"/>
                    <w:left w:val="none" w:sz="0" w:space="0" w:color="auto"/>
                    <w:bottom w:val="none" w:sz="0" w:space="0" w:color="auto"/>
                    <w:right w:val="none" w:sz="0" w:space="0" w:color="auto"/>
                  </w:divBdr>
                  <w:divsChild>
                    <w:div w:id="2085252270">
                      <w:marLeft w:val="0"/>
                      <w:marRight w:val="0"/>
                      <w:marTop w:val="0"/>
                      <w:marBottom w:val="0"/>
                      <w:divBdr>
                        <w:top w:val="none" w:sz="0" w:space="0" w:color="auto"/>
                        <w:left w:val="none" w:sz="0" w:space="0" w:color="auto"/>
                        <w:bottom w:val="none" w:sz="0" w:space="0" w:color="auto"/>
                        <w:right w:val="none" w:sz="0" w:space="0" w:color="auto"/>
                      </w:divBdr>
                      <w:divsChild>
                        <w:div w:id="1773435792">
                          <w:marLeft w:val="0"/>
                          <w:marRight w:val="0"/>
                          <w:marTop w:val="0"/>
                          <w:marBottom w:val="0"/>
                          <w:divBdr>
                            <w:top w:val="none" w:sz="0" w:space="0" w:color="auto"/>
                            <w:left w:val="none" w:sz="0" w:space="0" w:color="auto"/>
                            <w:bottom w:val="none" w:sz="0" w:space="0" w:color="auto"/>
                            <w:right w:val="none" w:sz="0" w:space="0" w:color="auto"/>
                          </w:divBdr>
                          <w:divsChild>
                            <w:div w:id="653728816">
                              <w:marLeft w:val="0"/>
                              <w:marRight w:val="0"/>
                              <w:marTop w:val="0"/>
                              <w:marBottom w:val="0"/>
                              <w:divBdr>
                                <w:top w:val="none" w:sz="0" w:space="0" w:color="auto"/>
                                <w:left w:val="none" w:sz="0" w:space="0" w:color="auto"/>
                                <w:bottom w:val="none" w:sz="0" w:space="0" w:color="auto"/>
                                <w:right w:val="none" w:sz="0" w:space="0" w:color="auto"/>
                              </w:divBdr>
                              <w:divsChild>
                                <w:div w:id="1631784238">
                                  <w:marLeft w:val="0"/>
                                  <w:marRight w:val="0"/>
                                  <w:marTop w:val="0"/>
                                  <w:marBottom w:val="0"/>
                                  <w:divBdr>
                                    <w:top w:val="none" w:sz="0" w:space="0" w:color="auto"/>
                                    <w:left w:val="none" w:sz="0" w:space="0" w:color="auto"/>
                                    <w:bottom w:val="none" w:sz="0" w:space="0" w:color="auto"/>
                                    <w:right w:val="none" w:sz="0" w:space="0" w:color="auto"/>
                                  </w:divBdr>
                                  <w:divsChild>
                                    <w:div w:id="14155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522672">
      <w:bodyDiv w:val="1"/>
      <w:marLeft w:val="0"/>
      <w:marRight w:val="0"/>
      <w:marTop w:val="0"/>
      <w:marBottom w:val="0"/>
      <w:divBdr>
        <w:top w:val="none" w:sz="0" w:space="0" w:color="auto"/>
        <w:left w:val="none" w:sz="0" w:space="0" w:color="auto"/>
        <w:bottom w:val="none" w:sz="0" w:space="0" w:color="auto"/>
        <w:right w:val="none" w:sz="0" w:space="0" w:color="auto"/>
      </w:divBdr>
    </w:div>
    <w:div w:id="821852810">
      <w:bodyDiv w:val="1"/>
      <w:marLeft w:val="0"/>
      <w:marRight w:val="0"/>
      <w:marTop w:val="0"/>
      <w:marBottom w:val="0"/>
      <w:divBdr>
        <w:top w:val="none" w:sz="0" w:space="0" w:color="auto"/>
        <w:left w:val="none" w:sz="0" w:space="0" w:color="auto"/>
        <w:bottom w:val="none" w:sz="0" w:space="0" w:color="auto"/>
        <w:right w:val="none" w:sz="0" w:space="0" w:color="auto"/>
      </w:divBdr>
    </w:div>
    <w:div w:id="902451265">
      <w:bodyDiv w:val="1"/>
      <w:marLeft w:val="0"/>
      <w:marRight w:val="0"/>
      <w:marTop w:val="0"/>
      <w:marBottom w:val="0"/>
      <w:divBdr>
        <w:top w:val="none" w:sz="0" w:space="0" w:color="auto"/>
        <w:left w:val="none" w:sz="0" w:space="0" w:color="auto"/>
        <w:bottom w:val="none" w:sz="0" w:space="0" w:color="auto"/>
        <w:right w:val="none" w:sz="0" w:space="0" w:color="auto"/>
      </w:divBdr>
      <w:divsChild>
        <w:div w:id="552080433">
          <w:marLeft w:val="0"/>
          <w:marRight w:val="0"/>
          <w:marTop w:val="0"/>
          <w:marBottom w:val="0"/>
          <w:divBdr>
            <w:top w:val="none" w:sz="0" w:space="0" w:color="auto"/>
            <w:left w:val="none" w:sz="0" w:space="0" w:color="auto"/>
            <w:bottom w:val="none" w:sz="0" w:space="0" w:color="auto"/>
            <w:right w:val="none" w:sz="0" w:space="0" w:color="auto"/>
          </w:divBdr>
          <w:divsChild>
            <w:div w:id="1772705642">
              <w:marLeft w:val="0"/>
              <w:marRight w:val="0"/>
              <w:marTop w:val="0"/>
              <w:marBottom w:val="0"/>
              <w:divBdr>
                <w:top w:val="none" w:sz="0" w:space="0" w:color="auto"/>
                <w:left w:val="none" w:sz="0" w:space="0" w:color="auto"/>
                <w:bottom w:val="none" w:sz="0" w:space="0" w:color="auto"/>
                <w:right w:val="none" w:sz="0" w:space="0" w:color="auto"/>
              </w:divBdr>
              <w:divsChild>
                <w:div w:id="2098751431">
                  <w:marLeft w:val="0"/>
                  <w:marRight w:val="0"/>
                  <w:marTop w:val="0"/>
                  <w:marBottom w:val="0"/>
                  <w:divBdr>
                    <w:top w:val="none" w:sz="0" w:space="0" w:color="auto"/>
                    <w:left w:val="none" w:sz="0" w:space="0" w:color="auto"/>
                    <w:bottom w:val="none" w:sz="0" w:space="0" w:color="auto"/>
                    <w:right w:val="none" w:sz="0" w:space="0" w:color="auto"/>
                  </w:divBdr>
                  <w:divsChild>
                    <w:div w:id="279801957">
                      <w:marLeft w:val="0"/>
                      <w:marRight w:val="0"/>
                      <w:marTop w:val="0"/>
                      <w:marBottom w:val="0"/>
                      <w:divBdr>
                        <w:top w:val="none" w:sz="0" w:space="0" w:color="auto"/>
                        <w:left w:val="none" w:sz="0" w:space="0" w:color="auto"/>
                        <w:bottom w:val="none" w:sz="0" w:space="0" w:color="auto"/>
                        <w:right w:val="none" w:sz="0" w:space="0" w:color="auto"/>
                      </w:divBdr>
                      <w:divsChild>
                        <w:div w:id="747920955">
                          <w:marLeft w:val="0"/>
                          <w:marRight w:val="0"/>
                          <w:marTop w:val="0"/>
                          <w:marBottom w:val="0"/>
                          <w:divBdr>
                            <w:top w:val="none" w:sz="0" w:space="0" w:color="auto"/>
                            <w:left w:val="none" w:sz="0" w:space="0" w:color="auto"/>
                            <w:bottom w:val="none" w:sz="0" w:space="0" w:color="auto"/>
                            <w:right w:val="none" w:sz="0" w:space="0" w:color="auto"/>
                          </w:divBdr>
                          <w:divsChild>
                            <w:div w:id="2107535235">
                              <w:marLeft w:val="0"/>
                              <w:marRight w:val="0"/>
                              <w:marTop w:val="0"/>
                              <w:marBottom w:val="0"/>
                              <w:divBdr>
                                <w:top w:val="none" w:sz="0" w:space="0" w:color="auto"/>
                                <w:left w:val="none" w:sz="0" w:space="0" w:color="auto"/>
                                <w:bottom w:val="none" w:sz="0" w:space="0" w:color="auto"/>
                                <w:right w:val="none" w:sz="0" w:space="0" w:color="auto"/>
                              </w:divBdr>
                              <w:divsChild>
                                <w:div w:id="1058406880">
                                  <w:marLeft w:val="0"/>
                                  <w:marRight w:val="0"/>
                                  <w:marTop w:val="0"/>
                                  <w:marBottom w:val="0"/>
                                  <w:divBdr>
                                    <w:top w:val="none" w:sz="0" w:space="0" w:color="auto"/>
                                    <w:left w:val="none" w:sz="0" w:space="0" w:color="auto"/>
                                    <w:bottom w:val="none" w:sz="0" w:space="0" w:color="auto"/>
                                    <w:right w:val="none" w:sz="0" w:space="0" w:color="auto"/>
                                  </w:divBdr>
                                  <w:divsChild>
                                    <w:div w:id="18886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050734">
      <w:bodyDiv w:val="1"/>
      <w:marLeft w:val="0"/>
      <w:marRight w:val="0"/>
      <w:marTop w:val="0"/>
      <w:marBottom w:val="0"/>
      <w:divBdr>
        <w:top w:val="none" w:sz="0" w:space="0" w:color="auto"/>
        <w:left w:val="none" w:sz="0" w:space="0" w:color="auto"/>
        <w:bottom w:val="none" w:sz="0" w:space="0" w:color="auto"/>
        <w:right w:val="none" w:sz="0" w:space="0" w:color="auto"/>
      </w:divBdr>
      <w:divsChild>
        <w:div w:id="1026102408">
          <w:marLeft w:val="0"/>
          <w:marRight w:val="0"/>
          <w:marTop w:val="0"/>
          <w:marBottom w:val="0"/>
          <w:divBdr>
            <w:top w:val="none" w:sz="0" w:space="0" w:color="auto"/>
            <w:left w:val="none" w:sz="0" w:space="0" w:color="auto"/>
            <w:bottom w:val="none" w:sz="0" w:space="0" w:color="auto"/>
            <w:right w:val="none" w:sz="0" w:space="0" w:color="auto"/>
          </w:divBdr>
          <w:divsChild>
            <w:div w:id="1845314433">
              <w:marLeft w:val="0"/>
              <w:marRight w:val="0"/>
              <w:marTop w:val="0"/>
              <w:marBottom w:val="0"/>
              <w:divBdr>
                <w:top w:val="none" w:sz="0" w:space="0" w:color="auto"/>
                <w:left w:val="none" w:sz="0" w:space="0" w:color="auto"/>
                <w:bottom w:val="none" w:sz="0" w:space="0" w:color="auto"/>
                <w:right w:val="none" w:sz="0" w:space="0" w:color="auto"/>
              </w:divBdr>
              <w:divsChild>
                <w:div w:id="228661045">
                  <w:marLeft w:val="0"/>
                  <w:marRight w:val="0"/>
                  <w:marTop w:val="0"/>
                  <w:marBottom w:val="0"/>
                  <w:divBdr>
                    <w:top w:val="none" w:sz="0" w:space="0" w:color="auto"/>
                    <w:left w:val="none" w:sz="0" w:space="0" w:color="auto"/>
                    <w:bottom w:val="none" w:sz="0" w:space="0" w:color="auto"/>
                    <w:right w:val="none" w:sz="0" w:space="0" w:color="auto"/>
                  </w:divBdr>
                  <w:divsChild>
                    <w:div w:id="1705137305">
                      <w:marLeft w:val="0"/>
                      <w:marRight w:val="0"/>
                      <w:marTop w:val="0"/>
                      <w:marBottom w:val="0"/>
                      <w:divBdr>
                        <w:top w:val="none" w:sz="0" w:space="0" w:color="auto"/>
                        <w:left w:val="none" w:sz="0" w:space="0" w:color="auto"/>
                        <w:bottom w:val="none" w:sz="0" w:space="0" w:color="auto"/>
                        <w:right w:val="none" w:sz="0" w:space="0" w:color="auto"/>
                      </w:divBdr>
                      <w:divsChild>
                        <w:div w:id="1874924551">
                          <w:marLeft w:val="0"/>
                          <w:marRight w:val="0"/>
                          <w:marTop w:val="0"/>
                          <w:marBottom w:val="0"/>
                          <w:divBdr>
                            <w:top w:val="none" w:sz="0" w:space="0" w:color="auto"/>
                            <w:left w:val="none" w:sz="0" w:space="0" w:color="auto"/>
                            <w:bottom w:val="none" w:sz="0" w:space="0" w:color="auto"/>
                            <w:right w:val="none" w:sz="0" w:space="0" w:color="auto"/>
                          </w:divBdr>
                          <w:divsChild>
                            <w:div w:id="1728069739">
                              <w:marLeft w:val="0"/>
                              <w:marRight w:val="0"/>
                              <w:marTop w:val="0"/>
                              <w:marBottom w:val="0"/>
                              <w:divBdr>
                                <w:top w:val="none" w:sz="0" w:space="0" w:color="auto"/>
                                <w:left w:val="none" w:sz="0" w:space="0" w:color="auto"/>
                                <w:bottom w:val="none" w:sz="0" w:space="0" w:color="auto"/>
                                <w:right w:val="none" w:sz="0" w:space="0" w:color="auto"/>
                              </w:divBdr>
                              <w:divsChild>
                                <w:div w:id="1380980770">
                                  <w:marLeft w:val="0"/>
                                  <w:marRight w:val="0"/>
                                  <w:marTop w:val="0"/>
                                  <w:marBottom w:val="0"/>
                                  <w:divBdr>
                                    <w:top w:val="none" w:sz="0" w:space="0" w:color="auto"/>
                                    <w:left w:val="none" w:sz="0" w:space="0" w:color="auto"/>
                                    <w:bottom w:val="none" w:sz="0" w:space="0" w:color="auto"/>
                                    <w:right w:val="none" w:sz="0" w:space="0" w:color="auto"/>
                                  </w:divBdr>
                                  <w:divsChild>
                                    <w:div w:id="8469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181068">
      <w:bodyDiv w:val="1"/>
      <w:marLeft w:val="0"/>
      <w:marRight w:val="0"/>
      <w:marTop w:val="0"/>
      <w:marBottom w:val="0"/>
      <w:divBdr>
        <w:top w:val="none" w:sz="0" w:space="0" w:color="auto"/>
        <w:left w:val="none" w:sz="0" w:space="0" w:color="auto"/>
        <w:bottom w:val="none" w:sz="0" w:space="0" w:color="auto"/>
        <w:right w:val="none" w:sz="0" w:space="0" w:color="auto"/>
      </w:divBdr>
    </w:div>
    <w:div w:id="1134637829">
      <w:bodyDiv w:val="1"/>
      <w:marLeft w:val="0"/>
      <w:marRight w:val="0"/>
      <w:marTop w:val="0"/>
      <w:marBottom w:val="0"/>
      <w:divBdr>
        <w:top w:val="none" w:sz="0" w:space="0" w:color="auto"/>
        <w:left w:val="none" w:sz="0" w:space="0" w:color="auto"/>
        <w:bottom w:val="none" w:sz="0" w:space="0" w:color="auto"/>
        <w:right w:val="none" w:sz="0" w:space="0" w:color="auto"/>
      </w:divBdr>
    </w:div>
    <w:div w:id="1176461552">
      <w:bodyDiv w:val="1"/>
      <w:marLeft w:val="0"/>
      <w:marRight w:val="0"/>
      <w:marTop w:val="0"/>
      <w:marBottom w:val="0"/>
      <w:divBdr>
        <w:top w:val="none" w:sz="0" w:space="0" w:color="auto"/>
        <w:left w:val="none" w:sz="0" w:space="0" w:color="auto"/>
        <w:bottom w:val="none" w:sz="0" w:space="0" w:color="auto"/>
        <w:right w:val="none" w:sz="0" w:space="0" w:color="auto"/>
      </w:divBdr>
      <w:divsChild>
        <w:div w:id="91096466">
          <w:marLeft w:val="0"/>
          <w:marRight w:val="0"/>
          <w:marTop w:val="0"/>
          <w:marBottom w:val="0"/>
          <w:divBdr>
            <w:top w:val="none" w:sz="0" w:space="0" w:color="auto"/>
            <w:left w:val="none" w:sz="0" w:space="0" w:color="auto"/>
            <w:bottom w:val="none" w:sz="0" w:space="0" w:color="auto"/>
            <w:right w:val="none" w:sz="0" w:space="0" w:color="auto"/>
          </w:divBdr>
        </w:div>
      </w:divsChild>
    </w:div>
    <w:div w:id="1180703130">
      <w:bodyDiv w:val="1"/>
      <w:marLeft w:val="0"/>
      <w:marRight w:val="0"/>
      <w:marTop w:val="0"/>
      <w:marBottom w:val="0"/>
      <w:divBdr>
        <w:top w:val="none" w:sz="0" w:space="0" w:color="auto"/>
        <w:left w:val="none" w:sz="0" w:space="0" w:color="auto"/>
        <w:bottom w:val="none" w:sz="0" w:space="0" w:color="auto"/>
        <w:right w:val="none" w:sz="0" w:space="0" w:color="auto"/>
      </w:divBdr>
      <w:divsChild>
        <w:div w:id="1647205234">
          <w:marLeft w:val="0"/>
          <w:marRight w:val="0"/>
          <w:marTop w:val="0"/>
          <w:marBottom w:val="0"/>
          <w:divBdr>
            <w:top w:val="none" w:sz="0" w:space="0" w:color="auto"/>
            <w:left w:val="none" w:sz="0" w:space="0" w:color="auto"/>
            <w:bottom w:val="none" w:sz="0" w:space="0" w:color="auto"/>
            <w:right w:val="none" w:sz="0" w:space="0" w:color="auto"/>
          </w:divBdr>
        </w:div>
      </w:divsChild>
    </w:div>
    <w:div w:id="1182007436">
      <w:bodyDiv w:val="1"/>
      <w:marLeft w:val="0"/>
      <w:marRight w:val="0"/>
      <w:marTop w:val="0"/>
      <w:marBottom w:val="0"/>
      <w:divBdr>
        <w:top w:val="none" w:sz="0" w:space="0" w:color="auto"/>
        <w:left w:val="none" w:sz="0" w:space="0" w:color="auto"/>
        <w:bottom w:val="none" w:sz="0" w:space="0" w:color="auto"/>
        <w:right w:val="none" w:sz="0" w:space="0" w:color="auto"/>
      </w:divBdr>
    </w:div>
    <w:div w:id="1261990771">
      <w:bodyDiv w:val="1"/>
      <w:marLeft w:val="0"/>
      <w:marRight w:val="0"/>
      <w:marTop w:val="0"/>
      <w:marBottom w:val="0"/>
      <w:divBdr>
        <w:top w:val="none" w:sz="0" w:space="0" w:color="auto"/>
        <w:left w:val="none" w:sz="0" w:space="0" w:color="auto"/>
        <w:bottom w:val="none" w:sz="0" w:space="0" w:color="auto"/>
        <w:right w:val="none" w:sz="0" w:space="0" w:color="auto"/>
      </w:divBdr>
    </w:div>
    <w:div w:id="1268849248">
      <w:bodyDiv w:val="1"/>
      <w:marLeft w:val="0"/>
      <w:marRight w:val="0"/>
      <w:marTop w:val="0"/>
      <w:marBottom w:val="0"/>
      <w:divBdr>
        <w:top w:val="none" w:sz="0" w:space="0" w:color="auto"/>
        <w:left w:val="none" w:sz="0" w:space="0" w:color="auto"/>
        <w:bottom w:val="none" w:sz="0" w:space="0" w:color="auto"/>
        <w:right w:val="none" w:sz="0" w:space="0" w:color="auto"/>
      </w:divBdr>
    </w:div>
    <w:div w:id="1350334708">
      <w:bodyDiv w:val="1"/>
      <w:marLeft w:val="0"/>
      <w:marRight w:val="0"/>
      <w:marTop w:val="0"/>
      <w:marBottom w:val="0"/>
      <w:divBdr>
        <w:top w:val="none" w:sz="0" w:space="0" w:color="auto"/>
        <w:left w:val="none" w:sz="0" w:space="0" w:color="auto"/>
        <w:bottom w:val="none" w:sz="0" w:space="0" w:color="auto"/>
        <w:right w:val="none" w:sz="0" w:space="0" w:color="auto"/>
      </w:divBdr>
    </w:div>
    <w:div w:id="1351561845">
      <w:bodyDiv w:val="1"/>
      <w:marLeft w:val="0"/>
      <w:marRight w:val="0"/>
      <w:marTop w:val="0"/>
      <w:marBottom w:val="0"/>
      <w:divBdr>
        <w:top w:val="none" w:sz="0" w:space="0" w:color="auto"/>
        <w:left w:val="none" w:sz="0" w:space="0" w:color="auto"/>
        <w:bottom w:val="none" w:sz="0" w:space="0" w:color="auto"/>
        <w:right w:val="none" w:sz="0" w:space="0" w:color="auto"/>
      </w:divBdr>
    </w:div>
    <w:div w:id="1456831559">
      <w:bodyDiv w:val="1"/>
      <w:marLeft w:val="0"/>
      <w:marRight w:val="0"/>
      <w:marTop w:val="0"/>
      <w:marBottom w:val="0"/>
      <w:divBdr>
        <w:top w:val="none" w:sz="0" w:space="0" w:color="auto"/>
        <w:left w:val="none" w:sz="0" w:space="0" w:color="auto"/>
        <w:bottom w:val="none" w:sz="0" w:space="0" w:color="auto"/>
        <w:right w:val="none" w:sz="0" w:space="0" w:color="auto"/>
      </w:divBdr>
    </w:div>
    <w:div w:id="1692993131">
      <w:bodyDiv w:val="1"/>
      <w:marLeft w:val="0"/>
      <w:marRight w:val="0"/>
      <w:marTop w:val="0"/>
      <w:marBottom w:val="0"/>
      <w:divBdr>
        <w:top w:val="none" w:sz="0" w:space="0" w:color="auto"/>
        <w:left w:val="none" w:sz="0" w:space="0" w:color="auto"/>
        <w:bottom w:val="none" w:sz="0" w:space="0" w:color="auto"/>
        <w:right w:val="none" w:sz="0" w:space="0" w:color="auto"/>
      </w:divBdr>
    </w:div>
    <w:div w:id="1764061968">
      <w:bodyDiv w:val="1"/>
      <w:marLeft w:val="0"/>
      <w:marRight w:val="0"/>
      <w:marTop w:val="0"/>
      <w:marBottom w:val="0"/>
      <w:divBdr>
        <w:top w:val="none" w:sz="0" w:space="0" w:color="auto"/>
        <w:left w:val="none" w:sz="0" w:space="0" w:color="auto"/>
        <w:bottom w:val="none" w:sz="0" w:space="0" w:color="auto"/>
        <w:right w:val="none" w:sz="0" w:space="0" w:color="auto"/>
      </w:divBdr>
      <w:divsChild>
        <w:div w:id="1049652705">
          <w:marLeft w:val="0"/>
          <w:marRight w:val="0"/>
          <w:marTop w:val="0"/>
          <w:marBottom w:val="0"/>
          <w:divBdr>
            <w:top w:val="none" w:sz="0" w:space="0" w:color="auto"/>
            <w:left w:val="none" w:sz="0" w:space="0" w:color="auto"/>
            <w:bottom w:val="none" w:sz="0" w:space="0" w:color="auto"/>
            <w:right w:val="none" w:sz="0" w:space="0" w:color="auto"/>
          </w:divBdr>
        </w:div>
      </w:divsChild>
    </w:div>
    <w:div w:id="1923492484">
      <w:bodyDiv w:val="1"/>
      <w:marLeft w:val="0"/>
      <w:marRight w:val="0"/>
      <w:marTop w:val="0"/>
      <w:marBottom w:val="0"/>
      <w:divBdr>
        <w:top w:val="none" w:sz="0" w:space="0" w:color="auto"/>
        <w:left w:val="none" w:sz="0" w:space="0" w:color="auto"/>
        <w:bottom w:val="none" w:sz="0" w:space="0" w:color="auto"/>
        <w:right w:val="none" w:sz="0" w:space="0" w:color="auto"/>
      </w:divBdr>
    </w:div>
    <w:div w:id="1947615285">
      <w:bodyDiv w:val="1"/>
      <w:marLeft w:val="0"/>
      <w:marRight w:val="0"/>
      <w:marTop w:val="0"/>
      <w:marBottom w:val="0"/>
      <w:divBdr>
        <w:top w:val="none" w:sz="0" w:space="0" w:color="auto"/>
        <w:left w:val="none" w:sz="0" w:space="0" w:color="auto"/>
        <w:bottom w:val="none" w:sz="0" w:space="0" w:color="auto"/>
        <w:right w:val="none" w:sz="0" w:space="0" w:color="auto"/>
      </w:divBdr>
    </w:div>
    <w:div w:id="1996562598">
      <w:bodyDiv w:val="1"/>
      <w:marLeft w:val="0"/>
      <w:marRight w:val="0"/>
      <w:marTop w:val="0"/>
      <w:marBottom w:val="0"/>
      <w:divBdr>
        <w:top w:val="none" w:sz="0" w:space="0" w:color="auto"/>
        <w:left w:val="none" w:sz="0" w:space="0" w:color="auto"/>
        <w:bottom w:val="none" w:sz="0" w:space="0" w:color="auto"/>
        <w:right w:val="none" w:sz="0" w:space="0" w:color="auto"/>
      </w:divBdr>
    </w:div>
    <w:div w:id="2140680136">
      <w:bodyDiv w:val="1"/>
      <w:marLeft w:val="0"/>
      <w:marRight w:val="0"/>
      <w:marTop w:val="0"/>
      <w:marBottom w:val="0"/>
      <w:divBdr>
        <w:top w:val="none" w:sz="0" w:space="0" w:color="auto"/>
        <w:left w:val="none" w:sz="0" w:space="0" w:color="auto"/>
        <w:bottom w:val="none" w:sz="0" w:space="0" w:color="auto"/>
        <w:right w:val="none" w:sz="0" w:space="0" w:color="auto"/>
      </w:divBdr>
      <w:divsChild>
        <w:div w:id="1887065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doi.org/10.1016/j.ijdevneu.2011.03.007" TargetMode="External"/><Relationship Id="rId39" Type="http://schemas.openxmlformats.org/officeDocument/2006/relationships/hyperlink" Target="https://doi.org/10.1016/j.envpol.2019.01.118" TargetMode="External"/><Relationship Id="rId21" Type="http://schemas.openxmlformats.org/officeDocument/2006/relationships/hyperlink" Target="https://doi.org/10.5772/17831" TargetMode="External"/><Relationship Id="rId34" Type="http://schemas.openxmlformats.org/officeDocument/2006/relationships/hyperlink" Target="https://doi.org/10.1038/s12276-020-0403-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07/s11270-023-06278-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doi.org/10.1016/j.tins.2009.05.009" TargetMode="External"/><Relationship Id="rId32" Type="http://schemas.openxmlformats.org/officeDocument/2006/relationships/hyperlink" Target="https://doi.org/10.1172/JCI137315" TargetMode="External"/><Relationship Id="rId37" Type="http://schemas.openxmlformats.org/officeDocument/2006/relationships/hyperlink" Target="https://www.who.int/publications-detail-redirect/air-pollution-and-child-health"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32598/jpr.8.1.1" TargetMode="External"/><Relationship Id="rId28" Type="http://schemas.openxmlformats.org/officeDocument/2006/relationships/hyperlink" Target="https://doi.org/10.1080/08958378.2023.2297698" TargetMode="External"/><Relationship Id="rId36" Type="http://schemas.openxmlformats.org/officeDocument/2006/relationships/hyperlink" Target="https://doi.org/10.3390/atmos14050856"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doi.org/10.3390/antiox1310125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doi.org/10.1108/09653561011022153" TargetMode="External"/><Relationship Id="rId27" Type="http://schemas.openxmlformats.org/officeDocument/2006/relationships/hyperlink" Target="https://doi.org/10.1177/09603271211061505" TargetMode="External"/><Relationship Id="rId30" Type="http://schemas.openxmlformats.org/officeDocument/2006/relationships/hyperlink" Target="https://doi.org/10.1002/advs.202101251" TargetMode="External"/><Relationship Id="rId35" Type="http://schemas.openxmlformats.org/officeDocument/2006/relationships/hyperlink" Target="https://doi.org/10.1016/j.jes.2020.12.007" TargetMode="Externa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doi.org/10.1515/tnsci-2016-0005" TargetMode="External"/><Relationship Id="rId33" Type="http://schemas.openxmlformats.org/officeDocument/2006/relationships/hyperlink" Target="https://doi.org/10.1016/j.envadv.2024.100603" TargetMode="External"/><Relationship Id="rId38" Type="http://schemas.openxmlformats.org/officeDocument/2006/relationships/hyperlink" Target="https://doi.org/10.3978/j.issn.2072-1439.2016.0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16</Pages>
  <Words>4437</Words>
  <Characters>25295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Uahomo</dc:creator>
  <cp:keywords/>
  <dc:description/>
  <cp:lastModifiedBy>SDI 1084</cp:lastModifiedBy>
  <cp:revision>11</cp:revision>
  <dcterms:created xsi:type="dcterms:W3CDTF">2025-03-30T09:43:00Z</dcterms:created>
  <dcterms:modified xsi:type="dcterms:W3CDTF">2025-03-31T06:19:00Z</dcterms:modified>
</cp:coreProperties>
</file>