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95ADE" w14:textId="2692B063" w:rsidR="00471A8C" w:rsidRPr="0021099D" w:rsidRDefault="00471A8C" w:rsidP="00471A8C">
      <w:pPr>
        <w:pStyle w:val="NoSpacing"/>
        <w:spacing w:line="360" w:lineRule="auto"/>
        <w:jc w:val="both"/>
        <w:rPr>
          <w:rFonts w:ascii="Times New Roman" w:hAnsi="Times New Roman" w:cs="Times New Roman"/>
          <w:b/>
          <w:bCs/>
          <w:sz w:val="32"/>
          <w:szCs w:val="32"/>
        </w:rPr>
      </w:pPr>
      <w:r w:rsidRPr="0021099D">
        <w:rPr>
          <w:rFonts w:ascii="Times New Roman" w:hAnsi="Times New Roman" w:cs="Times New Roman"/>
          <w:b/>
          <w:bCs/>
          <w:sz w:val="32"/>
          <w:szCs w:val="32"/>
        </w:rPr>
        <w:t>Ecosystem Valuation</w:t>
      </w:r>
      <w:r w:rsidR="008B6DDA" w:rsidRPr="0021099D">
        <w:rPr>
          <w:rFonts w:ascii="Times New Roman" w:hAnsi="Times New Roman" w:cs="Times New Roman"/>
          <w:b/>
          <w:bCs/>
          <w:sz w:val="32"/>
          <w:szCs w:val="32"/>
        </w:rPr>
        <w:t xml:space="preserve"> and Carbon Metrics</w:t>
      </w:r>
      <w:r w:rsidR="0021099D" w:rsidRPr="0021099D">
        <w:rPr>
          <w:rFonts w:ascii="Times New Roman" w:hAnsi="Times New Roman" w:cs="Times New Roman"/>
          <w:b/>
          <w:bCs/>
          <w:sz w:val="32"/>
          <w:szCs w:val="32"/>
        </w:rPr>
        <w:t>: Tools for Climate Action</w:t>
      </w:r>
      <w:r w:rsidR="008B6DDA" w:rsidRPr="0021099D">
        <w:rPr>
          <w:rFonts w:ascii="Times New Roman" w:hAnsi="Times New Roman" w:cs="Times New Roman"/>
          <w:b/>
          <w:bCs/>
          <w:sz w:val="32"/>
          <w:szCs w:val="32"/>
        </w:rPr>
        <w:t xml:space="preserve"> </w:t>
      </w:r>
    </w:p>
    <w:p w14:paraId="12FA704F" w14:textId="5D3835E4" w:rsidR="0058484A" w:rsidRDefault="0058484A" w:rsidP="00471A8C">
      <w:pPr>
        <w:pStyle w:val="NoSpacing"/>
        <w:spacing w:line="360" w:lineRule="auto"/>
        <w:jc w:val="both"/>
        <w:rPr>
          <w:rFonts w:ascii="Times New Roman" w:hAnsi="Times New Roman" w:cs="Times New Roman"/>
          <w:sz w:val="24"/>
          <w:szCs w:val="24"/>
        </w:rPr>
      </w:pPr>
    </w:p>
    <w:p w14:paraId="50784F7B" w14:textId="77777777" w:rsidR="00F81BEF" w:rsidRPr="0021099D" w:rsidRDefault="00F81BEF" w:rsidP="00471A8C">
      <w:pPr>
        <w:pStyle w:val="NoSpacing"/>
        <w:spacing w:line="360" w:lineRule="auto"/>
        <w:jc w:val="both"/>
        <w:rPr>
          <w:rFonts w:ascii="Times New Roman" w:hAnsi="Times New Roman" w:cs="Times New Roman"/>
          <w:sz w:val="24"/>
          <w:szCs w:val="24"/>
        </w:rPr>
      </w:pPr>
      <w:bookmarkStart w:id="0" w:name="_GoBack"/>
      <w:bookmarkEnd w:id="0"/>
    </w:p>
    <w:p w14:paraId="159D582D" w14:textId="70D27ACA" w:rsidR="008B6DDA" w:rsidRDefault="008B6DDA" w:rsidP="00471A8C">
      <w:pPr>
        <w:pStyle w:val="NoSpacing"/>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3B6A1EC9" w14:textId="77777777" w:rsidR="007120C9" w:rsidRDefault="007120C9" w:rsidP="007120C9">
      <w:pPr>
        <w:spacing w:line="360" w:lineRule="auto"/>
        <w:jc w:val="both"/>
        <w:rPr>
          <w:rFonts w:ascii="Times New Roman" w:hAnsi="Times New Roman" w:cs="Times New Roman"/>
          <w:b/>
          <w:bCs/>
          <w:sz w:val="24"/>
          <w:szCs w:val="24"/>
        </w:rPr>
      </w:pPr>
      <w:r w:rsidRPr="00C946BD">
        <w:rPr>
          <w:rFonts w:ascii="Times New Roman" w:hAnsi="Times New Roman" w:cs="Times New Roman"/>
          <w:sz w:val="24"/>
          <w:szCs w:val="24"/>
        </w:rPr>
        <w:t>Ecosystem valuation and carbon metrics are critical tools for integrating ecological sustainability into economic and policy frameworks. This comprehensive review explores the economic valuation of ecosystems, which quantifies the benefits of ecosystem services—ranging from provisioning and regulatory to cultural and supporting services—to inform decision-making. Since Robert Costanza’s landmark 1997 estimate of global ecosystem services at $33 trillion annually, advancements in valuation methodologies, such as the Ecosystem Services Valuation Database (ESVD), have refined our understanding of biome-specific values, with coral reefs and mangroves among the highest-valued ecosystems.</w:t>
      </w:r>
      <w:r>
        <w:rPr>
          <w:rFonts w:ascii="Times New Roman" w:hAnsi="Times New Roman" w:cs="Times New Roman"/>
          <w:sz w:val="24"/>
          <w:szCs w:val="24"/>
        </w:rPr>
        <w:t xml:space="preserve"> </w:t>
      </w:r>
      <w:r w:rsidRPr="00C946BD">
        <w:rPr>
          <w:rFonts w:ascii="Times New Roman" w:hAnsi="Times New Roman" w:cs="Times New Roman"/>
          <w:sz w:val="24"/>
          <w:szCs w:val="24"/>
        </w:rPr>
        <w:t xml:space="preserve">The review examines economic models for ecosystem valuation, including direct and indirect use values, and highlights Payment for Ecosystem Services (PES) schemes as mechanisms to incentivize conservation. Case studies from India, such as the </w:t>
      </w:r>
      <w:proofErr w:type="spellStart"/>
      <w:r w:rsidRPr="00C946BD">
        <w:rPr>
          <w:rFonts w:ascii="Times New Roman" w:hAnsi="Times New Roman" w:cs="Times New Roman"/>
          <w:sz w:val="24"/>
          <w:szCs w:val="24"/>
        </w:rPr>
        <w:t>Ashtamudi</w:t>
      </w:r>
      <w:proofErr w:type="spellEnd"/>
      <w:r w:rsidRPr="00C946BD">
        <w:rPr>
          <w:rFonts w:ascii="Times New Roman" w:hAnsi="Times New Roman" w:cs="Times New Roman"/>
          <w:sz w:val="24"/>
          <w:szCs w:val="24"/>
        </w:rPr>
        <w:t xml:space="preserve"> Wetland and Dal Lake, demonstrate localized applications of valuation techniques.  Additionally, the paper assesses carbon metrics, focusing on the carbon budget concept, which defines allowable emissions to limit global warming to 1.5°C or 2°C. Recent estimates suggest only six years remain at current emission rates to stay within the 1.5°C threshold. The role of carbon credits—categorized into avoided, reduced, and removed emissions—is analyzed within compliance and voluntary markets, emphasizing their potential to align economic incentives with climate goals. By synthesizing ecosystem valuation and carbon metrics, this review underscores their interconnected role in promoting climate resilience, biodiversity conservation, and sustainable development. Policymakers, economists, and conservationists can leverage these tools to balance ecological preservation with socio-economic growth in the face of global environmental challenges.  </w:t>
      </w:r>
    </w:p>
    <w:p w14:paraId="2D7ABA7D" w14:textId="6CC2DE35" w:rsidR="007120C9" w:rsidRDefault="007120C9" w:rsidP="007120C9">
      <w:pPr>
        <w:pStyle w:val="NoSpacing"/>
        <w:spacing w:line="360" w:lineRule="auto"/>
        <w:jc w:val="both"/>
        <w:rPr>
          <w:rFonts w:ascii="Times New Roman" w:hAnsi="Times New Roman" w:cs="Times New Roman"/>
          <w:b/>
          <w:bCs/>
          <w:sz w:val="24"/>
          <w:szCs w:val="24"/>
        </w:rPr>
      </w:pPr>
      <w:r w:rsidRPr="00C946BD">
        <w:rPr>
          <w:rFonts w:ascii="Times New Roman" w:hAnsi="Times New Roman" w:cs="Times New Roman"/>
          <w:sz w:val="24"/>
          <w:szCs w:val="24"/>
        </w:rPr>
        <w:t>Keywords:</w:t>
      </w:r>
      <w:r w:rsidRPr="00C946BD">
        <w:rPr>
          <w:rFonts w:ascii="Times New Roman" w:hAnsi="Times New Roman" w:cs="Times New Roman"/>
          <w:b/>
          <w:bCs/>
          <w:sz w:val="24"/>
          <w:szCs w:val="24"/>
        </w:rPr>
        <w:t xml:space="preserve"> Ecosystem </w:t>
      </w:r>
      <w:r>
        <w:rPr>
          <w:rFonts w:ascii="Times New Roman" w:hAnsi="Times New Roman" w:cs="Times New Roman"/>
          <w:b/>
          <w:bCs/>
          <w:sz w:val="24"/>
          <w:szCs w:val="24"/>
        </w:rPr>
        <w:t>V</w:t>
      </w:r>
      <w:r w:rsidRPr="00C946BD">
        <w:rPr>
          <w:rFonts w:ascii="Times New Roman" w:hAnsi="Times New Roman" w:cs="Times New Roman"/>
          <w:b/>
          <w:bCs/>
          <w:sz w:val="24"/>
          <w:szCs w:val="24"/>
        </w:rPr>
        <w:t>aluation, Carbon Budget, Carbon Credits, Payment for Ecosystem Services (PES), Climate Mitigation, Natural Capital</w:t>
      </w:r>
    </w:p>
    <w:p w14:paraId="2C127248" w14:textId="77777777" w:rsidR="007120C9" w:rsidRPr="008B6DDA" w:rsidRDefault="007120C9" w:rsidP="007120C9">
      <w:pPr>
        <w:pStyle w:val="NoSpacing"/>
        <w:spacing w:line="360" w:lineRule="auto"/>
        <w:jc w:val="both"/>
        <w:rPr>
          <w:rFonts w:ascii="Times New Roman" w:hAnsi="Times New Roman" w:cs="Times New Roman"/>
          <w:b/>
          <w:bCs/>
          <w:sz w:val="24"/>
          <w:szCs w:val="24"/>
        </w:rPr>
      </w:pPr>
    </w:p>
    <w:p w14:paraId="7211D0FD" w14:textId="483B0B18" w:rsidR="00603F2C" w:rsidRDefault="00603F2C" w:rsidP="00471A8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Introduction: </w:t>
      </w:r>
    </w:p>
    <w:p w14:paraId="65DBE806" w14:textId="43A37D7C" w:rsidR="007400DE" w:rsidRDefault="007120C9" w:rsidP="00471A8C">
      <w:pPr>
        <w:pStyle w:val="NoSpacing"/>
        <w:spacing w:line="360" w:lineRule="auto"/>
        <w:jc w:val="both"/>
        <w:rPr>
          <w:rFonts w:ascii="Times New Roman" w:hAnsi="Times New Roman" w:cs="Times New Roman"/>
          <w:sz w:val="24"/>
          <w:szCs w:val="24"/>
        </w:rPr>
      </w:pPr>
      <w:r w:rsidRPr="00603F2C">
        <w:rPr>
          <w:rFonts w:ascii="Times New Roman" w:hAnsi="Times New Roman" w:cs="Times New Roman"/>
          <w:sz w:val="24"/>
          <w:szCs w:val="24"/>
        </w:rPr>
        <w:lastRenderedPageBreak/>
        <w:t>Ecosystem Valuation</w:t>
      </w:r>
      <w:r w:rsidR="00603F2C">
        <w:rPr>
          <w:rFonts w:ascii="Times New Roman" w:hAnsi="Times New Roman" w:cs="Times New Roman"/>
          <w:sz w:val="24"/>
          <w:szCs w:val="24"/>
        </w:rPr>
        <w:t xml:space="preserve"> is t</w:t>
      </w:r>
      <w:r w:rsidR="00471A8C" w:rsidRPr="00471A8C">
        <w:rPr>
          <w:rFonts w:ascii="Times New Roman" w:hAnsi="Times New Roman" w:cs="Times New Roman"/>
          <w:sz w:val="24"/>
          <w:szCs w:val="24"/>
        </w:rPr>
        <w:t>he economic process of giving an ecosystem and/or its ecosystem services a value, whether monetary, biophysical, or otherwise, is known as ecosystem valuation. Such monetization, for instance, would ideally give policymakers and conservationists a tool to assess management impacts and compare a cost-benefit analysis of potential policies by quantifying the human welfare benefits of a forest to reduce flooding and erosion while sequestering carbon, providing habitat for endangered species, and absorbing harmful chemicals. These valuations are estimates, though, and come with the philosophical debate and inherent quantitative uncertainty of weighing a</w:t>
      </w:r>
      <w:r w:rsidR="007400DE">
        <w:rPr>
          <w:rFonts w:ascii="Times New Roman" w:hAnsi="Times New Roman" w:cs="Times New Roman"/>
          <w:sz w:val="24"/>
          <w:szCs w:val="24"/>
        </w:rPr>
        <w:t xml:space="preserve"> </w:t>
      </w:r>
      <w:r w:rsidR="00471A8C" w:rsidRPr="00471A8C">
        <w:rPr>
          <w:rFonts w:ascii="Times New Roman" w:hAnsi="Times New Roman" w:cs="Times New Roman"/>
          <w:sz w:val="24"/>
          <w:szCs w:val="24"/>
        </w:rPr>
        <w:t>variety of non-market</w:t>
      </w:r>
      <w:r w:rsidR="007400DE">
        <w:rPr>
          <w:rFonts w:ascii="Times New Roman" w:hAnsi="Times New Roman" w:cs="Times New Roman"/>
          <w:sz w:val="24"/>
          <w:szCs w:val="24"/>
        </w:rPr>
        <w:tab/>
      </w:r>
      <w:r w:rsidR="00471A8C" w:rsidRPr="00471A8C">
        <w:rPr>
          <w:rFonts w:ascii="Times New Roman" w:hAnsi="Times New Roman" w:cs="Times New Roman"/>
          <w:sz w:val="24"/>
          <w:szCs w:val="24"/>
        </w:rPr>
        <w:t>costs</w:t>
      </w:r>
      <w:r w:rsidR="007400DE">
        <w:rPr>
          <w:rFonts w:ascii="Times New Roman" w:hAnsi="Times New Roman" w:cs="Times New Roman"/>
          <w:sz w:val="24"/>
          <w:szCs w:val="24"/>
        </w:rPr>
        <w:tab/>
      </w:r>
      <w:r w:rsidR="00471A8C" w:rsidRPr="00471A8C">
        <w:rPr>
          <w:rFonts w:ascii="Times New Roman" w:hAnsi="Times New Roman" w:cs="Times New Roman"/>
          <w:sz w:val="24"/>
          <w:szCs w:val="24"/>
        </w:rPr>
        <w:t>and</w:t>
      </w:r>
      <w:r w:rsidR="007400DE">
        <w:rPr>
          <w:rFonts w:ascii="Times New Roman" w:hAnsi="Times New Roman" w:cs="Times New Roman"/>
          <w:sz w:val="24"/>
          <w:szCs w:val="24"/>
        </w:rPr>
        <w:tab/>
      </w:r>
      <w:r w:rsidR="00471A8C" w:rsidRPr="00471A8C">
        <w:rPr>
          <w:rFonts w:ascii="Times New Roman" w:hAnsi="Times New Roman" w:cs="Times New Roman"/>
          <w:sz w:val="24"/>
          <w:szCs w:val="24"/>
        </w:rPr>
        <w:t>benefits.</w:t>
      </w:r>
      <w:r w:rsidR="007400DE">
        <w:rPr>
          <w:rFonts w:ascii="Times New Roman" w:hAnsi="Times New Roman" w:cs="Times New Roman"/>
          <w:sz w:val="24"/>
          <w:szCs w:val="24"/>
        </w:rPr>
        <w:tab/>
      </w:r>
    </w:p>
    <w:p w14:paraId="1040E56B" w14:textId="2039D638" w:rsidR="00471A8C" w:rsidRDefault="00471A8C" w:rsidP="00471A8C">
      <w:pPr>
        <w:pStyle w:val="NoSpacing"/>
        <w:spacing w:line="360" w:lineRule="auto"/>
        <w:jc w:val="both"/>
        <w:rPr>
          <w:rFonts w:ascii="Times New Roman" w:hAnsi="Times New Roman" w:cs="Times New Roman"/>
          <w:sz w:val="24"/>
          <w:szCs w:val="24"/>
        </w:rPr>
      </w:pPr>
      <w:r w:rsidRPr="00471A8C">
        <w:rPr>
          <w:rFonts w:ascii="Times New Roman" w:hAnsi="Times New Roman" w:cs="Times New Roman"/>
          <w:sz w:val="24"/>
          <w:szCs w:val="24"/>
        </w:rPr>
        <w:t xml:space="preserve">The field of ecosystem valuation gained new attention in 1997 when Robert Costanza, Distinguished University Professor of Sustainability at Portland State University in Oregon, became the first to estimate the global value of ecosystem services. He and his associates estimated that the value of these services was $33 trillion a year, or $44 trillion in current currency (Costanza, 1997). </w:t>
      </w:r>
    </w:p>
    <w:p w14:paraId="5A21FA39" w14:textId="77777777" w:rsidR="007400DE" w:rsidRDefault="00471A8C" w:rsidP="007400DE">
      <w:pPr>
        <w:spacing w:line="360" w:lineRule="auto"/>
        <w:jc w:val="both"/>
        <w:rPr>
          <w:rFonts w:ascii="Times New Roman" w:hAnsi="Times New Roman" w:cs="Times New Roman"/>
          <w:sz w:val="24"/>
          <w:szCs w:val="24"/>
        </w:rPr>
      </w:pPr>
      <w:r w:rsidRPr="00471A8C">
        <w:rPr>
          <w:rFonts w:ascii="Times New Roman" w:hAnsi="Times New Roman" w:cs="Times New Roman"/>
          <w:sz w:val="24"/>
          <w:szCs w:val="24"/>
        </w:rPr>
        <w:br/>
      </w:r>
      <w:r w:rsidRPr="00E15F30">
        <w:rPr>
          <w:rFonts w:ascii="Times New Roman" w:hAnsi="Times New Roman" w:cs="Times New Roman"/>
          <w:b/>
          <w:bCs/>
          <w:sz w:val="24"/>
          <w:szCs w:val="24"/>
        </w:rPr>
        <w:t>Economic Models: Values, Costs, and Value Methodology</w:t>
      </w:r>
      <w:r>
        <w:rPr>
          <w:rFonts w:ascii="Times New Roman" w:hAnsi="Times New Roman" w:cs="Times New Roman"/>
          <w:sz w:val="24"/>
          <w:szCs w:val="24"/>
        </w:rPr>
        <w:t>:</w:t>
      </w:r>
    </w:p>
    <w:p w14:paraId="158E53DA" w14:textId="7B00EF03" w:rsidR="00471A8C" w:rsidRDefault="00471A8C" w:rsidP="00507D91">
      <w:pPr>
        <w:spacing w:line="360" w:lineRule="auto"/>
        <w:jc w:val="both"/>
        <w:rPr>
          <w:rFonts w:ascii="Times New Roman" w:hAnsi="Times New Roman" w:cs="Times New Roman"/>
          <w:sz w:val="24"/>
          <w:szCs w:val="24"/>
        </w:rPr>
      </w:pPr>
      <w:r w:rsidRPr="00471A8C">
        <w:rPr>
          <w:rFonts w:ascii="Times New Roman" w:hAnsi="Times New Roman" w:cs="Times New Roman"/>
          <w:sz w:val="24"/>
          <w:szCs w:val="24"/>
        </w:rPr>
        <w:t>Using a variety of economic techniques, ecosystem valuation aims to capture the range of costs and benefits found in a complex natural web. Four broad categories of services are offered by ecological systems: provisioning (such as fish for consumption or timber for sale), regulatory, supporting, and cultural (such as ecosystems that support traditional clothing or indigenous gathering methods) (Holzman, 2012). For a mangrove-specific illustration of this intricate topic,</w:t>
      </w:r>
      <w:r w:rsidR="00507D91">
        <w:rPr>
          <w:rFonts w:ascii="Times New Roman" w:hAnsi="Times New Roman" w:cs="Times New Roman"/>
          <w:sz w:val="24"/>
          <w:szCs w:val="24"/>
        </w:rPr>
        <w:t xml:space="preserve"> </w:t>
      </w:r>
      <w:r w:rsidRPr="00471A8C">
        <w:rPr>
          <w:rFonts w:ascii="Times New Roman" w:hAnsi="Times New Roman" w:cs="Times New Roman"/>
          <w:sz w:val="24"/>
          <w:szCs w:val="24"/>
        </w:rPr>
        <w:t>see figure 1.</w:t>
      </w:r>
    </w:p>
    <w:p w14:paraId="29C5BA19" w14:textId="3AEDE792" w:rsidR="00410031" w:rsidRPr="00471A8C" w:rsidRDefault="00410031" w:rsidP="00471A8C">
      <w:pPr>
        <w:pStyle w:val="NoSpacing"/>
        <w:spacing w:line="360" w:lineRule="auto"/>
        <w:jc w:val="both"/>
        <w:rPr>
          <w:rFonts w:ascii="Times New Roman" w:hAnsi="Times New Roman" w:cs="Times New Roman"/>
          <w:sz w:val="24"/>
          <w:szCs w:val="24"/>
        </w:rPr>
      </w:pPr>
      <w:r>
        <w:rPr>
          <w:noProof/>
        </w:rPr>
        <w:lastRenderedPageBreak/>
        <w:drawing>
          <wp:inline distT="0" distB="0" distL="0" distR="0" wp14:anchorId="0461BADA" wp14:editId="6263A2CA">
            <wp:extent cx="5029200" cy="2828924"/>
            <wp:effectExtent l="0" t="0" r="0" b="0"/>
            <wp:docPr id="192311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1719" name=""/>
                    <pic:cNvPicPr/>
                  </pic:nvPicPr>
                  <pic:blipFill>
                    <a:blip r:embed="rId7">
                      <a:extLst>
                        <a:ext uri="{96DAC541-7B7A-43D3-8B79-37D633B846F1}">
                          <asvg:svgBlip xmlns:asvg="http://schemas.microsoft.com/office/drawing/2016/SVG/main" r:embed="rId8"/>
                        </a:ext>
                      </a:extLst>
                    </a:blip>
                    <a:stretch>
                      <a:fillRect/>
                    </a:stretch>
                  </pic:blipFill>
                  <pic:spPr>
                    <a:xfrm>
                      <a:off x="0" y="0"/>
                      <a:ext cx="5043084" cy="2836734"/>
                    </a:xfrm>
                    <a:prstGeom prst="rect">
                      <a:avLst/>
                    </a:prstGeom>
                  </pic:spPr>
                </pic:pic>
              </a:graphicData>
            </a:graphic>
          </wp:inline>
        </w:drawing>
      </w:r>
    </w:p>
    <w:p w14:paraId="4BC759D4" w14:textId="41E49793" w:rsidR="007B14E8" w:rsidRDefault="00410031" w:rsidP="00410031">
      <w:pPr>
        <w:pStyle w:val="NoSpacing"/>
        <w:tabs>
          <w:tab w:val="left" w:pos="808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89E7C7" wp14:editId="4C3A2F37">
                <wp:simplePos x="0" y="0"/>
                <wp:positionH relativeFrom="column">
                  <wp:posOffset>142875</wp:posOffset>
                </wp:positionH>
                <wp:positionV relativeFrom="paragraph">
                  <wp:posOffset>5080</wp:posOffset>
                </wp:positionV>
                <wp:extent cx="4895850" cy="276225"/>
                <wp:effectExtent l="0" t="0" r="19050" b="28575"/>
                <wp:wrapNone/>
                <wp:docPr id="534303186" name="Text Box 5"/>
                <wp:cNvGraphicFramePr/>
                <a:graphic xmlns:a="http://schemas.openxmlformats.org/drawingml/2006/main">
                  <a:graphicData uri="http://schemas.microsoft.com/office/word/2010/wordprocessingShape">
                    <wps:wsp>
                      <wps:cNvSpPr txBox="1"/>
                      <wps:spPr>
                        <a:xfrm>
                          <a:off x="0" y="0"/>
                          <a:ext cx="4895850" cy="276225"/>
                        </a:xfrm>
                        <a:prstGeom prst="rect">
                          <a:avLst/>
                        </a:prstGeom>
                        <a:solidFill>
                          <a:schemeClr val="lt1"/>
                        </a:solidFill>
                        <a:ln w="6350">
                          <a:solidFill>
                            <a:prstClr val="black"/>
                          </a:solidFill>
                        </a:ln>
                      </wps:spPr>
                      <wps:txbx>
                        <w:txbxContent>
                          <w:p w14:paraId="4CD95E7C" w14:textId="77777777" w:rsidR="00410031" w:rsidRDefault="00410031" w:rsidP="00410031">
                            <w:pPr>
                              <w:jc w:val="both"/>
                              <w:rPr>
                                <w:rFonts w:ascii="Times New Roman" w:hAnsi="Times New Roman" w:cs="Times New Roman"/>
                                <w:sz w:val="24"/>
                                <w:szCs w:val="24"/>
                              </w:rPr>
                            </w:pPr>
                            <w:r w:rsidRPr="00E15F30">
                              <w:rPr>
                                <w:rFonts w:ascii="Times New Roman" w:hAnsi="Times New Roman" w:cs="Times New Roman"/>
                                <w:sz w:val="24"/>
                                <w:szCs w:val="24"/>
                              </w:rPr>
                              <w:t xml:space="preserve">Figure 1. </w:t>
                            </w:r>
                            <w:r>
                              <w:rPr>
                                <w:rFonts w:ascii="Times New Roman" w:hAnsi="Times New Roman" w:cs="Times New Roman"/>
                                <w:sz w:val="24"/>
                                <w:szCs w:val="24"/>
                              </w:rPr>
                              <w:t>F</w:t>
                            </w:r>
                            <w:r w:rsidRPr="00E15F30">
                              <w:rPr>
                                <w:rFonts w:ascii="Times New Roman" w:hAnsi="Times New Roman" w:cs="Times New Roman"/>
                                <w:sz w:val="24"/>
                                <w:szCs w:val="24"/>
                              </w:rPr>
                              <w:t xml:space="preserve">or a mangrove-specific example of this complex </w:t>
                            </w:r>
                            <w:r>
                              <w:rPr>
                                <w:rFonts w:ascii="Times New Roman" w:hAnsi="Times New Roman" w:cs="Times New Roman"/>
                                <w:sz w:val="24"/>
                                <w:szCs w:val="24"/>
                              </w:rPr>
                              <w:t>subject</w:t>
                            </w:r>
                          </w:p>
                          <w:p w14:paraId="4A0A9350" w14:textId="77777777" w:rsidR="00410031" w:rsidRDefault="00410031" w:rsidP="00410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9E7C7" id="_x0000_t202" coordsize="21600,21600" o:spt="202" path="m,l,21600r21600,l21600,xe">
                <v:stroke joinstyle="miter"/>
                <v:path gradientshapeok="t" o:connecttype="rect"/>
              </v:shapetype>
              <v:shape id="Text Box 5" o:spid="_x0000_s1026" type="#_x0000_t202" style="position:absolute;left:0;text-align:left;margin-left:11.25pt;margin-top:.4pt;width:38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" fillcolor="white [3201]" strokeweight=".5pt">
                <v:textbox>
                  <w:txbxContent>
                    <w:p w14:paraId="4CD95E7C" w14:textId="77777777" w:rsidR="00410031" w:rsidRDefault="00410031" w:rsidP="00410031">
                      <w:pPr>
                        <w:jc w:val="both"/>
                        <w:rPr>
                          <w:rFonts w:ascii="Times New Roman" w:hAnsi="Times New Roman" w:cs="Times New Roman"/>
                          <w:sz w:val="24"/>
                          <w:szCs w:val="24"/>
                        </w:rPr>
                      </w:pPr>
                      <w:r w:rsidRPr="00E15F30">
                        <w:rPr>
                          <w:rFonts w:ascii="Times New Roman" w:hAnsi="Times New Roman" w:cs="Times New Roman"/>
                          <w:sz w:val="24"/>
                          <w:szCs w:val="24"/>
                        </w:rPr>
                        <w:t xml:space="preserve">Figure 1. </w:t>
                      </w:r>
                      <w:r>
                        <w:rPr>
                          <w:rFonts w:ascii="Times New Roman" w:hAnsi="Times New Roman" w:cs="Times New Roman"/>
                          <w:sz w:val="24"/>
                          <w:szCs w:val="24"/>
                        </w:rPr>
                        <w:t>F</w:t>
                      </w:r>
                      <w:r w:rsidRPr="00E15F30">
                        <w:rPr>
                          <w:rFonts w:ascii="Times New Roman" w:hAnsi="Times New Roman" w:cs="Times New Roman"/>
                          <w:sz w:val="24"/>
                          <w:szCs w:val="24"/>
                        </w:rPr>
                        <w:t xml:space="preserve">or a mangrove-specific example of this complex </w:t>
                      </w:r>
                      <w:r>
                        <w:rPr>
                          <w:rFonts w:ascii="Times New Roman" w:hAnsi="Times New Roman" w:cs="Times New Roman"/>
                          <w:sz w:val="24"/>
                          <w:szCs w:val="24"/>
                        </w:rPr>
                        <w:t>subject</w:t>
                      </w:r>
                    </w:p>
                    <w:p w14:paraId="4A0A9350" w14:textId="77777777" w:rsidR="00410031" w:rsidRDefault="00410031" w:rsidP="00410031"/>
                  </w:txbxContent>
                </v:textbox>
              </v:shape>
            </w:pict>
          </mc:Fallback>
        </mc:AlternateContent>
      </w:r>
      <w:r>
        <w:rPr>
          <w:rFonts w:ascii="Times New Roman" w:hAnsi="Times New Roman" w:cs="Times New Roman"/>
          <w:sz w:val="24"/>
          <w:szCs w:val="24"/>
        </w:rPr>
        <w:tab/>
      </w:r>
    </w:p>
    <w:p w14:paraId="77762338" w14:textId="77777777" w:rsidR="00410031" w:rsidRDefault="00410031" w:rsidP="00410031">
      <w:pPr>
        <w:pStyle w:val="NoSpacing"/>
        <w:tabs>
          <w:tab w:val="left" w:pos="8085"/>
        </w:tabs>
        <w:spacing w:line="360" w:lineRule="auto"/>
        <w:jc w:val="both"/>
        <w:rPr>
          <w:rFonts w:ascii="Times New Roman" w:hAnsi="Times New Roman" w:cs="Times New Roman"/>
          <w:sz w:val="24"/>
          <w:szCs w:val="24"/>
        </w:rPr>
      </w:pPr>
    </w:p>
    <w:p w14:paraId="684ABD73" w14:textId="77777777" w:rsidR="007400DE" w:rsidRDefault="00410031" w:rsidP="00D40C70">
      <w:pPr>
        <w:pStyle w:val="NoSpacing"/>
        <w:tabs>
          <w:tab w:val="left" w:pos="8085"/>
        </w:tabs>
        <w:spacing w:line="360" w:lineRule="auto"/>
        <w:jc w:val="both"/>
        <w:rPr>
          <w:rFonts w:ascii="Times New Roman" w:hAnsi="Times New Roman" w:cs="Times New Roman"/>
          <w:sz w:val="24"/>
          <w:szCs w:val="24"/>
        </w:rPr>
      </w:pPr>
      <w:r w:rsidRPr="00410031">
        <w:rPr>
          <w:rFonts w:ascii="Times New Roman" w:hAnsi="Times New Roman" w:cs="Times New Roman"/>
          <w:sz w:val="24"/>
          <w:szCs w:val="24"/>
        </w:rPr>
        <w:t xml:space="preserve">The categories that people are willing to pay for have been further divided by environmental economists: </w:t>
      </w:r>
      <w:r w:rsidRPr="00410031">
        <w:rPr>
          <w:rFonts w:ascii="Times New Roman" w:hAnsi="Times New Roman" w:cs="Times New Roman"/>
          <w:sz w:val="24"/>
          <w:szCs w:val="24"/>
        </w:rPr>
        <w:br/>
        <w:t>1. Direct-use value: According to traditional environmental economists, this is the most basic method of valuing ecosystems. It represents the direct ecological yield as it would appear on commodity markets, such as the value of fish, timber, water, or other commodities if they were developed right away and sold at market value. As a result, an exchange value, or "price," is linked to the valuable items that are considered natural capital and are connected to ecosystems. This can be based on a system's capacity to generate yields annually that are exchangeable in active markets with</w:t>
      </w:r>
      <w:r w:rsidR="007400DE">
        <w:rPr>
          <w:rFonts w:ascii="Times New Roman" w:hAnsi="Times New Roman" w:cs="Times New Roman"/>
          <w:sz w:val="24"/>
          <w:szCs w:val="24"/>
        </w:rPr>
        <w:t xml:space="preserve"> </w:t>
      </w:r>
      <w:r w:rsidRPr="00410031">
        <w:rPr>
          <w:rFonts w:ascii="Times New Roman" w:hAnsi="Times New Roman" w:cs="Times New Roman"/>
          <w:sz w:val="24"/>
          <w:szCs w:val="24"/>
        </w:rPr>
        <w:t>established</w:t>
      </w:r>
      <w:r w:rsidR="007400DE">
        <w:rPr>
          <w:rFonts w:ascii="Times New Roman" w:hAnsi="Times New Roman" w:cs="Times New Roman"/>
          <w:sz w:val="24"/>
          <w:szCs w:val="24"/>
        </w:rPr>
        <w:t xml:space="preserve"> </w:t>
      </w:r>
      <w:r w:rsidRPr="00410031">
        <w:rPr>
          <w:rFonts w:ascii="Times New Roman" w:hAnsi="Times New Roman" w:cs="Times New Roman"/>
          <w:sz w:val="24"/>
          <w:szCs w:val="24"/>
        </w:rPr>
        <w:t>exchange</w:t>
      </w:r>
      <w:r w:rsidR="007400DE">
        <w:rPr>
          <w:rFonts w:ascii="Times New Roman" w:hAnsi="Times New Roman" w:cs="Times New Roman"/>
          <w:sz w:val="24"/>
          <w:szCs w:val="24"/>
        </w:rPr>
        <w:t xml:space="preserve"> </w:t>
      </w:r>
      <w:r w:rsidRPr="00410031">
        <w:rPr>
          <w:rFonts w:ascii="Times New Roman" w:hAnsi="Times New Roman" w:cs="Times New Roman"/>
          <w:sz w:val="24"/>
          <w:szCs w:val="24"/>
        </w:rPr>
        <w:t xml:space="preserve">rates. </w:t>
      </w:r>
    </w:p>
    <w:p w14:paraId="7FDD5FC4" w14:textId="23690DE7" w:rsidR="007400DE" w:rsidRDefault="00410031" w:rsidP="00D40C70">
      <w:pPr>
        <w:pStyle w:val="NoSpacing"/>
        <w:tabs>
          <w:tab w:val="left" w:pos="8085"/>
        </w:tabs>
        <w:spacing w:line="360" w:lineRule="auto"/>
        <w:jc w:val="both"/>
        <w:rPr>
          <w:rFonts w:ascii="Times New Roman" w:hAnsi="Times New Roman" w:cs="Times New Roman"/>
          <w:b/>
          <w:bCs/>
          <w:sz w:val="24"/>
          <w:szCs w:val="24"/>
        </w:rPr>
      </w:pPr>
      <w:r w:rsidRPr="00410031">
        <w:rPr>
          <w:rFonts w:ascii="Times New Roman" w:hAnsi="Times New Roman" w:cs="Times New Roman"/>
          <w:sz w:val="24"/>
          <w:szCs w:val="24"/>
        </w:rPr>
        <w:t>2. Indirect use value that is ascribed to using ecosystem services indirectly by means of the beneficial externalities that ecosystems offer.</w:t>
      </w:r>
      <w:r w:rsidR="00D40C70">
        <w:rPr>
          <w:rFonts w:ascii="Times New Roman" w:hAnsi="Times New Roman" w:cs="Times New Roman"/>
          <w:sz w:val="24"/>
          <w:szCs w:val="24"/>
        </w:rPr>
        <w:t xml:space="preserve"> </w:t>
      </w:r>
      <w:r w:rsidR="00D40C70" w:rsidRPr="00D40C70">
        <w:rPr>
          <w:rFonts w:ascii="Times New Roman" w:hAnsi="Times New Roman" w:cs="Times New Roman"/>
          <w:sz w:val="24"/>
          <w:szCs w:val="24"/>
        </w:rPr>
        <w:t xml:space="preserve">These values are "derived from ecosystem services that provide benefits outside the ecosystem itself," according to the World Bank. Examples include carbon sequestration, which benefits the entire world by slowing down climate change, the storm protection role of mangrove forests, which benefits coastal properties and infrastructure, and natural water filtration, which frequently benefits people far downstream. </w:t>
      </w:r>
    </w:p>
    <w:p w14:paraId="1C7E4D5B" w14:textId="1652C1B1" w:rsidR="00D40C70" w:rsidRPr="00D40C70" w:rsidRDefault="00D40C70" w:rsidP="00D40C70">
      <w:pPr>
        <w:pStyle w:val="NoSpacing"/>
        <w:tabs>
          <w:tab w:val="left" w:pos="8085"/>
        </w:tabs>
        <w:spacing w:line="360" w:lineRule="auto"/>
        <w:jc w:val="both"/>
        <w:rPr>
          <w:rFonts w:ascii="Times New Roman" w:hAnsi="Times New Roman" w:cs="Times New Roman"/>
          <w:b/>
          <w:bCs/>
          <w:sz w:val="24"/>
          <w:szCs w:val="24"/>
        </w:rPr>
      </w:pPr>
      <w:r w:rsidRPr="00D40C70">
        <w:rPr>
          <w:rFonts w:ascii="Times New Roman" w:hAnsi="Times New Roman" w:cs="Times New Roman"/>
          <w:b/>
          <w:bCs/>
          <w:sz w:val="24"/>
          <w:szCs w:val="24"/>
        </w:rPr>
        <w:t>Results of the valuation:</w:t>
      </w:r>
    </w:p>
    <w:p w14:paraId="7E1F6BF1" w14:textId="77777777" w:rsidR="00D40C70" w:rsidRPr="00D40C70" w:rsidRDefault="00D40C70" w:rsidP="00D40C70">
      <w:pPr>
        <w:pStyle w:val="NoSpacing"/>
        <w:tabs>
          <w:tab w:val="left" w:pos="8085"/>
        </w:tabs>
        <w:spacing w:line="360" w:lineRule="auto"/>
        <w:jc w:val="both"/>
        <w:rPr>
          <w:rFonts w:ascii="Times New Roman" w:hAnsi="Times New Roman" w:cs="Times New Roman"/>
          <w:sz w:val="24"/>
          <w:szCs w:val="24"/>
        </w:rPr>
      </w:pPr>
      <w:r w:rsidRPr="00D40C70">
        <w:rPr>
          <w:rFonts w:ascii="Times New Roman" w:hAnsi="Times New Roman" w:cs="Times New Roman"/>
          <w:sz w:val="24"/>
          <w:szCs w:val="24"/>
        </w:rPr>
        <w:t xml:space="preserve">• Groot et al. (2012), after jointly assessing the ecosystems, "shows that the total value of ecosystem services is considerable and ranges between 490 int$/year for the total bundle of </w:t>
      </w:r>
      <w:r w:rsidRPr="00D40C70">
        <w:rPr>
          <w:rFonts w:ascii="Times New Roman" w:hAnsi="Times New Roman" w:cs="Times New Roman"/>
          <w:sz w:val="24"/>
          <w:szCs w:val="24"/>
        </w:rPr>
        <w:lastRenderedPageBreak/>
        <w:t>ecosystem services that can potentially be provided by a ‘average’ hectare of open oceans to almost 350,000 int$/year for the potential services of a ‘average’ hectare of coral reefs." Depending on the extent of exploitation and how sustainable it is, this potential benefit could take many different forms. For instance, it could lead to significant ecotourism profits for nearby communities, protection from storm damage, or financial gain for a global lumber company.</w:t>
      </w:r>
    </w:p>
    <w:p w14:paraId="767979FF" w14:textId="77777777" w:rsidR="00D40C70" w:rsidRDefault="00D40C70" w:rsidP="00D40C70">
      <w:pPr>
        <w:pStyle w:val="NoSpacing"/>
        <w:tabs>
          <w:tab w:val="left" w:pos="8085"/>
        </w:tabs>
        <w:spacing w:line="360" w:lineRule="auto"/>
        <w:jc w:val="both"/>
        <w:rPr>
          <w:rFonts w:ascii="Times New Roman" w:hAnsi="Times New Roman" w:cs="Times New Roman"/>
          <w:sz w:val="24"/>
          <w:szCs w:val="24"/>
        </w:rPr>
      </w:pPr>
      <w:r w:rsidRPr="00D40C70">
        <w:rPr>
          <w:rFonts w:ascii="Times New Roman" w:hAnsi="Times New Roman" w:cs="Times New Roman"/>
          <w:sz w:val="24"/>
          <w:szCs w:val="24"/>
        </w:rPr>
        <w:t xml:space="preserve">• In one of its first comprehensive reports, The Economics of Ecosystems and Biodiversity (TEEB) also discovered that ecosystem services range from about $100/hectare/year for the open ocean to over $1,000,000/hectare/year for the most profitable coral reefs (TEEB, 2013). </w:t>
      </w:r>
    </w:p>
    <w:p w14:paraId="337FF60D" w14:textId="15298FAC" w:rsidR="00D40C70" w:rsidRDefault="00D40C70" w:rsidP="00D40C70">
      <w:pPr>
        <w:pStyle w:val="NoSpacing"/>
        <w:tabs>
          <w:tab w:val="left" w:pos="8085"/>
        </w:tabs>
        <w:spacing w:line="360" w:lineRule="auto"/>
        <w:jc w:val="both"/>
        <w:rPr>
          <w:rFonts w:ascii="Times New Roman" w:hAnsi="Times New Roman" w:cs="Times New Roman"/>
          <w:sz w:val="24"/>
          <w:szCs w:val="24"/>
        </w:rPr>
      </w:pPr>
      <w:r w:rsidRPr="00D40C70">
        <w:rPr>
          <w:rFonts w:ascii="Times New Roman" w:hAnsi="Times New Roman" w:cs="Times New Roman"/>
          <w:sz w:val="24"/>
          <w:szCs w:val="24"/>
        </w:rPr>
        <w:t>The Integrated Valuation Environmental Services and Tradeoffs (</w:t>
      </w:r>
      <w:proofErr w:type="spellStart"/>
      <w:r w:rsidRPr="00D40C70">
        <w:rPr>
          <w:rFonts w:ascii="Times New Roman" w:hAnsi="Times New Roman" w:cs="Times New Roman"/>
          <w:sz w:val="24"/>
          <w:szCs w:val="24"/>
        </w:rPr>
        <w:t>InVEST</w:t>
      </w:r>
      <w:proofErr w:type="spellEnd"/>
      <w:r w:rsidRPr="00D40C70">
        <w:rPr>
          <w:rFonts w:ascii="Times New Roman" w:hAnsi="Times New Roman" w:cs="Times New Roman"/>
          <w:sz w:val="24"/>
          <w:szCs w:val="24"/>
        </w:rPr>
        <w:t>) Natural Capital Project is administered by the National Oceanic and Atmospheric Administration (NOAA). This open-source tool lets anyone interact with a map that quantifies "trade-offs between alternative management choices" and identifies "areas where investment in natural capital can enhance human development and conservation," despite being targeted at scientists, advocates, and policymakers (</w:t>
      </w:r>
      <w:proofErr w:type="spellStart"/>
      <w:r w:rsidRPr="00D40C70">
        <w:rPr>
          <w:rFonts w:ascii="Times New Roman" w:hAnsi="Times New Roman" w:cs="Times New Roman"/>
          <w:sz w:val="24"/>
          <w:szCs w:val="24"/>
        </w:rPr>
        <w:t>InVEST</w:t>
      </w:r>
      <w:proofErr w:type="spellEnd"/>
      <w:r w:rsidRPr="00D40C70">
        <w:rPr>
          <w:rFonts w:ascii="Times New Roman" w:hAnsi="Times New Roman" w:cs="Times New Roman"/>
          <w:sz w:val="24"/>
          <w:szCs w:val="24"/>
        </w:rPr>
        <w:t xml:space="preserve">, 2018). </w:t>
      </w:r>
    </w:p>
    <w:p w14:paraId="15B07974" w14:textId="0AD38627" w:rsidR="00507D91" w:rsidRPr="007120C9" w:rsidRDefault="00427915" w:rsidP="007120C9">
      <w:pPr>
        <w:pStyle w:val="NoSpacing"/>
        <w:tabs>
          <w:tab w:val="left" w:pos="8085"/>
        </w:tabs>
        <w:spacing w:line="360" w:lineRule="auto"/>
        <w:jc w:val="both"/>
        <w:rPr>
          <w:rFonts w:ascii="Times New Roman" w:hAnsi="Times New Roman" w:cs="Times New Roman"/>
          <w:sz w:val="24"/>
          <w:szCs w:val="24"/>
        </w:rPr>
      </w:pPr>
      <w:r w:rsidRPr="00427915">
        <w:rPr>
          <w:rFonts w:ascii="Times New Roman" w:hAnsi="Times New Roman" w:cs="Times New Roman"/>
          <w:sz w:val="24"/>
          <w:szCs w:val="24"/>
        </w:rPr>
        <w:t>• For instance, the Artificial Intelligence for Environment &amp; Sustainability (ARIES) Project is housed at the Basque Centre for Climate Change (BC3). With an initial emphasis on ecosystem services, this open-source software was created to incorporate scientific models for evaluating environmental sustainability and formulating policy.</w:t>
      </w:r>
    </w:p>
    <w:p w14:paraId="32353A33" w14:textId="77777777" w:rsidR="007120C9" w:rsidRDefault="00427915" w:rsidP="00507D91">
      <w:pPr>
        <w:spacing w:line="360" w:lineRule="auto"/>
        <w:jc w:val="both"/>
        <w:rPr>
          <w:rFonts w:ascii="Times New Roman" w:hAnsi="Times New Roman" w:cs="Times New Roman"/>
          <w:sz w:val="24"/>
          <w:szCs w:val="24"/>
        </w:rPr>
      </w:pPr>
      <w:r w:rsidRPr="00EC3831">
        <w:rPr>
          <w:rFonts w:ascii="Times New Roman" w:hAnsi="Times New Roman" w:cs="Times New Roman"/>
          <w:b/>
          <w:bCs/>
          <w:sz w:val="24"/>
          <w:szCs w:val="24"/>
        </w:rPr>
        <w:t>Payment for Environmental Services (PES)</w:t>
      </w:r>
      <w:r>
        <w:rPr>
          <w:rFonts w:ascii="Times New Roman" w:hAnsi="Times New Roman" w:cs="Times New Roman"/>
          <w:sz w:val="24"/>
          <w:szCs w:val="24"/>
        </w:rPr>
        <w:t>:</w:t>
      </w:r>
    </w:p>
    <w:p w14:paraId="00FDDB79" w14:textId="72F7DEB5" w:rsidR="00427915" w:rsidRDefault="00427915" w:rsidP="00427915">
      <w:pPr>
        <w:spacing w:line="360" w:lineRule="auto"/>
        <w:jc w:val="both"/>
        <w:rPr>
          <w:rFonts w:ascii="Times New Roman" w:hAnsi="Times New Roman" w:cs="Times New Roman"/>
          <w:sz w:val="24"/>
          <w:szCs w:val="24"/>
        </w:rPr>
      </w:pPr>
      <w:r w:rsidRPr="00427915">
        <w:rPr>
          <w:rFonts w:ascii="Times New Roman" w:hAnsi="Times New Roman" w:cs="Times New Roman"/>
          <w:sz w:val="24"/>
          <w:szCs w:val="24"/>
        </w:rPr>
        <w:t xml:space="preserve">Some programs have tried to internalize those values by offering payments for environmental services after (and occasionally before) assessing the costs and benefits of ecosystems. In 2010, Norway started paying Indonesia a total of $1 billion to mitigate deforestation; China responded to the 1998 floods with payments aimed at soil erosion and deforestation; Costa Rica paid landowners approximately $42/hectare to preserve forests; and numerous other initiatives, both big and small (Arturo, 2007). </w:t>
      </w:r>
      <w:r w:rsidR="00507D91" w:rsidRPr="00507D91">
        <w:rPr>
          <w:rFonts w:ascii="Times New Roman" w:hAnsi="Times New Roman" w:cs="Times New Roman"/>
          <w:sz w:val="24"/>
          <w:szCs w:val="24"/>
        </w:rPr>
        <w:t>Alternatively referred to as payments for environmental services (or benefits), payments for ecosystem services (PES) are incentives given to landowners or farmers in return for managing their property to produce an ecological service</w:t>
      </w:r>
      <w:r w:rsidR="00507D91">
        <w:rPr>
          <w:rFonts w:ascii="Times New Roman" w:hAnsi="Times New Roman" w:cs="Times New Roman"/>
          <w:sz w:val="24"/>
          <w:szCs w:val="24"/>
        </w:rPr>
        <w:t xml:space="preserve"> figure,2</w:t>
      </w:r>
      <w:r w:rsidR="00507D91" w:rsidRPr="00507D91">
        <w:rPr>
          <w:rFonts w:ascii="Times New Roman" w:hAnsi="Times New Roman" w:cs="Times New Roman"/>
          <w:sz w:val="24"/>
          <w:szCs w:val="24"/>
        </w:rPr>
        <w:t xml:space="preserve">. They have been described as "a transparent system for the additional provision of environmental services through conditional payments to voluntary providers" </w:t>
      </w:r>
      <w:proofErr w:type="spellStart"/>
      <w:r w:rsidR="00507D91" w:rsidRPr="00507D91">
        <w:rPr>
          <w:rFonts w:ascii="Times New Roman" w:hAnsi="Times New Roman" w:cs="Times New Roman"/>
          <w:sz w:val="24"/>
          <w:szCs w:val="24"/>
        </w:rPr>
        <w:t>Tacconi</w:t>
      </w:r>
      <w:proofErr w:type="spellEnd"/>
      <w:r w:rsidR="00507D91" w:rsidRPr="00507D91">
        <w:rPr>
          <w:rFonts w:ascii="Times New Roman" w:hAnsi="Times New Roman" w:cs="Times New Roman"/>
          <w:sz w:val="24"/>
          <w:szCs w:val="24"/>
        </w:rPr>
        <w:t>, (201</w:t>
      </w:r>
      <w:r w:rsidR="00507D91">
        <w:rPr>
          <w:rFonts w:ascii="Times New Roman" w:hAnsi="Times New Roman" w:cs="Times New Roman"/>
          <w:sz w:val="24"/>
          <w:szCs w:val="24"/>
        </w:rPr>
        <w:t>2)</w:t>
      </w:r>
      <w:r w:rsidR="00507D91" w:rsidRPr="00507D91">
        <w:rPr>
          <w:rFonts w:ascii="Times New Roman" w:hAnsi="Times New Roman" w:cs="Times New Roman"/>
          <w:i/>
          <w:iCs/>
          <w:sz w:val="24"/>
          <w:szCs w:val="24"/>
        </w:rPr>
        <w:t xml:space="preserve">. </w:t>
      </w:r>
      <w:r w:rsidR="00507D91" w:rsidRPr="00507D91">
        <w:rPr>
          <w:rFonts w:ascii="Times New Roman" w:hAnsi="Times New Roman" w:cs="Times New Roman"/>
          <w:sz w:val="24"/>
          <w:szCs w:val="24"/>
        </w:rPr>
        <w:t>These initiatives encourage the market to conserve natural resources.</w:t>
      </w:r>
    </w:p>
    <w:p w14:paraId="17222C06" w14:textId="6BF303FA" w:rsidR="00EC5651" w:rsidRPr="00427915" w:rsidRDefault="00EC5651" w:rsidP="00BA08B1">
      <w:pPr>
        <w:spacing w:line="360" w:lineRule="auto"/>
        <w:jc w:val="center"/>
        <w:rPr>
          <w:rFonts w:ascii="Times New Roman" w:hAnsi="Times New Roman" w:cs="Times New Roman"/>
          <w:b/>
          <w:bCs/>
          <w:sz w:val="24"/>
          <w:szCs w:val="24"/>
        </w:rPr>
      </w:pPr>
      <w:r>
        <w:rPr>
          <w:noProof/>
        </w:rPr>
        <w:lastRenderedPageBreak/>
        <w:drawing>
          <wp:inline distT="0" distB="0" distL="0" distR="0" wp14:anchorId="64EC846E" wp14:editId="420ABAA4">
            <wp:extent cx="5028988" cy="2828806"/>
            <wp:effectExtent l="0" t="0" r="635" b="0"/>
            <wp:docPr id="16488514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148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033664" cy="2831436"/>
                    </a:xfrm>
                    <a:prstGeom prst="rect">
                      <a:avLst/>
                    </a:prstGeom>
                  </pic:spPr>
                </pic:pic>
              </a:graphicData>
            </a:graphic>
          </wp:inline>
        </w:drawing>
      </w:r>
    </w:p>
    <w:p w14:paraId="2A74A9C9" w14:textId="77777777" w:rsidR="00EC5651" w:rsidRPr="00BA08B1" w:rsidRDefault="00EC5651" w:rsidP="00BA08B1">
      <w:pPr>
        <w:spacing w:line="360" w:lineRule="auto"/>
        <w:ind w:left="1440" w:firstLine="720"/>
        <w:jc w:val="both"/>
        <w:rPr>
          <w:rFonts w:ascii="Times New Roman" w:hAnsi="Times New Roman" w:cs="Times New Roman"/>
          <w:sz w:val="24"/>
          <w:szCs w:val="24"/>
        </w:rPr>
      </w:pPr>
      <w:r w:rsidRPr="00BA08B1">
        <w:rPr>
          <w:rFonts w:ascii="Times New Roman" w:hAnsi="Times New Roman" w:cs="Times New Roman"/>
          <w:sz w:val="24"/>
          <w:szCs w:val="24"/>
        </w:rPr>
        <w:t>Figure 2: Payment system in ecosystem valuation.</w:t>
      </w:r>
    </w:p>
    <w:p w14:paraId="594D263E" w14:textId="4519BBE3" w:rsidR="000E5FF2" w:rsidRPr="000E5FF2" w:rsidRDefault="000E5FF2" w:rsidP="000E5FF2">
      <w:pPr>
        <w:spacing w:line="360" w:lineRule="auto"/>
        <w:rPr>
          <w:rFonts w:ascii="Times New Roman" w:hAnsi="Times New Roman" w:cs="Times New Roman"/>
          <w:b/>
          <w:bCs/>
          <w:sz w:val="24"/>
          <w:szCs w:val="24"/>
        </w:rPr>
      </w:pPr>
      <w:r w:rsidRPr="006F6C9C">
        <w:rPr>
          <w:rFonts w:ascii="Times New Roman" w:hAnsi="Times New Roman" w:cs="Times New Roman"/>
          <w:b/>
          <w:bCs/>
          <w:sz w:val="24"/>
          <w:szCs w:val="24"/>
        </w:rPr>
        <w:t xml:space="preserve">Ecosystem Services Valuation Database (ESVD), </w:t>
      </w:r>
      <w:r>
        <w:rPr>
          <w:rFonts w:ascii="Times New Roman" w:hAnsi="Times New Roman" w:cs="Times New Roman"/>
          <w:b/>
          <w:bCs/>
          <w:sz w:val="24"/>
          <w:szCs w:val="24"/>
        </w:rPr>
        <w:t>G</w:t>
      </w:r>
      <w:r w:rsidRPr="006F6C9C">
        <w:rPr>
          <w:rFonts w:ascii="Times New Roman" w:hAnsi="Times New Roman" w:cs="Times New Roman"/>
          <w:b/>
          <w:bCs/>
          <w:sz w:val="24"/>
          <w:szCs w:val="24"/>
        </w:rPr>
        <w:t>lobal synthesis:</w:t>
      </w:r>
    </w:p>
    <w:p w14:paraId="2B96C319" w14:textId="788D7BDB" w:rsidR="000E5FF2" w:rsidRDefault="00EC5651" w:rsidP="00EC5651">
      <w:pPr>
        <w:spacing w:line="360" w:lineRule="auto"/>
        <w:jc w:val="both"/>
        <w:rPr>
          <w:rFonts w:ascii="Times New Roman" w:hAnsi="Times New Roman" w:cs="Times New Roman"/>
          <w:sz w:val="24"/>
          <w:szCs w:val="24"/>
        </w:rPr>
      </w:pPr>
      <w:r w:rsidRPr="00EC5651">
        <w:rPr>
          <w:rFonts w:ascii="Times New Roman" w:hAnsi="Times New Roman" w:cs="Times New Roman"/>
          <w:sz w:val="24"/>
          <w:szCs w:val="24"/>
        </w:rPr>
        <w:t>In order to measure the contribution of natural capital to human well-being and to guide decisions regarding its management and conservation, the economic value of ecosystem services has grown significantly</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over</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the</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last</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ten</w:t>
      </w:r>
      <w:r w:rsidR="007400DE">
        <w:rPr>
          <w:rFonts w:ascii="Times New Roman" w:hAnsi="Times New Roman" w:cs="Times New Roman"/>
          <w:sz w:val="24"/>
          <w:szCs w:val="24"/>
        </w:rPr>
        <w:t xml:space="preserve"> </w:t>
      </w:r>
      <w:r w:rsidRPr="00EC5651">
        <w:rPr>
          <w:rFonts w:ascii="Times New Roman" w:hAnsi="Times New Roman" w:cs="Times New Roman"/>
          <w:sz w:val="24"/>
          <w:szCs w:val="24"/>
        </w:rPr>
        <w:t xml:space="preserve">years. This evolution is reflected in the ESVD, which now has over 9,400 value estimates from over 1,300 studies, with roughly ten times as many standardized ES values as in 2012. These data are drawn from more than 2,000 study sites across more than 140 countries, providing global coverage. The largest publicly available database of ecosystem service values is currently the ESVD. The highest total values for the various biomes come from urban and industrial areas (64,167 Int$/ha/year), mangroves (77,928 Int$/ha/year), and coral reefs (87,211 Int$/ha/year). </w:t>
      </w:r>
      <w:r w:rsidR="00BD2AEC">
        <w:rPr>
          <w:rFonts w:ascii="Times New Roman" w:hAnsi="Times New Roman" w:cs="Times New Roman"/>
          <w:sz w:val="24"/>
          <w:szCs w:val="24"/>
        </w:rPr>
        <w:t>T</w:t>
      </w:r>
      <w:r w:rsidR="00BD2AEC" w:rsidRPr="00D15C82">
        <w:rPr>
          <w:rFonts w:ascii="Times New Roman" w:hAnsi="Times New Roman" w:cs="Times New Roman"/>
          <w:sz w:val="24"/>
          <w:szCs w:val="24"/>
        </w:rPr>
        <w:t>he distribution of value estimates by continent</w:t>
      </w:r>
      <w:r w:rsidR="00BD2AEC">
        <w:rPr>
          <w:rFonts w:ascii="Times New Roman" w:hAnsi="Times New Roman" w:cs="Times New Roman"/>
          <w:sz w:val="24"/>
          <w:szCs w:val="24"/>
        </w:rPr>
        <w:t xml:space="preserve"> </w:t>
      </w:r>
      <w:r w:rsidR="00BD2AEC" w:rsidRPr="00D15C82">
        <w:rPr>
          <w:rFonts w:ascii="Times New Roman" w:hAnsi="Times New Roman" w:cs="Times New Roman"/>
          <w:sz w:val="24"/>
          <w:szCs w:val="24"/>
        </w:rPr>
        <w:t xml:space="preserve">shows that </w:t>
      </w:r>
      <w:r w:rsidR="00BD2AEC" w:rsidRPr="00D30C14">
        <w:rPr>
          <w:rFonts w:ascii="Times New Roman" w:hAnsi="Times New Roman" w:cs="Times New Roman"/>
          <w:b/>
          <w:bCs/>
          <w:sz w:val="24"/>
          <w:szCs w:val="24"/>
        </w:rPr>
        <w:t>Europe</w:t>
      </w:r>
      <w:r w:rsidR="00BD2AEC" w:rsidRPr="00D15C82">
        <w:rPr>
          <w:rFonts w:ascii="Times New Roman" w:hAnsi="Times New Roman" w:cs="Times New Roman"/>
          <w:sz w:val="24"/>
          <w:szCs w:val="24"/>
        </w:rPr>
        <w:t xml:space="preserve"> accounts for the largest proportion of value estimates (32 %), followed by Asia (24 %) Africa (16 %), North America (15 %), South America (8 %) and </w:t>
      </w:r>
      <w:hyperlink r:id="rId11" w:tooltip="Learn more about Oceania from ScienceDirect's AI-generated Topic Pages" w:history="1">
        <w:r w:rsidR="00BD2AEC" w:rsidRPr="00D30C14">
          <w:rPr>
            <w:rStyle w:val="Hyperlink"/>
            <w:rFonts w:ascii="Times New Roman" w:hAnsi="Times New Roman" w:cs="Times New Roman"/>
            <w:color w:val="auto"/>
            <w:sz w:val="24"/>
            <w:szCs w:val="24"/>
          </w:rPr>
          <w:t>Oceania</w:t>
        </w:r>
      </w:hyperlink>
      <w:r w:rsidR="00BD2AEC" w:rsidRPr="00D30C14">
        <w:rPr>
          <w:rFonts w:ascii="Times New Roman" w:hAnsi="Times New Roman" w:cs="Times New Roman"/>
          <w:sz w:val="24"/>
          <w:szCs w:val="24"/>
        </w:rPr>
        <w:t> </w:t>
      </w:r>
      <w:r w:rsidR="00BD2AEC" w:rsidRPr="00D15C82">
        <w:rPr>
          <w:rFonts w:ascii="Times New Roman" w:hAnsi="Times New Roman" w:cs="Times New Roman"/>
          <w:sz w:val="24"/>
          <w:szCs w:val="24"/>
        </w:rPr>
        <w:t>(5 %)</w:t>
      </w:r>
      <w:r w:rsidR="00BD2AEC">
        <w:rPr>
          <w:rFonts w:ascii="Times New Roman" w:hAnsi="Times New Roman" w:cs="Times New Roman"/>
          <w:sz w:val="24"/>
          <w:szCs w:val="24"/>
        </w:rPr>
        <w:t xml:space="preserve">, figure 3. </w:t>
      </w:r>
      <w:r w:rsidRPr="00EC5651">
        <w:rPr>
          <w:rFonts w:ascii="Times New Roman" w:hAnsi="Times New Roman" w:cs="Times New Roman"/>
          <w:sz w:val="24"/>
          <w:szCs w:val="24"/>
        </w:rPr>
        <w:t>The marine biome, which includes coral reefs, has the most value estimates (21%), followed by the intensive land use biome (16%) and the coastal systems biome, which includes mangroves (15%), according to the distribution of value estimates across biomes</w:t>
      </w:r>
      <w:r w:rsidR="00BD2AEC">
        <w:rPr>
          <w:rFonts w:ascii="Times New Roman" w:hAnsi="Times New Roman" w:cs="Times New Roman"/>
          <w:sz w:val="24"/>
          <w:szCs w:val="24"/>
        </w:rPr>
        <w:t xml:space="preserve">, figure, 4, </w:t>
      </w:r>
      <w:r w:rsidRPr="00EC5651">
        <w:rPr>
          <w:rFonts w:ascii="Times New Roman" w:hAnsi="Times New Roman" w:cs="Times New Roman"/>
          <w:sz w:val="24"/>
          <w:szCs w:val="24"/>
        </w:rPr>
        <w:t xml:space="preserve">Brander </w:t>
      </w:r>
      <w:r w:rsidRPr="005C69D8">
        <w:rPr>
          <w:rFonts w:ascii="Times New Roman" w:hAnsi="Times New Roman" w:cs="Times New Roman"/>
          <w:i/>
          <w:iCs/>
          <w:sz w:val="24"/>
          <w:szCs w:val="24"/>
        </w:rPr>
        <w:t>et al</w:t>
      </w:r>
      <w:r w:rsidRPr="00EC5651">
        <w:rPr>
          <w:rFonts w:ascii="Times New Roman" w:hAnsi="Times New Roman" w:cs="Times New Roman"/>
          <w:sz w:val="24"/>
          <w:szCs w:val="24"/>
        </w:rPr>
        <w:t xml:space="preserve">., 2024). </w:t>
      </w:r>
    </w:p>
    <w:p w14:paraId="72A640D9" w14:textId="39B12EF9" w:rsidR="00360C17" w:rsidRDefault="00360C17" w:rsidP="00EC565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63CCF7" wp14:editId="2FB647D1">
            <wp:extent cx="5133975" cy="3084112"/>
            <wp:effectExtent l="0" t="0" r="0" b="2540"/>
            <wp:docPr id="2126132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32505" name="Picture 21261325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7330" cy="3092134"/>
                    </a:xfrm>
                    <a:prstGeom prst="rect">
                      <a:avLst/>
                    </a:prstGeom>
                  </pic:spPr>
                </pic:pic>
              </a:graphicData>
            </a:graphic>
          </wp:inline>
        </w:drawing>
      </w:r>
    </w:p>
    <w:p w14:paraId="2F7A87CB" w14:textId="0806EBF5" w:rsidR="00360C17" w:rsidRDefault="00360C17" w:rsidP="00360C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w:t>
      </w:r>
      <w:r w:rsidRPr="00F53FB2">
        <w:rPr>
          <w:rFonts w:ascii="Times New Roman" w:hAnsi="Times New Roman" w:cs="Times New Roman"/>
          <w:sz w:val="24"/>
          <w:szCs w:val="24"/>
        </w:rPr>
        <w:t>Number of value estimates in the ESVD by continent</w:t>
      </w:r>
      <w:r>
        <w:rPr>
          <w:rFonts w:ascii="Times New Roman" w:hAnsi="Times New Roman" w:cs="Times New Roman"/>
          <w:sz w:val="24"/>
          <w:szCs w:val="24"/>
        </w:rPr>
        <w:t xml:space="preserve"> </w:t>
      </w:r>
      <w:r w:rsidRPr="00EC5651">
        <w:rPr>
          <w:rFonts w:ascii="Times New Roman" w:hAnsi="Times New Roman" w:cs="Times New Roman"/>
          <w:sz w:val="24"/>
          <w:szCs w:val="24"/>
        </w:rPr>
        <w:t xml:space="preserve">(Brander </w:t>
      </w:r>
      <w:r w:rsidRPr="005C69D8">
        <w:rPr>
          <w:rFonts w:ascii="Times New Roman" w:hAnsi="Times New Roman" w:cs="Times New Roman"/>
          <w:i/>
          <w:iCs/>
          <w:sz w:val="24"/>
          <w:szCs w:val="24"/>
        </w:rPr>
        <w:t>et al</w:t>
      </w:r>
      <w:r w:rsidRPr="00EC5651">
        <w:rPr>
          <w:rFonts w:ascii="Times New Roman" w:hAnsi="Times New Roman" w:cs="Times New Roman"/>
          <w:sz w:val="24"/>
          <w:szCs w:val="24"/>
        </w:rPr>
        <w:t xml:space="preserve">., 2024). </w:t>
      </w:r>
    </w:p>
    <w:p w14:paraId="38E2482C" w14:textId="77777777" w:rsidR="002D3AFF" w:rsidRDefault="002D3AFF" w:rsidP="00360C17">
      <w:pPr>
        <w:spacing w:line="360" w:lineRule="auto"/>
        <w:jc w:val="both"/>
        <w:rPr>
          <w:rFonts w:ascii="Times New Roman" w:hAnsi="Times New Roman" w:cs="Times New Roman"/>
          <w:sz w:val="24"/>
          <w:szCs w:val="24"/>
        </w:rPr>
      </w:pPr>
    </w:p>
    <w:p w14:paraId="45A3FC03" w14:textId="2C8FA352" w:rsidR="002D3AFF" w:rsidRDefault="002D3AFF" w:rsidP="00360C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795B88" wp14:editId="7902A60B">
            <wp:extent cx="6154944" cy="3162300"/>
            <wp:effectExtent l="0" t="0" r="0" b="0"/>
            <wp:docPr id="1807434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34648" name="Picture 18074346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4566" cy="3167244"/>
                    </a:xfrm>
                    <a:prstGeom prst="rect">
                      <a:avLst/>
                    </a:prstGeom>
                  </pic:spPr>
                </pic:pic>
              </a:graphicData>
            </a:graphic>
          </wp:inline>
        </w:drawing>
      </w:r>
    </w:p>
    <w:p w14:paraId="7CF8B850" w14:textId="66D56A81" w:rsidR="00360C17" w:rsidRDefault="002D3AFF" w:rsidP="00EC56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 </w:t>
      </w:r>
      <w:r w:rsidRPr="00F53FB2">
        <w:rPr>
          <w:rFonts w:ascii="Times New Roman" w:hAnsi="Times New Roman" w:cs="Times New Roman"/>
          <w:sz w:val="24"/>
          <w:szCs w:val="24"/>
        </w:rPr>
        <w:t>Number of value estimates in the ESVD by biome</w:t>
      </w:r>
      <w:r>
        <w:rPr>
          <w:rFonts w:ascii="Times New Roman" w:hAnsi="Times New Roman" w:cs="Times New Roman"/>
          <w:sz w:val="24"/>
          <w:szCs w:val="24"/>
        </w:rPr>
        <w:t xml:space="preserve"> </w:t>
      </w:r>
      <w:r w:rsidRPr="00EC5651">
        <w:rPr>
          <w:rFonts w:ascii="Times New Roman" w:hAnsi="Times New Roman" w:cs="Times New Roman"/>
          <w:sz w:val="24"/>
          <w:szCs w:val="24"/>
        </w:rPr>
        <w:t xml:space="preserve">(Brander </w:t>
      </w:r>
      <w:r w:rsidRPr="005C69D8">
        <w:rPr>
          <w:rFonts w:ascii="Times New Roman" w:hAnsi="Times New Roman" w:cs="Times New Roman"/>
          <w:i/>
          <w:iCs/>
          <w:sz w:val="24"/>
          <w:szCs w:val="24"/>
        </w:rPr>
        <w:t>et al</w:t>
      </w:r>
      <w:r w:rsidRPr="00EC5651">
        <w:rPr>
          <w:rFonts w:ascii="Times New Roman" w:hAnsi="Times New Roman" w:cs="Times New Roman"/>
          <w:sz w:val="24"/>
          <w:szCs w:val="24"/>
        </w:rPr>
        <w:t xml:space="preserve">., 2024). </w:t>
      </w:r>
    </w:p>
    <w:p w14:paraId="51C771CB" w14:textId="77777777" w:rsidR="000E5FF2" w:rsidRDefault="000E5FF2" w:rsidP="000E5FF2">
      <w:pPr>
        <w:spacing w:line="360" w:lineRule="auto"/>
        <w:rPr>
          <w:rFonts w:ascii="Times New Roman" w:hAnsi="Times New Roman" w:cs="Times New Roman"/>
          <w:b/>
          <w:bCs/>
          <w:sz w:val="24"/>
          <w:szCs w:val="24"/>
        </w:rPr>
      </w:pPr>
      <w:r w:rsidRPr="000B1BE0">
        <w:rPr>
          <w:rFonts w:ascii="Times New Roman" w:hAnsi="Times New Roman" w:cs="Times New Roman"/>
          <w:b/>
          <w:bCs/>
          <w:sz w:val="24"/>
          <w:szCs w:val="24"/>
        </w:rPr>
        <w:t>Case studies</w:t>
      </w:r>
      <w:r>
        <w:rPr>
          <w:rFonts w:ascii="Times New Roman" w:hAnsi="Times New Roman" w:cs="Times New Roman"/>
          <w:b/>
          <w:bCs/>
          <w:sz w:val="24"/>
          <w:szCs w:val="24"/>
        </w:rPr>
        <w:t>-</w:t>
      </w:r>
      <w:r w:rsidRPr="000B1BE0">
        <w:rPr>
          <w:rFonts w:ascii="Times New Roman" w:hAnsi="Times New Roman" w:cs="Times New Roman"/>
          <w:b/>
          <w:bCs/>
          <w:sz w:val="24"/>
          <w:szCs w:val="24"/>
        </w:rPr>
        <w:t>India:</w:t>
      </w:r>
    </w:p>
    <w:p w14:paraId="6B655F2C" w14:textId="77777777" w:rsidR="000E5FF2" w:rsidRDefault="000E5FF2" w:rsidP="000E5FF2">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Pr="000B1BE0">
        <w:rPr>
          <w:rFonts w:ascii="Times New Roman" w:hAnsi="Times New Roman" w:cs="Times New Roman"/>
          <w:b/>
          <w:bCs/>
          <w:sz w:val="24"/>
          <w:szCs w:val="24"/>
        </w:rPr>
        <w:t xml:space="preserve">Ecosystem Services Provided by the </w:t>
      </w:r>
      <w:proofErr w:type="spellStart"/>
      <w:r w:rsidRPr="000B1BE0">
        <w:rPr>
          <w:rFonts w:ascii="Times New Roman" w:hAnsi="Times New Roman" w:cs="Times New Roman"/>
          <w:b/>
          <w:bCs/>
          <w:sz w:val="24"/>
          <w:szCs w:val="24"/>
        </w:rPr>
        <w:t>Ashtamudi</w:t>
      </w:r>
      <w:proofErr w:type="spellEnd"/>
      <w:r w:rsidRPr="000B1BE0">
        <w:rPr>
          <w:rFonts w:ascii="Times New Roman" w:hAnsi="Times New Roman" w:cs="Times New Roman"/>
          <w:b/>
          <w:bCs/>
          <w:sz w:val="24"/>
          <w:szCs w:val="24"/>
        </w:rPr>
        <w:t xml:space="preserve"> Wetland Region</w:t>
      </w:r>
      <w:r>
        <w:rPr>
          <w:rFonts w:ascii="Times New Roman" w:hAnsi="Times New Roman" w:cs="Times New Roman"/>
          <w:b/>
          <w:bCs/>
          <w:sz w:val="24"/>
          <w:szCs w:val="24"/>
        </w:rPr>
        <w:t>:</w:t>
      </w:r>
    </w:p>
    <w:p w14:paraId="37264106" w14:textId="77777777" w:rsidR="000E5FF2" w:rsidRDefault="000E5FF2" w:rsidP="000E5FF2">
      <w:pPr>
        <w:spacing w:line="360" w:lineRule="auto"/>
        <w:jc w:val="both"/>
        <w:rPr>
          <w:rFonts w:ascii="Times New Roman" w:hAnsi="Times New Roman" w:cs="Times New Roman"/>
          <w:sz w:val="24"/>
          <w:szCs w:val="24"/>
        </w:rPr>
      </w:pPr>
      <w:r w:rsidRPr="000E5FF2">
        <w:rPr>
          <w:rFonts w:ascii="Times New Roman" w:hAnsi="Times New Roman" w:cs="Times New Roman"/>
          <w:sz w:val="24"/>
          <w:szCs w:val="24"/>
        </w:rPr>
        <w:t xml:space="preserve">Wetlands offer vital services like food production, habitat provision, water quality maintenance, and protection from flooding and wave action. Kerala state's second-largest wetland ecosystem, </w:t>
      </w:r>
      <w:proofErr w:type="spellStart"/>
      <w:r w:rsidRPr="000E5FF2">
        <w:rPr>
          <w:rFonts w:ascii="Times New Roman" w:hAnsi="Times New Roman" w:cs="Times New Roman"/>
          <w:sz w:val="24"/>
          <w:szCs w:val="24"/>
        </w:rPr>
        <w:t>Ashtamudi</w:t>
      </w:r>
      <w:proofErr w:type="spellEnd"/>
      <w:r w:rsidRPr="000E5FF2">
        <w:rPr>
          <w:rFonts w:ascii="Times New Roman" w:hAnsi="Times New Roman" w:cs="Times New Roman"/>
          <w:sz w:val="24"/>
          <w:szCs w:val="24"/>
        </w:rPr>
        <w:t xml:space="preserve">, offers a wide range of ecosystem services (ES). The economic worth and present condition of 11 significant ES that this wetland provides have been examined in this study. The production of fish, clams, shrimp and prawn larvae, inland navigation, coir, carbon sequestration and erosion prevention by mangroves, flood protection, cooling effect, tourism, and future use-value are among the services taken into consideration. </w:t>
      </w:r>
      <w:proofErr w:type="gramStart"/>
      <w:r w:rsidRPr="000E5FF2">
        <w:rPr>
          <w:rFonts w:ascii="Times New Roman" w:hAnsi="Times New Roman" w:cs="Times New Roman"/>
          <w:sz w:val="24"/>
          <w:szCs w:val="24"/>
        </w:rPr>
        <w:t>Taking into account</w:t>
      </w:r>
      <w:proofErr w:type="gramEnd"/>
      <w:r w:rsidRPr="000E5FF2">
        <w:rPr>
          <w:rFonts w:ascii="Times New Roman" w:hAnsi="Times New Roman" w:cs="Times New Roman"/>
          <w:sz w:val="24"/>
          <w:szCs w:val="24"/>
        </w:rPr>
        <w:t xml:space="preserve"> the aforementioned services, the wetland's total economic value is 424 million US dollars (in terms of the 2017 International $ value), and each 100 square meters of the wetland generates about 820 US dollars in economic output annually</w:t>
      </w:r>
      <w:r>
        <w:rPr>
          <w:rFonts w:ascii="Times New Roman" w:hAnsi="Times New Roman" w:cs="Times New Roman"/>
          <w:sz w:val="24"/>
          <w:szCs w:val="24"/>
        </w:rPr>
        <w:t xml:space="preserve"> (Joy and </w:t>
      </w:r>
      <w:proofErr w:type="spellStart"/>
      <w:r>
        <w:rPr>
          <w:rFonts w:ascii="Times New Roman" w:hAnsi="Times New Roman" w:cs="Times New Roman"/>
          <w:sz w:val="24"/>
          <w:szCs w:val="24"/>
        </w:rPr>
        <w:t>Pual</w:t>
      </w:r>
      <w:proofErr w:type="spellEnd"/>
      <w:r>
        <w:rPr>
          <w:rFonts w:ascii="Times New Roman" w:hAnsi="Times New Roman" w:cs="Times New Roman"/>
          <w:sz w:val="24"/>
          <w:szCs w:val="24"/>
        </w:rPr>
        <w:t>, 2021).</w:t>
      </w:r>
    </w:p>
    <w:p w14:paraId="09D3DD91" w14:textId="77777777" w:rsidR="000E5FF2" w:rsidRPr="00D948F7" w:rsidRDefault="000E5FF2" w:rsidP="000E5FF2">
      <w:pPr>
        <w:spacing w:line="360" w:lineRule="auto"/>
        <w:jc w:val="both"/>
        <w:rPr>
          <w:rFonts w:ascii="Times New Roman" w:hAnsi="Times New Roman" w:cs="Times New Roman"/>
          <w:b/>
          <w:bCs/>
          <w:sz w:val="24"/>
          <w:szCs w:val="24"/>
        </w:rPr>
      </w:pPr>
      <w:r w:rsidRPr="00D948F7">
        <w:rPr>
          <w:rFonts w:ascii="Times New Roman" w:hAnsi="Times New Roman" w:cs="Times New Roman"/>
          <w:b/>
          <w:bCs/>
          <w:sz w:val="24"/>
          <w:szCs w:val="24"/>
        </w:rPr>
        <w:t>Economic valuation of Dal Lake Srinagar, Kashmir, India</w:t>
      </w:r>
      <w:r>
        <w:rPr>
          <w:rFonts w:ascii="Times New Roman" w:hAnsi="Times New Roman" w:cs="Times New Roman"/>
          <w:b/>
          <w:bCs/>
          <w:sz w:val="24"/>
          <w:szCs w:val="24"/>
        </w:rPr>
        <w:t>:</w:t>
      </w:r>
    </w:p>
    <w:p w14:paraId="1EB377CC" w14:textId="77777777" w:rsidR="000E5FF2" w:rsidRDefault="000E5FF2" w:rsidP="000E5FF2">
      <w:pPr>
        <w:spacing w:line="360" w:lineRule="auto"/>
        <w:jc w:val="both"/>
        <w:rPr>
          <w:rFonts w:ascii="Times New Roman" w:hAnsi="Times New Roman" w:cs="Times New Roman"/>
          <w:sz w:val="24"/>
          <w:szCs w:val="24"/>
        </w:rPr>
      </w:pPr>
      <w:r w:rsidRPr="000E5FF2">
        <w:rPr>
          <w:rFonts w:ascii="Times New Roman" w:hAnsi="Times New Roman" w:cs="Times New Roman"/>
          <w:sz w:val="24"/>
          <w:szCs w:val="24"/>
        </w:rPr>
        <w:t>In the center of Srinagar city, Dal Lake continues to be a popular tourist destination. Dal Lake was therefore selected for the study due to its scenic beauty as well as the various ecological and economic services it provides, serving as a source of income (livelihood) for the communities. According to TCM and CVM calculations, the floating gardens of Dal Lake are generating an enormous sum of money (Rs 16,18,66,000). According to the survey, 68% of respondents were willing to pay (WTP) for better services and Dal Lake restoration (mean value: Rs 62,852.20).</w:t>
      </w:r>
      <w:r>
        <w:rPr>
          <w:rFonts w:ascii="Times New Roman" w:hAnsi="Times New Roman" w:cs="Times New Roman"/>
          <w:sz w:val="24"/>
          <w:szCs w:val="24"/>
        </w:rPr>
        <w:t xml:space="preserve"> </w:t>
      </w:r>
      <w:r w:rsidRPr="000E5FF2">
        <w:rPr>
          <w:rFonts w:ascii="Times New Roman" w:hAnsi="Times New Roman" w:cs="Times New Roman"/>
          <w:sz w:val="24"/>
          <w:szCs w:val="24"/>
        </w:rPr>
        <w:t xml:space="preserve">In order to find a long-term solution for the sustainable conservation of Dal Lake, monitoring and assessment were conducted to determine how the lake contributes to the state economy through its various services and the main tourist attraction in addition to the potential causes of the decline in water quality (Parry </w:t>
      </w:r>
      <w:r w:rsidRPr="005C69D8">
        <w:rPr>
          <w:rFonts w:ascii="Times New Roman" w:hAnsi="Times New Roman" w:cs="Times New Roman"/>
          <w:i/>
          <w:iCs/>
          <w:sz w:val="24"/>
          <w:szCs w:val="24"/>
        </w:rPr>
        <w:t>et al</w:t>
      </w:r>
      <w:r w:rsidRPr="000E5FF2">
        <w:rPr>
          <w:rFonts w:ascii="Times New Roman" w:hAnsi="Times New Roman" w:cs="Times New Roman"/>
          <w:sz w:val="24"/>
          <w:szCs w:val="24"/>
        </w:rPr>
        <w:t>., 2024).</w:t>
      </w:r>
    </w:p>
    <w:p w14:paraId="46928108" w14:textId="77777777" w:rsidR="00A53B7D" w:rsidRPr="00C526D8" w:rsidRDefault="00A53B7D" w:rsidP="00A53B7D">
      <w:pPr>
        <w:spacing w:line="360" w:lineRule="auto"/>
        <w:jc w:val="both"/>
        <w:rPr>
          <w:rFonts w:ascii="Times New Roman" w:hAnsi="Times New Roman" w:cs="Times New Roman"/>
          <w:b/>
          <w:bCs/>
          <w:sz w:val="28"/>
          <w:szCs w:val="28"/>
        </w:rPr>
      </w:pPr>
      <w:r w:rsidRPr="00C526D8">
        <w:rPr>
          <w:rFonts w:ascii="Times New Roman" w:hAnsi="Times New Roman" w:cs="Times New Roman"/>
          <w:b/>
          <w:bCs/>
          <w:sz w:val="28"/>
          <w:szCs w:val="28"/>
        </w:rPr>
        <w:t>Carbon metrics:</w:t>
      </w:r>
    </w:p>
    <w:p w14:paraId="7D6CE2EC" w14:textId="77777777" w:rsidR="00A53B7D" w:rsidRPr="002110B0" w:rsidRDefault="00A53B7D" w:rsidP="00A53B7D">
      <w:pPr>
        <w:spacing w:line="360" w:lineRule="auto"/>
        <w:jc w:val="both"/>
        <w:rPr>
          <w:rFonts w:ascii="Times New Roman" w:hAnsi="Times New Roman" w:cs="Times New Roman"/>
          <w:b/>
          <w:bCs/>
          <w:sz w:val="24"/>
          <w:szCs w:val="24"/>
        </w:rPr>
      </w:pPr>
      <w:r w:rsidRPr="002110B0">
        <w:rPr>
          <w:rFonts w:ascii="Times New Roman" w:hAnsi="Times New Roman" w:cs="Times New Roman"/>
          <w:b/>
          <w:bCs/>
          <w:sz w:val="24"/>
          <w:szCs w:val="24"/>
        </w:rPr>
        <w:t>1. Carbon budget</w:t>
      </w:r>
    </w:p>
    <w:p w14:paraId="401F6EC0" w14:textId="1F36C37A" w:rsidR="00AF5B5C" w:rsidRDefault="00AF5B5C" w:rsidP="00AF5B5C">
      <w:pPr>
        <w:spacing w:line="360" w:lineRule="auto"/>
        <w:jc w:val="both"/>
        <w:rPr>
          <w:rFonts w:ascii="Times New Roman" w:hAnsi="Times New Roman" w:cs="Times New Roman"/>
          <w:sz w:val="24"/>
          <w:szCs w:val="24"/>
        </w:rPr>
      </w:pPr>
      <w:r w:rsidRPr="00AF5B5C">
        <w:rPr>
          <w:rFonts w:ascii="Times New Roman" w:hAnsi="Times New Roman" w:cs="Times New Roman"/>
          <w:sz w:val="24"/>
          <w:szCs w:val="24"/>
        </w:rPr>
        <w:t>The term "carbon budget" refers to a concept used in climate policy to help set emissions reduction targets in a fair and effective way. It looks at the "maximum amount of cumulative net global anthropogenic carbon dioxide (CO</w:t>
      </w:r>
      <w:r w:rsidRPr="00AF5B5C">
        <w:rPr>
          <w:rFonts w:ascii="Times New Roman" w:hAnsi="Times New Roman" w:cs="Times New Roman"/>
          <w:sz w:val="24"/>
          <w:szCs w:val="24"/>
          <w:vertAlign w:val="subscript"/>
        </w:rPr>
        <w:t>2</w:t>
      </w:r>
      <w:r w:rsidRPr="00AF5B5C">
        <w:rPr>
          <w:rFonts w:ascii="Times New Roman" w:hAnsi="Times New Roman" w:cs="Times New Roman"/>
          <w:sz w:val="24"/>
          <w:szCs w:val="24"/>
        </w:rPr>
        <w:t xml:space="preserve">) emissions that would result in limiting global warming to a given level." It can be expressed relative to the pre-industrial period (the year 1750). In this case, </w:t>
      </w:r>
      <w:r w:rsidRPr="00AF5B5C">
        <w:rPr>
          <w:rFonts w:ascii="Times New Roman" w:hAnsi="Times New Roman" w:cs="Times New Roman"/>
          <w:sz w:val="24"/>
          <w:szCs w:val="24"/>
        </w:rPr>
        <w:lastRenderedPageBreak/>
        <w:t>it is the total carbon budget. Or it can be expressed from a recent specified date onwards. In that case it is the remaining carbon budget (IPCC, 2021).</w:t>
      </w:r>
    </w:p>
    <w:p w14:paraId="14DF7AED" w14:textId="44B085DD" w:rsidR="005551A4" w:rsidRDefault="00AF5B5C" w:rsidP="00AF5B5C">
      <w:pPr>
        <w:spacing w:line="360" w:lineRule="auto"/>
        <w:jc w:val="both"/>
        <w:rPr>
          <w:rFonts w:ascii="Times New Roman" w:hAnsi="Times New Roman" w:cs="Times New Roman"/>
          <w:sz w:val="24"/>
          <w:szCs w:val="24"/>
        </w:rPr>
      </w:pPr>
      <w:r w:rsidRPr="00AF5B5C">
        <w:rPr>
          <w:rFonts w:ascii="Times New Roman" w:hAnsi="Times New Roman" w:cs="Times New Roman"/>
          <w:sz w:val="24"/>
          <w:szCs w:val="24"/>
        </w:rPr>
        <w:t>An emissions budget, quota, or allowable emissions is another name for a carbon budget that will prevent global warming from rising above a predetermined temperature threshold (</w:t>
      </w:r>
      <w:proofErr w:type="spellStart"/>
      <w:r w:rsidRPr="00AF5B5C">
        <w:rPr>
          <w:rFonts w:ascii="Times New Roman" w:hAnsi="Times New Roman" w:cs="Times New Roman"/>
          <w:sz w:val="24"/>
          <w:szCs w:val="24"/>
        </w:rPr>
        <w:t>Meinshausen</w:t>
      </w:r>
      <w:proofErr w:type="spellEnd"/>
      <w:r w:rsidRPr="00AF5B5C">
        <w:rPr>
          <w:rFonts w:ascii="Times New Roman" w:hAnsi="Times New Roman" w:cs="Times New Roman"/>
          <w:sz w:val="24"/>
          <w:szCs w:val="24"/>
        </w:rPr>
        <w:t xml:space="preserve"> </w:t>
      </w:r>
      <w:r w:rsidRPr="00AF5B5C">
        <w:rPr>
          <w:rFonts w:ascii="Times New Roman" w:hAnsi="Times New Roman" w:cs="Times New Roman"/>
          <w:i/>
          <w:iCs/>
          <w:sz w:val="24"/>
          <w:szCs w:val="24"/>
        </w:rPr>
        <w:t>et al</w:t>
      </w:r>
      <w:r w:rsidRPr="00AF5B5C">
        <w:rPr>
          <w:rFonts w:ascii="Times New Roman" w:hAnsi="Times New Roman" w:cs="Times New Roman"/>
          <w:sz w:val="24"/>
          <w:szCs w:val="24"/>
        </w:rPr>
        <w:t xml:space="preserve">., 2009; Mathews </w:t>
      </w:r>
      <w:r w:rsidRPr="00AF5B5C">
        <w:rPr>
          <w:rFonts w:ascii="Times New Roman" w:hAnsi="Times New Roman" w:cs="Times New Roman"/>
          <w:i/>
          <w:iCs/>
          <w:sz w:val="24"/>
          <w:szCs w:val="24"/>
        </w:rPr>
        <w:t>et al.,</w:t>
      </w:r>
      <w:r w:rsidRPr="00AF5B5C">
        <w:rPr>
          <w:rFonts w:ascii="Times New Roman" w:hAnsi="Times New Roman" w:cs="Times New Roman"/>
          <w:sz w:val="24"/>
          <w:szCs w:val="24"/>
        </w:rPr>
        <w:t xml:space="preserve"> 2018; </w:t>
      </w:r>
      <w:proofErr w:type="spellStart"/>
      <w:r w:rsidRPr="00AF5B5C">
        <w:rPr>
          <w:rFonts w:ascii="Times New Roman" w:hAnsi="Times New Roman" w:cs="Times New Roman"/>
          <w:sz w:val="24"/>
          <w:szCs w:val="24"/>
        </w:rPr>
        <w:t>Raupach</w:t>
      </w:r>
      <w:proofErr w:type="spellEnd"/>
      <w:r w:rsidRPr="00AF5B5C">
        <w:rPr>
          <w:rFonts w:ascii="Times New Roman" w:hAnsi="Times New Roman" w:cs="Times New Roman"/>
          <w:sz w:val="24"/>
          <w:szCs w:val="24"/>
        </w:rPr>
        <w:t xml:space="preserve"> </w:t>
      </w:r>
      <w:r w:rsidRPr="00AF5B5C">
        <w:rPr>
          <w:rFonts w:ascii="Times New Roman" w:hAnsi="Times New Roman" w:cs="Times New Roman"/>
          <w:i/>
          <w:iCs/>
          <w:sz w:val="24"/>
          <w:szCs w:val="24"/>
        </w:rPr>
        <w:t>et al</w:t>
      </w:r>
      <w:r w:rsidRPr="00AF5B5C">
        <w:rPr>
          <w:rFonts w:ascii="Times New Roman" w:hAnsi="Times New Roman" w:cs="Times New Roman"/>
          <w:sz w:val="24"/>
          <w:szCs w:val="24"/>
        </w:rPr>
        <w:t>., 2014). Limiting sea level rise is another goal of such an emissions budget, in addition to limiting the increase in global temperatures. National emissions budgets are a further subset of global carbon budgets. This can assist nations in establishing their own emission targets. A finite amount of carbon dioxide can be released over time before causing dangerously high levels of global warming, according to emissions budgets. The source of these emissions and, to a large extent, the timing of these emissions have no bearing on the change in global temperature</w:t>
      </w:r>
      <w:r>
        <w:rPr>
          <w:rFonts w:ascii="Times New Roman" w:hAnsi="Times New Roman" w:cs="Times New Roman"/>
          <w:sz w:val="24"/>
          <w:szCs w:val="24"/>
        </w:rPr>
        <w:t xml:space="preserve"> (</w:t>
      </w:r>
      <w:proofErr w:type="spellStart"/>
      <w:r>
        <w:rPr>
          <w:rFonts w:ascii="Times New Roman" w:hAnsi="Times New Roman" w:cs="Times New Roman"/>
          <w:sz w:val="24"/>
          <w:szCs w:val="24"/>
        </w:rPr>
        <w:t>Zickfeld</w:t>
      </w:r>
      <w:proofErr w:type="spellEnd"/>
      <w:r>
        <w:rPr>
          <w:rFonts w:ascii="Times New Roman" w:hAnsi="Times New Roman" w:cs="Times New Roman"/>
          <w:sz w:val="24"/>
          <w:szCs w:val="24"/>
        </w:rPr>
        <w:t xml:space="preserve"> </w:t>
      </w:r>
      <w:r w:rsidRPr="001F14E1">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2012</w:t>
      </w:r>
      <w:r w:rsidR="0046185F" w:rsidRPr="0046185F">
        <w:rPr>
          <w:rFonts w:ascii="Times New Roman" w:hAnsi="Times New Roman" w:cs="Times New Roman"/>
          <w:sz w:val="24"/>
          <w:szCs w:val="24"/>
          <w:highlight w:val="yellow"/>
        </w:rPr>
        <w:t xml:space="preserve">; Bharathi </w:t>
      </w:r>
      <w:r w:rsidR="00F928EA">
        <w:rPr>
          <w:rFonts w:ascii="Times New Roman" w:hAnsi="Times New Roman" w:cs="Times New Roman"/>
          <w:sz w:val="24"/>
          <w:szCs w:val="24"/>
          <w:highlight w:val="yellow"/>
        </w:rPr>
        <w:t xml:space="preserve">et al., </w:t>
      </w:r>
      <w:r w:rsidR="0046185F" w:rsidRPr="0046185F">
        <w:rPr>
          <w:rFonts w:ascii="Times New Roman" w:hAnsi="Times New Roman" w:cs="Times New Roman"/>
          <w:sz w:val="24"/>
          <w:szCs w:val="24"/>
          <w:highlight w:val="yellow"/>
        </w:rPr>
        <w:t>2023</w:t>
      </w:r>
      <w:r>
        <w:rPr>
          <w:rFonts w:ascii="Times New Roman" w:hAnsi="Times New Roman" w:cs="Times New Roman"/>
          <w:sz w:val="24"/>
          <w:szCs w:val="24"/>
        </w:rPr>
        <w:t>).</w:t>
      </w:r>
    </w:p>
    <w:p w14:paraId="3B816DE5" w14:textId="77777777" w:rsidR="00AF5B5C" w:rsidRPr="005738F3" w:rsidRDefault="00AF5B5C" w:rsidP="00AF5B5C">
      <w:pPr>
        <w:spacing w:line="360" w:lineRule="auto"/>
        <w:jc w:val="both"/>
        <w:rPr>
          <w:rFonts w:ascii="Times New Roman" w:hAnsi="Times New Roman" w:cs="Times New Roman"/>
          <w:b/>
          <w:bCs/>
          <w:sz w:val="24"/>
          <w:szCs w:val="24"/>
        </w:rPr>
      </w:pPr>
      <w:r w:rsidRPr="005738F3">
        <w:rPr>
          <w:rFonts w:ascii="Times New Roman" w:hAnsi="Times New Roman" w:cs="Times New Roman"/>
          <w:b/>
          <w:bCs/>
          <w:sz w:val="24"/>
          <w:szCs w:val="24"/>
        </w:rPr>
        <w:t>Recent and currently remaining carbon budget</w:t>
      </w:r>
    </w:p>
    <w:p w14:paraId="33688ADA" w14:textId="77777777" w:rsidR="00C11A4F" w:rsidRPr="00C11A4F" w:rsidRDefault="00C11A4F" w:rsidP="00C11A4F">
      <w:p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Global Carbon Project, the Mercator Research Institute on Global Commons and Climate Change (MCC), and the CONSTRAIN project are among the organizations that offer yearly updates on the remaining carbon budget. Before the "Global Carbon Budget 2021" preprint was formally published in March 2022, scientists reported using data from Carbon Monitor (CM) that global CO2 emissions had sharply rebounded by 4.8% in 2021 following record-level declines in 2020 due to the COVID-19 pandemic. This suggests that, if current trends continue, the carbon budget for a ⅔ likelihood of keeping warming to 1.5 °C would be depleted in 9.5 years (Liu </w:t>
      </w:r>
      <w:r w:rsidRPr="00C11A4F">
        <w:rPr>
          <w:rFonts w:ascii="Times New Roman" w:hAnsi="Times New Roman" w:cs="Times New Roman"/>
          <w:i/>
          <w:iCs/>
          <w:sz w:val="24"/>
          <w:szCs w:val="24"/>
        </w:rPr>
        <w:t>et al</w:t>
      </w:r>
      <w:r w:rsidRPr="00C11A4F">
        <w:rPr>
          <w:rFonts w:ascii="Times New Roman" w:hAnsi="Times New Roman" w:cs="Times New Roman"/>
          <w:sz w:val="24"/>
          <w:szCs w:val="24"/>
        </w:rPr>
        <w:t>., 2022).</w:t>
      </w:r>
    </w:p>
    <w:p w14:paraId="75D5132F" w14:textId="2E4B71E6" w:rsidR="002E339E" w:rsidRPr="00C11A4F" w:rsidRDefault="00C11A4F" w:rsidP="002E339E">
      <w:p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A team of scientists revised the carbon budget in October 2023, </w:t>
      </w:r>
      <w:proofErr w:type="gramStart"/>
      <w:r w:rsidRPr="00C11A4F">
        <w:rPr>
          <w:rFonts w:ascii="Times New Roman" w:hAnsi="Times New Roman" w:cs="Times New Roman"/>
          <w:sz w:val="24"/>
          <w:szCs w:val="24"/>
        </w:rPr>
        <w:t>taking into account</w:t>
      </w:r>
      <w:proofErr w:type="gramEnd"/>
      <w:r w:rsidRPr="00C11A4F">
        <w:rPr>
          <w:rFonts w:ascii="Times New Roman" w:hAnsi="Times New Roman" w:cs="Times New Roman"/>
          <w:sz w:val="24"/>
          <w:szCs w:val="24"/>
        </w:rPr>
        <w:t xml:space="preserve"> the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emissions from 2020–2022, as well as new research on the impact of fewer polluting particles in the atmosphere (Lam Boll </w:t>
      </w:r>
      <w:r w:rsidRPr="00C11A4F">
        <w:rPr>
          <w:rFonts w:ascii="Times New Roman" w:hAnsi="Times New Roman" w:cs="Times New Roman"/>
          <w:i/>
          <w:iCs/>
          <w:sz w:val="24"/>
          <w:szCs w:val="24"/>
        </w:rPr>
        <w:t>et al</w:t>
      </w:r>
      <w:r w:rsidRPr="00C11A4F">
        <w:rPr>
          <w:rFonts w:ascii="Times New Roman" w:hAnsi="Times New Roman" w:cs="Times New Roman"/>
          <w:sz w:val="24"/>
          <w:szCs w:val="24"/>
        </w:rPr>
        <w:t>., 2023). They discovered that, starting in January 2023, we can emit 250 Gt</w:t>
      </w:r>
      <w:r w:rsidR="005C69D8" w:rsidRPr="005C69D8">
        <w:rPr>
          <w:rFonts w:ascii="Times New Roman" w:hAnsi="Times New Roman" w:cs="Times New Roman"/>
          <w:sz w:val="24"/>
          <w:szCs w:val="24"/>
        </w:rPr>
        <w:t xml:space="preserve">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or six years of emissions at current levels, to have a 50% chance of staying below 1.5 degrees; to achieve this goal, humanity will need to have zero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005C69D8">
        <w:rPr>
          <w:rFonts w:ascii="Times New Roman" w:hAnsi="Times New Roman" w:cs="Times New Roman"/>
          <w:sz w:val="24"/>
          <w:szCs w:val="24"/>
          <w:vertAlign w:val="subscript"/>
        </w:rPr>
        <w:t xml:space="preserve"> </w:t>
      </w:r>
      <w:r w:rsidRPr="00C11A4F">
        <w:rPr>
          <w:rFonts w:ascii="Times New Roman" w:hAnsi="Times New Roman" w:cs="Times New Roman"/>
          <w:sz w:val="24"/>
          <w:szCs w:val="24"/>
        </w:rPr>
        <w:t>emissions by 2034; to have a 50% chance of staying below 2 degrees, we can emit 1220 Gt</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or 30 years of emissions at current levels (McGrath, 2023; </w:t>
      </w:r>
      <w:proofErr w:type="spellStart"/>
      <w:r w:rsidRPr="00C11A4F">
        <w:rPr>
          <w:rFonts w:ascii="Times New Roman" w:hAnsi="Times New Roman" w:cs="Times New Roman"/>
          <w:sz w:val="24"/>
          <w:szCs w:val="24"/>
        </w:rPr>
        <w:t>Borenstein</w:t>
      </w:r>
      <w:proofErr w:type="spellEnd"/>
      <w:r w:rsidRPr="00C11A4F">
        <w:rPr>
          <w:rFonts w:ascii="Times New Roman" w:hAnsi="Times New Roman" w:cs="Times New Roman"/>
          <w:sz w:val="24"/>
          <w:szCs w:val="24"/>
        </w:rPr>
        <w:t>, 2023).</w:t>
      </w:r>
      <w:r w:rsidR="005551A4">
        <w:rPr>
          <w:rFonts w:ascii="Times New Roman" w:hAnsi="Times New Roman" w:cs="Times New Roman"/>
          <w:sz w:val="24"/>
          <w:szCs w:val="24"/>
        </w:rPr>
        <w:t xml:space="preserve"> The Global Carbon Project, 2024 </w:t>
      </w:r>
      <w:r w:rsidR="002E339E">
        <w:rPr>
          <w:rFonts w:ascii="Times New Roman" w:hAnsi="Times New Roman" w:cs="Times New Roman"/>
          <w:sz w:val="24"/>
          <w:szCs w:val="24"/>
        </w:rPr>
        <w:t xml:space="preserve">suggests that the Global </w:t>
      </w:r>
      <w:r w:rsidR="005C69D8">
        <w:rPr>
          <w:rFonts w:ascii="Times New Roman" w:hAnsi="Times New Roman" w:cs="Times New Roman"/>
          <w:sz w:val="24"/>
          <w:szCs w:val="24"/>
        </w:rPr>
        <w:t>CO</w:t>
      </w:r>
      <w:r w:rsidR="005C69D8" w:rsidRPr="007120C9">
        <w:rPr>
          <w:rFonts w:ascii="Times New Roman" w:hAnsi="Times New Roman" w:cs="Times New Roman"/>
          <w:sz w:val="24"/>
          <w:szCs w:val="24"/>
          <w:vertAlign w:val="subscript"/>
        </w:rPr>
        <w:t>2</w:t>
      </w:r>
      <w:r w:rsidR="002E339E">
        <w:rPr>
          <w:rFonts w:ascii="Times New Roman" w:hAnsi="Times New Roman" w:cs="Times New Roman"/>
          <w:sz w:val="24"/>
          <w:szCs w:val="24"/>
        </w:rPr>
        <w:t xml:space="preserve"> emission rates must decline </w:t>
      </w:r>
      <w:r w:rsidR="002E339E" w:rsidRPr="005551A4">
        <w:rPr>
          <w:rFonts w:ascii="Times New Roman" w:hAnsi="Times New Roman" w:cs="Times New Roman"/>
          <w:sz w:val="24"/>
          <w:szCs w:val="24"/>
        </w:rPr>
        <w:t>after 2024 to limit the global temperature increase to 1.5, 1.7, or 2.0 degrees Celsius without relying on net-negative emissions</w:t>
      </w:r>
      <w:r w:rsidR="002E339E">
        <w:rPr>
          <w:rFonts w:ascii="Times New Roman" w:hAnsi="Times New Roman" w:cs="Times New Roman"/>
          <w:sz w:val="24"/>
          <w:szCs w:val="24"/>
        </w:rPr>
        <w:t xml:space="preserve">, Figure 5. </w:t>
      </w:r>
    </w:p>
    <w:p w14:paraId="54ABC6FB" w14:textId="46DE1F3D" w:rsidR="005551A4" w:rsidRDefault="00BA08B1" w:rsidP="00BA08B1">
      <w:pPr>
        <w:tabs>
          <w:tab w:val="left" w:pos="735"/>
        </w:tabs>
        <w:spacing w:line="360" w:lineRule="auto"/>
        <w:rPr>
          <w:rFonts w:ascii="Times New Roman" w:hAnsi="Times New Roman" w:cs="Times New Roman"/>
          <w:sz w:val="24"/>
          <w:szCs w:val="24"/>
        </w:rPr>
      </w:pPr>
      <w:r w:rsidRPr="00BA08B1">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C8ABF66" wp14:editId="04E313F6">
            <wp:simplePos x="0" y="0"/>
            <wp:positionH relativeFrom="column">
              <wp:posOffset>1828800</wp:posOffset>
            </wp:positionH>
            <wp:positionV relativeFrom="paragraph">
              <wp:posOffset>32385</wp:posOffset>
            </wp:positionV>
            <wp:extent cx="3343275" cy="3343275"/>
            <wp:effectExtent l="19050" t="19050" r="28575" b="28575"/>
            <wp:wrapSquare wrapText="bothSides"/>
            <wp:docPr id="6" name="Picture 5">
              <a:extLst xmlns:a="http://schemas.openxmlformats.org/drawingml/2006/main">
                <a:ext uri="{FF2B5EF4-FFF2-40B4-BE49-F238E27FC236}">
                  <a16:creationId xmlns:a16="http://schemas.microsoft.com/office/drawing/2014/main" id="{6166B935-21E4-BF31-EAAC-0FC66C60A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166B935-21E4-BF31-EAAC-0FC66C60A7FE}"/>
                        </a:ext>
                      </a:extLst>
                    </pic:cNvPr>
                    <pic:cNvPicPr>
                      <a:picLocks noChangeAspect="1"/>
                    </pic:cNvPicPr>
                  </pic:nvPicPr>
                  <pic:blipFill>
                    <a:blip r:embed="rId14" cstate="print">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tretch>
                      <a:fillRect/>
                    </a:stretch>
                  </pic:blipFill>
                  <pic:spPr bwMode="auto">
                    <a:xfrm>
                      <a:off x="0" y="0"/>
                      <a:ext cx="3343275" cy="3343275"/>
                    </a:xfrm>
                    <a:prstGeom prst="rect">
                      <a:avLst/>
                    </a:prstGeom>
                    <a:noFill/>
                    <a:ln w="9525" cap="flat" cmpd="sng" algn="ctr">
                      <a:solidFill>
                        <a:schemeClr val="accent4"/>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p>
    <w:p w14:paraId="387C9908" w14:textId="03B411F0" w:rsidR="002E339E" w:rsidRDefault="002E339E" w:rsidP="00BA08B1">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Figure 5: Global Carbon Project, 2024.</w:t>
      </w:r>
    </w:p>
    <w:p w14:paraId="6D84C58B" w14:textId="77777777" w:rsidR="00C11A4F" w:rsidRDefault="00C11A4F" w:rsidP="00C11A4F">
      <w:p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Researchers use estimates of the following to determine the size of remaining carbon budgets: </w:t>
      </w:r>
    </w:p>
    <w:p w14:paraId="7948D964" w14:textId="2F7FC774" w:rsidR="00C11A4F" w:rsidRPr="00C11A4F" w:rsidRDefault="00C11A4F" w:rsidP="00C11A4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amount of warming that has already occurred as a result of human activity; </w:t>
      </w:r>
    </w:p>
    <w:p w14:paraId="0620B477" w14:textId="53514C61" w:rsidR="00C11A4F" w:rsidRPr="00C11A4F" w:rsidRDefault="00C11A4F" w:rsidP="00C11A4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amount of warming per cumulative unit of </w:t>
      </w:r>
      <w:r w:rsidR="007120C9">
        <w:rPr>
          <w:rFonts w:ascii="Times New Roman" w:hAnsi="Times New Roman" w:cs="Times New Roman"/>
          <w:sz w:val="24"/>
          <w:szCs w:val="24"/>
        </w:rPr>
        <w:t>CO</w:t>
      </w:r>
      <w:r w:rsidR="007120C9" w:rsidRPr="007120C9">
        <w:rPr>
          <w:rFonts w:ascii="Times New Roman" w:hAnsi="Times New Roman" w:cs="Times New Roman"/>
          <w:sz w:val="24"/>
          <w:szCs w:val="24"/>
          <w:vertAlign w:val="subscript"/>
        </w:rPr>
        <w:t>2</w:t>
      </w:r>
      <w:r w:rsidRPr="00C11A4F">
        <w:rPr>
          <w:rFonts w:ascii="Times New Roman" w:hAnsi="Times New Roman" w:cs="Times New Roman"/>
          <w:sz w:val="24"/>
          <w:szCs w:val="24"/>
        </w:rPr>
        <w:t xml:space="preserve"> emissions (also referred to as the transient climate response to cumulative emissions of carbon dioxide, or TCRE); </w:t>
      </w:r>
    </w:p>
    <w:p w14:paraId="3B93C95C" w14:textId="656D5DD9" w:rsidR="00C11A4F" w:rsidRPr="00C11A4F" w:rsidRDefault="00C11A4F" w:rsidP="00C11A4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 xml:space="preserve">The amount of warming that may still occur after all </w:t>
      </w:r>
      <w:r w:rsidR="007120C9">
        <w:rPr>
          <w:rFonts w:ascii="Times New Roman" w:hAnsi="Times New Roman" w:cs="Times New Roman"/>
          <w:sz w:val="24"/>
          <w:szCs w:val="24"/>
        </w:rPr>
        <w:t>CO</w:t>
      </w:r>
      <w:r w:rsidR="007120C9" w:rsidRPr="007120C9">
        <w:rPr>
          <w:rFonts w:ascii="Times New Roman" w:hAnsi="Times New Roman" w:cs="Times New Roman"/>
          <w:sz w:val="24"/>
          <w:szCs w:val="24"/>
          <w:vertAlign w:val="subscript"/>
        </w:rPr>
        <w:t>2</w:t>
      </w:r>
      <w:r w:rsidR="007120C9">
        <w:rPr>
          <w:rFonts w:ascii="Times New Roman" w:hAnsi="Times New Roman" w:cs="Times New Roman"/>
          <w:sz w:val="24"/>
          <w:szCs w:val="24"/>
          <w:vertAlign w:val="subscript"/>
        </w:rPr>
        <w:t xml:space="preserve"> </w:t>
      </w:r>
      <w:r w:rsidRPr="00C11A4F">
        <w:rPr>
          <w:rFonts w:ascii="Times New Roman" w:hAnsi="Times New Roman" w:cs="Times New Roman"/>
          <w:sz w:val="24"/>
          <w:szCs w:val="24"/>
        </w:rPr>
        <w:t xml:space="preserve">emissions are stopped (also known as the zero emissions commitment); </w:t>
      </w:r>
    </w:p>
    <w:p w14:paraId="3EC742A0" w14:textId="64C78B0A" w:rsidR="0063555F" w:rsidRDefault="00C11A4F" w:rsidP="0063555F">
      <w:pPr>
        <w:pStyle w:val="ListParagraph"/>
        <w:numPr>
          <w:ilvl w:val="0"/>
          <w:numId w:val="2"/>
        </w:numPr>
        <w:spacing w:line="360" w:lineRule="auto"/>
        <w:jc w:val="both"/>
        <w:rPr>
          <w:rFonts w:ascii="Times New Roman" w:hAnsi="Times New Roman" w:cs="Times New Roman"/>
          <w:sz w:val="24"/>
          <w:szCs w:val="24"/>
        </w:rPr>
      </w:pPr>
      <w:r w:rsidRPr="00C11A4F">
        <w:rPr>
          <w:rFonts w:ascii="Times New Roman" w:hAnsi="Times New Roman" w:cs="Times New Roman"/>
          <w:sz w:val="24"/>
          <w:szCs w:val="24"/>
        </w:rPr>
        <w:t>And the impact of Earth system feedbacks that would not otherwise be considered.</w:t>
      </w:r>
    </w:p>
    <w:p w14:paraId="47996309" w14:textId="0385814A" w:rsidR="00603F2C" w:rsidRPr="00603F2C" w:rsidRDefault="00603F2C" w:rsidP="00603F2C">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603F2C">
        <w:rPr>
          <w:rFonts w:ascii="Times New Roman" w:hAnsi="Times New Roman" w:cs="Times New Roman"/>
          <w:sz w:val="24"/>
          <w:szCs w:val="24"/>
        </w:rPr>
        <w:t>stimati</w:t>
      </w:r>
      <w:r>
        <w:rPr>
          <w:rFonts w:ascii="Times New Roman" w:hAnsi="Times New Roman" w:cs="Times New Roman"/>
          <w:sz w:val="24"/>
          <w:szCs w:val="24"/>
        </w:rPr>
        <w:t>on of</w:t>
      </w:r>
      <w:r w:rsidRPr="00603F2C">
        <w:rPr>
          <w:rFonts w:ascii="Times New Roman" w:hAnsi="Times New Roman" w:cs="Times New Roman"/>
          <w:sz w:val="24"/>
          <w:szCs w:val="24"/>
        </w:rPr>
        <w:t xml:space="preserve"> the remaining carbon budget at the global level depends on climate science and value judgments or choices, while translating global carbon budgets to the national level requires further value judgments and choices</w:t>
      </w:r>
      <w:r>
        <w:rPr>
          <w:rFonts w:ascii="Times New Roman" w:hAnsi="Times New Roman" w:cs="Times New Roman"/>
          <w:sz w:val="24"/>
          <w:szCs w:val="24"/>
        </w:rPr>
        <w:t xml:space="preserve">, Figure </w:t>
      </w:r>
      <w:r w:rsidR="00527394">
        <w:rPr>
          <w:rFonts w:ascii="Times New Roman" w:hAnsi="Times New Roman" w:cs="Times New Roman"/>
          <w:sz w:val="24"/>
          <w:szCs w:val="24"/>
        </w:rPr>
        <w:t>6</w:t>
      </w:r>
      <w:r w:rsidRPr="00603F2C">
        <w:rPr>
          <w:rFonts w:ascii="Times New Roman" w:hAnsi="Times New Roman" w:cs="Times New Roman"/>
          <w:sz w:val="24"/>
          <w:szCs w:val="24"/>
        </w:rPr>
        <w:t xml:space="preserve"> (Alex </w:t>
      </w:r>
      <w:r w:rsidRPr="00603F2C">
        <w:rPr>
          <w:rFonts w:ascii="Times New Roman" w:hAnsi="Times New Roman" w:cs="Times New Roman"/>
          <w:i/>
          <w:iCs/>
          <w:sz w:val="24"/>
          <w:szCs w:val="24"/>
        </w:rPr>
        <w:t>et al</w:t>
      </w:r>
      <w:r w:rsidRPr="00603F2C">
        <w:rPr>
          <w:rFonts w:ascii="Times New Roman" w:hAnsi="Times New Roman" w:cs="Times New Roman"/>
          <w:sz w:val="24"/>
          <w:szCs w:val="24"/>
        </w:rPr>
        <w:t>., 2019).</w:t>
      </w:r>
    </w:p>
    <w:p w14:paraId="6DFC4BC2" w14:textId="77777777" w:rsidR="00603F2C" w:rsidRPr="00603F2C" w:rsidRDefault="00603F2C" w:rsidP="00603F2C">
      <w:pPr>
        <w:spacing w:line="360" w:lineRule="auto"/>
        <w:jc w:val="both"/>
        <w:rPr>
          <w:rFonts w:ascii="Times New Roman" w:hAnsi="Times New Roman" w:cs="Times New Roman"/>
          <w:sz w:val="24"/>
          <w:szCs w:val="24"/>
        </w:rPr>
      </w:pPr>
    </w:p>
    <w:p w14:paraId="60339A45" w14:textId="77777777" w:rsidR="00F762D1" w:rsidRDefault="00F762D1" w:rsidP="00F762D1">
      <w:pPr>
        <w:spacing w:line="360" w:lineRule="auto"/>
        <w:jc w:val="both"/>
        <w:rPr>
          <w:rFonts w:ascii="Times New Roman" w:hAnsi="Times New Roman" w:cs="Times New Roman"/>
          <w:sz w:val="24"/>
          <w:szCs w:val="24"/>
        </w:rPr>
      </w:pPr>
    </w:p>
    <w:p w14:paraId="5D122B2C" w14:textId="77777777" w:rsidR="00F762D1" w:rsidRDefault="00F762D1" w:rsidP="00F762D1">
      <w:pPr>
        <w:spacing w:line="360" w:lineRule="auto"/>
        <w:jc w:val="both"/>
        <w:rPr>
          <w:rFonts w:ascii="Times New Roman" w:hAnsi="Times New Roman" w:cs="Times New Roman"/>
          <w:sz w:val="24"/>
          <w:szCs w:val="24"/>
        </w:rPr>
      </w:pPr>
    </w:p>
    <w:p w14:paraId="39E473F7" w14:textId="199E2635" w:rsidR="0063555F" w:rsidRDefault="00F762D1" w:rsidP="0063555F">
      <w:pPr>
        <w:spacing w:line="360" w:lineRule="auto"/>
        <w:jc w:val="both"/>
        <w:rPr>
          <w:rFonts w:ascii="Times New Roman" w:hAnsi="Times New Roman" w:cs="Times New Roman"/>
          <w:sz w:val="24"/>
          <w:szCs w:val="24"/>
        </w:rPr>
      </w:pPr>
      <w:r>
        <w:rPr>
          <w:noProof/>
        </w:rPr>
        <w:lastRenderedPageBreak/>
        <w:drawing>
          <wp:inline distT="0" distB="0" distL="0" distR="0" wp14:anchorId="130ABCD1" wp14:editId="396D9ED3">
            <wp:extent cx="6163733" cy="3467100"/>
            <wp:effectExtent l="0" t="0" r="8890" b="0"/>
            <wp:docPr id="18079366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3667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64371" cy="3467459"/>
                    </a:xfrm>
                    <a:prstGeom prst="rect">
                      <a:avLst/>
                    </a:prstGeom>
                  </pic:spPr>
                </pic:pic>
              </a:graphicData>
            </a:graphic>
          </wp:inline>
        </w:drawing>
      </w:r>
    </w:p>
    <w:p w14:paraId="4EAF2C6C" w14:textId="10316A6C" w:rsidR="00D33B33" w:rsidRDefault="002E339E" w:rsidP="0063555F">
      <w:pPr>
        <w:spacing w:line="360" w:lineRule="auto"/>
        <w:jc w:val="both"/>
        <w:rPr>
          <w:rFonts w:ascii="Times New Roman" w:hAnsi="Times New Roman" w:cs="Times New Roman"/>
          <w:sz w:val="24"/>
          <w:szCs w:val="24"/>
        </w:rPr>
      </w:pPr>
      <w:r w:rsidRPr="002110B0">
        <w:rPr>
          <w:rFonts w:ascii="Times New Roman" w:hAnsi="Times New Roman" w:cs="Times New Roman"/>
          <w:sz w:val="24"/>
          <w:szCs w:val="24"/>
        </w:rPr>
        <w:t xml:space="preserve">Figure </w:t>
      </w:r>
      <w:r w:rsidR="00527394">
        <w:rPr>
          <w:rFonts w:ascii="Times New Roman" w:hAnsi="Times New Roman" w:cs="Times New Roman"/>
          <w:sz w:val="24"/>
          <w:szCs w:val="24"/>
        </w:rPr>
        <w:t>6</w:t>
      </w:r>
      <w:r w:rsidRPr="002110B0">
        <w:rPr>
          <w:rFonts w:ascii="Times New Roman" w:hAnsi="Times New Roman" w:cs="Times New Roman"/>
          <w:sz w:val="24"/>
          <w:szCs w:val="24"/>
        </w:rPr>
        <w:t>:</w:t>
      </w:r>
      <w:r>
        <w:rPr>
          <w:rFonts w:ascii="Times New Roman" w:hAnsi="Times New Roman" w:cs="Times New Roman"/>
          <w:b/>
          <w:bCs/>
          <w:sz w:val="24"/>
          <w:szCs w:val="24"/>
        </w:rPr>
        <w:t xml:space="preserve"> </w:t>
      </w:r>
      <w:r w:rsidR="00D33B33" w:rsidRPr="00D33B33">
        <w:rPr>
          <w:rFonts w:ascii="Times New Roman" w:hAnsi="Times New Roman" w:cs="Times New Roman"/>
          <w:sz w:val="24"/>
          <w:szCs w:val="24"/>
        </w:rPr>
        <w:t>This diagram illustrates how estimating the carbon budget at the global level depends on climate science and value judgments, whereas translating global carbon budgets to the national level involves further value judgments.</w:t>
      </w:r>
    </w:p>
    <w:p w14:paraId="013607B9" w14:textId="1874AA1F" w:rsidR="0063555F" w:rsidRPr="0063555F" w:rsidRDefault="0063555F" w:rsidP="0063555F">
      <w:pPr>
        <w:spacing w:line="360" w:lineRule="auto"/>
        <w:jc w:val="both"/>
        <w:rPr>
          <w:rFonts w:ascii="Times New Roman" w:hAnsi="Times New Roman" w:cs="Times New Roman"/>
          <w:b/>
          <w:bCs/>
          <w:sz w:val="24"/>
          <w:szCs w:val="24"/>
        </w:rPr>
      </w:pPr>
      <w:r w:rsidRPr="0063555F">
        <w:rPr>
          <w:rFonts w:ascii="Times New Roman" w:hAnsi="Times New Roman" w:cs="Times New Roman"/>
          <w:b/>
          <w:bCs/>
          <w:sz w:val="24"/>
          <w:szCs w:val="24"/>
        </w:rPr>
        <w:t xml:space="preserve">Ways to stay within one's carbon budget: </w:t>
      </w:r>
    </w:p>
    <w:p w14:paraId="7EEDE5B6" w14:textId="77777777" w:rsidR="0063555F" w:rsidRDefault="0063555F" w:rsidP="0063555F">
      <w:pPr>
        <w:spacing w:line="360" w:lineRule="auto"/>
        <w:jc w:val="both"/>
        <w:rPr>
          <w:rFonts w:ascii="Times New Roman" w:hAnsi="Times New Roman" w:cs="Times New Roman"/>
          <w:sz w:val="24"/>
          <w:szCs w:val="24"/>
        </w:rPr>
      </w:pPr>
      <w:r w:rsidRPr="0063555F">
        <w:rPr>
          <w:rFonts w:ascii="Times New Roman" w:hAnsi="Times New Roman" w:cs="Times New Roman"/>
          <w:sz w:val="24"/>
          <w:szCs w:val="24"/>
        </w:rPr>
        <w:t>The idea of mitigating climate change explains the actions that can be taken to stay within one's carbon</w:t>
      </w:r>
      <w:r>
        <w:rPr>
          <w:rFonts w:ascii="Times New Roman" w:hAnsi="Times New Roman" w:cs="Times New Roman"/>
          <w:sz w:val="24"/>
          <w:szCs w:val="24"/>
        </w:rPr>
        <w:t xml:space="preserve"> </w:t>
      </w:r>
      <w:r w:rsidRPr="0063555F">
        <w:rPr>
          <w:rFonts w:ascii="Times New Roman" w:hAnsi="Times New Roman" w:cs="Times New Roman"/>
          <w:sz w:val="24"/>
          <w:szCs w:val="24"/>
        </w:rPr>
        <w:t xml:space="preserve">budget. </w:t>
      </w:r>
    </w:p>
    <w:p w14:paraId="66CF86D4" w14:textId="431A5C78" w:rsidR="0063555F" w:rsidRPr="007120C9" w:rsidRDefault="0063555F"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 xml:space="preserve">Reducing the amount of greenhouse gases in the atmosphere that contribute to climate change is known as climate change mitigation, or decarbonization. Energy conservation and switching to clean energy sources from fossil fuels are two ways to mitigate climate change. Removing carbon dioxide (CO2) from the atmosphere and altering land use are examples of secondary mitigation techniques. According to Ritchie et al. (2020), current climate change mitigation measures are insufficient because they would still cause global warming of roughly 2.7 °C by 2100, which is much higher than the 2015 Paris Agreement's target of keeping global warming to less than 2 °C (Fiona, 2019; UN Report, 2019). </w:t>
      </w:r>
    </w:p>
    <w:p w14:paraId="63AD7BED" w14:textId="7B43AD45" w:rsidR="0063555F" w:rsidRPr="007120C9" w:rsidRDefault="0063555F"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 xml:space="preserve">Some processes, like air travel and cement production, are more challenging to decarbonize; solar and wind energy can replace fossil fuels at the lowest cost when </w:t>
      </w:r>
      <w:r w:rsidRPr="007120C9">
        <w:rPr>
          <w:rFonts w:ascii="Times New Roman" w:hAnsi="Times New Roman" w:cs="Times New Roman"/>
          <w:sz w:val="24"/>
          <w:szCs w:val="24"/>
        </w:rPr>
        <w:lastRenderedPageBreak/>
        <w:t xml:space="preserve">compared to other renewable energy options. In these situations, carbon capture and storage (CCS) may be able to lower net emissions; however, using CCS technology in fossil fuel power plants is currently an expensive method of mitigating climate change. </w:t>
      </w:r>
    </w:p>
    <w:p w14:paraId="0B02E02A" w14:textId="24156417" w:rsidR="0063555F" w:rsidRPr="007120C9" w:rsidRDefault="0063555F"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 xml:space="preserve">Approximately one-fourth of climate change is caused by changes in human land use, such as deforestation and agriculture. Reducing food waste, adopting a more plant-based diet (also known as a low-carbon diet), and enhancing farming practices can all help reduce emissions from agriculture. </w:t>
      </w:r>
    </w:p>
    <w:p w14:paraId="2140BB93" w14:textId="77777777" w:rsidR="001F2DE0" w:rsidRPr="007120C9" w:rsidRDefault="001F2DE0" w:rsidP="007120C9">
      <w:pPr>
        <w:pStyle w:val="ListParagraph"/>
        <w:numPr>
          <w:ilvl w:val="0"/>
          <w:numId w:val="4"/>
        </w:numPr>
        <w:spacing w:line="360" w:lineRule="auto"/>
        <w:jc w:val="both"/>
        <w:rPr>
          <w:rFonts w:ascii="Times New Roman" w:hAnsi="Times New Roman" w:cs="Times New Roman"/>
          <w:sz w:val="24"/>
          <w:szCs w:val="24"/>
        </w:rPr>
      </w:pPr>
      <w:r w:rsidRPr="007120C9">
        <w:rPr>
          <w:rFonts w:ascii="Times New Roman" w:hAnsi="Times New Roman" w:cs="Times New Roman"/>
          <w:sz w:val="24"/>
          <w:szCs w:val="24"/>
        </w:rPr>
        <w:t>Climate change mitigation can be promoted by a number of policies. Either a carbon price system that taxes CO</w:t>
      </w:r>
      <w:r w:rsidRPr="007120C9">
        <w:rPr>
          <w:rFonts w:ascii="Times New Roman" w:hAnsi="Times New Roman" w:cs="Times New Roman"/>
          <w:sz w:val="24"/>
          <w:szCs w:val="24"/>
          <w:vertAlign w:val="subscript"/>
        </w:rPr>
        <w:t>2</w:t>
      </w:r>
      <w:r w:rsidRPr="007120C9">
        <w:rPr>
          <w:rFonts w:ascii="Times New Roman" w:hAnsi="Times New Roman" w:cs="Times New Roman"/>
          <w:sz w:val="24"/>
          <w:szCs w:val="24"/>
        </w:rPr>
        <w:t xml:space="preserve"> emissions or a system that caps total emissions and trades emission credits has been established. Clean energy subsidies and incentives for installing energy-saving devices or moving to electric power sources could replace fossil fuel subsidies. Overcoming environmental concerns when building new clean energy sources and altering the grid is another problem.</w:t>
      </w:r>
    </w:p>
    <w:p w14:paraId="31682B43" w14:textId="77777777" w:rsidR="001F2DE0" w:rsidRPr="002110B0" w:rsidRDefault="001F2DE0" w:rsidP="001F2DE0">
      <w:pPr>
        <w:spacing w:line="360" w:lineRule="auto"/>
        <w:jc w:val="both"/>
        <w:rPr>
          <w:rFonts w:ascii="Times New Roman" w:hAnsi="Times New Roman" w:cs="Times New Roman"/>
          <w:b/>
          <w:bCs/>
          <w:sz w:val="24"/>
          <w:szCs w:val="24"/>
        </w:rPr>
      </w:pPr>
      <w:r w:rsidRPr="002110B0">
        <w:rPr>
          <w:rFonts w:ascii="Times New Roman" w:hAnsi="Times New Roman" w:cs="Times New Roman"/>
          <w:b/>
          <w:bCs/>
          <w:sz w:val="24"/>
          <w:szCs w:val="24"/>
        </w:rPr>
        <w:t>2. Carbon credits:</w:t>
      </w:r>
    </w:p>
    <w:p w14:paraId="181378C6" w14:textId="77777777" w:rsidR="001F2DE0" w:rsidRPr="001F2DE0" w:rsidRDefault="001F2DE0" w:rsidP="001F2DE0">
      <w:pPr>
        <w:spacing w:line="360" w:lineRule="auto"/>
        <w:jc w:val="both"/>
        <w:rPr>
          <w:rFonts w:ascii="Times New Roman" w:hAnsi="Times New Roman" w:cs="Times New Roman"/>
          <w:sz w:val="24"/>
          <w:szCs w:val="24"/>
        </w:rPr>
      </w:pPr>
      <w:r w:rsidRPr="001F2DE0">
        <w:rPr>
          <w:rFonts w:ascii="Times New Roman" w:hAnsi="Times New Roman" w:cs="Times New Roman"/>
          <w:sz w:val="24"/>
          <w:szCs w:val="24"/>
        </w:rPr>
        <w:t xml:space="preserve">When an entity invests in a carbon offsetting program, it receives carbon credit or offset credit, which accounts for the net climate benefits that one entity brings to another. Credits can be traded between entities after being certified by a government or independent certification body. Carbon credit, also known as carbon offsetting, is a carbon trading mechanism that allows entities to compensate for offset greenhouse gas emissions by investing in projects that reduce, avoid, or remove emissions elsewhere. One carbon credit is equivalent to the reduction, avoidance, or removal of one metric </w:t>
      </w:r>
      <w:proofErr w:type="spellStart"/>
      <w:r w:rsidRPr="001F2DE0">
        <w:rPr>
          <w:rFonts w:ascii="Times New Roman" w:hAnsi="Times New Roman" w:cs="Times New Roman"/>
          <w:sz w:val="24"/>
          <w:szCs w:val="24"/>
        </w:rPr>
        <w:t>tonne</w:t>
      </w:r>
      <w:proofErr w:type="spellEnd"/>
      <w:r w:rsidRPr="001F2DE0">
        <w:rPr>
          <w:rFonts w:ascii="Times New Roman" w:hAnsi="Times New Roman" w:cs="Times New Roman"/>
          <w:sz w:val="24"/>
          <w:szCs w:val="24"/>
        </w:rPr>
        <w:t xml:space="preserve"> of carbon dioxide or its carbon dioxide-equivalent (CO</w:t>
      </w:r>
      <w:r w:rsidRPr="001F2DE0">
        <w:rPr>
          <w:rFonts w:ascii="Times New Roman" w:hAnsi="Times New Roman" w:cs="Times New Roman"/>
          <w:sz w:val="24"/>
          <w:szCs w:val="24"/>
          <w:vertAlign w:val="subscript"/>
        </w:rPr>
        <w:t>2</w:t>
      </w:r>
      <w:r w:rsidRPr="001F2DE0">
        <w:rPr>
          <w:rFonts w:ascii="Times New Roman" w:hAnsi="Times New Roman" w:cs="Times New Roman"/>
          <w:sz w:val="24"/>
          <w:szCs w:val="24"/>
        </w:rPr>
        <w:t>e).</w:t>
      </w:r>
    </w:p>
    <w:p w14:paraId="76B660A1" w14:textId="3BBDC9E0" w:rsidR="001F2DE0" w:rsidRDefault="001F2DE0" w:rsidP="001F2DE0">
      <w:pPr>
        <w:spacing w:line="360" w:lineRule="auto"/>
        <w:jc w:val="both"/>
        <w:rPr>
          <w:rFonts w:ascii="Times New Roman" w:hAnsi="Times New Roman" w:cs="Times New Roman"/>
          <w:sz w:val="24"/>
          <w:szCs w:val="24"/>
        </w:rPr>
      </w:pPr>
      <w:r w:rsidRPr="001F2DE0">
        <w:rPr>
          <w:rFonts w:ascii="Times New Roman" w:hAnsi="Times New Roman" w:cs="Times New Roman"/>
          <w:sz w:val="24"/>
          <w:szCs w:val="24"/>
        </w:rPr>
        <w:t>In accordance with the Paris Agreement, we must cut current greenhouse gas emissions in half by 2030 and reach "net zero" by 2050 in order to keep global warming to 1.5</w:t>
      </w:r>
      <w:r w:rsidR="007120C9" w:rsidRPr="007120C9">
        <w:rPr>
          <w:rFonts w:ascii="Times New Roman" w:hAnsi="Times New Roman" w:cs="Times New Roman"/>
          <w:sz w:val="24"/>
          <w:szCs w:val="24"/>
        </w:rPr>
        <w:t>°C</w:t>
      </w:r>
      <w:r w:rsidRPr="001F2DE0">
        <w:rPr>
          <w:rFonts w:ascii="Times New Roman" w:hAnsi="Times New Roman" w:cs="Times New Roman"/>
          <w:sz w:val="24"/>
          <w:szCs w:val="24"/>
        </w:rPr>
        <w:t>. However, there are certain activities that cannot be carbon-free. They therefore choose carbon credit schemes. Companies can make up for their environmental impact and, in the most ambitious cases, use carbon credits to achieve carbon-neutral status by paying someone else to either reduce their emissions</w:t>
      </w:r>
      <w:r>
        <w:rPr>
          <w:rFonts w:ascii="Times New Roman" w:hAnsi="Times New Roman" w:cs="Times New Roman"/>
          <w:sz w:val="24"/>
          <w:szCs w:val="24"/>
        </w:rPr>
        <w:t xml:space="preserve"> </w:t>
      </w:r>
      <w:r w:rsidRPr="001F2DE0">
        <w:rPr>
          <w:rFonts w:ascii="Times New Roman" w:hAnsi="Times New Roman" w:cs="Times New Roman"/>
          <w:sz w:val="24"/>
          <w:szCs w:val="24"/>
        </w:rPr>
        <w:t>or</w:t>
      </w:r>
      <w:r>
        <w:rPr>
          <w:rFonts w:ascii="Times New Roman" w:hAnsi="Times New Roman" w:cs="Times New Roman"/>
          <w:sz w:val="24"/>
          <w:szCs w:val="24"/>
        </w:rPr>
        <w:t xml:space="preserve"> </w:t>
      </w:r>
      <w:r w:rsidRPr="001F2DE0">
        <w:rPr>
          <w:rFonts w:ascii="Times New Roman" w:hAnsi="Times New Roman" w:cs="Times New Roman"/>
          <w:sz w:val="24"/>
          <w:szCs w:val="24"/>
        </w:rPr>
        <w:t>capture</w:t>
      </w:r>
      <w:r>
        <w:rPr>
          <w:rFonts w:ascii="Times New Roman" w:hAnsi="Times New Roman" w:cs="Times New Roman"/>
          <w:sz w:val="24"/>
          <w:szCs w:val="24"/>
        </w:rPr>
        <w:t xml:space="preserve"> </w:t>
      </w:r>
      <w:r w:rsidRPr="001F2DE0">
        <w:rPr>
          <w:rFonts w:ascii="Times New Roman" w:hAnsi="Times New Roman" w:cs="Times New Roman"/>
          <w:sz w:val="24"/>
          <w:szCs w:val="24"/>
        </w:rPr>
        <w:t>their</w:t>
      </w:r>
      <w:r>
        <w:rPr>
          <w:rFonts w:ascii="Times New Roman" w:hAnsi="Times New Roman" w:cs="Times New Roman"/>
          <w:sz w:val="24"/>
          <w:szCs w:val="24"/>
        </w:rPr>
        <w:t xml:space="preserve"> </w:t>
      </w:r>
      <w:r w:rsidRPr="001F2DE0">
        <w:rPr>
          <w:rFonts w:ascii="Times New Roman" w:hAnsi="Times New Roman" w:cs="Times New Roman"/>
          <w:sz w:val="24"/>
          <w:szCs w:val="24"/>
        </w:rPr>
        <w:t>carbon. The fundamental idea is straightforward. If one party is unable to stop emitting CO</w:t>
      </w:r>
      <w:r w:rsidRPr="001F2DE0">
        <w:rPr>
          <w:rFonts w:ascii="Times New Roman" w:hAnsi="Times New Roman" w:cs="Times New Roman"/>
          <w:sz w:val="24"/>
          <w:szCs w:val="24"/>
          <w:vertAlign w:val="subscript"/>
        </w:rPr>
        <w:t>2</w:t>
      </w:r>
      <w:r w:rsidRPr="001F2DE0">
        <w:rPr>
          <w:rFonts w:ascii="Times New Roman" w:hAnsi="Times New Roman" w:cs="Times New Roman"/>
          <w:sz w:val="24"/>
          <w:szCs w:val="24"/>
        </w:rPr>
        <w:t>, it can request that another reduce their emissions so that the overall amount of carbon in the atmosphere is decreased even as the first party continues to produce CO</w:t>
      </w:r>
      <w:r w:rsidRPr="001F2DE0">
        <w:rPr>
          <w:rFonts w:ascii="Times New Roman" w:hAnsi="Times New Roman" w:cs="Times New Roman"/>
          <w:sz w:val="24"/>
          <w:szCs w:val="24"/>
          <w:vertAlign w:val="subscript"/>
        </w:rPr>
        <w:t>2</w:t>
      </w:r>
      <w:r w:rsidRPr="001F2DE0">
        <w:rPr>
          <w:rFonts w:ascii="Times New Roman" w:hAnsi="Times New Roman" w:cs="Times New Roman"/>
          <w:sz w:val="24"/>
          <w:szCs w:val="24"/>
        </w:rPr>
        <w:t xml:space="preserve">. </w:t>
      </w:r>
    </w:p>
    <w:p w14:paraId="78D977AF" w14:textId="77777777" w:rsidR="0016530E" w:rsidRDefault="0016530E" w:rsidP="0016530E">
      <w:pPr>
        <w:spacing w:line="360" w:lineRule="auto"/>
        <w:jc w:val="both"/>
        <w:rPr>
          <w:rFonts w:ascii="Times New Roman" w:hAnsi="Times New Roman" w:cs="Times New Roman"/>
          <w:sz w:val="24"/>
          <w:szCs w:val="24"/>
        </w:rPr>
      </w:pPr>
      <w:r w:rsidRPr="0016530E">
        <w:rPr>
          <w:rFonts w:ascii="Times New Roman" w:hAnsi="Times New Roman" w:cs="Times New Roman"/>
          <w:sz w:val="24"/>
          <w:szCs w:val="24"/>
        </w:rPr>
        <w:lastRenderedPageBreak/>
        <w:t>Three</w:t>
      </w:r>
      <w:r>
        <w:rPr>
          <w:rFonts w:ascii="Times New Roman" w:hAnsi="Times New Roman" w:cs="Times New Roman"/>
          <w:sz w:val="24"/>
          <w:szCs w:val="24"/>
        </w:rPr>
        <w:t xml:space="preserve"> </w:t>
      </w:r>
      <w:r w:rsidRPr="0016530E">
        <w:rPr>
          <w:rFonts w:ascii="Times New Roman" w:hAnsi="Times New Roman" w:cs="Times New Roman"/>
          <w:sz w:val="24"/>
          <w:szCs w:val="24"/>
        </w:rPr>
        <w:t>fundamental</w:t>
      </w:r>
      <w:r>
        <w:rPr>
          <w:rFonts w:ascii="Times New Roman" w:hAnsi="Times New Roman" w:cs="Times New Roman"/>
          <w:sz w:val="24"/>
          <w:szCs w:val="24"/>
        </w:rPr>
        <w:t xml:space="preserve"> </w:t>
      </w:r>
      <w:r w:rsidRPr="0016530E">
        <w:rPr>
          <w:rFonts w:ascii="Times New Roman" w:hAnsi="Times New Roman" w:cs="Times New Roman"/>
          <w:sz w:val="24"/>
          <w:szCs w:val="24"/>
        </w:rPr>
        <w:t>categories</w:t>
      </w:r>
      <w:r>
        <w:rPr>
          <w:rFonts w:ascii="Times New Roman" w:hAnsi="Times New Roman" w:cs="Times New Roman"/>
          <w:sz w:val="24"/>
          <w:szCs w:val="24"/>
        </w:rPr>
        <w:t xml:space="preserve"> </w:t>
      </w:r>
      <w:r w:rsidRPr="0016530E">
        <w:rPr>
          <w:rFonts w:ascii="Times New Roman" w:hAnsi="Times New Roman" w:cs="Times New Roman"/>
          <w:sz w:val="24"/>
          <w:szCs w:val="24"/>
        </w:rPr>
        <w:t>of</w:t>
      </w:r>
      <w:r>
        <w:rPr>
          <w:rFonts w:ascii="Times New Roman" w:hAnsi="Times New Roman" w:cs="Times New Roman"/>
          <w:sz w:val="24"/>
          <w:szCs w:val="24"/>
        </w:rPr>
        <w:t xml:space="preserve"> </w:t>
      </w:r>
      <w:r w:rsidRPr="0016530E">
        <w:rPr>
          <w:rFonts w:ascii="Times New Roman" w:hAnsi="Times New Roman" w:cs="Times New Roman"/>
          <w:sz w:val="24"/>
          <w:szCs w:val="24"/>
        </w:rPr>
        <w:t>carbon</w:t>
      </w:r>
      <w:r>
        <w:rPr>
          <w:rFonts w:ascii="Times New Roman" w:hAnsi="Times New Roman" w:cs="Times New Roman"/>
          <w:sz w:val="24"/>
          <w:szCs w:val="24"/>
        </w:rPr>
        <w:t xml:space="preserve"> </w:t>
      </w:r>
      <w:r w:rsidRPr="0016530E">
        <w:rPr>
          <w:rFonts w:ascii="Times New Roman" w:hAnsi="Times New Roman" w:cs="Times New Roman"/>
          <w:sz w:val="24"/>
          <w:szCs w:val="24"/>
        </w:rPr>
        <w:t>credits</w:t>
      </w:r>
      <w:r>
        <w:rPr>
          <w:rFonts w:ascii="Times New Roman" w:hAnsi="Times New Roman" w:cs="Times New Roman"/>
          <w:sz w:val="24"/>
          <w:szCs w:val="24"/>
        </w:rPr>
        <w:t xml:space="preserve"> </w:t>
      </w:r>
      <w:r w:rsidRPr="0016530E">
        <w:rPr>
          <w:rFonts w:ascii="Times New Roman" w:hAnsi="Times New Roman" w:cs="Times New Roman"/>
          <w:sz w:val="24"/>
          <w:szCs w:val="24"/>
        </w:rPr>
        <w:t xml:space="preserve">exist: </w:t>
      </w:r>
    </w:p>
    <w:p w14:paraId="0105DE59" w14:textId="77777777" w:rsidR="0016530E" w:rsidRDefault="0016530E" w:rsidP="0016530E">
      <w:pPr>
        <w:spacing w:line="360" w:lineRule="auto"/>
        <w:jc w:val="both"/>
        <w:rPr>
          <w:rFonts w:ascii="Times New Roman" w:hAnsi="Times New Roman" w:cs="Times New Roman"/>
          <w:sz w:val="24"/>
          <w:szCs w:val="24"/>
        </w:rPr>
      </w:pPr>
      <w:r w:rsidRPr="0016530E">
        <w:rPr>
          <w:rFonts w:ascii="Times New Roman" w:hAnsi="Times New Roman" w:cs="Times New Roman"/>
          <w:sz w:val="24"/>
          <w:szCs w:val="24"/>
        </w:rPr>
        <w:t>Those from avoided emissions (for instance, not destroying rainforests); those from reduced emissions (usually energy efficiency measures); and those from removed emissions (carbon capture</w:t>
      </w:r>
      <w:r>
        <w:rPr>
          <w:rFonts w:ascii="Times New Roman" w:hAnsi="Times New Roman" w:cs="Times New Roman"/>
          <w:sz w:val="24"/>
          <w:szCs w:val="24"/>
        </w:rPr>
        <w:t xml:space="preserve"> </w:t>
      </w:r>
      <w:r w:rsidRPr="0016530E">
        <w:rPr>
          <w:rFonts w:ascii="Times New Roman" w:hAnsi="Times New Roman" w:cs="Times New Roman"/>
          <w:sz w:val="24"/>
          <w:szCs w:val="24"/>
        </w:rPr>
        <w:t>and</w:t>
      </w:r>
      <w:r>
        <w:rPr>
          <w:rFonts w:ascii="Times New Roman" w:hAnsi="Times New Roman" w:cs="Times New Roman"/>
          <w:sz w:val="24"/>
          <w:szCs w:val="24"/>
        </w:rPr>
        <w:t xml:space="preserve"> </w:t>
      </w:r>
      <w:r w:rsidRPr="0016530E">
        <w:rPr>
          <w:rFonts w:ascii="Times New Roman" w:hAnsi="Times New Roman" w:cs="Times New Roman"/>
          <w:sz w:val="24"/>
          <w:szCs w:val="24"/>
        </w:rPr>
        <w:t>forest</w:t>
      </w:r>
      <w:r>
        <w:rPr>
          <w:rFonts w:ascii="Times New Roman" w:hAnsi="Times New Roman" w:cs="Times New Roman"/>
          <w:sz w:val="24"/>
          <w:szCs w:val="24"/>
        </w:rPr>
        <w:t xml:space="preserve"> </w:t>
      </w:r>
      <w:r w:rsidRPr="0016530E">
        <w:rPr>
          <w:rFonts w:ascii="Times New Roman" w:hAnsi="Times New Roman" w:cs="Times New Roman"/>
          <w:sz w:val="24"/>
          <w:szCs w:val="24"/>
        </w:rPr>
        <w:t>planting).</w:t>
      </w:r>
    </w:p>
    <w:p w14:paraId="5FDE5A95" w14:textId="77777777" w:rsidR="0016530E" w:rsidRDefault="0016530E" w:rsidP="0016530E">
      <w:pPr>
        <w:spacing w:line="360" w:lineRule="auto"/>
        <w:jc w:val="both"/>
        <w:rPr>
          <w:rFonts w:ascii="Times New Roman" w:hAnsi="Times New Roman" w:cs="Times New Roman"/>
          <w:b/>
          <w:bCs/>
          <w:sz w:val="24"/>
          <w:szCs w:val="24"/>
        </w:rPr>
      </w:pPr>
      <w:r w:rsidRPr="002110B0">
        <w:rPr>
          <w:rFonts w:ascii="Times New Roman" w:hAnsi="Times New Roman" w:cs="Times New Roman"/>
          <w:b/>
          <w:bCs/>
          <w:sz w:val="24"/>
          <w:szCs w:val="24"/>
        </w:rPr>
        <w:t>Markets in carbon credit-system:</w:t>
      </w:r>
    </w:p>
    <w:p w14:paraId="0033B8D2" w14:textId="77777777" w:rsidR="0016530E" w:rsidRDefault="0016530E" w:rsidP="0016530E">
      <w:pPr>
        <w:spacing w:line="360" w:lineRule="auto"/>
        <w:jc w:val="both"/>
        <w:rPr>
          <w:rFonts w:ascii="Times New Roman" w:hAnsi="Times New Roman" w:cs="Times New Roman"/>
          <w:sz w:val="24"/>
          <w:szCs w:val="24"/>
        </w:rPr>
      </w:pPr>
      <w:r w:rsidRPr="00954D61">
        <w:rPr>
          <w:rFonts w:ascii="Times New Roman" w:hAnsi="Times New Roman" w:cs="Times New Roman"/>
          <w:b/>
          <w:bCs/>
          <w:sz w:val="24"/>
          <w:szCs w:val="24"/>
        </w:rPr>
        <w:t>Compliance Market</w:t>
      </w:r>
      <w:r w:rsidRPr="00495923">
        <w:rPr>
          <w:rFonts w:ascii="Times New Roman" w:hAnsi="Times New Roman" w:cs="Times New Roman"/>
          <w:sz w:val="24"/>
          <w:szCs w:val="24"/>
        </w:rPr>
        <w:t xml:space="preserve">: </w:t>
      </w:r>
      <w:r w:rsidRPr="0016530E">
        <w:rPr>
          <w:rFonts w:ascii="Times New Roman" w:hAnsi="Times New Roman" w:cs="Times New Roman"/>
          <w:sz w:val="24"/>
          <w:szCs w:val="24"/>
        </w:rPr>
        <w:t xml:space="preserve"> Government policy has a significant influence on compliance carbon credit prices. The maximum emission limits, also referred to as allowances or credits, will be determined by government strategy. Government rules are implemented in this regard to encourage businesses to lower their emissions. California and Europe have some of the most active compliance markets. </w:t>
      </w:r>
    </w:p>
    <w:p w14:paraId="5AA14822" w14:textId="77777777" w:rsidR="0016530E" w:rsidRDefault="0016530E" w:rsidP="0016530E">
      <w:pPr>
        <w:spacing w:line="360" w:lineRule="auto"/>
        <w:jc w:val="both"/>
        <w:rPr>
          <w:rFonts w:ascii="Times New Roman" w:hAnsi="Times New Roman" w:cs="Times New Roman"/>
          <w:sz w:val="24"/>
          <w:szCs w:val="24"/>
        </w:rPr>
      </w:pPr>
      <w:r w:rsidRPr="0016530E">
        <w:rPr>
          <w:rFonts w:ascii="Times New Roman" w:hAnsi="Times New Roman" w:cs="Times New Roman"/>
          <w:b/>
          <w:bCs/>
          <w:sz w:val="24"/>
          <w:szCs w:val="24"/>
        </w:rPr>
        <w:t>Voluntary Markets</w:t>
      </w:r>
      <w:r w:rsidRPr="0016530E">
        <w:rPr>
          <w:rFonts w:ascii="Times New Roman" w:hAnsi="Times New Roman" w:cs="Times New Roman"/>
          <w:sz w:val="24"/>
          <w:szCs w:val="24"/>
        </w:rPr>
        <w:t>: Generally unregulated, voluntary carbon markets (VCM) are where businesses, people, and organizations—who are not legally required to reduce emissions—trade carbon offsets. Carbon offsets are used by businesses and individuals in voluntary carbon markets to reach their own emission reduction targets. Credits are issued under independent crediting standards (Axel et al., 2019).</w:t>
      </w:r>
    </w:p>
    <w:p w14:paraId="41EA0A19" w14:textId="77777777" w:rsidR="00C526D8" w:rsidRPr="00C526D8" w:rsidRDefault="00C526D8" w:rsidP="00C526D8">
      <w:pPr>
        <w:spacing w:line="360" w:lineRule="auto"/>
        <w:jc w:val="both"/>
        <w:rPr>
          <w:rFonts w:ascii="Times New Roman" w:hAnsi="Times New Roman" w:cs="Times New Roman"/>
          <w:b/>
          <w:bCs/>
          <w:sz w:val="24"/>
          <w:szCs w:val="24"/>
        </w:rPr>
      </w:pPr>
      <w:r w:rsidRPr="00C526D8">
        <w:rPr>
          <w:rFonts w:ascii="Times New Roman" w:hAnsi="Times New Roman" w:cs="Times New Roman"/>
          <w:b/>
          <w:bCs/>
          <w:sz w:val="24"/>
          <w:szCs w:val="24"/>
        </w:rPr>
        <w:t xml:space="preserve">Schemes and regulations: </w:t>
      </w:r>
    </w:p>
    <w:p w14:paraId="6A0153F4" w14:textId="56B391B7" w:rsidR="00C526D8" w:rsidRDefault="00C526D8" w:rsidP="00C526D8">
      <w:pPr>
        <w:spacing w:line="360" w:lineRule="auto"/>
        <w:jc w:val="both"/>
        <w:rPr>
          <w:rFonts w:ascii="Times New Roman" w:hAnsi="Times New Roman" w:cs="Times New Roman"/>
          <w:sz w:val="24"/>
          <w:szCs w:val="24"/>
        </w:rPr>
      </w:pPr>
      <w:r w:rsidRPr="00C526D8">
        <w:rPr>
          <w:rFonts w:ascii="Times New Roman" w:hAnsi="Times New Roman" w:cs="Times New Roman"/>
          <w:sz w:val="24"/>
          <w:szCs w:val="24"/>
        </w:rPr>
        <w:t xml:space="preserve">68 carbon pricing programs were either planned or already in existence worldwide as of 2022 (World Bank, 2022). CORSIA, Article 6 of the Paris Agreement, and the Clean Development Mechanism are examples of international initiatives. ETS systems like the California Cap and Trade Program and the European Union Emissions Trading System (EU-ETS) are examples of national programs. Credits issued by independent or international crediting systems may be eligible for credit under these programs. Additionally, independent, non-governmental organizations like </w:t>
      </w:r>
      <w:proofErr w:type="spellStart"/>
      <w:r w:rsidRPr="00C526D8">
        <w:rPr>
          <w:rFonts w:ascii="Times New Roman" w:hAnsi="Times New Roman" w:cs="Times New Roman"/>
          <w:sz w:val="24"/>
          <w:szCs w:val="24"/>
        </w:rPr>
        <w:t>Verra</w:t>
      </w:r>
      <w:proofErr w:type="spellEnd"/>
      <w:r w:rsidRPr="00C526D8">
        <w:rPr>
          <w:rFonts w:ascii="Times New Roman" w:hAnsi="Times New Roman" w:cs="Times New Roman"/>
          <w:sz w:val="24"/>
          <w:szCs w:val="24"/>
        </w:rPr>
        <w:t xml:space="preserve"> and Gold Standard oversee standards and crediting systems.</w:t>
      </w:r>
    </w:p>
    <w:p w14:paraId="4F7E0AE9" w14:textId="10F9F3EF" w:rsidR="00C526D8" w:rsidRDefault="00C526D8" w:rsidP="00C526D8">
      <w:pPr>
        <w:spacing w:line="360" w:lineRule="auto"/>
        <w:jc w:val="both"/>
        <w:rPr>
          <w:rFonts w:ascii="Times New Roman" w:hAnsi="Times New Roman" w:cs="Times New Roman"/>
          <w:sz w:val="24"/>
          <w:szCs w:val="24"/>
        </w:rPr>
      </w:pPr>
      <w:r w:rsidRPr="00C526D8">
        <w:rPr>
          <w:rFonts w:ascii="Times New Roman" w:hAnsi="Times New Roman" w:cs="Times New Roman"/>
          <w:b/>
          <w:bCs/>
          <w:sz w:val="24"/>
          <w:szCs w:val="24"/>
        </w:rPr>
        <w:t>Conclusion:</w:t>
      </w:r>
      <w:r w:rsidRPr="00C526D8">
        <w:rPr>
          <w:rFonts w:ascii="Times New Roman" w:hAnsi="Times New Roman" w:cs="Times New Roman"/>
          <w:b/>
          <w:bCs/>
          <w:sz w:val="24"/>
          <w:szCs w:val="24"/>
        </w:rPr>
        <w:br/>
      </w:r>
      <w:r w:rsidRPr="00C526D8">
        <w:rPr>
          <w:rFonts w:ascii="Times New Roman" w:hAnsi="Times New Roman" w:cs="Times New Roman"/>
          <w:sz w:val="24"/>
          <w:szCs w:val="24"/>
        </w:rPr>
        <w:t xml:space="preserve">Together, carbon budgeting, carbon crediting, and ecosystem valuation highlight how important natural systems are to reducing climate change and promoting sustainable development. We can measure and control carbon stocks and flows, guaranteeing their sustainable use, by giving ecosystem services an economic value and implementing carbon budgeting frameworks. The carbon crediting mechanism aligns economic interests with environmental stewardship by </w:t>
      </w:r>
      <w:r w:rsidRPr="00C526D8">
        <w:rPr>
          <w:rFonts w:ascii="Times New Roman" w:hAnsi="Times New Roman" w:cs="Times New Roman"/>
          <w:sz w:val="24"/>
          <w:szCs w:val="24"/>
        </w:rPr>
        <w:lastRenderedPageBreak/>
        <w:t xml:space="preserve">providing additional incentives for conservation and restoration efforts. These resources highlight the connection between biodiversity conservation and climate resilience by offering a road map for incorporating ecological sustainability into economics, policy, and international climate action. </w:t>
      </w:r>
    </w:p>
    <w:p w14:paraId="554CB16A" w14:textId="77777777" w:rsidR="00742D0F" w:rsidRDefault="00742D0F" w:rsidP="00C526D8">
      <w:pPr>
        <w:spacing w:line="360" w:lineRule="auto"/>
        <w:jc w:val="both"/>
        <w:rPr>
          <w:rFonts w:ascii="Times New Roman" w:hAnsi="Times New Roman" w:cs="Times New Roman"/>
          <w:sz w:val="24"/>
          <w:szCs w:val="24"/>
        </w:rPr>
      </w:pPr>
    </w:p>
    <w:p w14:paraId="305B7ACF" w14:textId="77777777" w:rsidR="00742D0F" w:rsidRPr="00742D0F" w:rsidRDefault="00742D0F" w:rsidP="00742D0F">
      <w:pPr>
        <w:spacing w:line="360" w:lineRule="auto"/>
        <w:jc w:val="both"/>
        <w:rPr>
          <w:rFonts w:ascii="Times New Roman" w:hAnsi="Times New Roman" w:cs="Times New Roman"/>
          <w:b/>
          <w:bCs/>
          <w:sz w:val="24"/>
          <w:szCs w:val="24"/>
        </w:rPr>
      </w:pPr>
      <w:r w:rsidRPr="00742D0F">
        <w:rPr>
          <w:rFonts w:ascii="Times New Roman" w:hAnsi="Times New Roman" w:cs="Times New Roman"/>
          <w:b/>
          <w:bCs/>
          <w:sz w:val="24"/>
          <w:szCs w:val="24"/>
        </w:rPr>
        <w:t>COMPETING INTERESTS DISCLAIMER:</w:t>
      </w:r>
    </w:p>
    <w:p w14:paraId="60BADCF7" w14:textId="40833708" w:rsidR="00742D0F" w:rsidRDefault="00742D0F" w:rsidP="00742D0F">
      <w:pPr>
        <w:spacing w:line="360" w:lineRule="auto"/>
        <w:jc w:val="both"/>
        <w:rPr>
          <w:rFonts w:ascii="Times New Roman" w:hAnsi="Times New Roman" w:cs="Times New Roman"/>
          <w:sz w:val="24"/>
          <w:szCs w:val="24"/>
        </w:rPr>
      </w:pPr>
      <w:r w:rsidRPr="00742D0F">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D2DFD7D" w14:textId="60BEA472" w:rsidR="005551A4" w:rsidRPr="003C34EF" w:rsidRDefault="003C34EF" w:rsidP="00C526D8">
      <w:pPr>
        <w:spacing w:line="360" w:lineRule="auto"/>
        <w:jc w:val="both"/>
        <w:rPr>
          <w:rFonts w:ascii="Times New Roman" w:hAnsi="Times New Roman" w:cs="Times New Roman"/>
          <w:b/>
          <w:bCs/>
          <w:sz w:val="24"/>
          <w:szCs w:val="24"/>
        </w:rPr>
      </w:pPr>
      <w:r w:rsidRPr="003C34EF">
        <w:rPr>
          <w:rFonts w:ascii="Times New Roman" w:hAnsi="Times New Roman" w:cs="Times New Roman"/>
          <w:b/>
          <w:bCs/>
          <w:sz w:val="24"/>
          <w:szCs w:val="24"/>
        </w:rPr>
        <w:t xml:space="preserve">References: </w:t>
      </w:r>
    </w:p>
    <w:p w14:paraId="50B76DDD" w14:textId="77777777" w:rsidR="003C34EF" w:rsidRPr="003C34EF" w:rsidRDefault="003C34EF" w:rsidP="003C34EF">
      <w:pPr>
        <w:spacing w:line="360" w:lineRule="auto"/>
        <w:jc w:val="both"/>
        <w:rPr>
          <w:rFonts w:ascii="Times New Roman" w:hAnsi="Times New Roman" w:cs="Times New Roman"/>
          <w:sz w:val="24"/>
          <w:szCs w:val="24"/>
        </w:rPr>
      </w:pPr>
      <w:proofErr w:type="spellStart"/>
      <w:r w:rsidRPr="003C34EF">
        <w:rPr>
          <w:rFonts w:ascii="Times New Roman" w:hAnsi="Times New Roman" w:cs="Times New Roman"/>
          <w:sz w:val="24"/>
          <w:szCs w:val="24"/>
        </w:rPr>
        <w:t>Borenstein</w:t>
      </w:r>
      <w:proofErr w:type="spellEnd"/>
      <w:r w:rsidRPr="003C34EF">
        <w:rPr>
          <w:rFonts w:ascii="Times New Roman" w:hAnsi="Times New Roman" w:cs="Times New Roman"/>
          <w:sz w:val="24"/>
          <w:szCs w:val="24"/>
        </w:rPr>
        <w:t xml:space="preserve">, S. (2023, October 30). Earth will lock in 1.5°C of warming by 2029 at current rate of burning fossil fuels. </w:t>
      </w:r>
      <w:r w:rsidRPr="003C34EF">
        <w:rPr>
          <w:rFonts w:ascii="Times New Roman" w:hAnsi="Times New Roman" w:cs="Times New Roman"/>
          <w:i/>
          <w:iCs/>
          <w:sz w:val="24"/>
          <w:szCs w:val="24"/>
        </w:rPr>
        <w:t>Times</w:t>
      </w:r>
      <w:r w:rsidRPr="003C34EF">
        <w:rPr>
          <w:rFonts w:ascii="Times New Roman" w:hAnsi="Times New Roman" w:cs="Times New Roman"/>
          <w:sz w:val="24"/>
          <w:szCs w:val="24"/>
        </w:rPr>
        <w:t>. Retrieved November 1, 2023.</w:t>
      </w:r>
    </w:p>
    <w:p w14:paraId="27FE9001"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Constanza, R. (1997, May 15). The value of the world's ecosystem services and natural capital. </w:t>
      </w:r>
      <w:r w:rsidRPr="003C34EF">
        <w:rPr>
          <w:rFonts w:ascii="Times New Roman" w:hAnsi="Times New Roman" w:cs="Times New Roman"/>
          <w:i/>
          <w:iCs/>
          <w:sz w:val="24"/>
          <w:szCs w:val="24"/>
        </w:rPr>
        <w:t>Nature</w:t>
      </w:r>
      <w:r w:rsidRPr="003C34EF">
        <w:rPr>
          <w:rFonts w:ascii="Times New Roman" w:hAnsi="Times New Roman" w:cs="Times New Roman"/>
          <w:sz w:val="24"/>
          <w:szCs w:val="24"/>
        </w:rPr>
        <w:t>, 387(6630), 253–260. https://doi.org/10.1038/387253a0</w:t>
      </w:r>
    </w:p>
    <w:p w14:paraId="6BE72C3C"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De Groot, R., Brander, L., Van Der Ploeg, S., Costanza, R., Bernard, F., </w:t>
      </w:r>
      <w:proofErr w:type="spellStart"/>
      <w:r w:rsidRPr="003C34EF">
        <w:rPr>
          <w:rFonts w:ascii="Times New Roman" w:hAnsi="Times New Roman" w:cs="Times New Roman"/>
          <w:sz w:val="24"/>
          <w:szCs w:val="24"/>
        </w:rPr>
        <w:t>Braat</w:t>
      </w:r>
      <w:proofErr w:type="spellEnd"/>
      <w:r w:rsidRPr="003C34EF">
        <w:rPr>
          <w:rFonts w:ascii="Times New Roman" w:hAnsi="Times New Roman" w:cs="Times New Roman"/>
          <w:sz w:val="24"/>
          <w:szCs w:val="24"/>
        </w:rPr>
        <w:t xml:space="preserve">, L., ... &amp; Van </w:t>
      </w:r>
      <w:proofErr w:type="spellStart"/>
      <w:r w:rsidRPr="003C34EF">
        <w:rPr>
          <w:rFonts w:ascii="Times New Roman" w:hAnsi="Times New Roman" w:cs="Times New Roman"/>
          <w:sz w:val="24"/>
          <w:szCs w:val="24"/>
        </w:rPr>
        <w:t>Beukering</w:t>
      </w:r>
      <w:proofErr w:type="spellEnd"/>
      <w:r w:rsidRPr="003C34EF">
        <w:rPr>
          <w:rFonts w:ascii="Times New Roman" w:hAnsi="Times New Roman" w:cs="Times New Roman"/>
          <w:sz w:val="24"/>
          <w:szCs w:val="24"/>
        </w:rPr>
        <w:t xml:space="preserve">, P. (2012). Global estimates of the value of ecosystems and their services in monetary units. </w:t>
      </w:r>
      <w:r w:rsidRPr="003C34EF">
        <w:rPr>
          <w:rFonts w:ascii="Times New Roman" w:hAnsi="Times New Roman" w:cs="Times New Roman"/>
          <w:i/>
          <w:iCs/>
          <w:sz w:val="24"/>
          <w:szCs w:val="24"/>
        </w:rPr>
        <w:t>Ecosystem Services</w:t>
      </w:r>
      <w:r w:rsidRPr="003C34EF">
        <w:rPr>
          <w:rFonts w:ascii="Times New Roman" w:hAnsi="Times New Roman" w:cs="Times New Roman"/>
          <w:sz w:val="24"/>
          <w:szCs w:val="24"/>
        </w:rPr>
        <w:t>, 1(1), 50–61.</w:t>
      </w:r>
    </w:p>
    <w:p w14:paraId="1E98EAA4" w14:textId="77777777" w:rsidR="003C34EF" w:rsidRDefault="003C34EF" w:rsidP="00C526D8">
      <w:pPr>
        <w:spacing w:line="360" w:lineRule="auto"/>
        <w:jc w:val="both"/>
        <w:rPr>
          <w:rFonts w:ascii="Times New Roman" w:hAnsi="Times New Roman" w:cs="Times New Roman"/>
          <w:sz w:val="24"/>
          <w:szCs w:val="24"/>
        </w:rPr>
      </w:pPr>
      <w:r w:rsidRPr="005551A4">
        <w:rPr>
          <w:rFonts w:ascii="Times New Roman" w:hAnsi="Times New Roman" w:cs="Times New Roman"/>
          <w:sz w:val="24"/>
          <w:szCs w:val="24"/>
        </w:rPr>
        <w:t>Global Carbon Project (2024-11-03). </w:t>
      </w:r>
      <w:hyperlink r:id="rId18" w:history="1">
        <w:r w:rsidRPr="003C34EF">
          <w:rPr>
            <w:rStyle w:val="Hyperlink"/>
            <w:rFonts w:ascii="Times New Roman" w:hAnsi="Times New Roman" w:cs="Times New Roman"/>
            <w:color w:val="auto"/>
            <w:sz w:val="24"/>
            <w:szCs w:val="24"/>
            <w:u w:val="none"/>
          </w:rPr>
          <w:t>"Global CO2 pathways using Remaining Carbon Budgets"</w:t>
        </w:r>
      </w:hyperlink>
      <w:r w:rsidRPr="005551A4">
        <w:rPr>
          <w:rFonts w:ascii="Times New Roman" w:hAnsi="Times New Roman" w:cs="Times New Roman"/>
          <w:sz w:val="24"/>
          <w:szCs w:val="24"/>
        </w:rPr>
        <w:t>. </w:t>
      </w:r>
      <w:r w:rsidRPr="005551A4">
        <w:rPr>
          <w:rFonts w:ascii="Times New Roman" w:hAnsi="Times New Roman" w:cs="Times New Roman"/>
          <w:i/>
          <w:iCs/>
          <w:sz w:val="24"/>
          <w:szCs w:val="24"/>
        </w:rPr>
        <w:t>Figures from the Global Carbon Budget 2024</w:t>
      </w:r>
      <w:r w:rsidRPr="005551A4">
        <w:rPr>
          <w:rFonts w:ascii="Times New Roman" w:hAnsi="Times New Roman" w:cs="Times New Roman"/>
          <w:sz w:val="24"/>
          <w:szCs w:val="24"/>
        </w:rPr>
        <w:t>. Exeter, UK: University of Exeter. Retrieved 2025-04-03.</w:t>
      </w:r>
    </w:p>
    <w:p w14:paraId="6B6E5E55"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Haya, B. K., Evans, S., Brown, L., </w:t>
      </w:r>
      <w:proofErr w:type="spellStart"/>
      <w:r w:rsidRPr="003C34EF">
        <w:rPr>
          <w:rFonts w:ascii="Times New Roman" w:hAnsi="Times New Roman" w:cs="Times New Roman"/>
          <w:sz w:val="24"/>
          <w:szCs w:val="24"/>
        </w:rPr>
        <w:t>Bukoski</w:t>
      </w:r>
      <w:proofErr w:type="spellEnd"/>
      <w:r w:rsidRPr="003C34EF">
        <w:rPr>
          <w:rFonts w:ascii="Times New Roman" w:hAnsi="Times New Roman" w:cs="Times New Roman"/>
          <w:sz w:val="24"/>
          <w:szCs w:val="24"/>
        </w:rPr>
        <w:t xml:space="preserve">, J., </w:t>
      </w:r>
      <w:proofErr w:type="spellStart"/>
      <w:r w:rsidRPr="003C34EF">
        <w:rPr>
          <w:rFonts w:ascii="Times New Roman" w:hAnsi="Times New Roman" w:cs="Times New Roman"/>
          <w:sz w:val="24"/>
          <w:szCs w:val="24"/>
        </w:rPr>
        <w:t>Butsic</w:t>
      </w:r>
      <w:proofErr w:type="spellEnd"/>
      <w:r w:rsidRPr="003C34EF">
        <w:rPr>
          <w:rFonts w:ascii="Times New Roman" w:hAnsi="Times New Roman" w:cs="Times New Roman"/>
          <w:sz w:val="24"/>
          <w:szCs w:val="24"/>
        </w:rPr>
        <w:t xml:space="preserve">, V., </w:t>
      </w:r>
      <w:proofErr w:type="spellStart"/>
      <w:r w:rsidRPr="003C34EF">
        <w:rPr>
          <w:rFonts w:ascii="Times New Roman" w:hAnsi="Times New Roman" w:cs="Times New Roman"/>
          <w:sz w:val="24"/>
          <w:szCs w:val="24"/>
        </w:rPr>
        <w:t>Cabiyo</w:t>
      </w:r>
      <w:proofErr w:type="spellEnd"/>
      <w:r w:rsidRPr="003C34EF">
        <w:rPr>
          <w:rFonts w:ascii="Times New Roman" w:hAnsi="Times New Roman" w:cs="Times New Roman"/>
          <w:sz w:val="24"/>
          <w:szCs w:val="24"/>
        </w:rPr>
        <w:t xml:space="preserve">, B., ... &amp; Sanchez, D. L. (2023, March 21). Comprehensive review of carbon quantification by improved forest management offset protocols. </w:t>
      </w:r>
      <w:r w:rsidRPr="003C34EF">
        <w:rPr>
          <w:rFonts w:ascii="Times New Roman" w:hAnsi="Times New Roman" w:cs="Times New Roman"/>
          <w:i/>
          <w:iCs/>
          <w:sz w:val="24"/>
          <w:szCs w:val="24"/>
        </w:rPr>
        <w:t>Frontiers in Forests and Global Change</w:t>
      </w:r>
      <w:r w:rsidRPr="003C34EF">
        <w:rPr>
          <w:rFonts w:ascii="Times New Roman" w:hAnsi="Times New Roman" w:cs="Times New Roman"/>
          <w:sz w:val="24"/>
          <w:szCs w:val="24"/>
        </w:rPr>
        <w:t>.</w:t>
      </w:r>
    </w:p>
    <w:p w14:paraId="0425CB09"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Holzman, D. C. (2012). Accounting for nature's benefits: The dollar value of ecosystem services. </w:t>
      </w:r>
      <w:r w:rsidRPr="003C34EF">
        <w:rPr>
          <w:rFonts w:ascii="Times New Roman" w:hAnsi="Times New Roman" w:cs="Times New Roman"/>
          <w:i/>
          <w:iCs/>
          <w:sz w:val="24"/>
          <w:szCs w:val="24"/>
        </w:rPr>
        <w:t>Environmental Health Perspectives</w:t>
      </w:r>
      <w:r w:rsidRPr="003C34EF">
        <w:rPr>
          <w:rFonts w:ascii="Times New Roman" w:hAnsi="Times New Roman" w:cs="Times New Roman"/>
          <w:sz w:val="24"/>
          <w:szCs w:val="24"/>
        </w:rPr>
        <w:t>, 120(4), A157.</w:t>
      </w:r>
    </w:p>
    <w:p w14:paraId="38EAB7F7"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IPCC. (2021). Annex VII: Glossary. In J. B. R. Matthews, V. </w:t>
      </w:r>
      <w:proofErr w:type="spellStart"/>
      <w:r w:rsidRPr="003C34EF">
        <w:rPr>
          <w:rFonts w:ascii="Times New Roman" w:hAnsi="Times New Roman" w:cs="Times New Roman"/>
          <w:sz w:val="24"/>
          <w:szCs w:val="24"/>
        </w:rPr>
        <w:t>Möller</w:t>
      </w:r>
      <w:proofErr w:type="spellEnd"/>
      <w:r w:rsidRPr="003C34EF">
        <w:rPr>
          <w:rFonts w:ascii="Times New Roman" w:hAnsi="Times New Roman" w:cs="Times New Roman"/>
          <w:sz w:val="24"/>
          <w:szCs w:val="24"/>
        </w:rPr>
        <w:t xml:space="preserve">, R. van Diemen, J. S. </w:t>
      </w:r>
      <w:proofErr w:type="spellStart"/>
      <w:r w:rsidRPr="003C34EF">
        <w:rPr>
          <w:rFonts w:ascii="Times New Roman" w:hAnsi="Times New Roman" w:cs="Times New Roman"/>
          <w:sz w:val="24"/>
          <w:szCs w:val="24"/>
        </w:rPr>
        <w:t>Fuglestvedt</w:t>
      </w:r>
      <w:proofErr w:type="spellEnd"/>
      <w:r w:rsidRPr="003C34EF">
        <w:rPr>
          <w:rFonts w:ascii="Times New Roman" w:hAnsi="Times New Roman" w:cs="Times New Roman"/>
          <w:sz w:val="24"/>
          <w:szCs w:val="24"/>
        </w:rPr>
        <w:t>, V. Masson-</w:t>
      </w:r>
      <w:proofErr w:type="spellStart"/>
      <w:r w:rsidRPr="003C34EF">
        <w:rPr>
          <w:rFonts w:ascii="Times New Roman" w:hAnsi="Times New Roman" w:cs="Times New Roman"/>
          <w:sz w:val="24"/>
          <w:szCs w:val="24"/>
        </w:rPr>
        <w:t>Delmotte</w:t>
      </w:r>
      <w:proofErr w:type="spellEnd"/>
      <w:r w:rsidRPr="003C34EF">
        <w:rPr>
          <w:rFonts w:ascii="Times New Roman" w:hAnsi="Times New Roman" w:cs="Times New Roman"/>
          <w:sz w:val="24"/>
          <w:szCs w:val="24"/>
        </w:rPr>
        <w:t xml:space="preserve">, C. Méndez, ... &amp; B. Zhou (Eds.), Climate Change 2021: The </w:t>
      </w:r>
      <w:r w:rsidRPr="003C34EF">
        <w:rPr>
          <w:rFonts w:ascii="Times New Roman" w:hAnsi="Times New Roman" w:cs="Times New Roman"/>
          <w:sz w:val="24"/>
          <w:szCs w:val="24"/>
        </w:rPr>
        <w:lastRenderedPageBreak/>
        <w:t>Physical Science Basis. Contribution of Working Group I to the Sixth Assessment Report of the Intergovernmental Panel on Climate Change. Cambridge University Press, pp. 2215–2256.</w:t>
      </w:r>
    </w:p>
    <w:p w14:paraId="1FA05234"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IPCC. (2022). Summary for policymakers in Climate Change 2022: Mitigation of Climate Change. Contribution of Working Group III to the Sixth Assessment Report of the Intergovernmental Panel on Climate Change. Cambridge University Press.</w:t>
      </w:r>
    </w:p>
    <w:p w14:paraId="647E55B4"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Joy, N. M., &amp; Paul, S. K. (2021). Analysis of the economic value and status of the ecosystem services provided by the </w:t>
      </w:r>
      <w:proofErr w:type="spellStart"/>
      <w:r w:rsidRPr="003C34EF">
        <w:rPr>
          <w:rFonts w:ascii="Times New Roman" w:hAnsi="Times New Roman" w:cs="Times New Roman"/>
          <w:sz w:val="24"/>
          <w:szCs w:val="24"/>
        </w:rPr>
        <w:t>Ashtamudi</w:t>
      </w:r>
      <w:proofErr w:type="spellEnd"/>
      <w:r w:rsidRPr="003C34EF">
        <w:rPr>
          <w:rFonts w:ascii="Times New Roman" w:hAnsi="Times New Roman" w:cs="Times New Roman"/>
          <w:sz w:val="24"/>
          <w:szCs w:val="24"/>
        </w:rPr>
        <w:t xml:space="preserve"> wetland region, a Ramsar site in Kerala. </w:t>
      </w:r>
      <w:r w:rsidRPr="003C34EF">
        <w:rPr>
          <w:rFonts w:ascii="Times New Roman" w:hAnsi="Times New Roman" w:cs="Times New Roman"/>
          <w:i/>
          <w:iCs/>
          <w:sz w:val="24"/>
          <w:szCs w:val="24"/>
        </w:rPr>
        <w:t>Journal of the Indian Society of Remote Sensing</w:t>
      </w:r>
      <w:r w:rsidRPr="003C34EF">
        <w:rPr>
          <w:rFonts w:ascii="Times New Roman" w:hAnsi="Times New Roman" w:cs="Times New Roman"/>
          <w:sz w:val="24"/>
          <w:szCs w:val="24"/>
        </w:rPr>
        <w:t>, 49, 897–912.</w:t>
      </w:r>
    </w:p>
    <w:p w14:paraId="5DAAB8CC" w14:textId="77777777" w:rsidR="003C34EF" w:rsidRPr="003C34EF" w:rsidRDefault="003C34EF" w:rsidP="003C34EF">
      <w:pPr>
        <w:spacing w:line="360" w:lineRule="auto"/>
        <w:jc w:val="both"/>
        <w:rPr>
          <w:rFonts w:ascii="Times New Roman" w:hAnsi="Times New Roman" w:cs="Times New Roman"/>
          <w:sz w:val="24"/>
          <w:szCs w:val="24"/>
        </w:rPr>
      </w:pPr>
      <w:proofErr w:type="spellStart"/>
      <w:r w:rsidRPr="003C34EF">
        <w:rPr>
          <w:rFonts w:ascii="Times New Roman" w:hAnsi="Times New Roman" w:cs="Times New Roman"/>
          <w:sz w:val="24"/>
          <w:szCs w:val="24"/>
        </w:rPr>
        <w:t>Lamboll</w:t>
      </w:r>
      <w:proofErr w:type="spellEnd"/>
      <w:r w:rsidRPr="003C34EF">
        <w:rPr>
          <w:rFonts w:ascii="Times New Roman" w:hAnsi="Times New Roman" w:cs="Times New Roman"/>
          <w:sz w:val="24"/>
          <w:szCs w:val="24"/>
        </w:rPr>
        <w:t xml:space="preserve">, R. D., Nicholls, Z. R. J., Smith, C. J., </w:t>
      </w:r>
      <w:proofErr w:type="spellStart"/>
      <w:r w:rsidRPr="003C34EF">
        <w:rPr>
          <w:rFonts w:ascii="Times New Roman" w:hAnsi="Times New Roman" w:cs="Times New Roman"/>
          <w:sz w:val="24"/>
          <w:szCs w:val="24"/>
        </w:rPr>
        <w:t>Kikstra</w:t>
      </w:r>
      <w:proofErr w:type="spellEnd"/>
      <w:r w:rsidRPr="003C34EF">
        <w:rPr>
          <w:rFonts w:ascii="Times New Roman" w:hAnsi="Times New Roman" w:cs="Times New Roman"/>
          <w:sz w:val="24"/>
          <w:szCs w:val="24"/>
        </w:rPr>
        <w:t xml:space="preserve">, J. S., Byers, E., &amp; </w:t>
      </w:r>
      <w:proofErr w:type="spellStart"/>
      <w:r w:rsidRPr="003C34EF">
        <w:rPr>
          <w:rFonts w:ascii="Times New Roman" w:hAnsi="Times New Roman" w:cs="Times New Roman"/>
          <w:sz w:val="24"/>
          <w:szCs w:val="24"/>
        </w:rPr>
        <w:t>Rogelj</w:t>
      </w:r>
      <w:proofErr w:type="spellEnd"/>
      <w:r w:rsidRPr="003C34EF">
        <w:rPr>
          <w:rFonts w:ascii="Times New Roman" w:hAnsi="Times New Roman" w:cs="Times New Roman"/>
          <w:sz w:val="24"/>
          <w:szCs w:val="24"/>
        </w:rPr>
        <w:t>, J. (2023, December). Assessing the size and uncertainty of remaining carbon budgets. Nature Climate Change, 13(12), 1360–1367. https://doi.org/10.1038/s</w:t>
      </w:r>
    </w:p>
    <w:p w14:paraId="79806537"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Liu, Z., Deng, Z., Davis, S. J., </w:t>
      </w:r>
      <w:proofErr w:type="spellStart"/>
      <w:r w:rsidRPr="003C34EF">
        <w:rPr>
          <w:rFonts w:ascii="Times New Roman" w:hAnsi="Times New Roman" w:cs="Times New Roman"/>
          <w:sz w:val="24"/>
          <w:szCs w:val="24"/>
        </w:rPr>
        <w:t>Giron</w:t>
      </w:r>
      <w:proofErr w:type="spellEnd"/>
      <w:r w:rsidRPr="003C34EF">
        <w:rPr>
          <w:rFonts w:ascii="Times New Roman" w:hAnsi="Times New Roman" w:cs="Times New Roman"/>
          <w:sz w:val="24"/>
          <w:szCs w:val="24"/>
        </w:rPr>
        <w:t xml:space="preserve">, C., &amp; </w:t>
      </w:r>
      <w:proofErr w:type="spellStart"/>
      <w:r w:rsidRPr="003C34EF">
        <w:rPr>
          <w:rFonts w:ascii="Times New Roman" w:hAnsi="Times New Roman" w:cs="Times New Roman"/>
          <w:sz w:val="24"/>
          <w:szCs w:val="24"/>
        </w:rPr>
        <w:t>Ciais</w:t>
      </w:r>
      <w:proofErr w:type="spellEnd"/>
      <w:r w:rsidRPr="003C34EF">
        <w:rPr>
          <w:rFonts w:ascii="Times New Roman" w:hAnsi="Times New Roman" w:cs="Times New Roman"/>
          <w:sz w:val="24"/>
          <w:szCs w:val="24"/>
        </w:rPr>
        <w:t>, P. (2022). Monitoring global carbon emissions in 2021. Nature Reviews Earth &amp; Environment, 3(4), 217–219.</w:t>
      </w:r>
    </w:p>
    <w:p w14:paraId="4DB7D987"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 xml:space="preserve">Matthews, H. D., </w:t>
      </w:r>
      <w:proofErr w:type="spellStart"/>
      <w:r w:rsidRPr="003C34EF">
        <w:rPr>
          <w:rFonts w:ascii="Times New Roman" w:hAnsi="Times New Roman" w:cs="Times New Roman"/>
          <w:sz w:val="24"/>
          <w:szCs w:val="24"/>
        </w:rPr>
        <w:t>Zickfeld</w:t>
      </w:r>
      <w:proofErr w:type="spellEnd"/>
      <w:r w:rsidRPr="003C34EF">
        <w:rPr>
          <w:rFonts w:ascii="Times New Roman" w:hAnsi="Times New Roman" w:cs="Times New Roman"/>
          <w:sz w:val="24"/>
          <w:szCs w:val="24"/>
        </w:rPr>
        <w:t xml:space="preserve">, K., </w:t>
      </w:r>
      <w:proofErr w:type="spellStart"/>
      <w:r w:rsidRPr="003C34EF">
        <w:rPr>
          <w:rFonts w:ascii="Times New Roman" w:hAnsi="Times New Roman" w:cs="Times New Roman"/>
          <w:sz w:val="24"/>
          <w:szCs w:val="24"/>
        </w:rPr>
        <w:t>Knutti</w:t>
      </w:r>
      <w:proofErr w:type="spellEnd"/>
      <w:r w:rsidRPr="003C34EF">
        <w:rPr>
          <w:rFonts w:ascii="Times New Roman" w:hAnsi="Times New Roman" w:cs="Times New Roman"/>
          <w:sz w:val="24"/>
          <w:szCs w:val="24"/>
        </w:rPr>
        <w:t xml:space="preserve">, R., &amp; Allen, M. R. (2018, January 1). Focus on cumulative emissions, global carbon budgets and the implications for climate mitigation targets. </w:t>
      </w:r>
      <w:r w:rsidRPr="003C34EF">
        <w:rPr>
          <w:rFonts w:ascii="Times New Roman" w:hAnsi="Times New Roman" w:cs="Times New Roman"/>
          <w:i/>
          <w:iCs/>
          <w:sz w:val="24"/>
          <w:szCs w:val="24"/>
        </w:rPr>
        <w:t>Environmental Research Letters</w:t>
      </w:r>
      <w:r w:rsidRPr="003C34EF">
        <w:rPr>
          <w:rFonts w:ascii="Times New Roman" w:hAnsi="Times New Roman" w:cs="Times New Roman"/>
          <w:sz w:val="24"/>
          <w:szCs w:val="24"/>
        </w:rPr>
        <w:t>, 13(1), article 010201.</w:t>
      </w:r>
    </w:p>
    <w:p w14:paraId="2120F546" w14:textId="77777777" w:rsidR="003C34EF" w:rsidRPr="003C34EF" w:rsidRDefault="003C34EF" w:rsidP="003C34EF">
      <w:pPr>
        <w:spacing w:line="360" w:lineRule="auto"/>
        <w:jc w:val="both"/>
        <w:rPr>
          <w:rFonts w:ascii="Times New Roman" w:hAnsi="Times New Roman" w:cs="Times New Roman"/>
          <w:sz w:val="24"/>
          <w:szCs w:val="24"/>
        </w:rPr>
      </w:pPr>
      <w:r w:rsidRPr="003C34EF">
        <w:rPr>
          <w:rFonts w:ascii="Times New Roman" w:hAnsi="Times New Roman" w:cs="Times New Roman"/>
          <w:sz w:val="24"/>
          <w:szCs w:val="24"/>
        </w:rPr>
        <w:t>McGrath, M. (2023, October 31). Carbon emissions threaten 1.5°C climate threshold sooner than thought - report. Nature Climate Change, BBC. Retrieved November 1, 2023.</w:t>
      </w:r>
    </w:p>
    <w:p w14:paraId="086E411F" w14:textId="77777777" w:rsidR="003C34EF" w:rsidRPr="003C34EF" w:rsidRDefault="003C34EF" w:rsidP="003C34EF">
      <w:pPr>
        <w:spacing w:line="360" w:lineRule="auto"/>
        <w:jc w:val="both"/>
        <w:rPr>
          <w:rFonts w:ascii="Times New Roman" w:hAnsi="Times New Roman" w:cs="Times New Roman"/>
          <w:sz w:val="24"/>
          <w:szCs w:val="24"/>
        </w:rPr>
      </w:pPr>
      <w:proofErr w:type="spellStart"/>
      <w:r w:rsidRPr="003C34EF">
        <w:rPr>
          <w:rFonts w:ascii="Times New Roman" w:hAnsi="Times New Roman" w:cs="Times New Roman"/>
          <w:sz w:val="24"/>
          <w:szCs w:val="24"/>
        </w:rPr>
        <w:t>Meinshausen</w:t>
      </w:r>
      <w:proofErr w:type="spellEnd"/>
      <w:r w:rsidRPr="003C34EF">
        <w:rPr>
          <w:rFonts w:ascii="Times New Roman" w:hAnsi="Times New Roman" w:cs="Times New Roman"/>
          <w:sz w:val="24"/>
          <w:szCs w:val="24"/>
        </w:rPr>
        <w:t xml:space="preserve">, M., </w:t>
      </w:r>
      <w:proofErr w:type="spellStart"/>
      <w:r w:rsidRPr="003C34EF">
        <w:rPr>
          <w:rFonts w:ascii="Times New Roman" w:hAnsi="Times New Roman" w:cs="Times New Roman"/>
          <w:sz w:val="24"/>
          <w:szCs w:val="24"/>
        </w:rPr>
        <w:t>Meinshausen</w:t>
      </w:r>
      <w:proofErr w:type="spellEnd"/>
      <w:r w:rsidRPr="003C34EF">
        <w:rPr>
          <w:rFonts w:ascii="Times New Roman" w:hAnsi="Times New Roman" w:cs="Times New Roman"/>
          <w:sz w:val="24"/>
          <w:szCs w:val="24"/>
        </w:rPr>
        <w:t xml:space="preserve">, N., Hare, W., </w:t>
      </w:r>
      <w:proofErr w:type="spellStart"/>
      <w:r w:rsidRPr="003C34EF">
        <w:rPr>
          <w:rFonts w:ascii="Times New Roman" w:hAnsi="Times New Roman" w:cs="Times New Roman"/>
          <w:sz w:val="24"/>
          <w:szCs w:val="24"/>
        </w:rPr>
        <w:t>Raper</w:t>
      </w:r>
      <w:proofErr w:type="spellEnd"/>
      <w:r w:rsidRPr="003C34EF">
        <w:rPr>
          <w:rFonts w:ascii="Times New Roman" w:hAnsi="Times New Roman" w:cs="Times New Roman"/>
          <w:sz w:val="24"/>
          <w:szCs w:val="24"/>
        </w:rPr>
        <w:t xml:space="preserve">, S. C. B., </w:t>
      </w:r>
      <w:proofErr w:type="spellStart"/>
      <w:r w:rsidRPr="003C34EF">
        <w:rPr>
          <w:rFonts w:ascii="Times New Roman" w:hAnsi="Times New Roman" w:cs="Times New Roman"/>
          <w:sz w:val="24"/>
          <w:szCs w:val="24"/>
        </w:rPr>
        <w:t>Frieler</w:t>
      </w:r>
      <w:proofErr w:type="spellEnd"/>
      <w:r w:rsidRPr="003C34EF">
        <w:rPr>
          <w:rFonts w:ascii="Times New Roman" w:hAnsi="Times New Roman" w:cs="Times New Roman"/>
          <w:sz w:val="24"/>
          <w:szCs w:val="24"/>
        </w:rPr>
        <w:t xml:space="preserve">, K., </w:t>
      </w:r>
      <w:proofErr w:type="spellStart"/>
      <w:r w:rsidRPr="003C34EF">
        <w:rPr>
          <w:rFonts w:ascii="Times New Roman" w:hAnsi="Times New Roman" w:cs="Times New Roman"/>
          <w:sz w:val="24"/>
          <w:szCs w:val="24"/>
        </w:rPr>
        <w:t>Knutti</w:t>
      </w:r>
      <w:proofErr w:type="spellEnd"/>
      <w:r w:rsidRPr="003C34EF">
        <w:rPr>
          <w:rFonts w:ascii="Times New Roman" w:hAnsi="Times New Roman" w:cs="Times New Roman"/>
          <w:sz w:val="24"/>
          <w:szCs w:val="24"/>
        </w:rPr>
        <w:t xml:space="preserve">, R., ... &amp; Allen, M. R. (2009). Greenhouse-gas emission targets for limiting global warming to 2 °C. </w:t>
      </w:r>
      <w:r w:rsidRPr="003C34EF">
        <w:rPr>
          <w:rFonts w:ascii="Times New Roman" w:hAnsi="Times New Roman" w:cs="Times New Roman"/>
          <w:i/>
          <w:iCs/>
          <w:sz w:val="24"/>
          <w:szCs w:val="24"/>
        </w:rPr>
        <w:t>Nature</w:t>
      </w:r>
      <w:r w:rsidRPr="003C34EF">
        <w:rPr>
          <w:rFonts w:ascii="Times New Roman" w:hAnsi="Times New Roman" w:cs="Times New Roman"/>
          <w:sz w:val="24"/>
          <w:szCs w:val="24"/>
        </w:rPr>
        <w:t>, 458(7242), 1158–1162. https://doi.org/10.1038/nature</w:t>
      </w:r>
    </w:p>
    <w:p w14:paraId="08C4E8B4" w14:textId="77777777" w:rsidR="003C34EF" w:rsidRPr="003C34EF" w:rsidRDefault="003C34EF" w:rsidP="003C34EF">
      <w:pPr>
        <w:spacing w:line="360" w:lineRule="auto"/>
        <w:jc w:val="both"/>
        <w:rPr>
          <w:rFonts w:ascii="Times New Roman" w:hAnsi="Times New Roman" w:cs="Times New Roman"/>
          <w:sz w:val="24"/>
          <w:szCs w:val="24"/>
        </w:rPr>
      </w:pPr>
      <w:proofErr w:type="spellStart"/>
      <w:r w:rsidRPr="003C34EF">
        <w:rPr>
          <w:rFonts w:ascii="Times New Roman" w:hAnsi="Times New Roman" w:cs="Times New Roman"/>
          <w:sz w:val="24"/>
          <w:szCs w:val="24"/>
        </w:rPr>
        <w:t>Michaelowa</w:t>
      </w:r>
      <w:proofErr w:type="spellEnd"/>
      <w:r w:rsidRPr="003C34EF">
        <w:rPr>
          <w:rFonts w:ascii="Times New Roman" w:hAnsi="Times New Roman" w:cs="Times New Roman"/>
          <w:sz w:val="24"/>
          <w:szCs w:val="24"/>
        </w:rPr>
        <w:t xml:space="preserve">, A., </w:t>
      </w:r>
      <w:proofErr w:type="spellStart"/>
      <w:r w:rsidRPr="003C34EF">
        <w:rPr>
          <w:rFonts w:ascii="Times New Roman" w:hAnsi="Times New Roman" w:cs="Times New Roman"/>
          <w:sz w:val="24"/>
          <w:szCs w:val="24"/>
        </w:rPr>
        <w:t>Shishlov</w:t>
      </w:r>
      <w:proofErr w:type="spellEnd"/>
      <w:r w:rsidRPr="003C34EF">
        <w:rPr>
          <w:rFonts w:ascii="Times New Roman" w:hAnsi="Times New Roman" w:cs="Times New Roman"/>
          <w:sz w:val="24"/>
          <w:szCs w:val="24"/>
        </w:rPr>
        <w:t xml:space="preserve">, I., Hoch, S., &amp; </w:t>
      </w:r>
      <w:proofErr w:type="spellStart"/>
      <w:r w:rsidRPr="003C34EF">
        <w:rPr>
          <w:rFonts w:ascii="Times New Roman" w:hAnsi="Times New Roman" w:cs="Times New Roman"/>
          <w:sz w:val="24"/>
          <w:szCs w:val="24"/>
        </w:rPr>
        <w:t>Bofill</w:t>
      </w:r>
      <w:proofErr w:type="spellEnd"/>
      <w:r w:rsidRPr="003C34EF">
        <w:rPr>
          <w:rFonts w:ascii="Times New Roman" w:hAnsi="Times New Roman" w:cs="Times New Roman"/>
          <w:sz w:val="24"/>
          <w:szCs w:val="24"/>
        </w:rPr>
        <w:t>, P. (2019). Overview and comparison of existing carbon crediting schemes (PDF). Nordic Initiative for Cooperative Approaches (NICA) and Perspectives Climate Group GmbH. Retrieved December 20, 2022.</w:t>
      </w:r>
    </w:p>
    <w:p w14:paraId="051FFBD7" w14:textId="77777777" w:rsidR="003C34EF" w:rsidRPr="003C34EF" w:rsidRDefault="003C34EF" w:rsidP="003C34EF">
      <w:pPr>
        <w:spacing w:line="360" w:lineRule="auto"/>
        <w:jc w:val="both"/>
        <w:rPr>
          <w:rFonts w:ascii="Times New Roman" w:hAnsi="Times New Roman" w:cs="Times New Roman"/>
          <w:sz w:val="24"/>
          <w:szCs w:val="24"/>
        </w:rPr>
      </w:pPr>
      <w:proofErr w:type="spellStart"/>
      <w:r w:rsidRPr="003C34EF">
        <w:rPr>
          <w:rFonts w:ascii="Times New Roman" w:hAnsi="Times New Roman" w:cs="Times New Roman"/>
          <w:sz w:val="24"/>
          <w:szCs w:val="24"/>
        </w:rPr>
        <w:t>Nauels</w:t>
      </w:r>
      <w:proofErr w:type="spellEnd"/>
      <w:r w:rsidRPr="003C34EF">
        <w:rPr>
          <w:rFonts w:ascii="Times New Roman" w:hAnsi="Times New Roman" w:cs="Times New Roman"/>
          <w:sz w:val="24"/>
          <w:szCs w:val="24"/>
        </w:rPr>
        <w:t xml:space="preserve">, A., Rosen, D., </w:t>
      </w:r>
      <w:proofErr w:type="spellStart"/>
      <w:r w:rsidRPr="003C34EF">
        <w:rPr>
          <w:rFonts w:ascii="Times New Roman" w:hAnsi="Times New Roman" w:cs="Times New Roman"/>
          <w:sz w:val="24"/>
          <w:szCs w:val="24"/>
        </w:rPr>
        <w:t>Mauritsen</w:t>
      </w:r>
      <w:proofErr w:type="spellEnd"/>
      <w:r w:rsidRPr="003C34EF">
        <w:rPr>
          <w:rFonts w:ascii="Times New Roman" w:hAnsi="Times New Roman" w:cs="Times New Roman"/>
          <w:sz w:val="24"/>
          <w:szCs w:val="24"/>
        </w:rPr>
        <w:t xml:space="preserve">, T., </w:t>
      </w:r>
      <w:proofErr w:type="spellStart"/>
      <w:r w:rsidRPr="003C34EF">
        <w:rPr>
          <w:rFonts w:ascii="Times New Roman" w:hAnsi="Times New Roman" w:cs="Times New Roman"/>
          <w:sz w:val="24"/>
          <w:szCs w:val="24"/>
        </w:rPr>
        <w:t>Maycock</w:t>
      </w:r>
      <w:proofErr w:type="spellEnd"/>
      <w:r w:rsidRPr="003C34EF">
        <w:rPr>
          <w:rFonts w:ascii="Times New Roman" w:hAnsi="Times New Roman" w:cs="Times New Roman"/>
          <w:sz w:val="24"/>
          <w:szCs w:val="24"/>
        </w:rPr>
        <w:t xml:space="preserve">, A., McKenna, C., </w:t>
      </w:r>
      <w:proofErr w:type="spellStart"/>
      <w:r w:rsidRPr="003C34EF">
        <w:rPr>
          <w:rFonts w:ascii="Times New Roman" w:hAnsi="Times New Roman" w:cs="Times New Roman"/>
          <w:sz w:val="24"/>
          <w:szCs w:val="24"/>
        </w:rPr>
        <w:t>Roegli</w:t>
      </w:r>
      <w:proofErr w:type="spellEnd"/>
      <w:r w:rsidRPr="003C34EF">
        <w:rPr>
          <w:rFonts w:ascii="Times New Roman" w:hAnsi="Times New Roman" w:cs="Times New Roman"/>
          <w:sz w:val="24"/>
          <w:szCs w:val="24"/>
        </w:rPr>
        <w:t>, J., ... &amp; Smith, C. (2019). ZERO IN ON the remaining carbon budget and decadal warming rates. The CONSTRAIN Project Annual Report 2019. University of Leeds.</w:t>
      </w:r>
    </w:p>
    <w:p w14:paraId="370D0E4B" w14:textId="77777777" w:rsidR="003C34EF" w:rsidRDefault="003C34EF" w:rsidP="003C34EF">
      <w:pPr>
        <w:spacing w:line="360" w:lineRule="auto"/>
        <w:jc w:val="both"/>
        <w:rPr>
          <w:rFonts w:ascii="Times New Roman" w:hAnsi="Times New Roman" w:cs="Times New Roman"/>
          <w:sz w:val="24"/>
          <w:szCs w:val="24"/>
        </w:rPr>
      </w:pPr>
      <w:proofErr w:type="spellStart"/>
      <w:r w:rsidRPr="003C34EF">
        <w:rPr>
          <w:rFonts w:ascii="Times New Roman" w:hAnsi="Times New Roman" w:cs="Times New Roman"/>
          <w:sz w:val="24"/>
          <w:szCs w:val="24"/>
        </w:rPr>
        <w:lastRenderedPageBreak/>
        <w:t>Raupach</w:t>
      </w:r>
      <w:proofErr w:type="spellEnd"/>
      <w:r w:rsidRPr="003C34EF">
        <w:rPr>
          <w:rFonts w:ascii="Times New Roman" w:hAnsi="Times New Roman" w:cs="Times New Roman"/>
          <w:sz w:val="24"/>
          <w:szCs w:val="24"/>
        </w:rPr>
        <w:t xml:space="preserve">, M. R., Davis, S. J., Peters, G. P., Andrew, R. M., </w:t>
      </w:r>
      <w:proofErr w:type="spellStart"/>
      <w:r w:rsidRPr="003C34EF">
        <w:rPr>
          <w:rFonts w:ascii="Times New Roman" w:hAnsi="Times New Roman" w:cs="Times New Roman"/>
          <w:sz w:val="24"/>
          <w:szCs w:val="24"/>
        </w:rPr>
        <w:t>Canadell</w:t>
      </w:r>
      <w:proofErr w:type="spellEnd"/>
      <w:r w:rsidRPr="003C34EF">
        <w:rPr>
          <w:rFonts w:ascii="Times New Roman" w:hAnsi="Times New Roman" w:cs="Times New Roman"/>
          <w:sz w:val="24"/>
          <w:szCs w:val="24"/>
        </w:rPr>
        <w:t xml:space="preserve">, J. G., </w:t>
      </w:r>
      <w:proofErr w:type="spellStart"/>
      <w:r w:rsidRPr="003C34EF">
        <w:rPr>
          <w:rFonts w:ascii="Times New Roman" w:hAnsi="Times New Roman" w:cs="Times New Roman"/>
          <w:sz w:val="24"/>
          <w:szCs w:val="24"/>
        </w:rPr>
        <w:t>Ciais</w:t>
      </w:r>
      <w:proofErr w:type="spellEnd"/>
      <w:r w:rsidRPr="003C34EF">
        <w:rPr>
          <w:rFonts w:ascii="Times New Roman" w:hAnsi="Times New Roman" w:cs="Times New Roman"/>
          <w:sz w:val="24"/>
          <w:szCs w:val="24"/>
        </w:rPr>
        <w:t xml:space="preserve">, P., ... &amp; Le </w:t>
      </w:r>
      <w:proofErr w:type="spellStart"/>
      <w:r w:rsidRPr="003C34EF">
        <w:rPr>
          <w:rFonts w:ascii="Times New Roman" w:hAnsi="Times New Roman" w:cs="Times New Roman"/>
          <w:sz w:val="24"/>
          <w:szCs w:val="24"/>
        </w:rPr>
        <w:t>Quéré</w:t>
      </w:r>
      <w:proofErr w:type="spellEnd"/>
      <w:r w:rsidRPr="003C34EF">
        <w:rPr>
          <w:rFonts w:ascii="Times New Roman" w:hAnsi="Times New Roman" w:cs="Times New Roman"/>
          <w:sz w:val="24"/>
          <w:szCs w:val="24"/>
        </w:rPr>
        <w:t>, C. (2014, September 21).</w:t>
      </w:r>
    </w:p>
    <w:p w14:paraId="0AEA2D04" w14:textId="1E8C479C" w:rsidR="003C34EF" w:rsidRDefault="003C34EF" w:rsidP="00C526D8">
      <w:pPr>
        <w:spacing w:line="360" w:lineRule="auto"/>
        <w:jc w:val="both"/>
        <w:rPr>
          <w:rFonts w:ascii="Times New Roman" w:hAnsi="Times New Roman" w:cs="Times New Roman"/>
          <w:sz w:val="24"/>
          <w:szCs w:val="24"/>
        </w:rPr>
      </w:pPr>
      <w:r w:rsidRPr="00507D91">
        <w:rPr>
          <w:rFonts w:ascii="Times New Roman" w:hAnsi="Times New Roman" w:cs="Times New Roman"/>
          <w:sz w:val="24"/>
          <w:szCs w:val="24"/>
        </w:rPr>
        <w:t> </w:t>
      </w:r>
      <w:proofErr w:type="spellStart"/>
      <w:r w:rsidRPr="003C34EF">
        <w:rPr>
          <w:rFonts w:ascii="Times New Roman" w:hAnsi="Times New Roman" w:cs="Times New Roman"/>
          <w:sz w:val="24"/>
          <w:szCs w:val="24"/>
        </w:rPr>
        <w:t>Tacconi</w:t>
      </w:r>
      <w:proofErr w:type="spellEnd"/>
      <w:r w:rsidRPr="003C34EF">
        <w:rPr>
          <w:rFonts w:ascii="Times New Roman" w:hAnsi="Times New Roman" w:cs="Times New Roman"/>
          <w:sz w:val="24"/>
          <w:szCs w:val="24"/>
        </w:rPr>
        <w:t>, L (2012). "Redefining payments for environmental services". Ecological Economics. </w:t>
      </w:r>
      <w:r w:rsidRPr="003C34EF">
        <w:rPr>
          <w:rFonts w:ascii="Times New Roman" w:hAnsi="Times New Roman" w:cs="Times New Roman"/>
          <w:b/>
          <w:bCs/>
          <w:sz w:val="24"/>
          <w:szCs w:val="24"/>
        </w:rPr>
        <w:t>73</w:t>
      </w:r>
      <w:r w:rsidRPr="003C34EF">
        <w:rPr>
          <w:rFonts w:ascii="Times New Roman" w:hAnsi="Times New Roman" w:cs="Times New Roman"/>
          <w:sz w:val="24"/>
          <w:szCs w:val="24"/>
        </w:rPr>
        <w:t> (1): 29–36</w:t>
      </w:r>
    </w:p>
    <w:p w14:paraId="06A3E9A4" w14:textId="2EBDBB6A" w:rsidR="00667628" w:rsidRDefault="00667628" w:rsidP="00C526D8">
      <w:pPr>
        <w:spacing w:line="360" w:lineRule="auto"/>
        <w:jc w:val="both"/>
        <w:rPr>
          <w:rFonts w:ascii="Times New Roman" w:hAnsi="Times New Roman" w:cs="Times New Roman"/>
          <w:sz w:val="24"/>
          <w:szCs w:val="24"/>
        </w:rPr>
      </w:pPr>
      <w:r w:rsidRPr="00CC078F">
        <w:rPr>
          <w:rFonts w:ascii="Times New Roman" w:hAnsi="Times New Roman" w:cs="Times New Roman"/>
          <w:sz w:val="24"/>
          <w:szCs w:val="24"/>
          <w:highlight w:val="yellow"/>
        </w:rPr>
        <w:t xml:space="preserve">Bharathi P., </w:t>
      </w:r>
      <w:proofErr w:type="spellStart"/>
      <w:r w:rsidRPr="00CC078F">
        <w:rPr>
          <w:rFonts w:ascii="Times New Roman" w:hAnsi="Times New Roman" w:cs="Times New Roman"/>
          <w:sz w:val="24"/>
          <w:szCs w:val="24"/>
          <w:highlight w:val="yellow"/>
        </w:rPr>
        <w:t>Anjugam</w:t>
      </w:r>
      <w:proofErr w:type="spellEnd"/>
      <w:r w:rsidRPr="00CC078F">
        <w:rPr>
          <w:rFonts w:ascii="Times New Roman" w:hAnsi="Times New Roman" w:cs="Times New Roman"/>
          <w:sz w:val="24"/>
          <w:szCs w:val="24"/>
          <w:highlight w:val="yellow"/>
        </w:rPr>
        <w:t xml:space="preserve"> M., Suresh Kumar D., Kalpana R., &amp; </w:t>
      </w:r>
      <w:proofErr w:type="spellStart"/>
      <w:r w:rsidRPr="00CC078F">
        <w:rPr>
          <w:rFonts w:ascii="Times New Roman" w:hAnsi="Times New Roman" w:cs="Times New Roman"/>
          <w:sz w:val="24"/>
          <w:szCs w:val="24"/>
          <w:highlight w:val="yellow"/>
        </w:rPr>
        <w:t>Gangai</w:t>
      </w:r>
      <w:proofErr w:type="spellEnd"/>
      <w:r w:rsidRPr="00CC078F">
        <w:rPr>
          <w:rFonts w:ascii="Times New Roman" w:hAnsi="Times New Roman" w:cs="Times New Roman"/>
          <w:sz w:val="24"/>
          <w:szCs w:val="24"/>
          <w:highlight w:val="yellow"/>
        </w:rPr>
        <w:t xml:space="preserve"> </w:t>
      </w:r>
      <w:proofErr w:type="spellStart"/>
      <w:r w:rsidRPr="00CC078F">
        <w:rPr>
          <w:rFonts w:ascii="Times New Roman" w:hAnsi="Times New Roman" w:cs="Times New Roman"/>
          <w:sz w:val="24"/>
          <w:szCs w:val="24"/>
          <w:highlight w:val="yellow"/>
        </w:rPr>
        <w:t>Selvi</w:t>
      </w:r>
      <w:proofErr w:type="spellEnd"/>
      <w:r w:rsidRPr="00CC078F">
        <w:rPr>
          <w:rFonts w:ascii="Times New Roman" w:hAnsi="Times New Roman" w:cs="Times New Roman"/>
          <w:sz w:val="24"/>
          <w:szCs w:val="24"/>
          <w:highlight w:val="yellow"/>
        </w:rPr>
        <w:t xml:space="preserve"> R. (2023). Economic Valuation of Provisioning Ecosystem Services from Groundnut Organic Farming. </w:t>
      </w:r>
      <w:r w:rsidRPr="00CC078F">
        <w:rPr>
          <w:rFonts w:ascii="Times New Roman" w:hAnsi="Times New Roman" w:cs="Times New Roman"/>
          <w:i/>
          <w:iCs/>
          <w:sz w:val="24"/>
          <w:szCs w:val="24"/>
          <w:highlight w:val="yellow"/>
        </w:rPr>
        <w:t>Asian Journal of Agricultural Extension, Economics &amp; Sociology</w:t>
      </w:r>
      <w:r w:rsidRPr="00CC078F">
        <w:rPr>
          <w:rFonts w:ascii="Times New Roman" w:hAnsi="Times New Roman" w:cs="Times New Roman"/>
          <w:sz w:val="24"/>
          <w:szCs w:val="24"/>
          <w:highlight w:val="yellow"/>
        </w:rPr>
        <w:t>, </w:t>
      </w:r>
      <w:r w:rsidRPr="00CC078F">
        <w:rPr>
          <w:rFonts w:ascii="Times New Roman" w:hAnsi="Times New Roman" w:cs="Times New Roman"/>
          <w:i/>
          <w:iCs/>
          <w:sz w:val="24"/>
          <w:szCs w:val="24"/>
          <w:highlight w:val="yellow"/>
        </w:rPr>
        <w:t>41</w:t>
      </w:r>
      <w:r w:rsidRPr="00CC078F">
        <w:rPr>
          <w:rFonts w:ascii="Times New Roman" w:hAnsi="Times New Roman" w:cs="Times New Roman"/>
          <w:sz w:val="24"/>
          <w:szCs w:val="24"/>
          <w:highlight w:val="yellow"/>
        </w:rPr>
        <w:t>(12), 147–152.</w:t>
      </w:r>
      <w:r w:rsidR="001C13E6">
        <w:rPr>
          <w:rFonts w:ascii="Times New Roman" w:hAnsi="Times New Roman" w:cs="Times New Roman"/>
          <w:sz w:val="24"/>
          <w:szCs w:val="24"/>
        </w:rPr>
        <w:t xml:space="preserve"> </w:t>
      </w:r>
      <w:r w:rsidR="0046185F">
        <w:rPr>
          <w:rFonts w:ascii="Times New Roman" w:hAnsi="Times New Roman" w:cs="Times New Roman"/>
          <w:sz w:val="24"/>
          <w:szCs w:val="24"/>
        </w:rPr>
        <w:t xml:space="preserve"> </w:t>
      </w:r>
    </w:p>
    <w:p w14:paraId="709BA816" w14:textId="77777777" w:rsidR="00667628" w:rsidRDefault="00667628" w:rsidP="00C526D8">
      <w:pPr>
        <w:spacing w:line="360" w:lineRule="auto"/>
        <w:jc w:val="both"/>
        <w:rPr>
          <w:rFonts w:ascii="Times New Roman" w:hAnsi="Times New Roman" w:cs="Times New Roman"/>
          <w:sz w:val="24"/>
          <w:szCs w:val="24"/>
        </w:rPr>
      </w:pPr>
    </w:p>
    <w:p w14:paraId="6456D487" w14:textId="77777777" w:rsidR="00667628" w:rsidRPr="00C526D8" w:rsidRDefault="00667628" w:rsidP="00C526D8">
      <w:pPr>
        <w:spacing w:line="360" w:lineRule="auto"/>
        <w:jc w:val="both"/>
        <w:rPr>
          <w:rFonts w:ascii="Times New Roman" w:hAnsi="Times New Roman" w:cs="Times New Roman"/>
          <w:sz w:val="24"/>
          <w:szCs w:val="24"/>
        </w:rPr>
      </w:pPr>
    </w:p>
    <w:p w14:paraId="3379B2D2" w14:textId="77777777" w:rsidR="00C526D8" w:rsidRPr="00C526D8" w:rsidRDefault="00C526D8" w:rsidP="00C526D8">
      <w:pPr>
        <w:spacing w:line="360" w:lineRule="auto"/>
        <w:jc w:val="both"/>
        <w:rPr>
          <w:rFonts w:ascii="Times New Roman" w:hAnsi="Times New Roman" w:cs="Times New Roman"/>
          <w:sz w:val="24"/>
          <w:szCs w:val="24"/>
        </w:rPr>
      </w:pPr>
    </w:p>
    <w:p w14:paraId="1552319A" w14:textId="77777777" w:rsidR="00C526D8" w:rsidRPr="0016530E" w:rsidRDefault="00C526D8" w:rsidP="0016530E">
      <w:pPr>
        <w:spacing w:line="360" w:lineRule="auto"/>
        <w:jc w:val="both"/>
        <w:rPr>
          <w:rFonts w:ascii="Times New Roman" w:hAnsi="Times New Roman" w:cs="Times New Roman"/>
          <w:sz w:val="24"/>
          <w:szCs w:val="24"/>
        </w:rPr>
      </w:pPr>
    </w:p>
    <w:p w14:paraId="5E3875A4" w14:textId="38C1DC78" w:rsidR="0016530E" w:rsidRPr="0016530E" w:rsidRDefault="0016530E" w:rsidP="0016530E">
      <w:pPr>
        <w:spacing w:line="360" w:lineRule="auto"/>
        <w:jc w:val="both"/>
        <w:rPr>
          <w:rFonts w:ascii="Times New Roman" w:hAnsi="Times New Roman" w:cs="Times New Roman"/>
          <w:b/>
          <w:bCs/>
          <w:sz w:val="24"/>
          <w:szCs w:val="24"/>
        </w:rPr>
      </w:pPr>
      <w:r w:rsidRPr="0016530E">
        <w:rPr>
          <w:rFonts w:ascii="Times New Roman" w:hAnsi="Times New Roman" w:cs="Times New Roman"/>
          <w:sz w:val="24"/>
          <w:szCs w:val="24"/>
        </w:rPr>
        <w:br/>
      </w:r>
    </w:p>
    <w:p w14:paraId="115957B2" w14:textId="77777777" w:rsidR="0016530E" w:rsidRPr="001F2DE0" w:rsidRDefault="0016530E" w:rsidP="001F2DE0">
      <w:pPr>
        <w:spacing w:line="360" w:lineRule="auto"/>
        <w:jc w:val="both"/>
        <w:rPr>
          <w:rFonts w:ascii="Times New Roman" w:hAnsi="Times New Roman" w:cs="Times New Roman"/>
          <w:sz w:val="24"/>
          <w:szCs w:val="24"/>
        </w:rPr>
      </w:pPr>
    </w:p>
    <w:p w14:paraId="64A0210A" w14:textId="77777777" w:rsidR="001F2DE0" w:rsidRPr="0063555F" w:rsidRDefault="001F2DE0" w:rsidP="0063555F">
      <w:pPr>
        <w:spacing w:line="360" w:lineRule="auto"/>
        <w:jc w:val="both"/>
        <w:rPr>
          <w:rFonts w:ascii="Times New Roman" w:hAnsi="Times New Roman" w:cs="Times New Roman"/>
          <w:sz w:val="24"/>
          <w:szCs w:val="24"/>
        </w:rPr>
      </w:pPr>
    </w:p>
    <w:p w14:paraId="647D5345" w14:textId="77777777" w:rsidR="0063555F" w:rsidRPr="0063555F" w:rsidRDefault="0063555F" w:rsidP="0063555F">
      <w:pPr>
        <w:spacing w:line="360" w:lineRule="auto"/>
        <w:jc w:val="both"/>
        <w:rPr>
          <w:rFonts w:ascii="Times New Roman" w:hAnsi="Times New Roman" w:cs="Times New Roman"/>
          <w:sz w:val="24"/>
          <w:szCs w:val="24"/>
        </w:rPr>
      </w:pPr>
    </w:p>
    <w:p w14:paraId="46788F97" w14:textId="77777777" w:rsidR="0063555F" w:rsidRPr="0063555F" w:rsidRDefault="0063555F" w:rsidP="0063555F">
      <w:pPr>
        <w:spacing w:line="360" w:lineRule="auto"/>
        <w:jc w:val="both"/>
        <w:rPr>
          <w:rFonts w:ascii="Times New Roman" w:hAnsi="Times New Roman" w:cs="Times New Roman"/>
          <w:sz w:val="24"/>
          <w:szCs w:val="24"/>
        </w:rPr>
      </w:pPr>
    </w:p>
    <w:p w14:paraId="22A8A9A9" w14:textId="77777777" w:rsidR="00AF5B5C" w:rsidRDefault="00AF5B5C" w:rsidP="00AF5B5C">
      <w:pPr>
        <w:spacing w:line="360" w:lineRule="auto"/>
        <w:jc w:val="both"/>
        <w:rPr>
          <w:rFonts w:ascii="Times New Roman" w:hAnsi="Times New Roman" w:cs="Times New Roman"/>
          <w:sz w:val="24"/>
          <w:szCs w:val="24"/>
        </w:rPr>
      </w:pPr>
    </w:p>
    <w:p w14:paraId="6B808132" w14:textId="5C2643B0" w:rsidR="00AF5B5C" w:rsidRPr="00AF5B5C" w:rsidRDefault="00AF5B5C" w:rsidP="00AF5B5C">
      <w:pPr>
        <w:spacing w:line="360" w:lineRule="auto"/>
        <w:jc w:val="both"/>
        <w:rPr>
          <w:rFonts w:ascii="Times New Roman" w:hAnsi="Times New Roman" w:cs="Times New Roman"/>
          <w:sz w:val="24"/>
          <w:szCs w:val="24"/>
        </w:rPr>
      </w:pPr>
    </w:p>
    <w:p w14:paraId="5CBE2566" w14:textId="77777777" w:rsidR="00AF5B5C" w:rsidRPr="00AF5B5C" w:rsidRDefault="00AF5B5C" w:rsidP="00AF5B5C">
      <w:pPr>
        <w:spacing w:line="360" w:lineRule="auto"/>
        <w:jc w:val="both"/>
        <w:rPr>
          <w:rFonts w:ascii="Times New Roman" w:hAnsi="Times New Roman" w:cs="Times New Roman"/>
          <w:sz w:val="24"/>
          <w:szCs w:val="24"/>
        </w:rPr>
      </w:pPr>
    </w:p>
    <w:p w14:paraId="56423FB2" w14:textId="77777777" w:rsidR="00A53B7D" w:rsidRPr="000E5FF2" w:rsidRDefault="00A53B7D" w:rsidP="000E5FF2">
      <w:pPr>
        <w:spacing w:line="360" w:lineRule="auto"/>
        <w:jc w:val="both"/>
        <w:rPr>
          <w:rFonts w:ascii="Times New Roman" w:hAnsi="Times New Roman" w:cs="Times New Roman"/>
          <w:sz w:val="24"/>
          <w:szCs w:val="24"/>
        </w:rPr>
      </w:pPr>
    </w:p>
    <w:p w14:paraId="172375F9" w14:textId="660793D7" w:rsidR="000E5FF2" w:rsidRPr="000E5FF2" w:rsidRDefault="000E5FF2" w:rsidP="000E5FF2">
      <w:pPr>
        <w:spacing w:line="360" w:lineRule="auto"/>
        <w:jc w:val="both"/>
        <w:rPr>
          <w:rFonts w:ascii="Times New Roman" w:hAnsi="Times New Roman" w:cs="Times New Roman"/>
          <w:sz w:val="24"/>
          <w:szCs w:val="24"/>
        </w:rPr>
      </w:pPr>
      <w:r w:rsidRPr="000E5FF2">
        <w:rPr>
          <w:rFonts w:ascii="Times New Roman" w:hAnsi="Times New Roman" w:cs="Times New Roman"/>
          <w:sz w:val="24"/>
          <w:szCs w:val="24"/>
        </w:rPr>
        <w:t xml:space="preserve"> </w:t>
      </w:r>
      <w:r w:rsidRPr="000E5FF2">
        <w:rPr>
          <w:rFonts w:ascii="Times New Roman" w:hAnsi="Times New Roman" w:cs="Times New Roman"/>
          <w:sz w:val="24"/>
          <w:szCs w:val="24"/>
        </w:rPr>
        <w:br/>
      </w:r>
    </w:p>
    <w:p w14:paraId="7B5F4551" w14:textId="51996410" w:rsidR="00EC5651" w:rsidRPr="00EC5651" w:rsidRDefault="00EC5651" w:rsidP="00EC5651">
      <w:pPr>
        <w:spacing w:line="360" w:lineRule="auto"/>
        <w:jc w:val="both"/>
        <w:rPr>
          <w:rFonts w:ascii="Times New Roman" w:hAnsi="Times New Roman" w:cs="Times New Roman"/>
          <w:sz w:val="24"/>
          <w:szCs w:val="24"/>
        </w:rPr>
      </w:pPr>
      <w:r w:rsidRPr="00EC5651">
        <w:rPr>
          <w:rFonts w:ascii="Times New Roman" w:hAnsi="Times New Roman" w:cs="Times New Roman"/>
          <w:sz w:val="24"/>
          <w:szCs w:val="24"/>
        </w:rPr>
        <w:lastRenderedPageBreak/>
        <w:br/>
      </w:r>
    </w:p>
    <w:p w14:paraId="4CFA6D23" w14:textId="10F33DC6" w:rsidR="00EC5651" w:rsidRPr="00EC5651" w:rsidRDefault="00EC5651" w:rsidP="00EC5651">
      <w:pPr>
        <w:spacing w:line="360" w:lineRule="auto"/>
        <w:jc w:val="both"/>
        <w:rPr>
          <w:rFonts w:ascii="Times New Roman" w:hAnsi="Times New Roman" w:cs="Times New Roman"/>
          <w:sz w:val="24"/>
          <w:szCs w:val="24"/>
        </w:rPr>
      </w:pPr>
    </w:p>
    <w:p w14:paraId="039DDEDE" w14:textId="77777777" w:rsidR="00D40C70" w:rsidRPr="00D40C70" w:rsidRDefault="00D40C70" w:rsidP="00D40C70">
      <w:pPr>
        <w:pStyle w:val="NoSpacing"/>
        <w:tabs>
          <w:tab w:val="left" w:pos="8085"/>
        </w:tabs>
        <w:spacing w:line="360" w:lineRule="auto"/>
        <w:jc w:val="both"/>
        <w:rPr>
          <w:rFonts w:ascii="Times New Roman" w:hAnsi="Times New Roman" w:cs="Times New Roman"/>
          <w:sz w:val="24"/>
          <w:szCs w:val="24"/>
        </w:rPr>
      </w:pPr>
    </w:p>
    <w:p w14:paraId="02983C2B" w14:textId="77777777" w:rsidR="00410031" w:rsidRPr="00471A8C" w:rsidRDefault="00410031" w:rsidP="00410031">
      <w:pPr>
        <w:pStyle w:val="NoSpacing"/>
        <w:tabs>
          <w:tab w:val="left" w:pos="8085"/>
        </w:tabs>
        <w:spacing w:line="360" w:lineRule="auto"/>
        <w:jc w:val="both"/>
        <w:rPr>
          <w:rFonts w:ascii="Times New Roman" w:hAnsi="Times New Roman" w:cs="Times New Roman"/>
          <w:sz w:val="24"/>
          <w:szCs w:val="24"/>
        </w:rPr>
      </w:pPr>
    </w:p>
    <w:sectPr w:rsidR="00410031" w:rsidRPr="00471A8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4893A" w14:textId="77777777" w:rsidR="0002254B" w:rsidRDefault="0002254B" w:rsidP="00BD2AEC">
      <w:pPr>
        <w:spacing w:after="0" w:line="240" w:lineRule="auto"/>
      </w:pPr>
      <w:r>
        <w:separator/>
      </w:r>
    </w:p>
  </w:endnote>
  <w:endnote w:type="continuationSeparator" w:id="0">
    <w:p w14:paraId="371541A0" w14:textId="77777777" w:rsidR="0002254B" w:rsidRDefault="0002254B" w:rsidP="00BD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B33C" w14:textId="77777777" w:rsidR="00F81BEF" w:rsidRDefault="00F81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1BC9E" w14:textId="77777777" w:rsidR="00F81BEF" w:rsidRDefault="00F81B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F66E5" w14:textId="77777777" w:rsidR="00F81BEF" w:rsidRDefault="00F81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D987D" w14:textId="77777777" w:rsidR="0002254B" w:rsidRDefault="0002254B" w:rsidP="00BD2AEC">
      <w:pPr>
        <w:spacing w:after="0" w:line="240" w:lineRule="auto"/>
      </w:pPr>
      <w:r>
        <w:separator/>
      </w:r>
    </w:p>
  </w:footnote>
  <w:footnote w:type="continuationSeparator" w:id="0">
    <w:p w14:paraId="58B5F076" w14:textId="77777777" w:rsidR="0002254B" w:rsidRDefault="0002254B" w:rsidP="00BD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C214" w14:textId="147DB5E1" w:rsidR="00F81BEF" w:rsidRDefault="00F81BEF">
    <w:pPr>
      <w:pStyle w:val="Header"/>
    </w:pPr>
    <w:r>
      <w:rPr>
        <w:noProof/>
      </w:rPr>
      <w:pict w14:anchorId="48C3A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13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D002C" w14:textId="2E5FABD7" w:rsidR="00F81BEF" w:rsidRDefault="00F81BEF">
    <w:pPr>
      <w:pStyle w:val="Header"/>
    </w:pPr>
    <w:r>
      <w:rPr>
        <w:noProof/>
      </w:rPr>
      <w:pict w14:anchorId="463D0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13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115F2" w14:textId="341EC942" w:rsidR="00F81BEF" w:rsidRDefault="00F81BEF">
    <w:pPr>
      <w:pStyle w:val="Header"/>
    </w:pPr>
    <w:r>
      <w:rPr>
        <w:noProof/>
      </w:rPr>
      <w:pict w14:anchorId="4EABE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213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8EF"/>
    <w:multiLevelType w:val="hybridMultilevel"/>
    <w:tmpl w:val="F2C0313A"/>
    <w:lvl w:ilvl="0" w:tplc="FFAAA2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C5F5E"/>
    <w:multiLevelType w:val="hybridMultilevel"/>
    <w:tmpl w:val="E4FE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20858"/>
    <w:multiLevelType w:val="hybridMultilevel"/>
    <w:tmpl w:val="8FF2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715CFB"/>
    <w:multiLevelType w:val="hybridMultilevel"/>
    <w:tmpl w:val="827A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MTc1tTCytLQwMjZW0lEKTi0uzszPAykwrAUAdESguywAAAA="/>
  </w:docVars>
  <w:rsids>
    <w:rsidRoot w:val="00471A8C"/>
    <w:rsid w:val="0002254B"/>
    <w:rsid w:val="000301B4"/>
    <w:rsid w:val="000A0FED"/>
    <w:rsid w:val="000E5FF2"/>
    <w:rsid w:val="0016530E"/>
    <w:rsid w:val="001C13E6"/>
    <w:rsid w:val="001F2DE0"/>
    <w:rsid w:val="0021099D"/>
    <w:rsid w:val="002710F1"/>
    <w:rsid w:val="002D3AFF"/>
    <w:rsid w:val="002E339E"/>
    <w:rsid w:val="00304329"/>
    <w:rsid w:val="00337241"/>
    <w:rsid w:val="00360C17"/>
    <w:rsid w:val="00377607"/>
    <w:rsid w:val="003A3132"/>
    <w:rsid w:val="003C34EF"/>
    <w:rsid w:val="00410031"/>
    <w:rsid w:val="00427915"/>
    <w:rsid w:val="0046185F"/>
    <w:rsid w:val="00471A8C"/>
    <w:rsid w:val="004F2C33"/>
    <w:rsid w:val="00507D91"/>
    <w:rsid w:val="00527394"/>
    <w:rsid w:val="00542E6D"/>
    <w:rsid w:val="00547860"/>
    <w:rsid w:val="005551A4"/>
    <w:rsid w:val="00583646"/>
    <w:rsid w:val="0058484A"/>
    <w:rsid w:val="005A7E5F"/>
    <w:rsid w:val="005C69D8"/>
    <w:rsid w:val="00603F2C"/>
    <w:rsid w:val="00616C62"/>
    <w:rsid w:val="0063555F"/>
    <w:rsid w:val="00667628"/>
    <w:rsid w:val="006B2FE5"/>
    <w:rsid w:val="006B6604"/>
    <w:rsid w:val="007120C9"/>
    <w:rsid w:val="007306C1"/>
    <w:rsid w:val="007400DE"/>
    <w:rsid w:val="00742D0F"/>
    <w:rsid w:val="0077336C"/>
    <w:rsid w:val="007B14E8"/>
    <w:rsid w:val="007C6013"/>
    <w:rsid w:val="008904B3"/>
    <w:rsid w:val="008B6DDA"/>
    <w:rsid w:val="009165B7"/>
    <w:rsid w:val="00923D2F"/>
    <w:rsid w:val="009B71A7"/>
    <w:rsid w:val="009E39AA"/>
    <w:rsid w:val="009F0C5C"/>
    <w:rsid w:val="00A227B5"/>
    <w:rsid w:val="00A53B7D"/>
    <w:rsid w:val="00A76E62"/>
    <w:rsid w:val="00AE7AB6"/>
    <w:rsid w:val="00AF5B5C"/>
    <w:rsid w:val="00B22F20"/>
    <w:rsid w:val="00B41F57"/>
    <w:rsid w:val="00B66F64"/>
    <w:rsid w:val="00B82848"/>
    <w:rsid w:val="00BA08B1"/>
    <w:rsid w:val="00BD2AEC"/>
    <w:rsid w:val="00BE4D8B"/>
    <w:rsid w:val="00C11A4F"/>
    <w:rsid w:val="00C23B60"/>
    <w:rsid w:val="00C526D8"/>
    <w:rsid w:val="00C8070D"/>
    <w:rsid w:val="00CC078F"/>
    <w:rsid w:val="00CC7175"/>
    <w:rsid w:val="00D33B33"/>
    <w:rsid w:val="00D40C70"/>
    <w:rsid w:val="00DB0D00"/>
    <w:rsid w:val="00DF33A2"/>
    <w:rsid w:val="00EC5651"/>
    <w:rsid w:val="00ED2384"/>
    <w:rsid w:val="00EE267B"/>
    <w:rsid w:val="00F135BD"/>
    <w:rsid w:val="00F367D6"/>
    <w:rsid w:val="00F57E2F"/>
    <w:rsid w:val="00F762D1"/>
    <w:rsid w:val="00F81BEF"/>
    <w:rsid w:val="00F87F10"/>
    <w:rsid w:val="00F928EA"/>
    <w:rsid w:val="00FB6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AFC9EB"/>
  <w15:chartTrackingRefBased/>
  <w15:docId w15:val="{11137179-DBBB-4B1A-973E-8A509CD6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8C"/>
  </w:style>
  <w:style w:type="paragraph" w:styleId="Heading1">
    <w:name w:val="heading 1"/>
    <w:basedOn w:val="Normal"/>
    <w:next w:val="Normal"/>
    <w:link w:val="Heading1Char"/>
    <w:uiPriority w:val="9"/>
    <w:qFormat/>
    <w:rsid w:val="00471A8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71A8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71A8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71A8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71A8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71A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1A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1A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1A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A8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71A8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71A8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71A8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71A8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71A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A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A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A8C"/>
    <w:rPr>
      <w:rFonts w:eastAsiaTheme="majorEastAsia" w:cstheme="majorBidi"/>
      <w:color w:val="272727" w:themeColor="text1" w:themeTint="D8"/>
    </w:rPr>
  </w:style>
  <w:style w:type="paragraph" w:styleId="Title">
    <w:name w:val="Title"/>
    <w:basedOn w:val="Normal"/>
    <w:next w:val="Normal"/>
    <w:link w:val="TitleChar"/>
    <w:uiPriority w:val="10"/>
    <w:qFormat/>
    <w:rsid w:val="00471A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A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A8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1A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A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1A8C"/>
    <w:rPr>
      <w:i/>
      <w:iCs/>
      <w:color w:val="404040" w:themeColor="text1" w:themeTint="BF"/>
    </w:rPr>
  </w:style>
  <w:style w:type="paragraph" w:styleId="ListParagraph">
    <w:name w:val="List Paragraph"/>
    <w:basedOn w:val="Normal"/>
    <w:uiPriority w:val="34"/>
    <w:qFormat/>
    <w:rsid w:val="00471A8C"/>
    <w:pPr>
      <w:ind w:left="720"/>
      <w:contextualSpacing/>
    </w:pPr>
  </w:style>
  <w:style w:type="character" w:styleId="IntenseEmphasis">
    <w:name w:val="Intense Emphasis"/>
    <w:basedOn w:val="DefaultParagraphFont"/>
    <w:uiPriority w:val="21"/>
    <w:qFormat/>
    <w:rsid w:val="00471A8C"/>
    <w:rPr>
      <w:i/>
      <w:iCs/>
      <w:color w:val="365F91" w:themeColor="accent1" w:themeShade="BF"/>
    </w:rPr>
  </w:style>
  <w:style w:type="paragraph" w:styleId="IntenseQuote">
    <w:name w:val="Intense Quote"/>
    <w:basedOn w:val="Normal"/>
    <w:next w:val="Normal"/>
    <w:link w:val="IntenseQuoteChar"/>
    <w:uiPriority w:val="30"/>
    <w:qFormat/>
    <w:rsid w:val="00471A8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71A8C"/>
    <w:rPr>
      <w:i/>
      <w:iCs/>
      <w:color w:val="365F91" w:themeColor="accent1" w:themeShade="BF"/>
    </w:rPr>
  </w:style>
  <w:style w:type="character" w:styleId="IntenseReference">
    <w:name w:val="Intense Reference"/>
    <w:basedOn w:val="DefaultParagraphFont"/>
    <w:uiPriority w:val="32"/>
    <w:qFormat/>
    <w:rsid w:val="00471A8C"/>
    <w:rPr>
      <w:b/>
      <w:bCs/>
      <w:smallCaps/>
      <w:color w:val="365F91" w:themeColor="accent1" w:themeShade="BF"/>
      <w:spacing w:val="5"/>
    </w:rPr>
  </w:style>
  <w:style w:type="paragraph" w:styleId="NoSpacing">
    <w:name w:val="No Spacing"/>
    <w:uiPriority w:val="1"/>
    <w:qFormat/>
    <w:rsid w:val="00471A8C"/>
    <w:pPr>
      <w:spacing w:after="0" w:line="240" w:lineRule="auto"/>
    </w:pPr>
  </w:style>
  <w:style w:type="character" w:styleId="Hyperlink">
    <w:name w:val="Hyperlink"/>
    <w:basedOn w:val="DefaultParagraphFont"/>
    <w:uiPriority w:val="99"/>
    <w:unhideWhenUsed/>
    <w:rsid w:val="005551A4"/>
    <w:rPr>
      <w:color w:val="0000FF" w:themeColor="hyperlink"/>
      <w:u w:val="single"/>
    </w:rPr>
  </w:style>
  <w:style w:type="character" w:customStyle="1" w:styleId="UnresolvedMention1">
    <w:name w:val="Unresolved Mention1"/>
    <w:basedOn w:val="DefaultParagraphFont"/>
    <w:uiPriority w:val="99"/>
    <w:semiHidden/>
    <w:unhideWhenUsed/>
    <w:rsid w:val="005551A4"/>
    <w:rPr>
      <w:color w:val="605E5C"/>
      <w:shd w:val="clear" w:color="auto" w:fill="E1DFDD"/>
    </w:rPr>
  </w:style>
  <w:style w:type="paragraph" w:styleId="Header">
    <w:name w:val="header"/>
    <w:basedOn w:val="Normal"/>
    <w:link w:val="HeaderChar"/>
    <w:uiPriority w:val="99"/>
    <w:unhideWhenUsed/>
    <w:rsid w:val="00BD2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AEC"/>
  </w:style>
  <w:style w:type="paragraph" w:styleId="Footer">
    <w:name w:val="footer"/>
    <w:basedOn w:val="Normal"/>
    <w:link w:val="FooterChar"/>
    <w:uiPriority w:val="99"/>
    <w:unhideWhenUsed/>
    <w:rsid w:val="00BD2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0142">
      <w:bodyDiv w:val="1"/>
      <w:marLeft w:val="0"/>
      <w:marRight w:val="0"/>
      <w:marTop w:val="0"/>
      <w:marBottom w:val="0"/>
      <w:divBdr>
        <w:top w:val="none" w:sz="0" w:space="0" w:color="auto"/>
        <w:left w:val="none" w:sz="0" w:space="0" w:color="auto"/>
        <w:bottom w:val="none" w:sz="0" w:space="0" w:color="auto"/>
        <w:right w:val="none" w:sz="0" w:space="0" w:color="auto"/>
      </w:divBdr>
    </w:div>
    <w:div w:id="16784022">
      <w:bodyDiv w:val="1"/>
      <w:marLeft w:val="0"/>
      <w:marRight w:val="0"/>
      <w:marTop w:val="0"/>
      <w:marBottom w:val="0"/>
      <w:divBdr>
        <w:top w:val="none" w:sz="0" w:space="0" w:color="auto"/>
        <w:left w:val="none" w:sz="0" w:space="0" w:color="auto"/>
        <w:bottom w:val="none" w:sz="0" w:space="0" w:color="auto"/>
        <w:right w:val="none" w:sz="0" w:space="0" w:color="auto"/>
      </w:divBdr>
    </w:div>
    <w:div w:id="65688491">
      <w:bodyDiv w:val="1"/>
      <w:marLeft w:val="0"/>
      <w:marRight w:val="0"/>
      <w:marTop w:val="0"/>
      <w:marBottom w:val="0"/>
      <w:divBdr>
        <w:top w:val="none" w:sz="0" w:space="0" w:color="auto"/>
        <w:left w:val="none" w:sz="0" w:space="0" w:color="auto"/>
        <w:bottom w:val="none" w:sz="0" w:space="0" w:color="auto"/>
        <w:right w:val="none" w:sz="0" w:space="0" w:color="auto"/>
      </w:divBdr>
    </w:div>
    <w:div w:id="76370140">
      <w:bodyDiv w:val="1"/>
      <w:marLeft w:val="0"/>
      <w:marRight w:val="0"/>
      <w:marTop w:val="0"/>
      <w:marBottom w:val="0"/>
      <w:divBdr>
        <w:top w:val="none" w:sz="0" w:space="0" w:color="auto"/>
        <w:left w:val="none" w:sz="0" w:space="0" w:color="auto"/>
        <w:bottom w:val="none" w:sz="0" w:space="0" w:color="auto"/>
        <w:right w:val="none" w:sz="0" w:space="0" w:color="auto"/>
      </w:divBdr>
    </w:div>
    <w:div w:id="97718213">
      <w:bodyDiv w:val="1"/>
      <w:marLeft w:val="0"/>
      <w:marRight w:val="0"/>
      <w:marTop w:val="0"/>
      <w:marBottom w:val="0"/>
      <w:divBdr>
        <w:top w:val="none" w:sz="0" w:space="0" w:color="auto"/>
        <w:left w:val="none" w:sz="0" w:space="0" w:color="auto"/>
        <w:bottom w:val="none" w:sz="0" w:space="0" w:color="auto"/>
        <w:right w:val="none" w:sz="0" w:space="0" w:color="auto"/>
      </w:divBdr>
    </w:div>
    <w:div w:id="172688083">
      <w:bodyDiv w:val="1"/>
      <w:marLeft w:val="0"/>
      <w:marRight w:val="0"/>
      <w:marTop w:val="0"/>
      <w:marBottom w:val="0"/>
      <w:divBdr>
        <w:top w:val="none" w:sz="0" w:space="0" w:color="auto"/>
        <w:left w:val="none" w:sz="0" w:space="0" w:color="auto"/>
        <w:bottom w:val="none" w:sz="0" w:space="0" w:color="auto"/>
        <w:right w:val="none" w:sz="0" w:space="0" w:color="auto"/>
      </w:divBdr>
    </w:div>
    <w:div w:id="203296307">
      <w:bodyDiv w:val="1"/>
      <w:marLeft w:val="0"/>
      <w:marRight w:val="0"/>
      <w:marTop w:val="0"/>
      <w:marBottom w:val="0"/>
      <w:divBdr>
        <w:top w:val="none" w:sz="0" w:space="0" w:color="auto"/>
        <w:left w:val="none" w:sz="0" w:space="0" w:color="auto"/>
        <w:bottom w:val="none" w:sz="0" w:space="0" w:color="auto"/>
        <w:right w:val="none" w:sz="0" w:space="0" w:color="auto"/>
      </w:divBdr>
    </w:div>
    <w:div w:id="307244545">
      <w:bodyDiv w:val="1"/>
      <w:marLeft w:val="0"/>
      <w:marRight w:val="0"/>
      <w:marTop w:val="0"/>
      <w:marBottom w:val="0"/>
      <w:divBdr>
        <w:top w:val="none" w:sz="0" w:space="0" w:color="auto"/>
        <w:left w:val="none" w:sz="0" w:space="0" w:color="auto"/>
        <w:bottom w:val="none" w:sz="0" w:space="0" w:color="auto"/>
        <w:right w:val="none" w:sz="0" w:space="0" w:color="auto"/>
      </w:divBdr>
    </w:div>
    <w:div w:id="339893232">
      <w:bodyDiv w:val="1"/>
      <w:marLeft w:val="0"/>
      <w:marRight w:val="0"/>
      <w:marTop w:val="0"/>
      <w:marBottom w:val="0"/>
      <w:divBdr>
        <w:top w:val="none" w:sz="0" w:space="0" w:color="auto"/>
        <w:left w:val="none" w:sz="0" w:space="0" w:color="auto"/>
        <w:bottom w:val="none" w:sz="0" w:space="0" w:color="auto"/>
        <w:right w:val="none" w:sz="0" w:space="0" w:color="auto"/>
      </w:divBdr>
    </w:div>
    <w:div w:id="384568929">
      <w:bodyDiv w:val="1"/>
      <w:marLeft w:val="0"/>
      <w:marRight w:val="0"/>
      <w:marTop w:val="0"/>
      <w:marBottom w:val="0"/>
      <w:divBdr>
        <w:top w:val="none" w:sz="0" w:space="0" w:color="auto"/>
        <w:left w:val="none" w:sz="0" w:space="0" w:color="auto"/>
        <w:bottom w:val="none" w:sz="0" w:space="0" w:color="auto"/>
        <w:right w:val="none" w:sz="0" w:space="0" w:color="auto"/>
      </w:divBdr>
    </w:div>
    <w:div w:id="404453912">
      <w:bodyDiv w:val="1"/>
      <w:marLeft w:val="0"/>
      <w:marRight w:val="0"/>
      <w:marTop w:val="0"/>
      <w:marBottom w:val="0"/>
      <w:divBdr>
        <w:top w:val="none" w:sz="0" w:space="0" w:color="auto"/>
        <w:left w:val="none" w:sz="0" w:space="0" w:color="auto"/>
        <w:bottom w:val="none" w:sz="0" w:space="0" w:color="auto"/>
        <w:right w:val="none" w:sz="0" w:space="0" w:color="auto"/>
      </w:divBdr>
    </w:div>
    <w:div w:id="416288065">
      <w:bodyDiv w:val="1"/>
      <w:marLeft w:val="0"/>
      <w:marRight w:val="0"/>
      <w:marTop w:val="0"/>
      <w:marBottom w:val="0"/>
      <w:divBdr>
        <w:top w:val="none" w:sz="0" w:space="0" w:color="auto"/>
        <w:left w:val="none" w:sz="0" w:space="0" w:color="auto"/>
        <w:bottom w:val="none" w:sz="0" w:space="0" w:color="auto"/>
        <w:right w:val="none" w:sz="0" w:space="0" w:color="auto"/>
      </w:divBdr>
    </w:div>
    <w:div w:id="428626289">
      <w:bodyDiv w:val="1"/>
      <w:marLeft w:val="0"/>
      <w:marRight w:val="0"/>
      <w:marTop w:val="0"/>
      <w:marBottom w:val="0"/>
      <w:divBdr>
        <w:top w:val="none" w:sz="0" w:space="0" w:color="auto"/>
        <w:left w:val="none" w:sz="0" w:space="0" w:color="auto"/>
        <w:bottom w:val="none" w:sz="0" w:space="0" w:color="auto"/>
        <w:right w:val="none" w:sz="0" w:space="0" w:color="auto"/>
      </w:divBdr>
    </w:div>
    <w:div w:id="474177345">
      <w:bodyDiv w:val="1"/>
      <w:marLeft w:val="0"/>
      <w:marRight w:val="0"/>
      <w:marTop w:val="0"/>
      <w:marBottom w:val="0"/>
      <w:divBdr>
        <w:top w:val="none" w:sz="0" w:space="0" w:color="auto"/>
        <w:left w:val="none" w:sz="0" w:space="0" w:color="auto"/>
        <w:bottom w:val="none" w:sz="0" w:space="0" w:color="auto"/>
        <w:right w:val="none" w:sz="0" w:space="0" w:color="auto"/>
      </w:divBdr>
    </w:div>
    <w:div w:id="489448917">
      <w:bodyDiv w:val="1"/>
      <w:marLeft w:val="0"/>
      <w:marRight w:val="0"/>
      <w:marTop w:val="0"/>
      <w:marBottom w:val="0"/>
      <w:divBdr>
        <w:top w:val="none" w:sz="0" w:space="0" w:color="auto"/>
        <w:left w:val="none" w:sz="0" w:space="0" w:color="auto"/>
        <w:bottom w:val="none" w:sz="0" w:space="0" w:color="auto"/>
        <w:right w:val="none" w:sz="0" w:space="0" w:color="auto"/>
      </w:divBdr>
    </w:div>
    <w:div w:id="498690168">
      <w:bodyDiv w:val="1"/>
      <w:marLeft w:val="0"/>
      <w:marRight w:val="0"/>
      <w:marTop w:val="0"/>
      <w:marBottom w:val="0"/>
      <w:divBdr>
        <w:top w:val="none" w:sz="0" w:space="0" w:color="auto"/>
        <w:left w:val="none" w:sz="0" w:space="0" w:color="auto"/>
        <w:bottom w:val="none" w:sz="0" w:space="0" w:color="auto"/>
        <w:right w:val="none" w:sz="0" w:space="0" w:color="auto"/>
      </w:divBdr>
    </w:div>
    <w:div w:id="577131329">
      <w:bodyDiv w:val="1"/>
      <w:marLeft w:val="0"/>
      <w:marRight w:val="0"/>
      <w:marTop w:val="0"/>
      <w:marBottom w:val="0"/>
      <w:divBdr>
        <w:top w:val="none" w:sz="0" w:space="0" w:color="auto"/>
        <w:left w:val="none" w:sz="0" w:space="0" w:color="auto"/>
        <w:bottom w:val="none" w:sz="0" w:space="0" w:color="auto"/>
        <w:right w:val="none" w:sz="0" w:space="0" w:color="auto"/>
      </w:divBdr>
    </w:div>
    <w:div w:id="593169602">
      <w:bodyDiv w:val="1"/>
      <w:marLeft w:val="0"/>
      <w:marRight w:val="0"/>
      <w:marTop w:val="0"/>
      <w:marBottom w:val="0"/>
      <w:divBdr>
        <w:top w:val="none" w:sz="0" w:space="0" w:color="auto"/>
        <w:left w:val="none" w:sz="0" w:space="0" w:color="auto"/>
        <w:bottom w:val="none" w:sz="0" w:space="0" w:color="auto"/>
        <w:right w:val="none" w:sz="0" w:space="0" w:color="auto"/>
      </w:divBdr>
    </w:div>
    <w:div w:id="619267328">
      <w:bodyDiv w:val="1"/>
      <w:marLeft w:val="0"/>
      <w:marRight w:val="0"/>
      <w:marTop w:val="0"/>
      <w:marBottom w:val="0"/>
      <w:divBdr>
        <w:top w:val="none" w:sz="0" w:space="0" w:color="auto"/>
        <w:left w:val="none" w:sz="0" w:space="0" w:color="auto"/>
        <w:bottom w:val="none" w:sz="0" w:space="0" w:color="auto"/>
        <w:right w:val="none" w:sz="0" w:space="0" w:color="auto"/>
      </w:divBdr>
    </w:div>
    <w:div w:id="619920131">
      <w:bodyDiv w:val="1"/>
      <w:marLeft w:val="0"/>
      <w:marRight w:val="0"/>
      <w:marTop w:val="0"/>
      <w:marBottom w:val="0"/>
      <w:divBdr>
        <w:top w:val="none" w:sz="0" w:space="0" w:color="auto"/>
        <w:left w:val="none" w:sz="0" w:space="0" w:color="auto"/>
        <w:bottom w:val="none" w:sz="0" w:space="0" w:color="auto"/>
        <w:right w:val="none" w:sz="0" w:space="0" w:color="auto"/>
      </w:divBdr>
    </w:div>
    <w:div w:id="626207211">
      <w:bodyDiv w:val="1"/>
      <w:marLeft w:val="0"/>
      <w:marRight w:val="0"/>
      <w:marTop w:val="0"/>
      <w:marBottom w:val="0"/>
      <w:divBdr>
        <w:top w:val="none" w:sz="0" w:space="0" w:color="auto"/>
        <w:left w:val="none" w:sz="0" w:space="0" w:color="auto"/>
        <w:bottom w:val="none" w:sz="0" w:space="0" w:color="auto"/>
        <w:right w:val="none" w:sz="0" w:space="0" w:color="auto"/>
      </w:divBdr>
    </w:div>
    <w:div w:id="633606913">
      <w:bodyDiv w:val="1"/>
      <w:marLeft w:val="0"/>
      <w:marRight w:val="0"/>
      <w:marTop w:val="0"/>
      <w:marBottom w:val="0"/>
      <w:divBdr>
        <w:top w:val="none" w:sz="0" w:space="0" w:color="auto"/>
        <w:left w:val="none" w:sz="0" w:space="0" w:color="auto"/>
        <w:bottom w:val="none" w:sz="0" w:space="0" w:color="auto"/>
        <w:right w:val="none" w:sz="0" w:space="0" w:color="auto"/>
      </w:divBdr>
    </w:div>
    <w:div w:id="678772624">
      <w:bodyDiv w:val="1"/>
      <w:marLeft w:val="0"/>
      <w:marRight w:val="0"/>
      <w:marTop w:val="0"/>
      <w:marBottom w:val="0"/>
      <w:divBdr>
        <w:top w:val="none" w:sz="0" w:space="0" w:color="auto"/>
        <w:left w:val="none" w:sz="0" w:space="0" w:color="auto"/>
        <w:bottom w:val="none" w:sz="0" w:space="0" w:color="auto"/>
        <w:right w:val="none" w:sz="0" w:space="0" w:color="auto"/>
      </w:divBdr>
    </w:div>
    <w:div w:id="688021195">
      <w:bodyDiv w:val="1"/>
      <w:marLeft w:val="0"/>
      <w:marRight w:val="0"/>
      <w:marTop w:val="0"/>
      <w:marBottom w:val="0"/>
      <w:divBdr>
        <w:top w:val="none" w:sz="0" w:space="0" w:color="auto"/>
        <w:left w:val="none" w:sz="0" w:space="0" w:color="auto"/>
        <w:bottom w:val="none" w:sz="0" w:space="0" w:color="auto"/>
        <w:right w:val="none" w:sz="0" w:space="0" w:color="auto"/>
      </w:divBdr>
    </w:div>
    <w:div w:id="689989579">
      <w:bodyDiv w:val="1"/>
      <w:marLeft w:val="0"/>
      <w:marRight w:val="0"/>
      <w:marTop w:val="0"/>
      <w:marBottom w:val="0"/>
      <w:divBdr>
        <w:top w:val="none" w:sz="0" w:space="0" w:color="auto"/>
        <w:left w:val="none" w:sz="0" w:space="0" w:color="auto"/>
        <w:bottom w:val="none" w:sz="0" w:space="0" w:color="auto"/>
        <w:right w:val="none" w:sz="0" w:space="0" w:color="auto"/>
      </w:divBdr>
    </w:div>
    <w:div w:id="701520953">
      <w:bodyDiv w:val="1"/>
      <w:marLeft w:val="0"/>
      <w:marRight w:val="0"/>
      <w:marTop w:val="0"/>
      <w:marBottom w:val="0"/>
      <w:divBdr>
        <w:top w:val="none" w:sz="0" w:space="0" w:color="auto"/>
        <w:left w:val="none" w:sz="0" w:space="0" w:color="auto"/>
        <w:bottom w:val="none" w:sz="0" w:space="0" w:color="auto"/>
        <w:right w:val="none" w:sz="0" w:space="0" w:color="auto"/>
      </w:divBdr>
    </w:div>
    <w:div w:id="704599352">
      <w:bodyDiv w:val="1"/>
      <w:marLeft w:val="0"/>
      <w:marRight w:val="0"/>
      <w:marTop w:val="0"/>
      <w:marBottom w:val="0"/>
      <w:divBdr>
        <w:top w:val="none" w:sz="0" w:space="0" w:color="auto"/>
        <w:left w:val="none" w:sz="0" w:space="0" w:color="auto"/>
        <w:bottom w:val="none" w:sz="0" w:space="0" w:color="auto"/>
        <w:right w:val="none" w:sz="0" w:space="0" w:color="auto"/>
      </w:divBdr>
    </w:div>
    <w:div w:id="741759302">
      <w:bodyDiv w:val="1"/>
      <w:marLeft w:val="0"/>
      <w:marRight w:val="0"/>
      <w:marTop w:val="0"/>
      <w:marBottom w:val="0"/>
      <w:divBdr>
        <w:top w:val="none" w:sz="0" w:space="0" w:color="auto"/>
        <w:left w:val="none" w:sz="0" w:space="0" w:color="auto"/>
        <w:bottom w:val="none" w:sz="0" w:space="0" w:color="auto"/>
        <w:right w:val="none" w:sz="0" w:space="0" w:color="auto"/>
      </w:divBdr>
    </w:div>
    <w:div w:id="781606374">
      <w:bodyDiv w:val="1"/>
      <w:marLeft w:val="0"/>
      <w:marRight w:val="0"/>
      <w:marTop w:val="0"/>
      <w:marBottom w:val="0"/>
      <w:divBdr>
        <w:top w:val="none" w:sz="0" w:space="0" w:color="auto"/>
        <w:left w:val="none" w:sz="0" w:space="0" w:color="auto"/>
        <w:bottom w:val="none" w:sz="0" w:space="0" w:color="auto"/>
        <w:right w:val="none" w:sz="0" w:space="0" w:color="auto"/>
      </w:divBdr>
    </w:div>
    <w:div w:id="915088722">
      <w:bodyDiv w:val="1"/>
      <w:marLeft w:val="0"/>
      <w:marRight w:val="0"/>
      <w:marTop w:val="0"/>
      <w:marBottom w:val="0"/>
      <w:divBdr>
        <w:top w:val="none" w:sz="0" w:space="0" w:color="auto"/>
        <w:left w:val="none" w:sz="0" w:space="0" w:color="auto"/>
        <w:bottom w:val="none" w:sz="0" w:space="0" w:color="auto"/>
        <w:right w:val="none" w:sz="0" w:space="0" w:color="auto"/>
      </w:divBdr>
    </w:div>
    <w:div w:id="966205645">
      <w:bodyDiv w:val="1"/>
      <w:marLeft w:val="0"/>
      <w:marRight w:val="0"/>
      <w:marTop w:val="0"/>
      <w:marBottom w:val="0"/>
      <w:divBdr>
        <w:top w:val="none" w:sz="0" w:space="0" w:color="auto"/>
        <w:left w:val="none" w:sz="0" w:space="0" w:color="auto"/>
        <w:bottom w:val="none" w:sz="0" w:space="0" w:color="auto"/>
        <w:right w:val="none" w:sz="0" w:space="0" w:color="auto"/>
      </w:divBdr>
    </w:div>
    <w:div w:id="1022704975">
      <w:bodyDiv w:val="1"/>
      <w:marLeft w:val="0"/>
      <w:marRight w:val="0"/>
      <w:marTop w:val="0"/>
      <w:marBottom w:val="0"/>
      <w:divBdr>
        <w:top w:val="none" w:sz="0" w:space="0" w:color="auto"/>
        <w:left w:val="none" w:sz="0" w:space="0" w:color="auto"/>
        <w:bottom w:val="none" w:sz="0" w:space="0" w:color="auto"/>
        <w:right w:val="none" w:sz="0" w:space="0" w:color="auto"/>
      </w:divBdr>
    </w:div>
    <w:div w:id="1104422151">
      <w:bodyDiv w:val="1"/>
      <w:marLeft w:val="0"/>
      <w:marRight w:val="0"/>
      <w:marTop w:val="0"/>
      <w:marBottom w:val="0"/>
      <w:divBdr>
        <w:top w:val="none" w:sz="0" w:space="0" w:color="auto"/>
        <w:left w:val="none" w:sz="0" w:space="0" w:color="auto"/>
        <w:bottom w:val="none" w:sz="0" w:space="0" w:color="auto"/>
        <w:right w:val="none" w:sz="0" w:space="0" w:color="auto"/>
      </w:divBdr>
    </w:div>
    <w:div w:id="1142699883">
      <w:bodyDiv w:val="1"/>
      <w:marLeft w:val="0"/>
      <w:marRight w:val="0"/>
      <w:marTop w:val="0"/>
      <w:marBottom w:val="0"/>
      <w:divBdr>
        <w:top w:val="none" w:sz="0" w:space="0" w:color="auto"/>
        <w:left w:val="none" w:sz="0" w:space="0" w:color="auto"/>
        <w:bottom w:val="none" w:sz="0" w:space="0" w:color="auto"/>
        <w:right w:val="none" w:sz="0" w:space="0" w:color="auto"/>
      </w:divBdr>
    </w:div>
    <w:div w:id="1176649097">
      <w:bodyDiv w:val="1"/>
      <w:marLeft w:val="0"/>
      <w:marRight w:val="0"/>
      <w:marTop w:val="0"/>
      <w:marBottom w:val="0"/>
      <w:divBdr>
        <w:top w:val="none" w:sz="0" w:space="0" w:color="auto"/>
        <w:left w:val="none" w:sz="0" w:space="0" w:color="auto"/>
        <w:bottom w:val="none" w:sz="0" w:space="0" w:color="auto"/>
        <w:right w:val="none" w:sz="0" w:space="0" w:color="auto"/>
      </w:divBdr>
    </w:div>
    <w:div w:id="1197352228">
      <w:bodyDiv w:val="1"/>
      <w:marLeft w:val="0"/>
      <w:marRight w:val="0"/>
      <w:marTop w:val="0"/>
      <w:marBottom w:val="0"/>
      <w:divBdr>
        <w:top w:val="none" w:sz="0" w:space="0" w:color="auto"/>
        <w:left w:val="none" w:sz="0" w:space="0" w:color="auto"/>
        <w:bottom w:val="none" w:sz="0" w:space="0" w:color="auto"/>
        <w:right w:val="none" w:sz="0" w:space="0" w:color="auto"/>
      </w:divBdr>
    </w:div>
    <w:div w:id="1215194115">
      <w:bodyDiv w:val="1"/>
      <w:marLeft w:val="0"/>
      <w:marRight w:val="0"/>
      <w:marTop w:val="0"/>
      <w:marBottom w:val="0"/>
      <w:divBdr>
        <w:top w:val="none" w:sz="0" w:space="0" w:color="auto"/>
        <w:left w:val="none" w:sz="0" w:space="0" w:color="auto"/>
        <w:bottom w:val="none" w:sz="0" w:space="0" w:color="auto"/>
        <w:right w:val="none" w:sz="0" w:space="0" w:color="auto"/>
      </w:divBdr>
    </w:div>
    <w:div w:id="1220556263">
      <w:bodyDiv w:val="1"/>
      <w:marLeft w:val="0"/>
      <w:marRight w:val="0"/>
      <w:marTop w:val="0"/>
      <w:marBottom w:val="0"/>
      <w:divBdr>
        <w:top w:val="none" w:sz="0" w:space="0" w:color="auto"/>
        <w:left w:val="none" w:sz="0" w:space="0" w:color="auto"/>
        <w:bottom w:val="none" w:sz="0" w:space="0" w:color="auto"/>
        <w:right w:val="none" w:sz="0" w:space="0" w:color="auto"/>
      </w:divBdr>
    </w:div>
    <w:div w:id="1254776238">
      <w:bodyDiv w:val="1"/>
      <w:marLeft w:val="0"/>
      <w:marRight w:val="0"/>
      <w:marTop w:val="0"/>
      <w:marBottom w:val="0"/>
      <w:divBdr>
        <w:top w:val="none" w:sz="0" w:space="0" w:color="auto"/>
        <w:left w:val="none" w:sz="0" w:space="0" w:color="auto"/>
        <w:bottom w:val="none" w:sz="0" w:space="0" w:color="auto"/>
        <w:right w:val="none" w:sz="0" w:space="0" w:color="auto"/>
      </w:divBdr>
    </w:div>
    <w:div w:id="1269392743">
      <w:bodyDiv w:val="1"/>
      <w:marLeft w:val="0"/>
      <w:marRight w:val="0"/>
      <w:marTop w:val="0"/>
      <w:marBottom w:val="0"/>
      <w:divBdr>
        <w:top w:val="none" w:sz="0" w:space="0" w:color="auto"/>
        <w:left w:val="none" w:sz="0" w:space="0" w:color="auto"/>
        <w:bottom w:val="none" w:sz="0" w:space="0" w:color="auto"/>
        <w:right w:val="none" w:sz="0" w:space="0" w:color="auto"/>
      </w:divBdr>
    </w:div>
    <w:div w:id="1290552929">
      <w:bodyDiv w:val="1"/>
      <w:marLeft w:val="0"/>
      <w:marRight w:val="0"/>
      <w:marTop w:val="0"/>
      <w:marBottom w:val="0"/>
      <w:divBdr>
        <w:top w:val="none" w:sz="0" w:space="0" w:color="auto"/>
        <w:left w:val="none" w:sz="0" w:space="0" w:color="auto"/>
        <w:bottom w:val="none" w:sz="0" w:space="0" w:color="auto"/>
        <w:right w:val="none" w:sz="0" w:space="0" w:color="auto"/>
      </w:divBdr>
    </w:div>
    <w:div w:id="1307397704">
      <w:bodyDiv w:val="1"/>
      <w:marLeft w:val="0"/>
      <w:marRight w:val="0"/>
      <w:marTop w:val="0"/>
      <w:marBottom w:val="0"/>
      <w:divBdr>
        <w:top w:val="none" w:sz="0" w:space="0" w:color="auto"/>
        <w:left w:val="none" w:sz="0" w:space="0" w:color="auto"/>
        <w:bottom w:val="none" w:sz="0" w:space="0" w:color="auto"/>
        <w:right w:val="none" w:sz="0" w:space="0" w:color="auto"/>
      </w:divBdr>
    </w:div>
    <w:div w:id="1372342149">
      <w:bodyDiv w:val="1"/>
      <w:marLeft w:val="0"/>
      <w:marRight w:val="0"/>
      <w:marTop w:val="0"/>
      <w:marBottom w:val="0"/>
      <w:divBdr>
        <w:top w:val="none" w:sz="0" w:space="0" w:color="auto"/>
        <w:left w:val="none" w:sz="0" w:space="0" w:color="auto"/>
        <w:bottom w:val="none" w:sz="0" w:space="0" w:color="auto"/>
        <w:right w:val="none" w:sz="0" w:space="0" w:color="auto"/>
      </w:divBdr>
    </w:div>
    <w:div w:id="1401322890">
      <w:bodyDiv w:val="1"/>
      <w:marLeft w:val="0"/>
      <w:marRight w:val="0"/>
      <w:marTop w:val="0"/>
      <w:marBottom w:val="0"/>
      <w:divBdr>
        <w:top w:val="none" w:sz="0" w:space="0" w:color="auto"/>
        <w:left w:val="none" w:sz="0" w:space="0" w:color="auto"/>
        <w:bottom w:val="none" w:sz="0" w:space="0" w:color="auto"/>
        <w:right w:val="none" w:sz="0" w:space="0" w:color="auto"/>
      </w:divBdr>
    </w:div>
    <w:div w:id="1405879949">
      <w:bodyDiv w:val="1"/>
      <w:marLeft w:val="0"/>
      <w:marRight w:val="0"/>
      <w:marTop w:val="0"/>
      <w:marBottom w:val="0"/>
      <w:divBdr>
        <w:top w:val="none" w:sz="0" w:space="0" w:color="auto"/>
        <w:left w:val="none" w:sz="0" w:space="0" w:color="auto"/>
        <w:bottom w:val="none" w:sz="0" w:space="0" w:color="auto"/>
        <w:right w:val="none" w:sz="0" w:space="0" w:color="auto"/>
      </w:divBdr>
    </w:div>
    <w:div w:id="1486624351">
      <w:bodyDiv w:val="1"/>
      <w:marLeft w:val="0"/>
      <w:marRight w:val="0"/>
      <w:marTop w:val="0"/>
      <w:marBottom w:val="0"/>
      <w:divBdr>
        <w:top w:val="none" w:sz="0" w:space="0" w:color="auto"/>
        <w:left w:val="none" w:sz="0" w:space="0" w:color="auto"/>
        <w:bottom w:val="none" w:sz="0" w:space="0" w:color="auto"/>
        <w:right w:val="none" w:sz="0" w:space="0" w:color="auto"/>
      </w:divBdr>
    </w:div>
    <w:div w:id="1641298765">
      <w:bodyDiv w:val="1"/>
      <w:marLeft w:val="0"/>
      <w:marRight w:val="0"/>
      <w:marTop w:val="0"/>
      <w:marBottom w:val="0"/>
      <w:divBdr>
        <w:top w:val="none" w:sz="0" w:space="0" w:color="auto"/>
        <w:left w:val="none" w:sz="0" w:space="0" w:color="auto"/>
        <w:bottom w:val="none" w:sz="0" w:space="0" w:color="auto"/>
        <w:right w:val="none" w:sz="0" w:space="0" w:color="auto"/>
      </w:divBdr>
    </w:div>
    <w:div w:id="1652907462">
      <w:bodyDiv w:val="1"/>
      <w:marLeft w:val="0"/>
      <w:marRight w:val="0"/>
      <w:marTop w:val="0"/>
      <w:marBottom w:val="0"/>
      <w:divBdr>
        <w:top w:val="none" w:sz="0" w:space="0" w:color="auto"/>
        <w:left w:val="none" w:sz="0" w:space="0" w:color="auto"/>
        <w:bottom w:val="none" w:sz="0" w:space="0" w:color="auto"/>
        <w:right w:val="none" w:sz="0" w:space="0" w:color="auto"/>
      </w:divBdr>
    </w:div>
    <w:div w:id="1778328886">
      <w:bodyDiv w:val="1"/>
      <w:marLeft w:val="0"/>
      <w:marRight w:val="0"/>
      <w:marTop w:val="0"/>
      <w:marBottom w:val="0"/>
      <w:divBdr>
        <w:top w:val="none" w:sz="0" w:space="0" w:color="auto"/>
        <w:left w:val="none" w:sz="0" w:space="0" w:color="auto"/>
        <w:bottom w:val="none" w:sz="0" w:space="0" w:color="auto"/>
        <w:right w:val="none" w:sz="0" w:space="0" w:color="auto"/>
      </w:divBdr>
    </w:div>
    <w:div w:id="1788700692">
      <w:bodyDiv w:val="1"/>
      <w:marLeft w:val="0"/>
      <w:marRight w:val="0"/>
      <w:marTop w:val="0"/>
      <w:marBottom w:val="0"/>
      <w:divBdr>
        <w:top w:val="none" w:sz="0" w:space="0" w:color="auto"/>
        <w:left w:val="none" w:sz="0" w:space="0" w:color="auto"/>
        <w:bottom w:val="none" w:sz="0" w:space="0" w:color="auto"/>
        <w:right w:val="none" w:sz="0" w:space="0" w:color="auto"/>
      </w:divBdr>
    </w:div>
    <w:div w:id="1837265584">
      <w:bodyDiv w:val="1"/>
      <w:marLeft w:val="0"/>
      <w:marRight w:val="0"/>
      <w:marTop w:val="0"/>
      <w:marBottom w:val="0"/>
      <w:divBdr>
        <w:top w:val="none" w:sz="0" w:space="0" w:color="auto"/>
        <w:left w:val="none" w:sz="0" w:space="0" w:color="auto"/>
        <w:bottom w:val="none" w:sz="0" w:space="0" w:color="auto"/>
        <w:right w:val="none" w:sz="0" w:space="0" w:color="auto"/>
      </w:divBdr>
    </w:div>
    <w:div w:id="1937403689">
      <w:bodyDiv w:val="1"/>
      <w:marLeft w:val="0"/>
      <w:marRight w:val="0"/>
      <w:marTop w:val="0"/>
      <w:marBottom w:val="0"/>
      <w:divBdr>
        <w:top w:val="none" w:sz="0" w:space="0" w:color="auto"/>
        <w:left w:val="none" w:sz="0" w:space="0" w:color="auto"/>
        <w:bottom w:val="none" w:sz="0" w:space="0" w:color="auto"/>
        <w:right w:val="none" w:sz="0" w:space="0" w:color="auto"/>
      </w:divBdr>
    </w:div>
    <w:div w:id="1947611755">
      <w:bodyDiv w:val="1"/>
      <w:marLeft w:val="0"/>
      <w:marRight w:val="0"/>
      <w:marTop w:val="0"/>
      <w:marBottom w:val="0"/>
      <w:divBdr>
        <w:top w:val="none" w:sz="0" w:space="0" w:color="auto"/>
        <w:left w:val="none" w:sz="0" w:space="0" w:color="auto"/>
        <w:bottom w:val="none" w:sz="0" w:space="0" w:color="auto"/>
        <w:right w:val="none" w:sz="0" w:space="0" w:color="auto"/>
      </w:divBdr>
    </w:div>
    <w:div w:id="2006009170">
      <w:bodyDiv w:val="1"/>
      <w:marLeft w:val="0"/>
      <w:marRight w:val="0"/>
      <w:marTop w:val="0"/>
      <w:marBottom w:val="0"/>
      <w:divBdr>
        <w:top w:val="none" w:sz="0" w:space="0" w:color="auto"/>
        <w:left w:val="none" w:sz="0" w:space="0" w:color="auto"/>
        <w:bottom w:val="none" w:sz="0" w:space="0" w:color="auto"/>
        <w:right w:val="none" w:sz="0" w:space="0" w:color="auto"/>
      </w:divBdr>
    </w:div>
    <w:div w:id="207200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hyperlink" Target="https://robbieandrew.github.io/GCB202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sv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earth-and-planetary-sciences/oceania" TargetMode="External"/><Relationship Id="rId24" Type="http://schemas.openxmlformats.org/officeDocument/2006/relationships/footer" Target="footer3.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3.xml"/><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2221</TotalTime>
  <Pages>16</Pages>
  <Words>3871</Words>
  <Characters>22069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arizoo jan</dc:creator>
  <cp:keywords/>
  <dc:description/>
  <cp:lastModifiedBy>SDI 1084</cp:lastModifiedBy>
  <cp:revision>34</cp:revision>
  <dcterms:created xsi:type="dcterms:W3CDTF">2025-04-02T05:13:00Z</dcterms:created>
  <dcterms:modified xsi:type="dcterms:W3CDTF">2025-04-10T11:05:00Z</dcterms:modified>
</cp:coreProperties>
</file>