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9914C" w14:textId="77777777" w:rsidR="00E63423" w:rsidRPr="00E63423" w:rsidRDefault="00E63423" w:rsidP="00E63423">
      <w:pPr>
        <w:spacing w:line="360" w:lineRule="auto"/>
        <w:jc w:val="center"/>
        <w:rPr>
          <w:b/>
          <w:bCs/>
          <w:i/>
          <w:iCs/>
          <w:color w:val="000000" w:themeColor="text1"/>
          <w:u w:val="single"/>
          <w:lang w:val="en-US"/>
        </w:rPr>
      </w:pPr>
      <w:r w:rsidRPr="00E63423">
        <w:rPr>
          <w:b/>
          <w:bCs/>
          <w:i/>
          <w:iCs/>
          <w:color w:val="000000" w:themeColor="text1"/>
          <w:u w:val="single"/>
          <w:lang w:val="en-US"/>
        </w:rPr>
        <w:t>Review Article</w:t>
      </w:r>
    </w:p>
    <w:p w14:paraId="220D2C7C" w14:textId="77777777" w:rsidR="00E63423" w:rsidRDefault="00E63423" w:rsidP="0074320A">
      <w:pPr>
        <w:spacing w:line="360" w:lineRule="auto"/>
        <w:jc w:val="center"/>
        <w:rPr>
          <w:b/>
          <w:color w:val="000000" w:themeColor="text1"/>
          <w:lang w:val="en-US"/>
        </w:rPr>
      </w:pPr>
    </w:p>
    <w:p w14:paraId="607E7861" w14:textId="4B3A9905" w:rsidR="0066197A" w:rsidRPr="00DA3D44" w:rsidRDefault="0066197A" w:rsidP="0074320A">
      <w:pPr>
        <w:spacing w:line="360" w:lineRule="auto"/>
        <w:jc w:val="center"/>
        <w:rPr>
          <w:b/>
          <w:color w:val="000000" w:themeColor="text1"/>
          <w:lang w:val="en-US"/>
        </w:rPr>
      </w:pPr>
      <w:r w:rsidRPr="00DA3D44">
        <w:rPr>
          <w:b/>
          <w:color w:val="000000" w:themeColor="text1"/>
          <w:lang w:val="en-US"/>
        </w:rPr>
        <w:t xml:space="preserve">Problem </w:t>
      </w:r>
      <w:r w:rsidR="006C3A3A">
        <w:rPr>
          <w:b/>
          <w:color w:val="000000" w:themeColor="text1"/>
          <w:lang w:val="en-US"/>
        </w:rPr>
        <w:t>and P</w:t>
      </w:r>
      <w:r w:rsidR="002A2802">
        <w:rPr>
          <w:b/>
          <w:color w:val="000000" w:themeColor="text1"/>
          <w:lang w:val="en-US"/>
        </w:rPr>
        <w:t>rospects of Finger M</w:t>
      </w:r>
      <w:r w:rsidR="00F1642A">
        <w:rPr>
          <w:b/>
          <w:color w:val="000000" w:themeColor="text1"/>
          <w:lang w:val="en-US"/>
        </w:rPr>
        <w:t>illet P</w:t>
      </w:r>
      <w:r w:rsidRPr="00DA3D44">
        <w:rPr>
          <w:b/>
          <w:color w:val="000000" w:themeColor="text1"/>
          <w:lang w:val="en-US"/>
        </w:rPr>
        <w:t>roduction in India</w:t>
      </w:r>
      <w:r w:rsidR="00DD6C42">
        <w:t xml:space="preserve">: </w:t>
      </w:r>
      <w:r w:rsidR="00DD6C42" w:rsidRPr="00DD6C42">
        <w:rPr>
          <w:b/>
        </w:rPr>
        <w:t>A Review</w:t>
      </w:r>
    </w:p>
    <w:p w14:paraId="536989FD" w14:textId="77777777" w:rsidR="000C11BA" w:rsidRDefault="000C11BA" w:rsidP="00847FD2">
      <w:pPr>
        <w:spacing w:line="360" w:lineRule="auto"/>
        <w:jc w:val="center"/>
        <w:rPr>
          <w:b/>
          <w:lang w:val="en-US"/>
        </w:rPr>
      </w:pPr>
    </w:p>
    <w:p w14:paraId="4D667850" w14:textId="21910495" w:rsidR="0066197A" w:rsidRPr="00DA3D44" w:rsidRDefault="0066197A" w:rsidP="00847FD2">
      <w:pPr>
        <w:spacing w:line="360" w:lineRule="auto"/>
        <w:jc w:val="center"/>
        <w:rPr>
          <w:b/>
          <w:lang w:val="en-US"/>
        </w:rPr>
      </w:pPr>
      <w:r w:rsidRPr="00DA3D44">
        <w:rPr>
          <w:b/>
          <w:lang w:val="en-US"/>
        </w:rPr>
        <w:t>ABSTRACT</w:t>
      </w:r>
    </w:p>
    <w:p w14:paraId="6F227BDD" w14:textId="77777777" w:rsidR="0066197A" w:rsidRPr="00DA3D44" w:rsidRDefault="0066197A" w:rsidP="00847FD2">
      <w:pPr>
        <w:pBdr>
          <w:top w:val="single" w:sz="4" w:space="1" w:color="auto"/>
          <w:left w:val="single" w:sz="4" w:space="4" w:color="auto"/>
          <w:bottom w:val="single" w:sz="4" w:space="1" w:color="auto"/>
          <w:right w:val="single" w:sz="4" w:space="4" w:color="auto"/>
        </w:pBdr>
        <w:spacing w:line="360" w:lineRule="auto"/>
      </w:pPr>
      <w:r w:rsidRPr="00DA3D44">
        <w:t>Finger millet (</w:t>
      </w:r>
      <w:r w:rsidRPr="00DA3D44">
        <w:rPr>
          <w:i/>
        </w:rPr>
        <w:t>Eleusine coracana L</w:t>
      </w:r>
      <w:r w:rsidRPr="00DA3D44">
        <w:t xml:space="preserve">.), locally known as </w:t>
      </w:r>
      <w:proofErr w:type="spellStart"/>
      <w:r w:rsidRPr="00DA3D44">
        <w:t>ragi</w:t>
      </w:r>
      <w:proofErr w:type="spellEnd"/>
      <w:r w:rsidRPr="00DA3D44">
        <w:t xml:space="preserve"> or </w:t>
      </w:r>
      <w:proofErr w:type="spellStart"/>
      <w:r w:rsidRPr="00DA3D44">
        <w:t>mandua</w:t>
      </w:r>
      <w:proofErr w:type="spellEnd"/>
      <w:r w:rsidRPr="00DA3D44">
        <w:t>, holds</w:t>
      </w:r>
      <w:r w:rsidR="00747A41">
        <w:t xml:space="preserve"> a</w:t>
      </w:r>
      <w:r w:rsidRPr="00DA3D44">
        <w:t xml:space="preserve"> significant agricultural and nutritional importance, especially in regions like southern India and hilly areas in the north. This grain boasts a unique composition with a five-layered </w:t>
      </w:r>
      <w:proofErr w:type="spellStart"/>
      <w:r w:rsidRPr="00DA3D44">
        <w:t>testa</w:t>
      </w:r>
      <w:proofErr w:type="spellEnd"/>
      <w:r w:rsidRPr="00DA3D44">
        <w:t xml:space="preserve"> and high dietary </w:t>
      </w:r>
      <w:proofErr w:type="spellStart"/>
      <w:r w:rsidRPr="00DA3D44">
        <w:t>fiber</w:t>
      </w:r>
      <w:proofErr w:type="spellEnd"/>
      <w:r w:rsidRPr="00DA3D44">
        <w:t xml:space="preserve"> content, making it a valuable source of </w:t>
      </w:r>
      <w:r w:rsidR="00742827" w:rsidRPr="00DA3D44">
        <w:t xml:space="preserve">protein (7.3g), </w:t>
      </w:r>
      <w:r w:rsidR="004961FA" w:rsidRPr="00DA3D44">
        <w:t xml:space="preserve">carbohydrates (72g), </w:t>
      </w:r>
      <w:r w:rsidR="00742827" w:rsidRPr="00DA3D44">
        <w:t>minerals (2.7g), iron (3.9mg)</w:t>
      </w:r>
      <w:r w:rsidRPr="00DA3D44">
        <w:t>, calcium</w:t>
      </w:r>
      <w:r w:rsidR="00742827" w:rsidRPr="00DA3D44">
        <w:t xml:space="preserve"> (344mg)</w:t>
      </w:r>
      <w:r w:rsidR="00B16E30" w:rsidRPr="00DA3D44">
        <w:t xml:space="preserve"> and </w:t>
      </w:r>
      <w:r w:rsidR="007734D9" w:rsidRPr="00DA3D44">
        <w:t>phosphorus</w:t>
      </w:r>
      <w:r w:rsidR="00742827" w:rsidRPr="00DA3D44">
        <w:t xml:space="preserve"> (283mg)</w:t>
      </w:r>
      <w:r w:rsidR="007734D9" w:rsidRPr="00DA3D44">
        <w:t xml:space="preserve">. </w:t>
      </w:r>
      <w:r w:rsidRPr="00DA3D44">
        <w:t>Despite its nutritional</w:t>
      </w:r>
      <w:r w:rsidR="007734D9" w:rsidRPr="00DA3D44">
        <w:t xml:space="preserve"> properties,</w:t>
      </w:r>
      <w:r w:rsidRPr="00DA3D44">
        <w:t xml:space="preserve"> finger millet cultivation has seen a decline in India over the past decades, primarily due to challenges such as drought, heat stress, low productivity, and limited access to certified seeds and markets. Additionally, pests and diseases, notably blast caused by </w:t>
      </w:r>
      <w:proofErr w:type="spellStart"/>
      <w:r w:rsidRPr="00DA3D44">
        <w:rPr>
          <w:i/>
        </w:rPr>
        <w:t>Magnaporthe</w:t>
      </w:r>
      <w:proofErr w:type="spellEnd"/>
      <w:r w:rsidRPr="00DA3D44">
        <w:rPr>
          <w:i/>
        </w:rPr>
        <w:t xml:space="preserve"> </w:t>
      </w:r>
      <w:proofErr w:type="spellStart"/>
      <w:r w:rsidRPr="00DA3D44">
        <w:rPr>
          <w:i/>
        </w:rPr>
        <w:t>oryzae</w:t>
      </w:r>
      <w:proofErr w:type="spellEnd"/>
      <w:r w:rsidRPr="00DA3D44">
        <w:rPr>
          <w:i/>
        </w:rPr>
        <w:t xml:space="preserve">, </w:t>
      </w:r>
      <w:r w:rsidRPr="00DA3D44">
        <w:t>pose significant threats to yield. Looking ahead, finger millet holds promise as a climate-resilient crop, but research gaps persist, particularly in genomic resources and trait dissection. None the less, there is a growing resurgence of interest in millets globally due to their nutritional benefits and resilience to environmental stressors, driving efforts to promote their cultivation through improved varieties</w:t>
      </w:r>
      <w:r w:rsidR="00967D56" w:rsidRPr="00DA3D44">
        <w:t xml:space="preserve"> such as GPU-28 lead</w:t>
      </w:r>
      <w:r w:rsidR="0012277B" w:rsidRPr="00DA3D44">
        <w:t>s</w:t>
      </w:r>
      <w:r w:rsidR="00967D56" w:rsidRPr="00DA3D44">
        <w:t xml:space="preserve"> to significant production of ragi</w:t>
      </w:r>
      <w:r w:rsidRPr="00DA3D44">
        <w:t xml:space="preserve"> and agronomic practices.</w:t>
      </w:r>
    </w:p>
    <w:p w14:paraId="18F6AF38" w14:textId="77777777" w:rsidR="00A0064F" w:rsidRDefault="00262182" w:rsidP="0074320A">
      <w:pPr>
        <w:spacing w:line="360" w:lineRule="auto"/>
        <w:rPr>
          <w:lang w:val="en-US"/>
        </w:rPr>
      </w:pPr>
      <w:r w:rsidRPr="00262182">
        <w:t>Key</w:t>
      </w:r>
      <w:r w:rsidR="00A3121B" w:rsidRPr="00262182">
        <w:t>words</w:t>
      </w:r>
      <w:r w:rsidRPr="00262182">
        <w:t>:</w:t>
      </w:r>
      <w:r w:rsidR="00FD2564" w:rsidRPr="00DA3D44">
        <w:t xml:space="preserve"> </w:t>
      </w:r>
      <w:r w:rsidR="00FD2564" w:rsidRPr="00DA3D44">
        <w:rPr>
          <w:lang w:val="en-US"/>
        </w:rPr>
        <w:t>Problem</w:t>
      </w:r>
      <w:r w:rsidR="0012277B" w:rsidRPr="00DA3D44">
        <w:rPr>
          <w:lang w:val="en-US"/>
        </w:rPr>
        <w:t xml:space="preserve"> and Prospects</w:t>
      </w:r>
      <w:r>
        <w:rPr>
          <w:lang w:val="en-US"/>
        </w:rPr>
        <w:t>; Finger millet;</w:t>
      </w:r>
      <w:r w:rsidR="00FD2564" w:rsidRPr="00DA3D44">
        <w:rPr>
          <w:lang w:val="en-US"/>
        </w:rPr>
        <w:t xml:space="preserve"> Nutrition</w:t>
      </w:r>
      <w:r w:rsidR="0012277B" w:rsidRPr="00DA3D44">
        <w:rPr>
          <w:lang w:val="en-US"/>
        </w:rPr>
        <w:t xml:space="preserve"> </w:t>
      </w:r>
      <w:r w:rsidR="0012277B" w:rsidRPr="00DA3D44">
        <w:t>properties</w:t>
      </w:r>
      <w:r>
        <w:t>; Climate resilient</w:t>
      </w:r>
    </w:p>
    <w:p w14:paraId="4AACBA67" w14:textId="77777777" w:rsidR="0066197A" w:rsidRPr="00262182" w:rsidRDefault="0066197A" w:rsidP="00262182">
      <w:pPr>
        <w:pStyle w:val="ListParagraph"/>
        <w:numPr>
          <w:ilvl w:val="0"/>
          <w:numId w:val="30"/>
        </w:numPr>
        <w:spacing w:line="360" w:lineRule="auto"/>
        <w:rPr>
          <w:lang w:val="en-US"/>
        </w:rPr>
      </w:pPr>
      <w:r w:rsidRPr="00262182">
        <w:rPr>
          <w:b/>
          <w:lang w:val="en-US"/>
        </w:rPr>
        <w:t>INTRODUCTION</w:t>
      </w:r>
    </w:p>
    <w:p w14:paraId="5F77F10F" w14:textId="77777777" w:rsidR="007A2A0F" w:rsidRPr="00DA3D44" w:rsidRDefault="005623F8" w:rsidP="0074320A">
      <w:pPr>
        <w:spacing w:line="360" w:lineRule="auto"/>
      </w:pPr>
      <w:r w:rsidRPr="00DA3D44">
        <w:t>Finge</w:t>
      </w:r>
      <w:r w:rsidR="00596565" w:rsidRPr="00DA3D44">
        <w:t>r millet (</w:t>
      </w:r>
      <w:r w:rsidRPr="00DA3D44">
        <w:rPr>
          <w:i/>
        </w:rPr>
        <w:t>Eleusine coracana</w:t>
      </w:r>
      <w:r w:rsidRPr="00DA3D44">
        <w:t xml:space="preserve"> L.</w:t>
      </w:r>
      <w:r w:rsidR="00A10FEE">
        <w:t>)</w:t>
      </w:r>
      <w:r w:rsidRPr="00DA3D44">
        <w:t xml:space="preserve"> </w:t>
      </w:r>
      <w:r w:rsidR="00A10FEE" w:rsidRPr="00DA3D44">
        <w:t>is a staple</w:t>
      </w:r>
      <w:r w:rsidR="007A2A0F">
        <w:t xml:space="preserve"> food</w:t>
      </w:r>
      <w:r w:rsidR="00A10FEE" w:rsidRPr="00DA3D44">
        <w:t xml:space="preserve"> </w:t>
      </w:r>
      <w:r w:rsidR="007A2A0F" w:rsidRPr="00DA3D44">
        <w:t>crop</w:t>
      </w:r>
      <w:r w:rsidR="007A2A0F">
        <w:t xml:space="preserve"> of</w:t>
      </w:r>
      <w:r w:rsidR="00A10FEE" w:rsidRPr="00DA3D44">
        <w:t xml:space="preserve"> low-input agricultural</w:t>
      </w:r>
      <w:r w:rsidR="007A2A0F">
        <w:t xml:space="preserve"> regions</w:t>
      </w:r>
      <w:r w:rsidR="00A10FEE" w:rsidRPr="00DA3D44">
        <w:t>, especially in the semi-arid tropics of South Asia, India, Nepal, and Sri Lanka, as well as in the dry lands of several African nations such as Uganda, Kenya, Zimbabwe, Zambia, Malawi, Tanzania, Rwanda, and the Democratic Republic of the Congo. Globally, finger millet ranks as the third-most significant millet crop based on cultivation area and production (ICAR-IIMR,</w:t>
      </w:r>
      <w:r w:rsidR="007A2A0F">
        <w:t xml:space="preserve"> </w:t>
      </w:r>
      <w:r w:rsidR="00A10FEE" w:rsidRPr="00DA3D44">
        <w:t>2023)</w:t>
      </w:r>
      <w:r w:rsidR="007A2A0F">
        <w:t>.</w:t>
      </w:r>
      <w:r w:rsidR="007A2A0F" w:rsidRPr="007A2A0F">
        <w:t xml:space="preserve"> </w:t>
      </w:r>
      <w:r w:rsidR="007A2A0F" w:rsidRPr="00DA3D44">
        <w:t>As per the most recent statistics from the US Department of Agriculture, global millet production for the 2023/2024 season is forecasted to reach 30.802 million metric tons, representing a 4.1% decrease from the previous year</w:t>
      </w:r>
      <w:r w:rsidR="00C7694D">
        <w:t xml:space="preserve"> as presented in Table 1</w:t>
      </w:r>
      <w:r w:rsidR="007A2A0F" w:rsidRPr="00DA3D44">
        <w:t xml:space="preserve">. Countries with high millet production, including India (-10%, with 12.2 million metric tons) and Niger (-7%, with 3.4 million metric tons), have faced a reduction in output. Similarly, production in </w:t>
      </w:r>
      <w:r w:rsidR="007A2A0F" w:rsidRPr="00DA3D44">
        <w:lastRenderedPageBreak/>
        <w:t>Nigeria (-1.5%, to 2 million metric tons), Mali (-1.8%, to 1.8 million metric tons), and Sudan (-4.5%, to 1.6 million metric tons) is also expected to decline. However, China’s production is expected to remain unchanged at 2.7 million metric tons, while Ethiopia (+17%, to 1.1 million metric tons) and Burkina Faso (+10%, to 1 million metric tons) is projected to see increases in their millet production</w:t>
      </w:r>
      <w:r w:rsidR="001834A9">
        <w:t xml:space="preserve"> </w:t>
      </w:r>
      <w:r w:rsidR="001834A9" w:rsidRPr="001834A9">
        <w:t>(</w:t>
      </w:r>
      <w:r w:rsidR="001834A9" w:rsidRPr="001834A9">
        <w:rPr>
          <w:rFonts w:eastAsia="Times New Roman"/>
          <w:iCs/>
          <w:color w:val="222222"/>
          <w:lang w:eastAsia="en-IN"/>
        </w:rPr>
        <w:t>USDA, 2023 -2024</w:t>
      </w:r>
      <w:r w:rsidR="001834A9" w:rsidRPr="001834A9">
        <w:t>)</w:t>
      </w:r>
      <w:r w:rsidR="007A2A0F" w:rsidRPr="001834A9">
        <w:t>.</w:t>
      </w:r>
    </w:p>
    <w:p w14:paraId="1767BF04" w14:textId="77777777" w:rsidR="00861EBA" w:rsidRPr="00861EBA" w:rsidRDefault="00861EBA" w:rsidP="0074320A">
      <w:pPr>
        <w:spacing w:line="360" w:lineRule="auto"/>
        <w:rPr>
          <w:rFonts w:eastAsia="Times New Roman"/>
          <w:i/>
          <w:iCs/>
          <w:color w:val="222222"/>
          <w:lang w:eastAsia="en-IN"/>
        </w:rPr>
      </w:pPr>
      <w:r w:rsidRPr="00E456F5">
        <w:rPr>
          <w:b/>
          <w:color w:val="222222"/>
          <w:shd w:val="clear" w:color="auto" w:fill="FFFFFF"/>
        </w:rPr>
        <w:t>Table 1:</w:t>
      </w:r>
      <w:r w:rsidRPr="00861EBA">
        <w:rPr>
          <w:color w:val="222222"/>
          <w:shd w:val="clear" w:color="auto" w:fill="FFFFFF"/>
        </w:rPr>
        <w:t xml:space="preserve"> Global millet production, in 1,000 </w:t>
      </w:r>
      <w:proofErr w:type="spellStart"/>
      <w:r w:rsidRPr="00861EBA">
        <w:rPr>
          <w:color w:val="222222"/>
          <w:shd w:val="clear" w:color="auto" w:fill="FFFFFF"/>
        </w:rPr>
        <w:t>mt</w:t>
      </w:r>
      <w:proofErr w:type="spellEnd"/>
      <w:r w:rsidRPr="00861EBA">
        <w:rPr>
          <w:color w:val="222222"/>
          <w:shd w:val="clear" w:color="auto" w:fill="FFFFFF"/>
        </w:rPr>
        <w:t xml:space="preserve"> (</w:t>
      </w:r>
      <w:r w:rsidRPr="00861EBA">
        <w:rPr>
          <w:rFonts w:eastAsia="Times New Roman"/>
          <w:i/>
          <w:iCs/>
          <w:color w:val="222222"/>
          <w:lang w:eastAsia="en-IN"/>
        </w:rPr>
        <w:t>USDA, 2023 -2024</w:t>
      </w:r>
      <w:r w:rsidRPr="00861EBA">
        <w:rPr>
          <w:color w:val="222222"/>
          <w:shd w:val="clear" w:color="auto" w:fill="FFFFFF"/>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11"/>
        <w:gridCol w:w="2311"/>
        <w:gridCol w:w="2311"/>
      </w:tblGrid>
      <w:tr w:rsidR="00861EBA" w:rsidRPr="00DA3D44" w14:paraId="4DFFF6EF" w14:textId="77777777" w:rsidTr="00E04155">
        <w:tc>
          <w:tcPr>
            <w:tcW w:w="2309" w:type="dxa"/>
            <w:vAlign w:val="bottom"/>
          </w:tcPr>
          <w:p w14:paraId="0217CBE2" w14:textId="77777777" w:rsidR="00861EBA" w:rsidRPr="00DA3D44" w:rsidRDefault="00861EBA" w:rsidP="0074320A">
            <w:pPr>
              <w:spacing w:line="360" w:lineRule="auto"/>
              <w:rPr>
                <w:b/>
                <w:bCs/>
                <w:color w:val="222222"/>
              </w:rPr>
            </w:pPr>
            <w:r w:rsidRPr="00DA3D44">
              <w:rPr>
                <w:b/>
                <w:bCs/>
                <w:color w:val="222222"/>
              </w:rPr>
              <w:t xml:space="preserve">Country                                 </w:t>
            </w:r>
          </w:p>
        </w:tc>
        <w:tc>
          <w:tcPr>
            <w:tcW w:w="2311" w:type="dxa"/>
            <w:vAlign w:val="bottom"/>
          </w:tcPr>
          <w:p w14:paraId="65F53EE4" w14:textId="77777777" w:rsidR="00861EBA" w:rsidRPr="00DA3D44" w:rsidRDefault="00861EBA" w:rsidP="0074320A">
            <w:pPr>
              <w:spacing w:line="360" w:lineRule="auto"/>
              <w:rPr>
                <w:b/>
                <w:bCs/>
                <w:color w:val="222222"/>
              </w:rPr>
            </w:pPr>
            <w:r w:rsidRPr="00DA3D44">
              <w:rPr>
                <w:b/>
                <w:bCs/>
                <w:color w:val="222222"/>
              </w:rPr>
              <w:t>2022/23</w:t>
            </w:r>
          </w:p>
        </w:tc>
        <w:tc>
          <w:tcPr>
            <w:tcW w:w="2311" w:type="dxa"/>
            <w:vAlign w:val="bottom"/>
          </w:tcPr>
          <w:p w14:paraId="0C7AADF7" w14:textId="77777777" w:rsidR="00861EBA" w:rsidRPr="00DA3D44" w:rsidRDefault="00861EBA" w:rsidP="0074320A">
            <w:pPr>
              <w:spacing w:line="360" w:lineRule="auto"/>
              <w:rPr>
                <w:b/>
                <w:bCs/>
                <w:color w:val="222222"/>
              </w:rPr>
            </w:pPr>
            <w:r w:rsidRPr="00DA3D44">
              <w:rPr>
                <w:b/>
                <w:bCs/>
                <w:color w:val="222222"/>
              </w:rPr>
              <w:t>2023/24</w:t>
            </w:r>
          </w:p>
        </w:tc>
        <w:tc>
          <w:tcPr>
            <w:tcW w:w="2311" w:type="dxa"/>
            <w:vAlign w:val="bottom"/>
          </w:tcPr>
          <w:p w14:paraId="59708DE2" w14:textId="77777777" w:rsidR="00861EBA" w:rsidRPr="00DA3D44" w:rsidRDefault="00861EBA" w:rsidP="0074320A">
            <w:pPr>
              <w:spacing w:line="360" w:lineRule="auto"/>
              <w:rPr>
                <w:b/>
                <w:bCs/>
                <w:color w:val="222222"/>
              </w:rPr>
            </w:pPr>
            <w:r w:rsidRPr="00DA3D44">
              <w:rPr>
                <w:b/>
                <w:bCs/>
                <w:color w:val="222222"/>
              </w:rPr>
              <w:t>Diff.</w:t>
            </w:r>
          </w:p>
        </w:tc>
      </w:tr>
      <w:tr w:rsidR="00861EBA" w:rsidRPr="00DA3D44" w14:paraId="0B4B3266" w14:textId="77777777" w:rsidTr="00E04155">
        <w:tc>
          <w:tcPr>
            <w:tcW w:w="2309" w:type="dxa"/>
            <w:vAlign w:val="bottom"/>
          </w:tcPr>
          <w:p w14:paraId="6FB114E0" w14:textId="77777777" w:rsidR="00861EBA" w:rsidRPr="00DA3D44" w:rsidRDefault="00861EBA" w:rsidP="0074320A">
            <w:pPr>
              <w:spacing w:line="360" w:lineRule="auto"/>
              <w:rPr>
                <w:color w:val="222222"/>
              </w:rPr>
            </w:pPr>
            <w:r w:rsidRPr="00DA3D44">
              <w:rPr>
                <w:color w:val="222222"/>
              </w:rPr>
              <w:t>India</w:t>
            </w:r>
          </w:p>
        </w:tc>
        <w:tc>
          <w:tcPr>
            <w:tcW w:w="2311" w:type="dxa"/>
            <w:vAlign w:val="center"/>
          </w:tcPr>
          <w:p w14:paraId="777ABE59" w14:textId="77777777" w:rsidR="00861EBA" w:rsidRPr="00DA3D44" w:rsidRDefault="00861EBA" w:rsidP="0074320A">
            <w:pPr>
              <w:spacing w:line="360" w:lineRule="auto"/>
              <w:rPr>
                <w:color w:val="222222"/>
              </w:rPr>
            </w:pPr>
            <w:r w:rsidRPr="00DA3D44">
              <w:rPr>
                <w:color w:val="222222"/>
              </w:rPr>
              <w:t>13,506</w:t>
            </w:r>
          </w:p>
        </w:tc>
        <w:tc>
          <w:tcPr>
            <w:tcW w:w="2311" w:type="dxa"/>
            <w:vAlign w:val="center"/>
          </w:tcPr>
          <w:p w14:paraId="3AE5489B" w14:textId="77777777" w:rsidR="00861EBA" w:rsidRPr="00DA3D44" w:rsidRDefault="00861EBA" w:rsidP="0074320A">
            <w:pPr>
              <w:spacing w:line="360" w:lineRule="auto"/>
              <w:rPr>
                <w:color w:val="222222"/>
              </w:rPr>
            </w:pPr>
            <w:r w:rsidRPr="00DA3D44">
              <w:rPr>
                <w:color w:val="222222"/>
              </w:rPr>
              <w:t>12,200</w:t>
            </w:r>
          </w:p>
        </w:tc>
        <w:tc>
          <w:tcPr>
            <w:tcW w:w="2311" w:type="dxa"/>
            <w:vAlign w:val="center"/>
          </w:tcPr>
          <w:p w14:paraId="091F27EC" w14:textId="77777777" w:rsidR="00861EBA" w:rsidRPr="00DA3D44" w:rsidRDefault="00861EBA" w:rsidP="0074320A">
            <w:pPr>
              <w:spacing w:line="360" w:lineRule="auto"/>
              <w:rPr>
                <w:color w:val="222222"/>
              </w:rPr>
            </w:pPr>
            <w:r w:rsidRPr="00DA3D44">
              <w:rPr>
                <w:color w:val="222222"/>
              </w:rPr>
              <w:t>-9.70%</w:t>
            </w:r>
          </w:p>
        </w:tc>
      </w:tr>
      <w:tr w:rsidR="00861EBA" w:rsidRPr="00DA3D44" w14:paraId="289A1E41" w14:textId="77777777" w:rsidTr="00E04155">
        <w:tc>
          <w:tcPr>
            <w:tcW w:w="2309" w:type="dxa"/>
            <w:vAlign w:val="center"/>
          </w:tcPr>
          <w:p w14:paraId="5ED9263B" w14:textId="77777777" w:rsidR="00861EBA" w:rsidRPr="00DA3D44" w:rsidRDefault="00861EBA" w:rsidP="0074320A">
            <w:pPr>
              <w:spacing w:line="360" w:lineRule="auto"/>
              <w:rPr>
                <w:color w:val="222222"/>
              </w:rPr>
            </w:pPr>
            <w:r w:rsidRPr="00DA3D44">
              <w:rPr>
                <w:color w:val="222222"/>
              </w:rPr>
              <w:t>Niger</w:t>
            </w:r>
          </w:p>
        </w:tc>
        <w:tc>
          <w:tcPr>
            <w:tcW w:w="2311" w:type="dxa"/>
            <w:vAlign w:val="center"/>
          </w:tcPr>
          <w:p w14:paraId="4B9C8198" w14:textId="77777777" w:rsidR="00861EBA" w:rsidRPr="00DA3D44" w:rsidRDefault="00861EBA" w:rsidP="0074320A">
            <w:pPr>
              <w:spacing w:line="360" w:lineRule="auto"/>
              <w:rPr>
                <w:color w:val="222222"/>
              </w:rPr>
            </w:pPr>
            <w:r w:rsidRPr="00DA3D44">
              <w:rPr>
                <w:color w:val="222222"/>
              </w:rPr>
              <w:t>3,657</w:t>
            </w:r>
          </w:p>
        </w:tc>
        <w:tc>
          <w:tcPr>
            <w:tcW w:w="2311" w:type="dxa"/>
            <w:vAlign w:val="center"/>
          </w:tcPr>
          <w:p w14:paraId="4E248E18" w14:textId="77777777" w:rsidR="00861EBA" w:rsidRPr="00DA3D44" w:rsidRDefault="00861EBA" w:rsidP="0074320A">
            <w:pPr>
              <w:spacing w:line="360" w:lineRule="auto"/>
              <w:rPr>
                <w:color w:val="222222"/>
              </w:rPr>
            </w:pPr>
            <w:r w:rsidRPr="00DA3D44">
              <w:rPr>
                <w:color w:val="222222"/>
              </w:rPr>
              <w:t>3,400</w:t>
            </w:r>
          </w:p>
        </w:tc>
        <w:tc>
          <w:tcPr>
            <w:tcW w:w="2311" w:type="dxa"/>
            <w:vAlign w:val="center"/>
          </w:tcPr>
          <w:p w14:paraId="6B6BFB71" w14:textId="77777777" w:rsidR="00861EBA" w:rsidRPr="00DA3D44" w:rsidRDefault="00861EBA" w:rsidP="0074320A">
            <w:pPr>
              <w:spacing w:line="360" w:lineRule="auto"/>
              <w:rPr>
                <w:color w:val="222222"/>
              </w:rPr>
            </w:pPr>
            <w:r w:rsidRPr="00DA3D44">
              <w:rPr>
                <w:color w:val="222222"/>
              </w:rPr>
              <w:t>-7.00%</w:t>
            </w:r>
          </w:p>
        </w:tc>
      </w:tr>
      <w:tr w:rsidR="00861EBA" w:rsidRPr="00DA3D44" w14:paraId="3A108A8D" w14:textId="77777777" w:rsidTr="00E04155">
        <w:tc>
          <w:tcPr>
            <w:tcW w:w="2309" w:type="dxa"/>
            <w:vAlign w:val="center"/>
          </w:tcPr>
          <w:p w14:paraId="3B87755C" w14:textId="77777777" w:rsidR="00861EBA" w:rsidRPr="00DA3D44" w:rsidRDefault="00861EBA" w:rsidP="0074320A">
            <w:pPr>
              <w:spacing w:line="360" w:lineRule="auto"/>
              <w:rPr>
                <w:color w:val="222222"/>
              </w:rPr>
            </w:pPr>
            <w:r w:rsidRPr="00DA3D44">
              <w:rPr>
                <w:color w:val="222222"/>
              </w:rPr>
              <w:t>China</w:t>
            </w:r>
          </w:p>
        </w:tc>
        <w:tc>
          <w:tcPr>
            <w:tcW w:w="2311" w:type="dxa"/>
            <w:vAlign w:val="center"/>
          </w:tcPr>
          <w:p w14:paraId="56AE2AC7" w14:textId="77777777" w:rsidR="00861EBA" w:rsidRPr="00DA3D44" w:rsidRDefault="00861EBA" w:rsidP="0074320A">
            <w:pPr>
              <w:spacing w:line="360" w:lineRule="auto"/>
              <w:rPr>
                <w:color w:val="222222"/>
              </w:rPr>
            </w:pPr>
            <w:r w:rsidRPr="00DA3D44">
              <w:rPr>
                <w:color w:val="222222"/>
              </w:rPr>
              <w:t>2,700</w:t>
            </w:r>
          </w:p>
        </w:tc>
        <w:tc>
          <w:tcPr>
            <w:tcW w:w="2311" w:type="dxa"/>
            <w:vAlign w:val="center"/>
          </w:tcPr>
          <w:p w14:paraId="72AC04C2" w14:textId="77777777" w:rsidR="00861EBA" w:rsidRPr="00DA3D44" w:rsidRDefault="00861EBA" w:rsidP="0074320A">
            <w:pPr>
              <w:spacing w:line="360" w:lineRule="auto"/>
              <w:rPr>
                <w:color w:val="222222"/>
              </w:rPr>
            </w:pPr>
            <w:r w:rsidRPr="00DA3D44">
              <w:rPr>
                <w:color w:val="222222"/>
              </w:rPr>
              <w:t>2,700</w:t>
            </w:r>
          </w:p>
        </w:tc>
        <w:tc>
          <w:tcPr>
            <w:tcW w:w="2311" w:type="dxa"/>
            <w:vAlign w:val="center"/>
          </w:tcPr>
          <w:p w14:paraId="4C3F78F7" w14:textId="77777777" w:rsidR="00861EBA" w:rsidRPr="00DA3D44" w:rsidRDefault="00861EBA" w:rsidP="0074320A">
            <w:pPr>
              <w:spacing w:line="360" w:lineRule="auto"/>
              <w:rPr>
                <w:color w:val="222222"/>
              </w:rPr>
            </w:pPr>
            <w:r w:rsidRPr="00DA3D44">
              <w:rPr>
                <w:color w:val="222222"/>
              </w:rPr>
              <w:t>0.00%</w:t>
            </w:r>
          </w:p>
        </w:tc>
      </w:tr>
      <w:tr w:rsidR="00861EBA" w:rsidRPr="00DA3D44" w14:paraId="600532F8" w14:textId="77777777" w:rsidTr="00E04155">
        <w:tc>
          <w:tcPr>
            <w:tcW w:w="2309" w:type="dxa"/>
            <w:vAlign w:val="center"/>
          </w:tcPr>
          <w:p w14:paraId="27A00F80" w14:textId="77777777" w:rsidR="00861EBA" w:rsidRPr="00DA3D44" w:rsidRDefault="00861EBA" w:rsidP="0074320A">
            <w:pPr>
              <w:spacing w:line="360" w:lineRule="auto"/>
              <w:rPr>
                <w:color w:val="222222"/>
              </w:rPr>
            </w:pPr>
            <w:r w:rsidRPr="00DA3D44">
              <w:rPr>
                <w:color w:val="222222"/>
              </w:rPr>
              <w:t>Nigeria</w:t>
            </w:r>
          </w:p>
        </w:tc>
        <w:tc>
          <w:tcPr>
            <w:tcW w:w="2311" w:type="dxa"/>
            <w:vAlign w:val="center"/>
          </w:tcPr>
          <w:p w14:paraId="427F77E4" w14:textId="77777777" w:rsidR="00861EBA" w:rsidRPr="00DA3D44" w:rsidRDefault="00861EBA" w:rsidP="0074320A">
            <w:pPr>
              <w:spacing w:line="360" w:lineRule="auto"/>
              <w:rPr>
                <w:color w:val="222222"/>
              </w:rPr>
            </w:pPr>
            <w:r w:rsidRPr="00DA3D44">
              <w:rPr>
                <w:color w:val="222222"/>
              </w:rPr>
              <w:t>2,030</w:t>
            </w:r>
          </w:p>
        </w:tc>
        <w:tc>
          <w:tcPr>
            <w:tcW w:w="2311" w:type="dxa"/>
            <w:vAlign w:val="center"/>
          </w:tcPr>
          <w:p w14:paraId="2F27503A" w14:textId="77777777" w:rsidR="00861EBA" w:rsidRPr="00DA3D44" w:rsidRDefault="00861EBA" w:rsidP="0074320A">
            <w:pPr>
              <w:spacing w:line="360" w:lineRule="auto"/>
              <w:rPr>
                <w:color w:val="222222"/>
              </w:rPr>
            </w:pPr>
            <w:r w:rsidRPr="00DA3D44">
              <w:rPr>
                <w:color w:val="222222"/>
              </w:rPr>
              <w:t>2,000</w:t>
            </w:r>
          </w:p>
        </w:tc>
        <w:tc>
          <w:tcPr>
            <w:tcW w:w="2311" w:type="dxa"/>
            <w:vAlign w:val="center"/>
          </w:tcPr>
          <w:p w14:paraId="123D9837" w14:textId="77777777" w:rsidR="00861EBA" w:rsidRPr="00DA3D44" w:rsidRDefault="00861EBA" w:rsidP="0074320A">
            <w:pPr>
              <w:spacing w:line="360" w:lineRule="auto"/>
              <w:rPr>
                <w:color w:val="222222"/>
              </w:rPr>
            </w:pPr>
            <w:r w:rsidRPr="00DA3D44">
              <w:rPr>
                <w:color w:val="222222"/>
              </w:rPr>
              <w:t>-1.50%</w:t>
            </w:r>
          </w:p>
        </w:tc>
      </w:tr>
      <w:tr w:rsidR="00861EBA" w:rsidRPr="00DA3D44" w14:paraId="59D9534F" w14:textId="77777777" w:rsidTr="00E04155">
        <w:tc>
          <w:tcPr>
            <w:tcW w:w="2309" w:type="dxa"/>
            <w:vAlign w:val="center"/>
          </w:tcPr>
          <w:p w14:paraId="42814EC0" w14:textId="77777777" w:rsidR="00861EBA" w:rsidRPr="00DA3D44" w:rsidRDefault="00861EBA" w:rsidP="0074320A">
            <w:pPr>
              <w:spacing w:line="360" w:lineRule="auto"/>
              <w:rPr>
                <w:color w:val="222222"/>
              </w:rPr>
            </w:pPr>
            <w:r w:rsidRPr="00DA3D44">
              <w:rPr>
                <w:color w:val="222222"/>
              </w:rPr>
              <w:t>Mali</w:t>
            </w:r>
          </w:p>
        </w:tc>
        <w:tc>
          <w:tcPr>
            <w:tcW w:w="2311" w:type="dxa"/>
            <w:vAlign w:val="center"/>
          </w:tcPr>
          <w:p w14:paraId="75B702D9" w14:textId="77777777" w:rsidR="00861EBA" w:rsidRPr="00DA3D44" w:rsidRDefault="00861EBA" w:rsidP="0074320A">
            <w:pPr>
              <w:spacing w:line="360" w:lineRule="auto"/>
              <w:rPr>
                <w:color w:val="222222"/>
              </w:rPr>
            </w:pPr>
            <w:r w:rsidRPr="00DA3D44">
              <w:rPr>
                <w:color w:val="222222"/>
              </w:rPr>
              <w:t>1,833</w:t>
            </w:r>
          </w:p>
        </w:tc>
        <w:tc>
          <w:tcPr>
            <w:tcW w:w="2311" w:type="dxa"/>
            <w:vAlign w:val="center"/>
          </w:tcPr>
          <w:p w14:paraId="08F53CA4" w14:textId="77777777" w:rsidR="00861EBA" w:rsidRPr="00DA3D44" w:rsidRDefault="00861EBA" w:rsidP="0074320A">
            <w:pPr>
              <w:spacing w:line="360" w:lineRule="auto"/>
              <w:rPr>
                <w:color w:val="222222"/>
              </w:rPr>
            </w:pPr>
            <w:r w:rsidRPr="00DA3D44">
              <w:rPr>
                <w:color w:val="222222"/>
              </w:rPr>
              <w:t>1,800</w:t>
            </w:r>
          </w:p>
        </w:tc>
        <w:tc>
          <w:tcPr>
            <w:tcW w:w="2311" w:type="dxa"/>
            <w:vAlign w:val="center"/>
          </w:tcPr>
          <w:p w14:paraId="43241228" w14:textId="77777777" w:rsidR="00861EBA" w:rsidRPr="00DA3D44" w:rsidRDefault="00861EBA" w:rsidP="0074320A">
            <w:pPr>
              <w:spacing w:line="360" w:lineRule="auto"/>
              <w:rPr>
                <w:color w:val="222222"/>
              </w:rPr>
            </w:pPr>
            <w:r w:rsidRPr="00DA3D44">
              <w:rPr>
                <w:color w:val="222222"/>
              </w:rPr>
              <w:t>-1.80%</w:t>
            </w:r>
          </w:p>
        </w:tc>
      </w:tr>
      <w:tr w:rsidR="00861EBA" w:rsidRPr="00DA3D44" w14:paraId="54DA7EDF" w14:textId="77777777" w:rsidTr="00E04155">
        <w:tc>
          <w:tcPr>
            <w:tcW w:w="2309" w:type="dxa"/>
            <w:vAlign w:val="center"/>
          </w:tcPr>
          <w:p w14:paraId="015DE22F" w14:textId="77777777" w:rsidR="00861EBA" w:rsidRPr="00DA3D44" w:rsidRDefault="00861EBA" w:rsidP="0074320A">
            <w:pPr>
              <w:spacing w:line="360" w:lineRule="auto"/>
              <w:rPr>
                <w:color w:val="222222"/>
              </w:rPr>
            </w:pPr>
            <w:r w:rsidRPr="00DA3D44">
              <w:rPr>
                <w:color w:val="222222"/>
              </w:rPr>
              <w:t>Sudan</w:t>
            </w:r>
          </w:p>
        </w:tc>
        <w:tc>
          <w:tcPr>
            <w:tcW w:w="2311" w:type="dxa"/>
            <w:vAlign w:val="center"/>
          </w:tcPr>
          <w:p w14:paraId="09BAC872" w14:textId="77777777" w:rsidR="00861EBA" w:rsidRPr="00DA3D44" w:rsidRDefault="00861EBA" w:rsidP="0074320A">
            <w:pPr>
              <w:spacing w:line="360" w:lineRule="auto"/>
              <w:rPr>
                <w:color w:val="222222"/>
              </w:rPr>
            </w:pPr>
            <w:r w:rsidRPr="00DA3D44">
              <w:rPr>
                <w:color w:val="222222"/>
              </w:rPr>
              <w:t>1,675</w:t>
            </w:r>
          </w:p>
        </w:tc>
        <w:tc>
          <w:tcPr>
            <w:tcW w:w="2311" w:type="dxa"/>
            <w:vAlign w:val="center"/>
          </w:tcPr>
          <w:p w14:paraId="5DA866B3" w14:textId="77777777" w:rsidR="00861EBA" w:rsidRPr="00DA3D44" w:rsidRDefault="00861EBA" w:rsidP="0074320A">
            <w:pPr>
              <w:spacing w:line="360" w:lineRule="auto"/>
              <w:rPr>
                <w:color w:val="222222"/>
              </w:rPr>
            </w:pPr>
            <w:r w:rsidRPr="00DA3D44">
              <w:rPr>
                <w:color w:val="222222"/>
              </w:rPr>
              <w:t>1,600</w:t>
            </w:r>
          </w:p>
        </w:tc>
        <w:tc>
          <w:tcPr>
            <w:tcW w:w="2311" w:type="dxa"/>
            <w:vAlign w:val="center"/>
          </w:tcPr>
          <w:p w14:paraId="2078C998" w14:textId="77777777" w:rsidR="00861EBA" w:rsidRPr="00DA3D44" w:rsidRDefault="00861EBA" w:rsidP="0074320A">
            <w:pPr>
              <w:spacing w:line="360" w:lineRule="auto"/>
              <w:rPr>
                <w:color w:val="222222"/>
              </w:rPr>
            </w:pPr>
            <w:r w:rsidRPr="00DA3D44">
              <w:rPr>
                <w:color w:val="222222"/>
              </w:rPr>
              <w:t>-4.50%</w:t>
            </w:r>
          </w:p>
        </w:tc>
      </w:tr>
      <w:tr w:rsidR="00861EBA" w:rsidRPr="00DA3D44" w14:paraId="420204D3" w14:textId="77777777" w:rsidTr="00E04155">
        <w:tc>
          <w:tcPr>
            <w:tcW w:w="2309" w:type="dxa"/>
            <w:vAlign w:val="center"/>
          </w:tcPr>
          <w:p w14:paraId="5D4202C2" w14:textId="77777777" w:rsidR="00861EBA" w:rsidRPr="00DA3D44" w:rsidRDefault="00861EBA" w:rsidP="0074320A">
            <w:pPr>
              <w:spacing w:line="360" w:lineRule="auto"/>
              <w:rPr>
                <w:color w:val="222222"/>
              </w:rPr>
            </w:pPr>
            <w:r w:rsidRPr="00DA3D44">
              <w:rPr>
                <w:color w:val="222222"/>
              </w:rPr>
              <w:t>Ethiopia</w:t>
            </w:r>
          </w:p>
        </w:tc>
        <w:tc>
          <w:tcPr>
            <w:tcW w:w="2311" w:type="dxa"/>
            <w:vAlign w:val="center"/>
          </w:tcPr>
          <w:p w14:paraId="4870ACD6" w14:textId="77777777" w:rsidR="00861EBA" w:rsidRPr="00DA3D44" w:rsidRDefault="00861EBA" w:rsidP="0074320A">
            <w:pPr>
              <w:spacing w:line="360" w:lineRule="auto"/>
              <w:rPr>
                <w:color w:val="222222"/>
              </w:rPr>
            </w:pPr>
            <w:r w:rsidRPr="00DA3D44">
              <w:rPr>
                <w:color w:val="222222"/>
              </w:rPr>
              <w:t>942</w:t>
            </w:r>
          </w:p>
        </w:tc>
        <w:tc>
          <w:tcPr>
            <w:tcW w:w="2311" w:type="dxa"/>
            <w:vAlign w:val="center"/>
          </w:tcPr>
          <w:p w14:paraId="25A357D9" w14:textId="77777777" w:rsidR="00861EBA" w:rsidRPr="00DA3D44" w:rsidRDefault="00861EBA" w:rsidP="0074320A">
            <w:pPr>
              <w:spacing w:line="360" w:lineRule="auto"/>
              <w:rPr>
                <w:color w:val="222222"/>
              </w:rPr>
            </w:pPr>
            <w:r w:rsidRPr="00DA3D44">
              <w:rPr>
                <w:color w:val="222222"/>
              </w:rPr>
              <w:t>1,100</w:t>
            </w:r>
          </w:p>
        </w:tc>
        <w:tc>
          <w:tcPr>
            <w:tcW w:w="2311" w:type="dxa"/>
            <w:vAlign w:val="center"/>
          </w:tcPr>
          <w:p w14:paraId="066DEBF7" w14:textId="77777777" w:rsidR="00861EBA" w:rsidRPr="00DA3D44" w:rsidRDefault="00861EBA" w:rsidP="0074320A">
            <w:pPr>
              <w:spacing w:line="360" w:lineRule="auto"/>
              <w:rPr>
                <w:color w:val="222222"/>
              </w:rPr>
            </w:pPr>
            <w:r w:rsidRPr="00DA3D44">
              <w:rPr>
                <w:color w:val="222222"/>
              </w:rPr>
              <w:t>16.80%</w:t>
            </w:r>
          </w:p>
        </w:tc>
      </w:tr>
      <w:tr w:rsidR="00861EBA" w:rsidRPr="00DA3D44" w14:paraId="71F2CDC6" w14:textId="77777777" w:rsidTr="00E04155">
        <w:tc>
          <w:tcPr>
            <w:tcW w:w="2309" w:type="dxa"/>
            <w:vAlign w:val="center"/>
          </w:tcPr>
          <w:p w14:paraId="627FDEED" w14:textId="77777777" w:rsidR="00861EBA" w:rsidRPr="00DA3D44" w:rsidRDefault="00861EBA" w:rsidP="0074320A">
            <w:pPr>
              <w:spacing w:line="360" w:lineRule="auto"/>
              <w:rPr>
                <w:color w:val="222222"/>
              </w:rPr>
            </w:pPr>
            <w:r w:rsidRPr="00DA3D44">
              <w:rPr>
                <w:color w:val="222222"/>
              </w:rPr>
              <w:t>Burkina Faso</w:t>
            </w:r>
          </w:p>
        </w:tc>
        <w:tc>
          <w:tcPr>
            <w:tcW w:w="2311" w:type="dxa"/>
            <w:vAlign w:val="center"/>
          </w:tcPr>
          <w:p w14:paraId="5E9826DA" w14:textId="77777777" w:rsidR="00861EBA" w:rsidRPr="00DA3D44" w:rsidRDefault="00861EBA" w:rsidP="0074320A">
            <w:pPr>
              <w:spacing w:line="360" w:lineRule="auto"/>
              <w:rPr>
                <w:color w:val="222222"/>
              </w:rPr>
            </w:pPr>
            <w:r w:rsidRPr="00DA3D44">
              <w:rPr>
                <w:color w:val="222222"/>
              </w:rPr>
              <w:t>908</w:t>
            </w:r>
          </w:p>
        </w:tc>
        <w:tc>
          <w:tcPr>
            <w:tcW w:w="2311" w:type="dxa"/>
            <w:vAlign w:val="center"/>
          </w:tcPr>
          <w:p w14:paraId="0E176399" w14:textId="77777777" w:rsidR="00861EBA" w:rsidRPr="00DA3D44" w:rsidRDefault="00861EBA" w:rsidP="0074320A">
            <w:pPr>
              <w:spacing w:line="360" w:lineRule="auto"/>
              <w:rPr>
                <w:color w:val="222222"/>
              </w:rPr>
            </w:pPr>
            <w:r w:rsidRPr="00DA3D44">
              <w:rPr>
                <w:color w:val="222222"/>
              </w:rPr>
              <w:t>1,000</w:t>
            </w:r>
          </w:p>
        </w:tc>
        <w:tc>
          <w:tcPr>
            <w:tcW w:w="2311" w:type="dxa"/>
            <w:vAlign w:val="center"/>
          </w:tcPr>
          <w:p w14:paraId="3254955D" w14:textId="77777777" w:rsidR="00861EBA" w:rsidRPr="00DA3D44" w:rsidRDefault="00861EBA" w:rsidP="0074320A">
            <w:pPr>
              <w:spacing w:line="360" w:lineRule="auto"/>
              <w:rPr>
                <w:color w:val="222222"/>
              </w:rPr>
            </w:pPr>
            <w:r w:rsidRPr="00DA3D44">
              <w:rPr>
                <w:color w:val="222222"/>
              </w:rPr>
              <w:t>10.10%</w:t>
            </w:r>
          </w:p>
        </w:tc>
      </w:tr>
      <w:tr w:rsidR="00861EBA" w:rsidRPr="00DA3D44" w14:paraId="79CE5C59" w14:textId="77777777" w:rsidTr="00E04155">
        <w:tc>
          <w:tcPr>
            <w:tcW w:w="2309" w:type="dxa"/>
            <w:vAlign w:val="center"/>
          </w:tcPr>
          <w:p w14:paraId="0ACD1F97" w14:textId="77777777" w:rsidR="00861EBA" w:rsidRPr="00DA3D44" w:rsidRDefault="00861EBA" w:rsidP="0074320A">
            <w:pPr>
              <w:spacing w:line="360" w:lineRule="auto"/>
              <w:rPr>
                <w:color w:val="222222"/>
              </w:rPr>
            </w:pPr>
            <w:r w:rsidRPr="00DA3D44">
              <w:rPr>
                <w:color w:val="222222"/>
              </w:rPr>
              <w:t>Senegal</w:t>
            </w:r>
          </w:p>
        </w:tc>
        <w:tc>
          <w:tcPr>
            <w:tcW w:w="2311" w:type="dxa"/>
            <w:vAlign w:val="center"/>
          </w:tcPr>
          <w:p w14:paraId="7A41A4AA" w14:textId="77777777" w:rsidR="00861EBA" w:rsidRPr="00DA3D44" w:rsidRDefault="00861EBA" w:rsidP="0074320A">
            <w:pPr>
              <w:spacing w:line="360" w:lineRule="auto"/>
              <w:rPr>
                <w:color w:val="222222"/>
              </w:rPr>
            </w:pPr>
            <w:r w:rsidRPr="00DA3D44">
              <w:rPr>
                <w:color w:val="222222"/>
              </w:rPr>
              <w:t>1,097</w:t>
            </w:r>
          </w:p>
        </w:tc>
        <w:tc>
          <w:tcPr>
            <w:tcW w:w="2311" w:type="dxa"/>
            <w:vAlign w:val="center"/>
          </w:tcPr>
          <w:p w14:paraId="43571288" w14:textId="77777777" w:rsidR="00861EBA" w:rsidRPr="00DA3D44" w:rsidRDefault="00861EBA" w:rsidP="0074320A">
            <w:pPr>
              <w:spacing w:line="360" w:lineRule="auto"/>
              <w:rPr>
                <w:color w:val="222222"/>
              </w:rPr>
            </w:pPr>
            <w:r w:rsidRPr="00DA3D44">
              <w:rPr>
                <w:color w:val="222222"/>
              </w:rPr>
              <w:t>1,000</w:t>
            </w:r>
          </w:p>
        </w:tc>
        <w:tc>
          <w:tcPr>
            <w:tcW w:w="2311" w:type="dxa"/>
            <w:vAlign w:val="center"/>
          </w:tcPr>
          <w:p w14:paraId="7E6EC026" w14:textId="77777777" w:rsidR="00861EBA" w:rsidRPr="00DA3D44" w:rsidRDefault="00861EBA" w:rsidP="0074320A">
            <w:pPr>
              <w:spacing w:line="360" w:lineRule="auto"/>
              <w:rPr>
                <w:color w:val="222222"/>
              </w:rPr>
            </w:pPr>
            <w:r w:rsidRPr="00DA3D44">
              <w:rPr>
                <w:color w:val="222222"/>
              </w:rPr>
              <w:t>-8.80%</w:t>
            </w:r>
          </w:p>
        </w:tc>
      </w:tr>
      <w:tr w:rsidR="00861EBA" w:rsidRPr="00DA3D44" w14:paraId="7FF6B998" w14:textId="77777777" w:rsidTr="00E04155">
        <w:tc>
          <w:tcPr>
            <w:tcW w:w="2309" w:type="dxa"/>
            <w:vAlign w:val="center"/>
          </w:tcPr>
          <w:p w14:paraId="7CB9CDEC" w14:textId="77777777" w:rsidR="00861EBA" w:rsidRPr="00DA3D44" w:rsidRDefault="00861EBA" w:rsidP="0074320A">
            <w:pPr>
              <w:spacing w:line="360" w:lineRule="auto"/>
              <w:rPr>
                <w:color w:val="222222"/>
              </w:rPr>
            </w:pPr>
            <w:r w:rsidRPr="00DA3D44">
              <w:rPr>
                <w:color w:val="222222"/>
              </w:rPr>
              <w:t>Chad</w:t>
            </w:r>
          </w:p>
        </w:tc>
        <w:tc>
          <w:tcPr>
            <w:tcW w:w="2311" w:type="dxa"/>
            <w:vAlign w:val="center"/>
          </w:tcPr>
          <w:p w14:paraId="7F1DBFDB" w14:textId="77777777" w:rsidR="00861EBA" w:rsidRPr="00DA3D44" w:rsidRDefault="00861EBA" w:rsidP="0074320A">
            <w:pPr>
              <w:spacing w:line="360" w:lineRule="auto"/>
              <w:rPr>
                <w:color w:val="222222"/>
              </w:rPr>
            </w:pPr>
            <w:r w:rsidRPr="00DA3D44">
              <w:rPr>
                <w:color w:val="222222"/>
              </w:rPr>
              <w:t>694</w:t>
            </w:r>
          </w:p>
        </w:tc>
        <w:tc>
          <w:tcPr>
            <w:tcW w:w="2311" w:type="dxa"/>
            <w:vAlign w:val="center"/>
          </w:tcPr>
          <w:p w14:paraId="33562EC5" w14:textId="77777777" w:rsidR="00861EBA" w:rsidRPr="00DA3D44" w:rsidRDefault="00861EBA" w:rsidP="0074320A">
            <w:pPr>
              <w:spacing w:line="360" w:lineRule="auto"/>
              <w:rPr>
                <w:color w:val="222222"/>
              </w:rPr>
            </w:pPr>
            <w:r w:rsidRPr="00DA3D44">
              <w:rPr>
                <w:color w:val="222222"/>
              </w:rPr>
              <w:t>700</w:t>
            </w:r>
          </w:p>
        </w:tc>
        <w:tc>
          <w:tcPr>
            <w:tcW w:w="2311" w:type="dxa"/>
            <w:vAlign w:val="center"/>
          </w:tcPr>
          <w:p w14:paraId="0C4CF8F0" w14:textId="77777777" w:rsidR="00861EBA" w:rsidRPr="00DA3D44" w:rsidRDefault="00861EBA" w:rsidP="0074320A">
            <w:pPr>
              <w:spacing w:line="360" w:lineRule="auto"/>
              <w:rPr>
                <w:color w:val="222222"/>
              </w:rPr>
            </w:pPr>
            <w:r w:rsidRPr="00DA3D44">
              <w:rPr>
                <w:color w:val="222222"/>
              </w:rPr>
              <w:t>0.90%</w:t>
            </w:r>
          </w:p>
        </w:tc>
      </w:tr>
      <w:tr w:rsidR="00861EBA" w:rsidRPr="00DA3D44" w14:paraId="5045B4FC" w14:textId="77777777" w:rsidTr="00E04155">
        <w:tc>
          <w:tcPr>
            <w:tcW w:w="2309" w:type="dxa"/>
            <w:vAlign w:val="center"/>
          </w:tcPr>
          <w:p w14:paraId="373AF514" w14:textId="77777777" w:rsidR="00861EBA" w:rsidRPr="00DA3D44" w:rsidRDefault="00861EBA" w:rsidP="0074320A">
            <w:pPr>
              <w:spacing w:line="360" w:lineRule="auto"/>
              <w:rPr>
                <w:color w:val="222222"/>
              </w:rPr>
            </w:pPr>
            <w:r w:rsidRPr="00DA3D44">
              <w:rPr>
                <w:color w:val="222222"/>
              </w:rPr>
              <w:t>Others</w:t>
            </w:r>
          </w:p>
        </w:tc>
        <w:tc>
          <w:tcPr>
            <w:tcW w:w="2311" w:type="dxa"/>
            <w:vAlign w:val="center"/>
          </w:tcPr>
          <w:p w14:paraId="6BD8D9A7" w14:textId="77777777" w:rsidR="00861EBA" w:rsidRPr="00DA3D44" w:rsidRDefault="00861EBA" w:rsidP="0074320A">
            <w:pPr>
              <w:spacing w:line="360" w:lineRule="auto"/>
              <w:rPr>
                <w:color w:val="222222"/>
              </w:rPr>
            </w:pPr>
            <w:r w:rsidRPr="00DA3D44">
              <w:rPr>
                <w:color w:val="222222"/>
              </w:rPr>
              <w:t>3,062</w:t>
            </w:r>
          </w:p>
        </w:tc>
        <w:tc>
          <w:tcPr>
            <w:tcW w:w="2311" w:type="dxa"/>
            <w:vAlign w:val="center"/>
          </w:tcPr>
          <w:p w14:paraId="7922D041" w14:textId="77777777" w:rsidR="00861EBA" w:rsidRPr="00DA3D44" w:rsidRDefault="00861EBA" w:rsidP="0074320A">
            <w:pPr>
              <w:spacing w:line="360" w:lineRule="auto"/>
              <w:rPr>
                <w:color w:val="222222"/>
              </w:rPr>
            </w:pPr>
            <w:r w:rsidRPr="00DA3D44">
              <w:rPr>
                <w:color w:val="222222"/>
              </w:rPr>
              <w:t>3,302</w:t>
            </w:r>
          </w:p>
        </w:tc>
        <w:tc>
          <w:tcPr>
            <w:tcW w:w="2311" w:type="dxa"/>
            <w:vAlign w:val="center"/>
          </w:tcPr>
          <w:p w14:paraId="479C3FBB" w14:textId="77777777" w:rsidR="00861EBA" w:rsidRPr="00DA3D44" w:rsidRDefault="00861EBA" w:rsidP="0074320A">
            <w:pPr>
              <w:spacing w:line="360" w:lineRule="auto"/>
              <w:rPr>
                <w:color w:val="222222"/>
              </w:rPr>
            </w:pPr>
            <w:r w:rsidRPr="00DA3D44">
              <w:rPr>
                <w:color w:val="222222"/>
              </w:rPr>
              <w:t>7.80%</w:t>
            </w:r>
          </w:p>
        </w:tc>
      </w:tr>
      <w:tr w:rsidR="00861EBA" w:rsidRPr="00DA3D44" w14:paraId="080E9787" w14:textId="77777777" w:rsidTr="00E04155">
        <w:tc>
          <w:tcPr>
            <w:tcW w:w="2309" w:type="dxa"/>
            <w:vAlign w:val="center"/>
          </w:tcPr>
          <w:p w14:paraId="1D3D0F66" w14:textId="77777777" w:rsidR="00861EBA" w:rsidRPr="00DA3D44" w:rsidRDefault="00861EBA" w:rsidP="0074320A">
            <w:pPr>
              <w:spacing w:line="360" w:lineRule="auto"/>
              <w:rPr>
                <w:b/>
                <w:bCs/>
                <w:color w:val="222222"/>
              </w:rPr>
            </w:pPr>
            <w:r w:rsidRPr="00DA3D44">
              <w:rPr>
                <w:b/>
                <w:bCs/>
                <w:color w:val="222222"/>
              </w:rPr>
              <w:t>Total</w:t>
            </w:r>
          </w:p>
        </w:tc>
        <w:tc>
          <w:tcPr>
            <w:tcW w:w="2311" w:type="dxa"/>
            <w:vAlign w:val="center"/>
          </w:tcPr>
          <w:p w14:paraId="4A848C74" w14:textId="77777777" w:rsidR="00861EBA" w:rsidRPr="00DA3D44" w:rsidRDefault="00861EBA" w:rsidP="0074320A">
            <w:pPr>
              <w:spacing w:line="360" w:lineRule="auto"/>
              <w:rPr>
                <w:b/>
                <w:bCs/>
                <w:color w:val="222222"/>
              </w:rPr>
            </w:pPr>
            <w:r w:rsidRPr="00DA3D44">
              <w:rPr>
                <w:b/>
                <w:bCs/>
                <w:color w:val="222222"/>
              </w:rPr>
              <w:t>32,104</w:t>
            </w:r>
          </w:p>
        </w:tc>
        <w:tc>
          <w:tcPr>
            <w:tcW w:w="2311" w:type="dxa"/>
            <w:vAlign w:val="center"/>
          </w:tcPr>
          <w:p w14:paraId="5A0D1428" w14:textId="77777777" w:rsidR="00861EBA" w:rsidRPr="00DA3D44" w:rsidRDefault="00861EBA" w:rsidP="0074320A">
            <w:pPr>
              <w:spacing w:line="360" w:lineRule="auto"/>
              <w:rPr>
                <w:b/>
                <w:bCs/>
                <w:color w:val="222222"/>
              </w:rPr>
            </w:pPr>
            <w:r w:rsidRPr="00DA3D44">
              <w:rPr>
                <w:b/>
                <w:bCs/>
                <w:color w:val="222222"/>
              </w:rPr>
              <w:t>30,802</w:t>
            </w:r>
          </w:p>
        </w:tc>
        <w:tc>
          <w:tcPr>
            <w:tcW w:w="2311" w:type="dxa"/>
            <w:vAlign w:val="center"/>
          </w:tcPr>
          <w:p w14:paraId="42CB3074" w14:textId="77777777" w:rsidR="00861EBA" w:rsidRPr="00DA3D44" w:rsidRDefault="00861EBA" w:rsidP="0074320A">
            <w:pPr>
              <w:spacing w:line="360" w:lineRule="auto"/>
              <w:rPr>
                <w:b/>
                <w:bCs/>
                <w:color w:val="222222"/>
              </w:rPr>
            </w:pPr>
            <w:r w:rsidRPr="00DA3D44">
              <w:rPr>
                <w:b/>
                <w:bCs/>
                <w:color w:val="222222"/>
              </w:rPr>
              <w:t>-4.10%</w:t>
            </w:r>
          </w:p>
        </w:tc>
      </w:tr>
    </w:tbl>
    <w:p w14:paraId="32D7D12A" w14:textId="77777777" w:rsidR="001B4281" w:rsidRPr="00DA3D44" w:rsidRDefault="001B4281" w:rsidP="0074320A">
      <w:pPr>
        <w:spacing w:line="360" w:lineRule="auto"/>
        <w:rPr>
          <w:rFonts w:eastAsia="Times New Roman"/>
          <w:color w:val="auto"/>
          <w:lang w:eastAsia="en-IN"/>
        </w:rPr>
      </w:pPr>
      <w:r>
        <w:t xml:space="preserve">Finger millet is commonly </w:t>
      </w:r>
      <w:r w:rsidRPr="00DA3D44">
        <w:t>referred as "</w:t>
      </w:r>
      <w:proofErr w:type="spellStart"/>
      <w:r w:rsidRPr="00DA3D44">
        <w:t>ragi</w:t>
      </w:r>
      <w:proofErr w:type="spellEnd"/>
      <w:r w:rsidRPr="00DA3D44">
        <w:t xml:space="preserve">" </w:t>
      </w:r>
      <w:r>
        <w:t>or "</w:t>
      </w:r>
      <w:proofErr w:type="spellStart"/>
      <w:r>
        <w:t>mandua</w:t>
      </w:r>
      <w:proofErr w:type="spellEnd"/>
      <w:r>
        <w:t>" in India</w:t>
      </w:r>
      <w:r w:rsidRPr="00DA3D44">
        <w:t>.</w:t>
      </w:r>
      <w:r>
        <w:t xml:space="preserve"> It </w:t>
      </w:r>
      <w:r w:rsidRPr="00DA3D44">
        <w:t>is primarily cul</w:t>
      </w:r>
      <w:r>
        <w:t xml:space="preserve">tivated in the southern states i.e. in </w:t>
      </w:r>
      <w:r w:rsidRPr="00DA3D44">
        <w:t>Karnataka, Andhra Pradesh, and Tamil Nadu, as well as in the hilly northern regions, particularly in Uttarakhand and Himachal Pradesh</w:t>
      </w:r>
      <w:r>
        <w:t xml:space="preserve"> </w:t>
      </w:r>
      <w:r w:rsidRPr="00DA3D44">
        <w:t xml:space="preserve">(Chandra </w:t>
      </w:r>
      <w:r w:rsidRPr="00DA3D44">
        <w:rPr>
          <w:i/>
        </w:rPr>
        <w:t>et</w:t>
      </w:r>
      <w:r w:rsidRPr="00DA3D44">
        <w:rPr>
          <w:i/>
          <w:lang w:val="en-US"/>
        </w:rPr>
        <w:t xml:space="preserve"> al,</w:t>
      </w:r>
      <w:r w:rsidRPr="00DA3D44">
        <w:rPr>
          <w:lang w:val="en-US"/>
        </w:rPr>
        <w:t xml:space="preserve"> 2020)</w:t>
      </w:r>
      <w:r w:rsidRPr="00DA3D44">
        <w:t xml:space="preserve">. </w:t>
      </w:r>
      <w:r w:rsidRPr="00DA3D44">
        <w:rPr>
          <w:rFonts w:eastAsia="Times New Roman"/>
          <w:color w:val="auto"/>
          <w:lang w:eastAsia="en-IN"/>
        </w:rPr>
        <w:t xml:space="preserve">Finger millet cultivation varies across Indian states, with </w:t>
      </w:r>
      <w:r w:rsidRPr="00DA3D44">
        <w:rPr>
          <w:rFonts w:eastAsia="Times New Roman"/>
          <w:bCs/>
          <w:color w:val="auto"/>
          <w:lang w:eastAsia="en-IN"/>
        </w:rPr>
        <w:t>Karnataka</w:t>
      </w:r>
      <w:r w:rsidRPr="00DA3D44">
        <w:rPr>
          <w:rFonts w:eastAsia="Times New Roman"/>
          <w:color w:val="auto"/>
          <w:lang w:eastAsia="en-IN"/>
        </w:rPr>
        <w:t xml:space="preserve"> leading both in area (</w:t>
      </w:r>
      <w:r w:rsidRPr="00DA3D44">
        <w:rPr>
          <w:rFonts w:eastAsia="Times New Roman"/>
          <w:bCs/>
          <w:color w:val="auto"/>
          <w:lang w:eastAsia="en-IN"/>
        </w:rPr>
        <w:t>785,000 ha</w:t>
      </w:r>
      <w:r w:rsidRPr="00DA3D44">
        <w:rPr>
          <w:rFonts w:eastAsia="Times New Roman"/>
          <w:color w:val="auto"/>
          <w:lang w:eastAsia="en-IN"/>
        </w:rPr>
        <w:t>) and production (</w:t>
      </w:r>
      <w:r w:rsidRPr="00DA3D44">
        <w:rPr>
          <w:rFonts w:eastAsia="Times New Roman"/>
          <w:bCs/>
          <w:color w:val="auto"/>
          <w:lang w:eastAsia="en-IN"/>
        </w:rPr>
        <w:t>1.37 million MT</w:t>
      </w:r>
      <w:r w:rsidRPr="00DA3D44">
        <w:rPr>
          <w:rFonts w:eastAsia="Times New Roman"/>
          <w:color w:val="auto"/>
          <w:lang w:eastAsia="en-IN"/>
        </w:rPr>
        <w:t xml:space="preserve">), with a productivity of </w:t>
      </w:r>
      <w:r w:rsidRPr="00DA3D44">
        <w:rPr>
          <w:rFonts w:eastAsia="Times New Roman"/>
          <w:bCs/>
          <w:color w:val="auto"/>
          <w:lang w:eastAsia="en-IN"/>
        </w:rPr>
        <w:t>1,745 kg/ha</w:t>
      </w:r>
      <w:r w:rsidRPr="00DA3D44">
        <w:rPr>
          <w:rFonts w:eastAsia="Times New Roman"/>
          <w:color w:val="auto"/>
          <w:lang w:eastAsia="en-IN"/>
        </w:rPr>
        <w:t xml:space="preserve">. </w:t>
      </w:r>
      <w:r w:rsidRPr="00DA3D44">
        <w:rPr>
          <w:rFonts w:eastAsia="Times New Roman"/>
          <w:bCs/>
          <w:color w:val="auto"/>
          <w:lang w:eastAsia="en-IN"/>
        </w:rPr>
        <w:t>Tamil Nadu</w:t>
      </w:r>
      <w:r w:rsidRPr="00DA3D44">
        <w:rPr>
          <w:rFonts w:eastAsia="Times New Roman"/>
          <w:color w:val="auto"/>
          <w:lang w:eastAsia="en-IN"/>
        </w:rPr>
        <w:t xml:space="preserve"> records the </w:t>
      </w:r>
      <w:r w:rsidRPr="00DA3D44">
        <w:rPr>
          <w:rFonts w:eastAsia="Times New Roman"/>
          <w:bCs/>
          <w:color w:val="auto"/>
          <w:lang w:eastAsia="en-IN"/>
        </w:rPr>
        <w:t>highest productivity</w:t>
      </w:r>
      <w:r w:rsidRPr="00DA3D44">
        <w:rPr>
          <w:rFonts w:eastAsia="Times New Roman"/>
          <w:color w:val="auto"/>
          <w:lang w:eastAsia="en-IN"/>
        </w:rPr>
        <w:t xml:space="preserve"> at </w:t>
      </w:r>
      <w:r w:rsidRPr="00DA3D44">
        <w:rPr>
          <w:rFonts w:eastAsia="Times New Roman"/>
          <w:bCs/>
          <w:color w:val="auto"/>
          <w:lang w:eastAsia="en-IN"/>
        </w:rPr>
        <w:t>3,481 kg/ha</w:t>
      </w:r>
      <w:r w:rsidRPr="00DA3D44">
        <w:rPr>
          <w:rFonts w:eastAsia="Times New Roman"/>
          <w:color w:val="auto"/>
          <w:lang w:eastAsia="en-IN"/>
        </w:rPr>
        <w:t xml:space="preserve"> despite a smaller area (</w:t>
      </w:r>
      <w:r w:rsidRPr="00DA3D44">
        <w:rPr>
          <w:rFonts w:eastAsia="Times New Roman"/>
          <w:bCs/>
          <w:color w:val="auto"/>
          <w:lang w:eastAsia="en-IN"/>
        </w:rPr>
        <w:t>83,000 ha</w:t>
      </w:r>
      <w:r w:rsidRPr="00DA3D44">
        <w:rPr>
          <w:rFonts w:eastAsia="Times New Roman"/>
          <w:color w:val="auto"/>
          <w:lang w:eastAsia="en-IN"/>
        </w:rPr>
        <w:t>).</w:t>
      </w:r>
      <w:r>
        <w:rPr>
          <w:rFonts w:eastAsia="Times New Roman"/>
          <w:color w:val="auto"/>
          <w:lang w:eastAsia="en-IN"/>
        </w:rPr>
        <w:t xml:space="preserve"> </w:t>
      </w:r>
      <w:r w:rsidRPr="00DA3D44">
        <w:rPr>
          <w:rFonts w:eastAsia="Times New Roman"/>
          <w:color w:val="auto"/>
          <w:lang w:eastAsia="en-IN"/>
        </w:rPr>
        <w:t xml:space="preserve">Other notable contributors include </w:t>
      </w:r>
      <w:r w:rsidRPr="00DA3D44">
        <w:rPr>
          <w:rFonts w:eastAsia="Times New Roman"/>
          <w:bCs/>
          <w:color w:val="auto"/>
          <w:lang w:eastAsia="en-IN"/>
        </w:rPr>
        <w:t>Maharashtra</w:t>
      </w:r>
      <w:r w:rsidRPr="00DA3D44">
        <w:rPr>
          <w:rFonts w:eastAsia="Times New Roman"/>
          <w:color w:val="auto"/>
          <w:lang w:eastAsia="en-IN"/>
        </w:rPr>
        <w:t xml:space="preserve"> (</w:t>
      </w:r>
      <w:r w:rsidRPr="00DA3D44">
        <w:rPr>
          <w:rFonts w:eastAsia="Times New Roman"/>
          <w:bCs/>
          <w:color w:val="auto"/>
          <w:lang w:eastAsia="en-IN"/>
        </w:rPr>
        <w:t>82,000 ha, 94,000 MT, 1,151 kg/ha</w:t>
      </w:r>
      <w:r w:rsidRPr="00DA3D44">
        <w:rPr>
          <w:rFonts w:eastAsia="Times New Roman"/>
          <w:color w:val="auto"/>
          <w:lang w:eastAsia="en-IN"/>
        </w:rPr>
        <w:t xml:space="preserve">) and </w:t>
      </w:r>
      <w:r w:rsidRPr="00DA3D44">
        <w:rPr>
          <w:rFonts w:eastAsia="Times New Roman"/>
          <w:bCs/>
          <w:color w:val="auto"/>
          <w:lang w:eastAsia="en-IN"/>
        </w:rPr>
        <w:t>Uttarakhand</w:t>
      </w:r>
      <w:r w:rsidRPr="00DA3D44">
        <w:rPr>
          <w:rFonts w:eastAsia="Times New Roman"/>
          <w:color w:val="auto"/>
          <w:lang w:eastAsia="en-IN"/>
        </w:rPr>
        <w:t xml:space="preserve"> (</w:t>
      </w:r>
      <w:r w:rsidRPr="00DA3D44">
        <w:rPr>
          <w:rFonts w:eastAsia="Times New Roman"/>
          <w:bCs/>
          <w:color w:val="auto"/>
          <w:lang w:eastAsia="en-IN"/>
        </w:rPr>
        <w:t>89,000 ha, 130,000 MT, 1,459 kg/ha</w:t>
      </w:r>
      <w:r w:rsidRPr="00DA3D44">
        <w:rPr>
          <w:rFonts w:eastAsia="Times New Roman"/>
          <w:color w:val="auto"/>
          <w:lang w:eastAsia="en-IN"/>
        </w:rPr>
        <w:t>).</w:t>
      </w:r>
      <w:r>
        <w:rPr>
          <w:rFonts w:eastAsia="Times New Roman"/>
          <w:color w:val="auto"/>
          <w:lang w:eastAsia="en-IN"/>
        </w:rPr>
        <w:t xml:space="preserve"> </w:t>
      </w:r>
      <w:r w:rsidRPr="00DA3D44">
        <w:rPr>
          <w:rFonts w:eastAsia="Times New Roman"/>
          <w:bCs/>
          <w:color w:val="auto"/>
          <w:lang w:eastAsia="en-IN"/>
        </w:rPr>
        <w:t>Andhra Pradesh</w:t>
      </w:r>
      <w:r w:rsidRPr="00DA3D44">
        <w:rPr>
          <w:rFonts w:eastAsia="Times New Roman"/>
          <w:color w:val="auto"/>
          <w:lang w:eastAsia="en-IN"/>
        </w:rPr>
        <w:t xml:space="preserve"> (</w:t>
      </w:r>
      <w:r w:rsidRPr="00DA3D44">
        <w:rPr>
          <w:rFonts w:eastAsia="Times New Roman"/>
          <w:bCs/>
          <w:color w:val="auto"/>
          <w:lang w:eastAsia="en-IN"/>
        </w:rPr>
        <w:t>33,000 ha, 40,000 MT</w:t>
      </w:r>
      <w:r w:rsidRPr="00DA3D44">
        <w:rPr>
          <w:rFonts w:eastAsia="Times New Roman"/>
          <w:color w:val="auto"/>
          <w:lang w:eastAsia="en-IN"/>
        </w:rPr>
        <w:t xml:space="preserve">) and </w:t>
      </w:r>
      <w:r w:rsidRPr="00DA3D44">
        <w:rPr>
          <w:rFonts w:eastAsia="Times New Roman"/>
          <w:bCs/>
          <w:color w:val="auto"/>
          <w:lang w:eastAsia="en-IN"/>
        </w:rPr>
        <w:t>Odisha</w:t>
      </w:r>
      <w:r w:rsidRPr="00DA3D44">
        <w:rPr>
          <w:rFonts w:eastAsia="Times New Roman"/>
          <w:color w:val="auto"/>
          <w:lang w:eastAsia="en-IN"/>
        </w:rPr>
        <w:t xml:space="preserve"> (</w:t>
      </w:r>
      <w:r w:rsidRPr="00DA3D44">
        <w:rPr>
          <w:rFonts w:eastAsia="Times New Roman"/>
          <w:bCs/>
          <w:color w:val="auto"/>
          <w:lang w:eastAsia="en-IN"/>
        </w:rPr>
        <w:t>41,000 ha, 33,000 MT</w:t>
      </w:r>
      <w:r w:rsidRPr="00DA3D44">
        <w:rPr>
          <w:rFonts w:eastAsia="Times New Roman"/>
          <w:color w:val="auto"/>
          <w:lang w:eastAsia="en-IN"/>
        </w:rPr>
        <w:t>) have moderate areas but lower productivity (</w:t>
      </w:r>
      <w:r w:rsidRPr="00DA3D44">
        <w:rPr>
          <w:rFonts w:eastAsia="Times New Roman"/>
          <w:bCs/>
          <w:color w:val="auto"/>
          <w:lang w:eastAsia="en-IN"/>
        </w:rPr>
        <w:t>1,197 kg/ha and 796 kg/ha</w:t>
      </w:r>
      <w:r w:rsidRPr="00DA3D44">
        <w:rPr>
          <w:rFonts w:eastAsia="Times New Roman"/>
          <w:color w:val="auto"/>
          <w:lang w:eastAsia="en-IN"/>
        </w:rPr>
        <w:t>, respectively).</w:t>
      </w:r>
      <w:r>
        <w:rPr>
          <w:rFonts w:eastAsia="Times New Roman"/>
          <w:color w:val="auto"/>
          <w:lang w:eastAsia="en-IN"/>
        </w:rPr>
        <w:t xml:space="preserve"> </w:t>
      </w:r>
      <w:r w:rsidRPr="00DA3D44">
        <w:rPr>
          <w:rFonts w:eastAsia="Times New Roman"/>
          <w:color w:val="auto"/>
          <w:lang w:eastAsia="en-IN"/>
        </w:rPr>
        <w:t xml:space="preserve">Some states, like </w:t>
      </w:r>
      <w:r w:rsidRPr="00DA3D44">
        <w:rPr>
          <w:rFonts w:eastAsia="Times New Roman"/>
          <w:bCs/>
          <w:color w:val="auto"/>
          <w:lang w:eastAsia="en-IN"/>
        </w:rPr>
        <w:t>Chhattisgarh (302 kg/ha)</w:t>
      </w:r>
      <w:r w:rsidRPr="00DA3D44">
        <w:rPr>
          <w:rFonts w:eastAsia="Times New Roman"/>
          <w:color w:val="auto"/>
          <w:lang w:eastAsia="en-IN"/>
        </w:rPr>
        <w:t xml:space="preserve"> and </w:t>
      </w:r>
      <w:r w:rsidRPr="00DA3D44">
        <w:rPr>
          <w:rFonts w:eastAsia="Times New Roman"/>
          <w:bCs/>
          <w:color w:val="auto"/>
          <w:lang w:eastAsia="en-IN"/>
        </w:rPr>
        <w:t>Bihar (934 kg/ha)</w:t>
      </w:r>
      <w:r w:rsidRPr="00DA3D44">
        <w:rPr>
          <w:rFonts w:eastAsia="Times New Roman"/>
          <w:color w:val="auto"/>
          <w:lang w:eastAsia="en-IN"/>
        </w:rPr>
        <w:t xml:space="preserve">, show low yields, while </w:t>
      </w:r>
      <w:r w:rsidRPr="00DA3D44">
        <w:rPr>
          <w:rFonts w:eastAsia="Times New Roman"/>
          <w:bCs/>
          <w:color w:val="auto"/>
          <w:lang w:eastAsia="en-IN"/>
        </w:rPr>
        <w:t>Jammu &amp; Kashmir, Madhya Pradesh,</w:t>
      </w:r>
      <w:r w:rsidRPr="00DA3D44">
        <w:rPr>
          <w:rFonts w:eastAsia="Times New Roman"/>
          <w:color w:val="auto"/>
          <w:lang w:eastAsia="en-IN"/>
        </w:rPr>
        <w:t xml:space="preserve"> and </w:t>
      </w:r>
      <w:r w:rsidRPr="00DA3D44">
        <w:rPr>
          <w:rFonts w:eastAsia="Times New Roman"/>
          <w:bCs/>
          <w:color w:val="auto"/>
          <w:lang w:eastAsia="en-IN"/>
        </w:rPr>
        <w:t>Kerala</w:t>
      </w:r>
      <w:r w:rsidRPr="00DA3D44">
        <w:rPr>
          <w:rFonts w:eastAsia="Times New Roman"/>
          <w:color w:val="auto"/>
          <w:lang w:eastAsia="en-IN"/>
        </w:rPr>
        <w:t xml:space="preserve"> report negligible or zero production.</w:t>
      </w:r>
      <w:r>
        <w:rPr>
          <w:rFonts w:eastAsia="Times New Roman"/>
          <w:color w:val="auto"/>
          <w:lang w:eastAsia="en-IN"/>
        </w:rPr>
        <w:t xml:space="preserve"> </w:t>
      </w:r>
      <w:r w:rsidRPr="00DA3D44">
        <w:rPr>
          <w:rFonts w:eastAsia="Times New Roman"/>
          <w:color w:val="auto"/>
          <w:lang w:eastAsia="en-IN"/>
        </w:rPr>
        <w:t xml:space="preserve">The data highlights </w:t>
      </w:r>
      <w:r w:rsidRPr="00DA3D44">
        <w:rPr>
          <w:rFonts w:eastAsia="Times New Roman"/>
          <w:bCs/>
          <w:color w:val="auto"/>
          <w:lang w:eastAsia="en-IN"/>
        </w:rPr>
        <w:t>Karnataka's dominance</w:t>
      </w:r>
      <w:r w:rsidRPr="00DA3D44">
        <w:rPr>
          <w:rFonts w:eastAsia="Times New Roman"/>
          <w:color w:val="auto"/>
          <w:lang w:eastAsia="en-IN"/>
        </w:rPr>
        <w:t xml:space="preserve"> and </w:t>
      </w:r>
      <w:r w:rsidRPr="00DA3D44">
        <w:rPr>
          <w:rFonts w:eastAsia="Times New Roman"/>
          <w:bCs/>
          <w:color w:val="auto"/>
          <w:lang w:eastAsia="en-IN"/>
        </w:rPr>
        <w:t>Tamil Nadu's efficiency</w:t>
      </w:r>
      <w:r w:rsidRPr="00DA3D44">
        <w:rPr>
          <w:rFonts w:eastAsia="Times New Roman"/>
          <w:color w:val="auto"/>
          <w:lang w:eastAsia="en-IN"/>
        </w:rPr>
        <w:t xml:space="preserve"> in finger millet farming, with potential for improving productivity in lower-yielding states.</w:t>
      </w:r>
    </w:p>
    <w:p w14:paraId="1C7FF7CD" w14:textId="77777777" w:rsidR="00B87BE4" w:rsidRPr="00DA3D44" w:rsidRDefault="00BE7625" w:rsidP="0074320A">
      <w:pPr>
        <w:spacing w:line="360" w:lineRule="auto"/>
      </w:pPr>
      <w:r w:rsidRPr="00BE7625">
        <w:rPr>
          <w:b/>
        </w:rPr>
        <w:lastRenderedPageBreak/>
        <w:t>Table 2</w:t>
      </w:r>
      <w:r>
        <w:t>:</w:t>
      </w:r>
      <w:r w:rsidR="001B4281" w:rsidRPr="00DA3D44">
        <w:t xml:space="preserve"> Area, Production and Productivity of Finger Millet in Diff</w:t>
      </w:r>
      <w:r w:rsidR="00B87BE4">
        <w:t>erent States of India (2020-21).</w:t>
      </w:r>
      <w:r w:rsidR="00B87BE4" w:rsidRPr="00B87BE4">
        <w:t xml:space="preserve"> </w:t>
      </w:r>
      <w:r w:rsidR="00B87BE4" w:rsidRPr="00DA3D44">
        <w:t>(</w:t>
      </w:r>
      <w:r w:rsidR="00B87BE4" w:rsidRPr="00DA3D44">
        <w:rPr>
          <w:i/>
        </w:rPr>
        <w:t xml:space="preserve">Source: JETIR Journal of Emerging Technologies and Innovative </w:t>
      </w:r>
      <w:proofErr w:type="gramStart"/>
      <w:r w:rsidR="00B87BE4" w:rsidRPr="00DA3D44">
        <w:rPr>
          <w:i/>
        </w:rPr>
        <w:t xml:space="preserve">Research </w:t>
      </w:r>
      <w:r w:rsidR="00B87BE4" w:rsidRPr="00DA3D44">
        <w:t>)</w:t>
      </w:r>
      <w:proofErr w:type="gramEnd"/>
      <w:r w:rsidR="00B87BE4" w:rsidRPr="00DA3D44">
        <w:t>.</w:t>
      </w:r>
    </w:p>
    <w:tbl>
      <w:tblPr>
        <w:tblStyle w:val="GridTable4-Accent61"/>
        <w:tblpPr w:leftFromText="180" w:rightFromText="180" w:vertAnchor="text" w:horzAnchor="margin" w:tblpY="79"/>
        <w:tblW w:w="8382" w:type="dxa"/>
        <w:tblLayout w:type="fixed"/>
        <w:tblLook w:val="0200" w:firstRow="0" w:lastRow="0" w:firstColumn="0" w:lastColumn="0" w:noHBand="1" w:noVBand="0"/>
      </w:tblPr>
      <w:tblGrid>
        <w:gridCol w:w="2383"/>
        <w:gridCol w:w="2257"/>
        <w:gridCol w:w="2257"/>
        <w:gridCol w:w="1485"/>
      </w:tblGrid>
      <w:tr w:rsidR="00F160E9" w:rsidRPr="00F160E9" w14:paraId="0B8C29C6"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74522825" w14:textId="77777777" w:rsidR="001B4281" w:rsidRPr="00F160E9" w:rsidRDefault="001B4281" w:rsidP="0074320A">
            <w:pPr>
              <w:spacing w:line="360" w:lineRule="auto"/>
              <w:rPr>
                <w:color w:val="000000" w:themeColor="text1"/>
              </w:rPr>
            </w:pPr>
            <w:r w:rsidRPr="00F160E9">
              <w:rPr>
                <w:color w:val="000000" w:themeColor="text1"/>
              </w:rPr>
              <w:t xml:space="preserve">State`s Name </w:t>
            </w:r>
          </w:p>
        </w:tc>
        <w:tc>
          <w:tcPr>
            <w:tcW w:w="2257" w:type="dxa"/>
            <w:shd w:val="clear" w:color="auto" w:fill="FBE4D5" w:themeFill="accent2" w:themeFillTint="33"/>
          </w:tcPr>
          <w:p w14:paraId="0EDB07E2"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Area(`000ha) </w:t>
            </w:r>
          </w:p>
        </w:tc>
        <w:tc>
          <w:tcPr>
            <w:cnfStyle w:val="000010000000" w:firstRow="0" w:lastRow="0" w:firstColumn="0" w:lastColumn="0" w:oddVBand="1" w:evenVBand="0" w:oddHBand="0" w:evenHBand="0" w:firstRowFirstColumn="0" w:firstRowLastColumn="0" w:lastRowFirstColumn="0" w:lastRowLastColumn="0"/>
            <w:tcW w:w="2257" w:type="dxa"/>
          </w:tcPr>
          <w:p w14:paraId="03CA2712" w14:textId="77777777" w:rsidR="001B4281" w:rsidRPr="00F160E9" w:rsidRDefault="001B4281" w:rsidP="0074320A">
            <w:pPr>
              <w:spacing w:line="360" w:lineRule="auto"/>
              <w:rPr>
                <w:color w:val="000000" w:themeColor="text1"/>
              </w:rPr>
            </w:pPr>
            <w:r w:rsidRPr="00F160E9">
              <w:rPr>
                <w:color w:val="000000" w:themeColor="text1"/>
              </w:rPr>
              <w:t xml:space="preserve">Production(`000MT) </w:t>
            </w:r>
          </w:p>
        </w:tc>
        <w:tc>
          <w:tcPr>
            <w:tcW w:w="1485" w:type="dxa"/>
          </w:tcPr>
          <w:p w14:paraId="7D499954"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Productivity(kg/ha) </w:t>
            </w:r>
          </w:p>
        </w:tc>
      </w:tr>
      <w:tr w:rsidR="00F160E9" w:rsidRPr="00F160E9" w14:paraId="19899A27"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1B2B46F5" w14:textId="77777777" w:rsidR="001B4281" w:rsidRPr="00F160E9" w:rsidRDefault="001B4281" w:rsidP="0074320A">
            <w:pPr>
              <w:spacing w:line="360" w:lineRule="auto"/>
              <w:rPr>
                <w:color w:val="000000" w:themeColor="text1"/>
              </w:rPr>
            </w:pPr>
            <w:r w:rsidRPr="00F160E9">
              <w:rPr>
                <w:color w:val="000000" w:themeColor="text1"/>
              </w:rPr>
              <w:t xml:space="preserve">Andhra Pradesh </w:t>
            </w:r>
          </w:p>
        </w:tc>
        <w:tc>
          <w:tcPr>
            <w:tcW w:w="2257" w:type="dxa"/>
            <w:shd w:val="clear" w:color="auto" w:fill="FBE4D5" w:themeFill="accent2" w:themeFillTint="33"/>
          </w:tcPr>
          <w:p w14:paraId="664DD70E"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33 </w:t>
            </w:r>
          </w:p>
        </w:tc>
        <w:tc>
          <w:tcPr>
            <w:cnfStyle w:val="000010000000" w:firstRow="0" w:lastRow="0" w:firstColumn="0" w:lastColumn="0" w:oddVBand="1" w:evenVBand="0" w:oddHBand="0" w:evenHBand="0" w:firstRowFirstColumn="0" w:firstRowLastColumn="0" w:lastRowFirstColumn="0" w:lastRowLastColumn="0"/>
            <w:tcW w:w="2257" w:type="dxa"/>
          </w:tcPr>
          <w:p w14:paraId="53401AD0" w14:textId="77777777" w:rsidR="001B4281" w:rsidRPr="00F160E9" w:rsidRDefault="001B4281" w:rsidP="0074320A">
            <w:pPr>
              <w:spacing w:line="360" w:lineRule="auto"/>
              <w:rPr>
                <w:color w:val="000000" w:themeColor="text1"/>
              </w:rPr>
            </w:pPr>
            <w:r w:rsidRPr="00F160E9">
              <w:rPr>
                <w:color w:val="000000" w:themeColor="text1"/>
              </w:rPr>
              <w:t xml:space="preserve">40 </w:t>
            </w:r>
          </w:p>
        </w:tc>
        <w:tc>
          <w:tcPr>
            <w:tcW w:w="1485" w:type="dxa"/>
          </w:tcPr>
          <w:p w14:paraId="5D517886"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1197 </w:t>
            </w:r>
          </w:p>
        </w:tc>
      </w:tr>
      <w:tr w:rsidR="00F160E9" w:rsidRPr="00F160E9" w14:paraId="4C85A39F"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4EEB8C1B" w14:textId="77777777" w:rsidR="001B4281" w:rsidRPr="00F160E9" w:rsidRDefault="001B4281" w:rsidP="0074320A">
            <w:pPr>
              <w:spacing w:line="360" w:lineRule="auto"/>
              <w:rPr>
                <w:color w:val="000000" w:themeColor="text1"/>
              </w:rPr>
            </w:pPr>
            <w:r w:rsidRPr="00F160E9">
              <w:rPr>
                <w:color w:val="000000" w:themeColor="text1"/>
              </w:rPr>
              <w:t xml:space="preserve">Bihar </w:t>
            </w:r>
          </w:p>
        </w:tc>
        <w:tc>
          <w:tcPr>
            <w:tcW w:w="2257" w:type="dxa"/>
            <w:shd w:val="clear" w:color="auto" w:fill="FBE4D5" w:themeFill="accent2" w:themeFillTint="33"/>
          </w:tcPr>
          <w:p w14:paraId="3D6ABBA7"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3 </w:t>
            </w:r>
          </w:p>
        </w:tc>
        <w:tc>
          <w:tcPr>
            <w:cnfStyle w:val="000010000000" w:firstRow="0" w:lastRow="0" w:firstColumn="0" w:lastColumn="0" w:oddVBand="1" w:evenVBand="0" w:oddHBand="0" w:evenHBand="0" w:firstRowFirstColumn="0" w:firstRowLastColumn="0" w:lastRowFirstColumn="0" w:lastRowLastColumn="0"/>
            <w:tcW w:w="2257" w:type="dxa"/>
          </w:tcPr>
          <w:p w14:paraId="42ADD953" w14:textId="77777777" w:rsidR="001B4281" w:rsidRPr="00F160E9" w:rsidRDefault="001B4281" w:rsidP="0074320A">
            <w:pPr>
              <w:spacing w:line="360" w:lineRule="auto"/>
              <w:rPr>
                <w:color w:val="000000" w:themeColor="text1"/>
              </w:rPr>
            </w:pPr>
            <w:r w:rsidRPr="00F160E9">
              <w:rPr>
                <w:color w:val="000000" w:themeColor="text1"/>
              </w:rPr>
              <w:t xml:space="preserve">3 </w:t>
            </w:r>
          </w:p>
        </w:tc>
        <w:tc>
          <w:tcPr>
            <w:tcW w:w="1485" w:type="dxa"/>
          </w:tcPr>
          <w:p w14:paraId="22770EF5"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934 </w:t>
            </w:r>
          </w:p>
        </w:tc>
      </w:tr>
      <w:tr w:rsidR="00F160E9" w:rsidRPr="00F160E9" w14:paraId="7140CDFE"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3DE2E3B4" w14:textId="77777777" w:rsidR="001B4281" w:rsidRPr="00F160E9" w:rsidRDefault="001B4281" w:rsidP="0074320A">
            <w:pPr>
              <w:spacing w:line="360" w:lineRule="auto"/>
              <w:rPr>
                <w:color w:val="000000" w:themeColor="text1"/>
              </w:rPr>
            </w:pPr>
            <w:r w:rsidRPr="00F160E9">
              <w:rPr>
                <w:color w:val="000000" w:themeColor="text1"/>
              </w:rPr>
              <w:t xml:space="preserve">Chhattisgarh </w:t>
            </w:r>
          </w:p>
        </w:tc>
        <w:tc>
          <w:tcPr>
            <w:tcW w:w="2257" w:type="dxa"/>
            <w:shd w:val="clear" w:color="auto" w:fill="FBE4D5" w:themeFill="accent2" w:themeFillTint="33"/>
          </w:tcPr>
          <w:p w14:paraId="44463B2B"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5 </w:t>
            </w:r>
          </w:p>
        </w:tc>
        <w:tc>
          <w:tcPr>
            <w:cnfStyle w:val="000010000000" w:firstRow="0" w:lastRow="0" w:firstColumn="0" w:lastColumn="0" w:oddVBand="1" w:evenVBand="0" w:oddHBand="0" w:evenHBand="0" w:firstRowFirstColumn="0" w:firstRowLastColumn="0" w:lastRowFirstColumn="0" w:lastRowLastColumn="0"/>
            <w:tcW w:w="2257" w:type="dxa"/>
          </w:tcPr>
          <w:p w14:paraId="5558C519" w14:textId="77777777" w:rsidR="001B4281" w:rsidRPr="00F160E9" w:rsidRDefault="001B4281" w:rsidP="0074320A">
            <w:pPr>
              <w:spacing w:line="360" w:lineRule="auto"/>
              <w:rPr>
                <w:color w:val="000000" w:themeColor="text1"/>
              </w:rPr>
            </w:pPr>
            <w:r w:rsidRPr="00F160E9">
              <w:rPr>
                <w:color w:val="000000" w:themeColor="text1"/>
              </w:rPr>
              <w:t xml:space="preserve">2 </w:t>
            </w:r>
          </w:p>
        </w:tc>
        <w:tc>
          <w:tcPr>
            <w:tcW w:w="1485" w:type="dxa"/>
          </w:tcPr>
          <w:p w14:paraId="498E402D"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302 </w:t>
            </w:r>
          </w:p>
        </w:tc>
      </w:tr>
      <w:tr w:rsidR="00F160E9" w:rsidRPr="00F160E9" w14:paraId="060C6E93"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5E2B8CB2" w14:textId="77777777" w:rsidR="001B4281" w:rsidRPr="00F160E9" w:rsidRDefault="001B4281" w:rsidP="0074320A">
            <w:pPr>
              <w:spacing w:line="360" w:lineRule="auto"/>
              <w:rPr>
                <w:color w:val="000000" w:themeColor="text1"/>
              </w:rPr>
            </w:pPr>
            <w:r w:rsidRPr="00F160E9">
              <w:rPr>
                <w:color w:val="000000" w:themeColor="text1"/>
              </w:rPr>
              <w:t xml:space="preserve">Gujrat </w:t>
            </w:r>
          </w:p>
        </w:tc>
        <w:tc>
          <w:tcPr>
            <w:tcW w:w="2257" w:type="dxa"/>
            <w:shd w:val="clear" w:color="auto" w:fill="FBE4D5" w:themeFill="accent2" w:themeFillTint="33"/>
          </w:tcPr>
          <w:p w14:paraId="47C17995"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10 </w:t>
            </w:r>
          </w:p>
        </w:tc>
        <w:tc>
          <w:tcPr>
            <w:cnfStyle w:val="000010000000" w:firstRow="0" w:lastRow="0" w:firstColumn="0" w:lastColumn="0" w:oddVBand="1" w:evenVBand="0" w:oddHBand="0" w:evenHBand="0" w:firstRowFirstColumn="0" w:firstRowLastColumn="0" w:lastRowFirstColumn="0" w:lastRowLastColumn="0"/>
            <w:tcW w:w="2257" w:type="dxa"/>
          </w:tcPr>
          <w:p w14:paraId="646218B3" w14:textId="77777777" w:rsidR="001B4281" w:rsidRPr="00F160E9" w:rsidRDefault="001B4281" w:rsidP="0074320A">
            <w:pPr>
              <w:spacing w:line="360" w:lineRule="auto"/>
              <w:rPr>
                <w:color w:val="000000" w:themeColor="text1"/>
              </w:rPr>
            </w:pPr>
            <w:r w:rsidRPr="00F160E9">
              <w:rPr>
                <w:color w:val="000000" w:themeColor="text1"/>
              </w:rPr>
              <w:t xml:space="preserve">13 </w:t>
            </w:r>
          </w:p>
        </w:tc>
        <w:tc>
          <w:tcPr>
            <w:tcW w:w="1485" w:type="dxa"/>
          </w:tcPr>
          <w:p w14:paraId="225A877C"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1205 </w:t>
            </w:r>
          </w:p>
        </w:tc>
      </w:tr>
      <w:tr w:rsidR="00F160E9" w:rsidRPr="00F160E9" w14:paraId="67640948"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25FABEAB" w14:textId="77777777" w:rsidR="001B4281" w:rsidRPr="00F160E9" w:rsidRDefault="001B4281" w:rsidP="0074320A">
            <w:pPr>
              <w:spacing w:line="360" w:lineRule="auto"/>
              <w:rPr>
                <w:color w:val="000000" w:themeColor="text1"/>
              </w:rPr>
            </w:pPr>
            <w:r w:rsidRPr="00F160E9">
              <w:rPr>
                <w:color w:val="000000" w:themeColor="text1"/>
              </w:rPr>
              <w:t xml:space="preserve">Himachal Pradesh </w:t>
            </w:r>
          </w:p>
        </w:tc>
        <w:tc>
          <w:tcPr>
            <w:tcW w:w="2257" w:type="dxa"/>
            <w:shd w:val="clear" w:color="auto" w:fill="FBE4D5" w:themeFill="accent2" w:themeFillTint="33"/>
          </w:tcPr>
          <w:p w14:paraId="1F71619E"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 </w:t>
            </w:r>
          </w:p>
        </w:tc>
        <w:tc>
          <w:tcPr>
            <w:cnfStyle w:val="000010000000" w:firstRow="0" w:lastRow="0" w:firstColumn="0" w:lastColumn="0" w:oddVBand="1" w:evenVBand="0" w:oddHBand="0" w:evenHBand="0" w:firstRowFirstColumn="0" w:firstRowLastColumn="0" w:lastRowFirstColumn="0" w:lastRowLastColumn="0"/>
            <w:tcW w:w="2257" w:type="dxa"/>
          </w:tcPr>
          <w:p w14:paraId="5BBAA66A" w14:textId="77777777" w:rsidR="001B4281" w:rsidRPr="00F160E9" w:rsidRDefault="001B4281" w:rsidP="0074320A">
            <w:pPr>
              <w:spacing w:line="360" w:lineRule="auto"/>
              <w:rPr>
                <w:color w:val="000000" w:themeColor="text1"/>
              </w:rPr>
            </w:pPr>
            <w:r w:rsidRPr="00F160E9">
              <w:rPr>
                <w:color w:val="000000" w:themeColor="text1"/>
              </w:rPr>
              <w:t xml:space="preserve">0 </w:t>
            </w:r>
          </w:p>
        </w:tc>
        <w:tc>
          <w:tcPr>
            <w:tcW w:w="1485" w:type="dxa"/>
          </w:tcPr>
          <w:p w14:paraId="228F1D4E"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842 </w:t>
            </w:r>
          </w:p>
        </w:tc>
      </w:tr>
      <w:tr w:rsidR="00F160E9" w:rsidRPr="00F160E9" w14:paraId="33F24204"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03C50818" w14:textId="77777777" w:rsidR="001B4281" w:rsidRPr="00F160E9" w:rsidRDefault="001B4281" w:rsidP="0074320A">
            <w:pPr>
              <w:spacing w:line="360" w:lineRule="auto"/>
              <w:rPr>
                <w:color w:val="000000" w:themeColor="text1"/>
              </w:rPr>
            </w:pPr>
            <w:r w:rsidRPr="00F160E9">
              <w:rPr>
                <w:color w:val="000000" w:themeColor="text1"/>
              </w:rPr>
              <w:t xml:space="preserve">Jammu &amp; Kashmir </w:t>
            </w:r>
          </w:p>
        </w:tc>
        <w:tc>
          <w:tcPr>
            <w:tcW w:w="2257" w:type="dxa"/>
            <w:shd w:val="clear" w:color="auto" w:fill="FBE4D5" w:themeFill="accent2" w:themeFillTint="33"/>
          </w:tcPr>
          <w:p w14:paraId="38D43AA4"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0 </w:t>
            </w:r>
          </w:p>
        </w:tc>
        <w:tc>
          <w:tcPr>
            <w:cnfStyle w:val="000010000000" w:firstRow="0" w:lastRow="0" w:firstColumn="0" w:lastColumn="0" w:oddVBand="1" w:evenVBand="0" w:oddHBand="0" w:evenHBand="0" w:firstRowFirstColumn="0" w:firstRowLastColumn="0" w:lastRowFirstColumn="0" w:lastRowLastColumn="0"/>
            <w:tcW w:w="2257" w:type="dxa"/>
          </w:tcPr>
          <w:p w14:paraId="40DA68B7" w14:textId="77777777" w:rsidR="001B4281" w:rsidRPr="00F160E9" w:rsidRDefault="001B4281" w:rsidP="0074320A">
            <w:pPr>
              <w:spacing w:line="360" w:lineRule="auto"/>
              <w:rPr>
                <w:color w:val="000000" w:themeColor="text1"/>
              </w:rPr>
            </w:pPr>
            <w:r w:rsidRPr="00F160E9">
              <w:rPr>
                <w:color w:val="000000" w:themeColor="text1"/>
              </w:rPr>
              <w:t xml:space="preserve">0 </w:t>
            </w:r>
          </w:p>
        </w:tc>
        <w:tc>
          <w:tcPr>
            <w:tcW w:w="1485" w:type="dxa"/>
          </w:tcPr>
          <w:p w14:paraId="15F004BB"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0 </w:t>
            </w:r>
          </w:p>
        </w:tc>
      </w:tr>
      <w:tr w:rsidR="00F160E9" w:rsidRPr="00F160E9" w14:paraId="1A20FAA3"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6FDB6340" w14:textId="77777777" w:rsidR="001B4281" w:rsidRPr="00F160E9" w:rsidRDefault="001B4281" w:rsidP="0074320A">
            <w:pPr>
              <w:spacing w:line="360" w:lineRule="auto"/>
              <w:rPr>
                <w:color w:val="000000" w:themeColor="text1"/>
              </w:rPr>
            </w:pPr>
            <w:r w:rsidRPr="00F160E9">
              <w:rPr>
                <w:color w:val="000000" w:themeColor="text1"/>
              </w:rPr>
              <w:t xml:space="preserve">Jharkhand </w:t>
            </w:r>
          </w:p>
        </w:tc>
        <w:tc>
          <w:tcPr>
            <w:tcW w:w="2257" w:type="dxa"/>
            <w:shd w:val="clear" w:color="auto" w:fill="FBE4D5" w:themeFill="accent2" w:themeFillTint="33"/>
          </w:tcPr>
          <w:p w14:paraId="4E7B793F"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19 </w:t>
            </w:r>
          </w:p>
        </w:tc>
        <w:tc>
          <w:tcPr>
            <w:cnfStyle w:val="000010000000" w:firstRow="0" w:lastRow="0" w:firstColumn="0" w:lastColumn="0" w:oddVBand="1" w:evenVBand="0" w:oddHBand="0" w:evenHBand="0" w:firstRowFirstColumn="0" w:firstRowLastColumn="0" w:lastRowFirstColumn="0" w:lastRowLastColumn="0"/>
            <w:tcW w:w="2257" w:type="dxa"/>
          </w:tcPr>
          <w:p w14:paraId="71E74E69" w14:textId="77777777" w:rsidR="001B4281" w:rsidRPr="00F160E9" w:rsidRDefault="001B4281" w:rsidP="0074320A">
            <w:pPr>
              <w:spacing w:line="360" w:lineRule="auto"/>
              <w:rPr>
                <w:color w:val="000000" w:themeColor="text1"/>
              </w:rPr>
            </w:pPr>
            <w:r w:rsidRPr="00F160E9">
              <w:rPr>
                <w:color w:val="000000" w:themeColor="text1"/>
              </w:rPr>
              <w:t xml:space="preserve">16 </w:t>
            </w:r>
          </w:p>
        </w:tc>
        <w:tc>
          <w:tcPr>
            <w:tcW w:w="1485" w:type="dxa"/>
          </w:tcPr>
          <w:p w14:paraId="51B7FAE5"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874 </w:t>
            </w:r>
          </w:p>
        </w:tc>
      </w:tr>
      <w:tr w:rsidR="00F160E9" w:rsidRPr="00F160E9" w14:paraId="2CA6224C"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7E3BF1B7" w14:textId="77777777" w:rsidR="001B4281" w:rsidRPr="00F160E9" w:rsidRDefault="001B4281" w:rsidP="0074320A">
            <w:pPr>
              <w:spacing w:line="360" w:lineRule="auto"/>
              <w:rPr>
                <w:color w:val="000000" w:themeColor="text1"/>
              </w:rPr>
            </w:pPr>
            <w:r w:rsidRPr="00F160E9">
              <w:rPr>
                <w:color w:val="000000" w:themeColor="text1"/>
              </w:rPr>
              <w:t xml:space="preserve">Karnataka </w:t>
            </w:r>
          </w:p>
        </w:tc>
        <w:tc>
          <w:tcPr>
            <w:tcW w:w="2257" w:type="dxa"/>
            <w:shd w:val="clear" w:color="auto" w:fill="FBE4D5" w:themeFill="accent2" w:themeFillTint="33"/>
          </w:tcPr>
          <w:p w14:paraId="5CB4E3A7"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785 </w:t>
            </w:r>
          </w:p>
        </w:tc>
        <w:tc>
          <w:tcPr>
            <w:cnfStyle w:val="000010000000" w:firstRow="0" w:lastRow="0" w:firstColumn="0" w:lastColumn="0" w:oddVBand="1" w:evenVBand="0" w:oddHBand="0" w:evenHBand="0" w:firstRowFirstColumn="0" w:firstRowLastColumn="0" w:lastRowFirstColumn="0" w:lastRowLastColumn="0"/>
            <w:tcW w:w="2257" w:type="dxa"/>
          </w:tcPr>
          <w:p w14:paraId="228E6658" w14:textId="77777777" w:rsidR="001B4281" w:rsidRPr="00F160E9" w:rsidRDefault="001B4281" w:rsidP="0074320A">
            <w:pPr>
              <w:spacing w:line="360" w:lineRule="auto"/>
              <w:rPr>
                <w:color w:val="000000" w:themeColor="text1"/>
              </w:rPr>
            </w:pPr>
            <w:r w:rsidRPr="00F160E9">
              <w:rPr>
                <w:color w:val="000000" w:themeColor="text1"/>
              </w:rPr>
              <w:t xml:space="preserve">1370 </w:t>
            </w:r>
          </w:p>
        </w:tc>
        <w:tc>
          <w:tcPr>
            <w:tcW w:w="1485" w:type="dxa"/>
          </w:tcPr>
          <w:p w14:paraId="4BF90E4B"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1745 </w:t>
            </w:r>
          </w:p>
        </w:tc>
      </w:tr>
      <w:tr w:rsidR="00F160E9" w:rsidRPr="00F160E9" w14:paraId="2C04A1BD"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7C7E8949" w14:textId="77777777" w:rsidR="001B4281" w:rsidRPr="00F160E9" w:rsidRDefault="001B4281" w:rsidP="0074320A">
            <w:pPr>
              <w:spacing w:line="360" w:lineRule="auto"/>
              <w:rPr>
                <w:color w:val="000000" w:themeColor="text1"/>
              </w:rPr>
            </w:pPr>
            <w:r w:rsidRPr="00F160E9">
              <w:rPr>
                <w:color w:val="000000" w:themeColor="text1"/>
              </w:rPr>
              <w:t xml:space="preserve">Kerala </w:t>
            </w:r>
          </w:p>
        </w:tc>
        <w:tc>
          <w:tcPr>
            <w:tcW w:w="2257" w:type="dxa"/>
            <w:shd w:val="clear" w:color="auto" w:fill="FBE4D5" w:themeFill="accent2" w:themeFillTint="33"/>
          </w:tcPr>
          <w:p w14:paraId="1D65A0E5"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0 </w:t>
            </w:r>
          </w:p>
        </w:tc>
        <w:tc>
          <w:tcPr>
            <w:cnfStyle w:val="000010000000" w:firstRow="0" w:lastRow="0" w:firstColumn="0" w:lastColumn="0" w:oddVBand="1" w:evenVBand="0" w:oddHBand="0" w:evenHBand="0" w:firstRowFirstColumn="0" w:firstRowLastColumn="0" w:lastRowFirstColumn="0" w:lastRowLastColumn="0"/>
            <w:tcW w:w="2257" w:type="dxa"/>
          </w:tcPr>
          <w:p w14:paraId="5EDA2FE8" w14:textId="77777777" w:rsidR="001B4281" w:rsidRPr="00F160E9" w:rsidRDefault="001B4281" w:rsidP="0074320A">
            <w:pPr>
              <w:spacing w:line="360" w:lineRule="auto"/>
              <w:rPr>
                <w:color w:val="000000" w:themeColor="text1"/>
              </w:rPr>
            </w:pPr>
            <w:r w:rsidRPr="00F160E9">
              <w:rPr>
                <w:color w:val="000000" w:themeColor="text1"/>
              </w:rPr>
              <w:t xml:space="preserve">0 </w:t>
            </w:r>
          </w:p>
        </w:tc>
        <w:tc>
          <w:tcPr>
            <w:tcW w:w="1485" w:type="dxa"/>
          </w:tcPr>
          <w:p w14:paraId="736CB264"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1435 </w:t>
            </w:r>
          </w:p>
        </w:tc>
      </w:tr>
      <w:tr w:rsidR="00F160E9" w:rsidRPr="00F160E9" w14:paraId="2D761E45"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48BD896E" w14:textId="77777777" w:rsidR="001B4281" w:rsidRPr="00F160E9" w:rsidRDefault="001B4281" w:rsidP="0074320A">
            <w:pPr>
              <w:spacing w:line="360" w:lineRule="auto"/>
              <w:rPr>
                <w:color w:val="000000" w:themeColor="text1"/>
              </w:rPr>
            </w:pPr>
            <w:r w:rsidRPr="00F160E9">
              <w:rPr>
                <w:color w:val="000000" w:themeColor="text1"/>
              </w:rPr>
              <w:t xml:space="preserve">Madhya Pradesh </w:t>
            </w:r>
          </w:p>
        </w:tc>
        <w:tc>
          <w:tcPr>
            <w:tcW w:w="2257" w:type="dxa"/>
            <w:shd w:val="clear" w:color="auto" w:fill="FBE4D5" w:themeFill="accent2" w:themeFillTint="33"/>
          </w:tcPr>
          <w:p w14:paraId="2A4E1C86"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0 </w:t>
            </w:r>
          </w:p>
        </w:tc>
        <w:tc>
          <w:tcPr>
            <w:cnfStyle w:val="000010000000" w:firstRow="0" w:lastRow="0" w:firstColumn="0" w:lastColumn="0" w:oddVBand="1" w:evenVBand="0" w:oddHBand="0" w:evenHBand="0" w:firstRowFirstColumn="0" w:firstRowLastColumn="0" w:lastRowFirstColumn="0" w:lastRowLastColumn="0"/>
            <w:tcW w:w="2257" w:type="dxa"/>
          </w:tcPr>
          <w:p w14:paraId="11A9192C" w14:textId="77777777" w:rsidR="001B4281" w:rsidRPr="00F160E9" w:rsidRDefault="001B4281" w:rsidP="0074320A">
            <w:pPr>
              <w:spacing w:line="360" w:lineRule="auto"/>
              <w:rPr>
                <w:color w:val="000000" w:themeColor="text1"/>
              </w:rPr>
            </w:pPr>
            <w:r w:rsidRPr="00F160E9">
              <w:rPr>
                <w:color w:val="000000" w:themeColor="text1"/>
              </w:rPr>
              <w:t xml:space="preserve">0 </w:t>
            </w:r>
          </w:p>
        </w:tc>
        <w:tc>
          <w:tcPr>
            <w:tcW w:w="1485" w:type="dxa"/>
          </w:tcPr>
          <w:p w14:paraId="1F377452"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0 </w:t>
            </w:r>
          </w:p>
        </w:tc>
      </w:tr>
      <w:tr w:rsidR="00F160E9" w:rsidRPr="00F160E9" w14:paraId="44643CB3"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2774048D" w14:textId="77777777" w:rsidR="001B4281" w:rsidRPr="00F160E9" w:rsidRDefault="001B4281" w:rsidP="0074320A">
            <w:pPr>
              <w:spacing w:line="360" w:lineRule="auto"/>
              <w:rPr>
                <w:color w:val="000000" w:themeColor="text1"/>
              </w:rPr>
            </w:pPr>
            <w:r w:rsidRPr="00F160E9">
              <w:rPr>
                <w:color w:val="000000" w:themeColor="text1"/>
              </w:rPr>
              <w:t xml:space="preserve">Maharashtra </w:t>
            </w:r>
          </w:p>
        </w:tc>
        <w:tc>
          <w:tcPr>
            <w:tcW w:w="2257" w:type="dxa"/>
            <w:shd w:val="clear" w:color="auto" w:fill="FBE4D5" w:themeFill="accent2" w:themeFillTint="33"/>
          </w:tcPr>
          <w:p w14:paraId="28DF53A4"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82 </w:t>
            </w:r>
          </w:p>
        </w:tc>
        <w:tc>
          <w:tcPr>
            <w:cnfStyle w:val="000010000000" w:firstRow="0" w:lastRow="0" w:firstColumn="0" w:lastColumn="0" w:oddVBand="1" w:evenVBand="0" w:oddHBand="0" w:evenHBand="0" w:firstRowFirstColumn="0" w:firstRowLastColumn="0" w:lastRowFirstColumn="0" w:lastRowLastColumn="0"/>
            <w:tcW w:w="2257" w:type="dxa"/>
          </w:tcPr>
          <w:p w14:paraId="1A9879D2" w14:textId="77777777" w:rsidR="001B4281" w:rsidRPr="00F160E9" w:rsidRDefault="001B4281" w:rsidP="0074320A">
            <w:pPr>
              <w:spacing w:line="360" w:lineRule="auto"/>
              <w:rPr>
                <w:color w:val="000000" w:themeColor="text1"/>
              </w:rPr>
            </w:pPr>
            <w:r w:rsidRPr="00F160E9">
              <w:rPr>
                <w:color w:val="000000" w:themeColor="text1"/>
              </w:rPr>
              <w:t xml:space="preserve">94 </w:t>
            </w:r>
          </w:p>
        </w:tc>
        <w:tc>
          <w:tcPr>
            <w:tcW w:w="1485" w:type="dxa"/>
          </w:tcPr>
          <w:p w14:paraId="66862C74"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1151 </w:t>
            </w:r>
          </w:p>
        </w:tc>
      </w:tr>
      <w:tr w:rsidR="00F160E9" w:rsidRPr="00F160E9" w14:paraId="6004937B"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547981B5" w14:textId="77777777" w:rsidR="001B4281" w:rsidRPr="00F160E9" w:rsidRDefault="001B4281" w:rsidP="0074320A">
            <w:pPr>
              <w:spacing w:line="360" w:lineRule="auto"/>
              <w:rPr>
                <w:color w:val="000000" w:themeColor="text1"/>
              </w:rPr>
            </w:pPr>
            <w:r w:rsidRPr="00F160E9">
              <w:rPr>
                <w:color w:val="000000" w:themeColor="text1"/>
              </w:rPr>
              <w:t xml:space="preserve">Odisha </w:t>
            </w:r>
          </w:p>
        </w:tc>
        <w:tc>
          <w:tcPr>
            <w:tcW w:w="2257" w:type="dxa"/>
            <w:shd w:val="clear" w:color="auto" w:fill="FBE4D5" w:themeFill="accent2" w:themeFillTint="33"/>
          </w:tcPr>
          <w:p w14:paraId="5471DF0F"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41 </w:t>
            </w:r>
          </w:p>
        </w:tc>
        <w:tc>
          <w:tcPr>
            <w:cnfStyle w:val="000010000000" w:firstRow="0" w:lastRow="0" w:firstColumn="0" w:lastColumn="0" w:oddVBand="1" w:evenVBand="0" w:oddHBand="0" w:evenHBand="0" w:firstRowFirstColumn="0" w:firstRowLastColumn="0" w:lastRowFirstColumn="0" w:lastRowLastColumn="0"/>
            <w:tcW w:w="2257" w:type="dxa"/>
          </w:tcPr>
          <w:p w14:paraId="2F872847" w14:textId="77777777" w:rsidR="001B4281" w:rsidRPr="00F160E9" w:rsidRDefault="001B4281" w:rsidP="0074320A">
            <w:pPr>
              <w:spacing w:line="360" w:lineRule="auto"/>
              <w:rPr>
                <w:color w:val="000000" w:themeColor="text1"/>
              </w:rPr>
            </w:pPr>
            <w:r w:rsidRPr="00F160E9">
              <w:rPr>
                <w:color w:val="000000" w:themeColor="text1"/>
              </w:rPr>
              <w:t xml:space="preserve">33 </w:t>
            </w:r>
          </w:p>
        </w:tc>
        <w:tc>
          <w:tcPr>
            <w:tcW w:w="1485" w:type="dxa"/>
          </w:tcPr>
          <w:p w14:paraId="6F20FFDC"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796 </w:t>
            </w:r>
          </w:p>
        </w:tc>
      </w:tr>
      <w:tr w:rsidR="00F160E9" w:rsidRPr="00F160E9" w14:paraId="612D408A"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2A9AB991" w14:textId="77777777" w:rsidR="001B4281" w:rsidRPr="00F160E9" w:rsidRDefault="001B4281" w:rsidP="0074320A">
            <w:pPr>
              <w:spacing w:line="360" w:lineRule="auto"/>
              <w:rPr>
                <w:color w:val="000000" w:themeColor="text1"/>
              </w:rPr>
            </w:pPr>
            <w:r w:rsidRPr="00F160E9">
              <w:rPr>
                <w:color w:val="000000" w:themeColor="text1"/>
              </w:rPr>
              <w:t xml:space="preserve">Tamil Nadu </w:t>
            </w:r>
          </w:p>
        </w:tc>
        <w:tc>
          <w:tcPr>
            <w:tcW w:w="2257" w:type="dxa"/>
            <w:shd w:val="clear" w:color="auto" w:fill="FBE4D5" w:themeFill="accent2" w:themeFillTint="33"/>
          </w:tcPr>
          <w:p w14:paraId="0CCDA806"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83 </w:t>
            </w:r>
          </w:p>
        </w:tc>
        <w:tc>
          <w:tcPr>
            <w:cnfStyle w:val="000010000000" w:firstRow="0" w:lastRow="0" w:firstColumn="0" w:lastColumn="0" w:oddVBand="1" w:evenVBand="0" w:oddHBand="0" w:evenHBand="0" w:firstRowFirstColumn="0" w:firstRowLastColumn="0" w:lastRowFirstColumn="0" w:lastRowLastColumn="0"/>
            <w:tcW w:w="2257" w:type="dxa"/>
          </w:tcPr>
          <w:p w14:paraId="48B3B86F" w14:textId="77777777" w:rsidR="001B4281" w:rsidRPr="00F160E9" w:rsidRDefault="001B4281" w:rsidP="0074320A">
            <w:pPr>
              <w:spacing w:line="360" w:lineRule="auto"/>
              <w:rPr>
                <w:color w:val="000000" w:themeColor="text1"/>
              </w:rPr>
            </w:pPr>
            <w:r w:rsidRPr="00F160E9">
              <w:rPr>
                <w:color w:val="000000" w:themeColor="text1"/>
              </w:rPr>
              <w:t xml:space="preserve">289 </w:t>
            </w:r>
          </w:p>
        </w:tc>
        <w:tc>
          <w:tcPr>
            <w:tcW w:w="1485" w:type="dxa"/>
          </w:tcPr>
          <w:p w14:paraId="31B75464"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3481 </w:t>
            </w:r>
          </w:p>
        </w:tc>
      </w:tr>
      <w:tr w:rsidR="00F160E9" w:rsidRPr="00F160E9" w14:paraId="1E2CA0D0"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2011E186" w14:textId="77777777" w:rsidR="001B4281" w:rsidRPr="00F160E9" w:rsidRDefault="001B4281" w:rsidP="0074320A">
            <w:pPr>
              <w:spacing w:line="360" w:lineRule="auto"/>
              <w:rPr>
                <w:color w:val="000000" w:themeColor="text1"/>
              </w:rPr>
            </w:pPr>
            <w:r w:rsidRPr="00F160E9">
              <w:rPr>
                <w:color w:val="000000" w:themeColor="text1"/>
              </w:rPr>
              <w:t xml:space="preserve">Telangana </w:t>
            </w:r>
          </w:p>
        </w:tc>
        <w:tc>
          <w:tcPr>
            <w:tcW w:w="2257" w:type="dxa"/>
            <w:shd w:val="clear" w:color="auto" w:fill="FBE4D5" w:themeFill="accent2" w:themeFillTint="33"/>
          </w:tcPr>
          <w:p w14:paraId="6905A107"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 </w:t>
            </w:r>
          </w:p>
        </w:tc>
        <w:tc>
          <w:tcPr>
            <w:cnfStyle w:val="000010000000" w:firstRow="0" w:lastRow="0" w:firstColumn="0" w:lastColumn="0" w:oddVBand="1" w:evenVBand="0" w:oddHBand="0" w:evenHBand="0" w:firstRowFirstColumn="0" w:firstRowLastColumn="0" w:lastRowFirstColumn="0" w:lastRowLastColumn="0"/>
            <w:tcW w:w="2257" w:type="dxa"/>
          </w:tcPr>
          <w:p w14:paraId="17FF7119" w14:textId="77777777" w:rsidR="001B4281" w:rsidRPr="00F160E9" w:rsidRDefault="001B4281" w:rsidP="0074320A">
            <w:pPr>
              <w:spacing w:line="360" w:lineRule="auto"/>
              <w:rPr>
                <w:color w:val="000000" w:themeColor="text1"/>
              </w:rPr>
            </w:pPr>
            <w:r w:rsidRPr="00F160E9">
              <w:rPr>
                <w:color w:val="000000" w:themeColor="text1"/>
              </w:rPr>
              <w:t xml:space="preserve">1 </w:t>
            </w:r>
          </w:p>
        </w:tc>
        <w:tc>
          <w:tcPr>
            <w:tcW w:w="1485" w:type="dxa"/>
          </w:tcPr>
          <w:p w14:paraId="3DA2809B"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1343 </w:t>
            </w:r>
          </w:p>
        </w:tc>
      </w:tr>
      <w:tr w:rsidR="00F160E9" w:rsidRPr="00F160E9" w14:paraId="2CC34661"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3122119F" w14:textId="77777777" w:rsidR="001B4281" w:rsidRPr="00F160E9" w:rsidRDefault="001B4281" w:rsidP="0074320A">
            <w:pPr>
              <w:spacing w:line="360" w:lineRule="auto"/>
              <w:rPr>
                <w:color w:val="000000" w:themeColor="text1"/>
              </w:rPr>
            </w:pPr>
            <w:r w:rsidRPr="00F160E9">
              <w:rPr>
                <w:color w:val="000000" w:themeColor="text1"/>
              </w:rPr>
              <w:t xml:space="preserve">Uttarakhand </w:t>
            </w:r>
          </w:p>
        </w:tc>
        <w:tc>
          <w:tcPr>
            <w:tcW w:w="2257" w:type="dxa"/>
            <w:shd w:val="clear" w:color="auto" w:fill="FBE4D5" w:themeFill="accent2" w:themeFillTint="33"/>
          </w:tcPr>
          <w:p w14:paraId="030AD43C"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89 </w:t>
            </w:r>
          </w:p>
        </w:tc>
        <w:tc>
          <w:tcPr>
            <w:cnfStyle w:val="000010000000" w:firstRow="0" w:lastRow="0" w:firstColumn="0" w:lastColumn="0" w:oddVBand="1" w:evenVBand="0" w:oddHBand="0" w:evenHBand="0" w:firstRowFirstColumn="0" w:firstRowLastColumn="0" w:lastRowFirstColumn="0" w:lastRowLastColumn="0"/>
            <w:tcW w:w="2257" w:type="dxa"/>
          </w:tcPr>
          <w:p w14:paraId="517CC29C" w14:textId="77777777" w:rsidR="001B4281" w:rsidRPr="00F160E9" w:rsidRDefault="001B4281" w:rsidP="0074320A">
            <w:pPr>
              <w:spacing w:line="360" w:lineRule="auto"/>
              <w:rPr>
                <w:color w:val="000000" w:themeColor="text1"/>
              </w:rPr>
            </w:pPr>
            <w:r w:rsidRPr="00F160E9">
              <w:rPr>
                <w:color w:val="000000" w:themeColor="text1"/>
              </w:rPr>
              <w:t xml:space="preserve">130 </w:t>
            </w:r>
          </w:p>
        </w:tc>
        <w:tc>
          <w:tcPr>
            <w:tcW w:w="1485" w:type="dxa"/>
          </w:tcPr>
          <w:p w14:paraId="3A42B916"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1459 </w:t>
            </w:r>
          </w:p>
        </w:tc>
      </w:tr>
      <w:tr w:rsidR="00F160E9" w:rsidRPr="00F160E9" w14:paraId="61A41EBC" w14:textId="77777777" w:rsidTr="002C173D">
        <w:trPr>
          <w:trHeight w:val="18"/>
        </w:trPr>
        <w:tc>
          <w:tcPr>
            <w:cnfStyle w:val="000010000000" w:firstRow="0" w:lastRow="0" w:firstColumn="0" w:lastColumn="0" w:oddVBand="1" w:evenVBand="0" w:oddHBand="0" w:evenHBand="0" w:firstRowFirstColumn="0" w:firstRowLastColumn="0" w:lastRowFirstColumn="0" w:lastRowLastColumn="0"/>
            <w:tcW w:w="2383" w:type="dxa"/>
          </w:tcPr>
          <w:p w14:paraId="5A6FB25B" w14:textId="77777777" w:rsidR="001B4281" w:rsidRPr="00F160E9" w:rsidRDefault="001B4281" w:rsidP="0074320A">
            <w:pPr>
              <w:spacing w:line="360" w:lineRule="auto"/>
              <w:rPr>
                <w:color w:val="000000" w:themeColor="text1"/>
              </w:rPr>
            </w:pPr>
            <w:r w:rsidRPr="00F160E9">
              <w:rPr>
                <w:color w:val="000000" w:themeColor="text1"/>
              </w:rPr>
              <w:t xml:space="preserve">West Bengal </w:t>
            </w:r>
          </w:p>
        </w:tc>
        <w:tc>
          <w:tcPr>
            <w:tcW w:w="2257" w:type="dxa"/>
            <w:shd w:val="clear" w:color="auto" w:fill="FBE4D5" w:themeFill="accent2" w:themeFillTint="33"/>
          </w:tcPr>
          <w:p w14:paraId="0A1A32F7"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6 </w:t>
            </w:r>
          </w:p>
        </w:tc>
        <w:tc>
          <w:tcPr>
            <w:cnfStyle w:val="000010000000" w:firstRow="0" w:lastRow="0" w:firstColumn="0" w:lastColumn="0" w:oddVBand="1" w:evenVBand="0" w:oddHBand="0" w:evenHBand="0" w:firstRowFirstColumn="0" w:firstRowLastColumn="0" w:lastRowFirstColumn="0" w:lastRowLastColumn="0"/>
            <w:tcW w:w="2257" w:type="dxa"/>
          </w:tcPr>
          <w:p w14:paraId="2A21E268" w14:textId="77777777" w:rsidR="001B4281" w:rsidRPr="00F160E9" w:rsidRDefault="001B4281" w:rsidP="0074320A">
            <w:pPr>
              <w:spacing w:line="360" w:lineRule="auto"/>
              <w:rPr>
                <w:color w:val="000000" w:themeColor="text1"/>
              </w:rPr>
            </w:pPr>
            <w:r w:rsidRPr="00F160E9">
              <w:rPr>
                <w:color w:val="000000" w:themeColor="text1"/>
              </w:rPr>
              <w:t xml:space="preserve">6 </w:t>
            </w:r>
          </w:p>
        </w:tc>
        <w:tc>
          <w:tcPr>
            <w:tcW w:w="1485" w:type="dxa"/>
          </w:tcPr>
          <w:p w14:paraId="70F77DDB" w14:textId="77777777" w:rsidR="001B4281" w:rsidRPr="00F160E9" w:rsidRDefault="001B4281" w:rsidP="0074320A">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F160E9">
              <w:rPr>
                <w:color w:val="000000" w:themeColor="text1"/>
              </w:rPr>
              <w:t xml:space="preserve">1073 </w:t>
            </w:r>
          </w:p>
        </w:tc>
      </w:tr>
    </w:tbl>
    <w:p w14:paraId="703C0CF4" w14:textId="77777777" w:rsidR="001B4281" w:rsidRPr="00DA3D44" w:rsidRDefault="001B4281" w:rsidP="0074320A">
      <w:pPr>
        <w:spacing w:line="360" w:lineRule="auto"/>
      </w:pPr>
    </w:p>
    <w:p w14:paraId="4AC9D3BE" w14:textId="77777777" w:rsidR="001B4281" w:rsidRPr="00DA3D44" w:rsidRDefault="001B4281" w:rsidP="0074320A">
      <w:pPr>
        <w:spacing w:line="360" w:lineRule="auto"/>
      </w:pPr>
    </w:p>
    <w:p w14:paraId="3BCCF777" w14:textId="77777777" w:rsidR="001B4281" w:rsidRPr="00DA3D44" w:rsidRDefault="001B4281" w:rsidP="0074320A">
      <w:pPr>
        <w:spacing w:line="360" w:lineRule="auto"/>
      </w:pPr>
    </w:p>
    <w:p w14:paraId="413E6918" w14:textId="77777777" w:rsidR="001B4281" w:rsidRPr="00DA3D44" w:rsidRDefault="001B4281" w:rsidP="0074320A">
      <w:pPr>
        <w:spacing w:line="360" w:lineRule="auto"/>
      </w:pPr>
    </w:p>
    <w:p w14:paraId="1252A7E5" w14:textId="77777777" w:rsidR="001B4281" w:rsidRPr="00DA3D44" w:rsidRDefault="001B4281" w:rsidP="0074320A">
      <w:pPr>
        <w:spacing w:line="360" w:lineRule="auto"/>
        <w:jc w:val="center"/>
      </w:pPr>
    </w:p>
    <w:p w14:paraId="07FFBE6F" w14:textId="77777777" w:rsidR="001B4281" w:rsidRPr="00DA3D44" w:rsidRDefault="001B4281" w:rsidP="0074320A">
      <w:pPr>
        <w:spacing w:line="360" w:lineRule="auto"/>
      </w:pPr>
    </w:p>
    <w:p w14:paraId="79394B50" w14:textId="77777777" w:rsidR="001B4281" w:rsidRPr="00DA3D44" w:rsidRDefault="001B4281" w:rsidP="0074320A">
      <w:pPr>
        <w:spacing w:line="360" w:lineRule="auto"/>
      </w:pPr>
    </w:p>
    <w:p w14:paraId="260B3599" w14:textId="77777777" w:rsidR="001B4281" w:rsidRPr="00DA3D44" w:rsidRDefault="001B4281" w:rsidP="0074320A">
      <w:pPr>
        <w:spacing w:line="360" w:lineRule="auto"/>
      </w:pPr>
    </w:p>
    <w:p w14:paraId="1713FA0A" w14:textId="77777777" w:rsidR="001B4281" w:rsidRPr="00DA3D44" w:rsidRDefault="001B4281" w:rsidP="0074320A">
      <w:pPr>
        <w:spacing w:line="360" w:lineRule="auto"/>
      </w:pPr>
    </w:p>
    <w:p w14:paraId="746C01BC" w14:textId="77777777" w:rsidR="001B4281" w:rsidRPr="00DA3D44" w:rsidRDefault="001B4281" w:rsidP="0074320A">
      <w:pPr>
        <w:spacing w:line="360" w:lineRule="auto"/>
      </w:pPr>
    </w:p>
    <w:p w14:paraId="6E8B7AA9" w14:textId="77777777" w:rsidR="001B4281" w:rsidRDefault="001B4281" w:rsidP="0074320A">
      <w:pPr>
        <w:spacing w:line="360" w:lineRule="auto"/>
      </w:pPr>
      <w:r w:rsidRPr="00DA3D44">
        <w:t xml:space="preserve">  </w:t>
      </w:r>
    </w:p>
    <w:p w14:paraId="77ED9EDA" w14:textId="77777777" w:rsidR="001B4281" w:rsidRDefault="001B4281" w:rsidP="0074320A">
      <w:pPr>
        <w:spacing w:line="360" w:lineRule="auto"/>
      </w:pPr>
    </w:p>
    <w:p w14:paraId="71F3FBF7" w14:textId="77777777" w:rsidR="001B4281" w:rsidRDefault="001B4281" w:rsidP="0074320A">
      <w:pPr>
        <w:spacing w:line="360" w:lineRule="auto"/>
      </w:pPr>
    </w:p>
    <w:p w14:paraId="38162CCA" w14:textId="77777777" w:rsidR="001B4281" w:rsidRDefault="001B4281" w:rsidP="0074320A">
      <w:pPr>
        <w:spacing w:line="360" w:lineRule="auto"/>
      </w:pPr>
    </w:p>
    <w:p w14:paraId="45C1172D" w14:textId="77777777" w:rsidR="001B4281" w:rsidRDefault="001B4281" w:rsidP="0074320A">
      <w:pPr>
        <w:spacing w:line="360" w:lineRule="auto"/>
      </w:pPr>
    </w:p>
    <w:p w14:paraId="1BA2F25D" w14:textId="77777777" w:rsidR="00AA00BC" w:rsidRPr="00DA3D44" w:rsidRDefault="00AA00BC" w:rsidP="0074320A">
      <w:pPr>
        <w:pStyle w:val="NormalWeb"/>
        <w:spacing w:line="360" w:lineRule="auto"/>
      </w:pPr>
      <w:r w:rsidRPr="00DA3D44">
        <w:t>The table</w:t>
      </w:r>
      <w:r w:rsidR="007A55B0">
        <w:t xml:space="preserve"> 3</w:t>
      </w:r>
      <w:r w:rsidRPr="00DA3D44">
        <w:t xml:space="preserve"> presents data on the </w:t>
      </w:r>
      <w:r w:rsidRPr="00DA3D44">
        <w:rPr>
          <w:rStyle w:val="Strong"/>
          <w:b w:val="0"/>
        </w:rPr>
        <w:t>area</w:t>
      </w:r>
      <w:r w:rsidRPr="00DA3D44">
        <w:t xml:space="preserve">, </w:t>
      </w:r>
      <w:r w:rsidRPr="00DA3D44">
        <w:rPr>
          <w:rStyle w:val="Strong"/>
          <w:b w:val="0"/>
        </w:rPr>
        <w:t>production</w:t>
      </w:r>
      <w:r w:rsidRPr="00DA3D44">
        <w:t xml:space="preserve">, and </w:t>
      </w:r>
      <w:r w:rsidRPr="00DA3D44">
        <w:rPr>
          <w:rStyle w:val="Strong"/>
          <w:b w:val="0"/>
        </w:rPr>
        <w:t>productivity</w:t>
      </w:r>
      <w:r w:rsidRPr="00DA3D44">
        <w:t xml:space="preserve"> of </w:t>
      </w:r>
      <w:r w:rsidRPr="00DA3D44">
        <w:rPr>
          <w:rStyle w:val="Strong"/>
          <w:b w:val="0"/>
        </w:rPr>
        <w:t xml:space="preserve">finger millet </w:t>
      </w:r>
      <w:r w:rsidRPr="00DA3D44">
        <w:t xml:space="preserve">in India over a ten-year period from </w:t>
      </w:r>
      <w:r w:rsidRPr="00DA3D44">
        <w:rPr>
          <w:rStyle w:val="Strong"/>
          <w:b w:val="0"/>
        </w:rPr>
        <w:t>2011–12 to 2020–21</w:t>
      </w:r>
      <w:r w:rsidRPr="00DA3D44">
        <w:t xml:space="preserve">. </w:t>
      </w:r>
      <w:r w:rsidR="00321E01">
        <w:t xml:space="preserve"> </w:t>
      </w:r>
      <w:r w:rsidRPr="00DA3D44">
        <w:t xml:space="preserve">The area under finger millet cultivation has shown a </w:t>
      </w:r>
      <w:r w:rsidRPr="00DA3D44">
        <w:rPr>
          <w:rStyle w:val="Strong"/>
          <w:b w:val="0"/>
        </w:rPr>
        <w:t>declining trend</w:t>
      </w:r>
      <w:r w:rsidRPr="00DA3D44">
        <w:t xml:space="preserve"> over the years. In </w:t>
      </w:r>
      <w:r w:rsidRPr="00DA3D44">
        <w:rPr>
          <w:rStyle w:val="Strong"/>
          <w:b w:val="0"/>
        </w:rPr>
        <w:t>2011–12</w:t>
      </w:r>
      <w:r w:rsidRPr="00DA3D44">
        <w:t xml:space="preserve">, the area was </w:t>
      </w:r>
      <w:r w:rsidRPr="00DA3D44">
        <w:rPr>
          <w:rStyle w:val="Strong"/>
          <w:b w:val="0"/>
        </w:rPr>
        <w:t>1.176 million hectares (</w:t>
      </w:r>
      <w:proofErr w:type="spellStart"/>
      <w:r w:rsidRPr="00DA3D44">
        <w:rPr>
          <w:rStyle w:val="Strong"/>
          <w:b w:val="0"/>
        </w:rPr>
        <w:t>Mha</w:t>
      </w:r>
      <w:proofErr w:type="spellEnd"/>
      <w:r w:rsidRPr="00DA3D44">
        <w:rPr>
          <w:rStyle w:val="Strong"/>
          <w:b w:val="0"/>
        </w:rPr>
        <w:t>)</w:t>
      </w:r>
      <w:r w:rsidRPr="00DA3D44">
        <w:t xml:space="preserve">, which dropped to </w:t>
      </w:r>
      <w:r w:rsidRPr="00DA3D44">
        <w:rPr>
          <w:rStyle w:val="Strong"/>
          <w:b w:val="0"/>
        </w:rPr>
        <w:t xml:space="preserve">0.891 </w:t>
      </w:r>
      <w:proofErr w:type="spellStart"/>
      <w:r w:rsidRPr="00DA3D44">
        <w:rPr>
          <w:rStyle w:val="Strong"/>
          <w:b w:val="0"/>
        </w:rPr>
        <w:t>Mha</w:t>
      </w:r>
      <w:proofErr w:type="spellEnd"/>
      <w:r w:rsidRPr="00DA3D44">
        <w:t xml:space="preserve"> in </w:t>
      </w:r>
      <w:r w:rsidRPr="00DA3D44">
        <w:rPr>
          <w:rStyle w:val="Strong"/>
          <w:b w:val="0"/>
        </w:rPr>
        <w:t>2018–19</w:t>
      </w:r>
      <w:r w:rsidRPr="00DA3D44">
        <w:t xml:space="preserve">, the lowest in the decade. However, there was a slight recovery in the following years, reaching </w:t>
      </w:r>
      <w:r w:rsidRPr="00DA3D44">
        <w:rPr>
          <w:rStyle w:val="Strong"/>
          <w:b w:val="0"/>
        </w:rPr>
        <w:t xml:space="preserve">1.159 </w:t>
      </w:r>
      <w:proofErr w:type="spellStart"/>
      <w:r w:rsidRPr="00DA3D44">
        <w:rPr>
          <w:rStyle w:val="Strong"/>
          <w:b w:val="0"/>
        </w:rPr>
        <w:t>Mha</w:t>
      </w:r>
      <w:proofErr w:type="spellEnd"/>
      <w:r w:rsidRPr="00DA3D44">
        <w:t xml:space="preserve"> in </w:t>
      </w:r>
      <w:r w:rsidRPr="00DA3D44">
        <w:rPr>
          <w:rStyle w:val="Strong"/>
          <w:b w:val="0"/>
        </w:rPr>
        <w:t>2020–21</w:t>
      </w:r>
      <w:r w:rsidRPr="00DA3D44">
        <w:t>.</w:t>
      </w:r>
      <w:r w:rsidR="00321E01">
        <w:t xml:space="preserve"> However, p</w:t>
      </w:r>
      <w:r w:rsidRPr="00DA3D44">
        <w:t xml:space="preserve">roduction fluctuated significantly during the period. It reached a peak of </w:t>
      </w:r>
      <w:r w:rsidRPr="00DA3D44">
        <w:rPr>
          <w:rStyle w:val="Strong"/>
          <w:b w:val="0"/>
        </w:rPr>
        <w:t>2.061 million metric tons (MT)</w:t>
      </w:r>
      <w:r w:rsidRPr="00DA3D44">
        <w:t xml:space="preserve"> in </w:t>
      </w:r>
      <w:r w:rsidRPr="00DA3D44">
        <w:rPr>
          <w:rStyle w:val="Strong"/>
          <w:b w:val="0"/>
        </w:rPr>
        <w:t>2014–15</w:t>
      </w:r>
      <w:r w:rsidRPr="00DA3D44">
        <w:t xml:space="preserve">, while the lowest production was recorded in </w:t>
      </w:r>
      <w:r w:rsidRPr="00DA3D44">
        <w:rPr>
          <w:rStyle w:val="Strong"/>
          <w:b w:val="0"/>
        </w:rPr>
        <w:t>2018–19</w:t>
      </w:r>
      <w:r w:rsidRPr="00DA3D44">
        <w:t xml:space="preserve"> at </w:t>
      </w:r>
      <w:r w:rsidRPr="00DA3D44">
        <w:rPr>
          <w:rStyle w:val="Strong"/>
          <w:b w:val="0"/>
        </w:rPr>
        <w:t>1.239 million MT</w:t>
      </w:r>
      <w:r w:rsidRPr="00DA3D44">
        <w:t xml:space="preserve">. The </w:t>
      </w:r>
      <w:r w:rsidRPr="00DA3D44">
        <w:rPr>
          <w:rStyle w:val="Strong"/>
          <w:b w:val="0"/>
        </w:rPr>
        <w:t>highest production years correspond with larger cultivation areas and higher productivity levels</w:t>
      </w:r>
      <w:r w:rsidRPr="00DA3D44">
        <w:t>.</w:t>
      </w:r>
      <w:r w:rsidR="00321E01">
        <w:t xml:space="preserve"> </w:t>
      </w:r>
      <w:r w:rsidRPr="00DA3D44">
        <w:t xml:space="preserve">Productivity (yield per hectare) ranged from </w:t>
      </w:r>
      <w:r w:rsidRPr="00DA3D44">
        <w:rPr>
          <w:rStyle w:val="Strong"/>
          <w:b w:val="0"/>
        </w:rPr>
        <w:t>1,363 kg/ha (2016–17)</w:t>
      </w:r>
      <w:r w:rsidRPr="00DA3D44">
        <w:t xml:space="preserve"> to </w:t>
      </w:r>
      <w:r w:rsidRPr="00DA3D44">
        <w:rPr>
          <w:rStyle w:val="Strong"/>
          <w:b w:val="0"/>
        </w:rPr>
        <w:t>1,747 kg/ha (2019–20)</w:t>
      </w:r>
      <w:r w:rsidRPr="00DA3D44">
        <w:t xml:space="preserve">. While the area under cultivation declined in several years, </w:t>
      </w:r>
      <w:r w:rsidRPr="00DA3D44">
        <w:rPr>
          <w:rStyle w:val="Strong"/>
          <w:b w:val="0"/>
        </w:rPr>
        <w:t>productivity improved in certain years, indicating better yield performance despite reduced cultivation</w:t>
      </w:r>
      <w:r w:rsidRPr="00DA3D44">
        <w:t xml:space="preserve">. The highest productivity was recorded in </w:t>
      </w:r>
      <w:r w:rsidRPr="00DA3D44">
        <w:rPr>
          <w:rStyle w:val="Strong"/>
          <w:b w:val="0"/>
        </w:rPr>
        <w:t>2019–20</w:t>
      </w:r>
      <w:r w:rsidRPr="00DA3D44">
        <w:t xml:space="preserve"> at </w:t>
      </w:r>
      <w:r w:rsidRPr="00DA3D44">
        <w:rPr>
          <w:rStyle w:val="Strong"/>
          <w:b w:val="0"/>
        </w:rPr>
        <w:t>1,747 kg/ha</w:t>
      </w:r>
      <w:r w:rsidRPr="00DA3D44">
        <w:t xml:space="preserve">, while the </w:t>
      </w:r>
      <w:r w:rsidRPr="00DA3D44">
        <w:lastRenderedPageBreak/>
        <w:t xml:space="preserve">lowest was in </w:t>
      </w:r>
      <w:r w:rsidRPr="00DA3D44">
        <w:rPr>
          <w:rStyle w:val="Strong"/>
          <w:b w:val="0"/>
        </w:rPr>
        <w:t>2016–17</w:t>
      </w:r>
      <w:r w:rsidRPr="00DA3D44">
        <w:t xml:space="preserve"> at </w:t>
      </w:r>
      <w:r w:rsidRPr="00DA3D44">
        <w:rPr>
          <w:rStyle w:val="Strong"/>
          <w:b w:val="0"/>
        </w:rPr>
        <w:t>1,363 kg/ha</w:t>
      </w:r>
      <w:r w:rsidRPr="00DA3D44">
        <w:t>. (</w:t>
      </w:r>
      <w:r w:rsidRPr="00DA3D44">
        <w:rPr>
          <w:i/>
        </w:rPr>
        <w:t xml:space="preserve">Source: JETIR Journal of Emerging Technologies and Innovative </w:t>
      </w:r>
      <w:proofErr w:type="gramStart"/>
      <w:r w:rsidRPr="00DA3D44">
        <w:rPr>
          <w:i/>
        </w:rPr>
        <w:t xml:space="preserve">Research </w:t>
      </w:r>
      <w:r w:rsidRPr="00DA3D44">
        <w:t>)</w:t>
      </w:r>
      <w:proofErr w:type="gramEnd"/>
      <w:r w:rsidRPr="00DA3D44">
        <w:t>.</w:t>
      </w:r>
    </w:p>
    <w:p w14:paraId="5538AB88" w14:textId="77777777" w:rsidR="000B24D1" w:rsidRDefault="000828BB" w:rsidP="0074320A">
      <w:pPr>
        <w:pStyle w:val="NormalWeb"/>
        <w:spacing w:line="360" w:lineRule="auto"/>
      </w:pPr>
      <w:r>
        <w:rPr>
          <w:b/>
        </w:rPr>
        <w:t>Table</w:t>
      </w:r>
      <w:r w:rsidR="00F72D0B">
        <w:rPr>
          <w:b/>
        </w:rPr>
        <w:t>: 3</w:t>
      </w:r>
      <w:r w:rsidR="0038788D">
        <w:rPr>
          <w:b/>
        </w:rPr>
        <w:t xml:space="preserve"> </w:t>
      </w:r>
      <w:r w:rsidR="000B24D1" w:rsidRPr="0038788D">
        <w:t>Area, Production and Productivity of Finger Millet in India from 2011 to 2021</w:t>
      </w:r>
      <w:r w:rsidR="0038788D" w:rsidRPr="0038788D">
        <w:t xml:space="preserve"> (Source: JETIR Journal of Emerging Techn</w:t>
      </w:r>
      <w:r w:rsidR="00CE521D">
        <w:t>ologies and Innovative Research</w:t>
      </w:r>
      <w:r w:rsidR="0038788D" w:rsidRPr="0038788D">
        <w:t>).</w:t>
      </w:r>
    </w:p>
    <w:tbl>
      <w:tblPr>
        <w:tblStyle w:val="GridTable4-Accent51"/>
        <w:tblpPr w:leftFromText="180" w:rightFromText="180" w:vertAnchor="text" w:horzAnchor="margin" w:tblpY="1"/>
        <w:tblW w:w="0" w:type="auto"/>
        <w:tblLook w:val="04A0" w:firstRow="1" w:lastRow="0" w:firstColumn="1" w:lastColumn="0" w:noHBand="0" w:noVBand="1"/>
      </w:tblPr>
      <w:tblGrid>
        <w:gridCol w:w="9016"/>
      </w:tblGrid>
      <w:tr w:rsidR="00F72D0B" w:rsidRPr="00DA3D44" w14:paraId="3AA2094F" w14:textId="77777777" w:rsidTr="00F72D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A1960C3"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year              Area (</w:t>
            </w:r>
            <w:proofErr w:type="spellStart"/>
            <w:r w:rsidRPr="00DA3D44">
              <w:rPr>
                <w:rFonts w:ascii="Times New Roman" w:hAnsi="Times New Roman" w:cs="Times New Roman"/>
                <w:sz w:val="24"/>
                <w:szCs w:val="24"/>
              </w:rPr>
              <w:t>Mha</w:t>
            </w:r>
            <w:proofErr w:type="spellEnd"/>
            <w:r w:rsidRPr="00DA3D44">
              <w:rPr>
                <w:rFonts w:ascii="Times New Roman" w:hAnsi="Times New Roman" w:cs="Times New Roman"/>
                <w:sz w:val="24"/>
                <w:szCs w:val="24"/>
              </w:rPr>
              <w:t xml:space="preserve">)         Production(`000MT)     Productivity(kg/ha)                  </w:t>
            </w:r>
          </w:p>
        </w:tc>
      </w:tr>
      <w:tr w:rsidR="00F72D0B" w:rsidRPr="00DA3D44" w14:paraId="7C0C5857" w14:textId="77777777" w:rsidTr="00F72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54BE7E6"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2011-12        1176                    1929                               1641 </w:t>
            </w:r>
          </w:p>
        </w:tc>
      </w:tr>
      <w:tr w:rsidR="00F72D0B" w:rsidRPr="00DA3D44" w14:paraId="78F9D277" w14:textId="77777777" w:rsidTr="00F72D0B">
        <w:tc>
          <w:tcPr>
            <w:cnfStyle w:val="001000000000" w:firstRow="0" w:lastRow="0" w:firstColumn="1" w:lastColumn="0" w:oddVBand="0" w:evenVBand="0" w:oddHBand="0" w:evenHBand="0" w:firstRowFirstColumn="0" w:firstRowLastColumn="0" w:lastRowFirstColumn="0" w:lastRowLastColumn="0"/>
            <w:tcW w:w="9016" w:type="dxa"/>
          </w:tcPr>
          <w:p w14:paraId="00A5F021"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2012-13        1131                    1574                               1392</w:t>
            </w:r>
          </w:p>
        </w:tc>
      </w:tr>
      <w:tr w:rsidR="00F72D0B" w:rsidRPr="00DA3D44" w14:paraId="205E8239" w14:textId="77777777" w:rsidTr="00F72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30C0D14"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2013-14        1194                    1983                               1661 </w:t>
            </w:r>
          </w:p>
        </w:tc>
      </w:tr>
      <w:tr w:rsidR="00F72D0B" w:rsidRPr="00DA3D44" w14:paraId="48C88241" w14:textId="77777777" w:rsidTr="00F72D0B">
        <w:tc>
          <w:tcPr>
            <w:cnfStyle w:val="001000000000" w:firstRow="0" w:lastRow="0" w:firstColumn="1" w:lastColumn="0" w:oddVBand="0" w:evenVBand="0" w:oddHBand="0" w:evenHBand="0" w:firstRowFirstColumn="0" w:firstRowLastColumn="0" w:lastRowFirstColumn="0" w:lastRowLastColumn="0"/>
            <w:tcW w:w="9016" w:type="dxa"/>
          </w:tcPr>
          <w:p w14:paraId="64B682E5"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2014-15        1208                    2061                               1706 </w:t>
            </w:r>
          </w:p>
        </w:tc>
      </w:tr>
      <w:tr w:rsidR="00F72D0B" w:rsidRPr="00DA3D44" w14:paraId="76001983" w14:textId="77777777" w:rsidTr="00F72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F39C324"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2015-16        1138                    1822                               1601</w:t>
            </w:r>
          </w:p>
        </w:tc>
      </w:tr>
      <w:tr w:rsidR="00F72D0B" w:rsidRPr="00DA3D44" w14:paraId="2A9D1C4A" w14:textId="77777777" w:rsidTr="00F72D0B">
        <w:tc>
          <w:tcPr>
            <w:cnfStyle w:val="001000000000" w:firstRow="0" w:lastRow="0" w:firstColumn="1" w:lastColumn="0" w:oddVBand="0" w:evenVBand="0" w:oddHBand="0" w:evenHBand="0" w:firstRowFirstColumn="0" w:firstRowLastColumn="0" w:lastRowFirstColumn="0" w:lastRowLastColumn="0"/>
            <w:tcW w:w="9016" w:type="dxa"/>
          </w:tcPr>
          <w:p w14:paraId="7CDFA3D5"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2016-17        1016                    1385                               1363 </w:t>
            </w:r>
          </w:p>
        </w:tc>
      </w:tr>
      <w:tr w:rsidR="00F72D0B" w:rsidRPr="00DA3D44" w14:paraId="54CFD5EB" w14:textId="77777777" w:rsidTr="00F72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8530ABD"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2017-18        1194                    1985                               1662 </w:t>
            </w:r>
          </w:p>
        </w:tc>
      </w:tr>
      <w:tr w:rsidR="00F72D0B" w:rsidRPr="00DA3D44" w14:paraId="0F2D228E" w14:textId="77777777" w:rsidTr="00F72D0B">
        <w:tc>
          <w:tcPr>
            <w:cnfStyle w:val="001000000000" w:firstRow="0" w:lastRow="0" w:firstColumn="1" w:lastColumn="0" w:oddVBand="0" w:evenVBand="0" w:oddHBand="0" w:evenHBand="0" w:firstRowFirstColumn="0" w:firstRowLastColumn="0" w:lastRowFirstColumn="0" w:lastRowLastColumn="0"/>
            <w:tcW w:w="9016" w:type="dxa"/>
          </w:tcPr>
          <w:p w14:paraId="444E695E"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2018-19        891                      1239                               1390</w:t>
            </w:r>
          </w:p>
        </w:tc>
      </w:tr>
      <w:tr w:rsidR="00F72D0B" w:rsidRPr="00DA3D44" w14:paraId="1A44AEBB" w14:textId="77777777" w:rsidTr="00F72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193482C" w14:textId="77777777" w:rsidR="00F72D0B" w:rsidRPr="00DA3D44" w:rsidRDefault="00F72D0B" w:rsidP="0074320A">
            <w:pPr>
              <w:pStyle w:val="NoSpacing"/>
              <w:spacing w:line="360" w:lineRule="auto"/>
              <w:rPr>
                <w:rFonts w:ascii="Times New Roman" w:hAnsi="Times New Roman" w:cs="Times New Roman"/>
                <w:sz w:val="24"/>
                <w:szCs w:val="24"/>
              </w:rPr>
            </w:pPr>
            <w:r w:rsidRPr="00DA3D44">
              <w:rPr>
                <w:rFonts w:ascii="Times New Roman" w:hAnsi="Times New Roman" w:cs="Times New Roman"/>
                <w:sz w:val="24"/>
                <w:szCs w:val="24"/>
              </w:rPr>
              <w:t xml:space="preserve"> 2019-20        1004                    1755                               1747 </w:t>
            </w:r>
          </w:p>
        </w:tc>
      </w:tr>
      <w:tr w:rsidR="00F72D0B" w:rsidRPr="00DA3D44" w14:paraId="2D6C820A" w14:textId="77777777" w:rsidTr="00F72D0B">
        <w:tc>
          <w:tcPr>
            <w:cnfStyle w:val="001000000000" w:firstRow="0" w:lastRow="0" w:firstColumn="1" w:lastColumn="0" w:oddVBand="0" w:evenVBand="0" w:oddHBand="0" w:evenHBand="0" w:firstRowFirstColumn="0" w:firstRowLastColumn="0" w:lastRowFirstColumn="0" w:lastRowLastColumn="0"/>
            <w:tcW w:w="9016" w:type="dxa"/>
          </w:tcPr>
          <w:p w14:paraId="57F0013E" w14:textId="77777777" w:rsidR="00F72D0B" w:rsidRPr="00DA3D44" w:rsidRDefault="00F72D0B" w:rsidP="0074320A">
            <w:pPr>
              <w:pStyle w:val="NoSpacing"/>
              <w:spacing w:line="360" w:lineRule="auto"/>
              <w:rPr>
                <w:rFonts w:ascii="Times New Roman" w:hAnsi="Times New Roman" w:cs="Times New Roman"/>
                <w:sz w:val="24"/>
                <w:szCs w:val="24"/>
                <w:lang w:val="en-US"/>
              </w:rPr>
            </w:pPr>
            <w:r w:rsidRPr="00DA3D44">
              <w:rPr>
                <w:rFonts w:ascii="Times New Roman" w:hAnsi="Times New Roman" w:cs="Times New Roman"/>
                <w:sz w:val="24"/>
                <w:szCs w:val="24"/>
              </w:rPr>
              <w:t xml:space="preserve"> 2020-21        1159                    1998                               1724</w:t>
            </w:r>
          </w:p>
        </w:tc>
      </w:tr>
    </w:tbl>
    <w:p w14:paraId="36C57D4B" w14:textId="77777777" w:rsidR="007E727E" w:rsidRDefault="007E727E" w:rsidP="0074320A">
      <w:pPr>
        <w:spacing w:line="360" w:lineRule="auto"/>
      </w:pPr>
    </w:p>
    <w:p w14:paraId="516480E9" w14:textId="77777777" w:rsidR="000576F8" w:rsidRPr="00DA3D44" w:rsidRDefault="007A4F4A" w:rsidP="0074320A">
      <w:pPr>
        <w:spacing w:line="360" w:lineRule="auto"/>
      </w:pPr>
      <w:r w:rsidRPr="00DA3D44">
        <w:t xml:space="preserve">Finger millet offers several nutritional benefits over common staple cereals such as wheat and rice. These include a gluten-free protein composition, high calcium content, a low </w:t>
      </w:r>
      <w:proofErr w:type="spellStart"/>
      <w:r w:rsidRPr="00DA3D44">
        <w:t>glycemic</w:t>
      </w:r>
      <w:proofErr w:type="spellEnd"/>
      <w:r w:rsidRPr="00DA3D44">
        <w:t xml:space="preserve"> index, and a variety of bioactive compounds with potential therapeutic effects, making it a highly valuable crop. Traditionally, tribal communities consume finger millet in forms such as porridge, malt, and various beverages, while its straw is used as fodder for animals. Additionally, its ability to thrive in drought-prone regions, require minimal agricultural inputs, and adapt to marginal, fragile hilly ecosystems positions it as a crop with great potential for the future. Despite its agricultural importance, the global area dedicated to finger millet cultivation has decreased, partly due to issues such as inadequate post-harvest management. With these considerations in mind, this review aims to explore the challenges and opportunities for finger millet, as well as strategies to enhance its global production and sustainability in the face of climate challenges.</w:t>
      </w:r>
    </w:p>
    <w:p w14:paraId="17B23C3F" w14:textId="77777777" w:rsidR="00952FAD" w:rsidRPr="00DA3D44" w:rsidRDefault="00D06333" w:rsidP="00685FFD">
      <w:pPr>
        <w:pStyle w:val="cvgsua"/>
        <w:numPr>
          <w:ilvl w:val="0"/>
          <w:numId w:val="30"/>
        </w:numPr>
        <w:spacing w:line="360" w:lineRule="auto"/>
        <w:rPr>
          <w:b/>
          <w:shd w:val="clear" w:color="auto" w:fill="FFFFFF"/>
        </w:rPr>
      </w:pPr>
      <w:r w:rsidRPr="00DA3D44">
        <w:rPr>
          <w:b/>
          <w:shd w:val="clear" w:color="auto" w:fill="FFFFFF"/>
        </w:rPr>
        <w:t>Problems</w:t>
      </w:r>
      <w:r w:rsidR="00D958D0" w:rsidRPr="00DA3D44">
        <w:rPr>
          <w:b/>
          <w:shd w:val="clear" w:color="auto" w:fill="FFFFFF"/>
        </w:rPr>
        <w:t xml:space="preserve"> of millet cultivation</w:t>
      </w:r>
    </w:p>
    <w:p w14:paraId="2BBDE8F2" w14:textId="77777777" w:rsidR="00952FAD" w:rsidRPr="00DA3D44" w:rsidRDefault="008079D9" w:rsidP="00262182">
      <w:pPr>
        <w:pStyle w:val="cvgsua"/>
        <w:numPr>
          <w:ilvl w:val="1"/>
          <w:numId w:val="31"/>
        </w:numPr>
        <w:spacing w:line="360" w:lineRule="auto"/>
        <w:rPr>
          <w:b/>
          <w:shd w:val="clear" w:color="auto" w:fill="FFFFFF"/>
        </w:rPr>
      </w:pPr>
      <w:r>
        <w:rPr>
          <w:b/>
          <w:shd w:val="clear" w:color="auto" w:fill="FFFFFF"/>
        </w:rPr>
        <w:t>Poor agricultural practices</w:t>
      </w:r>
    </w:p>
    <w:p w14:paraId="2F9E5E43" w14:textId="77777777" w:rsidR="00057453" w:rsidRDefault="009959C9" w:rsidP="00F160E9">
      <w:pPr>
        <w:pStyle w:val="cvgsua"/>
        <w:spacing w:line="360" w:lineRule="auto"/>
        <w:ind w:left="720"/>
      </w:pPr>
      <w:r w:rsidRPr="00DA3D44">
        <w:lastRenderedPageBreak/>
        <w:t xml:space="preserve">Agricultural practices like </w:t>
      </w:r>
      <w:r w:rsidR="00952FAD" w:rsidRPr="00DA3D44">
        <w:t>Inadequate soil preparation such as insufficient ploughing, levelling, and soil amendment can lead to poor</w:t>
      </w:r>
      <w:r w:rsidR="00983BC6" w:rsidRPr="00DA3D44">
        <w:t xml:space="preserve"> root development and low yield.</w:t>
      </w:r>
      <w:r w:rsidR="00952FAD" w:rsidRPr="00DA3D44">
        <w:t xml:space="preserve"> Planting finger </w:t>
      </w:r>
      <w:r w:rsidR="00B86892" w:rsidRPr="00DA3D44">
        <w:t xml:space="preserve">millets with low spacing </w:t>
      </w:r>
      <w:r w:rsidR="00952FAD" w:rsidRPr="00DA3D44">
        <w:t>result</w:t>
      </w:r>
      <w:r w:rsidR="00B86892" w:rsidRPr="00DA3D44">
        <w:t>s</w:t>
      </w:r>
      <w:r w:rsidR="00952FAD" w:rsidRPr="00DA3D44">
        <w:t xml:space="preserve"> in competition for nutrients, water, and sunlight, leading to stunted growth and lower </w:t>
      </w:r>
      <w:r w:rsidRPr="00DA3D44">
        <w:t>yields. I</w:t>
      </w:r>
      <w:r w:rsidR="00B64B71" w:rsidRPr="00DA3D44">
        <w:t xml:space="preserve">rrigation practices, such as over-watering or under-watering, can lead to waterlogging, soil erosion, and reduced water-use efficiency. </w:t>
      </w:r>
      <w:r w:rsidRPr="00DA3D44">
        <w:t>Poorly managed irrigation system</w:t>
      </w:r>
      <w:r w:rsidR="00B64B71" w:rsidRPr="00DA3D44">
        <w:t xml:space="preserve"> can also contribute to the spread of waterborne diseases and increase the salinity of the soil (Kumar </w:t>
      </w:r>
      <w:r w:rsidR="00B64B71" w:rsidRPr="00DA3D44">
        <w:rPr>
          <w:i/>
        </w:rPr>
        <w:t>et al.,</w:t>
      </w:r>
      <w:r w:rsidR="00B64B71" w:rsidRPr="00DA3D44">
        <w:t xml:space="preserve"> 2014; Reddy </w:t>
      </w:r>
      <w:r w:rsidR="00B64B71" w:rsidRPr="00DA3D44">
        <w:rPr>
          <w:i/>
        </w:rPr>
        <w:t>et al.,</w:t>
      </w:r>
      <w:r w:rsidR="00B64B71" w:rsidRPr="00DA3D44">
        <w:t xml:space="preserve"> 2017)</w:t>
      </w:r>
      <w:r w:rsidR="00983BC6" w:rsidRPr="00DA3D44">
        <w:t xml:space="preserve"> </w:t>
      </w:r>
    </w:p>
    <w:p w14:paraId="6992FBB7" w14:textId="77777777" w:rsidR="00952FAD" w:rsidRPr="00DA3D44" w:rsidRDefault="00B86892" w:rsidP="00F160E9">
      <w:pPr>
        <w:pStyle w:val="cvgsua"/>
        <w:spacing w:line="360" w:lineRule="auto"/>
        <w:ind w:left="720"/>
      </w:pPr>
      <w:r w:rsidRPr="00DA3D44">
        <w:t>Ragi</w:t>
      </w:r>
      <w:r w:rsidR="004606EB" w:rsidRPr="00DA3D44">
        <w:t xml:space="preserve"> </w:t>
      </w:r>
      <w:r w:rsidR="00952FAD" w:rsidRPr="00DA3D44">
        <w:t>require</w:t>
      </w:r>
      <w:r w:rsidR="00C83DD2">
        <w:t>s</w:t>
      </w:r>
      <w:r w:rsidR="00952FAD" w:rsidRPr="00DA3D44">
        <w:t xml:space="preserve"> balanced nutrition for optimal growth and development. Inadequate fertilisation or improper application of fertilisers can result in nutrient deficiencies or toxicities, leading to poor yields and susceptibility to </w:t>
      </w:r>
      <w:r w:rsidR="00C83DD2">
        <w:t xml:space="preserve">diseases </w:t>
      </w:r>
      <w:r w:rsidR="00B64B71" w:rsidRPr="00DA3D44">
        <w:t xml:space="preserve">(Saxena </w:t>
      </w:r>
      <w:r w:rsidR="00B64B71" w:rsidRPr="00DA3D44">
        <w:rPr>
          <w:i/>
        </w:rPr>
        <w:t>et al.,</w:t>
      </w:r>
      <w:r w:rsidR="00B64B71" w:rsidRPr="00DA3D44">
        <w:t xml:space="preserve"> 2016; Mgonja </w:t>
      </w:r>
      <w:r w:rsidR="00B64B71" w:rsidRPr="00DA3D44">
        <w:rPr>
          <w:i/>
        </w:rPr>
        <w:t>et al.,</w:t>
      </w:r>
      <w:r w:rsidR="00B64B71" w:rsidRPr="00DA3D44">
        <w:t xml:space="preserve"> 2017)</w:t>
      </w:r>
      <w:r w:rsidR="00235416" w:rsidRPr="00DA3D44">
        <w:t>.</w:t>
      </w:r>
      <w:r w:rsidR="00D635F8" w:rsidRPr="00DA3D44">
        <w:t xml:space="preserve"> </w:t>
      </w:r>
      <w:r w:rsidR="00235416" w:rsidRPr="00DA3D44">
        <w:rPr>
          <w:color w:val="222222"/>
          <w:shd w:val="clear" w:color="auto" w:fill="FFFFFF"/>
        </w:rPr>
        <w:t xml:space="preserve">Wafula </w:t>
      </w:r>
      <w:r w:rsidR="00235416" w:rsidRPr="00DA3D44">
        <w:rPr>
          <w:i/>
          <w:color w:val="222222"/>
          <w:shd w:val="clear" w:color="auto" w:fill="FFFFFF"/>
        </w:rPr>
        <w:t>et al</w:t>
      </w:r>
      <w:r w:rsidR="00BE4BCE" w:rsidRPr="00DA3D44">
        <w:rPr>
          <w:i/>
          <w:color w:val="222222"/>
          <w:shd w:val="clear" w:color="auto" w:fill="FFFFFF"/>
        </w:rPr>
        <w:t>.,</w:t>
      </w:r>
      <w:r w:rsidR="00235416" w:rsidRPr="00DA3D44">
        <w:rPr>
          <w:color w:val="222222"/>
          <w:shd w:val="clear" w:color="auto" w:fill="FFFFFF"/>
        </w:rPr>
        <w:t xml:space="preserve"> </w:t>
      </w:r>
      <w:r w:rsidR="00BE4BCE" w:rsidRPr="00DA3D44">
        <w:rPr>
          <w:color w:val="222222"/>
          <w:shd w:val="clear" w:color="auto" w:fill="FFFFFF"/>
        </w:rPr>
        <w:t>(</w:t>
      </w:r>
      <w:r w:rsidR="00235416" w:rsidRPr="00DA3D44">
        <w:rPr>
          <w:color w:val="222222"/>
          <w:shd w:val="clear" w:color="auto" w:fill="FFFFFF"/>
        </w:rPr>
        <w:t>2016</w:t>
      </w:r>
      <w:r w:rsidR="00BE4BCE" w:rsidRPr="00DA3D44">
        <w:rPr>
          <w:color w:val="222222"/>
          <w:shd w:val="clear" w:color="auto" w:fill="FFFFFF"/>
        </w:rPr>
        <w:t>)</w:t>
      </w:r>
      <w:r w:rsidR="00235416" w:rsidRPr="00DA3D44">
        <w:t xml:space="preserve"> found that Phosphorus had a positive influence on the nitrogen accumulation in the plant parts and total nitrogen uptake of finger millet as well as the finger width for both seasons with the peak observed at 25 kg ha</w:t>
      </w:r>
      <w:r w:rsidR="00D635F8" w:rsidRPr="00DA3D44">
        <w:t xml:space="preserve">-1 </w:t>
      </w:r>
      <w:r w:rsidR="00F869D9" w:rsidRPr="00DA3D44">
        <w:t>P</w:t>
      </w:r>
      <w:r w:rsidR="00F869D9" w:rsidRPr="00DA3D44">
        <w:softHyphen/>
      </w:r>
      <w:r w:rsidR="00F869D9" w:rsidRPr="00DA3D44">
        <w:rPr>
          <w:vertAlign w:val="subscript"/>
        </w:rPr>
        <w:t>2</w:t>
      </w:r>
      <w:r w:rsidR="00F869D9" w:rsidRPr="00DA3D44">
        <w:t>O</w:t>
      </w:r>
      <w:r w:rsidR="00F869D9" w:rsidRPr="00DA3D44">
        <w:rPr>
          <w:vertAlign w:val="subscript"/>
        </w:rPr>
        <w:t>5</w:t>
      </w:r>
      <w:r w:rsidR="00235416" w:rsidRPr="00DA3D44">
        <w:t xml:space="preserve">. </w:t>
      </w:r>
      <w:r w:rsidR="003A5035">
        <w:t xml:space="preserve">Similarly </w:t>
      </w:r>
      <w:r w:rsidR="003A5035">
        <w:rPr>
          <w:rFonts w:ascii="Arial" w:hAnsi="Arial" w:cs="Arial"/>
          <w:color w:val="222222"/>
          <w:sz w:val="20"/>
          <w:szCs w:val="20"/>
          <w:shd w:val="clear" w:color="auto" w:fill="FFFFFF"/>
        </w:rPr>
        <w:t>Maitra</w:t>
      </w:r>
      <w:r w:rsidR="003A5035">
        <w:t xml:space="preserve">   et al., 2020 concluded that Nutrient management for targeting production and sustainability, integrated nutrient management (INM) will be the most suitable option. Application of 100% NPK along with FYM </w:t>
      </w:r>
      <w:bookmarkStart w:id="0" w:name="_GoBack"/>
      <w:r w:rsidR="003A5035">
        <w:t>@</w:t>
      </w:r>
      <w:bookmarkEnd w:id="0"/>
      <w:r w:rsidR="003A5035">
        <w:t xml:space="preserve"> 10 t ha-1 recorded significantly higher grain and straw yield and enriched the soil organic carbon. Application of farmyard manure (FYM) alone or in a combination with chemical fertilizers contributed to higher amounts of carbon inputs and build up a higher soil organic carbon pool in rain fed groundnut–finger millet rotation in </w:t>
      </w:r>
      <w:proofErr w:type="spellStart"/>
      <w:r w:rsidR="003A5035">
        <w:t>alfisol</w:t>
      </w:r>
      <w:proofErr w:type="spellEnd"/>
      <w:r w:rsidR="003A5035">
        <w:t xml:space="preserve"> of semi-arid region.</w:t>
      </w:r>
    </w:p>
    <w:p w14:paraId="46CF9158" w14:textId="77777777" w:rsidR="00B64B71" w:rsidRPr="00DA3D44" w:rsidRDefault="004606EB" w:rsidP="0074320A">
      <w:pPr>
        <w:pStyle w:val="ListParagraph"/>
        <w:spacing w:line="360" w:lineRule="auto"/>
        <w:rPr>
          <w:rFonts w:eastAsia="Times New Roman"/>
          <w:lang w:eastAsia="en-IN"/>
        </w:rPr>
      </w:pPr>
      <w:r w:rsidRPr="00DA3D44">
        <w:rPr>
          <w:rFonts w:eastAsia="Times New Roman"/>
          <w:lang w:eastAsia="en-IN"/>
        </w:rPr>
        <w:t>Besides this h</w:t>
      </w:r>
      <w:r w:rsidR="00952FAD" w:rsidRPr="00DA3D44">
        <w:rPr>
          <w:rFonts w:eastAsia="Times New Roman"/>
          <w:lang w:eastAsia="en-IN"/>
        </w:rPr>
        <w:t>arvesting finger millets too early or too late can result in lower yields and poor grain quality. It's essential to harvest at the right stage of maturity to ma</w:t>
      </w:r>
      <w:r w:rsidR="00EE58A8">
        <w:rPr>
          <w:rFonts w:eastAsia="Times New Roman"/>
          <w:lang w:eastAsia="en-IN"/>
        </w:rPr>
        <w:t xml:space="preserve">ximise yields and grain quality. </w:t>
      </w:r>
      <w:r w:rsidR="00B64B71" w:rsidRPr="00DA3D44">
        <w:rPr>
          <w:rFonts w:eastAsia="Times New Roman"/>
          <w:lang w:eastAsia="en-IN"/>
        </w:rPr>
        <w:t>Insufficient agricultural extension services, training</w:t>
      </w:r>
      <w:r w:rsidRPr="00DA3D44">
        <w:rPr>
          <w:rFonts w:eastAsia="Times New Roman"/>
          <w:lang w:eastAsia="en-IN"/>
        </w:rPr>
        <w:t xml:space="preserve">, and access to information also </w:t>
      </w:r>
      <w:r w:rsidR="00B64B71" w:rsidRPr="00DA3D44">
        <w:rPr>
          <w:rFonts w:eastAsia="Times New Roman"/>
          <w:lang w:eastAsia="en-IN"/>
        </w:rPr>
        <w:t>lead</w:t>
      </w:r>
      <w:r w:rsidRPr="00DA3D44">
        <w:rPr>
          <w:rFonts w:eastAsia="Times New Roman"/>
          <w:lang w:eastAsia="en-IN"/>
        </w:rPr>
        <w:t>s</w:t>
      </w:r>
      <w:r w:rsidR="00B64B71" w:rsidRPr="00DA3D44">
        <w:rPr>
          <w:rFonts w:eastAsia="Times New Roman"/>
          <w:lang w:eastAsia="en-IN"/>
        </w:rPr>
        <w:t xml:space="preserve"> to outdated or inappropr</w:t>
      </w:r>
      <w:r w:rsidRPr="00DA3D44">
        <w:rPr>
          <w:rFonts w:eastAsia="Times New Roman"/>
          <w:lang w:eastAsia="en-IN"/>
        </w:rPr>
        <w:t>iate farming practices. Farmers</w:t>
      </w:r>
      <w:r w:rsidR="00B64B71" w:rsidRPr="00DA3D44">
        <w:rPr>
          <w:rFonts w:eastAsia="Times New Roman"/>
          <w:lang w:eastAsia="en-IN"/>
        </w:rPr>
        <w:t xml:space="preserve"> capacity-building and awareness-raising efforts are crucial for promoting sustainable and resilient finger millet cultivation (Shiferaw </w:t>
      </w:r>
      <w:r w:rsidR="00B64B71" w:rsidRPr="00DA3D44">
        <w:rPr>
          <w:rFonts w:eastAsia="Times New Roman"/>
          <w:i/>
          <w:lang w:eastAsia="en-IN"/>
        </w:rPr>
        <w:t>et al.,</w:t>
      </w:r>
      <w:r w:rsidR="00A11A91">
        <w:rPr>
          <w:rFonts w:eastAsia="Times New Roman"/>
          <w:lang w:eastAsia="en-IN"/>
        </w:rPr>
        <w:t xml:space="preserve"> 2014; Kumar and</w:t>
      </w:r>
      <w:r w:rsidR="00B64B71" w:rsidRPr="00DA3D44">
        <w:rPr>
          <w:rFonts w:eastAsia="Times New Roman"/>
          <w:lang w:eastAsia="en-IN"/>
        </w:rPr>
        <w:t xml:space="preserve"> </w:t>
      </w:r>
      <w:proofErr w:type="gramStart"/>
      <w:r w:rsidR="00B64B71" w:rsidRPr="00DA3D44">
        <w:rPr>
          <w:rFonts w:eastAsia="Times New Roman"/>
          <w:lang w:eastAsia="en-IN"/>
        </w:rPr>
        <w:t>Kalita,</w:t>
      </w:r>
      <w:r w:rsidR="001919CE" w:rsidRPr="00DA3D44">
        <w:rPr>
          <w:rFonts w:eastAsia="Times New Roman"/>
          <w:lang w:eastAsia="en-IN"/>
        </w:rPr>
        <w:t xml:space="preserve"> </w:t>
      </w:r>
      <w:r w:rsidR="00B64B71" w:rsidRPr="00DA3D44">
        <w:rPr>
          <w:rFonts w:eastAsia="Times New Roman"/>
          <w:lang w:eastAsia="en-IN"/>
        </w:rPr>
        <w:t xml:space="preserve"> 2017</w:t>
      </w:r>
      <w:proofErr w:type="gramEnd"/>
      <w:r w:rsidR="00B64B71" w:rsidRPr="00DA3D44">
        <w:rPr>
          <w:rFonts w:eastAsia="Times New Roman"/>
          <w:lang w:eastAsia="en-IN"/>
        </w:rPr>
        <w:t>).</w:t>
      </w:r>
    </w:p>
    <w:p w14:paraId="2407AC18" w14:textId="77777777" w:rsidR="00C357C9" w:rsidRPr="00DA3D44" w:rsidRDefault="000D73DC" w:rsidP="0074320A">
      <w:pPr>
        <w:spacing w:line="360" w:lineRule="auto"/>
        <w:rPr>
          <w:rFonts w:eastAsia="Times New Roman"/>
          <w:b/>
          <w:lang w:eastAsia="en-IN"/>
        </w:rPr>
      </w:pPr>
      <w:r w:rsidRPr="00DA3D44">
        <w:rPr>
          <w:rFonts w:eastAsia="Times New Roman"/>
          <w:b/>
          <w:lang w:eastAsia="en-IN"/>
        </w:rPr>
        <w:t>2.2</w:t>
      </w:r>
      <w:r w:rsidR="00687058" w:rsidRPr="00DA3D44">
        <w:rPr>
          <w:rFonts w:eastAsia="Times New Roman"/>
          <w:b/>
          <w:lang w:eastAsia="en-IN"/>
        </w:rPr>
        <w:t xml:space="preserve"> </w:t>
      </w:r>
      <w:r w:rsidR="009C660C" w:rsidRPr="00DA3D44">
        <w:rPr>
          <w:rFonts w:eastAsia="Times New Roman"/>
          <w:b/>
          <w:lang w:eastAsia="en-IN"/>
        </w:rPr>
        <w:t>Cultural</w:t>
      </w:r>
      <w:r w:rsidR="00687058" w:rsidRPr="00DA3D44">
        <w:rPr>
          <w:rFonts w:eastAsia="Times New Roman"/>
          <w:b/>
          <w:lang w:eastAsia="en-IN"/>
        </w:rPr>
        <w:t xml:space="preserve"> Preferences and Dietary Shifts</w:t>
      </w:r>
    </w:p>
    <w:p w14:paraId="5561E75D" w14:textId="77777777" w:rsidR="0023565F" w:rsidRPr="00DA3D44" w:rsidRDefault="001E7B06" w:rsidP="0074320A">
      <w:pPr>
        <w:pStyle w:val="cvgsua"/>
        <w:spacing w:line="360" w:lineRule="auto"/>
        <w:ind w:left="720" w:firstLine="720"/>
      </w:pPr>
      <w:r w:rsidRPr="00DA3D44">
        <w:lastRenderedPageBreak/>
        <w:t>Many regions are shifting toward Westernized diets that emphasize grains such as rice, wheat, and other cereals, often at the expense of millets. These changing dietary habits and cultural preferences can affect demand, which in turn influences farmers' production decisions and market opportunities. Among cereal crops, finger millet stands out for its unique benefits when compared to major grains like rice, wheat, maize, and other millets. While rice faces challenges with salinity stress and wheat</w:t>
      </w:r>
      <w:r w:rsidRPr="00D51888">
        <w:rPr>
          <w:i/>
        </w:rPr>
        <w:t>)</w:t>
      </w:r>
      <w:r w:rsidRPr="00DA3D44">
        <w:t xml:space="preserve"> has limited tolerance to heat, finger millet demonstrates greater resilience to a variety of abiotic stresses. </w:t>
      </w:r>
      <w:r w:rsidR="00590A99" w:rsidRPr="00DA3D44">
        <w:t xml:space="preserve">(Ajeesh </w:t>
      </w:r>
      <w:r w:rsidR="00590A99" w:rsidRPr="008D6E2C">
        <w:rPr>
          <w:i/>
        </w:rPr>
        <w:t>et al.,</w:t>
      </w:r>
      <w:r w:rsidR="00590A99" w:rsidRPr="00DA3D44">
        <w:t xml:space="preserve"> 2021). </w:t>
      </w:r>
      <w:r w:rsidRPr="00DA3D44">
        <w:t>In contrast to rice and wheat, which primarily utilize the C3 photosynthetic pathway, finger millet employs the more efficien</w:t>
      </w:r>
      <w:r w:rsidR="0051274B">
        <w:t>t C4 pathway, similar to maize</w:t>
      </w:r>
      <w:r w:rsidRPr="00DA3D44">
        <w:t>. This allows finger millet to use water more efficiently and adapt better to high-temperature conditions.</w:t>
      </w:r>
      <w:r w:rsidR="00590A99" w:rsidRPr="00DA3D44">
        <w:t xml:space="preserve"> (</w:t>
      </w:r>
      <w:r w:rsidR="00C73F7B">
        <w:t>Pardo and</w:t>
      </w:r>
      <w:r w:rsidR="00590A99" w:rsidRPr="00DA3D44">
        <w:t xml:space="preserve"> VanBuren, </w:t>
      </w:r>
      <w:proofErr w:type="gramStart"/>
      <w:r w:rsidR="00590A99" w:rsidRPr="00DA3D44">
        <w:t>2021</w:t>
      </w:r>
      <w:r w:rsidR="00B00FC8" w:rsidRPr="00B00FC8">
        <w:t xml:space="preserve"> </w:t>
      </w:r>
      <w:r w:rsidR="00B00FC8">
        <w:t>;</w:t>
      </w:r>
      <w:proofErr w:type="gramEnd"/>
      <w:r w:rsidR="00B00FC8">
        <w:t xml:space="preserve"> </w:t>
      </w:r>
      <w:r w:rsidR="00B00FC8" w:rsidRPr="00DA3D44">
        <w:t xml:space="preserve">Goyal </w:t>
      </w:r>
      <w:r w:rsidR="00B00FC8" w:rsidRPr="00C73F7B">
        <w:rPr>
          <w:i/>
        </w:rPr>
        <w:t>et al</w:t>
      </w:r>
      <w:r w:rsidR="00B00FC8">
        <w:t>., 2023</w:t>
      </w:r>
      <w:r w:rsidR="00590A99" w:rsidRPr="00DA3D44">
        <w:t>)</w:t>
      </w:r>
      <w:r w:rsidR="003272DD">
        <w:t xml:space="preserve">. </w:t>
      </w:r>
      <w:r w:rsidR="0023565F" w:rsidRPr="00DA3D44">
        <w:t>Finger millet is often considered a traditional or "low-status" food, leading to reduced consumption among urban and younger generations. Traditional knowledge associated with millet has declined, diminishing its status in the cultural food hierarchy (Devi et al., 2014).</w:t>
      </w:r>
    </w:p>
    <w:p w14:paraId="27F5C20A" w14:textId="77777777" w:rsidR="00C357C9" w:rsidRPr="00DA3D44" w:rsidRDefault="00131C56" w:rsidP="0074320A">
      <w:pPr>
        <w:spacing w:line="360" w:lineRule="auto"/>
        <w:rPr>
          <w:b/>
        </w:rPr>
      </w:pPr>
      <w:r w:rsidRPr="00DA3D44">
        <w:rPr>
          <w:b/>
        </w:rPr>
        <w:t>2.3</w:t>
      </w:r>
      <w:r w:rsidR="00380745" w:rsidRPr="00DA3D44">
        <w:rPr>
          <w:b/>
        </w:rPr>
        <w:t xml:space="preserve"> </w:t>
      </w:r>
      <w:r w:rsidR="00C357C9" w:rsidRPr="00DA3D44">
        <w:rPr>
          <w:b/>
        </w:rPr>
        <w:t>Adverse Climate effects:</w:t>
      </w:r>
    </w:p>
    <w:p w14:paraId="1A21B8A6" w14:textId="77777777" w:rsidR="00522B50" w:rsidRPr="001C6119" w:rsidRDefault="0006232E" w:rsidP="0074320A">
      <w:pPr>
        <w:pStyle w:val="ListParagraph"/>
        <w:spacing w:line="360" w:lineRule="auto"/>
        <w:ind w:firstLine="720"/>
        <w:rPr>
          <w:rStyle w:val="oypena"/>
        </w:rPr>
      </w:pPr>
      <w:r w:rsidRPr="00DA3D44">
        <w:t xml:space="preserve">Drought affects finger millet in different ways depending on the growth stage. </w:t>
      </w:r>
      <w:r w:rsidR="004C6D51">
        <w:t xml:space="preserve">For example, </w:t>
      </w:r>
      <w:r w:rsidR="004C6D51" w:rsidRPr="00DA3D44">
        <w:t>Maqsood and Ali</w:t>
      </w:r>
      <w:r w:rsidR="004C6D51">
        <w:t>,</w:t>
      </w:r>
      <w:r w:rsidR="004C6D51" w:rsidRPr="00DA3D44">
        <w:t xml:space="preserve"> 2007</w:t>
      </w:r>
      <w:r w:rsidR="004C6D51">
        <w:t xml:space="preserve"> found that drought imposed at </w:t>
      </w:r>
      <w:r w:rsidR="004C6D51" w:rsidRPr="00DA3D44">
        <w:t>flo</w:t>
      </w:r>
      <w:r w:rsidR="004C6D51">
        <w:t xml:space="preserve">wering and grain-filling stages leads to </w:t>
      </w:r>
      <w:r w:rsidRPr="00DA3D44">
        <w:t>significant</w:t>
      </w:r>
      <w:r w:rsidR="004C6D51">
        <w:t xml:space="preserve"> reductions ragi</w:t>
      </w:r>
      <w:r w:rsidRPr="00DA3D44">
        <w:t xml:space="preserve"> </w:t>
      </w:r>
      <w:r w:rsidR="004C6D51" w:rsidRPr="00DA3D44">
        <w:t>yield</w:t>
      </w:r>
      <w:r w:rsidR="004C6D51">
        <w:t xml:space="preserve">. Similarly, </w:t>
      </w:r>
      <w:r w:rsidR="004C6D51" w:rsidRPr="00DA3D44">
        <w:t xml:space="preserve">Mude </w:t>
      </w:r>
      <w:r w:rsidR="004C6D51" w:rsidRPr="00DA3D44">
        <w:rPr>
          <w:i/>
        </w:rPr>
        <w:t>et al.,</w:t>
      </w:r>
      <w:r w:rsidR="004C6D51" w:rsidRPr="00DA3D44">
        <w:t xml:space="preserve"> </w:t>
      </w:r>
      <w:r w:rsidR="004C6D51">
        <w:t>(</w:t>
      </w:r>
      <w:r w:rsidR="004C6D51" w:rsidRPr="00DA3D44">
        <w:t>2020</w:t>
      </w:r>
      <w:r w:rsidR="004C6D51">
        <w:t xml:space="preserve">) also </w:t>
      </w:r>
      <w:r w:rsidR="004C6D51" w:rsidRPr="00DA3D44">
        <w:t>reported</w:t>
      </w:r>
      <w:r w:rsidR="004C6D51">
        <w:t xml:space="preserve"> that i</w:t>
      </w:r>
      <w:r w:rsidRPr="00DA3D44">
        <w:t>ntense drought conditions hinder the growth and yield of finge</w:t>
      </w:r>
      <w:r w:rsidR="00AF559C">
        <w:t>r millet</w:t>
      </w:r>
      <w:r w:rsidR="004C6D51">
        <w:t xml:space="preserve">. </w:t>
      </w:r>
      <w:r w:rsidRPr="00DA3D44">
        <w:t>It was observed that drought stress significantly impacted the germination rate and seedling growth of finger millet</w:t>
      </w:r>
      <w:r w:rsidR="004C6D51">
        <w:t xml:space="preserve"> (</w:t>
      </w:r>
      <w:r w:rsidR="004C6D51" w:rsidRPr="00DA3D44">
        <w:t xml:space="preserve">Mukami </w:t>
      </w:r>
      <w:r w:rsidR="004C6D51" w:rsidRPr="00DA3D44">
        <w:rPr>
          <w:i/>
        </w:rPr>
        <w:t>et al.</w:t>
      </w:r>
      <w:r w:rsidR="004C6D51">
        <w:rPr>
          <w:i/>
        </w:rPr>
        <w:t>,</w:t>
      </w:r>
      <w:r w:rsidR="004C6D51">
        <w:t xml:space="preserve"> </w:t>
      </w:r>
      <w:r w:rsidR="004C6D51" w:rsidRPr="00DA3D44">
        <w:t>2019)</w:t>
      </w:r>
      <w:r w:rsidRPr="00DA3D44">
        <w:t>.</w:t>
      </w:r>
      <w:r w:rsidR="001C6119">
        <w:t xml:space="preserve"> </w:t>
      </w:r>
      <w:r w:rsidR="009E654E" w:rsidRPr="001C6119">
        <w:rPr>
          <w:color w:val="000000" w:themeColor="text1"/>
        </w:rPr>
        <w:t xml:space="preserve">Ramakrishna et al. </w:t>
      </w:r>
      <w:r w:rsidRPr="001C6119">
        <w:rPr>
          <w:color w:val="000000" w:themeColor="text1"/>
        </w:rPr>
        <w:t xml:space="preserve">identified a gene in the finger millet genome, named EcHSP17.8, and found that it becomes more active under extreme temperature conditions. This suggests that plants may be able to detect their molecular susceptibility to heat, offering valuable insights for further research. </w:t>
      </w:r>
      <w:r w:rsidR="009E654E" w:rsidRPr="001C6119">
        <w:rPr>
          <w:color w:val="000000" w:themeColor="text1"/>
        </w:rPr>
        <w:t xml:space="preserve">(Ramakrishna </w:t>
      </w:r>
      <w:r w:rsidR="009E654E" w:rsidRPr="001C6119">
        <w:rPr>
          <w:i/>
          <w:color w:val="000000" w:themeColor="text1"/>
        </w:rPr>
        <w:t>et al.,</w:t>
      </w:r>
      <w:r w:rsidR="009E654E" w:rsidRPr="001C6119">
        <w:rPr>
          <w:color w:val="000000" w:themeColor="text1"/>
        </w:rPr>
        <w:t xml:space="preserve"> 2018). </w:t>
      </w:r>
      <w:r w:rsidRPr="001C6119">
        <w:rPr>
          <w:color w:val="000000" w:themeColor="text1"/>
        </w:rPr>
        <w:t xml:space="preserve">On the other hand, Opole </w:t>
      </w:r>
      <w:r w:rsidRPr="001C6119">
        <w:rPr>
          <w:i/>
          <w:color w:val="000000" w:themeColor="text1"/>
        </w:rPr>
        <w:t>et al.</w:t>
      </w:r>
      <w:r w:rsidRPr="001C6119">
        <w:rPr>
          <w:color w:val="000000" w:themeColor="text1"/>
        </w:rPr>
        <w:t xml:space="preserve"> </w:t>
      </w:r>
      <w:r w:rsidR="001C6119">
        <w:rPr>
          <w:color w:val="000000" w:themeColor="text1"/>
        </w:rPr>
        <w:t>(</w:t>
      </w:r>
      <w:r w:rsidR="00A5160D" w:rsidRPr="001C6119">
        <w:rPr>
          <w:color w:val="000000" w:themeColor="text1"/>
        </w:rPr>
        <w:t>2018</w:t>
      </w:r>
      <w:r w:rsidR="001C6119">
        <w:rPr>
          <w:color w:val="000000" w:themeColor="text1"/>
        </w:rPr>
        <w:t>)</w:t>
      </w:r>
      <w:r w:rsidR="00A5160D" w:rsidRPr="001C6119">
        <w:rPr>
          <w:color w:val="000000" w:themeColor="text1"/>
        </w:rPr>
        <w:t xml:space="preserve"> </w:t>
      </w:r>
      <w:r w:rsidRPr="001C6119">
        <w:rPr>
          <w:color w:val="000000" w:themeColor="text1"/>
        </w:rPr>
        <w:t xml:space="preserve">observed that finger millet is particularly sensitive to high temperatures during its reproductive phase, more so than at any other stage of its life cycle. Additionally, their findings highlighted significant variations in grain yield and the number of seeds per panicle under these conditions, emphasizing the importance of considering genetic diversity when seeking heat-tolerant varieties. </w:t>
      </w:r>
    </w:p>
    <w:p w14:paraId="1AB588EE" w14:textId="77777777" w:rsidR="007F0DEA" w:rsidRPr="00DA3D44" w:rsidRDefault="000B5501" w:rsidP="0074320A">
      <w:pPr>
        <w:pStyle w:val="ListParagraph"/>
        <w:spacing w:line="360" w:lineRule="auto"/>
        <w:rPr>
          <w:rStyle w:val="oypena"/>
          <w:b/>
        </w:rPr>
      </w:pPr>
      <w:r w:rsidRPr="00DA3D44">
        <w:rPr>
          <w:rStyle w:val="oypena"/>
          <w:b/>
        </w:rPr>
        <w:t xml:space="preserve">2.4 </w:t>
      </w:r>
      <w:r w:rsidR="007F0DEA" w:rsidRPr="00DA3D44">
        <w:rPr>
          <w:rStyle w:val="oypena"/>
          <w:b/>
        </w:rPr>
        <w:t>Disease pest infestation</w:t>
      </w:r>
    </w:p>
    <w:p w14:paraId="4152D705" w14:textId="77777777" w:rsidR="0016038F" w:rsidRPr="00DA3D44" w:rsidRDefault="00522B50" w:rsidP="0074320A">
      <w:pPr>
        <w:pStyle w:val="ListParagraph"/>
        <w:spacing w:line="360" w:lineRule="auto"/>
        <w:ind w:firstLine="720"/>
      </w:pPr>
      <w:r w:rsidRPr="00DA3D44">
        <w:lastRenderedPageBreak/>
        <w:t xml:space="preserve">Finger millet is susceptible to various diseases caused by fungal, bacterial, and viral pathogens, including blast, seedling blight, wilt (or foot rot), </w:t>
      </w:r>
      <w:proofErr w:type="spellStart"/>
      <w:r w:rsidRPr="00DA3D44">
        <w:t>Cercospora</w:t>
      </w:r>
      <w:proofErr w:type="spellEnd"/>
      <w:r w:rsidRPr="00DA3D44">
        <w:t xml:space="preserve"> leaf spot, downy mildew, smut, bacterial blight, ragi mottle streak, and ragi severe mosaic. Among these, blast disease targets the leaves, neck, and spikes of the plant, leading to distorted growth and development, which ultimately affects grain production. In Kenya, this disease can result in average yield losses ranging from 20% to 50%, and in severe cases, it can lead to total cro</w:t>
      </w:r>
      <w:r w:rsidR="003D2F8D">
        <w:t>p failure</w:t>
      </w:r>
      <w:r w:rsidR="00DD5F03" w:rsidRPr="00DA3D44">
        <w:t xml:space="preserve"> (</w:t>
      </w:r>
      <w:proofErr w:type="spellStart"/>
      <w:r w:rsidR="00DD5F03" w:rsidRPr="00DA3D44">
        <w:t>Odeph</w:t>
      </w:r>
      <w:proofErr w:type="spellEnd"/>
      <w:r w:rsidR="00DD5F03" w:rsidRPr="00DA3D44">
        <w:t xml:space="preserve"> </w:t>
      </w:r>
      <w:r w:rsidR="00DD5F03" w:rsidRPr="00DA3D44">
        <w:rPr>
          <w:i/>
        </w:rPr>
        <w:t>et al.</w:t>
      </w:r>
      <w:r w:rsidR="00DD5F03" w:rsidRPr="00DA3D44">
        <w:t xml:space="preserve"> 2020).</w:t>
      </w:r>
      <w:r w:rsidR="003D2F8D">
        <w:t xml:space="preserve"> </w:t>
      </w:r>
      <w:r w:rsidRPr="00DA3D44">
        <w:t>Symptoms of blast appeared during the seedling stage and escalated rapidly during the tillering phase, continuing to affect the plants up to the dough stage, which impacted seed formation and resulted in disease symptoms on the fingers of some plants. Banded blight was noted in only one location, while brown spot was observed in two. If timely measures are not implemented to control these minor fungal diseases, they could escalate into major issues, potentially causing considerable damage and reduced yields. Many plant pathologists across India and Nepal have documented findings related to the occurrence of fungal diseases in finger millet</w:t>
      </w:r>
      <w:r w:rsidR="00F1345D" w:rsidRPr="00DA3D44">
        <w:t xml:space="preserve"> (</w:t>
      </w:r>
      <w:r w:rsidR="0016038F" w:rsidRPr="00DA3D44">
        <w:t xml:space="preserve">Patro </w:t>
      </w:r>
      <w:r w:rsidR="0016038F" w:rsidRPr="00EB29F4">
        <w:rPr>
          <w:i/>
        </w:rPr>
        <w:t>et al.</w:t>
      </w:r>
      <w:r w:rsidR="00EB29F4">
        <w:rPr>
          <w:i/>
        </w:rPr>
        <w:t>,</w:t>
      </w:r>
      <w:r w:rsidR="0016038F" w:rsidRPr="00DA3D44">
        <w:t xml:space="preserve"> 2020)</w:t>
      </w:r>
      <w:r w:rsidR="00EB29F4">
        <w:t>.</w:t>
      </w:r>
    </w:p>
    <w:p w14:paraId="220FBC60" w14:textId="77777777" w:rsidR="009E654E" w:rsidRPr="00DA3D44" w:rsidRDefault="00A41B9F" w:rsidP="0074320A">
      <w:pPr>
        <w:pStyle w:val="ListParagraph"/>
        <w:spacing w:line="360" w:lineRule="auto"/>
        <w:ind w:firstLine="720"/>
        <w:rPr>
          <w:color w:val="000000" w:themeColor="text1"/>
          <w:shd w:val="clear" w:color="auto" w:fill="FFFFFF"/>
        </w:rPr>
      </w:pPr>
      <w:r w:rsidRPr="00DA3D44">
        <w:rPr>
          <w:color w:val="000000" w:themeColor="text1"/>
        </w:rPr>
        <w:t xml:space="preserve">The primary pests affecting finger millet include ear head caterpillars, leaf aphids, armyworms, stem borers, cutworms, and autumn armyworms. </w:t>
      </w:r>
      <w:r w:rsidR="004A063D" w:rsidRPr="00DA3D44">
        <w:rPr>
          <w:color w:val="000000" w:themeColor="text1"/>
        </w:rPr>
        <w:t xml:space="preserve">(Adikini </w:t>
      </w:r>
      <w:r w:rsidR="004A063D" w:rsidRPr="00F307B1">
        <w:rPr>
          <w:i/>
          <w:color w:val="000000" w:themeColor="text1"/>
        </w:rPr>
        <w:t>et al.,</w:t>
      </w:r>
      <w:r w:rsidR="00F307B1">
        <w:rPr>
          <w:color w:val="000000" w:themeColor="text1"/>
        </w:rPr>
        <w:t xml:space="preserve"> 2021)</w:t>
      </w:r>
      <w:r w:rsidR="009E654E" w:rsidRPr="00DA3D44">
        <w:rPr>
          <w:color w:val="000000" w:themeColor="text1"/>
        </w:rPr>
        <w:t xml:space="preserve">. </w:t>
      </w:r>
      <w:r w:rsidRPr="00DA3D44">
        <w:rPr>
          <w:color w:val="000000" w:themeColor="text1"/>
        </w:rPr>
        <w:t xml:space="preserve">Common insects that feed on millet include </w:t>
      </w:r>
      <w:proofErr w:type="spellStart"/>
      <w:r w:rsidRPr="004B2D48">
        <w:rPr>
          <w:i/>
          <w:color w:val="000000" w:themeColor="text1"/>
        </w:rPr>
        <w:t>Schizaphis</w:t>
      </w:r>
      <w:proofErr w:type="spellEnd"/>
      <w:r w:rsidRPr="004B2D48">
        <w:rPr>
          <w:i/>
          <w:color w:val="000000" w:themeColor="text1"/>
        </w:rPr>
        <w:t xml:space="preserve"> </w:t>
      </w:r>
      <w:proofErr w:type="spellStart"/>
      <w:r w:rsidRPr="004B2D48">
        <w:rPr>
          <w:i/>
          <w:color w:val="000000" w:themeColor="text1"/>
        </w:rPr>
        <w:t>graminum</w:t>
      </w:r>
      <w:proofErr w:type="spellEnd"/>
      <w:r w:rsidRPr="00DA3D44">
        <w:rPr>
          <w:color w:val="000000" w:themeColor="text1"/>
        </w:rPr>
        <w:t xml:space="preserve"> (green bug) and </w:t>
      </w:r>
      <w:proofErr w:type="spellStart"/>
      <w:r w:rsidRPr="004B2D48">
        <w:rPr>
          <w:i/>
          <w:color w:val="000000" w:themeColor="text1"/>
        </w:rPr>
        <w:t>Blissus</w:t>
      </w:r>
      <w:proofErr w:type="spellEnd"/>
      <w:r w:rsidRPr="004B2D48">
        <w:rPr>
          <w:i/>
          <w:color w:val="000000" w:themeColor="text1"/>
        </w:rPr>
        <w:t xml:space="preserve"> </w:t>
      </w:r>
      <w:proofErr w:type="spellStart"/>
      <w:r w:rsidRPr="004B2D48">
        <w:rPr>
          <w:i/>
          <w:color w:val="000000" w:themeColor="text1"/>
        </w:rPr>
        <w:t>leucopterus</w:t>
      </w:r>
      <w:proofErr w:type="spellEnd"/>
      <w:r w:rsidRPr="00DA3D44">
        <w:rPr>
          <w:color w:val="000000" w:themeColor="text1"/>
        </w:rPr>
        <w:t xml:space="preserve"> (chinch bug). These pests cause wilting or plant death, as well as yellowing and deformation of leaves, by feeding on the sap of newly developed whorls and leaves </w:t>
      </w:r>
      <w:r w:rsidR="009E654E" w:rsidRPr="00DA3D44">
        <w:rPr>
          <w:color w:val="000000" w:themeColor="text1"/>
        </w:rPr>
        <w:t xml:space="preserve">(Akhtar </w:t>
      </w:r>
      <w:r w:rsidR="009E654E" w:rsidRPr="004B2D48">
        <w:rPr>
          <w:i/>
          <w:color w:val="000000" w:themeColor="text1"/>
        </w:rPr>
        <w:t xml:space="preserve">et al., </w:t>
      </w:r>
      <w:r w:rsidR="009E654E" w:rsidRPr="00DA3D44">
        <w:rPr>
          <w:color w:val="000000" w:themeColor="text1"/>
        </w:rPr>
        <w:t>2012)</w:t>
      </w:r>
      <w:r w:rsidR="004B2D48">
        <w:rPr>
          <w:color w:val="000000" w:themeColor="text1"/>
        </w:rPr>
        <w:t>.</w:t>
      </w:r>
    </w:p>
    <w:p w14:paraId="50BA7562" w14:textId="77777777" w:rsidR="003E2257" w:rsidRPr="00DA3D44" w:rsidRDefault="003D2D36" w:rsidP="0074320A">
      <w:pPr>
        <w:spacing w:line="360" w:lineRule="auto"/>
        <w:rPr>
          <w:rFonts w:eastAsia="Times New Roman"/>
          <w:lang w:eastAsia="en-IN"/>
        </w:rPr>
      </w:pPr>
      <w:r w:rsidRPr="00DA3D44">
        <w:rPr>
          <w:rFonts w:eastAsia="Times New Roman"/>
          <w:b/>
          <w:lang w:eastAsia="en-IN"/>
        </w:rPr>
        <w:t xml:space="preserve">2.5 </w:t>
      </w:r>
      <w:r w:rsidR="003E2257" w:rsidRPr="00DA3D44">
        <w:rPr>
          <w:rFonts w:eastAsia="Times New Roman"/>
          <w:b/>
          <w:lang w:eastAsia="en-IN"/>
        </w:rPr>
        <w:t>Limited Research and Development</w:t>
      </w:r>
      <w:r w:rsidR="003E2257" w:rsidRPr="00DA3D44">
        <w:rPr>
          <w:rFonts w:eastAsia="Times New Roman"/>
          <w:lang w:eastAsia="en-IN"/>
        </w:rPr>
        <w:t>:</w:t>
      </w:r>
      <w:r w:rsidR="007461B6" w:rsidRPr="00DA3D44">
        <w:rPr>
          <w:rFonts w:eastAsia="Times New Roman"/>
          <w:lang w:eastAsia="en-IN"/>
        </w:rPr>
        <w:t xml:space="preserve"> </w:t>
      </w:r>
    </w:p>
    <w:p w14:paraId="1C360785" w14:textId="77777777" w:rsidR="00B64B71" w:rsidRPr="00DA3D44" w:rsidRDefault="00A928FD" w:rsidP="0074320A">
      <w:pPr>
        <w:spacing w:line="360" w:lineRule="auto"/>
        <w:ind w:left="420" w:firstLine="300"/>
        <w:rPr>
          <w:rFonts w:eastAsia="Times New Roman"/>
          <w:lang w:eastAsia="en-IN"/>
        </w:rPr>
      </w:pPr>
      <w:r>
        <w:rPr>
          <w:rFonts w:eastAsia="Times New Roman"/>
          <w:lang w:eastAsia="en-IN"/>
        </w:rPr>
        <w:t>M</w:t>
      </w:r>
      <w:r w:rsidRPr="00DA3D44">
        <w:rPr>
          <w:rFonts w:eastAsia="Times New Roman"/>
          <w:lang w:eastAsia="en-IN"/>
        </w:rPr>
        <w:t xml:space="preserve">illets often receive less attention and investment in research and development </w:t>
      </w:r>
      <w:r w:rsidR="00522B50" w:rsidRPr="00DA3D44">
        <w:rPr>
          <w:rFonts w:eastAsia="Times New Roman"/>
          <w:lang w:eastAsia="en-IN"/>
        </w:rPr>
        <w:t>Compared to s</w:t>
      </w:r>
      <w:r>
        <w:rPr>
          <w:rFonts w:eastAsia="Times New Roman"/>
          <w:lang w:eastAsia="en-IN"/>
        </w:rPr>
        <w:t>taple crops like rice and wheat</w:t>
      </w:r>
      <w:r w:rsidR="00522B50" w:rsidRPr="00DA3D44">
        <w:rPr>
          <w:rFonts w:eastAsia="Times New Roman"/>
          <w:lang w:eastAsia="en-IN"/>
        </w:rPr>
        <w:t xml:space="preserve">. As a result, there is a lack of technological advancements, effective agronomic practices, and the creation of improved varieties suited for various growing </w:t>
      </w:r>
      <w:r w:rsidR="00667B84" w:rsidRPr="00DA3D44">
        <w:rPr>
          <w:rFonts w:eastAsia="Times New Roman"/>
          <w:lang w:eastAsia="en-IN"/>
        </w:rPr>
        <w:t>conditions. Despite</w:t>
      </w:r>
      <w:r w:rsidR="00A93B0D" w:rsidRPr="00DA3D44">
        <w:rPr>
          <w:rFonts w:eastAsia="Times New Roman"/>
          <w:lang w:eastAsia="en-IN"/>
        </w:rPr>
        <w:t xml:space="preserve"> its nutritional and functional benefits, there is insufficient research and investment in value addition, post-harvest technologies, and product development for food produ</w:t>
      </w:r>
      <w:r w:rsidR="009955DF" w:rsidRPr="00DA3D44">
        <w:rPr>
          <w:rFonts w:eastAsia="Times New Roman"/>
          <w:lang w:eastAsia="en-IN"/>
        </w:rPr>
        <w:t xml:space="preserve">cts derived from finger millet </w:t>
      </w:r>
      <w:r w:rsidR="00F266B1" w:rsidRPr="00DA3D44">
        <w:rPr>
          <w:rFonts w:eastAsia="Times New Roman"/>
          <w:lang w:eastAsia="en-IN"/>
        </w:rPr>
        <w:t xml:space="preserve">(Saleh </w:t>
      </w:r>
      <w:r w:rsidR="00F266B1" w:rsidRPr="00DA3D44">
        <w:rPr>
          <w:rFonts w:eastAsia="Times New Roman"/>
          <w:i/>
          <w:lang w:eastAsia="en-IN"/>
        </w:rPr>
        <w:t>et al.,</w:t>
      </w:r>
      <w:r w:rsidR="00F266B1" w:rsidRPr="00DA3D44">
        <w:rPr>
          <w:rFonts w:eastAsia="Times New Roman"/>
          <w:lang w:eastAsia="en-IN"/>
        </w:rPr>
        <w:t xml:space="preserve"> 2013)</w:t>
      </w:r>
      <w:r w:rsidR="00650842" w:rsidRPr="00DA3D44">
        <w:rPr>
          <w:rFonts w:eastAsia="Times New Roman"/>
          <w:lang w:eastAsia="en-IN"/>
        </w:rPr>
        <w:t>.</w:t>
      </w:r>
    </w:p>
    <w:p w14:paraId="5FCB47C4" w14:textId="77777777" w:rsidR="00A41B9F" w:rsidRPr="00114E3E" w:rsidRDefault="00A93B0D" w:rsidP="0074320A">
      <w:pPr>
        <w:spacing w:line="360" w:lineRule="auto"/>
        <w:ind w:left="420" w:firstLine="300"/>
        <w:rPr>
          <w:rFonts w:eastAsia="Times New Roman"/>
          <w:lang w:eastAsia="en-IN"/>
        </w:rPr>
      </w:pPr>
      <w:r w:rsidRPr="00DA3D44">
        <w:rPr>
          <w:rFonts w:eastAsia="Times New Roman"/>
          <w:lang w:eastAsia="en-IN"/>
        </w:rPr>
        <w:t>Although biotechnological tools such as molecular markers, genomics, and genetic engineering have been widely applied in other crops, their use in finger millet is still restricted. This limitation is primarily due to insufficient research infrastructure, expert</w:t>
      </w:r>
      <w:r w:rsidR="005255D6" w:rsidRPr="00DA3D44">
        <w:rPr>
          <w:rFonts w:eastAsia="Times New Roman"/>
          <w:lang w:eastAsia="en-IN"/>
        </w:rPr>
        <w:t>ise, and investment in the crop</w:t>
      </w:r>
      <w:r w:rsidR="00F266B1" w:rsidRPr="00DA3D44">
        <w:rPr>
          <w:rFonts w:eastAsia="Times New Roman"/>
          <w:lang w:eastAsia="en-IN"/>
        </w:rPr>
        <w:t xml:space="preserve"> (Ceasar </w:t>
      </w:r>
      <w:r w:rsidR="00F266B1" w:rsidRPr="00DA3D44">
        <w:rPr>
          <w:rFonts w:eastAsia="Times New Roman"/>
          <w:i/>
          <w:lang w:eastAsia="en-IN"/>
        </w:rPr>
        <w:t>et al.,</w:t>
      </w:r>
      <w:r w:rsidR="00F266B1" w:rsidRPr="00DA3D44">
        <w:rPr>
          <w:rFonts w:eastAsia="Times New Roman"/>
          <w:lang w:eastAsia="en-IN"/>
        </w:rPr>
        <w:t xml:space="preserve"> 2014; Kumar &amp; </w:t>
      </w:r>
      <w:proofErr w:type="spellStart"/>
      <w:r w:rsidR="00F266B1" w:rsidRPr="00DA3D44">
        <w:rPr>
          <w:rFonts w:eastAsia="Times New Roman"/>
          <w:lang w:eastAsia="en-IN"/>
        </w:rPr>
        <w:t>Metwal</w:t>
      </w:r>
      <w:proofErr w:type="spellEnd"/>
      <w:r w:rsidR="00F266B1" w:rsidRPr="00DA3D44">
        <w:rPr>
          <w:rFonts w:eastAsia="Times New Roman"/>
          <w:lang w:eastAsia="en-IN"/>
        </w:rPr>
        <w:t>, 2017)</w:t>
      </w:r>
      <w:r w:rsidR="00114E3E">
        <w:rPr>
          <w:rFonts w:eastAsia="Times New Roman"/>
          <w:lang w:eastAsia="en-IN"/>
        </w:rPr>
        <w:t xml:space="preserve">. </w:t>
      </w:r>
      <w:r w:rsidR="009E654E" w:rsidRPr="00DA3D44">
        <w:rPr>
          <w:color w:val="000000" w:themeColor="text1"/>
        </w:rPr>
        <w:lastRenderedPageBreak/>
        <w:t xml:space="preserve">According to Nair and Devi (2024), </w:t>
      </w:r>
      <w:r w:rsidR="00B54FDB">
        <w:rPr>
          <w:color w:val="000000" w:themeColor="text1"/>
        </w:rPr>
        <w:t>a</w:t>
      </w:r>
      <w:r w:rsidR="00A41B9F" w:rsidRPr="00DA3D44">
        <w:rPr>
          <w:color w:val="000000" w:themeColor="text1"/>
        </w:rPr>
        <w:t>dvancements in plant breeding technology, such as speed breeding, genomic selection, genome editing, and high-throughput phenotyping, have revolutionized crop improvement. By applying these modern techniques, genome-assisted breeding can be utilized to enhance both the yield and quality of finger millet</w:t>
      </w:r>
      <w:r w:rsidR="00A41B9F" w:rsidRPr="00DA3D44">
        <w:t>.</w:t>
      </w:r>
    </w:p>
    <w:p w14:paraId="148D0ADD" w14:textId="77777777" w:rsidR="00AF1B14" w:rsidRPr="00DA3D44" w:rsidRDefault="00035253" w:rsidP="0074320A">
      <w:pPr>
        <w:spacing w:line="360" w:lineRule="auto"/>
        <w:ind w:left="420"/>
        <w:rPr>
          <w:b/>
          <w:shd w:val="clear" w:color="auto" w:fill="FFFFFF"/>
        </w:rPr>
      </w:pPr>
      <w:r w:rsidRPr="00DA3D44">
        <w:rPr>
          <w:b/>
          <w:shd w:val="clear" w:color="auto" w:fill="FFFFFF"/>
        </w:rPr>
        <w:t xml:space="preserve">2.6 </w:t>
      </w:r>
      <w:r w:rsidR="00AF1B14" w:rsidRPr="00DA3D44">
        <w:rPr>
          <w:b/>
          <w:shd w:val="clear" w:color="auto" w:fill="FFFFFF"/>
        </w:rPr>
        <w:t xml:space="preserve">Poor Policies </w:t>
      </w:r>
      <w:r w:rsidR="00AF559C">
        <w:rPr>
          <w:b/>
          <w:shd w:val="clear" w:color="auto" w:fill="FFFFFF"/>
        </w:rPr>
        <w:t>and Market Facilities</w:t>
      </w:r>
    </w:p>
    <w:p w14:paraId="01E67FE7" w14:textId="77777777" w:rsidR="00F271A9" w:rsidRPr="00DA3D44" w:rsidRDefault="00454D8D" w:rsidP="0074320A">
      <w:pPr>
        <w:spacing w:line="360" w:lineRule="auto"/>
        <w:ind w:firstLine="420"/>
        <w:rPr>
          <w:shd w:val="clear" w:color="auto" w:fill="FFFFFF"/>
        </w:rPr>
      </w:pPr>
      <w:r w:rsidRPr="00DA3D44">
        <w:rPr>
          <w:shd w:val="clear" w:color="auto" w:fill="FFFFFF"/>
        </w:rPr>
        <w:t xml:space="preserve">Ineffective government policies, such as minimum support prices (MSP), significantly impact finger millet cultivation. Farmers tend to grow crops that offer better economic returns. The Government of India announces the MSP for finger millet annually, and it has been increasing consistently over the years. For the 2022-23 </w:t>
      </w:r>
      <w:r w:rsidR="00CE22F7" w:rsidRPr="00DA3D44">
        <w:rPr>
          <w:shd w:val="clear" w:color="auto" w:fill="FFFFFF"/>
        </w:rPr>
        <w:t>seasons</w:t>
      </w:r>
      <w:r w:rsidRPr="00DA3D44">
        <w:rPr>
          <w:shd w:val="clear" w:color="auto" w:fill="FFFFFF"/>
        </w:rPr>
        <w:t>, the MSP was raised by 5.95%, from ₹3,377 per quintal in the previous year to ₹3,578 per quintal (Ministry of Agriculture &amp; Farmers Welfare, 2022). This increase in MSP is intended to encourage farmers to cultivate more finger millet and enhance its productivity. Additionally, finger millet is well-adapted to the Indian climate, thriving in both high and low rainfall regions, making it an i</w:t>
      </w:r>
      <w:r w:rsidR="00CE22F7" w:rsidRPr="00DA3D44">
        <w:rPr>
          <w:shd w:val="clear" w:color="auto" w:fill="FFFFFF"/>
        </w:rPr>
        <w:t>mportant crop for small farmers</w:t>
      </w:r>
      <w:r w:rsidRPr="00DA3D44">
        <w:rPr>
          <w:shd w:val="clear" w:color="auto" w:fill="FFFFFF"/>
        </w:rPr>
        <w:t xml:space="preserve"> </w:t>
      </w:r>
      <w:r w:rsidR="00CE22F7" w:rsidRPr="00DA3D44">
        <w:rPr>
          <w:shd w:val="clear" w:color="auto" w:fill="FFFFFF"/>
        </w:rPr>
        <w:t>(Chand</w:t>
      </w:r>
      <w:r w:rsidR="005C7449" w:rsidRPr="00DA3D44">
        <w:rPr>
          <w:shd w:val="clear" w:color="auto" w:fill="FFFFFF"/>
        </w:rPr>
        <w:t xml:space="preserve"> </w:t>
      </w:r>
      <w:r w:rsidR="005C7449" w:rsidRPr="00DA3D44">
        <w:rPr>
          <w:i/>
          <w:shd w:val="clear" w:color="auto" w:fill="FFFFFF"/>
        </w:rPr>
        <w:t>et al</w:t>
      </w:r>
      <w:r w:rsidR="0063531E">
        <w:rPr>
          <w:i/>
          <w:shd w:val="clear" w:color="auto" w:fill="FFFFFF"/>
        </w:rPr>
        <w:t>.,</w:t>
      </w:r>
      <w:r w:rsidR="005C7449" w:rsidRPr="00DA3D44">
        <w:rPr>
          <w:shd w:val="clear" w:color="auto" w:fill="FFFFFF"/>
        </w:rPr>
        <w:t xml:space="preserve"> 2022)</w:t>
      </w:r>
      <w:r w:rsidR="00CE22F7" w:rsidRPr="00DA3D44">
        <w:rPr>
          <w:shd w:val="clear" w:color="auto" w:fill="FFFFFF"/>
        </w:rPr>
        <w:t>.</w:t>
      </w:r>
    </w:p>
    <w:p w14:paraId="02C57C91" w14:textId="77777777" w:rsidR="003E2257" w:rsidRPr="00DA3D44" w:rsidRDefault="00DB6117" w:rsidP="0074320A">
      <w:pPr>
        <w:spacing w:line="360" w:lineRule="auto"/>
        <w:rPr>
          <w:b/>
          <w:shd w:val="clear" w:color="auto" w:fill="FFFFFF"/>
        </w:rPr>
      </w:pPr>
      <w:r w:rsidRPr="00DA3D44">
        <w:rPr>
          <w:b/>
          <w:shd w:val="clear" w:color="auto" w:fill="FFFFFF"/>
        </w:rPr>
        <w:t xml:space="preserve">2.7 </w:t>
      </w:r>
      <w:r w:rsidR="00AF1B14" w:rsidRPr="00DA3D44">
        <w:rPr>
          <w:b/>
          <w:shd w:val="clear" w:color="auto" w:fill="FFFFFF"/>
        </w:rPr>
        <w:t>Post-H</w:t>
      </w:r>
      <w:r w:rsidR="003E2257" w:rsidRPr="00DA3D44">
        <w:rPr>
          <w:b/>
          <w:shd w:val="clear" w:color="auto" w:fill="FFFFFF"/>
        </w:rPr>
        <w:t>arvest</w:t>
      </w:r>
      <w:r w:rsidR="00AF1B14" w:rsidRPr="00DA3D44">
        <w:rPr>
          <w:b/>
          <w:shd w:val="clear" w:color="auto" w:fill="FFFFFF"/>
        </w:rPr>
        <w:t xml:space="preserve"> M</w:t>
      </w:r>
      <w:r w:rsidR="003E2257" w:rsidRPr="00DA3D44">
        <w:rPr>
          <w:b/>
          <w:shd w:val="clear" w:color="auto" w:fill="FFFFFF"/>
        </w:rPr>
        <w:t>anagement:</w:t>
      </w:r>
    </w:p>
    <w:p w14:paraId="6D486A44" w14:textId="77777777" w:rsidR="00FD76B3" w:rsidRPr="00DA3D44" w:rsidRDefault="00FD76B3" w:rsidP="0074320A">
      <w:pPr>
        <w:spacing w:line="360" w:lineRule="auto"/>
        <w:ind w:firstLine="720"/>
        <w:rPr>
          <w:rFonts w:eastAsia="Times New Roman"/>
          <w:lang w:eastAsia="en-IN"/>
        </w:rPr>
      </w:pPr>
      <w:r w:rsidRPr="00DA3D44">
        <w:rPr>
          <w:shd w:val="clear" w:color="auto" w:fill="FFFFFF"/>
        </w:rPr>
        <w:t xml:space="preserve">Yield loss attributed to blast disease was recognized as the primary constraint to finger millet production by 94% of the respondents. In addition to blast disease, the </w:t>
      </w:r>
      <w:proofErr w:type="spellStart"/>
      <w:r w:rsidRPr="00DA3D44">
        <w:rPr>
          <w:shd w:val="clear" w:color="auto" w:fill="FFFFFF"/>
        </w:rPr>
        <w:t>labor-intensive</w:t>
      </w:r>
      <w:proofErr w:type="spellEnd"/>
      <w:r w:rsidRPr="00DA3D44">
        <w:rPr>
          <w:shd w:val="clear" w:color="auto" w:fill="FFFFFF"/>
        </w:rPr>
        <w:t xml:space="preserve"> nature of field practices, particularly planting and hand-</w:t>
      </w:r>
      <w:r w:rsidR="002808D2" w:rsidRPr="00DA3D44">
        <w:rPr>
          <w:shd w:val="clear" w:color="auto" w:fill="FFFFFF"/>
        </w:rPr>
        <w:t>weeding</w:t>
      </w:r>
      <w:r w:rsidRPr="00DA3D44">
        <w:rPr>
          <w:shd w:val="clear" w:color="auto" w:fill="FFFFFF"/>
        </w:rPr>
        <w:t xml:space="preserve"> was reported as a significant challenge by 53% of those surveyed. Bird damage was also noted as an issue by 38% of the respondents. Furthermore, only 22% indicated that they had benefited from training on finger millet production or had received seeds of improved varieties </w:t>
      </w:r>
      <w:r w:rsidR="00B16AFA">
        <w:rPr>
          <w:shd w:val="clear" w:color="auto" w:fill="FFFFFF"/>
        </w:rPr>
        <w:t>(</w:t>
      </w:r>
      <w:proofErr w:type="spellStart"/>
      <w:r w:rsidR="00E727C8">
        <w:rPr>
          <w:shd w:val="clear" w:color="auto" w:fill="FFFFFF"/>
        </w:rPr>
        <w:t>K</w:t>
      </w:r>
      <w:r w:rsidR="00311B7E" w:rsidRPr="00DA3D44">
        <w:rPr>
          <w:shd w:val="clear" w:color="auto" w:fill="FFFFFF"/>
        </w:rPr>
        <w:t>avoo</w:t>
      </w:r>
      <w:proofErr w:type="spellEnd"/>
      <w:r w:rsidR="00311B7E" w:rsidRPr="00DA3D44">
        <w:rPr>
          <w:shd w:val="clear" w:color="auto" w:fill="FFFFFF"/>
        </w:rPr>
        <w:t xml:space="preserve"> </w:t>
      </w:r>
      <w:r w:rsidR="00311B7E" w:rsidRPr="00DA3D44">
        <w:rPr>
          <w:i/>
          <w:shd w:val="clear" w:color="auto" w:fill="FFFFFF"/>
        </w:rPr>
        <w:t>et al</w:t>
      </w:r>
      <w:r w:rsidR="00311B7E" w:rsidRPr="00DA3D44">
        <w:rPr>
          <w:shd w:val="clear" w:color="auto" w:fill="FFFFFF"/>
        </w:rPr>
        <w:t xml:space="preserve"> 2021)</w:t>
      </w:r>
      <w:r w:rsidR="000B689F" w:rsidRPr="00DA3D44">
        <w:rPr>
          <w:shd w:val="clear" w:color="auto" w:fill="FFFFFF"/>
        </w:rPr>
        <w:t xml:space="preserve">. </w:t>
      </w:r>
      <w:r w:rsidRPr="00DA3D44">
        <w:rPr>
          <w:rFonts w:eastAsia="Times New Roman"/>
          <w:lang w:eastAsia="en-IN"/>
        </w:rPr>
        <w:t>The lack of sufficient infrastructure for storage, transportation, and processing leads to considerable post-harvest losses in millet production. Inadequate facilities prevent farmers from preserving the quality of their crops and efficiently reaching more distant markets.</w:t>
      </w:r>
    </w:p>
    <w:p w14:paraId="0E21AE42" w14:textId="77777777" w:rsidR="002A4FCC" w:rsidRPr="00C43F87" w:rsidRDefault="00C43F87" w:rsidP="0074320A">
      <w:pPr>
        <w:spacing w:line="360" w:lineRule="auto"/>
        <w:rPr>
          <w:b/>
        </w:rPr>
      </w:pPr>
      <w:r>
        <w:rPr>
          <w:b/>
        </w:rPr>
        <w:t xml:space="preserve">3. </w:t>
      </w:r>
      <w:r w:rsidR="006E08B0" w:rsidRPr="00C43F87">
        <w:rPr>
          <w:b/>
        </w:rPr>
        <w:t>Prospects</w:t>
      </w:r>
      <w:r w:rsidR="002547C1" w:rsidRPr="00C43F87">
        <w:rPr>
          <w:b/>
        </w:rPr>
        <w:t xml:space="preserve"> of Millet Cultivation</w:t>
      </w:r>
    </w:p>
    <w:p w14:paraId="3D26DA0A" w14:textId="77777777" w:rsidR="001D4F5A" w:rsidRPr="00DA3D44" w:rsidRDefault="001D4F5A" w:rsidP="0074320A">
      <w:pPr>
        <w:spacing w:line="360" w:lineRule="auto"/>
      </w:pPr>
      <w:r w:rsidRPr="00DA3D44">
        <w:t xml:space="preserve">Millets have great prospects for cultivation in India, given their adaptability to various agro-climatic conditions and their multiple benefits (Sreekala </w:t>
      </w:r>
      <w:r w:rsidRPr="00C43F87">
        <w:rPr>
          <w:i/>
        </w:rPr>
        <w:t>et al.,</w:t>
      </w:r>
      <w:r w:rsidRPr="00DA3D44">
        <w:t xml:space="preserve"> 2023). </w:t>
      </w:r>
    </w:p>
    <w:p w14:paraId="16879717" w14:textId="77777777" w:rsidR="004D6F60" w:rsidRDefault="003102DA" w:rsidP="0074320A">
      <w:pPr>
        <w:spacing w:line="360" w:lineRule="auto"/>
      </w:pPr>
      <w:r>
        <w:rPr>
          <w:b/>
        </w:rPr>
        <w:t xml:space="preserve">3.1 </w:t>
      </w:r>
      <w:r w:rsidR="00CE459D" w:rsidRPr="00DA3D44">
        <w:rPr>
          <w:b/>
        </w:rPr>
        <w:t>Low carbon footprint</w:t>
      </w:r>
      <w:r w:rsidR="00CE459D" w:rsidRPr="00DA3D44">
        <w:t xml:space="preserve"> </w:t>
      </w:r>
    </w:p>
    <w:p w14:paraId="6ABBFE95" w14:textId="77777777" w:rsidR="00FD76B3" w:rsidRPr="00DA3D44" w:rsidRDefault="00CE459D" w:rsidP="0074320A">
      <w:pPr>
        <w:spacing w:line="360" w:lineRule="auto"/>
        <w:ind w:firstLine="720"/>
      </w:pPr>
      <w:r w:rsidRPr="00DA3D44">
        <w:t xml:space="preserve">Aishik and Udit (2023) </w:t>
      </w:r>
      <w:r w:rsidR="00FD76B3" w:rsidRPr="00DA3D44">
        <w:t>in their review, it was determined that among all major cereal crops, wheat produces the highest greenhouse gas emissions, approximately 4 tons of CO</w:t>
      </w:r>
      <w:r w:rsidR="00FD76B3" w:rsidRPr="00320A88">
        <w:rPr>
          <w:vertAlign w:val="subscript"/>
        </w:rPr>
        <w:t xml:space="preserve">2 </w:t>
      </w:r>
      <w:r w:rsidR="00FD76B3" w:rsidRPr="00DA3D44">
        <w:t>equivalent per hectare, followed by rice and maize, which emit around 3.4 tons of CO</w:t>
      </w:r>
      <w:r w:rsidR="00FD76B3" w:rsidRPr="00320A88">
        <w:rPr>
          <w:vertAlign w:val="subscript"/>
        </w:rPr>
        <w:t xml:space="preserve">2 </w:t>
      </w:r>
      <w:r w:rsidR="00FD76B3" w:rsidRPr="00DA3D44">
        <w:lastRenderedPageBreak/>
        <w:t>equivalent per hectare. In contrast, millet helps mitigate climate change due to its low carbon footprint, estimated at 3,218 kilograms of CO</w:t>
      </w:r>
      <w:r w:rsidR="00FD76B3" w:rsidRPr="00DA3D44">
        <w:rPr>
          <w:vertAlign w:val="subscript"/>
        </w:rPr>
        <w:t>2</w:t>
      </w:r>
      <w:r w:rsidR="00FD76B3" w:rsidRPr="00DA3D44">
        <w:t xml:space="preserve"> equivalent per hectare. Additionally, millets have the lowest carbon equivalent emissions, at 878 kg C per hectare.</w:t>
      </w:r>
    </w:p>
    <w:p w14:paraId="492280EE" w14:textId="77777777" w:rsidR="00EE1856" w:rsidRDefault="001849E2" w:rsidP="0074320A">
      <w:pPr>
        <w:spacing w:line="360" w:lineRule="auto"/>
        <w:rPr>
          <w:b/>
        </w:rPr>
      </w:pPr>
      <w:r>
        <w:rPr>
          <w:b/>
        </w:rPr>
        <w:t xml:space="preserve">3.2 </w:t>
      </w:r>
      <w:r w:rsidR="00382B82" w:rsidRPr="00DA3D44">
        <w:rPr>
          <w:b/>
        </w:rPr>
        <w:t>Health Outcome</w:t>
      </w:r>
    </w:p>
    <w:p w14:paraId="4BB90C64" w14:textId="77777777" w:rsidR="007B364B" w:rsidRPr="00DA3D44" w:rsidRDefault="00382B82" w:rsidP="0074320A">
      <w:pPr>
        <w:spacing w:line="360" w:lineRule="auto"/>
        <w:ind w:firstLine="720"/>
      </w:pPr>
      <w:r w:rsidRPr="00DA3D44">
        <w:t xml:space="preserve"> </w:t>
      </w:r>
      <w:r w:rsidR="00FD76B3" w:rsidRPr="00DA3D44">
        <w:t xml:space="preserve">Millets provide significant nutritional benefits, with protein, dietary </w:t>
      </w:r>
      <w:proofErr w:type="spellStart"/>
      <w:r w:rsidR="00FD76B3" w:rsidRPr="00DA3D44">
        <w:t>fiber</w:t>
      </w:r>
      <w:proofErr w:type="spellEnd"/>
      <w:r w:rsidR="00FD76B3" w:rsidRPr="00DA3D44">
        <w:t>, iron, and calcium levels that are 2 to 10 times higher than those found in staple cereals such as wheat and rice. Incorporating millet-based foods, which are rich in nutrients and possess anti-inflammatory and antioxidative properties, ca</w:t>
      </w:r>
      <w:r w:rsidR="009B4C8D">
        <w:t xml:space="preserve">n contribute to </w:t>
      </w:r>
      <w:r w:rsidR="005519D6">
        <w:t>improve</w:t>
      </w:r>
      <w:r w:rsidR="009B4C8D">
        <w:t xml:space="preserve"> health</w:t>
      </w:r>
      <w:r w:rsidR="007B364B" w:rsidRPr="00DA3D44">
        <w:t xml:space="preserve"> (</w:t>
      </w:r>
      <w:r w:rsidR="007B364B" w:rsidRPr="00DA3D44">
        <w:rPr>
          <w:color w:val="222222"/>
          <w:shd w:val="clear" w:color="auto" w:fill="FFFFFF"/>
        </w:rPr>
        <w:t xml:space="preserve">Sendhil </w:t>
      </w:r>
      <w:r w:rsidR="007B364B" w:rsidRPr="005519D6">
        <w:rPr>
          <w:i/>
          <w:color w:val="222222"/>
          <w:shd w:val="clear" w:color="auto" w:fill="FFFFFF"/>
        </w:rPr>
        <w:t>et al.,</w:t>
      </w:r>
      <w:r w:rsidR="007B364B" w:rsidRPr="00DA3D44">
        <w:rPr>
          <w:color w:val="222222"/>
          <w:shd w:val="clear" w:color="auto" w:fill="FFFFFF"/>
        </w:rPr>
        <w:t xml:space="preserve"> 2023)</w:t>
      </w:r>
      <w:r w:rsidR="004A063D" w:rsidRPr="00DA3D44">
        <w:rPr>
          <w:lang w:eastAsia="en-IN"/>
        </w:rPr>
        <w:t xml:space="preserve"> Finger millet contains bioactive compounds, such as antioxidants and </w:t>
      </w:r>
      <w:r w:rsidR="00784E74" w:rsidRPr="00DA3D44">
        <w:rPr>
          <w:lang w:eastAsia="en-IN"/>
        </w:rPr>
        <w:t>phytochemicals that</w:t>
      </w:r>
      <w:r w:rsidR="004A063D" w:rsidRPr="00DA3D44">
        <w:rPr>
          <w:lang w:eastAsia="en-IN"/>
        </w:rPr>
        <w:t xml:space="preserve"> may offer various health benefits. Research is increasingly focusing on the incorporation of finger millet into func</w:t>
      </w:r>
      <w:r w:rsidR="00784E74">
        <w:rPr>
          <w:lang w:eastAsia="en-IN"/>
        </w:rPr>
        <w:t>tional foods and nutraceuticals</w:t>
      </w:r>
      <w:r w:rsidR="004A063D" w:rsidRPr="00DA3D44">
        <w:rPr>
          <w:lang w:eastAsia="en-IN"/>
        </w:rPr>
        <w:t xml:space="preserve"> (Rajput </w:t>
      </w:r>
      <w:r w:rsidR="004A063D" w:rsidRPr="00DA3D44">
        <w:rPr>
          <w:i/>
          <w:lang w:eastAsia="en-IN"/>
        </w:rPr>
        <w:t>et al.,</w:t>
      </w:r>
      <w:r w:rsidR="004A063D" w:rsidRPr="00DA3D44">
        <w:rPr>
          <w:lang w:eastAsia="en-IN"/>
        </w:rPr>
        <w:t xml:space="preserve"> 2021). From an agricultural perspective, finger millets promote low-input and organic farming practices, requiring minimal water and fertilizer. This approach enhances soil health and supports sustainable farming, benefiting both the environment and farmers. In terms of food security, finger millets significantly contribute due to their nutritional value, adaptability, and resilience. They are an essential staple, especially in areas vulnerable to environmental and market challenges, helping to create a more secure food landscape for many communities </w:t>
      </w:r>
    </w:p>
    <w:p w14:paraId="151D41AE" w14:textId="77777777" w:rsidR="00784E74" w:rsidRDefault="00BD7E10" w:rsidP="0074320A">
      <w:pPr>
        <w:spacing w:line="360" w:lineRule="auto"/>
        <w:rPr>
          <w:b/>
        </w:rPr>
      </w:pPr>
      <w:r w:rsidRPr="001A6479">
        <w:rPr>
          <w:b/>
        </w:rPr>
        <w:t>3.3</w:t>
      </w:r>
      <w:r w:rsidR="00382B82" w:rsidRPr="00DA3D44">
        <w:t xml:space="preserve"> </w:t>
      </w:r>
      <w:r w:rsidR="00382B82" w:rsidRPr="00DA3D44">
        <w:rPr>
          <w:b/>
        </w:rPr>
        <w:t>Preserving Water Resources</w:t>
      </w:r>
    </w:p>
    <w:p w14:paraId="1E6D7286" w14:textId="77777777" w:rsidR="007B364B" w:rsidRPr="00DA3D44" w:rsidRDefault="00382B82" w:rsidP="0074320A">
      <w:pPr>
        <w:spacing w:line="360" w:lineRule="auto"/>
        <w:ind w:firstLine="720"/>
      </w:pPr>
      <w:r w:rsidRPr="00DA3D44">
        <w:t xml:space="preserve"> </w:t>
      </w:r>
      <w:r w:rsidR="00FD76B3" w:rsidRPr="00DA3D44">
        <w:t xml:space="preserve">Millets are well-suited for arid regions, needing only 300-400 mm of water for cultivation. This is significantly less than the water requirements for crops like rice, which needs 1400-1500 mm, and sugarcane, which requires 1900-2000 mm. As a result, millets help conserve essential water resources </w:t>
      </w:r>
      <w:r w:rsidR="007B364B" w:rsidRPr="00DA3D44">
        <w:t>(</w:t>
      </w:r>
      <w:r w:rsidR="007B364B" w:rsidRPr="00DA3D44">
        <w:rPr>
          <w:color w:val="222222"/>
          <w:shd w:val="clear" w:color="auto" w:fill="FFFFFF"/>
        </w:rPr>
        <w:t>Joseph et al., 2023))</w:t>
      </w:r>
    </w:p>
    <w:p w14:paraId="67CF4F00" w14:textId="77777777" w:rsidR="00C56277" w:rsidRDefault="004A454C" w:rsidP="0074320A">
      <w:pPr>
        <w:spacing w:line="360" w:lineRule="auto"/>
        <w:rPr>
          <w:b/>
        </w:rPr>
      </w:pPr>
      <w:r>
        <w:rPr>
          <w:b/>
        </w:rPr>
        <w:t xml:space="preserve">3.4 </w:t>
      </w:r>
      <w:r w:rsidR="006136E1" w:rsidRPr="00DA3D44">
        <w:rPr>
          <w:b/>
        </w:rPr>
        <w:t xml:space="preserve">Addressing </w:t>
      </w:r>
      <w:r w:rsidR="00C56277">
        <w:rPr>
          <w:b/>
        </w:rPr>
        <w:t>Malnutrition</w:t>
      </w:r>
    </w:p>
    <w:p w14:paraId="1716A86A" w14:textId="77777777" w:rsidR="00FD76B3" w:rsidRPr="00DA3D44" w:rsidRDefault="006136E1" w:rsidP="0074320A">
      <w:pPr>
        <w:spacing w:line="360" w:lineRule="auto"/>
        <w:ind w:firstLine="720"/>
      </w:pPr>
      <w:r w:rsidRPr="00DA3D44">
        <w:t xml:space="preserve"> </w:t>
      </w:r>
      <w:r w:rsidR="00FD76B3" w:rsidRPr="00DA3D44">
        <w:t>Millets present a powerful solution to malnutrition, offering greater nutritional value than wheat and rice. They release sugars slowly, which helps reduce the frequency of hunger and supports efforts to achieve the Zero Hunger Goal. The future of millet cultivation in India looks promising, and various initiatives aimed at promoting their production and consumption can contribute to achieving multiple interrelated Sustainable Development Goals (SDGs). To expand the reach and impact, numerous activities can be implemented to increase both the area dedicated to millet cultivation and overall production in India.</w:t>
      </w:r>
    </w:p>
    <w:p w14:paraId="5B47B62F" w14:textId="77777777" w:rsidR="000A260E" w:rsidRPr="00DA3D44" w:rsidRDefault="00AE40E9" w:rsidP="001A6479">
      <w:pPr>
        <w:spacing w:line="360" w:lineRule="auto"/>
      </w:pPr>
      <w:r>
        <w:rPr>
          <w:lang w:eastAsia="en-IN"/>
        </w:rPr>
        <w:t xml:space="preserve">4. </w:t>
      </w:r>
      <w:r w:rsidR="004024DA" w:rsidRPr="00226963">
        <w:rPr>
          <w:b/>
        </w:rPr>
        <w:t>Strategies</w:t>
      </w:r>
      <w:r w:rsidR="00C8556D" w:rsidRPr="00226963">
        <w:rPr>
          <w:b/>
        </w:rPr>
        <w:t xml:space="preserve"> to improve millet production</w:t>
      </w:r>
      <w:r w:rsidR="000A260E" w:rsidRPr="00DA3D44">
        <w:t xml:space="preserve"> </w:t>
      </w:r>
    </w:p>
    <w:p w14:paraId="69251472" w14:textId="77777777" w:rsidR="00BA6B30" w:rsidRPr="005C76AC" w:rsidRDefault="00226963" w:rsidP="00AF4887">
      <w:pPr>
        <w:spacing w:line="360" w:lineRule="auto"/>
        <w:rPr>
          <w:b/>
          <w:bCs/>
          <w:color w:val="auto"/>
        </w:rPr>
      </w:pPr>
      <w:r>
        <w:rPr>
          <w:b/>
          <w:bCs/>
          <w:color w:val="auto"/>
        </w:rPr>
        <w:lastRenderedPageBreak/>
        <w:t xml:space="preserve">4.1 </w:t>
      </w:r>
      <w:r w:rsidR="00A26959" w:rsidRPr="00DA3D44">
        <w:rPr>
          <w:b/>
          <w:bCs/>
          <w:color w:val="auto"/>
        </w:rPr>
        <w:t>Production Linked Incentive Scheme for Millet-Based Products (PLISMBP)</w:t>
      </w:r>
      <w:r w:rsidR="005C76AC">
        <w:rPr>
          <w:b/>
          <w:bCs/>
          <w:color w:val="auto"/>
        </w:rPr>
        <w:t xml:space="preserve">: </w:t>
      </w:r>
      <w:r w:rsidR="00A41B9F" w:rsidRPr="00DA3D44">
        <w:t>To encourage the production of millet-based Ready-to-Eat (RTE) and Ready-to-Cook (RTC) products, the Government of India launched the PLISMBP. The scheme, running from 2022 to 2027, provides incentives to companies that achieve at least 10% annual sales growth. It also requires the use of domestically grown millets to support Indian farmers.</w:t>
      </w:r>
    </w:p>
    <w:p w14:paraId="4E8E3E6B" w14:textId="77777777" w:rsidR="00A26959" w:rsidRPr="003D6569" w:rsidRDefault="00856219" w:rsidP="003D6569">
      <w:pPr>
        <w:pStyle w:val="ListParagraph"/>
        <w:spacing w:line="360" w:lineRule="auto"/>
        <w:ind w:left="142"/>
        <w:rPr>
          <w:b/>
          <w:bCs/>
          <w:color w:val="auto"/>
        </w:rPr>
      </w:pPr>
      <w:r>
        <w:rPr>
          <w:b/>
          <w:bCs/>
          <w:color w:val="auto"/>
        </w:rPr>
        <w:t xml:space="preserve">4.2 </w:t>
      </w:r>
      <w:r w:rsidR="00BA6B30" w:rsidRPr="00DA3D44">
        <w:rPr>
          <w:b/>
          <w:bCs/>
          <w:color w:val="auto"/>
        </w:rPr>
        <w:t>Shree Anna Scheme</w:t>
      </w:r>
      <w:r w:rsidR="003D6569">
        <w:rPr>
          <w:b/>
          <w:bCs/>
          <w:color w:val="auto"/>
        </w:rPr>
        <w:t xml:space="preserve">: </w:t>
      </w:r>
      <w:r w:rsidR="00A41B9F" w:rsidRPr="00DA3D44">
        <w:t>The Government of India introduced the Shree Anna Scheme to promote millets, also known as "Shree Anna," as a sustainable and nutritious food source. The initiative aims to boost millet cultivation, consumption, and processing, aligning with the global recognition of 2023 as the "International Year of Millets," as designated by the United Nations. The scheme focuses on increasing millet production and consumption by integrating them into food systems, supporting processing efforts, and fostering research and development. Additionally, it encourages the inclusion of millets in the Public Distribution System (PDS) and school feeding programs.</w:t>
      </w:r>
    </w:p>
    <w:p w14:paraId="41FD6304" w14:textId="77777777" w:rsidR="004C0725" w:rsidRPr="00DA3D44" w:rsidRDefault="006136E1" w:rsidP="001C00B2">
      <w:pPr>
        <w:pStyle w:val="ListParagraph"/>
        <w:numPr>
          <w:ilvl w:val="1"/>
          <w:numId w:val="27"/>
        </w:numPr>
        <w:spacing w:line="360" w:lineRule="auto"/>
        <w:ind w:left="142" w:firstLine="0"/>
      </w:pPr>
      <w:r w:rsidRPr="00DA3D44">
        <w:rPr>
          <w:b/>
        </w:rPr>
        <w:t>Odisha Millet Mission (OMM</w:t>
      </w:r>
      <w:proofErr w:type="gramStart"/>
      <w:r w:rsidRPr="00DA3D44">
        <w:rPr>
          <w:b/>
        </w:rPr>
        <w:t>)</w:t>
      </w:r>
      <w:r w:rsidR="00FD76B3" w:rsidRPr="00DA3D44">
        <w:t xml:space="preserve"> </w:t>
      </w:r>
      <w:r w:rsidR="001C00B2">
        <w:t>:</w:t>
      </w:r>
      <w:r w:rsidR="00FD76B3" w:rsidRPr="00DA3D44">
        <w:t>The</w:t>
      </w:r>
      <w:proofErr w:type="gramEnd"/>
      <w:r w:rsidR="00FD76B3" w:rsidRPr="00DA3D44">
        <w:t xml:space="preserve"> Odisha Millet Mission (OMM) is a leading initiative at the state level in India aimed at promoting the cultivation and consumption of millets. It is part of a comprehensive strategy to enhance food security, improve nutritional standards, and support sustainable agricultural practices within the state. The mission employs various approaches, such as providing assistance to millet farmers, developing millet-focused value chains, and raising awareness about the nutritional benefits of millets. By highlighting the importance of millets in Odisha's agriculture, the mission seeks to address food security challenges and contribute to the overall well-being of the state's population.</w:t>
      </w:r>
    </w:p>
    <w:p w14:paraId="30CC699E" w14:textId="77777777" w:rsidR="004C0725" w:rsidRPr="00DA3D44" w:rsidRDefault="004C0725" w:rsidP="00367218">
      <w:pPr>
        <w:pStyle w:val="ListParagraph"/>
        <w:numPr>
          <w:ilvl w:val="1"/>
          <w:numId w:val="27"/>
        </w:numPr>
        <w:spacing w:line="360" w:lineRule="auto"/>
        <w:ind w:left="142" w:firstLine="0"/>
      </w:pPr>
      <w:r w:rsidRPr="00DA3D44">
        <w:rPr>
          <w:b/>
        </w:rPr>
        <w:t xml:space="preserve">Millet Village </w:t>
      </w:r>
      <w:r w:rsidR="00BB4CA1" w:rsidRPr="00DA3D44">
        <w:rPr>
          <w:b/>
        </w:rPr>
        <w:t>Scheme</w:t>
      </w:r>
      <w:r w:rsidR="00367218">
        <w:t>:</w:t>
      </w:r>
      <w:r w:rsidR="00FC5638">
        <w:t xml:space="preserve"> </w:t>
      </w:r>
      <w:r w:rsidR="00FD76B3" w:rsidRPr="00DA3D44">
        <w:t xml:space="preserve">The 'Millet Village Scheme' was launched by the Government of Kerala in 2017-18 to promote millet cultivation. This initiative aims to encourage farmers by offering technical training, financial support, and agricultural assistance. In addition to supporting millet production, the scheme also focuses on post-harvest activities, including procurement, processing, packaging, </w:t>
      </w:r>
      <w:r w:rsidR="006A587B" w:rsidRPr="00DA3D44">
        <w:t>labelling</w:t>
      </w:r>
      <w:r w:rsidR="00FD76B3" w:rsidRPr="00DA3D44">
        <w:t>, and distribution of value-added millet-based products.</w:t>
      </w:r>
    </w:p>
    <w:p w14:paraId="2CFCB215" w14:textId="77777777" w:rsidR="004C0725" w:rsidRPr="00FD3748" w:rsidRDefault="006A587B" w:rsidP="00FD3748">
      <w:pPr>
        <w:spacing w:line="360" w:lineRule="auto"/>
        <w:rPr>
          <w:b/>
        </w:rPr>
      </w:pPr>
      <w:r w:rsidRPr="00D93FF3">
        <w:rPr>
          <w:b/>
        </w:rPr>
        <w:t xml:space="preserve">4.5 </w:t>
      </w:r>
      <w:r w:rsidR="004C0725" w:rsidRPr="00D93FF3">
        <w:rPr>
          <w:b/>
        </w:rPr>
        <w:t>Millets Magic-Recipes Contest</w:t>
      </w:r>
      <w:r w:rsidR="00FD3748">
        <w:rPr>
          <w:b/>
        </w:rPr>
        <w:t xml:space="preserve">: </w:t>
      </w:r>
      <w:r w:rsidR="00FD76B3" w:rsidRPr="00DA3D44">
        <w:t>The 'Millet Village Scheme' was launched by the Government of Kerala in 2017-18 to promote millet cultivation. This initiative aims to encourage farmers by offering technical training, financial support, and agricultural assistance. In addition to supporting millet production, the scheme also focuses on post-</w:t>
      </w:r>
      <w:r w:rsidR="00FD76B3" w:rsidRPr="00DA3D44">
        <w:lastRenderedPageBreak/>
        <w:t xml:space="preserve">harvest activities, including procurement, processing, packaging, </w:t>
      </w:r>
      <w:proofErr w:type="spellStart"/>
      <w:r w:rsidR="00FD76B3" w:rsidRPr="00DA3D44">
        <w:t>labeling</w:t>
      </w:r>
      <w:proofErr w:type="spellEnd"/>
      <w:r w:rsidR="00FD76B3" w:rsidRPr="00DA3D44">
        <w:t>, and distribution of value-added millet-based products.</w:t>
      </w:r>
    </w:p>
    <w:p w14:paraId="7548A7BE" w14:textId="77777777" w:rsidR="004C0725" w:rsidRPr="006F33A9" w:rsidRDefault="004C0725" w:rsidP="006F33A9">
      <w:pPr>
        <w:pStyle w:val="ListParagraph"/>
        <w:numPr>
          <w:ilvl w:val="1"/>
          <w:numId w:val="32"/>
        </w:numPr>
        <w:spacing w:line="360" w:lineRule="auto"/>
        <w:rPr>
          <w:b/>
        </w:rPr>
      </w:pPr>
      <w:r w:rsidRPr="003D7852">
        <w:rPr>
          <w:b/>
        </w:rPr>
        <w:t>Tribal Sub-Plan</w:t>
      </w:r>
      <w:r w:rsidR="006F33A9">
        <w:rPr>
          <w:b/>
        </w:rPr>
        <w:t xml:space="preserve">: </w:t>
      </w:r>
      <w:r w:rsidR="00FD76B3" w:rsidRPr="00DA3D44">
        <w:t>The Tribal Sub-Plan (TSP) is a national initiative established by the Ministry of Tribal Affairs to promote the socio-economic development of tribal communities. This program encourages these communities to cultivate millets using sustainable agricultural practices, including organic farming. The various millet-focused development initiatives highlight the government's dedication to advancing millet production throughout India and improving the livelihoods of smallholders and vulnerable populations who may have limited resources.</w:t>
      </w:r>
    </w:p>
    <w:p w14:paraId="7F58153D" w14:textId="77777777" w:rsidR="004C0725" w:rsidRPr="00DA3D44" w:rsidRDefault="004C0725" w:rsidP="003D7852">
      <w:pPr>
        <w:pStyle w:val="ListParagraph"/>
        <w:numPr>
          <w:ilvl w:val="1"/>
          <w:numId w:val="32"/>
        </w:numPr>
        <w:spacing w:line="360" w:lineRule="auto"/>
      </w:pPr>
      <w:r w:rsidRPr="00DA3D44">
        <w:rPr>
          <w:b/>
        </w:rPr>
        <w:t>National Food Security Mission on Millets (NFSM-Millet</w:t>
      </w:r>
      <w:r w:rsidRPr="00DA3D44">
        <w:t xml:space="preserve">): </w:t>
      </w:r>
      <w:r w:rsidR="00E06663" w:rsidRPr="00DA3D44">
        <w:t>The National Food Security Mission on Millets (NFSM-Millet) is a central initiative launched by the Indian government aimed at promoting millet cultivation. This program provides financial and technical assistance to farmers across the country to support their efforts in growing millets.</w:t>
      </w:r>
    </w:p>
    <w:p w14:paraId="7133B0AE" w14:textId="77777777" w:rsidR="00210291" w:rsidRDefault="004C0725" w:rsidP="003D7852">
      <w:pPr>
        <w:pStyle w:val="ListParagraph"/>
        <w:numPr>
          <w:ilvl w:val="1"/>
          <w:numId w:val="32"/>
        </w:numPr>
        <w:spacing w:line="360" w:lineRule="auto"/>
      </w:pPr>
      <w:r w:rsidRPr="00210291">
        <w:rPr>
          <w:b/>
        </w:rPr>
        <w:t>National Mission on Nutri-Cereals</w:t>
      </w:r>
      <w:r w:rsidRPr="00DA3D44">
        <w:t xml:space="preserve">: </w:t>
      </w:r>
      <w:r w:rsidR="00E06663" w:rsidRPr="00DA3D44">
        <w:t xml:space="preserve">The National Mission on Nutri-Cereals was launched in the fiscal year 2018-19 by the Ministry of Agriculture and Farmers Welfare, following the celebration of the 'National Year of Millets' in 2018. This initiative aims to enhance the cultivation of </w:t>
      </w:r>
      <w:proofErr w:type="spellStart"/>
      <w:r w:rsidR="00E06663" w:rsidRPr="00DA3D44">
        <w:t>nutri</w:t>
      </w:r>
      <w:proofErr w:type="spellEnd"/>
      <w:r w:rsidR="00E06663" w:rsidRPr="00DA3D44">
        <w:t>-cereals, including millets, by in</w:t>
      </w:r>
      <w:r w:rsidR="00210291">
        <w:t>creasing millet crop production</w:t>
      </w:r>
    </w:p>
    <w:p w14:paraId="670DF639" w14:textId="77777777" w:rsidR="004C0725" w:rsidRPr="00DA3D44" w:rsidRDefault="00210291" w:rsidP="003D7852">
      <w:pPr>
        <w:pStyle w:val="ListParagraph"/>
        <w:numPr>
          <w:ilvl w:val="1"/>
          <w:numId w:val="32"/>
        </w:numPr>
        <w:spacing w:line="360" w:lineRule="auto"/>
      </w:pPr>
      <w:r>
        <w:t xml:space="preserve"> </w:t>
      </w:r>
      <w:proofErr w:type="spellStart"/>
      <w:r w:rsidR="004C0725" w:rsidRPr="00210291">
        <w:rPr>
          <w:b/>
        </w:rPr>
        <w:t>Paramparagat</w:t>
      </w:r>
      <w:proofErr w:type="spellEnd"/>
      <w:r w:rsidR="004C0725" w:rsidRPr="00210291">
        <w:rPr>
          <w:b/>
        </w:rPr>
        <w:t xml:space="preserve"> Krishi Vikas Yojana</w:t>
      </w:r>
      <w:r w:rsidR="004C0725" w:rsidRPr="00DA3D44">
        <w:t xml:space="preserve">: </w:t>
      </w:r>
      <w:r w:rsidR="00E06663" w:rsidRPr="00DA3D44">
        <w:t xml:space="preserve">The </w:t>
      </w:r>
      <w:proofErr w:type="spellStart"/>
      <w:r w:rsidR="00E06663" w:rsidRPr="00DA3D44">
        <w:t>Paramparagat</w:t>
      </w:r>
      <w:proofErr w:type="spellEnd"/>
      <w:r w:rsidR="00E06663" w:rsidRPr="00DA3D44">
        <w:t xml:space="preserve"> Krishi Vikas Yojana (PKVY) was introduced in 2015 by the Ministry of Agriculture and Farmers’ Welfare. Its objective is to promote and encourage organic farming practices among farmers, focusing on improving soil health and management. Under this initiative, farmers are motivated to cultivate millets using eco-friendly and sustainable organic farming methods.</w:t>
      </w:r>
    </w:p>
    <w:p w14:paraId="1DABE205" w14:textId="77777777" w:rsidR="00D12393" w:rsidRPr="00DA3D44" w:rsidRDefault="00257D1D" w:rsidP="00A739B3">
      <w:pPr>
        <w:pStyle w:val="ListParagraph"/>
        <w:numPr>
          <w:ilvl w:val="0"/>
          <w:numId w:val="27"/>
        </w:numPr>
        <w:spacing w:line="360" w:lineRule="auto"/>
        <w:rPr>
          <w:b/>
        </w:rPr>
      </w:pPr>
      <w:r w:rsidRPr="00DA3D44">
        <w:rPr>
          <w:b/>
        </w:rPr>
        <w:t>CONCLUSION</w:t>
      </w:r>
    </w:p>
    <w:p w14:paraId="660A9036" w14:textId="77777777" w:rsidR="00E06663" w:rsidRPr="00DA3D44" w:rsidRDefault="00E06663" w:rsidP="0074320A">
      <w:pPr>
        <w:pStyle w:val="ListParagraph"/>
        <w:spacing w:line="360" w:lineRule="auto"/>
        <w:rPr>
          <w:rStyle w:val="oypena"/>
        </w:rPr>
      </w:pPr>
      <w:r w:rsidRPr="00DA3D44">
        <w:rPr>
          <w:rStyle w:val="oypena"/>
        </w:rPr>
        <w:t xml:space="preserve">Finger millet offers significant potential for enhancing food security and promoting sustainable agricultural practices, especially in the semi-arid regions of </w:t>
      </w:r>
      <w:r w:rsidR="00AA3238">
        <w:rPr>
          <w:rStyle w:val="oypena"/>
        </w:rPr>
        <w:t>India including R</w:t>
      </w:r>
      <w:r w:rsidR="002E4FB7">
        <w:rPr>
          <w:rStyle w:val="oypena"/>
        </w:rPr>
        <w:t>ajasthan, H</w:t>
      </w:r>
      <w:r w:rsidR="004C7F54">
        <w:rPr>
          <w:rStyle w:val="oypena"/>
        </w:rPr>
        <w:t xml:space="preserve">imachal Pradesh, </w:t>
      </w:r>
      <w:proofErr w:type="spellStart"/>
      <w:r w:rsidR="004C7F54">
        <w:rPr>
          <w:rStyle w:val="oypena"/>
        </w:rPr>
        <w:t>U</w:t>
      </w:r>
      <w:r w:rsidR="00A57805">
        <w:rPr>
          <w:rStyle w:val="oypena"/>
        </w:rPr>
        <w:t>ttrakhand</w:t>
      </w:r>
      <w:proofErr w:type="spellEnd"/>
      <w:r w:rsidR="00A57805">
        <w:rPr>
          <w:rStyle w:val="oypena"/>
        </w:rPr>
        <w:t>, K</w:t>
      </w:r>
      <w:r w:rsidR="0017358B" w:rsidRPr="00DA3D44">
        <w:rPr>
          <w:rStyle w:val="oypena"/>
        </w:rPr>
        <w:t>erala and Karnataka.</w:t>
      </w:r>
      <w:r w:rsidR="00AA3238">
        <w:rPr>
          <w:rStyle w:val="oypena"/>
        </w:rPr>
        <w:t xml:space="preserve"> </w:t>
      </w:r>
      <w:r w:rsidRPr="00DA3D44">
        <w:rPr>
          <w:rStyle w:val="oypena"/>
        </w:rPr>
        <w:t xml:space="preserve">Its adaptability to drought-prone environments and superior nutritional profile compared to staple cereals like rice and wheat make it a vital crop for combating malnutrition and meeting diverse dietary needs. However, the cultivation of finger millet faces several challenges, including cultural biases that classify it as a "low-status" food, adverse climate conditions, pest infestations, and a lack of research and development. </w:t>
      </w:r>
      <w:r w:rsidRPr="00DA3D44">
        <w:rPr>
          <w:rStyle w:val="oypena"/>
        </w:rPr>
        <w:lastRenderedPageBreak/>
        <w:t>These issues highlight the urgent need for targeted interventions to support its cultivation.</w:t>
      </w:r>
    </w:p>
    <w:p w14:paraId="3E4B62E0" w14:textId="77777777" w:rsidR="00E06663" w:rsidRPr="00DA3D44" w:rsidRDefault="00E06663" w:rsidP="0074320A">
      <w:pPr>
        <w:pStyle w:val="ListParagraph"/>
        <w:spacing w:line="360" w:lineRule="auto"/>
        <w:rPr>
          <w:rStyle w:val="oypena"/>
        </w:rPr>
      </w:pPr>
    </w:p>
    <w:p w14:paraId="6D1CFD7E" w14:textId="77777777" w:rsidR="00E06663" w:rsidRPr="00DA3D44" w:rsidRDefault="00E06663" w:rsidP="0074320A">
      <w:pPr>
        <w:pStyle w:val="ListParagraph"/>
        <w:spacing w:line="360" w:lineRule="auto"/>
        <w:rPr>
          <w:rStyle w:val="oypena"/>
        </w:rPr>
      </w:pPr>
      <w:r w:rsidRPr="00DA3D44">
        <w:rPr>
          <w:rStyle w:val="oypena"/>
        </w:rPr>
        <w:t>To realize the full potential of finger millet, it is crucial to revitalize cultural appreciation for this traditional crop and enhance agricultural practices through improved land preparation, efficient irrigation, and balanced nutrient management. Strengthening agricultural extension services and providing adequate training will empower farmers to adopt sustainable techniques, thereby increasing productivity and resilience. Additionally, implementing effective government policies, such as better market facilities and minimum support prices, will incentivize farmers to cultivate finger millet. By promoting this crop and addressing its challenges, we can foster a more resilient agricultural system that supports food security, nutrition, and environmental sustainability while adapting to the pressing challenges posed by climate change and evolving dietary preferences.</w:t>
      </w:r>
    </w:p>
    <w:p w14:paraId="0C35CDFA" w14:textId="77777777" w:rsidR="00B233DE" w:rsidRDefault="00257D1D" w:rsidP="00B233DE">
      <w:pPr>
        <w:pStyle w:val="ListParagraph"/>
        <w:numPr>
          <w:ilvl w:val="0"/>
          <w:numId w:val="27"/>
        </w:numPr>
        <w:spacing w:line="360" w:lineRule="auto"/>
        <w:rPr>
          <w:b/>
          <w:lang w:val="en-US"/>
        </w:rPr>
      </w:pPr>
      <w:r w:rsidRPr="00DC46B8">
        <w:rPr>
          <w:b/>
          <w:lang w:val="en-US"/>
        </w:rPr>
        <w:t>FUTURE PROSPECTS</w:t>
      </w:r>
    </w:p>
    <w:p w14:paraId="072BA566" w14:textId="77777777" w:rsidR="005D3D8E" w:rsidRDefault="00E63FDA" w:rsidP="00B233DE">
      <w:pPr>
        <w:pStyle w:val="ListParagraph"/>
        <w:spacing w:line="360" w:lineRule="auto"/>
        <w:ind w:left="502" w:firstLine="218"/>
        <w:rPr>
          <w:rFonts w:eastAsia="Times New Roman"/>
          <w:color w:val="auto"/>
          <w:lang w:eastAsia="en-IN"/>
        </w:rPr>
      </w:pPr>
      <w:r w:rsidRPr="00B233DE">
        <w:rPr>
          <w:rFonts w:eastAsia="Times New Roman"/>
          <w:color w:val="auto"/>
          <w:lang w:eastAsia="en-IN"/>
        </w:rPr>
        <w:t>Finger millet has immense potential due to its nutritional benefits, climate resilience, and emerging research. Its gluten-free, nutrient-rich profile is driving demand in the food industry, especially for health-conscious products. Recent advancements in whole-genome sequencing (WGS) and genetic tools like CRISPR/Cas9 are enabling the development of high-yielding, drought-resistant,</w:t>
      </w:r>
      <w:r w:rsidR="004B3CA1" w:rsidRPr="00B233DE">
        <w:rPr>
          <w:rFonts w:eastAsia="Times New Roman"/>
          <w:color w:val="auto"/>
          <w:lang w:eastAsia="en-IN"/>
        </w:rPr>
        <w:t xml:space="preserve"> disease resistant </w:t>
      </w:r>
      <w:r w:rsidRPr="00B233DE">
        <w:rPr>
          <w:rFonts w:eastAsia="Times New Roman"/>
          <w:color w:val="auto"/>
          <w:lang w:eastAsia="en-IN"/>
        </w:rPr>
        <w:t>and biofortified varieties.</w:t>
      </w:r>
      <w:r w:rsidR="00730308" w:rsidRPr="00B233DE">
        <w:rPr>
          <w:rFonts w:eastAsia="Times New Roman"/>
          <w:color w:val="auto"/>
          <w:lang w:eastAsia="en-IN"/>
        </w:rPr>
        <w:t xml:space="preserve"> </w:t>
      </w:r>
      <w:r w:rsidRPr="00B233DE">
        <w:rPr>
          <w:rFonts w:eastAsia="Times New Roman"/>
          <w:color w:val="auto"/>
          <w:lang w:eastAsia="en-IN"/>
        </w:rPr>
        <w:t xml:space="preserve">Governments are promoting millet cultivation through incentive schemes, infrastructure support, and market expansion initiatives. The global millet movement, especially after the </w:t>
      </w:r>
      <w:r w:rsidRPr="00B233DE">
        <w:rPr>
          <w:rFonts w:eastAsia="Times New Roman"/>
          <w:b/>
          <w:bCs/>
          <w:color w:val="auto"/>
          <w:lang w:eastAsia="en-IN"/>
        </w:rPr>
        <w:t>International Year of Millets (2023)</w:t>
      </w:r>
      <w:r w:rsidRPr="00B233DE">
        <w:rPr>
          <w:rFonts w:eastAsia="Times New Roman"/>
          <w:color w:val="auto"/>
          <w:lang w:eastAsia="en-IN"/>
        </w:rPr>
        <w:t>, has boosted awareness and investment in its production and commercialization. Despite challenges like low productivity and limited processing infrastructure, ongoing research and policy interventions aim to enhance its viability. With increasing consumer demand and sustainability advantages, finger millet is set to play a crucial role in future food security and health-focused diets.</w:t>
      </w:r>
      <w:r w:rsidR="00730308" w:rsidRPr="00B233DE">
        <w:rPr>
          <w:rFonts w:eastAsia="Times New Roman"/>
          <w:color w:val="auto"/>
          <w:lang w:eastAsia="en-IN"/>
        </w:rPr>
        <w:t xml:space="preserve"> </w:t>
      </w:r>
    </w:p>
    <w:p w14:paraId="3074E8A9" w14:textId="77777777" w:rsidR="008C22BC" w:rsidRPr="00EB2F3C" w:rsidRDefault="008C22BC" w:rsidP="008C22BC">
      <w:pPr>
        <w:spacing w:line="360" w:lineRule="auto"/>
        <w:rPr>
          <w:b/>
        </w:rPr>
      </w:pPr>
      <w:r w:rsidRPr="00EB2F3C">
        <w:rPr>
          <w:b/>
        </w:rPr>
        <w:t>DISCLAIMER (ARTIFICIAL INTELLIGENCE)</w:t>
      </w:r>
    </w:p>
    <w:p w14:paraId="100E747D" w14:textId="77777777" w:rsidR="008C22BC" w:rsidRDefault="008C22BC" w:rsidP="008C22BC">
      <w:pPr>
        <w:spacing w:line="360" w:lineRule="auto"/>
      </w:pPr>
      <w:r>
        <w:t>We hereby declare that No generative AI technologies such as large language models (ChatGPT, etc,) and table generators have been used during the writing or editing of this review.</w:t>
      </w:r>
    </w:p>
    <w:p w14:paraId="159791C4" w14:textId="77777777" w:rsidR="00EB2F3C" w:rsidRDefault="00EB2F3C" w:rsidP="008C22BC">
      <w:pPr>
        <w:spacing w:line="360" w:lineRule="auto"/>
        <w:rPr>
          <w:b/>
        </w:rPr>
      </w:pPr>
      <w:r w:rsidRPr="00EB2F3C">
        <w:rPr>
          <w:b/>
        </w:rPr>
        <w:t>COMPETING INTERESTS</w:t>
      </w:r>
    </w:p>
    <w:p w14:paraId="72BFC213" w14:textId="77777777" w:rsidR="00EB2F3C" w:rsidRPr="00EB2F3C" w:rsidRDefault="00EB2F3C" w:rsidP="008C22BC">
      <w:pPr>
        <w:spacing w:line="360" w:lineRule="auto"/>
        <w:rPr>
          <w:b/>
          <w:lang w:val="en-US"/>
        </w:rPr>
      </w:pPr>
      <w:r>
        <w:lastRenderedPageBreak/>
        <w:t>Authors have declared that no competing interests exist.</w:t>
      </w:r>
    </w:p>
    <w:p w14:paraId="418543BF" w14:textId="77777777" w:rsidR="00D121DF" w:rsidRDefault="001254EE" w:rsidP="0003577A">
      <w:pPr>
        <w:spacing w:line="360" w:lineRule="auto"/>
        <w:rPr>
          <w:b/>
          <w:lang w:val="en-US"/>
        </w:rPr>
      </w:pPr>
      <w:r w:rsidRPr="006F125B">
        <w:rPr>
          <w:b/>
          <w:lang w:val="en-US"/>
        </w:rPr>
        <w:t>REFERENCE</w:t>
      </w:r>
      <w:r w:rsidR="006F125B">
        <w:rPr>
          <w:b/>
          <w:lang w:val="en-US"/>
        </w:rPr>
        <w:t xml:space="preserve"> </w:t>
      </w:r>
    </w:p>
    <w:p w14:paraId="3084BF25" w14:textId="77777777" w:rsidR="00A20BFF" w:rsidRPr="00D121DF" w:rsidRDefault="00BB319F" w:rsidP="00D121DF">
      <w:pPr>
        <w:pStyle w:val="ListParagraph"/>
        <w:numPr>
          <w:ilvl w:val="0"/>
          <w:numId w:val="29"/>
        </w:numPr>
        <w:spacing w:line="360" w:lineRule="auto"/>
        <w:rPr>
          <w:b/>
          <w:lang w:val="en-US"/>
        </w:rPr>
      </w:pPr>
      <w:r w:rsidRPr="0003577A">
        <w:t xml:space="preserve">Aishik </w:t>
      </w:r>
      <w:proofErr w:type="spellStart"/>
      <w:r w:rsidRPr="0003577A">
        <w:t>Sadhukhan</w:t>
      </w:r>
      <w:proofErr w:type="spellEnd"/>
      <w:r w:rsidRPr="0003577A">
        <w:t xml:space="preserve"> and Udit </w:t>
      </w:r>
      <w:proofErr w:type="spellStart"/>
      <w:r w:rsidRPr="0003577A">
        <w:t>Debangshi</w:t>
      </w:r>
      <w:proofErr w:type="spellEnd"/>
      <w:r w:rsidRPr="0003577A">
        <w:t xml:space="preserve"> (2023). Millets in Meeting the Nutrition Security: A Review. Vol. 3 Issue-5, January 2023 (e-ISSN: 2582-8223)</w:t>
      </w:r>
    </w:p>
    <w:p w14:paraId="6FA5B03A" w14:textId="77777777" w:rsidR="00A20BFF" w:rsidRPr="0003577A" w:rsidRDefault="00BB319F" w:rsidP="00D121DF">
      <w:pPr>
        <w:pStyle w:val="ListParagraph"/>
        <w:numPr>
          <w:ilvl w:val="0"/>
          <w:numId w:val="29"/>
        </w:numPr>
        <w:spacing w:line="360" w:lineRule="auto"/>
      </w:pPr>
      <w:r w:rsidRPr="0003577A">
        <w:rPr>
          <w:shd w:val="clear" w:color="auto" w:fill="FFFFFF"/>
        </w:rPr>
        <w:t xml:space="preserve">Antony Ceasar, S., Maharajan, T., Ajeesh Krishna, T. P., Ramakrishnan, M., Victor Roch, G., Satish, L., &amp; </w:t>
      </w:r>
      <w:proofErr w:type="spellStart"/>
      <w:r w:rsidRPr="0003577A">
        <w:rPr>
          <w:shd w:val="clear" w:color="auto" w:fill="FFFFFF"/>
        </w:rPr>
        <w:t>Ignacimuthu</w:t>
      </w:r>
      <w:proofErr w:type="spellEnd"/>
      <w:r w:rsidRPr="0003577A">
        <w:rPr>
          <w:shd w:val="clear" w:color="auto" w:fill="FFFFFF"/>
        </w:rPr>
        <w:t>, S. (2018). Finger millet [</w:t>
      </w:r>
      <w:r w:rsidRPr="004C065A">
        <w:rPr>
          <w:i/>
          <w:shd w:val="clear" w:color="auto" w:fill="FFFFFF"/>
        </w:rPr>
        <w:t>Eleusine coracana</w:t>
      </w:r>
      <w:r w:rsidRPr="0003577A">
        <w:rPr>
          <w:shd w:val="clear" w:color="auto" w:fill="FFFFFF"/>
        </w:rPr>
        <w:t xml:space="preserve"> (L.) </w:t>
      </w:r>
      <w:proofErr w:type="spellStart"/>
      <w:r w:rsidRPr="0003577A">
        <w:rPr>
          <w:shd w:val="clear" w:color="auto" w:fill="FFFFFF"/>
        </w:rPr>
        <w:t>Gaertn</w:t>
      </w:r>
      <w:proofErr w:type="spellEnd"/>
      <w:r w:rsidRPr="0003577A">
        <w:rPr>
          <w:shd w:val="clear" w:color="auto" w:fill="FFFFFF"/>
        </w:rPr>
        <w:t>.] improvement: current status and future interventions of whole genome sequence. </w:t>
      </w:r>
      <w:r w:rsidRPr="0003577A">
        <w:rPr>
          <w:i/>
          <w:iCs/>
          <w:shd w:val="clear" w:color="auto" w:fill="FFFFFF"/>
        </w:rPr>
        <w:t>Frontiers in plant science</w:t>
      </w:r>
      <w:r w:rsidRPr="0003577A">
        <w:rPr>
          <w:shd w:val="clear" w:color="auto" w:fill="FFFFFF"/>
        </w:rPr>
        <w:t>, </w:t>
      </w:r>
      <w:r w:rsidRPr="0003577A">
        <w:rPr>
          <w:i/>
          <w:iCs/>
          <w:shd w:val="clear" w:color="auto" w:fill="FFFFFF"/>
        </w:rPr>
        <w:t>9</w:t>
      </w:r>
      <w:r w:rsidRPr="0003577A">
        <w:rPr>
          <w:shd w:val="clear" w:color="auto" w:fill="FFFFFF"/>
        </w:rPr>
        <w:t>, 1054.</w:t>
      </w:r>
    </w:p>
    <w:p w14:paraId="42668D58" w14:textId="77777777" w:rsidR="00A20BFF" w:rsidRPr="0003577A" w:rsidRDefault="00BB319F" w:rsidP="00D121DF">
      <w:pPr>
        <w:pStyle w:val="ListParagraph"/>
        <w:numPr>
          <w:ilvl w:val="0"/>
          <w:numId w:val="29"/>
        </w:numPr>
        <w:spacing w:line="360" w:lineRule="auto"/>
      </w:pPr>
      <w:r w:rsidRPr="0003577A">
        <w:rPr>
          <w:shd w:val="clear" w:color="auto" w:fill="FFFFFF"/>
        </w:rPr>
        <w:t xml:space="preserve">Ceasar, S. A., </w:t>
      </w:r>
      <w:proofErr w:type="spellStart"/>
      <w:r w:rsidRPr="0003577A">
        <w:rPr>
          <w:shd w:val="clear" w:color="auto" w:fill="FFFFFF"/>
        </w:rPr>
        <w:t>Ignacimuthu</w:t>
      </w:r>
      <w:proofErr w:type="spellEnd"/>
      <w:r w:rsidRPr="0003577A">
        <w:rPr>
          <w:shd w:val="clear" w:color="auto" w:fill="FFFFFF"/>
        </w:rPr>
        <w:t>, S., &amp; Liu, W. C. (2014). Genetic engineering of millets: Current status and future prospects. Biotechnology Advances, 32(5), 967-981</w:t>
      </w:r>
    </w:p>
    <w:p w14:paraId="73492E93" w14:textId="77777777" w:rsidR="00A20BFF" w:rsidRPr="0003577A" w:rsidRDefault="00BB319F" w:rsidP="00D121DF">
      <w:pPr>
        <w:pStyle w:val="ListParagraph"/>
        <w:numPr>
          <w:ilvl w:val="0"/>
          <w:numId w:val="29"/>
        </w:numPr>
        <w:spacing w:line="360" w:lineRule="auto"/>
      </w:pPr>
      <w:r w:rsidRPr="0003577A">
        <w:rPr>
          <w:shd w:val="clear" w:color="auto" w:fill="FFFFFF"/>
        </w:rPr>
        <w:t xml:space="preserve">Chand R, Singh J. 2022. Workforce Changes and Employment. 2022. NITI Aayog, Government of India New Delhi. Available at </w:t>
      </w:r>
      <w:hyperlink r:id="rId8" w:history="1">
        <w:r w:rsidR="00D121DF" w:rsidRPr="00EE54B3">
          <w:rPr>
            <w:rStyle w:val="Hyperlink"/>
            <w:shd w:val="clear" w:color="auto" w:fill="FFFFFF"/>
          </w:rPr>
          <w:t>https://www.niti.gov.in/sites/default/files/202204/Discussion_Paper_on_Workforce_05042022.pdf</w:t>
        </w:r>
      </w:hyperlink>
    </w:p>
    <w:p w14:paraId="598CB3CA" w14:textId="77777777" w:rsidR="00BB319F" w:rsidRPr="0003577A" w:rsidRDefault="00BB319F" w:rsidP="00A20BFF">
      <w:pPr>
        <w:pStyle w:val="ListParagraph"/>
        <w:numPr>
          <w:ilvl w:val="0"/>
          <w:numId w:val="29"/>
        </w:numPr>
        <w:spacing w:line="360" w:lineRule="auto"/>
      </w:pPr>
      <w:r w:rsidRPr="0003577A">
        <w:rPr>
          <w:shd w:val="clear" w:color="auto" w:fill="FFFFFF"/>
        </w:rPr>
        <w:t xml:space="preserve">Chandra, D., Chandra, S., &amp; Sharma, A. K. (2016). Review of Finger millet (Eleusine coracana (L.) </w:t>
      </w:r>
      <w:proofErr w:type="spellStart"/>
      <w:r w:rsidRPr="0003577A">
        <w:rPr>
          <w:shd w:val="clear" w:color="auto" w:fill="FFFFFF"/>
        </w:rPr>
        <w:t>Gaertn</w:t>
      </w:r>
      <w:proofErr w:type="spellEnd"/>
      <w:r w:rsidRPr="0003577A">
        <w:rPr>
          <w:shd w:val="clear" w:color="auto" w:fill="FFFFFF"/>
        </w:rPr>
        <w:t>): A power house of health benefiting nutrients. </w:t>
      </w:r>
      <w:r w:rsidRPr="0003577A">
        <w:rPr>
          <w:i/>
          <w:iCs/>
          <w:shd w:val="clear" w:color="auto" w:fill="FFFFFF"/>
        </w:rPr>
        <w:t>Food Science and Human Wellness</w:t>
      </w:r>
      <w:r w:rsidRPr="0003577A">
        <w:rPr>
          <w:shd w:val="clear" w:color="auto" w:fill="FFFFFF"/>
        </w:rPr>
        <w:t>, </w:t>
      </w:r>
      <w:r w:rsidRPr="0003577A">
        <w:rPr>
          <w:i/>
          <w:iCs/>
          <w:shd w:val="clear" w:color="auto" w:fill="FFFFFF"/>
        </w:rPr>
        <w:t>5</w:t>
      </w:r>
      <w:r w:rsidRPr="0003577A">
        <w:rPr>
          <w:shd w:val="clear" w:color="auto" w:fill="FFFFFF"/>
        </w:rPr>
        <w:t>(3), 149-155.</w:t>
      </w:r>
    </w:p>
    <w:p w14:paraId="05DA25ED" w14:textId="77777777" w:rsidR="00A20BFF" w:rsidRPr="0003577A" w:rsidRDefault="00BB319F" w:rsidP="00A20BFF">
      <w:pPr>
        <w:pStyle w:val="ListParagraph"/>
        <w:numPr>
          <w:ilvl w:val="0"/>
          <w:numId w:val="29"/>
        </w:numPr>
        <w:spacing w:line="360" w:lineRule="auto"/>
      </w:pPr>
      <w:r w:rsidRPr="0003577A">
        <w:t xml:space="preserve">Das IK, </w:t>
      </w:r>
      <w:proofErr w:type="spellStart"/>
      <w:r w:rsidRPr="0003577A">
        <w:t>Palanna</w:t>
      </w:r>
      <w:proofErr w:type="spellEnd"/>
      <w:r w:rsidRPr="0003577A">
        <w:t xml:space="preserve"> KB, </w:t>
      </w:r>
      <w:proofErr w:type="spellStart"/>
      <w:r w:rsidRPr="0003577A">
        <w:t>Patro</w:t>
      </w:r>
      <w:proofErr w:type="spellEnd"/>
      <w:r w:rsidRPr="0003577A">
        <w:t xml:space="preserve"> TSSK et al (2021) A multilocational evaluation of blast resistance in a diverse panel of finger millet in India. Crop Prot 139:105401. </w:t>
      </w:r>
      <w:hyperlink r:id="rId9" w:history="1">
        <w:r w:rsidR="00A20BFF" w:rsidRPr="0003577A">
          <w:rPr>
            <w:rStyle w:val="Hyperlink"/>
          </w:rPr>
          <w:t>https://doi.org/10.1016/j.cropro. 2020.105401</w:t>
        </w:r>
      </w:hyperlink>
    </w:p>
    <w:p w14:paraId="1CEDAAE6" w14:textId="77777777" w:rsidR="00A20BFF" w:rsidRPr="0003577A" w:rsidRDefault="00BB319F" w:rsidP="00A20BFF">
      <w:pPr>
        <w:pStyle w:val="ListParagraph"/>
        <w:numPr>
          <w:ilvl w:val="0"/>
          <w:numId w:val="29"/>
        </w:numPr>
        <w:spacing w:line="360" w:lineRule="auto"/>
      </w:pPr>
      <w:r w:rsidRPr="0003577A">
        <w:rPr>
          <w:shd w:val="clear" w:color="auto" w:fill="FFFFFF"/>
        </w:rPr>
        <w:t xml:space="preserve">Devi, P. B., Vijayabharathi, R., Sathyabama, S., Malleshi, N. G., &amp; </w:t>
      </w:r>
      <w:proofErr w:type="spellStart"/>
      <w:r w:rsidRPr="0003577A">
        <w:rPr>
          <w:shd w:val="clear" w:color="auto" w:fill="FFFFFF"/>
        </w:rPr>
        <w:t>Priyadarisini</w:t>
      </w:r>
      <w:proofErr w:type="spellEnd"/>
      <w:r w:rsidRPr="0003577A">
        <w:rPr>
          <w:shd w:val="clear" w:color="auto" w:fill="FFFFFF"/>
        </w:rPr>
        <w:t xml:space="preserve">, V. B. (2014). Health benefits of finger millet (Eleusine coracana L.) polyphenols and dietary </w:t>
      </w:r>
      <w:proofErr w:type="spellStart"/>
      <w:r w:rsidRPr="0003577A">
        <w:rPr>
          <w:shd w:val="clear" w:color="auto" w:fill="FFFFFF"/>
        </w:rPr>
        <w:t>fiber</w:t>
      </w:r>
      <w:proofErr w:type="spellEnd"/>
      <w:r w:rsidRPr="0003577A">
        <w:rPr>
          <w:shd w:val="clear" w:color="auto" w:fill="FFFFFF"/>
        </w:rPr>
        <w:t>: a review. </w:t>
      </w:r>
      <w:r w:rsidRPr="0003577A">
        <w:rPr>
          <w:i/>
          <w:iCs/>
          <w:shd w:val="clear" w:color="auto" w:fill="FFFFFF"/>
        </w:rPr>
        <w:t>Journal of food science and technology</w:t>
      </w:r>
      <w:r w:rsidRPr="0003577A">
        <w:rPr>
          <w:shd w:val="clear" w:color="auto" w:fill="FFFFFF"/>
        </w:rPr>
        <w:t>, </w:t>
      </w:r>
      <w:r w:rsidRPr="0003577A">
        <w:rPr>
          <w:i/>
          <w:iCs/>
          <w:shd w:val="clear" w:color="auto" w:fill="FFFFFF"/>
        </w:rPr>
        <w:t>51</w:t>
      </w:r>
      <w:r w:rsidRPr="0003577A">
        <w:rPr>
          <w:shd w:val="clear" w:color="auto" w:fill="FFFFFF"/>
        </w:rPr>
        <w:t>, 1021-1040.</w:t>
      </w:r>
    </w:p>
    <w:p w14:paraId="64C1FD10" w14:textId="77777777" w:rsidR="00A20BFF" w:rsidRPr="0003577A" w:rsidRDefault="00BB319F" w:rsidP="00A20BFF">
      <w:pPr>
        <w:pStyle w:val="ListParagraph"/>
        <w:numPr>
          <w:ilvl w:val="0"/>
          <w:numId w:val="29"/>
        </w:numPr>
        <w:spacing w:line="360" w:lineRule="auto"/>
      </w:pPr>
      <w:r w:rsidRPr="0003577A">
        <w:t xml:space="preserve">Devi, P. B., Vijayabharathi, R., Sathyabama, S., Malleshi, N. G., &amp; </w:t>
      </w:r>
      <w:proofErr w:type="spellStart"/>
      <w:r w:rsidRPr="0003577A">
        <w:t>Priyadarisini</w:t>
      </w:r>
      <w:proofErr w:type="spellEnd"/>
      <w:r w:rsidRPr="0003577A">
        <w:t xml:space="preserve">, V. B. (2014). Health benefits of finger millet (Eleusine coracana L.) polyphenols and dietary </w:t>
      </w:r>
      <w:proofErr w:type="spellStart"/>
      <w:r w:rsidRPr="0003577A">
        <w:t>fiber</w:t>
      </w:r>
      <w:proofErr w:type="spellEnd"/>
      <w:r w:rsidRPr="0003577A">
        <w:t xml:space="preserve">: A review. </w:t>
      </w:r>
      <w:r w:rsidRPr="0003577A">
        <w:rPr>
          <w:rStyle w:val="Emphasis"/>
        </w:rPr>
        <w:t>Journal of Food Science and Technology, 51</w:t>
      </w:r>
      <w:r w:rsidRPr="0003577A">
        <w:t>(6), 1021-1040.</w:t>
      </w:r>
    </w:p>
    <w:p w14:paraId="011641E8" w14:textId="77777777" w:rsidR="00A20BFF" w:rsidRPr="0003577A" w:rsidRDefault="00BB319F" w:rsidP="00A20BFF">
      <w:pPr>
        <w:pStyle w:val="ListParagraph"/>
        <w:numPr>
          <w:ilvl w:val="0"/>
          <w:numId w:val="29"/>
        </w:numPr>
        <w:spacing w:line="360" w:lineRule="auto"/>
      </w:pPr>
      <w:r w:rsidRPr="0003577A">
        <w:t xml:space="preserve">Hatakeyama, M., Aluri, S., </w:t>
      </w:r>
      <w:proofErr w:type="spellStart"/>
      <w:r w:rsidRPr="0003577A">
        <w:t>Balachadran</w:t>
      </w:r>
      <w:proofErr w:type="spellEnd"/>
      <w:r w:rsidRPr="0003577A">
        <w:t xml:space="preserve">, M. T., Sivarajan, S. R., </w:t>
      </w:r>
      <w:proofErr w:type="spellStart"/>
      <w:r w:rsidRPr="0003577A">
        <w:t>Patrignani</w:t>
      </w:r>
      <w:proofErr w:type="spellEnd"/>
      <w:r w:rsidRPr="0003577A">
        <w:t xml:space="preserve">, A., </w:t>
      </w:r>
      <w:proofErr w:type="spellStart"/>
      <w:r w:rsidRPr="0003577A">
        <w:t>Grüter</w:t>
      </w:r>
      <w:proofErr w:type="spellEnd"/>
      <w:r w:rsidRPr="0003577A">
        <w:t xml:space="preserve">, S., et al. (2018). Multiple hybrid de novo genome assembly of finger millet, an orphan allotetraploid crop. DNA Res. 25, 39–47. </w:t>
      </w:r>
      <w:proofErr w:type="spellStart"/>
      <w:r w:rsidRPr="0003577A">
        <w:t>doi</w:t>
      </w:r>
      <w:proofErr w:type="spellEnd"/>
      <w:r w:rsidRPr="0003577A">
        <w:t>: 10.1093/</w:t>
      </w:r>
      <w:proofErr w:type="spellStart"/>
      <w:r w:rsidRPr="0003577A">
        <w:t>dnares</w:t>
      </w:r>
      <w:proofErr w:type="spellEnd"/>
      <w:r w:rsidRPr="0003577A">
        <w:t>/ dsx036</w:t>
      </w:r>
    </w:p>
    <w:p w14:paraId="4DEB14C2" w14:textId="77777777" w:rsidR="00A20BFF" w:rsidRPr="0003577A" w:rsidRDefault="00BB319F" w:rsidP="00A20BFF">
      <w:pPr>
        <w:pStyle w:val="ListParagraph"/>
        <w:numPr>
          <w:ilvl w:val="0"/>
          <w:numId w:val="29"/>
        </w:numPr>
        <w:spacing w:line="360" w:lineRule="auto"/>
      </w:pPr>
      <w:proofErr w:type="spellStart"/>
      <w:r w:rsidRPr="0003577A">
        <w:t>Hittalmani</w:t>
      </w:r>
      <w:proofErr w:type="spellEnd"/>
      <w:r w:rsidRPr="0003577A">
        <w:t xml:space="preserve">, S., Mahesh, H., Shirke, M. D., Biradar, H., Uday, G., Aruna, Y., et al. (2017). Genome and transcriptome sequence of finger millet (Eleusine coracana (L.) </w:t>
      </w:r>
      <w:proofErr w:type="spellStart"/>
      <w:r w:rsidRPr="0003577A">
        <w:t>Gaertn</w:t>
      </w:r>
      <w:proofErr w:type="spellEnd"/>
      <w:r w:rsidRPr="0003577A">
        <w:t xml:space="preserve">.) provides insights into drought tolerance and nutraceutical properties. BMC Genomics 18:465. </w:t>
      </w:r>
      <w:proofErr w:type="spellStart"/>
      <w:r w:rsidRPr="0003577A">
        <w:t>doi</w:t>
      </w:r>
      <w:proofErr w:type="spellEnd"/>
      <w:r w:rsidRPr="0003577A">
        <w:t>: 10.1186/s12864-017-3850-z</w:t>
      </w:r>
    </w:p>
    <w:p w14:paraId="4E882826" w14:textId="77777777" w:rsidR="00BB319F" w:rsidRPr="0003577A" w:rsidRDefault="00BB319F" w:rsidP="00A20BFF">
      <w:pPr>
        <w:pStyle w:val="ListParagraph"/>
        <w:numPr>
          <w:ilvl w:val="0"/>
          <w:numId w:val="29"/>
        </w:numPr>
        <w:spacing w:line="360" w:lineRule="auto"/>
      </w:pPr>
      <w:r w:rsidRPr="0003577A">
        <w:lastRenderedPageBreak/>
        <w:t xml:space="preserve">J.R. Taylor, K.G. Duodu, Effects of processing methods on the physicochemical and nutritional properties of millet grain, </w:t>
      </w:r>
      <w:proofErr w:type="spellStart"/>
      <w:r w:rsidRPr="0003577A">
        <w:t>Compr</w:t>
      </w:r>
      <w:proofErr w:type="spellEnd"/>
      <w:r w:rsidRPr="0003577A">
        <w:t>. Rev. Food Sci. Food Saf. 14 (1) (2015) 1–18.</w:t>
      </w:r>
    </w:p>
    <w:p w14:paraId="58791EA8"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 xml:space="preserve">K., </w:t>
      </w:r>
      <w:proofErr w:type="spellStart"/>
      <w:r w:rsidRPr="0003577A">
        <w:rPr>
          <w:shd w:val="clear" w:color="auto" w:fill="FFFFFF"/>
        </w:rPr>
        <w:t>Hariprasanna</w:t>
      </w:r>
      <w:proofErr w:type="spellEnd"/>
      <w:r w:rsidRPr="0003577A">
        <w:rPr>
          <w:shd w:val="clear" w:color="auto" w:fill="FFFFFF"/>
        </w:rPr>
        <w:t xml:space="preserve"> &amp; Bhat, Burhan &amp; K N, Ganapathy &amp; </w:t>
      </w:r>
      <w:proofErr w:type="spellStart"/>
      <w:r w:rsidRPr="0003577A">
        <w:rPr>
          <w:shd w:val="clear" w:color="auto" w:fill="FFFFFF"/>
        </w:rPr>
        <w:t>Tonapi</w:t>
      </w:r>
      <w:proofErr w:type="spellEnd"/>
      <w:r w:rsidRPr="0003577A">
        <w:rPr>
          <w:shd w:val="clear" w:color="auto" w:fill="FFFFFF"/>
        </w:rPr>
        <w:t>, Vilas. (2022). Finger millet scenario in India: Trends in area under cultivation and grain production in the last 70 years.</w:t>
      </w:r>
    </w:p>
    <w:p w14:paraId="3999FF9A" w14:textId="77777777" w:rsidR="00BB319F" w:rsidRPr="0003577A" w:rsidRDefault="00BB319F" w:rsidP="00A20BFF">
      <w:pPr>
        <w:pStyle w:val="ListParagraph"/>
        <w:numPr>
          <w:ilvl w:val="0"/>
          <w:numId w:val="29"/>
        </w:numPr>
        <w:spacing w:line="360" w:lineRule="auto"/>
        <w:rPr>
          <w:lang w:val="en-US"/>
        </w:rPr>
      </w:pPr>
      <w:r w:rsidRPr="0003577A">
        <w:rPr>
          <w:shd w:val="clear" w:color="auto" w:fill="FFFFFF"/>
        </w:rPr>
        <w:t xml:space="preserve">Kakade, S. B., &amp; </w:t>
      </w:r>
      <w:proofErr w:type="spellStart"/>
      <w:r w:rsidRPr="0003577A">
        <w:rPr>
          <w:shd w:val="clear" w:color="auto" w:fill="FFFFFF"/>
        </w:rPr>
        <w:t>Hathan</w:t>
      </w:r>
      <w:proofErr w:type="spellEnd"/>
      <w:r w:rsidRPr="0003577A">
        <w:rPr>
          <w:shd w:val="clear" w:color="auto" w:fill="FFFFFF"/>
        </w:rPr>
        <w:t>, B. S. (2014). Finger Millet Pro. </w:t>
      </w:r>
      <w:r w:rsidRPr="0003577A">
        <w:rPr>
          <w:i/>
          <w:iCs/>
          <w:shd w:val="clear" w:color="auto" w:fill="FFFFFF"/>
        </w:rPr>
        <w:t>International Journal of Agriculture Innovations and Research</w:t>
      </w:r>
      <w:r w:rsidRPr="0003577A">
        <w:rPr>
          <w:shd w:val="clear" w:color="auto" w:fill="FFFFFF"/>
        </w:rPr>
        <w:t>, </w:t>
      </w:r>
      <w:r w:rsidRPr="0003577A">
        <w:rPr>
          <w:i/>
          <w:iCs/>
          <w:shd w:val="clear" w:color="auto" w:fill="FFFFFF"/>
        </w:rPr>
        <w:t>3</w:t>
      </w:r>
      <w:r w:rsidRPr="0003577A">
        <w:rPr>
          <w:shd w:val="clear" w:color="auto" w:fill="FFFFFF"/>
        </w:rPr>
        <w:t>(4).</w:t>
      </w:r>
    </w:p>
    <w:p w14:paraId="63EF985A"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Karki, A., Chandra, A., Joshi, S., Rawat, P., &amp; Sharma, S. (2020). An overview of Finger millet (Eleusine coracana L.). </w:t>
      </w:r>
      <w:r w:rsidRPr="0003577A">
        <w:rPr>
          <w:i/>
          <w:iCs/>
          <w:shd w:val="clear" w:color="auto" w:fill="FFFFFF"/>
        </w:rPr>
        <w:t>Journal of Pharmacognosy and Phytochemistry</w:t>
      </w:r>
      <w:r w:rsidRPr="0003577A">
        <w:rPr>
          <w:shd w:val="clear" w:color="auto" w:fill="FFFFFF"/>
        </w:rPr>
        <w:t>, </w:t>
      </w:r>
      <w:r w:rsidRPr="0003577A">
        <w:rPr>
          <w:i/>
          <w:iCs/>
          <w:shd w:val="clear" w:color="auto" w:fill="FFFFFF"/>
        </w:rPr>
        <w:t>9</w:t>
      </w:r>
      <w:r w:rsidRPr="0003577A">
        <w:rPr>
          <w:shd w:val="clear" w:color="auto" w:fill="FFFFFF"/>
        </w:rPr>
        <w:t>(4), 866-869.</w:t>
      </w:r>
    </w:p>
    <w:p w14:paraId="79B493A0" w14:textId="77777777" w:rsidR="00BB319F" w:rsidRPr="0003577A" w:rsidRDefault="00BB319F" w:rsidP="00A20BFF">
      <w:pPr>
        <w:pStyle w:val="ListParagraph"/>
        <w:numPr>
          <w:ilvl w:val="0"/>
          <w:numId w:val="29"/>
        </w:numPr>
        <w:spacing w:line="360" w:lineRule="auto"/>
      </w:pPr>
      <w:r w:rsidRPr="0003577A">
        <w:t xml:space="preserve">Kiran Babu T, Sharma R, Thakur RP et al (2015) Pathogenic variation in </w:t>
      </w:r>
      <w:proofErr w:type="spellStart"/>
      <w:r w:rsidRPr="0003577A">
        <w:t>Magnaporthe</w:t>
      </w:r>
      <w:proofErr w:type="spellEnd"/>
      <w:r w:rsidRPr="0003577A">
        <w:t xml:space="preserve"> </w:t>
      </w:r>
      <w:proofErr w:type="spellStart"/>
      <w:r w:rsidRPr="0003577A">
        <w:t>grisea</w:t>
      </w:r>
      <w:proofErr w:type="spellEnd"/>
      <w:r w:rsidRPr="0003577A">
        <w:t xml:space="preserve"> populations adapted to finger millet [Eleusine coracana (L.) </w:t>
      </w:r>
      <w:proofErr w:type="spellStart"/>
      <w:r w:rsidRPr="0003577A">
        <w:t>Gaertn</w:t>
      </w:r>
      <w:proofErr w:type="spellEnd"/>
      <w:r w:rsidRPr="0003577A">
        <w:t>.]. Plant Dis 99:1784–1789</w:t>
      </w:r>
    </w:p>
    <w:p w14:paraId="1F9066A6"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Kumar, A., Singh, D. K., &amp; Tiwari, R. K. (2014). Efficient water management in agriculture: A review on research and practices. Irrigation Science, 32(2), 101-113.</w:t>
      </w:r>
    </w:p>
    <w:p w14:paraId="01BEBC29"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Kumar, P., &amp; Kalita, P. (2017). Agriculture and climate change: An agenda for negotiation in Copenhagen. Climate Policy, 10(3), 245-252</w:t>
      </w:r>
    </w:p>
    <w:p w14:paraId="0D4519CF"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 xml:space="preserve">Kumar, P., &amp; </w:t>
      </w:r>
      <w:proofErr w:type="spellStart"/>
      <w:r w:rsidRPr="0003577A">
        <w:rPr>
          <w:shd w:val="clear" w:color="auto" w:fill="FFFFFF"/>
        </w:rPr>
        <w:t>Metwal</w:t>
      </w:r>
      <w:proofErr w:type="spellEnd"/>
      <w:r w:rsidRPr="0003577A">
        <w:rPr>
          <w:shd w:val="clear" w:color="auto" w:fill="FFFFFF"/>
        </w:rPr>
        <w:t>, M. (2017). Biotechnological interventions in finger millet improvement for sustainable food and nutritional security. In Advances in Plant Breeding Strategies: Agronomic, Abiotic and Biotic Stress Traits (pp. 501-524). Springer.</w:t>
      </w:r>
    </w:p>
    <w:p w14:paraId="2EFBD46C" w14:textId="77777777" w:rsidR="00BB319F" w:rsidRPr="0003577A" w:rsidRDefault="00BB319F" w:rsidP="00A20BFF">
      <w:pPr>
        <w:pStyle w:val="ListParagraph"/>
        <w:numPr>
          <w:ilvl w:val="0"/>
          <w:numId w:val="29"/>
        </w:numPr>
        <w:spacing w:line="360" w:lineRule="auto"/>
      </w:pPr>
      <w:r w:rsidRPr="0003577A">
        <w:t>Maqsood M, Ali SNA (2007) Effects of environmental stress on growth, radiation use efficiency, and yield of finger millet (</w:t>
      </w:r>
      <w:proofErr w:type="spellStart"/>
      <w:r w:rsidRPr="0003577A">
        <w:t>Eleusinecoracona</w:t>
      </w:r>
      <w:proofErr w:type="spellEnd"/>
      <w:r w:rsidRPr="0003577A">
        <w:t>). Pak J Bot 39(2):463–474</w:t>
      </w:r>
    </w:p>
    <w:p w14:paraId="0E1102E1" w14:textId="77777777" w:rsidR="00BB319F" w:rsidRPr="0003577A" w:rsidRDefault="00BB319F" w:rsidP="00A20BFF">
      <w:pPr>
        <w:pStyle w:val="ListParagraph"/>
        <w:numPr>
          <w:ilvl w:val="0"/>
          <w:numId w:val="29"/>
        </w:numPr>
        <w:spacing w:line="360" w:lineRule="auto"/>
        <w:rPr>
          <w:shd w:val="clear" w:color="auto" w:fill="FFFFFF"/>
        </w:rPr>
      </w:pPr>
      <w:proofErr w:type="spellStart"/>
      <w:r w:rsidRPr="0003577A">
        <w:rPr>
          <w:shd w:val="clear" w:color="auto" w:fill="FFFFFF"/>
        </w:rPr>
        <w:t>Mbinda</w:t>
      </w:r>
      <w:proofErr w:type="spellEnd"/>
      <w:r w:rsidRPr="0003577A">
        <w:rPr>
          <w:shd w:val="clear" w:color="auto" w:fill="FFFFFF"/>
        </w:rPr>
        <w:t xml:space="preserve">, W., </w:t>
      </w:r>
      <w:proofErr w:type="spellStart"/>
      <w:r w:rsidRPr="0003577A">
        <w:rPr>
          <w:shd w:val="clear" w:color="auto" w:fill="FFFFFF"/>
        </w:rPr>
        <w:t>Kavoo</w:t>
      </w:r>
      <w:proofErr w:type="spellEnd"/>
      <w:r w:rsidRPr="0003577A">
        <w:rPr>
          <w:shd w:val="clear" w:color="auto" w:fill="FFFFFF"/>
        </w:rPr>
        <w:t xml:space="preserve">, A., Maina, F., </w:t>
      </w:r>
      <w:proofErr w:type="spellStart"/>
      <w:r w:rsidRPr="0003577A">
        <w:rPr>
          <w:shd w:val="clear" w:color="auto" w:fill="FFFFFF"/>
        </w:rPr>
        <w:t>Odeph</w:t>
      </w:r>
      <w:proofErr w:type="spellEnd"/>
      <w:r w:rsidRPr="0003577A">
        <w:rPr>
          <w:shd w:val="clear" w:color="auto" w:fill="FFFFFF"/>
        </w:rPr>
        <w:t xml:space="preserve">, M., </w:t>
      </w:r>
      <w:proofErr w:type="spellStart"/>
      <w:r w:rsidRPr="0003577A">
        <w:rPr>
          <w:shd w:val="clear" w:color="auto" w:fill="FFFFFF"/>
        </w:rPr>
        <w:t>Mweu</w:t>
      </w:r>
      <w:proofErr w:type="spellEnd"/>
      <w:r w:rsidRPr="0003577A">
        <w:rPr>
          <w:shd w:val="clear" w:color="auto" w:fill="FFFFFF"/>
        </w:rPr>
        <w:t>, C., Nzilani, N., &amp; Ngugi, M. (2021). Farmers’ knowledge and perception of finger millet blast disease and its control practices in western Kenya. </w:t>
      </w:r>
      <w:r w:rsidRPr="0003577A">
        <w:rPr>
          <w:i/>
          <w:iCs/>
          <w:shd w:val="clear" w:color="auto" w:fill="FFFFFF"/>
        </w:rPr>
        <w:t>CABI Agriculture and Bioscience</w:t>
      </w:r>
      <w:r w:rsidRPr="0003577A">
        <w:rPr>
          <w:shd w:val="clear" w:color="auto" w:fill="FFFFFF"/>
        </w:rPr>
        <w:t>, </w:t>
      </w:r>
      <w:r w:rsidRPr="0003577A">
        <w:rPr>
          <w:i/>
          <w:iCs/>
          <w:shd w:val="clear" w:color="auto" w:fill="FFFFFF"/>
        </w:rPr>
        <w:t>2</w:t>
      </w:r>
      <w:r w:rsidRPr="0003577A">
        <w:rPr>
          <w:shd w:val="clear" w:color="auto" w:fill="FFFFFF"/>
        </w:rPr>
        <w:t>, 1-12.</w:t>
      </w:r>
    </w:p>
    <w:p w14:paraId="3DA81930" w14:textId="77777777" w:rsidR="00BB319F" w:rsidRPr="0003577A" w:rsidRDefault="00BB319F" w:rsidP="00A20BFF">
      <w:pPr>
        <w:pStyle w:val="ListParagraph"/>
        <w:numPr>
          <w:ilvl w:val="0"/>
          <w:numId w:val="29"/>
        </w:numPr>
        <w:spacing w:line="360" w:lineRule="auto"/>
        <w:rPr>
          <w:color w:val="222222"/>
          <w:shd w:val="clear" w:color="auto" w:fill="FFFFFF"/>
        </w:rPr>
      </w:pPr>
      <w:r w:rsidRPr="0003577A">
        <w:t>Meena RP, Joshi DC, Bisht JK et al (2021) Global scenario of millets cultivation. In: Kumar A, Tripathi MK, Joshi D, Kumar V (eds) Millets and millet technology. Springer, Singapore</w:t>
      </w:r>
    </w:p>
    <w:p w14:paraId="74DB2568"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 xml:space="preserve">Mgonja, M. A., </w:t>
      </w:r>
      <w:proofErr w:type="spellStart"/>
      <w:r w:rsidRPr="0003577A">
        <w:rPr>
          <w:shd w:val="clear" w:color="auto" w:fill="FFFFFF"/>
        </w:rPr>
        <w:t>Tumbo</w:t>
      </w:r>
      <w:proofErr w:type="spellEnd"/>
      <w:r w:rsidRPr="0003577A">
        <w:rPr>
          <w:shd w:val="clear" w:color="auto" w:fill="FFFFFF"/>
        </w:rPr>
        <w:t xml:space="preserve">, S. D., </w:t>
      </w:r>
      <w:proofErr w:type="spellStart"/>
      <w:r w:rsidRPr="0003577A">
        <w:rPr>
          <w:shd w:val="clear" w:color="auto" w:fill="FFFFFF"/>
        </w:rPr>
        <w:t>Kusolwa</w:t>
      </w:r>
      <w:proofErr w:type="spellEnd"/>
      <w:r w:rsidRPr="0003577A">
        <w:rPr>
          <w:shd w:val="clear" w:color="auto" w:fill="FFFFFF"/>
        </w:rPr>
        <w:t xml:space="preserve">, P. M., &amp; </w:t>
      </w:r>
      <w:proofErr w:type="spellStart"/>
      <w:r w:rsidRPr="0003577A">
        <w:rPr>
          <w:shd w:val="clear" w:color="auto" w:fill="FFFFFF"/>
        </w:rPr>
        <w:t>Ndakidemi</w:t>
      </w:r>
      <w:proofErr w:type="spellEnd"/>
      <w:r w:rsidRPr="0003577A">
        <w:rPr>
          <w:shd w:val="clear" w:color="auto" w:fill="FFFFFF"/>
        </w:rPr>
        <w:t>, P. A. (2017). Occurrence and severity of finger millet blast disease and its management in East Africa. African Journal of Agricultural Research, 12(8), 600-608</w:t>
      </w:r>
    </w:p>
    <w:p w14:paraId="1636FC92" w14:textId="77777777" w:rsidR="00BB319F" w:rsidRPr="0003577A" w:rsidRDefault="00BB319F" w:rsidP="00A20BFF">
      <w:pPr>
        <w:pStyle w:val="ListParagraph"/>
        <w:numPr>
          <w:ilvl w:val="0"/>
          <w:numId w:val="29"/>
        </w:numPr>
        <w:spacing w:line="360" w:lineRule="auto"/>
      </w:pPr>
      <w:r w:rsidRPr="0003577A">
        <w:lastRenderedPageBreak/>
        <w:t xml:space="preserve">Nagaraja A, Jagadish PS, Ashok EG et al (2007) Avoidance of finger millet blast by ideal sowing time and assessment of varietal performance under rainfed production situations in Karnataka. J </w:t>
      </w:r>
      <w:proofErr w:type="spellStart"/>
      <w:r w:rsidRPr="0003577A">
        <w:t>Mycopathol</w:t>
      </w:r>
      <w:proofErr w:type="spellEnd"/>
      <w:r w:rsidRPr="0003577A">
        <w:t xml:space="preserve"> Res 45(2):237–240</w:t>
      </w:r>
    </w:p>
    <w:p w14:paraId="56843532" w14:textId="77777777" w:rsidR="00BB319F" w:rsidRPr="0003577A" w:rsidRDefault="00BB319F" w:rsidP="00A20BFF">
      <w:pPr>
        <w:pStyle w:val="ListParagraph"/>
        <w:numPr>
          <w:ilvl w:val="0"/>
          <w:numId w:val="29"/>
        </w:numPr>
        <w:spacing w:line="360" w:lineRule="auto"/>
        <w:rPr>
          <w:shd w:val="clear" w:color="auto" w:fill="FFFFFF"/>
        </w:rPr>
      </w:pPr>
      <w:proofErr w:type="spellStart"/>
      <w:r w:rsidRPr="0003577A">
        <w:rPr>
          <w:shd w:val="clear" w:color="auto" w:fill="FFFFFF"/>
        </w:rPr>
        <w:t>Odeph</w:t>
      </w:r>
      <w:proofErr w:type="spellEnd"/>
      <w:r w:rsidRPr="0003577A">
        <w:rPr>
          <w:shd w:val="clear" w:color="auto" w:fill="FFFFFF"/>
        </w:rPr>
        <w:t xml:space="preserve"> M, </w:t>
      </w:r>
      <w:proofErr w:type="spellStart"/>
      <w:r w:rsidRPr="0003577A">
        <w:rPr>
          <w:shd w:val="clear" w:color="auto" w:fill="FFFFFF"/>
        </w:rPr>
        <w:t>Luasi</w:t>
      </w:r>
      <w:proofErr w:type="spellEnd"/>
      <w:r w:rsidRPr="0003577A">
        <w:rPr>
          <w:shd w:val="clear" w:color="auto" w:fill="FFFFFF"/>
        </w:rPr>
        <w:t xml:space="preserve"> WW, </w:t>
      </w:r>
      <w:proofErr w:type="spellStart"/>
      <w:r w:rsidRPr="0003577A">
        <w:rPr>
          <w:shd w:val="clear" w:color="auto" w:fill="FFFFFF"/>
        </w:rPr>
        <w:t>Kavoo</w:t>
      </w:r>
      <w:proofErr w:type="spellEnd"/>
      <w:r w:rsidRPr="0003577A">
        <w:rPr>
          <w:shd w:val="clear" w:color="auto" w:fill="FFFFFF"/>
        </w:rPr>
        <w:t xml:space="preserve"> A, </w:t>
      </w:r>
      <w:proofErr w:type="spellStart"/>
      <w:r w:rsidRPr="0003577A">
        <w:rPr>
          <w:shd w:val="clear" w:color="auto" w:fill="FFFFFF"/>
        </w:rPr>
        <w:t>Mweu</w:t>
      </w:r>
      <w:proofErr w:type="spellEnd"/>
      <w:r w:rsidRPr="0003577A">
        <w:rPr>
          <w:shd w:val="clear" w:color="auto" w:fill="FFFFFF"/>
        </w:rPr>
        <w:t xml:space="preserve"> C, Ngugi M, Maina F, </w:t>
      </w:r>
      <w:proofErr w:type="spellStart"/>
      <w:r w:rsidRPr="0003577A">
        <w:rPr>
          <w:shd w:val="clear" w:color="auto" w:fill="FFFFFF"/>
        </w:rPr>
        <w:t>Nzilani</w:t>
      </w:r>
      <w:proofErr w:type="spellEnd"/>
      <w:r w:rsidRPr="0003577A">
        <w:rPr>
          <w:shd w:val="clear" w:color="auto" w:fill="FFFFFF"/>
        </w:rPr>
        <w:t xml:space="preserve"> N, </w:t>
      </w:r>
      <w:proofErr w:type="spellStart"/>
      <w:r w:rsidRPr="0003577A">
        <w:rPr>
          <w:shd w:val="clear" w:color="auto" w:fill="FFFFFF"/>
        </w:rPr>
        <w:t>Mbinda</w:t>
      </w:r>
      <w:proofErr w:type="spellEnd"/>
      <w:r w:rsidRPr="0003577A">
        <w:rPr>
          <w:shd w:val="clear" w:color="auto" w:fill="FFFFFF"/>
        </w:rPr>
        <w:t xml:space="preserve"> WM. Occurrence, distribution and severity of finger millet blast caused by </w:t>
      </w:r>
      <w:proofErr w:type="spellStart"/>
      <w:r w:rsidRPr="0003577A">
        <w:rPr>
          <w:shd w:val="clear" w:color="auto" w:fill="FFFFFF"/>
        </w:rPr>
        <w:t>Magnaporthe</w:t>
      </w:r>
      <w:proofErr w:type="spellEnd"/>
      <w:r w:rsidRPr="0003577A">
        <w:rPr>
          <w:shd w:val="clear" w:color="auto" w:fill="FFFFFF"/>
        </w:rPr>
        <w:t xml:space="preserve"> </w:t>
      </w:r>
      <w:proofErr w:type="spellStart"/>
      <w:r w:rsidRPr="0003577A">
        <w:rPr>
          <w:shd w:val="clear" w:color="auto" w:fill="FFFFFF"/>
        </w:rPr>
        <w:t>oryzae</w:t>
      </w:r>
      <w:proofErr w:type="spellEnd"/>
      <w:r w:rsidRPr="0003577A">
        <w:rPr>
          <w:shd w:val="clear" w:color="auto" w:fill="FFFFFF"/>
        </w:rPr>
        <w:t xml:space="preserve"> in Kenya. </w:t>
      </w:r>
      <w:proofErr w:type="spellStart"/>
      <w:r w:rsidRPr="0003577A">
        <w:rPr>
          <w:shd w:val="clear" w:color="auto" w:fill="FFFFFF"/>
        </w:rPr>
        <w:t>Afr</w:t>
      </w:r>
      <w:proofErr w:type="spellEnd"/>
      <w:r w:rsidRPr="0003577A">
        <w:rPr>
          <w:shd w:val="clear" w:color="auto" w:fill="FFFFFF"/>
        </w:rPr>
        <w:t xml:space="preserve"> J Plant Sci. 2020;14(4):139–49.</w:t>
      </w:r>
    </w:p>
    <w:p w14:paraId="28F995EF" w14:textId="77777777" w:rsidR="00BB319F" w:rsidRPr="0003577A" w:rsidRDefault="00BB319F" w:rsidP="00A20BFF">
      <w:pPr>
        <w:pStyle w:val="ListParagraph"/>
        <w:numPr>
          <w:ilvl w:val="0"/>
          <w:numId w:val="29"/>
        </w:numPr>
        <w:spacing w:line="360" w:lineRule="auto"/>
      </w:pPr>
      <w:proofErr w:type="spellStart"/>
      <w:r w:rsidRPr="0003577A">
        <w:t>Odeph</w:t>
      </w:r>
      <w:proofErr w:type="spellEnd"/>
      <w:r w:rsidRPr="0003577A">
        <w:t xml:space="preserve"> M, </w:t>
      </w:r>
      <w:proofErr w:type="spellStart"/>
      <w:r w:rsidRPr="0003577A">
        <w:t>Luasi</w:t>
      </w:r>
      <w:proofErr w:type="spellEnd"/>
      <w:r w:rsidRPr="0003577A">
        <w:t xml:space="preserve"> WW, </w:t>
      </w:r>
      <w:proofErr w:type="spellStart"/>
      <w:r w:rsidRPr="0003577A">
        <w:t>Kavoo</w:t>
      </w:r>
      <w:proofErr w:type="spellEnd"/>
      <w:r w:rsidRPr="0003577A">
        <w:t xml:space="preserve"> A, </w:t>
      </w:r>
      <w:proofErr w:type="spellStart"/>
      <w:r w:rsidRPr="0003577A">
        <w:t>Mweu</w:t>
      </w:r>
      <w:proofErr w:type="spellEnd"/>
      <w:r w:rsidRPr="0003577A">
        <w:t xml:space="preserve"> C, Ngugi M, Maina F, </w:t>
      </w:r>
      <w:proofErr w:type="spellStart"/>
      <w:r w:rsidRPr="0003577A">
        <w:t>Nzilani</w:t>
      </w:r>
      <w:proofErr w:type="spellEnd"/>
      <w:r w:rsidRPr="0003577A">
        <w:t xml:space="preserve"> N, </w:t>
      </w:r>
      <w:proofErr w:type="spellStart"/>
      <w:r w:rsidRPr="0003577A">
        <w:t>Mbinda</w:t>
      </w:r>
      <w:proofErr w:type="spellEnd"/>
      <w:r w:rsidRPr="0003577A">
        <w:t xml:space="preserve"> WM. Occurrence, distribution and severity of </w:t>
      </w:r>
      <w:proofErr w:type="spellStart"/>
      <w:r w:rsidRPr="0003577A">
        <w:t>fnger</w:t>
      </w:r>
      <w:proofErr w:type="spellEnd"/>
      <w:r w:rsidRPr="0003577A">
        <w:t xml:space="preserve"> millet blast caused by </w:t>
      </w:r>
      <w:proofErr w:type="spellStart"/>
      <w:r w:rsidRPr="0003577A">
        <w:t>Magnaporthe</w:t>
      </w:r>
      <w:proofErr w:type="spellEnd"/>
      <w:r w:rsidRPr="0003577A">
        <w:t xml:space="preserve"> </w:t>
      </w:r>
      <w:proofErr w:type="spellStart"/>
      <w:r w:rsidRPr="0003577A">
        <w:t>oryzae</w:t>
      </w:r>
      <w:proofErr w:type="spellEnd"/>
      <w:r w:rsidRPr="0003577A">
        <w:t xml:space="preserve"> in Kenya. </w:t>
      </w:r>
      <w:proofErr w:type="spellStart"/>
      <w:r w:rsidRPr="0003577A">
        <w:t>Afr</w:t>
      </w:r>
      <w:proofErr w:type="spellEnd"/>
      <w:r w:rsidRPr="0003577A">
        <w:t xml:space="preserve"> J Plant Sci. 2020;14(4):139–49. https:// doi.org/10.5897/AJPS2020.1970.</w:t>
      </w:r>
    </w:p>
    <w:p w14:paraId="09F9B257" w14:textId="77777777" w:rsidR="00BB319F" w:rsidRPr="0003577A" w:rsidRDefault="00BB319F" w:rsidP="00A20BFF">
      <w:pPr>
        <w:pStyle w:val="ListParagraph"/>
        <w:numPr>
          <w:ilvl w:val="0"/>
          <w:numId w:val="29"/>
        </w:numPr>
        <w:spacing w:line="360" w:lineRule="auto"/>
      </w:pPr>
      <w:proofErr w:type="spellStart"/>
      <w:r w:rsidRPr="0003577A">
        <w:t>Palanna</w:t>
      </w:r>
      <w:proofErr w:type="spellEnd"/>
      <w:r w:rsidRPr="0003577A">
        <w:t xml:space="preserve"> KB, </w:t>
      </w:r>
      <w:proofErr w:type="spellStart"/>
      <w:r w:rsidRPr="0003577A">
        <w:t>Hosahatti</w:t>
      </w:r>
      <w:proofErr w:type="spellEnd"/>
      <w:r w:rsidRPr="0003577A">
        <w:t xml:space="preserve"> R, Ramesh GV et al (2021) Current scenario and integrated approaches for management of finger millet blast (</w:t>
      </w:r>
      <w:proofErr w:type="spellStart"/>
      <w:r w:rsidRPr="0003577A">
        <w:t>Magnaporthe</w:t>
      </w:r>
      <w:proofErr w:type="spellEnd"/>
      <w:r w:rsidRPr="0003577A">
        <w:t xml:space="preserve"> </w:t>
      </w:r>
      <w:proofErr w:type="spellStart"/>
      <w:r w:rsidRPr="0003577A">
        <w:t>grisea</w:t>
      </w:r>
      <w:proofErr w:type="spellEnd"/>
      <w:r w:rsidRPr="0003577A">
        <w:t xml:space="preserve">). In: Chandra Nayaka S, </w:t>
      </w:r>
      <w:proofErr w:type="spellStart"/>
      <w:r w:rsidRPr="0003577A">
        <w:t>Hosahatti</w:t>
      </w:r>
      <w:proofErr w:type="spellEnd"/>
      <w:r w:rsidRPr="0003577A">
        <w:t xml:space="preserve"> R, Prakash G, Tara Satyavathi C, Sharma R (eds) Blast disease of cereal crops: evolution and adaptation in context of climate change. Springer International Publishing, Cham, pp 27–49</w:t>
      </w:r>
    </w:p>
    <w:p w14:paraId="4B3B7624" w14:textId="77777777" w:rsidR="00BB319F" w:rsidRPr="0003577A" w:rsidRDefault="00BB319F" w:rsidP="00A20BFF">
      <w:pPr>
        <w:pStyle w:val="ListParagraph"/>
        <w:numPr>
          <w:ilvl w:val="0"/>
          <w:numId w:val="29"/>
        </w:numPr>
        <w:spacing w:line="360" w:lineRule="auto"/>
      </w:pPr>
      <w:r w:rsidRPr="0003577A">
        <w:t xml:space="preserve">Patro, T.S.S.K., Georgia, K.E., Raj Kumar, S., Anuradha, N., Sandhya Rani, Y., Triveni, U., </w:t>
      </w:r>
      <w:proofErr w:type="spellStart"/>
      <w:r w:rsidRPr="0003577A">
        <w:t>Jogarao</w:t>
      </w:r>
      <w:proofErr w:type="spellEnd"/>
      <w:r w:rsidRPr="0003577A">
        <w:t xml:space="preserve">, P.2020. Identification of foxtail millet varieties against banded blight disease incited by </w:t>
      </w:r>
      <w:proofErr w:type="spellStart"/>
      <w:r w:rsidRPr="0003577A">
        <w:t>Rhizoctonia</w:t>
      </w:r>
      <w:proofErr w:type="spellEnd"/>
      <w:r w:rsidRPr="0003577A">
        <w:t xml:space="preserve"> </w:t>
      </w:r>
      <w:proofErr w:type="spellStart"/>
      <w:r w:rsidRPr="0003577A">
        <w:t>solani</w:t>
      </w:r>
      <w:proofErr w:type="spellEnd"/>
      <w:r w:rsidRPr="0003577A">
        <w:t xml:space="preserve"> Kuhn. J.Pharmacog.Phytochem.9: 1265-1267.</w:t>
      </w:r>
    </w:p>
    <w:p w14:paraId="4330284E"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 xml:space="preserve">Rajput, V., Garg, R., &amp; Sharma, A. (2021). Finger millet </w:t>
      </w:r>
      <w:proofErr w:type="spellStart"/>
      <w:r w:rsidRPr="0003577A">
        <w:rPr>
          <w:shd w:val="clear" w:color="auto" w:fill="FFFFFF"/>
        </w:rPr>
        <w:t>bioactives</w:t>
      </w:r>
      <w:proofErr w:type="spellEnd"/>
      <w:r w:rsidRPr="0003577A">
        <w:rPr>
          <w:shd w:val="clear" w:color="auto" w:fill="FFFFFF"/>
        </w:rPr>
        <w:t xml:space="preserve"> and nutraceuticals: A review on potential health benefits and food applications. Critical Reviews in Food Science and Nutrition, 61(2), 264-275</w:t>
      </w:r>
    </w:p>
    <w:p w14:paraId="29872163"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Reddy, V. R., Chakradhar, T., &amp; Reddy, A. R. (2017). Impact of climate change on agriculture productivity and mitigation strategies. In Climate Change and Agriculture: Adaptation and Mitigation Strategies (pp. 25-46). Springer.</w:t>
      </w:r>
    </w:p>
    <w:p w14:paraId="40189FC4"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Saleh, A. S., Zhang, Q., Chen, J., &amp; Shen, Q. (2013). Millet grains: Nutritional quality, processing, and potential health benefits. Comprehensive Reviews in Food Science and Food Safety, 12(3), 281-295</w:t>
      </w:r>
    </w:p>
    <w:p w14:paraId="0BB60304" w14:textId="77777777" w:rsidR="00BB319F" w:rsidRPr="0003577A" w:rsidRDefault="00BB319F" w:rsidP="00A20BFF">
      <w:pPr>
        <w:pStyle w:val="ListParagraph"/>
        <w:numPr>
          <w:ilvl w:val="0"/>
          <w:numId w:val="29"/>
        </w:numPr>
        <w:spacing w:line="360" w:lineRule="auto"/>
        <w:rPr>
          <w:color w:val="222222"/>
          <w:shd w:val="clear" w:color="auto" w:fill="FFFFFF"/>
        </w:rPr>
      </w:pPr>
      <w:r w:rsidRPr="0003577A">
        <w:t>Sato S, Peet MM, Thomas JF (2002) Determining critical pre and post-anthesis periods and physiological process in Lycopersicon esculentum Mill. Exposed to moderately elevated temperatures. J Exp Bot 53:1187–1195</w:t>
      </w:r>
    </w:p>
    <w:p w14:paraId="609E57A4"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Saxena, D., Singh, J., &amp; Singh, S. (2016). Integrated pest management in changing climate. In Climate Change and Insect Pests (pp. 231-246). CABI.</w:t>
      </w:r>
    </w:p>
    <w:p w14:paraId="35950858" w14:textId="77777777" w:rsidR="00BB319F" w:rsidRPr="0003577A" w:rsidRDefault="00BB319F" w:rsidP="00A20BFF">
      <w:pPr>
        <w:pStyle w:val="ListParagraph"/>
        <w:numPr>
          <w:ilvl w:val="0"/>
          <w:numId w:val="29"/>
        </w:numPr>
        <w:spacing w:line="360" w:lineRule="auto"/>
        <w:rPr>
          <w:shd w:val="clear" w:color="auto" w:fill="FFFFFF"/>
        </w:rPr>
      </w:pPr>
      <w:r w:rsidRPr="0003577A">
        <w:rPr>
          <w:color w:val="222222"/>
          <w:shd w:val="clear" w:color="auto" w:fill="FFFFFF"/>
        </w:rPr>
        <w:lastRenderedPageBreak/>
        <w:t xml:space="preserve">Sendhil, R., Joseph, J., </w:t>
      </w:r>
      <w:proofErr w:type="spellStart"/>
      <w:r w:rsidRPr="0003577A">
        <w:rPr>
          <w:color w:val="222222"/>
          <w:shd w:val="clear" w:color="auto" w:fill="FFFFFF"/>
        </w:rPr>
        <w:t>Akhilraj</w:t>
      </w:r>
      <w:proofErr w:type="spellEnd"/>
      <w:r w:rsidRPr="0003577A">
        <w:rPr>
          <w:color w:val="222222"/>
          <w:shd w:val="clear" w:color="auto" w:fill="FFFFFF"/>
        </w:rPr>
        <w:t>, M., Devi, T. S., &amp; Swaminathan, N. (2023). 04. STATUS OF MILLETS IN INDIA: TRENDS AND PROSPECTS. </w:t>
      </w:r>
      <w:r w:rsidRPr="0003577A">
        <w:rPr>
          <w:i/>
          <w:iCs/>
          <w:color w:val="222222"/>
          <w:shd w:val="clear" w:color="auto" w:fill="FFFFFF"/>
        </w:rPr>
        <w:t>Sensitizing the Millet Farming, Consumption and Nutritional security</w:t>
      </w:r>
      <w:r w:rsidRPr="0003577A">
        <w:rPr>
          <w:color w:val="222222"/>
          <w:shd w:val="clear" w:color="auto" w:fill="FFFFFF"/>
        </w:rPr>
        <w:t>, 15.</w:t>
      </w:r>
    </w:p>
    <w:p w14:paraId="316DE2AC" w14:textId="77777777" w:rsidR="00BB319F" w:rsidRPr="0003577A" w:rsidRDefault="00BB319F" w:rsidP="00A20BFF">
      <w:pPr>
        <w:pStyle w:val="ListParagraph"/>
        <w:numPr>
          <w:ilvl w:val="0"/>
          <w:numId w:val="29"/>
        </w:numPr>
        <w:spacing w:line="360" w:lineRule="auto"/>
        <w:rPr>
          <w:shd w:val="clear" w:color="auto" w:fill="FFFFFF"/>
        </w:rPr>
      </w:pPr>
      <w:r w:rsidRPr="0003577A">
        <w:rPr>
          <w:shd w:val="clear" w:color="auto" w:fill="FFFFFF"/>
        </w:rPr>
        <w:t xml:space="preserve">Shiferaw, B., Prasanna, B. M., Hellin, J., &amp; </w:t>
      </w:r>
      <w:proofErr w:type="spellStart"/>
      <w:r w:rsidRPr="0003577A">
        <w:rPr>
          <w:shd w:val="clear" w:color="auto" w:fill="FFFFFF"/>
        </w:rPr>
        <w:t>Bänziger</w:t>
      </w:r>
      <w:proofErr w:type="spellEnd"/>
      <w:r w:rsidRPr="0003577A">
        <w:rPr>
          <w:shd w:val="clear" w:color="auto" w:fill="FFFFFF"/>
        </w:rPr>
        <w:t>, M. (2014). Crops that feed the world 6. Past successes and future challenges to the role played by maize in global food security. Food Security, 3(3), 307-327.</w:t>
      </w:r>
    </w:p>
    <w:p w14:paraId="5F9DBDFE" w14:textId="77777777" w:rsidR="00BB319F" w:rsidRPr="0003577A" w:rsidRDefault="00BB319F" w:rsidP="00A20BFF">
      <w:pPr>
        <w:pStyle w:val="ListParagraph"/>
        <w:numPr>
          <w:ilvl w:val="0"/>
          <w:numId w:val="29"/>
        </w:numPr>
        <w:spacing w:line="360" w:lineRule="auto"/>
        <w:rPr>
          <w:shd w:val="clear" w:color="auto" w:fill="FFFFFF"/>
        </w:rPr>
      </w:pPr>
      <w:proofErr w:type="spellStart"/>
      <w:r w:rsidRPr="0003577A">
        <w:rPr>
          <w:shd w:val="clear" w:color="auto" w:fill="FFFFFF"/>
        </w:rPr>
        <w:t>Sreekala</w:t>
      </w:r>
      <w:proofErr w:type="spellEnd"/>
      <w:r w:rsidRPr="0003577A">
        <w:rPr>
          <w:shd w:val="clear" w:color="auto" w:fill="FFFFFF"/>
        </w:rPr>
        <w:t xml:space="preserve">, A.D.S., </w:t>
      </w:r>
      <w:proofErr w:type="spellStart"/>
      <w:r w:rsidRPr="0003577A">
        <w:rPr>
          <w:shd w:val="clear" w:color="auto" w:fill="FFFFFF"/>
        </w:rPr>
        <w:t>Anbukkani</w:t>
      </w:r>
      <w:proofErr w:type="spellEnd"/>
      <w:r w:rsidRPr="0003577A">
        <w:rPr>
          <w:shd w:val="clear" w:color="auto" w:fill="FFFFFF"/>
        </w:rPr>
        <w:t xml:space="preserve">, P., Singh, A. et al. (2023). Millet Production and Consumption in India: Where Do We Stand and Where Do We </w:t>
      </w:r>
      <w:proofErr w:type="gramStart"/>
      <w:r w:rsidRPr="0003577A">
        <w:rPr>
          <w:shd w:val="clear" w:color="auto" w:fill="FFFFFF"/>
        </w:rPr>
        <w:t>Go?.</w:t>
      </w:r>
      <w:proofErr w:type="gramEnd"/>
      <w:r w:rsidRPr="0003577A">
        <w:rPr>
          <w:shd w:val="clear" w:color="auto" w:fill="FFFFFF"/>
        </w:rPr>
        <w:t xml:space="preserve"> National Academy Science Letters, 46, 65–70.</w:t>
      </w:r>
    </w:p>
    <w:p w14:paraId="418EAD7D" w14:textId="77777777" w:rsidR="00175FC2" w:rsidRPr="0003577A" w:rsidRDefault="00590A99" w:rsidP="00A20BFF">
      <w:pPr>
        <w:pStyle w:val="ListParagraph"/>
        <w:numPr>
          <w:ilvl w:val="0"/>
          <w:numId w:val="29"/>
        </w:numPr>
        <w:spacing w:line="360" w:lineRule="auto"/>
        <w:rPr>
          <w:shd w:val="clear" w:color="auto" w:fill="FFFFFF"/>
        </w:rPr>
      </w:pPr>
      <w:r w:rsidRPr="0003577A">
        <w:t xml:space="preserve">Ajeesh Krishna, T., Babu, B. K., Agrawal, P. K., &amp; Srivastava, R. K. (2021). </w:t>
      </w:r>
      <w:proofErr w:type="spellStart"/>
      <w:r w:rsidRPr="0003577A">
        <w:t>Genomicassisted</w:t>
      </w:r>
      <w:proofErr w:type="spellEnd"/>
      <w:r w:rsidRPr="0003577A">
        <w:t xml:space="preserve"> breeding in finger millet (</w:t>
      </w:r>
      <w:r w:rsidRPr="0003577A">
        <w:rPr>
          <w:i/>
        </w:rPr>
        <w:t>Eleusine coracana</w:t>
      </w:r>
      <w:r w:rsidRPr="0003577A">
        <w:t xml:space="preserve"> (L.) </w:t>
      </w:r>
      <w:proofErr w:type="spellStart"/>
      <w:r w:rsidRPr="0003577A">
        <w:t>Gaertn</w:t>
      </w:r>
      <w:proofErr w:type="spellEnd"/>
      <w:r w:rsidRPr="0003577A">
        <w:t>.) for abiotic stress tolerance. In P. Kole (Ed.), Genomic designing for abiotic stress resistant cereal crops (pp. 291–317). Springer.</w:t>
      </w:r>
    </w:p>
    <w:p w14:paraId="19A263B0" w14:textId="77777777" w:rsidR="00175FC2" w:rsidRPr="0003577A" w:rsidRDefault="00590A99" w:rsidP="00A20BFF">
      <w:pPr>
        <w:pStyle w:val="ListParagraph"/>
        <w:numPr>
          <w:ilvl w:val="0"/>
          <w:numId w:val="29"/>
        </w:numPr>
        <w:spacing w:line="360" w:lineRule="auto"/>
        <w:rPr>
          <w:shd w:val="clear" w:color="auto" w:fill="FFFFFF"/>
        </w:rPr>
      </w:pPr>
      <w:r w:rsidRPr="0003577A">
        <w:t xml:space="preserve">Goyal, E., Kumar, V., Kumari, M., Yadav, V., &amp; Bhatt, A. (2023). Comparative transcriptome analysis in contrasting finger millet (Eleusine coracana (L.) </w:t>
      </w:r>
      <w:proofErr w:type="spellStart"/>
      <w:r w:rsidRPr="0003577A">
        <w:t>gaertn</w:t>
      </w:r>
      <w:proofErr w:type="spellEnd"/>
      <w:r w:rsidRPr="0003577A">
        <w:t xml:space="preserve">) genotypes for heat stress. </w:t>
      </w:r>
      <w:proofErr w:type="spellStart"/>
      <w:r w:rsidRPr="0003577A">
        <w:t>bioRxiv</w:t>
      </w:r>
      <w:proofErr w:type="spellEnd"/>
      <w:r w:rsidRPr="0003577A">
        <w:t>. https://doi.org/10.1101/2023.03.19.533344, 2023.03.19.533344.</w:t>
      </w:r>
    </w:p>
    <w:p w14:paraId="05D71129" w14:textId="77777777" w:rsidR="00175FC2" w:rsidRPr="0003577A" w:rsidRDefault="00175FC2" w:rsidP="0074320A">
      <w:pPr>
        <w:spacing w:line="360" w:lineRule="auto"/>
        <w:rPr>
          <w:shd w:val="clear" w:color="auto" w:fill="FFFFFF"/>
        </w:rPr>
      </w:pPr>
    </w:p>
    <w:p w14:paraId="26BA0A8B" w14:textId="77777777" w:rsidR="00175FC2" w:rsidRPr="0003577A" w:rsidRDefault="00590A99" w:rsidP="00A20BFF">
      <w:pPr>
        <w:pStyle w:val="ListParagraph"/>
        <w:numPr>
          <w:ilvl w:val="0"/>
          <w:numId w:val="29"/>
        </w:numPr>
        <w:spacing w:line="360" w:lineRule="auto"/>
        <w:rPr>
          <w:shd w:val="clear" w:color="auto" w:fill="FFFFFF"/>
        </w:rPr>
      </w:pPr>
      <w:r w:rsidRPr="0003577A">
        <w:t>Pardo, J., &amp; VanBuren, R. (2021). Evolutionary innovations driving abiotic stress tolerance in C4 grasses and cereals. The Plant Cell, 33(11), 3391–3401. https://doi. org/10.1093/</w:t>
      </w:r>
      <w:proofErr w:type="spellStart"/>
      <w:r w:rsidRPr="0003577A">
        <w:t>plcell</w:t>
      </w:r>
      <w:proofErr w:type="spellEnd"/>
      <w:r w:rsidRPr="0003577A">
        <w:t>/koab217</w:t>
      </w:r>
    </w:p>
    <w:p w14:paraId="4A333643" w14:textId="77777777" w:rsidR="00175FC2" w:rsidRPr="0003577A" w:rsidRDefault="004A063D" w:rsidP="00A20BFF">
      <w:pPr>
        <w:pStyle w:val="ListParagraph"/>
        <w:numPr>
          <w:ilvl w:val="0"/>
          <w:numId w:val="29"/>
        </w:numPr>
        <w:spacing w:line="360" w:lineRule="auto"/>
        <w:rPr>
          <w:shd w:val="clear" w:color="auto" w:fill="FFFFFF"/>
        </w:rPr>
      </w:pPr>
      <w:r w:rsidRPr="0003577A">
        <w:t xml:space="preserve">Ramakrishna, C., Kumar, V., &amp; Bhatt, A. (2018). Isolation and allelic characterization of f </w:t>
      </w:r>
      <w:proofErr w:type="spellStart"/>
      <w:r w:rsidRPr="0003577A">
        <w:t>inger</w:t>
      </w:r>
      <w:proofErr w:type="spellEnd"/>
      <w:r w:rsidRPr="0003577A">
        <w:t xml:space="preserve"> </w:t>
      </w:r>
      <w:proofErr w:type="spellStart"/>
      <w:r w:rsidRPr="0003577A">
        <w:t>millet</w:t>
      </w:r>
      <w:proofErr w:type="spellEnd"/>
      <w:r w:rsidRPr="0003577A">
        <w:t xml:space="preserve"> (</w:t>
      </w:r>
      <w:proofErr w:type="spellStart"/>
      <w:r w:rsidRPr="0003577A">
        <w:t>Eleusine</w:t>
      </w:r>
      <w:proofErr w:type="spellEnd"/>
      <w:r w:rsidRPr="0003577A">
        <w:t xml:space="preserve"> </w:t>
      </w:r>
      <w:proofErr w:type="spellStart"/>
      <w:r w:rsidRPr="0003577A">
        <w:t>coracana</w:t>
      </w:r>
      <w:proofErr w:type="spellEnd"/>
      <w:r w:rsidRPr="0003577A">
        <w:t xml:space="preserve"> L.) small heat shock protein EcHSP17.8 for stress tolerance. Indian Journal of Genetics and Plant Breeding, 78(1), 95–103. https://doi. org/10.5958/0975-6906.2018.00014.1</w:t>
      </w:r>
    </w:p>
    <w:p w14:paraId="29B571EC" w14:textId="77777777" w:rsidR="00175FC2" w:rsidRPr="0003577A" w:rsidRDefault="004A063D" w:rsidP="00A20BFF">
      <w:pPr>
        <w:pStyle w:val="ListParagraph"/>
        <w:numPr>
          <w:ilvl w:val="0"/>
          <w:numId w:val="29"/>
        </w:numPr>
        <w:spacing w:line="360" w:lineRule="auto"/>
        <w:rPr>
          <w:shd w:val="clear" w:color="auto" w:fill="FFFFFF"/>
        </w:rPr>
      </w:pPr>
      <w:r w:rsidRPr="0003577A">
        <w:t xml:space="preserve">Opole, R., Wekesa, C., &amp; </w:t>
      </w:r>
      <w:proofErr w:type="spellStart"/>
      <w:r w:rsidRPr="0003577A">
        <w:t>Mbinda</w:t>
      </w:r>
      <w:proofErr w:type="spellEnd"/>
      <w:r w:rsidRPr="0003577A">
        <w:t>, W. (2018). Thresholds, sensitive stages and genetic variability of finger millet to high temperature stress. Journal of Agronomy and Crop Science, 204(5), 477–492. https://doi.org/10.1111/jac.12278</w:t>
      </w:r>
    </w:p>
    <w:p w14:paraId="30E02C73" w14:textId="77777777" w:rsidR="00CD75C6" w:rsidRPr="0003577A" w:rsidRDefault="00936AFF" w:rsidP="00A20BFF">
      <w:pPr>
        <w:pStyle w:val="ListParagraph"/>
        <w:numPr>
          <w:ilvl w:val="0"/>
          <w:numId w:val="29"/>
        </w:numPr>
        <w:spacing w:line="360" w:lineRule="auto"/>
      </w:pPr>
      <w:r w:rsidRPr="0003577A">
        <w:t xml:space="preserve">Nair, V. D., &amp; Devi, R. (2024). Breeding finger millet for abiotic stress tolerance: Strategies and challenges. In J. Jacob, P. Senthilvel, &amp; P. Kumar (Eds.), Genetic improvement of small millets (pp. 225–277). </w:t>
      </w:r>
    </w:p>
    <w:p w14:paraId="2315F6B8" w14:textId="77777777" w:rsidR="002702A8" w:rsidRPr="0003577A" w:rsidRDefault="00C931EB" w:rsidP="00A20BFF">
      <w:pPr>
        <w:pStyle w:val="ListParagraph"/>
        <w:numPr>
          <w:ilvl w:val="0"/>
          <w:numId w:val="29"/>
        </w:numPr>
        <w:spacing w:line="360" w:lineRule="auto"/>
      </w:pPr>
      <w:proofErr w:type="spellStart"/>
      <w:r w:rsidRPr="0003577A">
        <w:t>Adikini</w:t>
      </w:r>
      <w:proofErr w:type="spellEnd"/>
      <w:r w:rsidRPr="0003577A">
        <w:t xml:space="preserve"> S, </w:t>
      </w:r>
      <w:proofErr w:type="spellStart"/>
      <w:r w:rsidRPr="0003577A">
        <w:t>Roggers</w:t>
      </w:r>
      <w:proofErr w:type="spellEnd"/>
      <w:r w:rsidRPr="0003577A">
        <w:t xml:space="preserve"> G, </w:t>
      </w:r>
      <w:proofErr w:type="spellStart"/>
      <w:r w:rsidRPr="0003577A">
        <w:t>Ojulong</w:t>
      </w:r>
      <w:proofErr w:type="spellEnd"/>
      <w:r w:rsidRPr="0003577A">
        <w:t xml:space="preserve"> H, Aita A, Opie H, </w:t>
      </w:r>
      <w:proofErr w:type="spellStart"/>
      <w:r w:rsidRPr="0003577A">
        <w:t>Wandulu</w:t>
      </w:r>
      <w:proofErr w:type="spellEnd"/>
      <w:r w:rsidRPr="0003577A">
        <w:t xml:space="preserve"> JA, et al. Finger Millet Production Manual for Uganda. National Agricultural Research Organization. 2021. </w:t>
      </w:r>
    </w:p>
    <w:p w14:paraId="1CA6BA80" w14:textId="77777777" w:rsidR="00267B38" w:rsidRPr="00267B38" w:rsidRDefault="00267B38" w:rsidP="00A20BFF">
      <w:pPr>
        <w:pStyle w:val="ListParagraph"/>
        <w:numPr>
          <w:ilvl w:val="0"/>
          <w:numId w:val="29"/>
        </w:numPr>
        <w:spacing w:line="360" w:lineRule="auto"/>
        <w:rPr>
          <w:color w:val="auto"/>
        </w:rPr>
      </w:pPr>
      <w:r>
        <w:rPr>
          <w:rFonts w:ascii="Arial" w:hAnsi="Arial" w:cs="Arial"/>
          <w:color w:val="222222"/>
          <w:sz w:val="20"/>
          <w:szCs w:val="20"/>
          <w:shd w:val="clear" w:color="auto" w:fill="FFFFFF"/>
        </w:rPr>
        <w:lastRenderedPageBreak/>
        <w:t>Akhtar, N., Ahmad, Y., Shakeel, M., Gillani, W. A., Khan, J., Yasmin, T., &amp; Begum, I. (2012). RESISTANCE IN PEARL MILLET GERMPLASM TO GREENBUG, SCHIZAPHIS GRAMINUM (RONDANI). </w:t>
      </w:r>
      <w:r>
        <w:rPr>
          <w:rFonts w:ascii="Arial" w:hAnsi="Arial" w:cs="Arial"/>
          <w:i/>
          <w:iCs/>
          <w:color w:val="222222"/>
          <w:sz w:val="20"/>
          <w:szCs w:val="20"/>
          <w:shd w:val="clear" w:color="auto" w:fill="FFFFFF"/>
        </w:rPr>
        <w:t>Pakistan Journal of Agricultural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(3).</w:t>
      </w:r>
    </w:p>
    <w:p w14:paraId="434D892E" w14:textId="77777777" w:rsidR="006C29B4" w:rsidRPr="0003577A" w:rsidRDefault="006C29B4" w:rsidP="00A20BFF">
      <w:pPr>
        <w:pStyle w:val="ListParagraph"/>
        <w:numPr>
          <w:ilvl w:val="0"/>
          <w:numId w:val="29"/>
        </w:numPr>
        <w:spacing w:line="360" w:lineRule="auto"/>
        <w:rPr>
          <w:color w:val="auto"/>
        </w:rPr>
      </w:pPr>
      <w:r w:rsidRPr="0003577A">
        <w:rPr>
          <w:color w:val="auto"/>
        </w:rPr>
        <w:t xml:space="preserve">Press Information Bureau. (2023, March 17). </w:t>
      </w:r>
      <w:r w:rsidRPr="0003577A">
        <w:rPr>
          <w:i/>
          <w:iCs/>
          <w:color w:val="auto"/>
        </w:rPr>
        <w:t>Production linked incentive scheme for millet-based products (PLISMBP) announced.</w:t>
      </w:r>
      <w:r w:rsidRPr="0003577A">
        <w:rPr>
          <w:color w:val="auto"/>
        </w:rPr>
        <w:t xml:space="preserve"> Government of India. </w:t>
      </w:r>
    </w:p>
    <w:p w14:paraId="10948AE5" w14:textId="77777777" w:rsidR="00BA6B30" w:rsidRPr="0003577A" w:rsidRDefault="00BA6B30" w:rsidP="00A20BFF">
      <w:pPr>
        <w:pStyle w:val="ListParagraph"/>
        <w:numPr>
          <w:ilvl w:val="0"/>
          <w:numId w:val="29"/>
        </w:numPr>
        <w:spacing w:line="360" w:lineRule="auto"/>
      </w:pPr>
      <w:r w:rsidRPr="0003577A">
        <w:t xml:space="preserve">Press Information Bureau. (2023, February 14). </w:t>
      </w:r>
      <w:r w:rsidRPr="0003577A">
        <w:rPr>
          <w:rStyle w:val="Emphasis"/>
        </w:rPr>
        <w:t>Shree Anna Scheme: A step towards promoting millets as a food security solution.</w:t>
      </w:r>
      <w:r w:rsidRPr="0003577A">
        <w:t xml:space="preserve"> Government of India. </w:t>
      </w:r>
    </w:p>
    <w:p w14:paraId="2DA13D39" w14:textId="77777777" w:rsidR="009C24CC" w:rsidRPr="0003577A" w:rsidRDefault="009C24CC" w:rsidP="00A20BFF">
      <w:pPr>
        <w:pStyle w:val="ListParagraph"/>
        <w:numPr>
          <w:ilvl w:val="0"/>
          <w:numId w:val="29"/>
        </w:numPr>
        <w:spacing w:line="360" w:lineRule="auto"/>
        <w:rPr>
          <w:color w:val="222222"/>
          <w:shd w:val="clear" w:color="auto" w:fill="FFFFFF"/>
        </w:rPr>
      </w:pPr>
      <w:r w:rsidRPr="0003577A">
        <w:rPr>
          <w:color w:val="222222"/>
          <w:shd w:val="clear" w:color="auto" w:fill="FFFFFF"/>
        </w:rPr>
        <w:t>Ankita, &amp; Seth, U. (2025). Millets in India: exploring historical significance, cultural heritage and ethnic foods. </w:t>
      </w:r>
      <w:r w:rsidRPr="0003577A">
        <w:rPr>
          <w:i/>
          <w:iCs/>
          <w:color w:val="222222"/>
          <w:shd w:val="clear" w:color="auto" w:fill="FFFFFF"/>
        </w:rPr>
        <w:t>Journal of Ethnic Foods</w:t>
      </w:r>
      <w:r w:rsidRPr="0003577A">
        <w:rPr>
          <w:color w:val="222222"/>
          <w:shd w:val="clear" w:color="auto" w:fill="FFFFFF"/>
        </w:rPr>
        <w:t>, </w:t>
      </w:r>
      <w:r w:rsidRPr="0003577A">
        <w:rPr>
          <w:i/>
          <w:iCs/>
          <w:color w:val="222222"/>
          <w:shd w:val="clear" w:color="auto" w:fill="FFFFFF"/>
        </w:rPr>
        <w:t>12</w:t>
      </w:r>
      <w:r w:rsidRPr="0003577A">
        <w:rPr>
          <w:color w:val="222222"/>
          <w:shd w:val="clear" w:color="auto" w:fill="FFFFFF"/>
        </w:rPr>
        <w:t>(1), 2.</w:t>
      </w:r>
    </w:p>
    <w:p w14:paraId="1DB678DE" w14:textId="77777777" w:rsidR="00235416" w:rsidRPr="0003577A" w:rsidRDefault="00235416" w:rsidP="00A20BFF">
      <w:pPr>
        <w:pStyle w:val="ListParagraph"/>
        <w:numPr>
          <w:ilvl w:val="0"/>
          <w:numId w:val="29"/>
        </w:numPr>
        <w:spacing w:line="360" w:lineRule="auto"/>
        <w:rPr>
          <w:color w:val="222222"/>
          <w:shd w:val="clear" w:color="auto" w:fill="FFFFFF"/>
        </w:rPr>
      </w:pPr>
      <w:r w:rsidRPr="0003577A">
        <w:rPr>
          <w:color w:val="222222"/>
          <w:shd w:val="clear" w:color="auto" w:fill="FFFFFF"/>
        </w:rPr>
        <w:t xml:space="preserve">Wafula, W. N., Korir, N. K., </w:t>
      </w:r>
      <w:proofErr w:type="spellStart"/>
      <w:r w:rsidRPr="0003577A">
        <w:rPr>
          <w:color w:val="222222"/>
          <w:shd w:val="clear" w:color="auto" w:fill="FFFFFF"/>
        </w:rPr>
        <w:t>Ojulong</w:t>
      </w:r>
      <w:proofErr w:type="spellEnd"/>
      <w:r w:rsidRPr="0003577A">
        <w:rPr>
          <w:color w:val="222222"/>
          <w:shd w:val="clear" w:color="auto" w:fill="FFFFFF"/>
        </w:rPr>
        <w:t xml:space="preserve">, H. F., </w:t>
      </w:r>
      <w:proofErr w:type="spellStart"/>
      <w:r w:rsidRPr="0003577A">
        <w:rPr>
          <w:color w:val="222222"/>
          <w:shd w:val="clear" w:color="auto" w:fill="FFFFFF"/>
        </w:rPr>
        <w:t>Siambi</w:t>
      </w:r>
      <w:proofErr w:type="spellEnd"/>
      <w:r w:rsidRPr="0003577A">
        <w:rPr>
          <w:color w:val="222222"/>
          <w:shd w:val="clear" w:color="auto" w:fill="FFFFFF"/>
        </w:rPr>
        <w:t xml:space="preserve">, M., &amp; </w:t>
      </w:r>
      <w:proofErr w:type="spellStart"/>
      <w:r w:rsidRPr="0003577A">
        <w:rPr>
          <w:color w:val="222222"/>
          <w:shd w:val="clear" w:color="auto" w:fill="FFFFFF"/>
        </w:rPr>
        <w:t>Gweyi</w:t>
      </w:r>
      <w:proofErr w:type="spellEnd"/>
      <w:r w:rsidRPr="0003577A">
        <w:rPr>
          <w:color w:val="222222"/>
          <w:shd w:val="clear" w:color="auto" w:fill="FFFFFF"/>
        </w:rPr>
        <w:t>-Onyango, J. P. (2016). Phosphorus influence on plant tissue nitrogen contents and yield attributes of finger millet varieties in semi-arid region of Kenya. </w:t>
      </w:r>
      <w:r w:rsidRPr="0003577A">
        <w:rPr>
          <w:i/>
          <w:iCs/>
          <w:color w:val="222222"/>
          <w:shd w:val="clear" w:color="auto" w:fill="FFFFFF"/>
        </w:rPr>
        <w:t>International Journal of Plant &amp; Soil Science</w:t>
      </w:r>
      <w:r w:rsidRPr="0003577A">
        <w:rPr>
          <w:color w:val="222222"/>
          <w:shd w:val="clear" w:color="auto" w:fill="FFFFFF"/>
        </w:rPr>
        <w:t>, </w:t>
      </w:r>
      <w:r w:rsidRPr="0003577A">
        <w:rPr>
          <w:i/>
          <w:iCs/>
          <w:color w:val="222222"/>
          <w:shd w:val="clear" w:color="auto" w:fill="FFFFFF"/>
        </w:rPr>
        <w:t>13</w:t>
      </w:r>
      <w:r w:rsidRPr="0003577A">
        <w:rPr>
          <w:color w:val="222222"/>
          <w:shd w:val="clear" w:color="auto" w:fill="FFFFFF"/>
        </w:rPr>
        <w:t>(3), 1-9.</w:t>
      </w:r>
    </w:p>
    <w:p w14:paraId="7C47A939" w14:textId="77777777" w:rsidR="003A5035" w:rsidRPr="0003577A" w:rsidRDefault="003A5035" w:rsidP="00A20BFF">
      <w:pPr>
        <w:pStyle w:val="ListParagraph"/>
        <w:numPr>
          <w:ilvl w:val="0"/>
          <w:numId w:val="29"/>
        </w:numPr>
        <w:spacing w:line="360" w:lineRule="auto"/>
        <w:rPr>
          <w:color w:val="auto"/>
          <w:shd w:val="clear" w:color="auto" w:fill="FFFFFF"/>
        </w:rPr>
      </w:pPr>
      <w:r w:rsidRPr="0003577A">
        <w:rPr>
          <w:color w:val="222222"/>
          <w:shd w:val="clear" w:color="auto" w:fill="FFFFFF"/>
        </w:rPr>
        <w:t>Maitra, S., Reddy, M. D., &amp; Nanda, S. P. (2020). Nutrient management in finger millet (</w:t>
      </w:r>
      <w:r w:rsidRPr="0003577A">
        <w:rPr>
          <w:i/>
          <w:color w:val="222222"/>
          <w:shd w:val="clear" w:color="auto" w:fill="FFFFFF"/>
        </w:rPr>
        <w:t xml:space="preserve">Eleusine coracana L. </w:t>
      </w:r>
      <w:proofErr w:type="spellStart"/>
      <w:r w:rsidRPr="0003577A">
        <w:rPr>
          <w:i/>
          <w:color w:val="222222"/>
          <w:shd w:val="clear" w:color="auto" w:fill="FFFFFF"/>
        </w:rPr>
        <w:t>Gaertn</w:t>
      </w:r>
      <w:proofErr w:type="spellEnd"/>
      <w:r w:rsidRPr="0003577A">
        <w:rPr>
          <w:color w:val="222222"/>
          <w:shd w:val="clear" w:color="auto" w:fill="FFFFFF"/>
        </w:rPr>
        <w:t>) in India. </w:t>
      </w:r>
      <w:r w:rsidRPr="0003577A">
        <w:rPr>
          <w:i/>
          <w:iCs/>
          <w:color w:val="222222"/>
          <w:shd w:val="clear" w:color="auto" w:fill="FFFFFF"/>
        </w:rPr>
        <w:t>International Journal of Agriculture, Environment and Biotechnology</w:t>
      </w:r>
      <w:r w:rsidRPr="0003577A">
        <w:rPr>
          <w:color w:val="222222"/>
          <w:shd w:val="clear" w:color="auto" w:fill="FFFFFF"/>
        </w:rPr>
        <w:t>, </w:t>
      </w:r>
      <w:r w:rsidRPr="0003577A">
        <w:rPr>
          <w:i/>
          <w:iCs/>
          <w:color w:val="222222"/>
          <w:shd w:val="clear" w:color="auto" w:fill="FFFFFF"/>
        </w:rPr>
        <w:t>13</w:t>
      </w:r>
      <w:r w:rsidRPr="0003577A">
        <w:rPr>
          <w:color w:val="222222"/>
          <w:shd w:val="clear" w:color="auto" w:fill="FFFFFF"/>
        </w:rPr>
        <w:t>(1), 13-21.</w:t>
      </w:r>
    </w:p>
    <w:sectPr w:rsidR="003A5035" w:rsidRPr="0003577A" w:rsidSect="00BB71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5DAB0" w14:textId="77777777" w:rsidR="00302B49" w:rsidRDefault="00302B49" w:rsidP="00F63338">
      <w:r>
        <w:separator/>
      </w:r>
    </w:p>
  </w:endnote>
  <w:endnote w:type="continuationSeparator" w:id="0">
    <w:p w14:paraId="05D27AB1" w14:textId="77777777" w:rsidR="00302B49" w:rsidRDefault="00302B49" w:rsidP="00F6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2B638" w14:textId="77777777" w:rsidR="000C11BA" w:rsidRDefault="000C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C767" w14:textId="77777777" w:rsidR="000C11BA" w:rsidRDefault="000C1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3006" w14:textId="77777777" w:rsidR="000C11BA" w:rsidRDefault="000C1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B73C0" w14:textId="77777777" w:rsidR="00302B49" w:rsidRDefault="00302B49" w:rsidP="00F63338">
      <w:r>
        <w:separator/>
      </w:r>
    </w:p>
  </w:footnote>
  <w:footnote w:type="continuationSeparator" w:id="0">
    <w:p w14:paraId="3F9FFDFF" w14:textId="77777777" w:rsidR="00302B49" w:rsidRDefault="00302B49" w:rsidP="00F6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8418" w14:textId="669A7299" w:rsidR="000C11BA" w:rsidRDefault="000C11BA">
    <w:pPr>
      <w:pStyle w:val="Header"/>
    </w:pPr>
    <w:r>
      <w:rPr>
        <w:noProof/>
      </w:rPr>
      <w:pict w14:anchorId="5242C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8266"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8DEF" w14:textId="63E3B601" w:rsidR="000C11BA" w:rsidRDefault="000C11BA">
    <w:pPr>
      <w:pStyle w:val="Header"/>
    </w:pPr>
    <w:r>
      <w:rPr>
        <w:noProof/>
      </w:rPr>
      <w:pict w14:anchorId="2A2EE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8267"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B8D1" w14:textId="62B7396D" w:rsidR="000C11BA" w:rsidRDefault="000C11BA">
    <w:pPr>
      <w:pStyle w:val="Header"/>
    </w:pPr>
    <w:r>
      <w:rPr>
        <w:noProof/>
      </w:rPr>
      <w:pict w14:anchorId="5A3F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98265"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8EB"/>
    <w:multiLevelType w:val="multilevel"/>
    <w:tmpl w:val="E9A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A3AAD"/>
    <w:multiLevelType w:val="multilevel"/>
    <w:tmpl w:val="95E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04BBE"/>
    <w:multiLevelType w:val="multilevel"/>
    <w:tmpl w:val="DDF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273A0"/>
    <w:multiLevelType w:val="hybridMultilevel"/>
    <w:tmpl w:val="3CD41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FF0A5D"/>
    <w:multiLevelType w:val="hybridMultilevel"/>
    <w:tmpl w:val="8C2C1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BB2DC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7596C86"/>
    <w:multiLevelType w:val="multilevel"/>
    <w:tmpl w:val="4870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A3468"/>
    <w:multiLevelType w:val="multilevel"/>
    <w:tmpl w:val="73CE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95819"/>
    <w:multiLevelType w:val="hybridMultilevel"/>
    <w:tmpl w:val="0C2AF11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9" w15:restartNumberingAfterBreak="0">
    <w:nsid w:val="212A7B33"/>
    <w:multiLevelType w:val="hybridMultilevel"/>
    <w:tmpl w:val="6D8C07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066890"/>
    <w:multiLevelType w:val="multilevel"/>
    <w:tmpl w:val="6310B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74B43"/>
    <w:multiLevelType w:val="hybridMultilevel"/>
    <w:tmpl w:val="EBBE925A"/>
    <w:lvl w:ilvl="0" w:tplc="AC248A5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5A1400"/>
    <w:multiLevelType w:val="hybridMultilevel"/>
    <w:tmpl w:val="0D20EB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E871D3"/>
    <w:multiLevelType w:val="multilevel"/>
    <w:tmpl w:val="E186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66BD2"/>
    <w:multiLevelType w:val="multilevel"/>
    <w:tmpl w:val="69CC0E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433855"/>
    <w:multiLevelType w:val="multilevel"/>
    <w:tmpl w:val="649E7DA0"/>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27713B"/>
    <w:multiLevelType w:val="multilevel"/>
    <w:tmpl w:val="4CC4536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FB3C77"/>
    <w:multiLevelType w:val="multilevel"/>
    <w:tmpl w:val="A6BE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20828"/>
    <w:multiLevelType w:val="multilevel"/>
    <w:tmpl w:val="2AF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F5EA8"/>
    <w:multiLevelType w:val="multilevel"/>
    <w:tmpl w:val="2A28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32D8B"/>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DF32110"/>
    <w:multiLevelType w:val="multilevel"/>
    <w:tmpl w:val="2B7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E23DA"/>
    <w:multiLevelType w:val="multilevel"/>
    <w:tmpl w:val="5294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073234"/>
    <w:multiLevelType w:val="hybridMultilevel"/>
    <w:tmpl w:val="AD4A69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0AA14F2"/>
    <w:multiLevelType w:val="hybridMultilevel"/>
    <w:tmpl w:val="5D12D4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60F2AF6"/>
    <w:multiLevelType w:val="multilevel"/>
    <w:tmpl w:val="CBF8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D574E"/>
    <w:multiLevelType w:val="hybridMultilevel"/>
    <w:tmpl w:val="458C6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10170D0"/>
    <w:multiLevelType w:val="multilevel"/>
    <w:tmpl w:val="46D8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765F9"/>
    <w:multiLevelType w:val="multilevel"/>
    <w:tmpl w:val="9F00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00059"/>
    <w:multiLevelType w:val="multilevel"/>
    <w:tmpl w:val="071030BC"/>
    <w:lvl w:ilvl="0">
      <w:start w:val="4"/>
      <w:numFmt w:val="decimal"/>
      <w:lvlText w:val="%1."/>
      <w:lvlJc w:val="left"/>
      <w:pPr>
        <w:ind w:left="502" w:hanging="360"/>
      </w:pPr>
      <w:rPr>
        <w:rFonts w:hint="default"/>
        <w:b/>
      </w:rPr>
    </w:lvl>
    <w:lvl w:ilvl="1">
      <w:start w:val="3"/>
      <w:numFmt w:val="decimal"/>
      <w:isLgl/>
      <w:lvlText w:val="%1.%2"/>
      <w:lvlJc w:val="left"/>
      <w:pPr>
        <w:ind w:left="1080" w:hanging="360"/>
      </w:pPr>
      <w:rPr>
        <w:rFonts w:hint="default"/>
        <w:b/>
      </w:rPr>
    </w:lvl>
    <w:lvl w:ilvl="2">
      <w:start w:val="1"/>
      <w:numFmt w:val="decimal"/>
      <w:isLgl/>
      <w:lvlText w:val="%1.%2.%3"/>
      <w:lvlJc w:val="left"/>
      <w:pPr>
        <w:ind w:left="2018" w:hanging="720"/>
      </w:pPr>
      <w:rPr>
        <w:rFonts w:hint="default"/>
        <w:b/>
      </w:rPr>
    </w:lvl>
    <w:lvl w:ilvl="3">
      <w:start w:val="1"/>
      <w:numFmt w:val="decimal"/>
      <w:isLgl/>
      <w:lvlText w:val="%1.%2.%3.%4"/>
      <w:lvlJc w:val="left"/>
      <w:pPr>
        <w:ind w:left="2596" w:hanging="720"/>
      </w:pPr>
      <w:rPr>
        <w:rFonts w:hint="default"/>
        <w:b/>
      </w:rPr>
    </w:lvl>
    <w:lvl w:ilvl="4">
      <w:start w:val="1"/>
      <w:numFmt w:val="decimal"/>
      <w:isLgl/>
      <w:lvlText w:val="%1.%2.%3.%4.%5"/>
      <w:lvlJc w:val="left"/>
      <w:pPr>
        <w:ind w:left="3534" w:hanging="1080"/>
      </w:pPr>
      <w:rPr>
        <w:rFonts w:hint="default"/>
        <w:b/>
      </w:rPr>
    </w:lvl>
    <w:lvl w:ilvl="5">
      <w:start w:val="1"/>
      <w:numFmt w:val="decimal"/>
      <w:isLgl/>
      <w:lvlText w:val="%1.%2.%3.%4.%5.%6"/>
      <w:lvlJc w:val="left"/>
      <w:pPr>
        <w:ind w:left="4112" w:hanging="1080"/>
      </w:pPr>
      <w:rPr>
        <w:rFonts w:hint="default"/>
        <w:b/>
      </w:rPr>
    </w:lvl>
    <w:lvl w:ilvl="6">
      <w:start w:val="1"/>
      <w:numFmt w:val="decimal"/>
      <w:isLgl/>
      <w:lvlText w:val="%1.%2.%3.%4.%5.%6.%7"/>
      <w:lvlJc w:val="left"/>
      <w:pPr>
        <w:ind w:left="5050" w:hanging="1440"/>
      </w:pPr>
      <w:rPr>
        <w:rFonts w:hint="default"/>
        <w:b/>
      </w:rPr>
    </w:lvl>
    <w:lvl w:ilvl="7">
      <w:start w:val="1"/>
      <w:numFmt w:val="decimal"/>
      <w:isLgl/>
      <w:lvlText w:val="%1.%2.%3.%4.%5.%6.%7.%8"/>
      <w:lvlJc w:val="left"/>
      <w:pPr>
        <w:ind w:left="5628" w:hanging="1440"/>
      </w:pPr>
      <w:rPr>
        <w:rFonts w:hint="default"/>
        <w:b/>
      </w:rPr>
    </w:lvl>
    <w:lvl w:ilvl="8">
      <w:start w:val="1"/>
      <w:numFmt w:val="decimal"/>
      <w:isLgl/>
      <w:lvlText w:val="%1.%2.%3.%4.%5.%6.%7.%8.%9"/>
      <w:lvlJc w:val="left"/>
      <w:pPr>
        <w:ind w:left="6566" w:hanging="1800"/>
      </w:pPr>
      <w:rPr>
        <w:rFonts w:hint="default"/>
        <w:b/>
      </w:rPr>
    </w:lvl>
  </w:abstractNum>
  <w:abstractNum w:abstractNumId="30" w15:restartNumberingAfterBreak="0">
    <w:nsid w:val="76CB1187"/>
    <w:multiLevelType w:val="hybridMultilevel"/>
    <w:tmpl w:val="4AD655A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79A62D7E"/>
    <w:multiLevelType w:val="hybridMultilevel"/>
    <w:tmpl w:val="0E4A905A"/>
    <w:lvl w:ilvl="0" w:tplc="4009000F">
      <w:start w:val="1"/>
      <w:numFmt w:val="decimal"/>
      <w:lvlText w:val="%1."/>
      <w:lvlJc w:val="left"/>
      <w:pPr>
        <w:ind w:left="-1440" w:hanging="360"/>
      </w:pPr>
    </w:lvl>
    <w:lvl w:ilvl="1" w:tplc="40090019" w:tentative="1">
      <w:start w:val="1"/>
      <w:numFmt w:val="lowerLetter"/>
      <w:lvlText w:val="%2."/>
      <w:lvlJc w:val="left"/>
      <w:pPr>
        <w:ind w:left="-720" w:hanging="360"/>
      </w:pPr>
    </w:lvl>
    <w:lvl w:ilvl="2" w:tplc="4009001B" w:tentative="1">
      <w:start w:val="1"/>
      <w:numFmt w:val="lowerRoman"/>
      <w:lvlText w:val="%3."/>
      <w:lvlJc w:val="right"/>
      <w:pPr>
        <w:ind w:left="0" w:hanging="180"/>
      </w:pPr>
    </w:lvl>
    <w:lvl w:ilvl="3" w:tplc="4009000F" w:tentative="1">
      <w:start w:val="1"/>
      <w:numFmt w:val="decimal"/>
      <w:lvlText w:val="%4."/>
      <w:lvlJc w:val="left"/>
      <w:pPr>
        <w:ind w:left="720" w:hanging="360"/>
      </w:pPr>
    </w:lvl>
    <w:lvl w:ilvl="4" w:tplc="40090019" w:tentative="1">
      <w:start w:val="1"/>
      <w:numFmt w:val="lowerLetter"/>
      <w:lvlText w:val="%5."/>
      <w:lvlJc w:val="left"/>
      <w:pPr>
        <w:ind w:left="1440" w:hanging="360"/>
      </w:pPr>
    </w:lvl>
    <w:lvl w:ilvl="5" w:tplc="4009001B" w:tentative="1">
      <w:start w:val="1"/>
      <w:numFmt w:val="lowerRoman"/>
      <w:lvlText w:val="%6."/>
      <w:lvlJc w:val="right"/>
      <w:pPr>
        <w:ind w:left="2160" w:hanging="180"/>
      </w:pPr>
    </w:lvl>
    <w:lvl w:ilvl="6" w:tplc="4009000F" w:tentative="1">
      <w:start w:val="1"/>
      <w:numFmt w:val="decimal"/>
      <w:lvlText w:val="%7."/>
      <w:lvlJc w:val="left"/>
      <w:pPr>
        <w:ind w:left="2880" w:hanging="360"/>
      </w:pPr>
    </w:lvl>
    <w:lvl w:ilvl="7" w:tplc="40090019" w:tentative="1">
      <w:start w:val="1"/>
      <w:numFmt w:val="lowerLetter"/>
      <w:lvlText w:val="%8."/>
      <w:lvlJc w:val="left"/>
      <w:pPr>
        <w:ind w:left="3600" w:hanging="360"/>
      </w:pPr>
    </w:lvl>
    <w:lvl w:ilvl="8" w:tplc="4009001B" w:tentative="1">
      <w:start w:val="1"/>
      <w:numFmt w:val="lowerRoman"/>
      <w:lvlText w:val="%9."/>
      <w:lvlJc w:val="right"/>
      <w:pPr>
        <w:ind w:left="4320" w:hanging="180"/>
      </w:pPr>
    </w:lvl>
  </w:abstractNum>
  <w:num w:numId="1">
    <w:abstractNumId w:val="27"/>
  </w:num>
  <w:num w:numId="2">
    <w:abstractNumId w:val="18"/>
  </w:num>
  <w:num w:numId="3">
    <w:abstractNumId w:val="6"/>
  </w:num>
  <w:num w:numId="4">
    <w:abstractNumId w:val="0"/>
  </w:num>
  <w:num w:numId="5">
    <w:abstractNumId w:val="1"/>
  </w:num>
  <w:num w:numId="6">
    <w:abstractNumId w:val="28"/>
  </w:num>
  <w:num w:numId="7">
    <w:abstractNumId w:val="13"/>
  </w:num>
  <w:num w:numId="8">
    <w:abstractNumId w:val="17"/>
  </w:num>
  <w:num w:numId="9">
    <w:abstractNumId w:val="22"/>
  </w:num>
  <w:num w:numId="10">
    <w:abstractNumId w:val="7"/>
  </w:num>
  <w:num w:numId="11">
    <w:abstractNumId w:val="25"/>
  </w:num>
  <w:num w:numId="12">
    <w:abstractNumId w:val="19"/>
  </w:num>
  <w:num w:numId="13">
    <w:abstractNumId w:val="2"/>
  </w:num>
  <w:num w:numId="14">
    <w:abstractNumId w:val="21"/>
  </w:num>
  <w:num w:numId="15">
    <w:abstractNumId w:val="31"/>
  </w:num>
  <w:num w:numId="16">
    <w:abstractNumId w:val="12"/>
  </w:num>
  <w:num w:numId="17">
    <w:abstractNumId w:val="4"/>
  </w:num>
  <w:num w:numId="18">
    <w:abstractNumId w:val="26"/>
  </w:num>
  <w:num w:numId="19">
    <w:abstractNumId w:val="9"/>
  </w:num>
  <w:num w:numId="20">
    <w:abstractNumId w:val="24"/>
  </w:num>
  <w:num w:numId="21">
    <w:abstractNumId w:val="8"/>
  </w:num>
  <w:num w:numId="22">
    <w:abstractNumId w:val="5"/>
  </w:num>
  <w:num w:numId="23">
    <w:abstractNumId w:val="20"/>
  </w:num>
  <w:num w:numId="24">
    <w:abstractNumId w:val="3"/>
  </w:num>
  <w:num w:numId="25">
    <w:abstractNumId w:val="15"/>
  </w:num>
  <w:num w:numId="26">
    <w:abstractNumId w:val="30"/>
  </w:num>
  <w:num w:numId="27">
    <w:abstractNumId w:val="29"/>
  </w:num>
  <w:num w:numId="28">
    <w:abstractNumId w:val="10"/>
  </w:num>
  <w:num w:numId="29">
    <w:abstractNumId w:val="23"/>
  </w:num>
  <w:num w:numId="30">
    <w:abstractNumId w:val="11"/>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22292"/>
    <w:rsid w:val="0000060E"/>
    <w:rsid w:val="00006E60"/>
    <w:rsid w:val="00012780"/>
    <w:rsid w:val="00035253"/>
    <w:rsid w:val="0003577A"/>
    <w:rsid w:val="00035D1E"/>
    <w:rsid w:val="00041B7E"/>
    <w:rsid w:val="00042437"/>
    <w:rsid w:val="00042A28"/>
    <w:rsid w:val="00043714"/>
    <w:rsid w:val="00054F52"/>
    <w:rsid w:val="00055D89"/>
    <w:rsid w:val="00057453"/>
    <w:rsid w:val="000576F8"/>
    <w:rsid w:val="0006028A"/>
    <w:rsid w:val="0006232E"/>
    <w:rsid w:val="00070282"/>
    <w:rsid w:val="000828BB"/>
    <w:rsid w:val="000851BC"/>
    <w:rsid w:val="00090A00"/>
    <w:rsid w:val="00091A89"/>
    <w:rsid w:val="00094E16"/>
    <w:rsid w:val="000A08CC"/>
    <w:rsid w:val="000A260E"/>
    <w:rsid w:val="000A3974"/>
    <w:rsid w:val="000A44B5"/>
    <w:rsid w:val="000A57A3"/>
    <w:rsid w:val="000A663D"/>
    <w:rsid w:val="000B1C15"/>
    <w:rsid w:val="000B24D1"/>
    <w:rsid w:val="000B5501"/>
    <w:rsid w:val="000B689F"/>
    <w:rsid w:val="000C11BA"/>
    <w:rsid w:val="000D73DC"/>
    <w:rsid w:val="000D7AFC"/>
    <w:rsid w:val="000E12B6"/>
    <w:rsid w:val="000F0189"/>
    <w:rsid w:val="000F2B7F"/>
    <w:rsid w:val="000F3D70"/>
    <w:rsid w:val="000F5EBB"/>
    <w:rsid w:val="000F6FD3"/>
    <w:rsid w:val="00110526"/>
    <w:rsid w:val="00112F97"/>
    <w:rsid w:val="001143A9"/>
    <w:rsid w:val="00114E3E"/>
    <w:rsid w:val="00120BB4"/>
    <w:rsid w:val="001226E2"/>
    <w:rsid w:val="0012277B"/>
    <w:rsid w:val="001254EE"/>
    <w:rsid w:val="00131C56"/>
    <w:rsid w:val="0013233E"/>
    <w:rsid w:val="00132B4B"/>
    <w:rsid w:val="00141140"/>
    <w:rsid w:val="00145C86"/>
    <w:rsid w:val="00147879"/>
    <w:rsid w:val="001548E3"/>
    <w:rsid w:val="001552E2"/>
    <w:rsid w:val="001554E5"/>
    <w:rsid w:val="00155EEC"/>
    <w:rsid w:val="00156E70"/>
    <w:rsid w:val="0016038F"/>
    <w:rsid w:val="00166CC8"/>
    <w:rsid w:val="001704BC"/>
    <w:rsid w:val="0017358B"/>
    <w:rsid w:val="00175FC2"/>
    <w:rsid w:val="001773EE"/>
    <w:rsid w:val="00181563"/>
    <w:rsid w:val="001834A9"/>
    <w:rsid w:val="001849E2"/>
    <w:rsid w:val="0018652A"/>
    <w:rsid w:val="001919CE"/>
    <w:rsid w:val="001A2622"/>
    <w:rsid w:val="001A3C44"/>
    <w:rsid w:val="001A4A04"/>
    <w:rsid w:val="001A5E58"/>
    <w:rsid w:val="001A6479"/>
    <w:rsid w:val="001A778C"/>
    <w:rsid w:val="001B4281"/>
    <w:rsid w:val="001B46F4"/>
    <w:rsid w:val="001C00B2"/>
    <w:rsid w:val="001C11EC"/>
    <w:rsid w:val="001C3C21"/>
    <w:rsid w:val="001C6119"/>
    <w:rsid w:val="001C71C8"/>
    <w:rsid w:val="001D021A"/>
    <w:rsid w:val="001D356C"/>
    <w:rsid w:val="001D4F5A"/>
    <w:rsid w:val="001D6832"/>
    <w:rsid w:val="001E514C"/>
    <w:rsid w:val="001E7B06"/>
    <w:rsid w:val="00210291"/>
    <w:rsid w:val="00215F35"/>
    <w:rsid w:val="00216178"/>
    <w:rsid w:val="00217104"/>
    <w:rsid w:val="0022528D"/>
    <w:rsid w:val="00226963"/>
    <w:rsid w:val="002278DD"/>
    <w:rsid w:val="00233604"/>
    <w:rsid w:val="00233D5A"/>
    <w:rsid w:val="00235416"/>
    <w:rsid w:val="0023565F"/>
    <w:rsid w:val="002369CD"/>
    <w:rsid w:val="002418E8"/>
    <w:rsid w:val="00245E9E"/>
    <w:rsid w:val="00246862"/>
    <w:rsid w:val="00252C4F"/>
    <w:rsid w:val="002547C1"/>
    <w:rsid w:val="00257D1D"/>
    <w:rsid w:val="00262182"/>
    <w:rsid w:val="0026326E"/>
    <w:rsid w:val="00265A23"/>
    <w:rsid w:val="00267B38"/>
    <w:rsid w:val="002702A8"/>
    <w:rsid w:val="00271FC9"/>
    <w:rsid w:val="002808D2"/>
    <w:rsid w:val="00280A89"/>
    <w:rsid w:val="00281529"/>
    <w:rsid w:val="00294427"/>
    <w:rsid w:val="002A2802"/>
    <w:rsid w:val="002A28C9"/>
    <w:rsid w:val="002A4FCC"/>
    <w:rsid w:val="002A604D"/>
    <w:rsid w:val="002B5F19"/>
    <w:rsid w:val="002C7B38"/>
    <w:rsid w:val="002D1C0C"/>
    <w:rsid w:val="002D67C1"/>
    <w:rsid w:val="002D6911"/>
    <w:rsid w:val="002D7EF8"/>
    <w:rsid w:val="002E4FB7"/>
    <w:rsid w:val="002E6F08"/>
    <w:rsid w:val="002F02DF"/>
    <w:rsid w:val="003019A8"/>
    <w:rsid w:val="00302B49"/>
    <w:rsid w:val="003079CF"/>
    <w:rsid w:val="003102DA"/>
    <w:rsid w:val="00311B7E"/>
    <w:rsid w:val="00314082"/>
    <w:rsid w:val="00320A88"/>
    <w:rsid w:val="00321E01"/>
    <w:rsid w:val="00325C0E"/>
    <w:rsid w:val="003272DD"/>
    <w:rsid w:val="00331A23"/>
    <w:rsid w:val="00333120"/>
    <w:rsid w:val="00333FA0"/>
    <w:rsid w:val="00336FD8"/>
    <w:rsid w:val="0034090D"/>
    <w:rsid w:val="003412BB"/>
    <w:rsid w:val="003508B1"/>
    <w:rsid w:val="003521A6"/>
    <w:rsid w:val="003647AA"/>
    <w:rsid w:val="00367218"/>
    <w:rsid w:val="003758B1"/>
    <w:rsid w:val="00380745"/>
    <w:rsid w:val="00382B82"/>
    <w:rsid w:val="0038788D"/>
    <w:rsid w:val="0039225E"/>
    <w:rsid w:val="003A5035"/>
    <w:rsid w:val="003A7CE9"/>
    <w:rsid w:val="003B5832"/>
    <w:rsid w:val="003C7D47"/>
    <w:rsid w:val="003D2D36"/>
    <w:rsid w:val="003D2F8D"/>
    <w:rsid w:val="003D6569"/>
    <w:rsid w:val="003D7852"/>
    <w:rsid w:val="003E0621"/>
    <w:rsid w:val="003E2257"/>
    <w:rsid w:val="003E636E"/>
    <w:rsid w:val="003F0247"/>
    <w:rsid w:val="004001F8"/>
    <w:rsid w:val="0040028E"/>
    <w:rsid w:val="004023F5"/>
    <w:rsid w:val="004024DA"/>
    <w:rsid w:val="0040488E"/>
    <w:rsid w:val="004140CD"/>
    <w:rsid w:val="00426EB6"/>
    <w:rsid w:val="00427B2B"/>
    <w:rsid w:val="0044280E"/>
    <w:rsid w:val="004435EB"/>
    <w:rsid w:val="00447161"/>
    <w:rsid w:val="00454D8D"/>
    <w:rsid w:val="00457259"/>
    <w:rsid w:val="004606EB"/>
    <w:rsid w:val="00461D80"/>
    <w:rsid w:val="004642F9"/>
    <w:rsid w:val="004678FD"/>
    <w:rsid w:val="00472305"/>
    <w:rsid w:val="00480899"/>
    <w:rsid w:val="00485563"/>
    <w:rsid w:val="004866B0"/>
    <w:rsid w:val="004923A5"/>
    <w:rsid w:val="004961FA"/>
    <w:rsid w:val="00496773"/>
    <w:rsid w:val="004A063D"/>
    <w:rsid w:val="004A454C"/>
    <w:rsid w:val="004B2D48"/>
    <w:rsid w:val="004B3CA1"/>
    <w:rsid w:val="004C065A"/>
    <w:rsid w:val="004C0725"/>
    <w:rsid w:val="004C18C9"/>
    <w:rsid w:val="004C6D51"/>
    <w:rsid w:val="004C7F54"/>
    <w:rsid w:val="004D29D8"/>
    <w:rsid w:val="004D6F60"/>
    <w:rsid w:val="004F4E90"/>
    <w:rsid w:val="004F72B5"/>
    <w:rsid w:val="005107EE"/>
    <w:rsid w:val="0051274B"/>
    <w:rsid w:val="005151A3"/>
    <w:rsid w:val="00517553"/>
    <w:rsid w:val="0052108B"/>
    <w:rsid w:val="00521C65"/>
    <w:rsid w:val="00522B50"/>
    <w:rsid w:val="005255D6"/>
    <w:rsid w:val="005366E7"/>
    <w:rsid w:val="005446C9"/>
    <w:rsid w:val="0054555B"/>
    <w:rsid w:val="005519D6"/>
    <w:rsid w:val="005538B2"/>
    <w:rsid w:val="00557469"/>
    <w:rsid w:val="005623F8"/>
    <w:rsid w:val="00566BC0"/>
    <w:rsid w:val="00573F4D"/>
    <w:rsid w:val="0058560F"/>
    <w:rsid w:val="005909C0"/>
    <w:rsid w:val="00590A99"/>
    <w:rsid w:val="005917C5"/>
    <w:rsid w:val="00595091"/>
    <w:rsid w:val="00596565"/>
    <w:rsid w:val="005A41A2"/>
    <w:rsid w:val="005B7EC4"/>
    <w:rsid w:val="005C7449"/>
    <w:rsid w:val="005C76AC"/>
    <w:rsid w:val="005D3D8E"/>
    <w:rsid w:val="005E0904"/>
    <w:rsid w:val="005E7244"/>
    <w:rsid w:val="005F13E9"/>
    <w:rsid w:val="005F3BEE"/>
    <w:rsid w:val="005F470D"/>
    <w:rsid w:val="0060359F"/>
    <w:rsid w:val="0061148C"/>
    <w:rsid w:val="006136E1"/>
    <w:rsid w:val="00621EDC"/>
    <w:rsid w:val="006276FA"/>
    <w:rsid w:val="00632506"/>
    <w:rsid w:val="0063531E"/>
    <w:rsid w:val="00636303"/>
    <w:rsid w:val="00650842"/>
    <w:rsid w:val="00651CCC"/>
    <w:rsid w:val="00652F8C"/>
    <w:rsid w:val="00655D0C"/>
    <w:rsid w:val="00660C69"/>
    <w:rsid w:val="0066197A"/>
    <w:rsid w:val="00667B84"/>
    <w:rsid w:val="00670AA0"/>
    <w:rsid w:val="0067188D"/>
    <w:rsid w:val="00672C72"/>
    <w:rsid w:val="00673356"/>
    <w:rsid w:val="00681AE7"/>
    <w:rsid w:val="00685FFD"/>
    <w:rsid w:val="00687058"/>
    <w:rsid w:val="00692E96"/>
    <w:rsid w:val="00693442"/>
    <w:rsid w:val="00694788"/>
    <w:rsid w:val="00694CE0"/>
    <w:rsid w:val="006958CA"/>
    <w:rsid w:val="006A1A05"/>
    <w:rsid w:val="006A265E"/>
    <w:rsid w:val="006A587B"/>
    <w:rsid w:val="006A69BD"/>
    <w:rsid w:val="006A757D"/>
    <w:rsid w:val="006C1354"/>
    <w:rsid w:val="006C24CE"/>
    <w:rsid w:val="006C29B4"/>
    <w:rsid w:val="006C3A3A"/>
    <w:rsid w:val="006C624E"/>
    <w:rsid w:val="006D085C"/>
    <w:rsid w:val="006D7A7C"/>
    <w:rsid w:val="006E08B0"/>
    <w:rsid w:val="006F0DCD"/>
    <w:rsid w:val="006F125B"/>
    <w:rsid w:val="006F33A9"/>
    <w:rsid w:val="006F73C9"/>
    <w:rsid w:val="007006D7"/>
    <w:rsid w:val="007008E7"/>
    <w:rsid w:val="00712CBF"/>
    <w:rsid w:val="0071457D"/>
    <w:rsid w:val="00715EC0"/>
    <w:rsid w:val="007210B8"/>
    <w:rsid w:val="0072159C"/>
    <w:rsid w:val="00721F79"/>
    <w:rsid w:val="00730308"/>
    <w:rsid w:val="00734EE4"/>
    <w:rsid w:val="00737DAF"/>
    <w:rsid w:val="00742827"/>
    <w:rsid w:val="0074320A"/>
    <w:rsid w:val="007461B6"/>
    <w:rsid w:val="00747A41"/>
    <w:rsid w:val="007734D9"/>
    <w:rsid w:val="007833B9"/>
    <w:rsid w:val="00784E74"/>
    <w:rsid w:val="0078653A"/>
    <w:rsid w:val="00786FA4"/>
    <w:rsid w:val="00792901"/>
    <w:rsid w:val="0079757E"/>
    <w:rsid w:val="007A04F2"/>
    <w:rsid w:val="007A2A0F"/>
    <w:rsid w:val="007A4F4A"/>
    <w:rsid w:val="007A55B0"/>
    <w:rsid w:val="007A74DF"/>
    <w:rsid w:val="007A7FC7"/>
    <w:rsid w:val="007B1844"/>
    <w:rsid w:val="007B1E9D"/>
    <w:rsid w:val="007B217D"/>
    <w:rsid w:val="007B364B"/>
    <w:rsid w:val="007B7D8C"/>
    <w:rsid w:val="007C2A42"/>
    <w:rsid w:val="007D769A"/>
    <w:rsid w:val="007E727E"/>
    <w:rsid w:val="007F0DEA"/>
    <w:rsid w:val="007F7975"/>
    <w:rsid w:val="00802933"/>
    <w:rsid w:val="008079D9"/>
    <w:rsid w:val="00810768"/>
    <w:rsid w:val="00830FE4"/>
    <w:rsid w:val="008317F0"/>
    <w:rsid w:val="008413AE"/>
    <w:rsid w:val="00844913"/>
    <w:rsid w:val="00847FD2"/>
    <w:rsid w:val="00854BC4"/>
    <w:rsid w:val="0085605B"/>
    <w:rsid w:val="00856219"/>
    <w:rsid w:val="00856C47"/>
    <w:rsid w:val="00861005"/>
    <w:rsid w:val="00861EBA"/>
    <w:rsid w:val="00863FB5"/>
    <w:rsid w:val="008807FF"/>
    <w:rsid w:val="00884631"/>
    <w:rsid w:val="008A7939"/>
    <w:rsid w:val="008B187B"/>
    <w:rsid w:val="008C22BC"/>
    <w:rsid w:val="008C74AF"/>
    <w:rsid w:val="008C7691"/>
    <w:rsid w:val="008D371F"/>
    <w:rsid w:val="008D639B"/>
    <w:rsid w:val="008D6E2C"/>
    <w:rsid w:val="008E16D9"/>
    <w:rsid w:val="008E2063"/>
    <w:rsid w:val="008F4CFD"/>
    <w:rsid w:val="0090004D"/>
    <w:rsid w:val="00912847"/>
    <w:rsid w:val="00915882"/>
    <w:rsid w:val="00920FBD"/>
    <w:rsid w:val="00924D64"/>
    <w:rsid w:val="009305C9"/>
    <w:rsid w:val="00936AFF"/>
    <w:rsid w:val="00937C36"/>
    <w:rsid w:val="009420D3"/>
    <w:rsid w:val="00947BA4"/>
    <w:rsid w:val="00952FAD"/>
    <w:rsid w:val="0096326C"/>
    <w:rsid w:val="00967D56"/>
    <w:rsid w:val="009754FE"/>
    <w:rsid w:val="00975BB5"/>
    <w:rsid w:val="00983BC6"/>
    <w:rsid w:val="009955DF"/>
    <w:rsid w:val="009959C9"/>
    <w:rsid w:val="00997990"/>
    <w:rsid w:val="009A7A85"/>
    <w:rsid w:val="009B3A0B"/>
    <w:rsid w:val="009B4C8D"/>
    <w:rsid w:val="009C0ED6"/>
    <w:rsid w:val="009C1278"/>
    <w:rsid w:val="009C24CC"/>
    <w:rsid w:val="009C3465"/>
    <w:rsid w:val="009C442B"/>
    <w:rsid w:val="009C660C"/>
    <w:rsid w:val="009D2DD6"/>
    <w:rsid w:val="009E4A68"/>
    <w:rsid w:val="009E654E"/>
    <w:rsid w:val="009E6BE1"/>
    <w:rsid w:val="009E6E70"/>
    <w:rsid w:val="00A0064F"/>
    <w:rsid w:val="00A00FA3"/>
    <w:rsid w:val="00A01709"/>
    <w:rsid w:val="00A019A8"/>
    <w:rsid w:val="00A10FEE"/>
    <w:rsid w:val="00A11A91"/>
    <w:rsid w:val="00A15046"/>
    <w:rsid w:val="00A16904"/>
    <w:rsid w:val="00A20BFF"/>
    <w:rsid w:val="00A2419A"/>
    <w:rsid w:val="00A26959"/>
    <w:rsid w:val="00A3121B"/>
    <w:rsid w:val="00A40BA3"/>
    <w:rsid w:val="00A41B9F"/>
    <w:rsid w:val="00A4200E"/>
    <w:rsid w:val="00A5160D"/>
    <w:rsid w:val="00A52570"/>
    <w:rsid w:val="00A573DF"/>
    <w:rsid w:val="00A57805"/>
    <w:rsid w:val="00A66DFF"/>
    <w:rsid w:val="00A705CA"/>
    <w:rsid w:val="00A739B3"/>
    <w:rsid w:val="00A77831"/>
    <w:rsid w:val="00A81A07"/>
    <w:rsid w:val="00A86363"/>
    <w:rsid w:val="00A928FD"/>
    <w:rsid w:val="00A93B0D"/>
    <w:rsid w:val="00AA00BC"/>
    <w:rsid w:val="00AA3238"/>
    <w:rsid w:val="00AB794E"/>
    <w:rsid w:val="00AB7BE6"/>
    <w:rsid w:val="00AC6B15"/>
    <w:rsid w:val="00AD4491"/>
    <w:rsid w:val="00AE2FC7"/>
    <w:rsid w:val="00AE40E9"/>
    <w:rsid w:val="00AE5DEE"/>
    <w:rsid w:val="00AF1B14"/>
    <w:rsid w:val="00AF4887"/>
    <w:rsid w:val="00AF559C"/>
    <w:rsid w:val="00B0004A"/>
    <w:rsid w:val="00B00FC8"/>
    <w:rsid w:val="00B03AEA"/>
    <w:rsid w:val="00B04B9F"/>
    <w:rsid w:val="00B16AFA"/>
    <w:rsid w:val="00B16E30"/>
    <w:rsid w:val="00B22292"/>
    <w:rsid w:val="00B233DE"/>
    <w:rsid w:val="00B233EC"/>
    <w:rsid w:val="00B24010"/>
    <w:rsid w:val="00B258E1"/>
    <w:rsid w:val="00B30279"/>
    <w:rsid w:val="00B47653"/>
    <w:rsid w:val="00B50C34"/>
    <w:rsid w:val="00B538F5"/>
    <w:rsid w:val="00B54FDB"/>
    <w:rsid w:val="00B64B71"/>
    <w:rsid w:val="00B65EFF"/>
    <w:rsid w:val="00B67BFB"/>
    <w:rsid w:val="00B740D6"/>
    <w:rsid w:val="00B80962"/>
    <w:rsid w:val="00B810E1"/>
    <w:rsid w:val="00B86892"/>
    <w:rsid w:val="00B87792"/>
    <w:rsid w:val="00B87BE4"/>
    <w:rsid w:val="00B91462"/>
    <w:rsid w:val="00BA0E20"/>
    <w:rsid w:val="00BA3399"/>
    <w:rsid w:val="00BA5477"/>
    <w:rsid w:val="00BA6B30"/>
    <w:rsid w:val="00BB319F"/>
    <w:rsid w:val="00BB4354"/>
    <w:rsid w:val="00BB4CA1"/>
    <w:rsid w:val="00BB71BF"/>
    <w:rsid w:val="00BC2FBA"/>
    <w:rsid w:val="00BC7115"/>
    <w:rsid w:val="00BD0862"/>
    <w:rsid w:val="00BD41C5"/>
    <w:rsid w:val="00BD7E10"/>
    <w:rsid w:val="00BE4354"/>
    <w:rsid w:val="00BE4BCE"/>
    <w:rsid w:val="00BE60C5"/>
    <w:rsid w:val="00BE64B3"/>
    <w:rsid w:val="00BE7625"/>
    <w:rsid w:val="00BF4528"/>
    <w:rsid w:val="00C0412D"/>
    <w:rsid w:val="00C1095D"/>
    <w:rsid w:val="00C230D9"/>
    <w:rsid w:val="00C266E4"/>
    <w:rsid w:val="00C3561B"/>
    <w:rsid w:val="00C357C9"/>
    <w:rsid w:val="00C43F87"/>
    <w:rsid w:val="00C47B34"/>
    <w:rsid w:val="00C533DA"/>
    <w:rsid w:val="00C56277"/>
    <w:rsid w:val="00C6186C"/>
    <w:rsid w:val="00C6577C"/>
    <w:rsid w:val="00C670B3"/>
    <w:rsid w:val="00C72915"/>
    <w:rsid w:val="00C73F7B"/>
    <w:rsid w:val="00C7694D"/>
    <w:rsid w:val="00C81F22"/>
    <w:rsid w:val="00C82AC6"/>
    <w:rsid w:val="00C83DD2"/>
    <w:rsid w:val="00C8556D"/>
    <w:rsid w:val="00C931EB"/>
    <w:rsid w:val="00C9473D"/>
    <w:rsid w:val="00CA3B99"/>
    <w:rsid w:val="00CA420A"/>
    <w:rsid w:val="00CB0680"/>
    <w:rsid w:val="00CB6F50"/>
    <w:rsid w:val="00CC4BD2"/>
    <w:rsid w:val="00CC5C53"/>
    <w:rsid w:val="00CC683D"/>
    <w:rsid w:val="00CD75C6"/>
    <w:rsid w:val="00CE22F7"/>
    <w:rsid w:val="00CE459D"/>
    <w:rsid w:val="00CE521D"/>
    <w:rsid w:val="00D03216"/>
    <w:rsid w:val="00D06333"/>
    <w:rsid w:val="00D0654C"/>
    <w:rsid w:val="00D10C4F"/>
    <w:rsid w:val="00D11116"/>
    <w:rsid w:val="00D121DF"/>
    <w:rsid w:val="00D12393"/>
    <w:rsid w:val="00D14BC1"/>
    <w:rsid w:val="00D15314"/>
    <w:rsid w:val="00D155C6"/>
    <w:rsid w:val="00D45C95"/>
    <w:rsid w:val="00D501F4"/>
    <w:rsid w:val="00D51888"/>
    <w:rsid w:val="00D635F8"/>
    <w:rsid w:val="00D63F43"/>
    <w:rsid w:val="00D74157"/>
    <w:rsid w:val="00D9287F"/>
    <w:rsid w:val="00D931BC"/>
    <w:rsid w:val="00D93FF3"/>
    <w:rsid w:val="00D958D0"/>
    <w:rsid w:val="00DA3D44"/>
    <w:rsid w:val="00DA540F"/>
    <w:rsid w:val="00DB6117"/>
    <w:rsid w:val="00DC46B8"/>
    <w:rsid w:val="00DD5F03"/>
    <w:rsid w:val="00DD6C42"/>
    <w:rsid w:val="00DD6FB0"/>
    <w:rsid w:val="00DE2DA8"/>
    <w:rsid w:val="00DE2DB6"/>
    <w:rsid w:val="00DF66DB"/>
    <w:rsid w:val="00DF66FE"/>
    <w:rsid w:val="00E02A5E"/>
    <w:rsid w:val="00E06663"/>
    <w:rsid w:val="00E07973"/>
    <w:rsid w:val="00E107B3"/>
    <w:rsid w:val="00E152C7"/>
    <w:rsid w:val="00E171CF"/>
    <w:rsid w:val="00E253E6"/>
    <w:rsid w:val="00E25FDD"/>
    <w:rsid w:val="00E27A47"/>
    <w:rsid w:val="00E358C9"/>
    <w:rsid w:val="00E456F5"/>
    <w:rsid w:val="00E4636D"/>
    <w:rsid w:val="00E50C96"/>
    <w:rsid w:val="00E557CD"/>
    <w:rsid w:val="00E63423"/>
    <w:rsid w:val="00E63FDA"/>
    <w:rsid w:val="00E6535E"/>
    <w:rsid w:val="00E727C8"/>
    <w:rsid w:val="00E76EF2"/>
    <w:rsid w:val="00E77096"/>
    <w:rsid w:val="00E85892"/>
    <w:rsid w:val="00E87F96"/>
    <w:rsid w:val="00E9668A"/>
    <w:rsid w:val="00EA2F70"/>
    <w:rsid w:val="00EB09C3"/>
    <w:rsid w:val="00EB1E23"/>
    <w:rsid w:val="00EB29F4"/>
    <w:rsid w:val="00EB2F3C"/>
    <w:rsid w:val="00EB6FDA"/>
    <w:rsid w:val="00ED1771"/>
    <w:rsid w:val="00EE039C"/>
    <w:rsid w:val="00EE1856"/>
    <w:rsid w:val="00EE58A8"/>
    <w:rsid w:val="00EF6E4E"/>
    <w:rsid w:val="00F1345D"/>
    <w:rsid w:val="00F141C4"/>
    <w:rsid w:val="00F160E9"/>
    <w:rsid w:val="00F1642A"/>
    <w:rsid w:val="00F16E70"/>
    <w:rsid w:val="00F21AF3"/>
    <w:rsid w:val="00F21DE6"/>
    <w:rsid w:val="00F25750"/>
    <w:rsid w:val="00F266B1"/>
    <w:rsid w:val="00F271A9"/>
    <w:rsid w:val="00F307B1"/>
    <w:rsid w:val="00F35F64"/>
    <w:rsid w:val="00F46A14"/>
    <w:rsid w:val="00F52752"/>
    <w:rsid w:val="00F53D5B"/>
    <w:rsid w:val="00F55370"/>
    <w:rsid w:val="00F5572D"/>
    <w:rsid w:val="00F63338"/>
    <w:rsid w:val="00F64063"/>
    <w:rsid w:val="00F672B3"/>
    <w:rsid w:val="00F72D0B"/>
    <w:rsid w:val="00F81B96"/>
    <w:rsid w:val="00F869D9"/>
    <w:rsid w:val="00F87572"/>
    <w:rsid w:val="00F907C7"/>
    <w:rsid w:val="00F945B5"/>
    <w:rsid w:val="00FA28D6"/>
    <w:rsid w:val="00FA41B8"/>
    <w:rsid w:val="00FA6FE0"/>
    <w:rsid w:val="00FB3416"/>
    <w:rsid w:val="00FB4212"/>
    <w:rsid w:val="00FB658C"/>
    <w:rsid w:val="00FB7C49"/>
    <w:rsid w:val="00FC0028"/>
    <w:rsid w:val="00FC0AFA"/>
    <w:rsid w:val="00FC296D"/>
    <w:rsid w:val="00FC5638"/>
    <w:rsid w:val="00FD0D8D"/>
    <w:rsid w:val="00FD1E77"/>
    <w:rsid w:val="00FD2564"/>
    <w:rsid w:val="00FD3748"/>
    <w:rsid w:val="00FD76B3"/>
    <w:rsid w:val="00FF3BE5"/>
    <w:rsid w:val="00FF3DC6"/>
    <w:rsid w:val="00FF4CEF"/>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8DEE4"/>
  <w15:docId w15:val="{713F8076-B7BC-4A86-BFD7-2E405820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FC2"/>
    <w:pPr>
      <w:jc w:val="both"/>
    </w:pPr>
    <w:rPr>
      <w:rFonts w:ascii="Times New Roman" w:hAnsi="Times New Roman" w:cs="Times New Roman"/>
      <w:color w:val="000000"/>
      <w:sz w:val="24"/>
      <w:szCs w:val="24"/>
    </w:rPr>
  </w:style>
  <w:style w:type="paragraph" w:styleId="Heading1">
    <w:name w:val="heading 1"/>
    <w:basedOn w:val="Normal"/>
    <w:next w:val="Normal"/>
    <w:link w:val="Heading1Char"/>
    <w:uiPriority w:val="9"/>
    <w:qFormat/>
    <w:rsid w:val="00F6333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333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63338"/>
    <w:pPr>
      <w:keepNext/>
      <w:keepLines/>
      <w:spacing w:before="40" w:after="0" w:line="240" w:lineRule="auto"/>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F6333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6333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6333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6333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6333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6333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60F"/>
    <w:rPr>
      <w:color w:val="0000FF"/>
      <w:u w:val="single"/>
    </w:rPr>
  </w:style>
  <w:style w:type="character" w:customStyle="1" w:styleId="figpopup-sensitive-area">
    <w:name w:val="figpopup-sensitive-area"/>
    <w:basedOn w:val="DefaultParagraphFont"/>
    <w:rsid w:val="0058560F"/>
  </w:style>
  <w:style w:type="paragraph" w:customStyle="1" w:styleId="cvgsua">
    <w:name w:val="cvgsua"/>
    <w:basedOn w:val="Normal"/>
    <w:rsid w:val="007A7FC7"/>
    <w:pPr>
      <w:spacing w:before="100" w:beforeAutospacing="1" w:after="100" w:afterAutospacing="1" w:line="240" w:lineRule="auto"/>
    </w:pPr>
    <w:rPr>
      <w:rFonts w:eastAsia="Times New Roman"/>
      <w:lang w:eastAsia="en-IN"/>
    </w:rPr>
  </w:style>
  <w:style w:type="character" w:customStyle="1" w:styleId="oypena">
    <w:name w:val="oypena"/>
    <w:basedOn w:val="DefaultParagraphFont"/>
    <w:rsid w:val="007A7FC7"/>
  </w:style>
  <w:style w:type="paragraph" w:customStyle="1" w:styleId="q-text">
    <w:name w:val="q-text"/>
    <w:basedOn w:val="Normal"/>
    <w:rsid w:val="004024DA"/>
    <w:pPr>
      <w:spacing w:before="100" w:beforeAutospacing="1" w:after="100" w:afterAutospacing="1" w:line="240" w:lineRule="auto"/>
    </w:pPr>
    <w:rPr>
      <w:rFonts w:eastAsia="Times New Roman"/>
      <w:lang w:eastAsia="en-IN"/>
    </w:rPr>
  </w:style>
  <w:style w:type="paragraph" w:styleId="NormalWeb">
    <w:name w:val="Normal (Web)"/>
    <w:basedOn w:val="Normal"/>
    <w:uiPriority w:val="99"/>
    <w:unhideWhenUsed/>
    <w:rsid w:val="00E557CD"/>
    <w:pPr>
      <w:spacing w:before="100" w:beforeAutospacing="1" w:after="100" w:afterAutospacing="1" w:line="240" w:lineRule="auto"/>
    </w:pPr>
    <w:rPr>
      <w:rFonts w:eastAsia="Times New Roman"/>
      <w:lang w:eastAsia="en-IN"/>
    </w:rPr>
  </w:style>
  <w:style w:type="paragraph" w:styleId="NoSpacing">
    <w:name w:val="No Spacing"/>
    <w:uiPriority w:val="1"/>
    <w:qFormat/>
    <w:rsid w:val="00F63338"/>
    <w:pPr>
      <w:spacing w:after="0" w:line="240" w:lineRule="auto"/>
    </w:pPr>
  </w:style>
  <w:style w:type="paragraph" w:styleId="ListParagraph">
    <w:name w:val="List Paragraph"/>
    <w:basedOn w:val="Normal"/>
    <w:uiPriority w:val="34"/>
    <w:qFormat/>
    <w:rsid w:val="00636303"/>
    <w:pPr>
      <w:ind w:left="720"/>
      <w:contextualSpacing/>
    </w:pPr>
  </w:style>
  <w:style w:type="table" w:styleId="TableGrid">
    <w:name w:val="Table Grid"/>
    <w:basedOn w:val="TableNormal"/>
    <w:uiPriority w:val="39"/>
    <w:rsid w:val="00486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4866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F81B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F81B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F81B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F81B9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TableNormal"/>
    <w:uiPriority w:val="99"/>
    <w:rsid w:val="00F81B96"/>
    <w:pPr>
      <w:spacing w:after="0" w:line="240" w:lineRule="auto"/>
    </w:pPr>
    <w:tblPr/>
  </w:style>
  <w:style w:type="table" w:customStyle="1" w:styleId="GridTable4-Accent61">
    <w:name w:val="Grid Table 4 - Accent 61"/>
    <w:basedOn w:val="TableNormal"/>
    <w:uiPriority w:val="49"/>
    <w:rsid w:val="00F81B9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F6333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90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A00"/>
  </w:style>
  <w:style w:type="paragraph" w:styleId="Footer">
    <w:name w:val="footer"/>
    <w:basedOn w:val="Normal"/>
    <w:link w:val="FooterChar"/>
    <w:uiPriority w:val="99"/>
    <w:unhideWhenUsed/>
    <w:rsid w:val="00090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A00"/>
  </w:style>
  <w:style w:type="character" w:customStyle="1" w:styleId="Heading2Char">
    <w:name w:val="Heading 2 Char"/>
    <w:basedOn w:val="DefaultParagraphFont"/>
    <w:link w:val="Heading2"/>
    <w:uiPriority w:val="9"/>
    <w:semiHidden/>
    <w:rsid w:val="00F6333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6333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6333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6333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6333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6333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6333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6333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6333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6333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6333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F63338"/>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63338"/>
    <w:rPr>
      <w:rFonts w:asciiTheme="majorHAnsi" w:eastAsiaTheme="majorEastAsia" w:hAnsiTheme="majorHAnsi" w:cstheme="majorBidi"/>
      <w:sz w:val="24"/>
      <w:szCs w:val="24"/>
    </w:rPr>
  </w:style>
  <w:style w:type="character" w:styleId="Strong">
    <w:name w:val="Strong"/>
    <w:basedOn w:val="DefaultParagraphFont"/>
    <w:uiPriority w:val="22"/>
    <w:qFormat/>
    <w:rsid w:val="00F63338"/>
    <w:rPr>
      <w:b/>
      <w:bCs/>
    </w:rPr>
  </w:style>
  <w:style w:type="character" w:styleId="Emphasis">
    <w:name w:val="Emphasis"/>
    <w:basedOn w:val="DefaultParagraphFont"/>
    <w:uiPriority w:val="20"/>
    <w:qFormat/>
    <w:rsid w:val="00F63338"/>
    <w:rPr>
      <w:i/>
      <w:iCs/>
    </w:rPr>
  </w:style>
  <w:style w:type="paragraph" w:styleId="Quote">
    <w:name w:val="Quote"/>
    <w:basedOn w:val="Normal"/>
    <w:next w:val="Normal"/>
    <w:link w:val="QuoteChar"/>
    <w:uiPriority w:val="29"/>
    <w:qFormat/>
    <w:rsid w:val="00F6333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63338"/>
    <w:rPr>
      <w:i/>
      <w:iCs/>
      <w:color w:val="404040" w:themeColor="text1" w:themeTint="BF"/>
    </w:rPr>
  </w:style>
  <w:style w:type="paragraph" w:styleId="IntenseQuote">
    <w:name w:val="Intense Quote"/>
    <w:basedOn w:val="Normal"/>
    <w:next w:val="Normal"/>
    <w:link w:val="IntenseQuoteChar"/>
    <w:uiPriority w:val="30"/>
    <w:qFormat/>
    <w:rsid w:val="00F6333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6333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63338"/>
    <w:rPr>
      <w:i/>
      <w:iCs/>
      <w:color w:val="404040" w:themeColor="text1" w:themeTint="BF"/>
    </w:rPr>
  </w:style>
  <w:style w:type="character" w:styleId="IntenseEmphasis">
    <w:name w:val="Intense Emphasis"/>
    <w:basedOn w:val="DefaultParagraphFont"/>
    <w:uiPriority w:val="21"/>
    <w:qFormat/>
    <w:rsid w:val="00F63338"/>
    <w:rPr>
      <w:b/>
      <w:bCs/>
      <w:i/>
      <w:iCs/>
    </w:rPr>
  </w:style>
  <w:style w:type="character" w:styleId="SubtleReference">
    <w:name w:val="Subtle Reference"/>
    <w:basedOn w:val="DefaultParagraphFont"/>
    <w:uiPriority w:val="31"/>
    <w:qFormat/>
    <w:rsid w:val="00F6333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63338"/>
    <w:rPr>
      <w:b/>
      <w:bCs/>
      <w:smallCaps/>
      <w:spacing w:val="5"/>
      <w:u w:val="single"/>
    </w:rPr>
  </w:style>
  <w:style w:type="character" w:styleId="BookTitle">
    <w:name w:val="Book Title"/>
    <w:basedOn w:val="DefaultParagraphFont"/>
    <w:uiPriority w:val="33"/>
    <w:qFormat/>
    <w:rsid w:val="00F63338"/>
    <w:rPr>
      <w:b/>
      <w:bCs/>
      <w:smallCaps/>
    </w:rPr>
  </w:style>
  <w:style w:type="paragraph" w:styleId="TOCHeading">
    <w:name w:val="TOC Heading"/>
    <w:basedOn w:val="Heading1"/>
    <w:next w:val="Normal"/>
    <w:uiPriority w:val="39"/>
    <w:semiHidden/>
    <w:unhideWhenUsed/>
    <w:qFormat/>
    <w:rsid w:val="00F63338"/>
    <w:pPr>
      <w:outlineLvl w:val="9"/>
    </w:pPr>
  </w:style>
  <w:style w:type="table" w:customStyle="1" w:styleId="GridTable1Light-Accent41">
    <w:name w:val="Grid Table 1 Light - Accent 41"/>
    <w:basedOn w:val="TableNormal"/>
    <w:uiPriority w:val="46"/>
    <w:rsid w:val="0071457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B5F1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2B5F1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F55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370"/>
    <w:rPr>
      <w:rFonts w:ascii="Tahoma" w:hAnsi="Tahoma" w:cs="Tahoma"/>
      <w:color w:val="000000"/>
      <w:sz w:val="16"/>
      <w:szCs w:val="16"/>
    </w:rPr>
  </w:style>
  <w:style w:type="character" w:styleId="UnresolvedMention">
    <w:name w:val="Unresolved Mention"/>
    <w:basedOn w:val="DefaultParagraphFont"/>
    <w:uiPriority w:val="99"/>
    <w:semiHidden/>
    <w:unhideWhenUsed/>
    <w:rsid w:val="00E63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61312">
      <w:bodyDiv w:val="1"/>
      <w:marLeft w:val="0"/>
      <w:marRight w:val="0"/>
      <w:marTop w:val="0"/>
      <w:marBottom w:val="0"/>
      <w:divBdr>
        <w:top w:val="none" w:sz="0" w:space="0" w:color="auto"/>
        <w:left w:val="none" w:sz="0" w:space="0" w:color="auto"/>
        <w:bottom w:val="none" w:sz="0" w:space="0" w:color="auto"/>
        <w:right w:val="none" w:sz="0" w:space="0" w:color="auto"/>
      </w:divBdr>
    </w:div>
    <w:div w:id="372924056">
      <w:bodyDiv w:val="1"/>
      <w:marLeft w:val="0"/>
      <w:marRight w:val="0"/>
      <w:marTop w:val="0"/>
      <w:marBottom w:val="0"/>
      <w:divBdr>
        <w:top w:val="none" w:sz="0" w:space="0" w:color="auto"/>
        <w:left w:val="none" w:sz="0" w:space="0" w:color="auto"/>
        <w:bottom w:val="none" w:sz="0" w:space="0" w:color="auto"/>
        <w:right w:val="none" w:sz="0" w:space="0" w:color="auto"/>
      </w:divBdr>
      <w:divsChild>
        <w:div w:id="1748846988">
          <w:marLeft w:val="0"/>
          <w:marRight w:val="0"/>
          <w:marTop w:val="0"/>
          <w:marBottom w:val="0"/>
          <w:divBdr>
            <w:top w:val="none" w:sz="0" w:space="0" w:color="auto"/>
            <w:left w:val="none" w:sz="0" w:space="0" w:color="auto"/>
            <w:bottom w:val="none" w:sz="0" w:space="0" w:color="auto"/>
            <w:right w:val="none" w:sz="0" w:space="0" w:color="auto"/>
          </w:divBdr>
        </w:div>
      </w:divsChild>
    </w:div>
    <w:div w:id="531960086">
      <w:bodyDiv w:val="1"/>
      <w:marLeft w:val="0"/>
      <w:marRight w:val="0"/>
      <w:marTop w:val="0"/>
      <w:marBottom w:val="0"/>
      <w:divBdr>
        <w:top w:val="none" w:sz="0" w:space="0" w:color="auto"/>
        <w:left w:val="none" w:sz="0" w:space="0" w:color="auto"/>
        <w:bottom w:val="none" w:sz="0" w:space="0" w:color="auto"/>
        <w:right w:val="none" w:sz="0" w:space="0" w:color="auto"/>
      </w:divBdr>
    </w:div>
    <w:div w:id="584074917">
      <w:bodyDiv w:val="1"/>
      <w:marLeft w:val="0"/>
      <w:marRight w:val="0"/>
      <w:marTop w:val="0"/>
      <w:marBottom w:val="0"/>
      <w:divBdr>
        <w:top w:val="none" w:sz="0" w:space="0" w:color="auto"/>
        <w:left w:val="none" w:sz="0" w:space="0" w:color="auto"/>
        <w:bottom w:val="none" w:sz="0" w:space="0" w:color="auto"/>
        <w:right w:val="none" w:sz="0" w:space="0" w:color="auto"/>
      </w:divBdr>
    </w:div>
    <w:div w:id="584610999">
      <w:bodyDiv w:val="1"/>
      <w:marLeft w:val="0"/>
      <w:marRight w:val="0"/>
      <w:marTop w:val="0"/>
      <w:marBottom w:val="0"/>
      <w:divBdr>
        <w:top w:val="none" w:sz="0" w:space="0" w:color="auto"/>
        <w:left w:val="none" w:sz="0" w:space="0" w:color="auto"/>
        <w:bottom w:val="none" w:sz="0" w:space="0" w:color="auto"/>
        <w:right w:val="none" w:sz="0" w:space="0" w:color="auto"/>
      </w:divBdr>
    </w:div>
    <w:div w:id="816460478">
      <w:bodyDiv w:val="1"/>
      <w:marLeft w:val="0"/>
      <w:marRight w:val="0"/>
      <w:marTop w:val="0"/>
      <w:marBottom w:val="0"/>
      <w:divBdr>
        <w:top w:val="none" w:sz="0" w:space="0" w:color="auto"/>
        <w:left w:val="none" w:sz="0" w:space="0" w:color="auto"/>
        <w:bottom w:val="none" w:sz="0" w:space="0" w:color="auto"/>
        <w:right w:val="none" w:sz="0" w:space="0" w:color="auto"/>
      </w:divBdr>
    </w:div>
    <w:div w:id="905149237">
      <w:bodyDiv w:val="1"/>
      <w:marLeft w:val="0"/>
      <w:marRight w:val="0"/>
      <w:marTop w:val="0"/>
      <w:marBottom w:val="0"/>
      <w:divBdr>
        <w:top w:val="none" w:sz="0" w:space="0" w:color="auto"/>
        <w:left w:val="none" w:sz="0" w:space="0" w:color="auto"/>
        <w:bottom w:val="none" w:sz="0" w:space="0" w:color="auto"/>
        <w:right w:val="none" w:sz="0" w:space="0" w:color="auto"/>
      </w:divBdr>
    </w:div>
    <w:div w:id="965232226">
      <w:bodyDiv w:val="1"/>
      <w:marLeft w:val="0"/>
      <w:marRight w:val="0"/>
      <w:marTop w:val="0"/>
      <w:marBottom w:val="0"/>
      <w:divBdr>
        <w:top w:val="none" w:sz="0" w:space="0" w:color="auto"/>
        <w:left w:val="none" w:sz="0" w:space="0" w:color="auto"/>
        <w:bottom w:val="none" w:sz="0" w:space="0" w:color="auto"/>
        <w:right w:val="none" w:sz="0" w:space="0" w:color="auto"/>
      </w:divBdr>
    </w:div>
    <w:div w:id="966665191">
      <w:bodyDiv w:val="1"/>
      <w:marLeft w:val="0"/>
      <w:marRight w:val="0"/>
      <w:marTop w:val="0"/>
      <w:marBottom w:val="0"/>
      <w:divBdr>
        <w:top w:val="none" w:sz="0" w:space="0" w:color="auto"/>
        <w:left w:val="none" w:sz="0" w:space="0" w:color="auto"/>
        <w:bottom w:val="none" w:sz="0" w:space="0" w:color="auto"/>
        <w:right w:val="none" w:sz="0" w:space="0" w:color="auto"/>
      </w:divBdr>
    </w:div>
    <w:div w:id="1012878803">
      <w:bodyDiv w:val="1"/>
      <w:marLeft w:val="0"/>
      <w:marRight w:val="0"/>
      <w:marTop w:val="0"/>
      <w:marBottom w:val="0"/>
      <w:divBdr>
        <w:top w:val="none" w:sz="0" w:space="0" w:color="auto"/>
        <w:left w:val="none" w:sz="0" w:space="0" w:color="auto"/>
        <w:bottom w:val="none" w:sz="0" w:space="0" w:color="auto"/>
        <w:right w:val="none" w:sz="0" w:space="0" w:color="auto"/>
      </w:divBdr>
    </w:div>
    <w:div w:id="1067875188">
      <w:bodyDiv w:val="1"/>
      <w:marLeft w:val="0"/>
      <w:marRight w:val="0"/>
      <w:marTop w:val="0"/>
      <w:marBottom w:val="0"/>
      <w:divBdr>
        <w:top w:val="none" w:sz="0" w:space="0" w:color="auto"/>
        <w:left w:val="none" w:sz="0" w:space="0" w:color="auto"/>
        <w:bottom w:val="none" w:sz="0" w:space="0" w:color="auto"/>
        <w:right w:val="none" w:sz="0" w:space="0" w:color="auto"/>
      </w:divBdr>
    </w:div>
    <w:div w:id="1092707078">
      <w:bodyDiv w:val="1"/>
      <w:marLeft w:val="0"/>
      <w:marRight w:val="0"/>
      <w:marTop w:val="0"/>
      <w:marBottom w:val="0"/>
      <w:divBdr>
        <w:top w:val="none" w:sz="0" w:space="0" w:color="auto"/>
        <w:left w:val="none" w:sz="0" w:space="0" w:color="auto"/>
        <w:bottom w:val="none" w:sz="0" w:space="0" w:color="auto"/>
        <w:right w:val="none" w:sz="0" w:space="0" w:color="auto"/>
      </w:divBdr>
    </w:div>
    <w:div w:id="1108547549">
      <w:bodyDiv w:val="1"/>
      <w:marLeft w:val="0"/>
      <w:marRight w:val="0"/>
      <w:marTop w:val="0"/>
      <w:marBottom w:val="0"/>
      <w:divBdr>
        <w:top w:val="none" w:sz="0" w:space="0" w:color="auto"/>
        <w:left w:val="none" w:sz="0" w:space="0" w:color="auto"/>
        <w:bottom w:val="none" w:sz="0" w:space="0" w:color="auto"/>
        <w:right w:val="none" w:sz="0" w:space="0" w:color="auto"/>
      </w:divBdr>
    </w:div>
    <w:div w:id="1167861027">
      <w:bodyDiv w:val="1"/>
      <w:marLeft w:val="0"/>
      <w:marRight w:val="0"/>
      <w:marTop w:val="0"/>
      <w:marBottom w:val="0"/>
      <w:divBdr>
        <w:top w:val="none" w:sz="0" w:space="0" w:color="auto"/>
        <w:left w:val="none" w:sz="0" w:space="0" w:color="auto"/>
        <w:bottom w:val="none" w:sz="0" w:space="0" w:color="auto"/>
        <w:right w:val="none" w:sz="0" w:space="0" w:color="auto"/>
      </w:divBdr>
    </w:div>
    <w:div w:id="1200046265">
      <w:bodyDiv w:val="1"/>
      <w:marLeft w:val="0"/>
      <w:marRight w:val="0"/>
      <w:marTop w:val="0"/>
      <w:marBottom w:val="0"/>
      <w:divBdr>
        <w:top w:val="none" w:sz="0" w:space="0" w:color="auto"/>
        <w:left w:val="none" w:sz="0" w:space="0" w:color="auto"/>
        <w:bottom w:val="none" w:sz="0" w:space="0" w:color="auto"/>
        <w:right w:val="none" w:sz="0" w:space="0" w:color="auto"/>
      </w:divBdr>
      <w:divsChild>
        <w:div w:id="1867255374">
          <w:marLeft w:val="0"/>
          <w:marRight w:val="0"/>
          <w:marTop w:val="0"/>
          <w:marBottom w:val="0"/>
          <w:divBdr>
            <w:top w:val="none" w:sz="0" w:space="0" w:color="auto"/>
            <w:left w:val="none" w:sz="0" w:space="0" w:color="auto"/>
            <w:bottom w:val="none" w:sz="0" w:space="0" w:color="auto"/>
            <w:right w:val="none" w:sz="0" w:space="0" w:color="auto"/>
          </w:divBdr>
        </w:div>
      </w:divsChild>
    </w:div>
    <w:div w:id="1242791726">
      <w:bodyDiv w:val="1"/>
      <w:marLeft w:val="0"/>
      <w:marRight w:val="0"/>
      <w:marTop w:val="0"/>
      <w:marBottom w:val="0"/>
      <w:divBdr>
        <w:top w:val="none" w:sz="0" w:space="0" w:color="auto"/>
        <w:left w:val="none" w:sz="0" w:space="0" w:color="auto"/>
        <w:bottom w:val="none" w:sz="0" w:space="0" w:color="auto"/>
        <w:right w:val="none" w:sz="0" w:space="0" w:color="auto"/>
      </w:divBdr>
    </w:div>
    <w:div w:id="1324626928">
      <w:bodyDiv w:val="1"/>
      <w:marLeft w:val="0"/>
      <w:marRight w:val="0"/>
      <w:marTop w:val="0"/>
      <w:marBottom w:val="0"/>
      <w:divBdr>
        <w:top w:val="none" w:sz="0" w:space="0" w:color="auto"/>
        <w:left w:val="none" w:sz="0" w:space="0" w:color="auto"/>
        <w:bottom w:val="none" w:sz="0" w:space="0" w:color="auto"/>
        <w:right w:val="none" w:sz="0" w:space="0" w:color="auto"/>
      </w:divBdr>
    </w:div>
    <w:div w:id="1350789710">
      <w:bodyDiv w:val="1"/>
      <w:marLeft w:val="0"/>
      <w:marRight w:val="0"/>
      <w:marTop w:val="0"/>
      <w:marBottom w:val="0"/>
      <w:divBdr>
        <w:top w:val="none" w:sz="0" w:space="0" w:color="auto"/>
        <w:left w:val="none" w:sz="0" w:space="0" w:color="auto"/>
        <w:bottom w:val="none" w:sz="0" w:space="0" w:color="auto"/>
        <w:right w:val="none" w:sz="0" w:space="0" w:color="auto"/>
      </w:divBdr>
      <w:divsChild>
        <w:div w:id="261376371">
          <w:marLeft w:val="0"/>
          <w:marRight w:val="0"/>
          <w:marTop w:val="0"/>
          <w:marBottom w:val="0"/>
          <w:divBdr>
            <w:top w:val="none" w:sz="0" w:space="0" w:color="auto"/>
            <w:left w:val="none" w:sz="0" w:space="0" w:color="auto"/>
            <w:bottom w:val="none" w:sz="0" w:space="0" w:color="auto"/>
            <w:right w:val="none" w:sz="0" w:space="0" w:color="auto"/>
          </w:divBdr>
        </w:div>
      </w:divsChild>
    </w:div>
    <w:div w:id="1388257251">
      <w:bodyDiv w:val="1"/>
      <w:marLeft w:val="0"/>
      <w:marRight w:val="0"/>
      <w:marTop w:val="0"/>
      <w:marBottom w:val="0"/>
      <w:divBdr>
        <w:top w:val="none" w:sz="0" w:space="0" w:color="auto"/>
        <w:left w:val="none" w:sz="0" w:space="0" w:color="auto"/>
        <w:bottom w:val="none" w:sz="0" w:space="0" w:color="auto"/>
        <w:right w:val="none" w:sz="0" w:space="0" w:color="auto"/>
      </w:divBdr>
    </w:div>
    <w:div w:id="1426413867">
      <w:bodyDiv w:val="1"/>
      <w:marLeft w:val="0"/>
      <w:marRight w:val="0"/>
      <w:marTop w:val="0"/>
      <w:marBottom w:val="0"/>
      <w:divBdr>
        <w:top w:val="none" w:sz="0" w:space="0" w:color="auto"/>
        <w:left w:val="none" w:sz="0" w:space="0" w:color="auto"/>
        <w:bottom w:val="none" w:sz="0" w:space="0" w:color="auto"/>
        <w:right w:val="none" w:sz="0" w:space="0" w:color="auto"/>
      </w:divBdr>
    </w:div>
    <w:div w:id="1512063779">
      <w:bodyDiv w:val="1"/>
      <w:marLeft w:val="0"/>
      <w:marRight w:val="0"/>
      <w:marTop w:val="0"/>
      <w:marBottom w:val="0"/>
      <w:divBdr>
        <w:top w:val="none" w:sz="0" w:space="0" w:color="auto"/>
        <w:left w:val="none" w:sz="0" w:space="0" w:color="auto"/>
        <w:bottom w:val="none" w:sz="0" w:space="0" w:color="auto"/>
        <w:right w:val="none" w:sz="0" w:space="0" w:color="auto"/>
      </w:divBdr>
    </w:div>
    <w:div w:id="1698769214">
      <w:bodyDiv w:val="1"/>
      <w:marLeft w:val="0"/>
      <w:marRight w:val="0"/>
      <w:marTop w:val="0"/>
      <w:marBottom w:val="0"/>
      <w:divBdr>
        <w:top w:val="none" w:sz="0" w:space="0" w:color="auto"/>
        <w:left w:val="none" w:sz="0" w:space="0" w:color="auto"/>
        <w:bottom w:val="none" w:sz="0" w:space="0" w:color="auto"/>
        <w:right w:val="none" w:sz="0" w:space="0" w:color="auto"/>
      </w:divBdr>
    </w:div>
    <w:div w:id="1802261176">
      <w:bodyDiv w:val="1"/>
      <w:marLeft w:val="0"/>
      <w:marRight w:val="0"/>
      <w:marTop w:val="0"/>
      <w:marBottom w:val="0"/>
      <w:divBdr>
        <w:top w:val="none" w:sz="0" w:space="0" w:color="auto"/>
        <w:left w:val="none" w:sz="0" w:space="0" w:color="auto"/>
        <w:bottom w:val="none" w:sz="0" w:space="0" w:color="auto"/>
        <w:right w:val="none" w:sz="0" w:space="0" w:color="auto"/>
      </w:divBdr>
    </w:div>
    <w:div w:id="1814907683">
      <w:bodyDiv w:val="1"/>
      <w:marLeft w:val="0"/>
      <w:marRight w:val="0"/>
      <w:marTop w:val="0"/>
      <w:marBottom w:val="0"/>
      <w:divBdr>
        <w:top w:val="none" w:sz="0" w:space="0" w:color="auto"/>
        <w:left w:val="none" w:sz="0" w:space="0" w:color="auto"/>
        <w:bottom w:val="none" w:sz="0" w:space="0" w:color="auto"/>
        <w:right w:val="none" w:sz="0" w:space="0" w:color="auto"/>
      </w:divBdr>
    </w:div>
    <w:div w:id="1955284725">
      <w:bodyDiv w:val="1"/>
      <w:marLeft w:val="0"/>
      <w:marRight w:val="0"/>
      <w:marTop w:val="0"/>
      <w:marBottom w:val="0"/>
      <w:divBdr>
        <w:top w:val="none" w:sz="0" w:space="0" w:color="auto"/>
        <w:left w:val="none" w:sz="0" w:space="0" w:color="auto"/>
        <w:bottom w:val="none" w:sz="0" w:space="0" w:color="auto"/>
        <w:right w:val="none" w:sz="0" w:space="0" w:color="auto"/>
      </w:divBdr>
    </w:div>
    <w:div w:id="1975333063">
      <w:bodyDiv w:val="1"/>
      <w:marLeft w:val="0"/>
      <w:marRight w:val="0"/>
      <w:marTop w:val="0"/>
      <w:marBottom w:val="0"/>
      <w:divBdr>
        <w:top w:val="none" w:sz="0" w:space="0" w:color="auto"/>
        <w:left w:val="none" w:sz="0" w:space="0" w:color="auto"/>
        <w:bottom w:val="none" w:sz="0" w:space="0" w:color="auto"/>
        <w:right w:val="none" w:sz="0" w:space="0" w:color="auto"/>
      </w:divBdr>
    </w:div>
    <w:div w:id="2013071534">
      <w:bodyDiv w:val="1"/>
      <w:marLeft w:val="0"/>
      <w:marRight w:val="0"/>
      <w:marTop w:val="0"/>
      <w:marBottom w:val="0"/>
      <w:divBdr>
        <w:top w:val="none" w:sz="0" w:space="0" w:color="auto"/>
        <w:left w:val="none" w:sz="0" w:space="0" w:color="auto"/>
        <w:bottom w:val="none" w:sz="0" w:space="0" w:color="auto"/>
        <w:right w:val="none" w:sz="0" w:space="0" w:color="auto"/>
      </w:divBdr>
    </w:div>
    <w:div w:id="2013491020">
      <w:bodyDiv w:val="1"/>
      <w:marLeft w:val="0"/>
      <w:marRight w:val="0"/>
      <w:marTop w:val="0"/>
      <w:marBottom w:val="0"/>
      <w:divBdr>
        <w:top w:val="none" w:sz="0" w:space="0" w:color="auto"/>
        <w:left w:val="none" w:sz="0" w:space="0" w:color="auto"/>
        <w:bottom w:val="none" w:sz="0" w:space="0" w:color="auto"/>
        <w:right w:val="none" w:sz="0" w:space="0" w:color="auto"/>
      </w:divBdr>
    </w:div>
    <w:div w:id="2076851406">
      <w:bodyDiv w:val="1"/>
      <w:marLeft w:val="0"/>
      <w:marRight w:val="0"/>
      <w:marTop w:val="0"/>
      <w:marBottom w:val="0"/>
      <w:divBdr>
        <w:top w:val="none" w:sz="0" w:space="0" w:color="auto"/>
        <w:left w:val="none" w:sz="0" w:space="0" w:color="auto"/>
        <w:bottom w:val="none" w:sz="0" w:space="0" w:color="auto"/>
        <w:right w:val="none" w:sz="0" w:space="0" w:color="auto"/>
      </w:divBdr>
    </w:div>
    <w:div w:id="21369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i.gov.in/sites/default/files/202204/Discussion_Paper_on_Workforce_0504202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cropro.%202020.1054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9B62-82EF-42AB-A14B-0B9C744D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17</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248</cp:revision>
  <dcterms:created xsi:type="dcterms:W3CDTF">2025-02-20T15:32:00Z</dcterms:created>
  <dcterms:modified xsi:type="dcterms:W3CDTF">2025-03-24T11:47:00Z</dcterms:modified>
</cp:coreProperties>
</file>