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9A7D8" w14:textId="2F5FDE4D" w:rsidR="00754C9A" w:rsidRPr="00060354" w:rsidRDefault="00060354" w:rsidP="00441B6F">
      <w:pPr>
        <w:pStyle w:val="Title"/>
        <w:spacing w:after="0"/>
        <w:jc w:val="both"/>
        <w:rPr>
          <w:rFonts w:ascii="Arial" w:hAnsi="Arial" w:cs="Arial"/>
          <w:i/>
          <w:iCs/>
          <w:u w:val="single"/>
        </w:rPr>
      </w:pPr>
      <w:r w:rsidRPr="00060354">
        <w:rPr>
          <w:rFonts w:ascii="Arial" w:hAnsi="Arial" w:cs="Arial"/>
          <w:i/>
          <w:iCs/>
          <w:u w:val="single"/>
        </w:rPr>
        <w:t>Original Research Article</w:t>
      </w:r>
    </w:p>
    <w:p w14:paraId="01A236DF" w14:textId="77777777" w:rsidR="00060354" w:rsidRDefault="00060354" w:rsidP="006E5228">
      <w:pPr>
        <w:pStyle w:val="Author"/>
        <w:spacing w:line="240" w:lineRule="auto"/>
        <w:rPr>
          <w:rFonts w:ascii="Arial" w:hAnsi="Arial" w:cs="Arial"/>
          <w:bCs/>
          <w:iCs/>
          <w:kern w:val="28"/>
          <w:sz w:val="36"/>
        </w:rPr>
      </w:pPr>
    </w:p>
    <w:p w14:paraId="7858BF7D" w14:textId="236C0255" w:rsidR="006E5228" w:rsidRPr="006E5228" w:rsidRDefault="006E5228" w:rsidP="006E5228">
      <w:pPr>
        <w:pStyle w:val="Author"/>
        <w:spacing w:line="240" w:lineRule="auto"/>
        <w:rPr>
          <w:rFonts w:ascii="Arial" w:hAnsi="Arial" w:cs="Arial"/>
          <w:bCs/>
          <w:iCs/>
          <w:kern w:val="28"/>
          <w:sz w:val="36"/>
        </w:rPr>
      </w:pPr>
      <w:r w:rsidRPr="006E5228">
        <w:rPr>
          <w:rFonts w:ascii="Arial" w:hAnsi="Arial" w:cs="Arial"/>
          <w:bCs/>
          <w:iCs/>
          <w:kern w:val="28"/>
          <w:sz w:val="36"/>
        </w:rPr>
        <w:t xml:space="preserve">Heavy Metals Pollution in Ambient Air and Health Risk Assessment in </w:t>
      </w:r>
      <w:proofErr w:type="spellStart"/>
      <w:r w:rsidRPr="006E5228">
        <w:rPr>
          <w:rFonts w:ascii="Arial" w:hAnsi="Arial" w:cs="Arial"/>
          <w:bCs/>
          <w:iCs/>
          <w:kern w:val="28"/>
          <w:sz w:val="36"/>
        </w:rPr>
        <w:t>Eket</w:t>
      </w:r>
      <w:proofErr w:type="spellEnd"/>
      <w:r w:rsidRPr="006E5228">
        <w:rPr>
          <w:rFonts w:ascii="Arial" w:hAnsi="Arial" w:cs="Arial"/>
          <w:bCs/>
          <w:iCs/>
          <w:kern w:val="28"/>
          <w:sz w:val="36"/>
        </w:rPr>
        <w:t xml:space="preserve">, </w:t>
      </w:r>
      <w:proofErr w:type="spellStart"/>
      <w:r w:rsidRPr="006E5228">
        <w:rPr>
          <w:rFonts w:ascii="Arial" w:hAnsi="Arial" w:cs="Arial"/>
          <w:bCs/>
          <w:iCs/>
          <w:kern w:val="28"/>
          <w:sz w:val="36"/>
        </w:rPr>
        <w:t>Akwa</w:t>
      </w:r>
      <w:proofErr w:type="spellEnd"/>
      <w:r w:rsidRPr="006E5228">
        <w:rPr>
          <w:rFonts w:ascii="Arial" w:hAnsi="Arial" w:cs="Arial"/>
          <w:bCs/>
          <w:iCs/>
          <w:kern w:val="28"/>
          <w:sz w:val="36"/>
        </w:rPr>
        <w:t xml:space="preserve"> Ibom State, Nigeria</w:t>
      </w:r>
    </w:p>
    <w:p w14:paraId="7FB71D2F" w14:textId="77777777" w:rsidR="00A258C3" w:rsidRPr="00790ADA" w:rsidRDefault="00A258C3" w:rsidP="00441B6F">
      <w:pPr>
        <w:pStyle w:val="Author"/>
        <w:spacing w:line="240" w:lineRule="auto"/>
        <w:jc w:val="both"/>
        <w:rPr>
          <w:rFonts w:ascii="Arial" w:hAnsi="Arial" w:cs="Arial"/>
          <w:sz w:val="36"/>
        </w:rPr>
      </w:pPr>
    </w:p>
    <w:p w14:paraId="002490A8" w14:textId="77777777" w:rsidR="00790ADA" w:rsidRDefault="00790ADA" w:rsidP="00441B6F">
      <w:pPr>
        <w:pStyle w:val="Affiliation"/>
        <w:spacing w:after="0" w:line="240" w:lineRule="auto"/>
        <w:jc w:val="both"/>
        <w:rPr>
          <w:rFonts w:ascii="Arial" w:hAnsi="Arial" w:cs="Arial"/>
        </w:rPr>
      </w:pPr>
    </w:p>
    <w:p w14:paraId="15CE2F29" w14:textId="77777777" w:rsidR="002C57D2" w:rsidRPr="00FB3A86" w:rsidRDefault="002C57D2" w:rsidP="00441B6F">
      <w:pPr>
        <w:pStyle w:val="Affiliation"/>
        <w:spacing w:after="0" w:line="240" w:lineRule="auto"/>
        <w:jc w:val="both"/>
        <w:rPr>
          <w:rFonts w:ascii="Arial" w:hAnsi="Arial" w:cs="Arial"/>
        </w:rPr>
      </w:pPr>
    </w:p>
    <w:p w14:paraId="21F3FF3B" w14:textId="77777777" w:rsidR="00B01FCD" w:rsidRPr="00FB3A86" w:rsidRDefault="0001423A" w:rsidP="00441B6F">
      <w:pPr>
        <w:pStyle w:val="Copyright"/>
        <w:spacing w:after="0" w:line="240" w:lineRule="auto"/>
        <w:jc w:val="both"/>
        <w:rPr>
          <w:rFonts w:ascii="Arial" w:hAnsi="Arial" w:cs="Arial"/>
        </w:rPr>
        <w:sectPr w:rsidR="00B01FCD" w:rsidRPr="00FB3A86" w:rsidSect="00FE4E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76B702D" wp14:editId="5FBB3E38">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789C52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289339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30949B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BFDC9A4" w14:textId="77777777" w:rsidTr="001E44FE">
        <w:tc>
          <w:tcPr>
            <w:tcW w:w="9576" w:type="dxa"/>
            <w:shd w:val="clear" w:color="auto" w:fill="F2F2F2"/>
          </w:tcPr>
          <w:p w14:paraId="065D9AB2" w14:textId="77777777" w:rsidR="0060684A" w:rsidRPr="009F4319" w:rsidRDefault="00BA1B01" w:rsidP="00EF09D8">
            <w:pPr>
              <w:pStyle w:val="Body"/>
              <w:spacing w:after="0"/>
              <w:rPr>
                <w:rFonts w:ascii="Arial" w:eastAsia="Calibri" w:hAnsi="Arial" w:cs="Arial"/>
                <w:sz w:val="22"/>
                <w:szCs w:val="22"/>
              </w:rPr>
            </w:pPr>
            <w:r w:rsidRPr="009F4319">
              <w:rPr>
                <w:rFonts w:ascii="Arial" w:eastAsia="Calibri" w:hAnsi="Arial" w:cs="Arial"/>
                <w:b/>
                <w:sz w:val="22"/>
                <w:szCs w:val="22"/>
              </w:rPr>
              <w:t xml:space="preserve">Aims: </w:t>
            </w:r>
            <w:r w:rsidR="0060684A" w:rsidRPr="009F4319">
              <w:rPr>
                <w:rFonts w:ascii="Arial" w:eastAsia="Calibri" w:hAnsi="Arial" w:cs="Arial"/>
                <w:sz w:val="22"/>
                <w:szCs w:val="22"/>
              </w:rPr>
              <w:t xml:space="preserve">Exposure to air pollution categorized by high levels of particulate matter and possibly toxic metals is of major concern to human health. The present study assessed the level of heavy metals in ambient air and related health hazards via ingestion, inhalation, and dermal absorption dose. </w:t>
            </w:r>
          </w:p>
          <w:p w14:paraId="50044E65" w14:textId="77777777" w:rsidR="0060684A" w:rsidRPr="009F4319" w:rsidRDefault="0060684A" w:rsidP="00EF09D8">
            <w:pPr>
              <w:pStyle w:val="Body"/>
              <w:spacing w:after="0"/>
              <w:rPr>
                <w:rFonts w:ascii="Arial" w:eastAsia="Calibri" w:hAnsi="Arial" w:cs="Arial"/>
                <w:sz w:val="22"/>
                <w:szCs w:val="22"/>
              </w:rPr>
            </w:pPr>
            <w:r w:rsidRPr="009F4319">
              <w:rPr>
                <w:rFonts w:ascii="Arial" w:eastAsia="Calibri" w:hAnsi="Arial" w:cs="Arial"/>
                <w:b/>
                <w:sz w:val="22"/>
                <w:szCs w:val="22"/>
              </w:rPr>
              <w:t>Place and Duration of Study:</w:t>
            </w:r>
            <w:r w:rsidRPr="009F4319">
              <w:rPr>
                <w:rFonts w:ascii="Arial" w:eastAsia="Calibri" w:hAnsi="Arial" w:cs="Arial"/>
                <w:sz w:val="22"/>
                <w:szCs w:val="22"/>
              </w:rPr>
              <w:t xml:space="preserve"> Sampling was performed at three selected junctions namely: Mobile matt (MM), </w:t>
            </w:r>
            <w:proofErr w:type="spellStart"/>
            <w:r w:rsidRPr="009F4319">
              <w:rPr>
                <w:rFonts w:ascii="Arial" w:eastAsia="Calibri" w:hAnsi="Arial" w:cs="Arial"/>
                <w:sz w:val="22"/>
                <w:szCs w:val="22"/>
              </w:rPr>
              <w:t>Uqua</w:t>
            </w:r>
            <w:proofErr w:type="spellEnd"/>
            <w:r w:rsidRPr="009F4319">
              <w:rPr>
                <w:rFonts w:ascii="Arial" w:eastAsia="Calibri" w:hAnsi="Arial" w:cs="Arial"/>
                <w:sz w:val="22"/>
                <w:szCs w:val="22"/>
              </w:rPr>
              <w:t xml:space="preserve"> junction (UJ), and Marina junction (MJ) using pre-weighed Petri dishes for 15 minutes</w:t>
            </w:r>
            <w:r w:rsidR="00726ADB" w:rsidRPr="009F4319">
              <w:rPr>
                <w:rFonts w:ascii="Arial" w:eastAsia="Calibri" w:hAnsi="Arial" w:cs="Arial"/>
                <w:sz w:val="22"/>
                <w:szCs w:val="22"/>
              </w:rPr>
              <w:t>.</w:t>
            </w:r>
          </w:p>
          <w:p w14:paraId="50404737" w14:textId="77777777" w:rsidR="00790EDA" w:rsidRPr="009F4319" w:rsidRDefault="00790EDA" w:rsidP="00726ADB">
            <w:pPr>
              <w:pStyle w:val="Body"/>
              <w:spacing w:after="0"/>
              <w:rPr>
                <w:rFonts w:ascii="Arial" w:eastAsia="Calibri" w:hAnsi="Arial" w:cs="Arial"/>
                <w:sz w:val="22"/>
                <w:szCs w:val="22"/>
              </w:rPr>
            </w:pPr>
            <w:r w:rsidRPr="009F4319">
              <w:rPr>
                <w:rFonts w:ascii="Arial" w:eastAsia="Calibri" w:hAnsi="Arial" w:cs="Arial"/>
                <w:b/>
                <w:bCs/>
                <w:sz w:val="22"/>
                <w:szCs w:val="22"/>
              </w:rPr>
              <w:t>Methodology:</w:t>
            </w:r>
            <w:r w:rsidR="0060684A" w:rsidRPr="009F4319">
              <w:rPr>
                <w:rFonts w:ascii="Arial" w:eastAsia="Calibri" w:hAnsi="Arial" w:cs="Arial"/>
                <w:sz w:val="22"/>
                <w:szCs w:val="22"/>
              </w:rPr>
              <w:t xml:space="preserve"> Heavy metal concentrations such as cadmium (Cd), Lead (Pb), manganese (Mn), arsenic (As), nickel (Ni), Copper (Cu) and chromium (Cr) were investigated using standard methods. lifetime cancer risk (ILCR), exposure concentration (EC), hazard quotient (HQ), and hazard index (HI) were used to evaluate the carcinogenic and non-carcinogenic health risks associated with exposure to measured heavy metals. </w:t>
            </w:r>
          </w:p>
          <w:p w14:paraId="4CF8F09B" w14:textId="77777777" w:rsidR="00726ADB" w:rsidRPr="009F4319" w:rsidRDefault="00726ADB" w:rsidP="00726ADB">
            <w:pPr>
              <w:pStyle w:val="Body"/>
              <w:spacing w:after="0"/>
              <w:rPr>
                <w:rFonts w:ascii="Arial" w:eastAsia="Calibri" w:hAnsi="Arial" w:cs="Arial"/>
                <w:sz w:val="22"/>
                <w:szCs w:val="22"/>
              </w:rPr>
            </w:pPr>
            <w:r w:rsidRPr="009F4319">
              <w:rPr>
                <w:rFonts w:ascii="Arial" w:eastAsia="Calibri" w:hAnsi="Arial" w:cs="Arial"/>
                <w:b/>
                <w:bCs/>
                <w:sz w:val="22"/>
                <w:szCs w:val="22"/>
              </w:rPr>
              <w:t>Results:</w:t>
            </w:r>
            <w:r w:rsidRPr="009F4319">
              <w:rPr>
                <w:rFonts w:ascii="Arial" w:eastAsia="Calibri" w:hAnsi="Arial" w:cs="Arial"/>
                <w:sz w:val="22"/>
                <w:szCs w:val="22"/>
              </w:rPr>
              <w:t xml:space="preserve"> </w:t>
            </w:r>
            <w:r w:rsidR="0060684A" w:rsidRPr="009F4319">
              <w:rPr>
                <w:rFonts w:ascii="Arial" w:eastAsia="Calibri" w:hAnsi="Arial" w:cs="Arial"/>
                <w:sz w:val="22"/>
                <w:szCs w:val="22"/>
              </w:rPr>
              <w:t>Metal concentrations at MM, UJ, and MJ vary from 63 to 165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Cd, 314 to 823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Cr, 3 to 28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Pb, 284 to 412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Mn, 1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As, 73 to 202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for Ni and 1 to 3 (mg/m</w:t>
            </w:r>
            <w:r w:rsidR="0060684A" w:rsidRPr="009F4319">
              <w:rPr>
                <w:rFonts w:ascii="Arial" w:eastAsia="Calibri" w:hAnsi="Arial" w:cs="Arial"/>
                <w:sz w:val="22"/>
                <w:szCs w:val="22"/>
                <w:vertAlign w:val="superscript"/>
              </w:rPr>
              <w:t>3</w:t>
            </w:r>
            <w:r w:rsidR="0060684A" w:rsidRPr="009F4319">
              <w:rPr>
                <w:rFonts w:ascii="Arial" w:eastAsia="Calibri" w:hAnsi="Arial" w:cs="Arial"/>
                <w:sz w:val="22"/>
                <w:szCs w:val="22"/>
              </w:rPr>
              <w:t xml:space="preserve">) for Cu, respectively, over a 15-minute average. All of the observed heavy metals' mean concentrations - Cr, Cd, Cu, Pb, Mn, As, and Ni are higher than the ATSDR reference concentration for inhalation. HI for kids at MJ indicated the possibility of non-CRs through ingesting. The probability of non-CRs by inhalation and skin exposure was demonstrated by HI for adults and children at MM, UJ, and MJ. While the ILCR values for Cd and Ni revealed moderate carcinogenic hazards from ingestion and inhalation of these metals at MM, UJ, and MJ, the </w:t>
            </w:r>
            <w:proofErr w:type="spellStart"/>
            <w:r w:rsidR="0060684A" w:rsidRPr="009F4319">
              <w:rPr>
                <w:rFonts w:ascii="Arial" w:eastAsia="Calibri" w:hAnsi="Arial" w:cs="Arial"/>
                <w:sz w:val="22"/>
                <w:szCs w:val="22"/>
              </w:rPr>
              <w:t>ILCRing</w:t>
            </w:r>
            <w:proofErr w:type="spellEnd"/>
            <w:r w:rsidR="0060684A" w:rsidRPr="009F4319">
              <w:rPr>
                <w:rFonts w:ascii="Arial" w:eastAsia="Calibri" w:hAnsi="Arial" w:cs="Arial"/>
                <w:sz w:val="22"/>
                <w:szCs w:val="22"/>
              </w:rPr>
              <w:t xml:space="preserve"> and </w:t>
            </w:r>
            <w:proofErr w:type="spellStart"/>
            <w:r w:rsidR="0060684A" w:rsidRPr="009F4319">
              <w:rPr>
                <w:rFonts w:ascii="Arial" w:eastAsia="Calibri" w:hAnsi="Arial" w:cs="Arial"/>
                <w:sz w:val="22"/>
                <w:szCs w:val="22"/>
              </w:rPr>
              <w:t>ILCRinh</w:t>
            </w:r>
            <w:proofErr w:type="spellEnd"/>
            <w:r w:rsidR="0060684A" w:rsidRPr="009F4319">
              <w:rPr>
                <w:rFonts w:ascii="Arial" w:eastAsia="Calibri" w:hAnsi="Arial" w:cs="Arial"/>
                <w:sz w:val="22"/>
                <w:szCs w:val="22"/>
              </w:rPr>
              <w:t xml:space="preserve"> values for Cr indicated substantial CRs from this metal. </w:t>
            </w:r>
            <w:proofErr w:type="spellStart"/>
            <w:r w:rsidR="0060684A" w:rsidRPr="009F4319">
              <w:rPr>
                <w:rFonts w:ascii="Arial" w:eastAsia="Calibri" w:hAnsi="Arial" w:cs="Arial"/>
                <w:sz w:val="22"/>
                <w:szCs w:val="22"/>
              </w:rPr>
              <w:t>ILCRder</w:t>
            </w:r>
            <w:proofErr w:type="spellEnd"/>
            <w:r w:rsidR="0060684A" w:rsidRPr="009F4319">
              <w:rPr>
                <w:rFonts w:ascii="Arial" w:eastAsia="Calibri" w:hAnsi="Arial" w:cs="Arial"/>
                <w:sz w:val="22"/>
                <w:szCs w:val="22"/>
              </w:rPr>
              <w:t xml:space="preserve"> values for Cr and Ni indicate low CRs for dermal exposure. </w:t>
            </w:r>
          </w:p>
          <w:p w14:paraId="05334C2B" w14:textId="77777777" w:rsidR="00505F06" w:rsidRPr="00BA1B01" w:rsidRDefault="00726ADB" w:rsidP="008B03D8">
            <w:pPr>
              <w:pStyle w:val="Body"/>
              <w:spacing w:after="0"/>
              <w:rPr>
                <w:rFonts w:ascii="Arial" w:eastAsia="Calibri" w:hAnsi="Arial" w:cs="Arial"/>
                <w:szCs w:val="22"/>
              </w:rPr>
            </w:pPr>
            <w:r w:rsidRPr="009F4319">
              <w:rPr>
                <w:rFonts w:ascii="Arial" w:eastAsia="Calibri" w:hAnsi="Arial" w:cs="Arial"/>
                <w:b/>
                <w:bCs/>
                <w:sz w:val="22"/>
                <w:szCs w:val="22"/>
              </w:rPr>
              <w:t xml:space="preserve">Conclusion: </w:t>
            </w:r>
            <w:r w:rsidR="0060684A" w:rsidRPr="009F4319">
              <w:rPr>
                <w:rFonts w:ascii="Arial" w:eastAsia="Calibri" w:hAnsi="Arial" w:cs="Arial"/>
                <w:sz w:val="22"/>
                <w:szCs w:val="22"/>
              </w:rPr>
              <w:t>Continuous monitoring of metals and health risk assessment is recommended in the study area.</w:t>
            </w:r>
          </w:p>
        </w:tc>
      </w:tr>
    </w:tbl>
    <w:p w14:paraId="722D5F02" w14:textId="77777777" w:rsidR="00636EB2" w:rsidRDefault="00636EB2" w:rsidP="00441B6F">
      <w:pPr>
        <w:pStyle w:val="Body"/>
        <w:spacing w:after="0"/>
        <w:rPr>
          <w:rFonts w:ascii="Arial" w:hAnsi="Arial" w:cs="Arial"/>
          <w:i/>
        </w:rPr>
      </w:pPr>
    </w:p>
    <w:p w14:paraId="51A2C60A" w14:textId="77777777" w:rsidR="00A24E7E" w:rsidRDefault="00A24E7E" w:rsidP="00441B6F">
      <w:pPr>
        <w:pStyle w:val="Body"/>
        <w:spacing w:after="0"/>
        <w:rPr>
          <w:rFonts w:ascii="Arial" w:hAnsi="Arial" w:cs="Arial"/>
          <w:i/>
        </w:rPr>
      </w:pPr>
      <w:r>
        <w:rPr>
          <w:rFonts w:ascii="Arial" w:hAnsi="Arial" w:cs="Arial"/>
          <w:i/>
        </w:rPr>
        <w:t>Keywords: [</w:t>
      </w:r>
      <w:r w:rsidR="008B03D8" w:rsidRPr="00F23D96">
        <w:rPr>
          <w:rFonts w:ascii="Arial" w:hAnsi="Arial" w:cs="Arial"/>
          <w:i/>
        </w:rPr>
        <w:t xml:space="preserve">Heavy metals, health risks assessment, </w:t>
      </w:r>
      <w:proofErr w:type="spellStart"/>
      <w:r w:rsidR="008B03D8" w:rsidRPr="00F23D96">
        <w:rPr>
          <w:rFonts w:ascii="Arial" w:hAnsi="Arial" w:cs="Arial"/>
          <w:i/>
        </w:rPr>
        <w:t>Eket</w:t>
      </w:r>
      <w:proofErr w:type="spellEnd"/>
      <w:r w:rsidR="0066510A">
        <w:rPr>
          <w:rFonts w:ascii="Arial" w:hAnsi="Arial" w:cs="Arial"/>
          <w:i/>
        </w:rPr>
        <w:t>)</w:t>
      </w:r>
    </w:p>
    <w:p w14:paraId="6C944047" w14:textId="77777777" w:rsidR="0024282C" w:rsidRDefault="0024282C" w:rsidP="00441B6F">
      <w:pPr>
        <w:pStyle w:val="Body"/>
        <w:spacing w:after="0"/>
        <w:rPr>
          <w:rFonts w:ascii="Arial" w:hAnsi="Arial" w:cs="Arial"/>
          <w:i/>
          <w:sz w:val="18"/>
        </w:rPr>
      </w:pPr>
    </w:p>
    <w:p w14:paraId="0E72CB0C" w14:textId="77777777" w:rsidR="00505F06" w:rsidRPr="00A24E7E" w:rsidRDefault="00505F06" w:rsidP="00441B6F">
      <w:pPr>
        <w:pStyle w:val="Body"/>
        <w:spacing w:after="0"/>
        <w:rPr>
          <w:rFonts w:ascii="Arial" w:hAnsi="Arial" w:cs="Arial"/>
          <w:i/>
        </w:rPr>
      </w:pPr>
    </w:p>
    <w:p w14:paraId="64E44A86"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250BD53E" w14:textId="77777777" w:rsidR="00790ADA" w:rsidRPr="00FB3A86" w:rsidRDefault="00790ADA" w:rsidP="00441B6F">
      <w:pPr>
        <w:pStyle w:val="AbstHead"/>
        <w:spacing w:after="0"/>
        <w:jc w:val="both"/>
        <w:rPr>
          <w:rFonts w:ascii="Arial" w:hAnsi="Arial" w:cs="Arial"/>
        </w:rPr>
      </w:pPr>
    </w:p>
    <w:p w14:paraId="520067D7" w14:textId="77777777" w:rsidR="00F23D96" w:rsidRPr="00937A80" w:rsidRDefault="00F23D96" w:rsidP="00937A80">
      <w:pPr>
        <w:pStyle w:val="Body"/>
        <w:spacing w:after="0"/>
        <w:rPr>
          <w:rFonts w:ascii="Arial" w:hAnsi="Arial" w:cs="Arial"/>
          <w:sz w:val="22"/>
          <w:szCs w:val="22"/>
        </w:rPr>
      </w:pPr>
      <w:r w:rsidRPr="00937A80">
        <w:rPr>
          <w:rFonts w:ascii="Arial" w:hAnsi="Arial" w:cs="Arial"/>
          <w:sz w:val="22"/>
          <w:szCs w:val="22"/>
        </w:rPr>
        <w:t xml:space="preserve">Exposure to air contamination categorized by high levels of particulate matter and toxic metals is of major concern to human health. Because of its impact on human health, open-air pollution is a main issue. According to [1], long-term contact with air contamination can weaken the immune system and result in systemic cancer of the respiratory, reproductive, and neurological systems. Anthropogenic activity is one of the ways that air contaminants can reach the atmosphere. According to research reports, tons of air contamination have been released as a result of the industrial and urban sectors' rapid growth, thermal power plants, the expansion of farming employing more fertilizer and pesticides, and the uncontrolled usage of fossil fuels in numerous sectors [2 – 4]. </w:t>
      </w:r>
    </w:p>
    <w:p w14:paraId="749C8569" w14:textId="77777777" w:rsidR="00F23D96" w:rsidRPr="00937A80" w:rsidRDefault="00F23D96" w:rsidP="00183A5A">
      <w:pPr>
        <w:pStyle w:val="Body"/>
        <w:spacing w:after="0"/>
        <w:rPr>
          <w:rFonts w:ascii="Arial" w:hAnsi="Arial" w:cs="Arial"/>
          <w:sz w:val="22"/>
          <w:szCs w:val="22"/>
        </w:rPr>
      </w:pPr>
      <w:r w:rsidRPr="00937A80">
        <w:rPr>
          <w:rFonts w:ascii="Arial" w:hAnsi="Arial" w:cs="Arial"/>
          <w:sz w:val="22"/>
          <w:szCs w:val="22"/>
        </w:rPr>
        <w:t>Because of its harmful impacts on human health, respirable suspended particulate substances, a major contributor to air contamination have received a lot of consideration [5]. Respirable suspended particulate matter can originate from a variety of sources, comprising construction activities, manufacturing operations, vehicle emissions, dust and pollen from natural processes, noxious emissions released during waste burning, and s</w:t>
      </w:r>
      <w:r w:rsidR="00183A5A" w:rsidRPr="00937A80">
        <w:rPr>
          <w:rFonts w:ascii="Arial" w:hAnsi="Arial" w:cs="Arial"/>
          <w:sz w:val="22"/>
          <w:szCs w:val="22"/>
        </w:rPr>
        <w:t>uspended particulates matte [6,</w:t>
      </w:r>
      <w:r w:rsidRPr="00937A80">
        <w:rPr>
          <w:rFonts w:ascii="Arial" w:hAnsi="Arial" w:cs="Arial"/>
          <w:sz w:val="22"/>
          <w:szCs w:val="22"/>
        </w:rPr>
        <w:t xml:space="preserve"> 1, 7, 8]. Because of the complex health dangers linked with exposure to these airborne contaminants, the presence of heavy metals in respiratory suspended particulate matter is frequently cause for concern.</w:t>
      </w:r>
    </w:p>
    <w:p w14:paraId="33B6F2F9" w14:textId="77777777" w:rsidR="00F23D96" w:rsidRPr="00937A80" w:rsidRDefault="00F23D96" w:rsidP="00F23D96">
      <w:pPr>
        <w:pStyle w:val="Body"/>
        <w:spacing w:after="0"/>
        <w:rPr>
          <w:rFonts w:ascii="Arial" w:hAnsi="Arial" w:cs="Arial"/>
          <w:sz w:val="22"/>
          <w:szCs w:val="22"/>
        </w:rPr>
      </w:pPr>
      <w:r w:rsidRPr="00937A80">
        <w:rPr>
          <w:rFonts w:ascii="Arial" w:hAnsi="Arial" w:cs="Arial"/>
          <w:sz w:val="22"/>
          <w:szCs w:val="22"/>
        </w:rPr>
        <w:t>Despite their low quantities, heavy metals namely mercury (Hg), cadmium (Cd), arsenic (As), nickel (Ni), lead (Pb), and others can be dangerous [9, 10, 11]. Anthropogenic activities that can release these metals into the atmosphere include mining, manufacturing processes, automobile releases, and fossil fuels burning [5, 11, 12]. People accidentally inhale this mixture of toxic gasses that contain heavy metal particles. Therefore, ongoing exposure to these metals raises serious health issues. It is well-recognized that contact with heavy metals and respirable dispersed particulate matter can have negative health effects. When respiratory suspended particulate matter particles are inhaled, they can penetrate the circulatory system, move deeply into the respiratory system, and possibly even make their way to the lungs' alveoli [13]. Inhalation can transfer toxic heavy metals straight to essential organs and tissues, leading to many detrimental health effects [14, 15]. Long-term exposure to heavy metals through respiratory dispersed particulate matter has been associated with some health issues, including the risk of cancer, cognitive decline, cardiovascular abnormalities, and respiratory diseases [4, 1]).</w:t>
      </w:r>
    </w:p>
    <w:p w14:paraId="0C940E9B" w14:textId="77777777" w:rsidR="00F23D96" w:rsidRPr="00937A80" w:rsidRDefault="00F23D96" w:rsidP="00D60420">
      <w:pPr>
        <w:pStyle w:val="Body"/>
        <w:spacing w:after="0"/>
        <w:rPr>
          <w:rFonts w:ascii="Arial" w:hAnsi="Arial" w:cs="Arial"/>
          <w:sz w:val="22"/>
          <w:szCs w:val="22"/>
        </w:rPr>
      </w:pPr>
      <w:r w:rsidRPr="00937A80">
        <w:rPr>
          <w:rFonts w:ascii="Arial" w:hAnsi="Arial" w:cs="Arial"/>
          <w:sz w:val="22"/>
          <w:szCs w:val="22"/>
        </w:rPr>
        <w:t xml:space="preserve">The International Agency for Research on Cancer (IARC) classified lead (Pb) and cobalt (Co) as group 2A carcinogens, but nickel (Ni), arsenic (As), chromium (Cr), and cadmium (Cd) were classified as group 1 carcinogens [16]. The ecosystem is at risk from these airborne heavy metals, and those who are exposed to them may experience adverse health impacts. These metals can lead to several serious health problems, including lung cancer, cardiovascular disease, high blood pressure, renal damage, reproductive problems, neurological disorders, asthma, and bronchitis. Furthermore, it has an impact on kids' cognitive development, which can lead to behavioral issues, difficulties in learning, and a lower intelligent quotient [17, 18, 19, 20]. The settlement of </w:t>
      </w:r>
      <w:proofErr w:type="spellStart"/>
      <w:r w:rsidRPr="00937A80">
        <w:rPr>
          <w:rFonts w:ascii="Arial" w:hAnsi="Arial" w:cs="Arial"/>
          <w:sz w:val="22"/>
          <w:szCs w:val="22"/>
        </w:rPr>
        <w:t>Eket</w:t>
      </w:r>
      <w:proofErr w:type="spellEnd"/>
      <w:r w:rsidRPr="00937A80">
        <w:rPr>
          <w:rFonts w:ascii="Arial" w:hAnsi="Arial" w:cs="Arial"/>
          <w:sz w:val="22"/>
          <w:szCs w:val="22"/>
        </w:rPr>
        <w:t xml:space="preserve"> is semi-urban. </w:t>
      </w:r>
      <w:proofErr w:type="spellStart"/>
      <w:r w:rsidRPr="00937A80">
        <w:rPr>
          <w:rFonts w:ascii="Arial" w:hAnsi="Arial" w:cs="Arial"/>
          <w:sz w:val="22"/>
          <w:szCs w:val="22"/>
        </w:rPr>
        <w:t>Eket's</w:t>
      </w:r>
      <w:proofErr w:type="spellEnd"/>
      <w:r w:rsidRPr="00937A80">
        <w:rPr>
          <w:rFonts w:ascii="Arial" w:hAnsi="Arial" w:cs="Arial"/>
          <w:sz w:val="22"/>
          <w:szCs w:val="22"/>
        </w:rPr>
        <w:t xml:space="preserve"> primary economic activities are farming (mostly for upland residents), fishing (for riverine and coastal residents), trading, </w:t>
      </w:r>
      <w:proofErr w:type="spellStart"/>
      <w:r w:rsidRPr="00937A80">
        <w:rPr>
          <w:rFonts w:ascii="Arial" w:hAnsi="Arial" w:cs="Arial"/>
          <w:sz w:val="22"/>
          <w:szCs w:val="22"/>
        </w:rPr>
        <w:t>okada</w:t>
      </w:r>
      <w:proofErr w:type="spellEnd"/>
      <w:r w:rsidRPr="00937A80">
        <w:rPr>
          <w:rFonts w:ascii="Arial" w:hAnsi="Arial" w:cs="Arial"/>
          <w:sz w:val="22"/>
          <w:szCs w:val="22"/>
        </w:rPr>
        <w:t xml:space="preserve"> riding, transportation, artisanship, and white-collar services. Owing to </w:t>
      </w:r>
      <w:r w:rsidRPr="00937A80">
        <w:rPr>
          <w:rFonts w:ascii="Arial" w:hAnsi="Arial" w:cs="Arial"/>
          <w:sz w:val="22"/>
          <w:szCs w:val="22"/>
        </w:rPr>
        <w:lastRenderedPageBreak/>
        <w:t xml:space="preserve">the presence of heavy metals in the solid and effluent wastes that are subsequently released into the atmosphere, these operations have the potential to significantly affect and stress air quality. </w:t>
      </w:r>
      <w:r w:rsidRPr="00937A80">
        <w:rPr>
          <w:rFonts w:ascii="Arial" w:hAnsi="Arial" w:cs="Arial"/>
          <w:sz w:val="22"/>
          <w:szCs w:val="22"/>
        </w:rPr>
        <w:tab/>
        <w:t xml:space="preserve">There is a need to look at the connection between air quality and human health risks in the area because there aren't many studies relating the valuation of health risks in </w:t>
      </w:r>
      <w:proofErr w:type="spellStart"/>
      <w:r w:rsidRPr="00937A80">
        <w:rPr>
          <w:rFonts w:ascii="Arial" w:hAnsi="Arial" w:cs="Arial"/>
          <w:sz w:val="22"/>
          <w:szCs w:val="22"/>
        </w:rPr>
        <w:t>Eket</w:t>
      </w:r>
      <w:proofErr w:type="spellEnd"/>
      <w:r w:rsidRPr="00937A80">
        <w:rPr>
          <w:rFonts w:ascii="Arial" w:hAnsi="Arial" w:cs="Arial"/>
          <w:sz w:val="22"/>
          <w:szCs w:val="22"/>
        </w:rPr>
        <w:t xml:space="preserve">, </w:t>
      </w:r>
      <w:proofErr w:type="spellStart"/>
      <w:r w:rsidRPr="00937A80">
        <w:rPr>
          <w:rFonts w:ascii="Arial" w:hAnsi="Arial" w:cs="Arial"/>
          <w:sz w:val="22"/>
          <w:szCs w:val="22"/>
        </w:rPr>
        <w:t>Akwa</w:t>
      </w:r>
      <w:proofErr w:type="spellEnd"/>
      <w:r w:rsidRPr="00937A80">
        <w:rPr>
          <w:rFonts w:ascii="Arial" w:hAnsi="Arial" w:cs="Arial"/>
          <w:sz w:val="22"/>
          <w:szCs w:val="22"/>
        </w:rPr>
        <w:t xml:space="preserve"> Ibom State, from anthropogenic activities there and ambient air contamination from heavy metals.</w:t>
      </w:r>
    </w:p>
    <w:p w14:paraId="2701031D" w14:textId="77777777" w:rsidR="00F23D96" w:rsidRPr="00937A80" w:rsidRDefault="00F23D96" w:rsidP="00F23D96">
      <w:pPr>
        <w:pStyle w:val="Body"/>
        <w:rPr>
          <w:rFonts w:ascii="Arial" w:hAnsi="Arial" w:cs="Arial"/>
          <w:sz w:val="22"/>
          <w:szCs w:val="22"/>
        </w:rPr>
      </w:pPr>
      <w:r w:rsidRPr="00937A80">
        <w:rPr>
          <w:rFonts w:ascii="Arial" w:hAnsi="Arial" w:cs="Arial"/>
          <w:sz w:val="22"/>
          <w:szCs w:val="22"/>
        </w:rPr>
        <w:t>The current study's specific goals, considering the seriousness of the situation, are to: (</w:t>
      </w:r>
      <w:proofErr w:type="spellStart"/>
      <w:r w:rsidRPr="00937A80">
        <w:rPr>
          <w:rFonts w:ascii="Arial" w:hAnsi="Arial" w:cs="Arial"/>
          <w:sz w:val="22"/>
          <w:szCs w:val="22"/>
        </w:rPr>
        <w:t>i</w:t>
      </w:r>
      <w:proofErr w:type="spellEnd"/>
      <w:r w:rsidRPr="00937A80">
        <w:rPr>
          <w:rFonts w:ascii="Arial" w:hAnsi="Arial" w:cs="Arial"/>
          <w:sz w:val="22"/>
          <w:szCs w:val="22"/>
        </w:rPr>
        <w:t xml:space="preserve">) measure the foci of specific heavy metals in ambient air at three specific locations in </w:t>
      </w:r>
      <w:proofErr w:type="spellStart"/>
      <w:r w:rsidRPr="00937A80">
        <w:rPr>
          <w:rFonts w:ascii="Arial" w:hAnsi="Arial" w:cs="Arial"/>
          <w:sz w:val="22"/>
          <w:szCs w:val="22"/>
        </w:rPr>
        <w:t>Eket</w:t>
      </w:r>
      <w:proofErr w:type="spellEnd"/>
      <w:r w:rsidRPr="00937A80">
        <w:rPr>
          <w:rFonts w:ascii="Arial" w:hAnsi="Arial" w:cs="Arial"/>
          <w:sz w:val="22"/>
          <w:szCs w:val="22"/>
        </w:rPr>
        <w:t xml:space="preserve">; (ii) evaluate the potential health hazards related to these metals, including non-carcinogenic health indices (HQ and HI) and carcinogenic (CR); (iii) determine other lifetime cancer cases in </w:t>
      </w:r>
      <w:proofErr w:type="spellStart"/>
      <w:r w:rsidRPr="00937A80">
        <w:rPr>
          <w:rFonts w:ascii="Arial" w:hAnsi="Arial" w:cs="Arial"/>
          <w:sz w:val="22"/>
          <w:szCs w:val="22"/>
        </w:rPr>
        <w:t>Eket</w:t>
      </w:r>
      <w:proofErr w:type="spellEnd"/>
      <w:r w:rsidRPr="00937A80">
        <w:rPr>
          <w:rFonts w:ascii="Arial" w:hAnsi="Arial" w:cs="Arial"/>
          <w:sz w:val="22"/>
          <w:szCs w:val="22"/>
        </w:rPr>
        <w:t>; and (iv) address health fears associated with air contamination and heavy metal contact pathways.</w:t>
      </w:r>
    </w:p>
    <w:p w14:paraId="6CE128DA" w14:textId="77777777" w:rsidR="00A03B96" w:rsidRDefault="00902823" w:rsidP="00C20D5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4E931AD" w14:textId="77777777" w:rsidR="00A03B96" w:rsidRDefault="00A03B96" w:rsidP="00441B6F">
      <w:pPr>
        <w:pStyle w:val="Body"/>
        <w:spacing w:after="0"/>
        <w:rPr>
          <w:rFonts w:ascii="Arial" w:hAnsi="Arial" w:cs="Arial"/>
        </w:rPr>
      </w:pPr>
    </w:p>
    <w:p w14:paraId="512384B3" w14:textId="77777777" w:rsidR="00D86BDF" w:rsidRPr="00EE62AF" w:rsidRDefault="00EE62AF" w:rsidP="00EE62AF">
      <w:pPr>
        <w:pStyle w:val="Body"/>
        <w:spacing w:after="0"/>
        <w:rPr>
          <w:rFonts w:ascii="Arial" w:hAnsi="Arial" w:cs="Arial"/>
          <w:b/>
          <w:sz w:val="22"/>
          <w:szCs w:val="22"/>
        </w:rPr>
      </w:pPr>
      <w:r w:rsidRPr="00EE62AF">
        <w:rPr>
          <w:rFonts w:ascii="Arial" w:hAnsi="Arial" w:cs="Arial"/>
          <w:b/>
          <w:sz w:val="22"/>
          <w:szCs w:val="22"/>
        </w:rPr>
        <w:t xml:space="preserve">2.1 </w:t>
      </w:r>
      <w:r w:rsidR="00D86BDF" w:rsidRPr="00EE62AF">
        <w:rPr>
          <w:rFonts w:ascii="Arial" w:hAnsi="Arial" w:cs="Arial"/>
          <w:b/>
          <w:sz w:val="22"/>
          <w:szCs w:val="22"/>
        </w:rPr>
        <w:t xml:space="preserve">Location and Climate of the Study Area </w:t>
      </w:r>
    </w:p>
    <w:p w14:paraId="5AA6B279" w14:textId="77777777" w:rsidR="00D86BDF" w:rsidRPr="00D86BDF" w:rsidRDefault="00D86BDF" w:rsidP="00D86BDF">
      <w:pPr>
        <w:pStyle w:val="Body"/>
        <w:rPr>
          <w:rFonts w:ascii="Arial" w:hAnsi="Arial" w:cs="Arial"/>
          <w:sz w:val="22"/>
          <w:szCs w:val="22"/>
        </w:rPr>
      </w:pPr>
      <w:r w:rsidRPr="00D86BDF">
        <w:rPr>
          <w:rFonts w:ascii="Arial" w:hAnsi="Arial" w:cs="Arial"/>
          <w:sz w:val="22"/>
          <w:szCs w:val="22"/>
        </w:rPr>
        <w:t xml:space="preserve">The </w:t>
      </w:r>
      <w:proofErr w:type="spellStart"/>
      <w:r w:rsidRPr="00D86BDF">
        <w:rPr>
          <w:rFonts w:ascii="Arial" w:hAnsi="Arial" w:cs="Arial"/>
          <w:sz w:val="22"/>
          <w:szCs w:val="22"/>
        </w:rPr>
        <w:t>Eket</w:t>
      </w:r>
      <w:proofErr w:type="spellEnd"/>
      <w:r w:rsidRPr="00D86BDF">
        <w:rPr>
          <w:rFonts w:ascii="Arial" w:hAnsi="Arial" w:cs="Arial"/>
          <w:sz w:val="22"/>
          <w:szCs w:val="22"/>
        </w:rPr>
        <w:t xml:space="preserve"> Local Government Area in Nigeria's Akwa Ibom State served as the study area. </w:t>
      </w:r>
      <w:proofErr w:type="spellStart"/>
      <w:r w:rsidRPr="00D86BDF">
        <w:rPr>
          <w:rFonts w:ascii="Arial" w:hAnsi="Arial" w:cs="Arial"/>
          <w:sz w:val="22"/>
          <w:szCs w:val="22"/>
        </w:rPr>
        <w:t>Eket</w:t>
      </w:r>
      <w:proofErr w:type="spellEnd"/>
      <w:r w:rsidRPr="00D86BDF">
        <w:rPr>
          <w:rFonts w:ascii="Arial" w:hAnsi="Arial" w:cs="Arial"/>
          <w:sz w:val="22"/>
          <w:szCs w:val="22"/>
        </w:rPr>
        <w:t xml:space="preserve"> is located eastward between longitudes 7 52' and 5 02' and between latitudes 4 33' and 4 45'. The two different seasons of </w:t>
      </w:r>
      <w:proofErr w:type="spellStart"/>
      <w:r w:rsidRPr="00D86BDF">
        <w:rPr>
          <w:rFonts w:ascii="Arial" w:hAnsi="Arial" w:cs="Arial"/>
          <w:sz w:val="22"/>
          <w:szCs w:val="22"/>
        </w:rPr>
        <w:t>Eket's</w:t>
      </w:r>
      <w:proofErr w:type="spellEnd"/>
      <w:r w:rsidRPr="00D86BDF">
        <w:rPr>
          <w:rFonts w:ascii="Arial" w:hAnsi="Arial" w:cs="Arial"/>
          <w:sz w:val="22"/>
          <w:szCs w:val="22"/>
        </w:rPr>
        <w:t xml:space="preserve"> tropical climate are November through March, with a brief dry spell in August typically interrupting the wet season. </w:t>
      </w:r>
      <w:proofErr w:type="spellStart"/>
      <w:r w:rsidRPr="00D86BDF">
        <w:rPr>
          <w:rFonts w:ascii="Arial" w:hAnsi="Arial" w:cs="Arial"/>
          <w:sz w:val="22"/>
          <w:szCs w:val="22"/>
        </w:rPr>
        <w:t>Eket</w:t>
      </w:r>
      <w:proofErr w:type="spellEnd"/>
      <w:r w:rsidRPr="00D86BDF">
        <w:rPr>
          <w:rFonts w:ascii="Arial" w:hAnsi="Arial" w:cs="Arial"/>
          <w:sz w:val="22"/>
          <w:szCs w:val="22"/>
        </w:rPr>
        <w:t xml:space="preserve"> experiences 23 to 31 degrees Celsius on average, with 3044 mm of precipitation. </w:t>
      </w:r>
    </w:p>
    <w:p w14:paraId="4819B7EE" w14:textId="77777777" w:rsidR="00EE62AF" w:rsidRPr="00EE62AF" w:rsidRDefault="00EE62AF" w:rsidP="00EE62AF">
      <w:pPr>
        <w:pStyle w:val="Body"/>
        <w:spacing w:after="0"/>
        <w:rPr>
          <w:rFonts w:ascii="Arial" w:hAnsi="Arial" w:cs="Arial"/>
          <w:b/>
          <w:sz w:val="22"/>
          <w:szCs w:val="22"/>
        </w:rPr>
      </w:pPr>
      <w:r>
        <w:rPr>
          <w:rFonts w:ascii="Arial" w:hAnsi="Arial" w:cs="Arial"/>
          <w:b/>
          <w:sz w:val="22"/>
          <w:szCs w:val="22"/>
        </w:rPr>
        <w:t xml:space="preserve">2.2 </w:t>
      </w:r>
      <w:r w:rsidRPr="00EE62AF">
        <w:rPr>
          <w:rFonts w:ascii="Arial" w:hAnsi="Arial" w:cs="Arial"/>
          <w:b/>
          <w:sz w:val="22"/>
          <w:szCs w:val="22"/>
        </w:rPr>
        <w:t>Sampling Procedures</w:t>
      </w:r>
    </w:p>
    <w:p w14:paraId="1DB1F57D" w14:textId="77777777" w:rsidR="00C846D9" w:rsidRDefault="00EE62AF" w:rsidP="00EE62AF">
      <w:pPr>
        <w:pStyle w:val="Body"/>
        <w:spacing w:after="0"/>
        <w:rPr>
          <w:rFonts w:ascii="Arial" w:hAnsi="Arial" w:cs="Arial"/>
        </w:rPr>
      </w:pPr>
      <w:r w:rsidRPr="00EE62AF">
        <w:rPr>
          <w:rFonts w:ascii="Arial" w:hAnsi="Arial" w:cs="Arial"/>
          <w:sz w:val="22"/>
          <w:szCs w:val="22"/>
        </w:rPr>
        <w:t xml:space="preserve">Sampling was performed at three junctions (Mobile Matt, </w:t>
      </w:r>
      <w:proofErr w:type="spellStart"/>
      <w:r w:rsidRPr="00EE62AF">
        <w:rPr>
          <w:rFonts w:ascii="Arial" w:hAnsi="Arial" w:cs="Arial"/>
          <w:sz w:val="22"/>
          <w:szCs w:val="22"/>
        </w:rPr>
        <w:t>Uqua</w:t>
      </w:r>
      <w:proofErr w:type="spellEnd"/>
      <w:r w:rsidRPr="00EE62AF">
        <w:rPr>
          <w:rFonts w:ascii="Arial" w:hAnsi="Arial" w:cs="Arial"/>
          <w:sz w:val="22"/>
          <w:szCs w:val="22"/>
        </w:rPr>
        <w:t xml:space="preserve"> junction, and Marina junction) using pre-weighed petri dishes for 15 minutes. After sampling, petri dishes were taken to Akwa Ibom State Ministry of Science and Technology Laboratory for analysis where the specimens were conserved in a fridge at 6 ºC until the chemical examination</w:t>
      </w:r>
      <w:r w:rsidRPr="00EE62AF">
        <w:rPr>
          <w:rFonts w:ascii="Arial" w:hAnsi="Arial" w:cs="Arial"/>
        </w:rPr>
        <w:t>.</w:t>
      </w:r>
    </w:p>
    <w:p w14:paraId="4F236F96" w14:textId="77777777" w:rsidR="00AA74E0" w:rsidRDefault="00AA74E0" w:rsidP="00EE62AF">
      <w:pPr>
        <w:pStyle w:val="Body"/>
        <w:spacing w:after="0"/>
        <w:rPr>
          <w:rFonts w:ascii="Arial" w:hAnsi="Arial" w:cs="Arial"/>
        </w:rPr>
      </w:pPr>
      <w:r w:rsidRPr="00FB3A86">
        <w:rPr>
          <w:rFonts w:ascii="Arial" w:hAnsi="Arial" w:cs="Arial"/>
        </w:rPr>
        <w:t xml:space="preserve">  </w:t>
      </w:r>
    </w:p>
    <w:p w14:paraId="1D7CA9A8" w14:textId="77777777" w:rsidR="00C846D9" w:rsidRPr="009E22B4" w:rsidRDefault="00C846D9" w:rsidP="00C846D9">
      <w:pPr>
        <w:pStyle w:val="Body"/>
        <w:spacing w:after="0"/>
        <w:rPr>
          <w:rFonts w:ascii="Arial" w:hAnsi="Arial" w:cs="Arial"/>
          <w:i/>
          <w:sz w:val="22"/>
          <w:szCs w:val="22"/>
        </w:rPr>
      </w:pPr>
      <w:r w:rsidRPr="009E22B4">
        <w:rPr>
          <w:rFonts w:ascii="Arial" w:hAnsi="Arial" w:cs="Arial"/>
          <w:b/>
          <w:sz w:val="22"/>
          <w:szCs w:val="22"/>
        </w:rPr>
        <w:t>2.3 Analysis of Heavy Metal</w:t>
      </w:r>
      <w:r w:rsidRPr="009E22B4">
        <w:rPr>
          <w:rFonts w:ascii="Arial" w:hAnsi="Arial" w:cs="Arial"/>
          <w:i/>
          <w:sz w:val="22"/>
          <w:szCs w:val="22"/>
        </w:rPr>
        <w:t>s</w:t>
      </w:r>
    </w:p>
    <w:p w14:paraId="5285558A" w14:textId="77777777" w:rsidR="00C846D9" w:rsidRPr="00C846D9" w:rsidRDefault="00C846D9" w:rsidP="00C846D9">
      <w:pPr>
        <w:pStyle w:val="Body"/>
        <w:spacing w:after="0"/>
        <w:rPr>
          <w:rFonts w:ascii="Arial" w:hAnsi="Arial" w:cs="Arial"/>
        </w:rPr>
      </w:pPr>
      <w:r w:rsidRPr="009E22B4">
        <w:rPr>
          <w:rFonts w:ascii="Arial" w:hAnsi="Arial" w:cs="Arial"/>
          <w:sz w:val="22"/>
          <w:szCs w:val="22"/>
        </w:rPr>
        <w:t>The American Society for Testing and Materials (ASTM, 2010) and American Public Health Association (APHA), 20</w:t>
      </w:r>
      <w:r w:rsidRPr="009E22B4">
        <w:rPr>
          <w:rFonts w:ascii="Arial" w:hAnsi="Arial" w:cs="Arial"/>
          <w:sz w:val="22"/>
          <w:szCs w:val="22"/>
          <w:vertAlign w:val="superscript"/>
        </w:rPr>
        <w:t>th</w:t>
      </w:r>
      <w:r w:rsidRPr="009E22B4">
        <w:rPr>
          <w:rFonts w:ascii="Arial" w:hAnsi="Arial" w:cs="Arial"/>
          <w:sz w:val="22"/>
          <w:szCs w:val="22"/>
        </w:rPr>
        <w:t xml:space="preserve"> Edition (2009) methods were employed in analyzing the samples</w:t>
      </w:r>
      <w:r w:rsidRPr="00C846D9">
        <w:rPr>
          <w:rFonts w:ascii="Arial" w:hAnsi="Arial" w:cs="Arial"/>
        </w:rPr>
        <w:t>.</w:t>
      </w:r>
    </w:p>
    <w:p w14:paraId="602F8239" w14:textId="77777777" w:rsidR="00505F06" w:rsidRDefault="00505F06" w:rsidP="00441B6F">
      <w:pPr>
        <w:pStyle w:val="Body"/>
        <w:spacing w:after="0"/>
        <w:rPr>
          <w:rFonts w:ascii="Arial" w:hAnsi="Arial" w:cs="Arial"/>
        </w:rPr>
      </w:pPr>
    </w:p>
    <w:p w14:paraId="19A39E8C" w14:textId="77777777" w:rsidR="00B24B8C" w:rsidRPr="009E22B4" w:rsidRDefault="00463B05" w:rsidP="00B24B8C">
      <w:pPr>
        <w:pStyle w:val="Body"/>
        <w:spacing w:after="0"/>
        <w:rPr>
          <w:rFonts w:ascii="Arial" w:hAnsi="Arial" w:cs="Arial"/>
          <w:b/>
          <w:sz w:val="22"/>
          <w:szCs w:val="22"/>
        </w:rPr>
      </w:pPr>
      <w:r w:rsidRPr="009E22B4">
        <w:rPr>
          <w:rFonts w:ascii="Arial" w:hAnsi="Arial" w:cs="Arial"/>
          <w:b/>
          <w:sz w:val="22"/>
          <w:szCs w:val="22"/>
        </w:rPr>
        <w:t xml:space="preserve">2.4 </w:t>
      </w:r>
      <w:r w:rsidR="00B24B8C" w:rsidRPr="009E22B4">
        <w:rPr>
          <w:rFonts w:ascii="Arial" w:hAnsi="Arial" w:cs="Arial"/>
          <w:b/>
          <w:sz w:val="22"/>
          <w:szCs w:val="22"/>
        </w:rPr>
        <w:t>Health Risk Assessment</w:t>
      </w:r>
    </w:p>
    <w:p w14:paraId="35063288" w14:textId="77777777" w:rsidR="00B24B8C" w:rsidRPr="00B24B8C" w:rsidRDefault="00B24B8C" w:rsidP="00B24B8C">
      <w:pPr>
        <w:pStyle w:val="Body"/>
        <w:rPr>
          <w:rFonts w:ascii="Arial" w:hAnsi="Arial" w:cs="Arial"/>
          <w:b/>
        </w:rPr>
      </w:pPr>
      <w:r w:rsidRPr="00B24B8C">
        <w:rPr>
          <w:rFonts w:ascii="Arial" w:hAnsi="Arial" w:cs="Arial"/>
          <w:b/>
        </w:rPr>
        <w:t>Heavy metal exposure from ingestion, inhalation, and the skin contact was utilized to fix the lifetime cancer risk and the non-carcinogenic health menace. The average daily dose (ADD) through eating (mg/</w:t>
      </w:r>
      <w:proofErr w:type="spellStart"/>
      <w:r w:rsidRPr="00B24B8C">
        <w:rPr>
          <w:rFonts w:ascii="Arial" w:hAnsi="Arial" w:cs="Arial"/>
          <w:b/>
        </w:rPr>
        <w:t>Kg.day</w:t>
      </w:r>
      <w:proofErr w:type="spellEnd"/>
      <w:r w:rsidRPr="00B24B8C">
        <w:rPr>
          <w:rFonts w:ascii="Arial" w:hAnsi="Arial" w:cs="Arial"/>
          <w:b/>
        </w:rPr>
        <w:t>) (Equation 1), exposure concentrations through breath (EC) µg/m</w:t>
      </w:r>
      <w:r w:rsidRPr="00B24B8C">
        <w:rPr>
          <w:rFonts w:ascii="Arial" w:hAnsi="Arial" w:cs="Arial"/>
          <w:b/>
          <w:vertAlign w:val="superscript"/>
        </w:rPr>
        <w:t>3</w:t>
      </w:r>
      <w:r w:rsidRPr="00B24B8C">
        <w:rPr>
          <w:rFonts w:ascii="Arial" w:hAnsi="Arial" w:cs="Arial"/>
          <w:b/>
        </w:rPr>
        <w:t xml:space="preserve"> (Equation 2), and dermal absorption dose (DAD) (mg/kg-day) (Equation 3) are the three ways that human exposure is assessed [21, 22].</w:t>
      </w:r>
    </w:p>
    <w:p w14:paraId="49CD64CC" w14:textId="77777777" w:rsidR="00B24B8C" w:rsidRPr="00B24B8C" w:rsidRDefault="009E22B4" w:rsidP="00B24B8C">
      <w:pPr>
        <w:pStyle w:val="Body"/>
        <w:spacing w:after="0"/>
        <w:rPr>
          <w:rFonts w:ascii="Arial" w:hAnsi="Arial" w:cs="Arial"/>
          <w:b/>
        </w:rPr>
      </w:pPr>
      <w:r>
        <w:rPr>
          <w:rFonts w:ascii="Arial" w:hAnsi="Arial" w:cs="Arial"/>
          <w:b/>
        </w:rPr>
        <w:t xml:space="preserve"> </w:t>
      </w:r>
      <w:r>
        <w:rPr>
          <w:rFonts w:ascii="Arial" w:hAnsi="Arial" w:cs="Arial"/>
          <w:b/>
        </w:rPr>
        <w:tab/>
      </w:r>
      <m:oMath>
        <m:r>
          <m:rPr>
            <m:sty m:val="bi"/>
          </m:rPr>
          <w:rPr>
            <w:rFonts w:ascii="Cambria Math" w:hAnsi="Cambria Math" w:cs="Arial"/>
          </w:rPr>
          <m:t>ADD=</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i</m:t>
                </m:r>
              </m:sub>
            </m:sSub>
            <m:r>
              <m:rPr>
                <m:sty m:val="bi"/>
              </m:rPr>
              <w:rPr>
                <w:rFonts w:ascii="Cambria Math" w:hAnsi="Cambria Math" w:cs="Arial"/>
              </w:rPr>
              <m:t>×IngR×EF×ED×</m:t>
            </m:r>
            <m:sSup>
              <m:sSupPr>
                <m:ctrlPr>
                  <w:rPr>
                    <w:rFonts w:ascii="Cambria Math" w:hAnsi="Cambria Math" w:cs="Arial"/>
                    <w:b/>
                    <w:i/>
                  </w:rPr>
                </m:ctrlPr>
              </m:sSupPr>
              <m:e>
                <m:r>
                  <m:rPr>
                    <m:sty m:val="bi"/>
                  </m:rPr>
                  <w:rPr>
                    <w:rFonts w:ascii="Cambria Math" w:hAnsi="Cambria Math" w:cs="Arial"/>
                  </w:rPr>
                  <m:t>10</m:t>
                </m:r>
              </m:e>
              <m:sup>
                <m:r>
                  <m:rPr>
                    <m:sty m:val="bi"/>
                  </m:rPr>
                  <w:rPr>
                    <w:rFonts w:ascii="Cambria Math" w:hAnsi="Cambria Math" w:cs="Arial"/>
                  </w:rPr>
                  <m:t>-6</m:t>
                </m:r>
              </m:sup>
            </m:sSup>
          </m:num>
          <m:den>
            <m:r>
              <m:rPr>
                <m:sty m:val="bi"/>
              </m:rPr>
              <w:rPr>
                <w:rFonts w:ascii="Cambria Math" w:hAnsi="Cambria Math" w:cs="Arial"/>
              </w:rPr>
              <m:t>BW×AT</m:t>
            </m:r>
          </m:den>
        </m:f>
      </m:oMath>
      <w:r w:rsidR="00B24B8C" w:rsidRPr="00B24B8C">
        <w:rPr>
          <w:rFonts w:ascii="Arial" w:hAnsi="Arial" w:cs="Arial"/>
          <w:b/>
        </w:rPr>
        <w:tab/>
      </w:r>
      <w:r w:rsidR="00B24B8C" w:rsidRPr="00B24B8C">
        <w:rPr>
          <w:rFonts w:ascii="Arial" w:hAnsi="Arial" w:cs="Arial"/>
          <w:b/>
        </w:rPr>
        <w:tab/>
      </w:r>
      <w:r w:rsidR="00B24B8C" w:rsidRPr="00B24B8C">
        <w:rPr>
          <w:rFonts w:ascii="Arial" w:hAnsi="Arial" w:cs="Arial"/>
          <w:b/>
        </w:rPr>
        <w:tab/>
        <w:t>(1)</w:t>
      </w:r>
    </w:p>
    <w:p w14:paraId="67A0B455" w14:textId="77777777" w:rsidR="00B24B8C" w:rsidRPr="00B24B8C" w:rsidRDefault="00B24B8C" w:rsidP="009E22B4">
      <w:pPr>
        <w:pStyle w:val="Body"/>
        <w:spacing w:after="0"/>
        <w:ind w:firstLine="720"/>
        <w:rPr>
          <w:rFonts w:ascii="Arial" w:hAnsi="Arial" w:cs="Arial"/>
          <w:b/>
        </w:rPr>
      </w:pPr>
      <m:oMath>
        <m:r>
          <m:rPr>
            <m:sty m:val="bi"/>
          </m:rPr>
          <w:rPr>
            <w:rFonts w:ascii="Cambria Math" w:hAnsi="Cambria Math" w:cs="Arial"/>
          </w:rPr>
          <m:t>EC=</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i</m:t>
                </m:r>
              </m:sub>
            </m:sSub>
            <m:r>
              <m:rPr>
                <m:sty m:val="bi"/>
              </m:rPr>
              <w:rPr>
                <w:rFonts w:ascii="Cambria Math" w:hAnsi="Cambria Math" w:cs="Arial"/>
              </w:rPr>
              <m:t>×ET×EF×ED</m:t>
            </m:r>
          </m:num>
          <m:den>
            <m:sSub>
              <m:sSubPr>
                <m:ctrlPr>
                  <w:rPr>
                    <w:rFonts w:ascii="Cambria Math" w:hAnsi="Cambria Math" w:cs="Arial"/>
                    <w:b/>
                    <w:i/>
                  </w:rPr>
                </m:ctrlPr>
              </m:sSubPr>
              <m:e>
                <m:r>
                  <m:rPr>
                    <m:sty m:val="bi"/>
                  </m:rPr>
                  <w:rPr>
                    <w:rFonts w:ascii="Cambria Math" w:hAnsi="Cambria Math" w:cs="Arial"/>
                  </w:rPr>
                  <m:t>AT</m:t>
                </m:r>
              </m:e>
              <m:sub>
                <m:r>
                  <m:rPr>
                    <m:sty m:val="bi"/>
                  </m:rPr>
                  <w:rPr>
                    <w:rFonts w:ascii="Cambria Math" w:hAnsi="Cambria Math" w:cs="Arial"/>
                  </w:rPr>
                  <m:t>n</m:t>
                </m:r>
              </m:sub>
            </m:sSub>
          </m:den>
        </m:f>
      </m:oMath>
      <w:r w:rsidRPr="00B24B8C">
        <w:rPr>
          <w:rFonts w:ascii="Arial" w:hAnsi="Arial" w:cs="Arial"/>
          <w:b/>
        </w:rPr>
        <w:tab/>
      </w:r>
      <w:r w:rsidRPr="00B24B8C">
        <w:rPr>
          <w:rFonts w:ascii="Arial" w:hAnsi="Arial" w:cs="Arial"/>
          <w:b/>
        </w:rPr>
        <w:tab/>
      </w:r>
      <w:r w:rsidRPr="00B24B8C">
        <w:rPr>
          <w:rFonts w:ascii="Arial" w:hAnsi="Arial" w:cs="Arial"/>
          <w:b/>
        </w:rPr>
        <w:tab/>
      </w:r>
      <w:r w:rsidRPr="00B24B8C">
        <w:rPr>
          <w:rFonts w:ascii="Arial" w:hAnsi="Arial" w:cs="Arial"/>
          <w:b/>
        </w:rPr>
        <w:tab/>
        <w:t>(2)</w:t>
      </w:r>
    </w:p>
    <w:p w14:paraId="1B3312FF" w14:textId="77777777" w:rsidR="00B24B8C" w:rsidRPr="00B24B8C" w:rsidRDefault="00B24B8C" w:rsidP="00AB132B">
      <w:pPr>
        <w:pStyle w:val="Body"/>
        <w:spacing w:after="0"/>
        <w:ind w:firstLine="720"/>
        <w:rPr>
          <w:rFonts w:ascii="Arial" w:hAnsi="Arial" w:cs="Arial"/>
          <w:b/>
        </w:rPr>
      </w:pPr>
      <m:oMath>
        <m:r>
          <m:rPr>
            <m:sty m:val="bi"/>
          </m:rPr>
          <w:rPr>
            <w:rFonts w:ascii="Cambria Math" w:hAnsi="Cambria Math" w:cs="Arial"/>
          </w:rPr>
          <m:t>DAD=</m:t>
        </m:r>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C</m:t>
                </m:r>
              </m:e>
              <m:sub>
                <m:r>
                  <m:rPr>
                    <m:sty m:val="bi"/>
                  </m:rPr>
                  <w:rPr>
                    <w:rFonts w:ascii="Cambria Math" w:hAnsi="Cambria Math" w:cs="Arial"/>
                  </w:rPr>
                  <m:t>i</m:t>
                </m:r>
              </m:sub>
            </m:sSub>
            <m:r>
              <m:rPr>
                <m:sty m:val="bi"/>
              </m:rPr>
              <w:rPr>
                <w:rFonts w:ascii="Cambria Math" w:hAnsi="Cambria Math" w:cs="Arial"/>
              </w:rPr>
              <m:t>×SA×AF×ABF×EF×ED×</m:t>
            </m:r>
            <m:sSup>
              <m:sSupPr>
                <m:ctrlPr>
                  <w:rPr>
                    <w:rFonts w:ascii="Cambria Math" w:hAnsi="Cambria Math" w:cs="Arial"/>
                    <w:b/>
                    <w:i/>
                  </w:rPr>
                </m:ctrlPr>
              </m:sSupPr>
              <m:e>
                <m:r>
                  <m:rPr>
                    <m:sty m:val="bi"/>
                  </m:rPr>
                  <w:rPr>
                    <w:rFonts w:ascii="Cambria Math" w:hAnsi="Cambria Math" w:cs="Arial"/>
                  </w:rPr>
                  <m:t>10</m:t>
                </m:r>
              </m:e>
              <m:sup>
                <m:r>
                  <m:rPr>
                    <m:sty m:val="bi"/>
                  </m:rPr>
                  <w:rPr>
                    <w:rFonts w:ascii="Cambria Math" w:hAnsi="Cambria Math" w:cs="Arial"/>
                  </w:rPr>
                  <m:t>-6</m:t>
                </m:r>
              </m:sup>
            </m:sSup>
          </m:num>
          <m:den>
            <m:r>
              <m:rPr>
                <m:sty m:val="bi"/>
              </m:rPr>
              <w:rPr>
                <w:rFonts w:ascii="Cambria Math" w:hAnsi="Cambria Math" w:cs="Arial"/>
              </w:rPr>
              <m:t>BW×AT</m:t>
            </m:r>
          </m:den>
        </m:f>
      </m:oMath>
      <w:r w:rsidRPr="00B24B8C">
        <w:rPr>
          <w:rFonts w:ascii="Arial" w:hAnsi="Arial" w:cs="Arial"/>
          <w:b/>
        </w:rPr>
        <w:tab/>
      </w:r>
      <w:r w:rsidRPr="00B24B8C">
        <w:rPr>
          <w:rFonts w:ascii="Arial" w:hAnsi="Arial" w:cs="Arial"/>
          <w:b/>
        </w:rPr>
        <w:tab/>
      </w:r>
      <w:r w:rsidR="00AB132B">
        <w:rPr>
          <w:rFonts w:ascii="Arial" w:hAnsi="Arial" w:cs="Arial"/>
          <w:b/>
        </w:rPr>
        <w:tab/>
      </w:r>
      <w:r w:rsidRPr="00B24B8C">
        <w:rPr>
          <w:rFonts w:ascii="Arial" w:hAnsi="Arial" w:cs="Arial"/>
          <w:b/>
        </w:rPr>
        <w:t>(3)</w:t>
      </w:r>
    </w:p>
    <w:p w14:paraId="116C8C9E" w14:textId="77777777" w:rsidR="00B24B8C" w:rsidRPr="00B24B8C" w:rsidRDefault="00B24B8C" w:rsidP="00B24B8C">
      <w:pPr>
        <w:pStyle w:val="Body"/>
        <w:spacing w:after="0"/>
        <w:rPr>
          <w:rFonts w:ascii="Arial" w:hAnsi="Arial" w:cs="Arial"/>
          <w:b/>
        </w:rPr>
      </w:pPr>
      <w:r w:rsidRPr="00B24B8C">
        <w:rPr>
          <w:rFonts w:ascii="Arial" w:hAnsi="Arial" w:cs="Arial"/>
          <w:b/>
        </w:rPr>
        <w:t xml:space="preserve">Table 1 presents the descriptions and the constant parameters involved in </w:t>
      </w:r>
      <w:proofErr w:type="spellStart"/>
      <w:r w:rsidRPr="00B24B8C">
        <w:rPr>
          <w:rFonts w:ascii="Arial" w:hAnsi="Arial" w:cs="Arial"/>
          <w:b/>
        </w:rPr>
        <w:t>Eqs</w:t>
      </w:r>
      <w:proofErr w:type="spellEnd"/>
      <w:r w:rsidRPr="00B24B8C">
        <w:rPr>
          <w:rFonts w:ascii="Arial" w:hAnsi="Arial" w:cs="Arial"/>
          <w:b/>
        </w:rPr>
        <w:t>. (1, 2), and (3).</w:t>
      </w:r>
    </w:p>
    <w:p w14:paraId="63C28E45" w14:textId="77777777" w:rsidR="00182D04" w:rsidRDefault="00182D04" w:rsidP="009B79A5">
      <w:pPr>
        <w:pStyle w:val="Body"/>
        <w:spacing w:after="0"/>
        <w:jc w:val="center"/>
        <w:rPr>
          <w:rFonts w:ascii="Arial" w:hAnsi="Arial" w:cs="Arial"/>
          <w:b/>
          <w:sz w:val="22"/>
          <w:szCs w:val="22"/>
        </w:rPr>
      </w:pPr>
    </w:p>
    <w:p w14:paraId="0C5B43EC" w14:textId="30F93713" w:rsidR="00B24B8C" w:rsidRDefault="009B79A5" w:rsidP="009B79A5">
      <w:pPr>
        <w:pStyle w:val="Body"/>
        <w:spacing w:after="0"/>
        <w:jc w:val="center"/>
        <w:rPr>
          <w:rFonts w:ascii="Arial" w:hAnsi="Arial" w:cs="Arial"/>
          <w:b/>
          <w:sz w:val="22"/>
          <w:szCs w:val="22"/>
        </w:rPr>
      </w:pPr>
      <w:r w:rsidRPr="00813B70">
        <w:rPr>
          <w:rFonts w:ascii="Arial" w:hAnsi="Arial" w:cs="Arial"/>
          <w:b/>
          <w:sz w:val="22"/>
          <w:szCs w:val="22"/>
        </w:rPr>
        <w:lastRenderedPageBreak/>
        <w:t>Table 1: Parameters values and definition applied for carcinogenic (CRs) and non-carcinogenic hazard (non-CRs) calculation</w:t>
      </w:r>
    </w:p>
    <w:tbl>
      <w:tblPr>
        <w:tblStyle w:val="TableGrid"/>
        <w:tblW w:w="9000" w:type="dxa"/>
        <w:tblLayout w:type="fixed"/>
        <w:tblLook w:val="04A0" w:firstRow="1" w:lastRow="0" w:firstColumn="1" w:lastColumn="0" w:noHBand="0" w:noVBand="1"/>
      </w:tblPr>
      <w:tblGrid>
        <w:gridCol w:w="2877"/>
        <w:gridCol w:w="2161"/>
        <w:gridCol w:w="2071"/>
        <w:gridCol w:w="1891"/>
      </w:tblGrid>
      <w:tr w:rsidR="00813B70" w:rsidRPr="008F2AAD" w14:paraId="24546196" w14:textId="77777777" w:rsidTr="00813B70">
        <w:tc>
          <w:tcPr>
            <w:tcW w:w="2875" w:type="dxa"/>
            <w:vMerge w:val="restart"/>
            <w:tcBorders>
              <w:top w:val="single" w:sz="4" w:space="0" w:color="auto"/>
              <w:left w:val="single" w:sz="4" w:space="0" w:color="auto"/>
              <w:bottom w:val="single" w:sz="4" w:space="0" w:color="auto"/>
              <w:right w:val="single" w:sz="4" w:space="0" w:color="auto"/>
            </w:tcBorders>
            <w:hideMark/>
          </w:tcPr>
          <w:p w14:paraId="244962E4" w14:textId="77777777" w:rsidR="00813B70" w:rsidRPr="008F2AAD" w:rsidRDefault="00813B70" w:rsidP="00813B70">
            <w:pPr>
              <w:pStyle w:val="Body"/>
              <w:rPr>
                <w:rFonts w:ascii="Arial" w:hAnsi="Arial" w:cs="Arial"/>
              </w:rPr>
            </w:pPr>
            <w:r w:rsidRPr="008F2AAD">
              <w:rPr>
                <w:rFonts w:ascii="Arial" w:hAnsi="Arial" w:cs="Arial"/>
              </w:rPr>
              <w:t>Factors/</w:t>
            </w:r>
          </w:p>
          <w:p w14:paraId="2E639A79" w14:textId="77777777" w:rsidR="00813B70" w:rsidRPr="008F2AAD" w:rsidRDefault="00813B70" w:rsidP="00813B70">
            <w:pPr>
              <w:pStyle w:val="Body"/>
              <w:rPr>
                <w:rFonts w:ascii="Arial" w:hAnsi="Arial" w:cs="Arial"/>
              </w:rPr>
            </w:pPr>
            <w:r w:rsidRPr="008F2AAD">
              <w:rPr>
                <w:rFonts w:ascii="Arial" w:hAnsi="Arial" w:cs="Arial"/>
              </w:rPr>
              <w:t>Definitions</w:t>
            </w:r>
          </w:p>
        </w:tc>
        <w:tc>
          <w:tcPr>
            <w:tcW w:w="4230" w:type="dxa"/>
            <w:gridSpan w:val="2"/>
            <w:tcBorders>
              <w:top w:val="single" w:sz="4" w:space="0" w:color="auto"/>
              <w:left w:val="single" w:sz="4" w:space="0" w:color="auto"/>
              <w:bottom w:val="single" w:sz="4" w:space="0" w:color="auto"/>
              <w:right w:val="single" w:sz="4" w:space="0" w:color="auto"/>
            </w:tcBorders>
            <w:hideMark/>
          </w:tcPr>
          <w:p w14:paraId="3E29DF09" w14:textId="77777777" w:rsidR="00813B70" w:rsidRPr="008F2AAD" w:rsidRDefault="00813B70" w:rsidP="00813B70">
            <w:pPr>
              <w:pStyle w:val="Body"/>
              <w:rPr>
                <w:rFonts w:ascii="Arial" w:hAnsi="Arial" w:cs="Arial"/>
              </w:rPr>
            </w:pPr>
            <w:r w:rsidRPr="008F2AAD">
              <w:rPr>
                <w:rFonts w:ascii="Arial" w:hAnsi="Arial" w:cs="Arial"/>
              </w:rPr>
              <w:t>Values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675E3642" w14:textId="77777777" w:rsidR="00813B70" w:rsidRPr="008F2AAD" w:rsidRDefault="00813B70" w:rsidP="00813B70">
            <w:pPr>
              <w:pStyle w:val="Body"/>
              <w:rPr>
                <w:rFonts w:ascii="Arial" w:hAnsi="Arial" w:cs="Arial"/>
              </w:rPr>
            </w:pPr>
            <w:r w:rsidRPr="008F2AAD">
              <w:rPr>
                <w:rFonts w:ascii="Arial" w:hAnsi="Arial" w:cs="Arial"/>
              </w:rPr>
              <w:t>Sources</w:t>
            </w:r>
          </w:p>
        </w:tc>
      </w:tr>
      <w:tr w:rsidR="00813B70" w:rsidRPr="008F2AAD" w14:paraId="32B2914A" w14:textId="77777777" w:rsidTr="00813B70">
        <w:tc>
          <w:tcPr>
            <w:tcW w:w="2875" w:type="dxa"/>
            <w:vMerge/>
            <w:tcBorders>
              <w:top w:val="single" w:sz="4" w:space="0" w:color="auto"/>
              <w:left w:val="single" w:sz="4" w:space="0" w:color="auto"/>
              <w:bottom w:val="single" w:sz="4" w:space="0" w:color="auto"/>
              <w:right w:val="single" w:sz="4" w:space="0" w:color="auto"/>
            </w:tcBorders>
            <w:vAlign w:val="center"/>
            <w:hideMark/>
          </w:tcPr>
          <w:p w14:paraId="543088A3" w14:textId="77777777" w:rsidR="00813B70" w:rsidRPr="008F2AAD" w:rsidRDefault="00813B70" w:rsidP="00813B70">
            <w:pPr>
              <w:pStyle w:val="Body"/>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64F6CA8D" w14:textId="77777777" w:rsidR="00813B70" w:rsidRPr="008F2AAD" w:rsidRDefault="00813B70" w:rsidP="00813B70">
            <w:pPr>
              <w:pStyle w:val="Body"/>
              <w:rPr>
                <w:rFonts w:ascii="Arial" w:hAnsi="Arial" w:cs="Arial"/>
              </w:rPr>
            </w:pPr>
            <w:r w:rsidRPr="008F2AAD">
              <w:rPr>
                <w:rFonts w:ascii="Arial" w:hAnsi="Arial" w:cs="Arial"/>
              </w:rPr>
              <w:t xml:space="preserve">Children </w:t>
            </w:r>
          </w:p>
        </w:tc>
        <w:tc>
          <w:tcPr>
            <w:tcW w:w="2070" w:type="dxa"/>
            <w:tcBorders>
              <w:top w:val="single" w:sz="4" w:space="0" w:color="auto"/>
              <w:left w:val="single" w:sz="4" w:space="0" w:color="auto"/>
              <w:bottom w:val="single" w:sz="4" w:space="0" w:color="auto"/>
              <w:right w:val="single" w:sz="4" w:space="0" w:color="auto"/>
            </w:tcBorders>
            <w:hideMark/>
          </w:tcPr>
          <w:p w14:paraId="6AC56E4B" w14:textId="77777777" w:rsidR="00813B70" w:rsidRPr="008F2AAD" w:rsidRDefault="00813B70" w:rsidP="00813B70">
            <w:pPr>
              <w:pStyle w:val="Body"/>
              <w:rPr>
                <w:rFonts w:ascii="Arial" w:hAnsi="Arial" w:cs="Arial"/>
              </w:rPr>
            </w:pPr>
            <w:r w:rsidRPr="008F2AAD">
              <w:rPr>
                <w:rFonts w:ascii="Arial" w:hAnsi="Arial" w:cs="Arial"/>
              </w:rPr>
              <w:t>Adults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332522BE" w14:textId="77777777" w:rsidR="00813B70" w:rsidRPr="008F2AAD" w:rsidRDefault="00813B70" w:rsidP="00813B70">
            <w:pPr>
              <w:pStyle w:val="Body"/>
              <w:rPr>
                <w:rFonts w:ascii="Arial" w:hAnsi="Arial" w:cs="Arial"/>
              </w:rPr>
            </w:pPr>
          </w:p>
        </w:tc>
      </w:tr>
      <w:tr w:rsidR="00813B70" w:rsidRPr="008F2AAD" w14:paraId="0BEE1C0A"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077C9B8D" w14:textId="77777777" w:rsidR="00813B70" w:rsidRPr="008F2AAD" w:rsidRDefault="00813B70" w:rsidP="00813B70">
            <w:pPr>
              <w:pStyle w:val="Body"/>
              <w:rPr>
                <w:rFonts w:ascii="Arial" w:hAnsi="Arial" w:cs="Arial"/>
              </w:rPr>
            </w:pPr>
            <w:r w:rsidRPr="008F2AAD">
              <w:rPr>
                <w:rFonts w:ascii="Arial" w:hAnsi="Arial" w:cs="Arial"/>
              </w:rPr>
              <w:t>Ci = The average concentration of HMs ((µg/m</w:t>
            </w:r>
            <w:r w:rsidRPr="008F2AAD">
              <w:rPr>
                <w:rFonts w:ascii="Arial" w:hAnsi="Arial" w:cs="Arial"/>
                <w:vertAlign w:val="superscript"/>
              </w:rPr>
              <w:t>3</w:t>
            </w:r>
            <w:r w:rsidRPr="008F2AAD">
              <w:rPr>
                <w:rFonts w:ascii="Arial" w:hAnsi="Arial" w:cs="Arial"/>
              </w:rPr>
              <w:t>) for EC, (mg/kg) for DAD and ADD)</w:t>
            </w:r>
          </w:p>
        </w:tc>
        <w:tc>
          <w:tcPr>
            <w:tcW w:w="2160" w:type="dxa"/>
            <w:tcBorders>
              <w:top w:val="single" w:sz="4" w:space="0" w:color="auto"/>
              <w:left w:val="single" w:sz="4" w:space="0" w:color="auto"/>
              <w:bottom w:val="single" w:sz="4" w:space="0" w:color="auto"/>
              <w:right w:val="single" w:sz="4" w:space="0" w:color="auto"/>
            </w:tcBorders>
            <w:hideMark/>
          </w:tcPr>
          <w:p w14:paraId="526837A1" w14:textId="77777777" w:rsidR="00813B70" w:rsidRPr="008F2AAD" w:rsidRDefault="00813B70" w:rsidP="00813B70">
            <w:pPr>
              <w:pStyle w:val="Body"/>
              <w:rPr>
                <w:rFonts w:ascii="Arial" w:hAnsi="Arial" w:cs="Arial"/>
              </w:rPr>
            </w:pPr>
            <w:r w:rsidRPr="008F2AAD">
              <w:rPr>
                <w:rFonts w:ascii="Arial" w:hAnsi="Arial" w:cs="Arial"/>
              </w:rPr>
              <w:t>Adopted from Previous study</w:t>
            </w:r>
          </w:p>
        </w:tc>
        <w:tc>
          <w:tcPr>
            <w:tcW w:w="2070" w:type="dxa"/>
            <w:tcBorders>
              <w:top w:val="single" w:sz="4" w:space="0" w:color="auto"/>
              <w:left w:val="single" w:sz="4" w:space="0" w:color="auto"/>
              <w:bottom w:val="single" w:sz="4" w:space="0" w:color="auto"/>
              <w:right w:val="single" w:sz="4" w:space="0" w:color="auto"/>
            </w:tcBorders>
            <w:hideMark/>
          </w:tcPr>
          <w:p w14:paraId="032AF94D" w14:textId="77777777" w:rsidR="00813B70" w:rsidRPr="008F2AAD" w:rsidRDefault="00813B70" w:rsidP="00813B70">
            <w:pPr>
              <w:pStyle w:val="Body"/>
              <w:rPr>
                <w:rFonts w:ascii="Arial" w:hAnsi="Arial" w:cs="Arial"/>
              </w:rPr>
            </w:pPr>
            <w:r w:rsidRPr="008F2AAD">
              <w:rPr>
                <w:rFonts w:ascii="Arial" w:hAnsi="Arial" w:cs="Arial"/>
              </w:rPr>
              <w:t>Adopted from Previous s</w:t>
            </w:r>
          </w:p>
        </w:tc>
        <w:tc>
          <w:tcPr>
            <w:tcW w:w="1890" w:type="dxa"/>
            <w:tcBorders>
              <w:top w:val="single" w:sz="4" w:space="0" w:color="auto"/>
              <w:left w:val="single" w:sz="4" w:space="0" w:color="auto"/>
              <w:bottom w:val="single" w:sz="4" w:space="0" w:color="auto"/>
              <w:right w:val="single" w:sz="4" w:space="0" w:color="auto"/>
            </w:tcBorders>
          </w:tcPr>
          <w:p w14:paraId="22AAC256" w14:textId="77777777" w:rsidR="00813B70" w:rsidRPr="008F2AAD" w:rsidRDefault="00813B70" w:rsidP="00813B70">
            <w:pPr>
              <w:pStyle w:val="Body"/>
              <w:rPr>
                <w:rFonts w:ascii="Arial" w:hAnsi="Arial" w:cs="Arial"/>
              </w:rPr>
            </w:pPr>
          </w:p>
        </w:tc>
      </w:tr>
      <w:tr w:rsidR="00813B70" w:rsidRPr="008F2AAD" w14:paraId="794C4C80" w14:textId="77777777" w:rsidTr="00813B70">
        <w:trPr>
          <w:trHeight w:val="665"/>
        </w:trPr>
        <w:tc>
          <w:tcPr>
            <w:tcW w:w="2875" w:type="dxa"/>
            <w:tcBorders>
              <w:top w:val="single" w:sz="4" w:space="0" w:color="auto"/>
              <w:left w:val="single" w:sz="4" w:space="0" w:color="auto"/>
              <w:bottom w:val="single" w:sz="4" w:space="0" w:color="auto"/>
              <w:right w:val="single" w:sz="4" w:space="0" w:color="auto"/>
            </w:tcBorders>
            <w:hideMark/>
          </w:tcPr>
          <w:p w14:paraId="48B657FD" w14:textId="77777777" w:rsidR="00813B70" w:rsidRPr="008F2AAD" w:rsidRDefault="00813B70" w:rsidP="00813B70">
            <w:pPr>
              <w:pStyle w:val="Body"/>
              <w:rPr>
                <w:rFonts w:ascii="Arial" w:hAnsi="Arial" w:cs="Arial"/>
              </w:rPr>
            </w:pPr>
            <w:proofErr w:type="spellStart"/>
            <w:r w:rsidRPr="008F2AAD">
              <w:rPr>
                <w:rFonts w:ascii="Arial" w:hAnsi="Arial" w:cs="Arial"/>
              </w:rPr>
              <w:t>IngR</w:t>
            </w:r>
            <w:proofErr w:type="spellEnd"/>
            <w:r w:rsidRPr="008F2AAD">
              <w:rPr>
                <w:rFonts w:ascii="Arial" w:hAnsi="Arial" w:cs="Arial"/>
              </w:rPr>
              <w:t xml:space="preserve"> =  Ingestion rate (mg/day)</w:t>
            </w:r>
          </w:p>
        </w:tc>
        <w:tc>
          <w:tcPr>
            <w:tcW w:w="2160" w:type="dxa"/>
            <w:tcBorders>
              <w:top w:val="single" w:sz="4" w:space="0" w:color="auto"/>
              <w:left w:val="single" w:sz="4" w:space="0" w:color="auto"/>
              <w:bottom w:val="single" w:sz="4" w:space="0" w:color="auto"/>
              <w:right w:val="single" w:sz="4" w:space="0" w:color="auto"/>
            </w:tcBorders>
            <w:hideMark/>
          </w:tcPr>
          <w:p w14:paraId="165A7322" w14:textId="77777777" w:rsidR="00813B70" w:rsidRPr="008F2AAD" w:rsidRDefault="00813B70" w:rsidP="00813B70">
            <w:pPr>
              <w:pStyle w:val="Body"/>
              <w:rPr>
                <w:rFonts w:ascii="Arial" w:hAnsi="Arial" w:cs="Arial"/>
              </w:rPr>
            </w:pPr>
            <w:r w:rsidRPr="008F2AAD">
              <w:rPr>
                <w:rFonts w:ascii="Arial" w:hAnsi="Arial" w:cs="Arial"/>
              </w:rPr>
              <w:t>200</w:t>
            </w:r>
          </w:p>
        </w:tc>
        <w:tc>
          <w:tcPr>
            <w:tcW w:w="2070" w:type="dxa"/>
            <w:tcBorders>
              <w:top w:val="single" w:sz="4" w:space="0" w:color="auto"/>
              <w:left w:val="single" w:sz="4" w:space="0" w:color="auto"/>
              <w:bottom w:val="single" w:sz="4" w:space="0" w:color="auto"/>
              <w:right w:val="single" w:sz="4" w:space="0" w:color="auto"/>
            </w:tcBorders>
            <w:hideMark/>
          </w:tcPr>
          <w:p w14:paraId="26FF9A3F" w14:textId="77777777" w:rsidR="00813B70" w:rsidRPr="008F2AAD" w:rsidRDefault="00813B70" w:rsidP="00813B70">
            <w:pPr>
              <w:pStyle w:val="Body"/>
              <w:rPr>
                <w:rFonts w:ascii="Arial" w:hAnsi="Arial" w:cs="Arial"/>
              </w:rPr>
            </w:pPr>
            <w:r w:rsidRPr="008F2AAD">
              <w:rPr>
                <w:rFonts w:ascii="Arial" w:hAnsi="Arial" w:cs="Arial"/>
              </w:rPr>
              <w:t>100</w:t>
            </w:r>
          </w:p>
        </w:tc>
        <w:tc>
          <w:tcPr>
            <w:tcW w:w="1890" w:type="dxa"/>
            <w:tcBorders>
              <w:top w:val="single" w:sz="4" w:space="0" w:color="auto"/>
              <w:left w:val="single" w:sz="4" w:space="0" w:color="auto"/>
              <w:bottom w:val="single" w:sz="4" w:space="0" w:color="auto"/>
              <w:right w:val="single" w:sz="4" w:space="0" w:color="auto"/>
            </w:tcBorders>
            <w:hideMark/>
          </w:tcPr>
          <w:p w14:paraId="36CD33E3" w14:textId="77777777" w:rsidR="00813B70" w:rsidRPr="008F2AAD" w:rsidRDefault="00813B70" w:rsidP="00813B70">
            <w:pPr>
              <w:pStyle w:val="Body"/>
              <w:rPr>
                <w:rFonts w:ascii="Arial" w:hAnsi="Arial" w:cs="Arial"/>
              </w:rPr>
            </w:pPr>
            <w:r w:rsidRPr="008F2AAD">
              <w:rPr>
                <w:rFonts w:ascii="Arial" w:hAnsi="Arial" w:cs="Arial"/>
              </w:rPr>
              <w:t>[23]</w:t>
            </w:r>
          </w:p>
        </w:tc>
      </w:tr>
      <w:tr w:rsidR="00813B70" w:rsidRPr="008F2AAD" w14:paraId="41DC1E26"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7F1FBDD0" w14:textId="77777777" w:rsidR="00813B70" w:rsidRPr="008F2AAD" w:rsidRDefault="00813B70" w:rsidP="00813B70">
            <w:pPr>
              <w:pStyle w:val="Body"/>
              <w:rPr>
                <w:rFonts w:ascii="Arial" w:hAnsi="Arial" w:cs="Arial"/>
              </w:rPr>
            </w:pPr>
            <w:r w:rsidRPr="008F2AAD">
              <w:rPr>
                <w:rFonts w:ascii="Arial" w:hAnsi="Arial" w:cs="Arial"/>
              </w:rPr>
              <w:t>EF = Exposure frequency (days/yr)</w:t>
            </w:r>
          </w:p>
        </w:tc>
        <w:tc>
          <w:tcPr>
            <w:tcW w:w="2160" w:type="dxa"/>
            <w:tcBorders>
              <w:top w:val="single" w:sz="4" w:space="0" w:color="auto"/>
              <w:left w:val="single" w:sz="4" w:space="0" w:color="auto"/>
              <w:bottom w:val="single" w:sz="4" w:space="0" w:color="auto"/>
              <w:right w:val="single" w:sz="4" w:space="0" w:color="auto"/>
            </w:tcBorders>
            <w:hideMark/>
          </w:tcPr>
          <w:p w14:paraId="7FC1C361" w14:textId="77777777" w:rsidR="00813B70" w:rsidRPr="008F2AAD" w:rsidRDefault="00813B70" w:rsidP="00813B70">
            <w:pPr>
              <w:pStyle w:val="Body"/>
              <w:rPr>
                <w:rFonts w:ascii="Arial" w:hAnsi="Arial" w:cs="Arial"/>
              </w:rPr>
            </w:pPr>
            <w:r w:rsidRPr="008F2AAD">
              <w:rPr>
                <w:rFonts w:ascii="Arial" w:hAnsi="Arial" w:cs="Arial"/>
              </w:rPr>
              <w:t>180</w:t>
            </w:r>
          </w:p>
        </w:tc>
        <w:tc>
          <w:tcPr>
            <w:tcW w:w="2070" w:type="dxa"/>
            <w:tcBorders>
              <w:top w:val="single" w:sz="4" w:space="0" w:color="auto"/>
              <w:left w:val="single" w:sz="4" w:space="0" w:color="auto"/>
              <w:bottom w:val="single" w:sz="4" w:space="0" w:color="auto"/>
              <w:right w:val="single" w:sz="4" w:space="0" w:color="auto"/>
            </w:tcBorders>
            <w:hideMark/>
          </w:tcPr>
          <w:p w14:paraId="477152F4" w14:textId="77777777" w:rsidR="00813B70" w:rsidRPr="008F2AAD" w:rsidRDefault="00813B70" w:rsidP="00813B70">
            <w:pPr>
              <w:pStyle w:val="Body"/>
              <w:rPr>
                <w:rFonts w:ascii="Arial" w:hAnsi="Arial" w:cs="Arial"/>
              </w:rPr>
            </w:pPr>
            <w:r w:rsidRPr="008F2AAD">
              <w:rPr>
                <w:rFonts w:ascii="Arial" w:hAnsi="Arial" w:cs="Arial"/>
              </w:rPr>
              <w:t>180</w:t>
            </w:r>
          </w:p>
        </w:tc>
        <w:tc>
          <w:tcPr>
            <w:tcW w:w="1890" w:type="dxa"/>
            <w:tcBorders>
              <w:top w:val="single" w:sz="4" w:space="0" w:color="auto"/>
              <w:left w:val="single" w:sz="4" w:space="0" w:color="auto"/>
              <w:bottom w:val="single" w:sz="4" w:space="0" w:color="auto"/>
              <w:right w:val="single" w:sz="4" w:space="0" w:color="auto"/>
            </w:tcBorders>
            <w:hideMark/>
          </w:tcPr>
          <w:p w14:paraId="61883813" w14:textId="77777777" w:rsidR="00813B70" w:rsidRPr="008F2AAD" w:rsidRDefault="00813B70" w:rsidP="00813B70">
            <w:pPr>
              <w:pStyle w:val="Body"/>
              <w:rPr>
                <w:rFonts w:ascii="Arial" w:hAnsi="Arial" w:cs="Arial"/>
              </w:rPr>
            </w:pPr>
            <w:r w:rsidRPr="008F2AAD">
              <w:rPr>
                <w:rFonts w:ascii="Arial" w:hAnsi="Arial" w:cs="Arial"/>
              </w:rPr>
              <w:t>[22]</w:t>
            </w:r>
          </w:p>
        </w:tc>
      </w:tr>
      <w:tr w:rsidR="00813B70" w:rsidRPr="008F2AAD" w14:paraId="388F1FAC"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347D6B33" w14:textId="77777777" w:rsidR="00813B70" w:rsidRPr="008F2AAD" w:rsidRDefault="00813B70" w:rsidP="00813B70">
            <w:pPr>
              <w:pStyle w:val="Body"/>
              <w:rPr>
                <w:rFonts w:ascii="Arial" w:hAnsi="Arial" w:cs="Arial"/>
              </w:rPr>
            </w:pPr>
            <w:r w:rsidRPr="008F2AAD">
              <w:rPr>
                <w:rFonts w:ascii="Arial" w:hAnsi="Arial" w:cs="Arial"/>
              </w:rPr>
              <w:t>ED = Exposure period (Yrs)</w:t>
            </w:r>
          </w:p>
        </w:tc>
        <w:tc>
          <w:tcPr>
            <w:tcW w:w="2160" w:type="dxa"/>
            <w:tcBorders>
              <w:top w:val="single" w:sz="4" w:space="0" w:color="auto"/>
              <w:left w:val="single" w:sz="4" w:space="0" w:color="auto"/>
              <w:bottom w:val="single" w:sz="4" w:space="0" w:color="auto"/>
              <w:right w:val="single" w:sz="4" w:space="0" w:color="auto"/>
            </w:tcBorders>
            <w:hideMark/>
          </w:tcPr>
          <w:p w14:paraId="4A8663BC" w14:textId="77777777" w:rsidR="00813B70" w:rsidRPr="008F2AAD" w:rsidRDefault="00813B70" w:rsidP="00813B70">
            <w:pPr>
              <w:pStyle w:val="Body"/>
              <w:rPr>
                <w:rFonts w:ascii="Arial" w:hAnsi="Arial" w:cs="Arial"/>
              </w:rPr>
            </w:pPr>
            <w:r w:rsidRPr="008F2AAD">
              <w:rPr>
                <w:rFonts w:ascii="Arial" w:hAnsi="Arial" w:cs="Arial"/>
              </w:rPr>
              <w:t>6</w:t>
            </w:r>
          </w:p>
        </w:tc>
        <w:tc>
          <w:tcPr>
            <w:tcW w:w="2070" w:type="dxa"/>
            <w:tcBorders>
              <w:top w:val="single" w:sz="4" w:space="0" w:color="auto"/>
              <w:left w:val="single" w:sz="4" w:space="0" w:color="auto"/>
              <w:bottom w:val="single" w:sz="4" w:space="0" w:color="auto"/>
              <w:right w:val="single" w:sz="4" w:space="0" w:color="auto"/>
            </w:tcBorders>
            <w:hideMark/>
          </w:tcPr>
          <w:p w14:paraId="20AD05D4" w14:textId="77777777" w:rsidR="00813B70" w:rsidRPr="008F2AAD" w:rsidRDefault="00813B70" w:rsidP="00813B70">
            <w:pPr>
              <w:pStyle w:val="Body"/>
              <w:rPr>
                <w:rFonts w:ascii="Arial" w:hAnsi="Arial" w:cs="Arial"/>
              </w:rPr>
            </w:pPr>
            <w:r w:rsidRPr="008F2AAD">
              <w:rPr>
                <w:rFonts w:ascii="Arial" w:hAnsi="Arial" w:cs="Arial"/>
              </w:rPr>
              <w:t>24</w:t>
            </w:r>
          </w:p>
        </w:tc>
        <w:tc>
          <w:tcPr>
            <w:tcW w:w="1890" w:type="dxa"/>
            <w:tcBorders>
              <w:top w:val="single" w:sz="4" w:space="0" w:color="auto"/>
              <w:left w:val="single" w:sz="4" w:space="0" w:color="auto"/>
              <w:bottom w:val="single" w:sz="4" w:space="0" w:color="auto"/>
              <w:right w:val="single" w:sz="4" w:space="0" w:color="auto"/>
            </w:tcBorders>
            <w:hideMark/>
          </w:tcPr>
          <w:p w14:paraId="28C56A63"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19D9195C"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65BEDCCD" w14:textId="77777777" w:rsidR="00813B70" w:rsidRPr="008F2AAD" w:rsidRDefault="00813B70" w:rsidP="00813B70">
            <w:pPr>
              <w:pStyle w:val="Body"/>
              <w:rPr>
                <w:rFonts w:ascii="Arial" w:hAnsi="Arial" w:cs="Arial"/>
              </w:rPr>
            </w:pPr>
            <w:r w:rsidRPr="008F2AAD">
              <w:rPr>
                <w:rFonts w:ascii="Arial" w:hAnsi="Arial" w:cs="Arial"/>
              </w:rPr>
              <w:t>ET = Exposure period (</w:t>
            </w:r>
            <w:proofErr w:type="spellStart"/>
            <w:r w:rsidRPr="008F2AAD">
              <w:rPr>
                <w:rFonts w:ascii="Arial" w:hAnsi="Arial" w:cs="Arial"/>
              </w:rPr>
              <w:t>hrs</w:t>
            </w:r>
            <w:proofErr w:type="spellEnd"/>
            <w:r w:rsidRPr="008F2AAD">
              <w:rPr>
                <w:rFonts w:ascii="Arial" w:hAnsi="Arial" w:cs="Arial"/>
              </w:rPr>
              <w:t>/day)</w:t>
            </w:r>
          </w:p>
        </w:tc>
        <w:tc>
          <w:tcPr>
            <w:tcW w:w="2160" w:type="dxa"/>
            <w:tcBorders>
              <w:top w:val="single" w:sz="4" w:space="0" w:color="auto"/>
              <w:left w:val="single" w:sz="4" w:space="0" w:color="auto"/>
              <w:bottom w:val="single" w:sz="4" w:space="0" w:color="auto"/>
              <w:right w:val="single" w:sz="4" w:space="0" w:color="auto"/>
            </w:tcBorders>
            <w:hideMark/>
          </w:tcPr>
          <w:p w14:paraId="6629A413" w14:textId="77777777" w:rsidR="00813B70" w:rsidRPr="008F2AAD" w:rsidRDefault="00813B70" w:rsidP="00813B70">
            <w:pPr>
              <w:pStyle w:val="Body"/>
              <w:rPr>
                <w:rFonts w:ascii="Arial" w:hAnsi="Arial" w:cs="Arial"/>
              </w:rPr>
            </w:pPr>
            <w:r w:rsidRPr="008F2AAD">
              <w:rPr>
                <w:rFonts w:ascii="Arial" w:hAnsi="Arial" w:cs="Arial"/>
              </w:rPr>
              <w:t>24</w:t>
            </w:r>
          </w:p>
        </w:tc>
        <w:tc>
          <w:tcPr>
            <w:tcW w:w="2070" w:type="dxa"/>
            <w:tcBorders>
              <w:top w:val="single" w:sz="4" w:space="0" w:color="auto"/>
              <w:left w:val="single" w:sz="4" w:space="0" w:color="auto"/>
              <w:bottom w:val="single" w:sz="4" w:space="0" w:color="auto"/>
              <w:right w:val="single" w:sz="4" w:space="0" w:color="auto"/>
            </w:tcBorders>
            <w:hideMark/>
          </w:tcPr>
          <w:p w14:paraId="6688538D" w14:textId="77777777" w:rsidR="00813B70" w:rsidRPr="008F2AAD" w:rsidRDefault="00813B70" w:rsidP="00813B70">
            <w:pPr>
              <w:pStyle w:val="Body"/>
              <w:rPr>
                <w:rFonts w:ascii="Arial" w:hAnsi="Arial" w:cs="Arial"/>
              </w:rPr>
            </w:pPr>
            <w:r w:rsidRPr="008F2AAD">
              <w:rPr>
                <w:rFonts w:ascii="Arial" w:hAnsi="Arial" w:cs="Arial"/>
              </w:rPr>
              <w:t>24</w:t>
            </w:r>
          </w:p>
        </w:tc>
        <w:tc>
          <w:tcPr>
            <w:tcW w:w="1890" w:type="dxa"/>
            <w:tcBorders>
              <w:top w:val="single" w:sz="4" w:space="0" w:color="auto"/>
              <w:left w:val="single" w:sz="4" w:space="0" w:color="auto"/>
              <w:bottom w:val="single" w:sz="4" w:space="0" w:color="auto"/>
              <w:right w:val="single" w:sz="4" w:space="0" w:color="auto"/>
            </w:tcBorders>
            <w:hideMark/>
          </w:tcPr>
          <w:p w14:paraId="16FA4295"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032544C0" w14:textId="77777777" w:rsidTr="00813B70">
        <w:tc>
          <w:tcPr>
            <w:tcW w:w="2875" w:type="dxa"/>
            <w:vMerge w:val="restart"/>
            <w:tcBorders>
              <w:top w:val="single" w:sz="4" w:space="0" w:color="auto"/>
              <w:left w:val="single" w:sz="4" w:space="0" w:color="auto"/>
              <w:bottom w:val="single" w:sz="4" w:space="0" w:color="auto"/>
              <w:right w:val="single" w:sz="4" w:space="0" w:color="auto"/>
            </w:tcBorders>
            <w:hideMark/>
          </w:tcPr>
          <w:p w14:paraId="38AE9FFC" w14:textId="77777777" w:rsidR="00813B70" w:rsidRPr="008F2AAD" w:rsidRDefault="00813B70" w:rsidP="00813B70">
            <w:pPr>
              <w:pStyle w:val="Body"/>
              <w:rPr>
                <w:rFonts w:ascii="Arial" w:hAnsi="Arial" w:cs="Arial"/>
              </w:rPr>
            </w:pPr>
            <w:r w:rsidRPr="008F2AAD">
              <w:rPr>
                <w:rFonts w:ascii="Arial" w:hAnsi="Arial" w:cs="Arial"/>
              </w:rPr>
              <w:t>AT = Mean lifetime (Days)</w:t>
            </w:r>
          </w:p>
        </w:tc>
        <w:tc>
          <w:tcPr>
            <w:tcW w:w="2160" w:type="dxa"/>
            <w:tcBorders>
              <w:top w:val="single" w:sz="4" w:space="0" w:color="auto"/>
              <w:left w:val="single" w:sz="4" w:space="0" w:color="auto"/>
              <w:bottom w:val="single" w:sz="4" w:space="0" w:color="auto"/>
              <w:right w:val="single" w:sz="4" w:space="0" w:color="auto"/>
            </w:tcBorders>
            <w:hideMark/>
          </w:tcPr>
          <w:p w14:paraId="1E3C5DEA" w14:textId="77777777" w:rsidR="00813B70" w:rsidRPr="008F2AAD" w:rsidRDefault="00813B70" w:rsidP="00813B70">
            <w:pPr>
              <w:pStyle w:val="Body"/>
              <w:rPr>
                <w:rFonts w:ascii="Arial" w:hAnsi="Arial" w:cs="Arial"/>
              </w:rPr>
            </w:pPr>
            <w:r w:rsidRPr="008F2AAD">
              <w:rPr>
                <w:rFonts w:ascii="Arial" w:hAnsi="Arial" w:cs="Arial"/>
              </w:rPr>
              <w:t xml:space="preserve">ED × 365 </w:t>
            </w:r>
          </w:p>
          <w:p w14:paraId="0CEBABE8" w14:textId="77777777" w:rsidR="00813B70" w:rsidRPr="008F2AAD" w:rsidRDefault="00813B70" w:rsidP="00813B70">
            <w:pPr>
              <w:pStyle w:val="Body"/>
              <w:rPr>
                <w:rFonts w:ascii="Arial" w:hAnsi="Arial" w:cs="Arial"/>
              </w:rPr>
            </w:pPr>
            <w:r w:rsidRPr="008F2AAD">
              <w:rPr>
                <w:rFonts w:ascii="Arial" w:hAnsi="Arial" w:cs="Arial"/>
              </w:rPr>
              <w:t>(non-carcinogens)</w:t>
            </w:r>
          </w:p>
        </w:tc>
        <w:tc>
          <w:tcPr>
            <w:tcW w:w="2070" w:type="dxa"/>
            <w:tcBorders>
              <w:top w:val="single" w:sz="4" w:space="0" w:color="auto"/>
              <w:left w:val="single" w:sz="4" w:space="0" w:color="auto"/>
              <w:bottom w:val="single" w:sz="4" w:space="0" w:color="auto"/>
              <w:right w:val="single" w:sz="4" w:space="0" w:color="auto"/>
            </w:tcBorders>
            <w:hideMark/>
          </w:tcPr>
          <w:p w14:paraId="482EAB36" w14:textId="77777777" w:rsidR="00813B70" w:rsidRPr="008F2AAD" w:rsidRDefault="00813B70" w:rsidP="00813B70">
            <w:pPr>
              <w:pStyle w:val="Body"/>
              <w:rPr>
                <w:rFonts w:ascii="Arial" w:hAnsi="Arial" w:cs="Arial"/>
              </w:rPr>
            </w:pPr>
            <w:r w:rsidRPr="008F2AAD">
              <w:rPr>
                <w:rFonts w:ascii="Arial" w:hAnsi="Arial" w:cs="Arial"/>
              </w:rPr>
              <w:t xml:space="preserve">ED × 365 </w:t>
            </w:r>
          </w:p>
          <w:p w14:paraId="416B1ED8" w14:textId="77777777" w:rsidR="00813B70" w:rsidRPr="008F2AAD" w:rsidRDefault="00813B70" w:rsidP="00813B70">
            <w:pPr>
              <w:pStyle w:val="Body"/>
              <w:rPr>
                <w:rFonts w:ascii="Arial" w:hAnsi="Arial" w:cs="Arial"/>
              </w:rPr>
            </w:pPr>
            <w:r w:rsidRPr="008F2AAD">
              <w:rPr>
                <w:rFonts w:ascii="Arial" w:hAnsi="Arial" w:cs="Arial"/>
              </w:rPr>
              <w:t>(non-carcinogens)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458B1158"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437F4FAC" w14:textId="77777777" w:rsidTr="00813B70">
        <w:tc>
          <w:tcPr>
            <w:tcW w:w="2875" w:type="dxa"/>
            <w:vMerge/>
            <w:tcBorders>
              <w:top w:val="single" w:sz="4" w:space="0" w:color="auto"/>
              <w:left w:val="single" w:sz="4" w:space="0" w:color="auto"/>
              <w:bottom w:val="single" w:sz="4" w:space="0" w:color="auto"/>
              <w:right w:val="single" w:sz="4" w:space="0" w:color="auto"/>
            </w:tcBorders>
            <w:vAlign w:val="center"/>
            <w:hideMark/>
          </w:tcPr>
          <w:p w14:paraId="47CB1CD1" w14:textId="77777777" w:rsidR="00813B70" w:rsidRPr="008F2AAD" w:rsidRDefault="00813B70" w:rsidP="00813B70">
            <w:pPr>
              <w:pStyle w:val="Body"/>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561D5811" w14:textId="77777777" w:rsidR="00813B70" w:rsidRPr="008F2AAD" w:rsidRDefault="00813B70" w:rsidP="00813B70">
            <w:pPr>
              <w:pStyle w:val="Body"/>
              <w:rPr>
                <w:rFonts w:ascii="Arial" w:hAnsi="Arial" w:cs="Arial"/>
              </w:rPr>
            </w:pPr>
            <w:r w:rsidRPr="008F2AAD">
              <w:rPr>
                <w:rFonts w:ascii="Arial" w:hAnsi="Arial" w:cs="Arial"/>
              </w:rPr>
              <w:t>70 × 365 (carcinogens)</w:t>
            </w:r>
          </w:p>
        </w:tc>
        <w:tc>
          <w:tcPr>
            <w:tcW w:w="2070" w:type="dxa"/>
            <w:tcBorders>
              <w:top w:val="single" w:sz="4" w:space="0" w:color="auto"/>
              <w:left w:val="single" w:sz="4" w:space="0" w:color="auto"/>
              <w:bottom w:val="single" w:sz="4" w:space="0" w:color="auto"/>
              <w:right w:val="single" w:sz="4" w:space="0" w:color="auto"/>
            </w:tcBorders>
            <w:hideMark/>
          </w:tcPr>
          <w:p w14:paraId="3EC8625C" w14:textId="77777777" w:rsidR="00813B70" w:rsidRPr="008F2AAD" w:rsidRDefault="00813B70" w:rsidP="00813B70">
            <w:pPr>
              <w:pStyle w:val="Body"/>
              <w:rPr>
                <w:rFonts w:ascii="Arial" w:hAnsi="Arial" w:cs="Arial"/>
              </w:rPr>
            </w:pPr>
            <w:r w:rsidRPr="008F2AAD">
              <w:rPr>
                <w:rFonts w:ascii="Arial" w:hAnsi="Arial" w:cs="Arial"/>
              </w:rPr>
              <w:t>70 × 365 (carcinogens)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87249A0" w14:textId="77777777" w:rsidR="00813B70" w:rsidRPr="008F2AAD" w:rsidRDefault="00813B70" w:rsidP="00813B70">
            <w:pPr>
              <w:pStyle w:val="Body"/>
              <w:rPr>
                <w:rFonts w:ascii="Arial" w:hAnsi="Arial" w:cs="Arial"/>
              </w:rPr>
            </w:pPr>
          </w:p>
        </w:tc>
      </w:tr>
      <w:tr w:rsidR="00813B70" w:rsidRPr="008F2AAD" w14:paraId="29D43516" w14:textId="77777777" w:rsidTr="00813B70">
        <w:tc>
          <w:tcPr>
            <w:tcW w:w="2875" w:type="dxa"/>
            <w:vMerge w:val="restart"/>
            <w:tcBorders>
              <w:top w:val="single" w:sz="4" w:space="0" w:color="auto"/>
              <w:left w:val="single" w:sz="4" w:space="0" w:color="auto"/>
              <w:bottom w:val="single" w:sz="4" w:space="0" w:color="auto"/>
              <w:right w:val="single" w:sz="4" w:space="0" w:color="auto"/>
            </w:tcBorders>
            <w:hideMark/>
          </w:tcPr>
          <w:p w14:paraId="06205D71" w14:textId="77777777" w:rsidR="00813B70" w:rsidRPr="008F2AAD" w:rsidRDefault="00813B70" w:rsidP="00813B70">
            <w:pPr>
              <w:pStyle w:val="Body"/>
              <w:rPr>
                <w:rFonts w:ascii="Arial" w:hAnsi="Arial" w:cs="Arial"/>
              </w:rPr>
            </w:pPr>
            <w:proofErr w:type="spellStart"/>
            <w:r w:rsidRPr="008F2AAD">
              <w:rPr>
                <w:rFonts w:ascii="Arial" w:hAnsi="Arial" w:cs="Arial"/>
              </w:rPr>
              <w:t>ATn</w:t>
            </w:r>
            <w:proofErr w:type="spellEnd"/>
            <w:r w:rsidRPr="008F2AAD">
              <w:rPr>
                <w:rFonts w:ascii="Arial" w:hAnsi="Arial" w:cs="Arial"/>
              </w:rPr>
              <w:t xml:space="preserve"> = Mean lifetime (</w:t>
            </w:r>
            <w:proofErr w:type="spellStart"/>
            <w:r w:rsidRPr="008F2AAD">
              <w:rPr>
                <w:rFonts w:ascii="Arial" w:hAnsi="Arial" w:cs="Arial"/>
              </w:rPr>
              <w:t>Hrs</w:t>
            </w:r>
            <w:proofErr w:type="spellEnd"/>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22AD775E" w14:textId="77777777" w:rsidR="00813B70" w:rsidRPr="008F2AAD" w:rsidRDefault="00813B70" w:rsidP="00813B70">
            <w:pPr>
              <w:pStyle w:val="Body"/>
              <w:rPr>
                <w:rFonts w:ascii="Arial" w:hAnsi="Arial" w:cs="Arial"/>
              </w:rPr>
            </w:pPr>
            <w:r w:rsidRPr="008F2AAD">
              <w:rPr>
                <w:rFonts w:ascii="Arial" w:hAnsi="Arial" w:cs="Arial"/>
              </w:rPr>
              <w:t xml:space="preserve">ED × 365 × 24 </w:t>
            </w:r>
          </w:p>
          <w:p w14:paraId="73C91747" w14:textId="77777777" w:rsidR="00813B70" w:rsidRPr="008F2AAD" w:rsidRDefault="00813B70" w:rsidP="00813B70">
            <w:pPr>
              <w:pStyle w:val="Body"/>
              <w:rPr>
                <w:rFonts w:ascii="Arial" w:hAnsi="Arial" w:cs="Arial"/>
              </w:rPr>
            </w:pPr>
            <w:r w:rsidRPr="008F2AAD">
              <w:rPr>
                <w:rFonts w:ascii="Arial" w:hAnsi="Arial" w:cs="Arial"/>
              </w:rPr>
              <w:t>(non-carcinogens)</w:t>
            </w:r>
          </w:p>
        </w:tc>
        <w:tc>
          <w:tcPr>
            <w:tcW w:w="2070" w:type="dxa"/>
            <w:tcBorders>
              <w:top w:val="single" w:sz="4" w:space="0" w:color="auto"/>
              <w:left w:val="single" w:sz="4" w:space="0" w:color="auto"/>
              <w:bottom w:val="single" w:sz="4" w:space="0" w:color="auto"/>
              <w:right w:val="single" w:sz="4" w:space="0" w:color="auto"/>
            </w:tcBorders>
            <w:hideMark/>
          </w:tcPr>
          <w:p w14:paraId="048EFF99" w14:textId="77777777" w:rsidR="00813B70" w:rsidRPr="008F2AAD" w:rsidRDefault="00813B70" w:rsidP="00813B70">
            <w:pPr>
              <w:pStyle w:val="Body"/>
              <w:rPr>
                <w:rFonts w:ascii="Arial" w:hAnsi="Arial" w:cs="Arial"/>
              </w:rPr>
            </w:pPr>
            <w:r w:rsidRPr="008F2AAD">
              <w:rPr>
                <w:rFonts w:ascii="Arial" w:hAnsi="Arial" w:cs="Arial"/>
              </w:rPr>
              <w:t>ED × 365 × 24 (non-carcinogens)</w:t>
            </w:r>
          </w:p>
        </w:tc>
        <w:tc>
          <w:tcPr>
            <w:tcW w:w="1890" w:type="dxa"/>
            <w:vMerge w:val="restart"/>
            <w:tcBorders>
              <w:top w:val="single" w:sz="4" w:space="0" w:color="auto"/>
              <w:left w:val="single" w:sz="4" w:space="0" w:color="auto"/>
              <w:bottom w:val="single" w:sz="4" w:space="0" w:color="auto"/>
              <w:right w:val="single" w:sz="4" w:space="0" w:color="auto"/>
            </w:tcBorders>
            <w:hideMark/>
          </w:tcPr>
          <w:p w14:paraId="7CF04D58"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11AF9F9B" w14:textId="77777777" w:rsidTr="00813B70">
        <w:tc>
          <w:tcPr>
            <w:tcW w:w="2875" w:type="dxa"/>
            <w:vMerge/>
            <w:tcBorders>
              <w:top w:val="single" w:sz="4" w:space="0" w:color="auto"/>
              <w:left w:val="single" w:sz="4" w:space="0" w:color="auto"/>
              <w:bottom w:val="single" w:sz="4" w:space="0" w:color="auto"/>
              <w:right w:val="single" w:sz="4" w:space="0" w:color="auto"/>
            </w:tcBorders>
            <w:vAlign w:val="center"/>
            <w:hideMark/>
          </w:tcPr>
          <w:p w14:paraId="4D055A3E" w14:textId="77777777" w:rsidR="00813B70" w:rsidRPr="008F2AAD" w:rsidRDefault="00813B70" w:rsidP="00813B70">
            <w:pPr>
              <w:pStyle w:val="Body"/>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hideMark/>
          </w:tcPr>
          <w:p w14:paraId="6163E0C7" w14:textId="77777777" w:rsidR="00813B70" w:rsidRPr="008F2AAD" w:rsidRDefault="00813B70" w:rsidP="00813B70">
            <w:pPr>
              <w:pStyle w:val="Body"/>
              <w:rPr>
                <w:rFonts w:ascii="Arial" w:hAnsi="Arial" w:cs="Arial"/>
              </w:rPr>
            </w:pPr>
            <w:r w:rsidRPr="008F2AAD">
              <w:rPr>
                <w:rFonts w:ascii="Arial" w:hAnsi="Arial" w:cs="Arial"/>
              </w:rPr>
              <w:t>70 × 365 × 24 (carcinogens)</w:t>
            </w:r>
          </w:p>
        </w:tc>
        <w:tc>
          <w:tcPr>
            <w:tcW w:w="2070" w:type="dxa"/>
            <w:tcBorders>
              <w:top w:val="single" w:sz="4" w:space="0" w:color="auto"/>
              <w:left w:val="single" w:sz="4" w:space="0" w:color="auto"/>
              <w:bottom w:val="single" w:sz="4" w:space="0" w:color="auto"/>
              <w:right w:val="single" w:sz="4" w:space="0" w:color="auto"/>
            </w:tcBorders>
            <w:hideMark/>
          </w:tcPr>
          <w:p w14:paraId="4FB30D7B" w14:textId="77777777" w:rsidR="00813B70" w:rsidRPr="008F2AAD" w:rsidRDefault="00813B70" w:rsidP="00813B70">
            <w:pPr>
              <w:pStyle w:val="Body"/>
              <w:rPr>
                <w:rFonts w:ascii="Arial" w:hAnsi="Arial" w:cs="Arial"/>
              </w:rPr>
            </w:pPr>
            <w:r w:rsidRPr="008F2AAD">
              <w:rPr>
                <w:rFonts w:ascii="Arial" w:hAnsi="Arial" w:cs="Arial"/>
              </w:rPr>
              <w:t>70 × 365 × 24 (carcinogens)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31903B3" w14:textId="77777777" w:rsidR="00813B70" w:rsidRPr="008F2AAD" w:rsidRDefault="00813B70" w:rsidP="00813B70">
            <w:pPr>
              <w:pStyle w:val="Body"/>
              <w:rPr>
                <w:rFonts w:ascii="Arial" w:hAnsi="Arial" w:cs="Arial"/>
              </w:rPr>
            </w:pPr>
          </w:p>
        </w:tc>
      </w:tr>
      <w:tr w:rsidR="00813B70" w:rsidRPr="008F2AAD" w14:paraId="6E78D2CF"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198AABEB" w14:textId="77777777" w:rsidR="00813B70" w:rsidRPr="008F2AAD" w:rsidRDefault="00813B70" w:rsidP="00813B70">
            <w:pPr>
              <w:pStyle w:val="Body"/>
              <w:rPr>
                <w:rFonts w:ascii="Arial" w:hAnsi="Arial" w:cs="Arial"/>
              </w:rPr>
            </w:pPr>
            <w:r w:rsidRPr="008F2AAD">
              <w:rPr>
                <w:rFonts w:ascii="Arial" w:hAnsi="Arial" w:cs="Arial"/>
              </w:rPr>
              <w:t>BW = Body weight (kg)</w:t>
            </w:r>
          </w:p>
        </w:tc>
        <w:tc>
          <w:tcPr>
            <w:tcW w:w="2160" w:type="dxa"/>
            <w:tcBorders>
              <w:top w:val="single" w:sz="4" w:space="0" w:color="auto"/>
              <w:left w:val="single" w:sz="4" w:space="0" w:color="auto"/>
              <w:bottom w:val="single" w:sz="4" w:space="0" w:color="auto"/>
              <w:right w:val="single" w:sz="4" w:space="0" w:color="auto"/>
            </w:tcBorders>
            <w:hideMark/>
          </w:tcPr>
          <w:p w14:paraId="77F20918" w14:textId="77777777" w:rsidR="00813B70" w:rsidRPr="008F2AAD" w:rsidRDefault="00813B70" w:rsidP="00813B70">
            <w:pPr>
              <w:pStyle w:val="Body"/>
              <w:rPr>
                <w:rFonts w:ascii="Arial" w:hAnsi="Arial" w:cs="Arial"/>
              </w:rPr>
            </w:pPr>
            <w:r w:rsidRPr="008F2AAD">
              <w:rPr>
                <w:rFonts w:ascii="Arial" w:hAnsi="Arial" w:cs="Arial"/>
              </w:rPr>
              <w:t>15</w:t>
            </w:r>
          </w:p>
        </w:tc>
        <w:tc>
          <w:tcPr>
            <w:tcW w:w="2070" w:type="dxa"/>
            <w:tcBorders>
              <w:top w:val="single" w:sz="4" w:space="0" w:color="auto"/>
              <w:left w:val="single" w:sz="4" w:space="0" w:color="auto"/>
              <w:bottom w:val="single" w:sz="4" w:space="0" w:color="auto"/>
              <w:right w:val="single" w:sz="4" w:space="0" w:color="auto"/>
            </w:tcBorders>
            <w:hideMark/>
          </w:tcPr>
          <w:p w14:paraId="1B53DCCD" w14:textId="77777777" w:rsidR="00813B70" w:rsidRPr="008F2AAD" w:rsidRDefault="00813B70" w:rsidP="00813B70">
            <w:pPr>
              <w:pStyle w:val="Body"/>
              <w:rPr>
                <w:rFonts w:ascii="Arial" w:hAnsi="Arial" w:cs="Arial"/>
              </w:rPr>
            </w:pPr>
            <w:r w:rsidRPr="008F2AAD">
              <w:rPr>
                <w:rFonts w:ascii="Arial" w:hAnsi="Arial" w:cs="Arial"/>
              </w:rPr>
              <w:t>70</w:t>
            </w:r>
          </w:p>
        </w:tc>
        <w:tc>
          <w:tcPr>
            <w:tcW w:w="1890" w:type="dxa"/>
            <w:tcBorders>
              <w:top w:val="single" w:sz="4" w:space="0" w:color="auto"/>
              <w:left w:val="single" w:sz="4" w:space="0" w:color="auto"/>
              <w:bottom w:val="single" w:sz="4" w:space="0" w:color="auto"/>
              <w:right w:val="single" w:sz="4" w:space="0" w:color="auto"/>
            </w:tcBorders>
            <w:hideMark/>
          </w:tcPr>
          <w:p w14:paraId="7B4A5A58"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65F012DC"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2C3C3E52" w14:textId="77777777" w:rsidR="00813B70" w:rsidRPr="008F2AAD" w:rsidRDefault="00813B70" w:rsidP="00813B70">
            <w:pPr>
              <w:pStyle w:val="Body"/>
              <w:rPr>
                <w:rFonts w:ascii="Arial" w:hAnsi="Arial" w:cs="Arial"/>
              </w:rPr>
            </w:pPr>
            <w:r w:rsidRPr="008F2AAD">
              <w:rPr>
                <w:rFonts w:ascii="Arial" w:hAnsi="Arial" w:cs="Arial"/>
              </w:rPr>
              <w:t>SA = Skin surface area (cm</w:t>
            </w:r>
            <w:r w:rsidRPr="008F2AAD">
              <w:rPr>
                <w:rFonts w:ascii="Arial" w:hAnsi="Arial" w:cs="Arial"/>
                <w:vertAlign w:val="superscript"/>
              </w:rPr>
              <w:t>2</w:t>
            </w:r>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1E2F91A7" w14:textId="77777777" w:rsidR="00813B70" w:rsidRPr="008F2AAD" w:rsidRDefault="00813B70" w:rsidP="00813B70">
            <w:pPr>
              <w:pStyle w:val="Body"/>
              <w:rPr>
                <w:rFonts w:ascii="Arial" w:hAnsi="Arial" w:cs="Arial"/>
              </w:rPr>
            </w:pPr>
            <w:r w:rsidRPr="008F2AAD">
              <w:rPr>
                <w:rFonts w:ascii="Arial" w:hAnsi="Arial" w:cs="Arial"/>
              </w:rPr>
              <w:t>2800</w:t>
            </w:r>
          </w:p>
        </w:tc>
        <w:tc>
          <w:tcPr>
            <w:tcW w:w="2070" w:type="dxa"/>
            <w:tcBorders>
              <w:top w:val="single" w:sz="4" w:space="0" w:color="auto"/>
              <w:left w:val="single" w:sz="4" w:space="0" w:color="auto"/>
              <w:bottom w:val="single" w:sz="4" w:space="0" w:color="auto"/>
              <w:right w:val="single" w:sz="4" w:space="0" w:color="auto"/>
            </w:tcBorders>
            <w:hideMark/>
          </w:tcPr>
          <w:p w14:paraId="21F3808C" w14:textId="77777777" w:rsidR="00813B70" w:rsidRPr="008F2AAD" w:rsidRDefault="00813B70" w:rsidP="00813B70">
            <w:pPr>
              <w:pStyle w:val="Body"/>
              <w:rPr>
                <w:rFonts w:ascii="Arial" w:hAnsi="Arial" w:cs="Arial"/>
              </w:rPr>
            </w:pPr>
            <w:r w:rsidRPr="008F2AAD">
              <w:rPr>
                <w:rFonts w:ascii="Arial" w:hAnsi="Arial" w:cs="Arial"/>
              </w:rPr>
              <w:t>5700</w:t>
            </w:r>
          </w:p>
        </w:tc>
        <w:tc>
          <w:tcPr>
            <w:tcW w:w="1890" w:type="dxa"/>
            <w:tcBorders>
              <w:top w:val="single" w:sz="4" w:space="0" w:color="auto"/>
              <w:left w:val="single" w:sz="4" w:space="0" w:color="auto"/>
              <w:bottom w:val="single" w:sz="4" w:space="0" w:color="auto"/>
              <w:right w:val="single" w:sz="4" w:space="0" w:color="auto"/>
            </w:tcBorders>
            <w:hideMark/>
          </w:tcPr>
          <w:p w14:paraId="15973C46"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2500EB52"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46105C10" w14:textId="77777777" w:rsidR="00813B70" w:rsidRPr="008F2AAD" w:rsidRDefault="00813B70" w:rsidP="00813B70">
            <w:pPr>
              <w:pStyle w:val="Body"/>
              <w:rPr>
                <w:rFonts w:ascii="Arial" w:hAnsi="Arial" w:cs="Arial"/>
              </w:rPr>
            </w:pPr>
            <w:r w:rsidRPr="008F2AAD">
              <w:rPr>
                <w:rFonts w:ascii="Arial" w:hAnsi="Arial" w:cs="Arial"/>
              </w:rPr>
              <w:t>AF = Adherence Factor (mg/cm</w:t>
            </w:r>
            <w:r w:rsidRPr="008F2AAD">
              <w:rPr>
                <w:rFonts w:ascii="Arial" w:hAnsi="Arial" w:cs="Arial"/>
                <w:vertAlign w:val="superscript"/>
              </w:rPr>
              <w:t>2</w:t>
            </w:r>
            <w:r w:rsidRPr="008F2AAD">
              <w:rPr>
                <w:rFonts w:ascii="Arial" w:hAnsi="Arial" w:cs="Arial"/>
              </w:rPr>
              <w:t>)</w:t>
            </w:r>
          </w:p>
        </w:tc>
        <w:tc>
          <w:tcPr>
            <w:tcW w:w="2160" w:type="dxa"/>
            <w:tcBorders>
              <w:top w:val="single" w:sz="4" w:space="0" w:color="auto"/>
              <w:left w:val="single" w:sz="4" w:space="0" w:color="auto"/>
              <w:bottom w:val="single" w:sz="4" w:space="0" w:color="auto"/>
              <w:right w:val="single" w:sz="4" w:space="0" w:color="auto"/>
            </w:tcBorders>
            <w:hideMark/>
          </w:tcPr>
          <w:p w14:paraId="7CA898FE" w14:textId="77777777" w:rsidR="00813B70" w:rsidRPr="008F2AAD" w:rsidRDefault="00813B70" w:rsidP="00813B70">
            <w:pPr>
              <w:pStyle w:val="Body"/>
              <w:rPr>
                <w:rFonts w:ascii="Arial" w:hAnsi="Arial" w:cs="Arial"/>
              </w:rPr>
            </w:pPr>
            <w:r w:rsidRPr="008F2AAD">
              <w:rPr>
                <w:rFonts w:ascii="Arial" w:hAnsi="Arial" w:cs="Arial"/>
              </w:rPr>
              <w:t>0.2</w:t>
            </w:r>
          </w:p>
        </w:tc>
        <w:tc>
          <w:tcPr>
            <w:tcW w:w="2070" w:type="dxa"/>
            <w:tcBorders>
              <w:top w:val="single" w:sz="4" w:space="0" w:color="auto"/>
              <w:left w:val="single" w:sz="4" w:space="0" w:color="auto"/>
              <w:bottom w:val="single" w:sz="4" w:space="0" w:color="auto"/>
              <w:right w:val="single" w:sz="4" w:space="0" w:color="auto"/>
            </w:tcBorders>
            <w:hideMark/>
          </w:tcPr>
          <w:p w14:paraId="6B02378A" w14:textId="77777777" w:rsidR="00813B70" w:rsidRPr="008F2AAD" w:rsidRDefault="00813B70" w:rsidP="00813B70">
            <w:pPr>
              <w:pStyle w:val="Body"/>
              <w:rPr>
                <w:rFonts w:ascii="Arial" w:hAnsi="Arial" w:cs="Arial"/>
              </w:rPr>
            </w:pPr>
            <w:r w:rsidRPr="008F2AAD">
              <w:rPr>
                <w:rFonts w:ascii="Arial" w:hAnsi="Arial" w:cs="Arial"/>
              </w:rPr>
              <w:t>0.07</w:t>
            </w:r>
          </w:p>
        </w:tc>
        <w:tc>
          <w:tcPr>
            <w:tcW w:w="1890" w:type="dxa"/>
            <w:tcBorders>
              <w:top w:val="single" w:sz="4" w:space="0" w:color="auto"/>
              <w:left w:val="single" w:sz="4" w:space="0" w:color="auto"/>
              <w:bottom w:val="single" w:sz="4" w:space="0" w:color="auto"/>
              <w:right w:val="single" w:sz="4" w:space="0" w:color="auto"/>
            </w:tcBorders>
            <w:hideMark/>
          </w:tcPr>
          <w:p w14:paraId="4F199F4B" w14:textId="77777777" w:rsidR="00813B70" w:rsidRPr="008F2AAD" w:rsidRDefault="00813B70" w:rsidP="00813B70">
            <w:pPr>
              <w:pStyle w:val="Body"/>
              <w:rPr>
                <w:rFonts w:ascii="Arial" w:hAnsi="Arial" w:cs="Arial"/>
              </w:rPr>
            </w:pPr>
            <w:r w:rsidRPr="008F2AAD">
              <w:rPr>
                <w:rFonts w:ascii="Arial" w:hAnsi="Arial" w:cs="Arial"/>
              </w:rPr>
              <w:t>[24]</w:t>
            </w:r>
          </w:p>
        </w:tc>
      </w:tr>
      <w:tr w:rsidR="00813B70" w:rsidRPr="008F2AAD" w14:paraId="0006B388" w14:textId="77777777" w:rsidTr="00813B70">
        <w:tc>
          <w:tcPr>
            <w:tcW w:w="2875" w:type="dxa"/>
            <w:tcBorders>
              <w:top w:val="single" w:sz="4" w:space="0" w:color="auto"/>
              <w:left w:val="single" w:sz="4" w:space="0" w:color="auto"/>
              <w:bottom w:val="single" w:sz="4" w:space="0" w:color="auto"/>
              <w:right w:val="single" w:sz="4" w:space="0" w:color="auto"/>
            </w:tcBorders>
            <w:hideMark/>
          </w:tcPr>
          <w:p w14:paraId="2F5071EC" w14:textId="77777777" w:rsidR="00813B70" w:rsidRPr="008F2AAD" w:rsidRDefault="00813B70" w:rsidP="00813B70">
            <w:pPr>
              <w:pStyle w:val="Body"/>
              <w:rPr>
                <w:rFonts w:ascii="Arial" w:hAnsi="Arial" w:cs="Arial"/>
              </w:rPr>
            </w:pPr>
            <w:r w:rsidRPr="008F2AAD">
              <w:rPr>
                <w:rFonts w:ascii="Arial" w:hAnsi="Arial" w:cs="Arial"/>
              </w:rPr>
              <w:t>ABF = Absorption Factor</w:t>
            </w:r>
          </w:p>
        </w:tc>
        <w:tc>
          <w:tcPr>
            <w:tcW w:w="4230" w:type="dxa"/>
            <w:gridSpan w:val="2"/>
            <w:tcBorders>
              <w:top w:val="single" w:sz="4" w:space="0" w:color="auto"/>
              <w:left w:val="single" w:sz="4" w:space="0" w:color="auto"/>
              <w:bottom w:val="single" w:sz="4" w:space="0" w:color="auto"/>
              <w:right w:val="single" w:sz="4" w:space="0" w:color="auto"/>
            </w:tcBorders>
            <w:hideMark/>
          </w:tcPr>
          <w:p w14:paraId="3C2F2900" w14:textId="77777777" w:rsidR="00813B70" w:rsidRPr="008F2AAD" w:rsidRDefault="00813B70" w:rsidP="00813B70">
            <w:pPr>
              <w:pStyle w:val="Body"/>
              <w:rPr>
                <w:rFonts w:ascii="Arial" w:hAnsi="Arial" w:cs="Arial"/>
              </w:rPr>
            </w:pPr>
            <w:r w:rsidRPr="008F2AAD">
              <w:rPr>
                <w:rFonts w:ascii="Arial" w:hAnsi="Arial" w:cs="Arial"/>
              </w:rPr>
              <w:t>0.1 (Pb), 0.03 (As), 0.001 (Cd), 0.01 (others)</w:t>
            </w:r>
          </w:p>
        </w:tc>
        <w:tc>
          <w:tcPr>
            <w:tcW w:w="1890" w:type="dxa"/>
            <w:tcBorders>
              <w:top w:val="single" w:sz="4" w:space="0" w:color="auto"/>
              <w:left w:val="single" w:sz="4" w:space="0" w:color="auto"/>
              <w:bottom w:val="single" w:sz="4" w:space="0" w:color="auto"/>
              <w:right w:val="single" w:sz="4" w:space="0" w:color="auto"/>
            </w:tcBorders>
            <w:hideMark/>
          </w:tcPr>
          <w:p w14:paraId="7844BCAA" w14:textId="77777777" w:rsidR="00813B70" w:rsidRPr="008F2AAD" w:rsidRDefault="00813B70" w:rsidP="00813B70">
            <w:pPr>
              <w:pStyle w:val="Body"/>
              <w:rPr>
                <w:rFonts w:ascii="Arial" w:hAnsi="Arial" w:cs="Arial"/>
              </w:rPr>
            </w:pPr>
            <w:r w:rsidRPr="008F2AAD">
              <w:rPr>
                <w:rFonts w:ascii="Arial" w:hAnsi="Arial" w:cs="Arial"/>
              </w:rPr>
              <w:t>[22]</w:t>
            </w:r>
          </w:p>
        </w:tc>
      </w:tr>
    </w:tbl>
    <w:p w14:paraId="1C221FEE" w14:textId="77777777" w:rsidR="00813B70" w:rsidRPr="00813B70" w:rsidRDefault="00813B70" w:rsidP="00813B70">
      <w:pPr>
        <w:pStyle w:val="Body"/>
        <w:spacing w:after="0"/>
        <w:rPr>
          <w:rFonts w:ascii="Arial" w:hAnsi="Arial" w:cs="Arial"/>
          <w:b/>
          <w:sz w:val="22"/>
          <w:szCs w:val="22"/>
        </w:rPr>
      </w:pPr>
    </w:p>
    <w:p w14:paraId="642FB7CA" w14:textId="77777777" w:rsidR="009B79A5" w:rsidRDefault="009B79A5" w:rsidP="00441B6F">
      <w:pPr>
        <w:pStyle w:val="Body"/>
        <w:spacing w:after="0"/>
        <w:rPr>
          <w:rFonts w:ascii="Arial" w:hAnsi="Arial" w:cs="Arial"/>
          <w:b/>
          <w:u w:val="single"/>
        </w:rPr>
      </w:pPr>
    </w:p>
    <w:p w14:paraId="15AAAF0E" w14:textId="77777777" w:rsidR="008F2AAD" w:rsidRPr="008F2AAD" w:rsidRDefault="008F2AAD" w:rsidP="008F2AAD">
      <w:pPr>
        <w:pStyle w:val="Body"/>
        <w:spacing w:after="0"/>
        <w:rPr>
          <w:rFonts w:ascii="Arial" w:hAnsi="Arial" w:cs="Arial"/>
          <w:b/>
          <w:i/>
        </w:rPr>
      </w:pPr>
      <w:r w:rsidRPr="008F2AAD">
        <w:rPr>
          <w:rFonts w:ascii="Arial" w:hAnsi="Arial" w:cs="Arial"/>
          <w:b/>
          <w:i/>
        </w:rPr>
        <w:lastRenderedPageBreak/>
        <w:t>2.4.1 Non-Carcinogenic Health Risk</w:t>
      </w:r>
    </w:p>
    <w:p w14:paraId="500A6A6D" w14:textId="77777777" w:rsidR="008F2AAD" w:rsidRPr="008F2AAD" w:rsidRDefault="008F2AAD" w:rsidP="008F2AAD">
      <w:pPr>
        <w:pStyle w:val="Body"/>
        <w:spacing w:after="0"/>
        <w:rPr>
          <w:rFonts w:ascii="Arial" w:hAnsi="Arial" w:cs="Arial"/>
        </w:rPr>
      </w:pPr>
      <w:r w:rsidRPr="008F2AAD">
        <w:rPr>
          <w:rFonts w:ascii="Arial" w:hAnsi="Arial" w:cs="Arial"/>
        </w:rPr>
        <w:t>Non-carcinogenic health peril examination of heavy metals was assessed through hazard quotient (HQ) which is determined based on Equations (4-6) [21, 22].</w:t>
      </w:r>
    </w:p>
    <w:p w14:paraId="3AA1B63C" w14:textId="77777777" w:rsidR="008F2AAD" w:rsidRPr="008F2AAD" w:rsidRDefault="00004AC9" w:rsidP="008F2AAD">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HQ</m:t>
            </m:r>
          </m:e>
          <m:sub>
            <m:r>
              <w:rPr>
                <w:rFonts w:ascii="Cambria Math" w:hAnsi="Cambria Math" w:cs="Arial"/>
              </w:rPr>
              <m:t>ing</m:t>
            </m:r>
          </m:sub>
        </m:sSub>
        <m:r>
          <w:rPr>
            <w:rFonts w:ascii="Cambria Math" w:hAnsi="Cambria Math" w:cs="Arial"/>
          </w:rPr>
          <m:t>=</m:t>
        </m:r>
        <m:f>
          <m:fPr>
            <m:type m:val="skw"/>
            <m:ctrlPr>
              <w:rPr>
                <w:rFonts w:ascii="Cambria Math" w:hAnsi="Cambria Math" w:cs="Arial"/>
                <w:i/>
              </w:rPr>
            </m:ctrlPr>
          </m:fPr>
          <m:num>
            <m:r>
              <w:rPr>
                <w:rFonts w:ascii="Cambria Math" w:hAnsi="Cambria Math" w:cs="Arial"/>
              </w:rPr>
              <m:t>ADD</m:t>
            </m:r>
          </m:num>
          <m:den>
            <m:r>
              <w:rPr>
                <w:rFonts w:ascii="Cambria Math" w:hAnsi="Cambria Math" w:cs="Arial"/>
              </w:rPr>
              <m:t>RfD</m:t>
            </m:r>
          </m:den>
        </m:f>
      </m:oMath>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t>(4)</w:t>
      </w:r>
    </w:p>
    <w:p w14:paraId="68D8DF15" w14:textId="77777777" w:rsidR="008F2AAD" w:rsidRPr="008F2AAD" w:rsidRDefault="00004AC9" w:rsidP="008F2AAD">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HQ</m:t>
            </m:r>
          </m:e>
          <m:sub>
            <m:r>
              <w:rPr>
                <w:rFonts w:ascii="Cambria Math" w:hAnsi="Cambria Math" w:cs="Arial"/>
              </w:rPr>
              <m:t>in</m:t>
            </m:r>
            <m:r>
              <w:rPr>
                <w:rFonts w:ascii="Cambria Math" w:hAnsi="Cambria Math" w:cs="Arial"/>
              </w:rPr>
              <m:t>h</m:t>
            </m:r>
          </m:sub>
        </m:sSub>
        <m:r>
          <w:rPr>
            <w:rFonts w:ascii="Cambria Math" w:hAnsi="Cambria Math" w:cs="Arial"/>
          </w:rPr>
          <m:t>=</m:t>
        </m:r>
        <m:f>
          <m:fPr>
            <m:ctrlPr>
              <w:rPr>
                <w:rFonts w:ascii="Cambria Math" w:hAnsi="Cambria Math" w:cs="Arial"/>
                <w:i/>
              </w:rPr>
            </m:ctrlPr>
          </m:fPr>
          <m:num>
            <m:r>
              <w:rPr>
                <w:rFonts w:ascii="Cambria Math" w:hAnsi="Cambria Math" w:cs="Arial"/>
              </w:rPr>
              <m:t>EC</m:t>
            </m:r>
          </m:num>
          <m:den>
            <m:r>
              <w:rPr>
                <w:rFonts w:ascii="Cambria Math" w:hAnsi="Cambria Math" w:cs="Arial"/>
              </w:rPr>
              <m:t>RfC</m:t>
            </m:r>
            <m:r>
              <w:rPr>
                <w:rFonts w:ascii="Cambria Math" w:hAnsi="Cambria Math" w:cs="Arial"/>
              </w:rPr>
              <m:t>×1000</m:t>
            </m:r>
          </m:den>
        </m:f>
      </m:oMath>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t>(5)</w:t>
      </w:r>
    </w:p>
    <w:p w14:paraId="62F306D0" w14:textId="77777777" w:rsidR="008F2AAD" w:rsidRPr="008F2AAD" w:rsidRDefault="00004AC9" w:rsidP="008F2AAD">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HQ</m:t>
            </m:r>
          </m:e>
          <m:sub>
            <m:r>
              <w:rPr>
                <w:rFonts w:ascii="Cambria Math" w:hAnsi="Cambria Math" w:cs="Arial"/>
              </w:rPr>
              <m:t>der</m:t>
            </m:r>
          </m:sub>
        </m:sSub>
        <m:r>
          <w:rPr>
            <w:rFonts w:ascii="Cambria Math" w:hAnsi="Cambria Math" w:cs="Arial"/>
          </w:rPr>
          <m:t>=</m:t>
        </m:r>
        <m:f>
          <m:fPr>
            <m:ctrlPr>
              <w:rPr>
                <w:rFonts w:ascii="Cambria Math" w:hAnsi="Cambria Math" w:cs="Arial"/>
                <w:i/>
              </w:rPr>
            </m:ctrlPr>
          </m:fPr>
          <m:num>
            <m:r>
              <w:rPr>
                <w:rFonts w:ascii="Cambria Math" w:hAnsi="Cambria Math" w:cs="Arial"/>
              </w:rPr>
              <m:t>DAD</m:t>
            </m:r>
          </m:num>
          <m:den>
            <m:r>
              <w:rPr>
                <w:rFonts w:ascii="Cambria Math" w:hAnsi="Cambria Math" w:cs="Arial"/>
              </w:rPr>
              <m:t>RfD</m:t>
            </m:r>
          </m:den>
        </m:f>
      </m:oMath>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r>
      <w:r w:rsidR="008F2AAD" w:rsidRPr="008F2AAD">
        <w:rPr>
          <w:rFonts w:ascii="Arial" w:hAnsi="Arial" w:cs="Arial"/>
        </w:rPr>
        <w:tab/>
        <w:t>(6)</w:t>
      </w:r>
    </w:p>
    <w:p w14:paraId="20593FC4" w14:textId="77777777" w:rsidR="008F2AAD" w:rsidRPr="008F2AAD" w:rsidRDefault="008F2AAD" w:rsidP="008F2AAD">
      <w:pPr>
        <w:pStyle w:val="Body"/>
        <w:rPr>
          <w:rFonts w:ascii="Arial" w:hAnsi="Arial" w:cs="Arial"/>
        </w:rPr>
      </w:pPr>
      <w:r w:rsidRPr="008F2AAD">
        <w:rPr>
          <w:rFonts w:ascii="Arial" w:hAnsi="Arial" w:cs="Arial"/>
        </w:rPr>
        <w:t xml:space="preserve">The HQ by inhalation, dermal contact and ingestion are denoted by the symbols </w:t>
      </w:r>
      <m:oMath>
        <m:sSub>
          <m:sSubPr>
            <m:ctrlPr>
              <w:rPr>
                <w:rFonts w:ascii="Cambria Math" w:hAnsi="Cambria Math" w:cs="Arial"/>
                <w:i/>
              </w:rPr>
            </m:ctrlPr>
          </m:sSubPr>
          <m:e>
            <m:r>
              <w:rPr>
                <w:rFonts w:ascii="Cambria Math" w:hAnsi="Cambria Math" w:cs="Arial"/>
              </w:rPr>
              <m:t>HQ</m:t>
            </m:r>
          </m:e>
          <m:sub>
            <m:r>
              <w:rPr>
                <w:rFonts w:ascii="Cambria Math" w:hAnsi="Cambria Math" w:cs="Arial"/>
              </w:rPr>
              <m:t>ing</m:t>
            </m:r>
          </m:sub>
        </m:sSub>
      </m:oMath>
      <w:r w:rsidRPr="008F2AAD">
        <w:rPr>
          <w:rFonts w:ascii="Arial" w:hAnsi="Arial" w:cs="Arial"/>
        </w:rPr>
        <w:t xml:space="preserve">, </w:t>
      </w:r>
      <m:oMath>
        <m:sSub>
          <m:sSubPr>
            <m:ctrlPr>
              <w:rPr>
                <w:rFonts w:ascii="Cambria Math" w:hAnsi="Cambria Math" w:cs="Arial"/>
                <w:i/>
              </w:rPr>
            </m:ctrlPr>
          </m:sSubPr>
          <m:e>
            <m:r>
              <w:rPr>
                <w:rFonts w:ascii="Cambria Math" w:hAnsi="Cambria Math" w:cs="Arial"/>
              </w:rPr>
              <m:t>HQ</m:t>
            </m:r>
          </m:e>
          <m:sub>
            <m:r>
              <w:rPr>
                <w:rFonts w:ascii="Cambria Math" w:hAnsi="Cambria Math" w:cs="Arial"/>
              </w:rPr>
              <m:t>inh</m:t>
            </m:r>
          </m:sub>
        </m:sSub>
      </m:oMath>
      <w:r w:rsidRPr="008F2AAD">
        <w:rPr>
          <w:rFonts w:ascii="Arial" w:hAnsi="Arial" w:cs="Arial"/>
        </w:rPr>
        <w:t xml:space="preserve">, and </w:t>
      </w:r>
      <m:oMath>
        <m:sSub>
          <m:sSubPr>
            <m:ctrlPr>
              <w:rPr>
                <w:rFonts w:ascii="Cambria Math" w:hAnsi="Cambria Math" w:cs="Arial"/>
                <w:i/>
              </w:rPr>
            </m:ctrlPr>
          </m:sSubPr>
          <m:e>
            <m:r>
              <w:rPr>
                <w:rFonts w:ascii="Cambria Math" w:hAnsi="Cambria Math" w:cs="Arial"/>
              </w:rPr>
              <m:t>HQ</m:t>
            </m:r>
          </m:e>
          <m:sub>
            <m:r>
              <w:rPr>
                <w:rFonts w:ascii="Cambria Math" w:hAnsi="Cambria Math" w:cs="Arial"/>
              </w:rPr>
              <m:t>der</m:t>
            </m:r>
          </m:sub>
        </m:sSub>
      </m:oMath>
      <w:r w:rsidRPr="008F2AAD">
        <w:rPr>
          <w:rFonts w:ascii="Arial" w:hAnsi="Arial" w:cs="Arial"/>
        </w:rPr>
        <w:t xml:space="preserve"> respectively. The heavy metal's reference concentration (mg/m</w:t>
      </w:r>
      <w:r w:rsidRPr="008F2AAD">
        <w:rPr>
          <w:rFonts w:ascii="Arial" w:hAnsi="Arial" w:cs="Arial"/>
          <w:vertAlign w:val="superscript"/>
        </w:rPr>
        <w:t>3</w:t>
      </w:r>
      <w:r w:rsidRPr="008F2AAD">
        <w:rPr>
          <w:rFonts w:ascii="Arial" w:hAnsi="Arial" w:cs="Arial"/>
        </w:rPr>
        <w:t xml:space="preserve">) and dose (mg/kg-day) are denoted by </w:t>
      </w:r>
      <w:proofErr w:type="spellStart"/>
      <w:r w:rsidRPr="008F2AAD">
        <w:rPr>
          <w:rFonts w:ascii="Arial" w:hAnsi="Arial" w:cs="Arial"/>
        </w:rPr>
        <w:t>RfC</w:t>
      </w:r>
      <w:proofErr w:type="spellEnd"/>
      <w:r w:rsidRPr="008F2AAD">
        <w:rPr>
          <w:rFonts w:ascii="Arial" w:hAnsi="Arial" w:cs="Arial"/>
        </w:rPr>
        <w:t xml:space="preserve"> and </w:t>
      </w:r>
      <w:proofErr w:type="spellStart"/>
      <w:r w:rsidRPr="008F2AAD">
        <w:rPr>
          <w:rFonts w:ascii="Arial" w:hAnsi="Arial" w:cs="Arial"/>
        </w:rPr>
        <w:t>RfD</w:t>
      </w:r>
      <w:proofErr w:type="spellEnd"/>
      <w:r w:rsidRPr="008F2AAD">
        <w:rPr>
          <w:rFonts w:ascii="Arial" w:hAnsi="Arial" w:cs="Arial"/>
        </w:rPr>
        <w:t xml:space="preserve">, respectively. [22] provided the </w:t>
      </w:r>
      <w:proofErr w:type="spellStart"/>
      <w:r w:rsidRPr="008F2AAD">
        <w:rPr>
          <w:rFonts w:ascii="Arial" w:hAnsi="Arial" w:cs="Arial"/>
        </w:rPr>
        <w:t>RfD</w:t>
      </w:r>
      <w:proofErr w:type="spellEnd"/>
      <w:r w:rsidRPr="008F2AAD">
        <w:rPr>
          <w:rFonts w:ascii="Arial" w:hAnsi="Arial" w:cs="Arial"/>
        </w:rPr>
        <w:t xml:space="preserve"> and </w:t>
      </w:r>
      <w:proofErr w:type="spellStart"/>
      <w:r w:rsidRPr="008F2AAD">
        <w:rPr>
          <w:rFonts w:ascii="Arial" w:hAnsi="Arial" w:cs="Arial"/>
        </w:rPr>
        <w:t>RfC</w:t>
      </w:r>
      <w:proofErr w:type="spellEnd"/>
      <w:r w:rsidRPr="008F2AAD">
        <w:rPr>
          <w:rFonts w:ascii="Arial" w:hAnsi="Arial" w:cs="Arial"/>
        </w:rPr>
        <w:t xml:space="preserve"> values for the heavy metals under investigation. While hazard quotient values &gt;1 suggest the possibility of negative health impacts, HQ values ≤1 show no major or tolerable risk [25]. The health dangers linked with exposure to several metals are predictable via the hazard index (HI). The following formula can be used to determine the hazard index (HI), which is the summation of the hazard quotients (</w:t>
      </w:r>
      <m:oMath>
        <m:sSub>
          <m:sSubPr>
            <m:ctrlPr>
              <w:rPr>
                <w:rFonts w:ascii="Cambria Math" w:hAnsi="Cambria Math" w:cs="Arial"/>
                <w:i/>
              </w:rPr>
            </m:ctrlPr>
          </m:sSubPr>
          <m:e>
            <m:r>
              <w:rPr>
                <w:rFonts w:ascii="Cambria Math" w:hAnsi="Cambria Math" w:cs="Arial"/>
              </w:rPr>
              <m:t>HQ</m:t>
            </m:r>
          </m:e>
          <m:sub>
            <m:r>
              <w:rPr>
                <w:rFonts w:ascii="Cambria Math" w:hAnsi="Cambria Math" w:cs="Arial"/>
              </w:rPr>
              <m:t>k</m:t>
            </m:r>
          </m:sub>
        </m:sSub>
      </m:oMath>
      <w:r w:rsidRPr="008F2AAD">
        <w:rPr>
          <w:rFonts w:ascii="Arial" w:hAnsi="Arial" w:cs="Arial"/>
        </w:rPr>
        <w:t>) of each metal "k" [21].</w:t>
      </w:r>
    </w:p>
    <w:p w14:paraId="1AF012C1" w14:textId="77777777" w:rsidR="008F2AAD" w:rsidRDefault="008F2AAD" w:rsidP="008F2AAD">
      <w:pPr>
        <w:pStyle w:val="Body"/>
        <w:spacing w:after="0"/>
        <w:rPr>
          <w:rFonts w:ascii="Arial" w:hAnsi="Arial" w:cs="Arial"/>
        </w:rPr>
      </w:pPr>
      <w:r w:rsidRPr="008F2AAD">
        <w:rPr>
          <w:rFonts w:ascii="Arial" w:hAnsi="Arial" w:cs="Arial"/>
        </w:rPr>
        <w:t xml:space="preserve">  </w:t>
      </w:r>
      <w:r w:rsidRPr="008F2AAD">
        <w:rPr>
          <w:rFonts w:ascii="Arial" w:hAnsi="Arial" w:cs="Arial"/>
        </w:rPr>
        <w:tab/>
      </w:r>
      <w:r w:rsidRPr="008F2AAD">
        <w:rPr>
          <w:rFonts w:ascii="Arial" w:hAnsi="Arial" w:cs="Arial"/>
        </w:rPr>
        <w:tab/>
      </w:r>
      <m:oMath>
        <m:r>
          <w:rPr>
            <w:rFonts w:ascii="Cambria Math" w:hAnsi="Cambria Math" w:cs="Arial"/>
          </w:rPr>
          <m:t>HI=</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HQ</m:t>
                </m:r>
              </m:e>
              <m:sub>
                <m:r>
                  <w:rPr>
                    <w:rFonts w:ascii="Cambria Math" w:hAnsi="Cambria Math" w:cs="Arial"/>
                  </w:rPr>
                  <m:t>k</m:t>
                </m:r>
              </m:sub>
            </m:sSub>
          </m:e>
        </m:nary>
      </m:oMath>
      <w:r w:rsidRPr="008F2AAD">
        <w:rPr>
          <w:rFonts w:ascii="Arial" w:hAnsi="Arial" w:cs="Arial"/>
        </w:rPr>
        <w:t xml:space="preserve">                                      </w:t>
      </w:r>
      <w:r w:rsidR="00F95DD9">
        <w:rPr>
          <w:rFonts w:ascii="Arial" w:hAnsi="Arial" w:cs="Arial"/>
        </w:rPr>
        <w:tab/>
      </w:r>
      <w:r w:rsidRPr="008F2AAD">
        <w:rPr>
          <w:rFonts w:ascii="Arial" w:hAnsi="Arial" w:cs="Arial"/>
        </w:rPr>
        <w:t>(7)</w:t>
      </w:r>
    </w:p>
    <w:p w14:paraId="070C33B5" w14:textId="77777777" w:rsidR="00E1519B" w:rsidRPr="00D026B0" w:rsidRDefault="00D026B0" w:rsidP="00E1519B">
      <w:pPr>
        <w:pStyle w:val="Body"/>
        <w:spacing w:after="0"/>
        <w:rPr>
          <w:rFonts w:ascii="Arial" w:hAnsi="Arial" w:cs="Arial"/>
          <w:b/>
          <w:i/>
        </w:rPr>
      </w:pPr>
      <w:r w:rsidRPr="00D026B0">
        <w:rPr>
          <w:rFonts w:ascii="Arial" w:hAnsi="Arial" w:cs="Arial"/>
          <w:b/>
          <w:i/>
        </w:rPr>
        <w:t>2.4.</w:t>
      </w:r>
      <w:r w:rsidR="00450D61">
        <w:rPr>
          <w:rFonts w:ascii="Arial" w:hAnsi="Arial" w:cs="Arial"/>
          <w:b/>
          <w:i/>
        </w:rPr>
        <w:t>2</w:t>
      </w:r>
      <w:r w:rsidRPr="00D026B0">
        <w:rPr>
          <w:rFonts w:ascii="Arial" w:hAnsi="Arial" w:cs="Arial"/>
          <w:b/>
          <w:i/>
        </w:rPr>
        <w:t xml:space="preserve"> </w:t>
      </w:r>
      <w:r w:rsidR="00E1519B" w:rsidRPr="00D026B0">
        <w:rPr>
          <w:rFonts w:ascii="Arial" w:hAnsi="Arial" w:cs="Arial"/>
          <w:b/>
          <w:i/>
        </w:rPr>
        <w:t>Lifetime Cancer Risk</w:t>
      </w:r>
    </w:p>
    <w:p w14:paraId="7A286611" w14:textId="77777777" w:rsidR="00E1519B" w:rsidRPr="00E1519B" w:rsidRDefault="00E1519B" w:rsidP="00E1519B">
      <w:pPr>
        <w:pStyle w:val="Body"/>
        <w:rPr>
          <w:rFonts w:ascii="Arial" w:hAnsi="Arial" w:cs="Arial"/>
        </w:rPr>
      </w:pPr>
      <w:r w:rsidRPr="00E1519B">
        <w:rPr>
          <w:rFonts w:ascii="Arial" w:hAnsi="Arial" w:cs="Arial"/>
        </w:rPr>
        <w:t>Equations (8, 9), and (10) for dermal contact, ingestion, and inhalation respectively, can be used to approximate the lifetime risk of acquiring cancer owing to human exposure to these carcinogens (ILCR) [26].</w:t>
      </w:r>
    </w:p>
    <w:p w14:paraId="7AE086AB" w14:textId="77777777" w:rsidR="00E1519B" w:rsidRPr="00E1519B" w:rsidRDefault="00004AC9" w:rsidP="00F95DD9">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ILCR</m:t>
            </m:r>
          </m:e>
          <m:sub>
            <m:r>
              <w:rPr>
                <w:rFonts w:ascii="Cambria Math" w:hAnsi="Cambria Math" w:cs="Arial"/>
              </w:rPr>
              <m:t>ing</m:t>
            </m:r>
          </m:sub>
        </m:sSub>
        <m:r>
          <w:rPr>
            <w:rFonts w:ascii="Cambria Math" w:hAnsi="Cambria Math" w:cs="Arial"/>
          </w:rPr>
          <m:t>=</m:t>
        </m:r>
        <m:r>
          <w:rPr>
            <w:rFonts w:ascii="Cambria Math" w:hAnsi="Cambria Math" w:cs="Arial"/>
          </w:rPr>
          <m:t>ADD</m:t>
        </m:r>
        <m:r>
          <w:rPr>
            <w:rFonts w:ascii="Cambria Math" w:hAnsi="Cambria Math" w:cs="Arial"/>
          </w:rPr>
          <m:t>×</m:t>
        </m:r>
        <m:r>
          <w:rPr>
            <w:rFonts w:ascii="Cambria Math" w:hAnsi="Cambria Math" w:cs="Arial"/>
          </w:rPr>
          <m:t>SF</m:t>
        </m:r>
      </m:oMath>
      <w:r w:rsidR="00E1519B" w:rsidRPr="00E1519B">
        <w:rPr>
          <w:rFonts w:ascii="Arial" w:hAnsi="Arial" w:cs="Arial"/>
        </w:rPr>
        <w:tab/>
      </w:r>
      <w:r w:rsidR="00E1519B" w:rsidRPr="00E1519B">
        <w:rPr>
          <w:rFonts w:ascii="Arial" w:hAnsi="Arial" w:cs="Arial"/>
        </w:rPr>
        <w:tab/>
      </w:r>
      <w:r w:rsidR="00F95DD9">
        <w:rPr>
          <w:rFonts w:ascii="Arial" w:hAnsi="Arial" w:cs="Arial"/>
        </w:rPr>
        <w:tab/>
      </w:r>
      <w:r w:rsidR="00F95DD9">
        <w:rPr>
          <w:rFonts w:ascii="Arial" w:hAnsi="Arial" w:cs="Arial"/>
        </w:rPr>
        <w:tab/>
      </w:r>
      <w:r w:rsidR="00E1519B" w:rsidRPr="00E1519B">
        <w:rPr>
          <w:rFonts w:ascii="Arial" w:hAnsi="Arial" w:cs="Arial"/>
        </w:rPr>
        <w:t>(8)</w:t>
      </w:r>
    </w:p>
    <w:p w14:paraId="129B4EED" w14:textId="77777777" w:rsidR="00E1519B" w:rsidRPr="00E1519B" w:rsidRDefault="00004AC9" w:rsidP="00F95DD9">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I</m:t>
            </m:r>
            <m:r>
              <w:rPr>
                <w:rFonts w:ascii="Cambria Math" w:hAnsi="Cambria Math" w:cs="Arial"/>
              </w:rPr>
              <m:t>L</m:t>
            </m:r>
            <m:r>
              <w:rPr>
                <w:rFonts w:ascii="Cambria Math" w:hAnsi="Cambria Math" w:cs="Arial"/>
              </w:rPr>
              <m:t>CR</m:t>
            </m:r>
          </m:e>
          <m:sub>
            <m:r>
              <w:rPr>
                <w:rFonts w:ascii="Cambria Math" w:hAnsi="Cambria Math" w:cs="Arial"/>
              </w:rPr>
              <m:t>in</m:t>
            </m:r>
            <m:r>
              <w:rPr>
                <w:rFonts w:ascii="Cambria Math" w:hAnsi="Cambria Math" w:cs="Arial"/>
              </w:rPr>
              <m:t>h</m:t>
            </m:r>
          </m:sub>
        </m:sSub>
        <m:r>
          <w:rPr>
            <w:rFonts w:ascii="Cambria Math" w:hAnsi="Cambria Math" w:cs="Arial"/>
          </w:rPr>
          <m:t>=</m:t>
        </m:r>
        <m:r>
          <w:rPr>
            <w:rFonts w:ascii="Cambria Math" w:hAnsi="Cambria Math" w:cs="Arial"/>
          </w:rPr>
          <m:t>EC</m:t>
        </m:r>
        <m:r>
          <w:rPr>
            <w:rFonts w:ascii="Cambria Math" w:hAnsi="Cambria Math" w:cs="Arial"/>
          </w:rPr>
          <m:t>×</m:t>
        </m:r>
        <m:r>
          <w:rPr>
            <w:rFonts w:ascii="Cambria Math" w:hAnsi="Cambria Math" w:cs="Arial"/>
          </w:rPr>
          <m:t>IUR</m:t>
        </m:r>
      </m:oMath>
      <w:r w:rsidR="00E1519B" w:rsidRPr="00E1519B">
        <w:rPr>
          <w:rFonts w:ascii="Arial" w:hAnsi="Arial" w:cs="Arial"/>
        </w:rPr>
        <w:tab/>
      </w:r>
      <w:r w:rsidR="00E1519B" w:rsidRPr="00E1519B">
        <w:rPr>
          <w:rFonts w:ascii="Arial" w:hAnsi="Arial" w:cs="Arial"/>
        </w:rPr>
        <w:tab/>
      </w:r>
      <w:r w:rsidR="00E1519B" w:rsidRPr="00E1519B">
        <w:rPr>
          <w:rFonts w:ascii="Arial" w:hAnsi="Arial" w:cs="Arial"/>
        </w:rPr>
        <w:tab/>
      </w:r>
      <w:r w:rsidR="00F95DD9">
        <w:rPr>
          <w:rFonts w:ascii="Arial" w:hAnsi="Arial" w:cs="Arial"/>
        </w:rPr>
        <w:tab/>
      </w:r>
      <w:r w:rsidR="00E1519B" w:rsidRPr="00E1519B">
        <w:rPr>
          <w:rFonts w:ascii="Arial" w:hAnsi="Arial" w:cs="Arial"/>
        </w:rPr>
        <w:t>(9)</w:t>
      </w:r>
    </w:p>
    <w:p w14:paraId="6B2F96DD" w14:textId="77777777" w:rsidR="00E1519B" w:rsidRPr="00E1519B" w:rsidRDefault="00004AC9" w:rsidP="00F95DD9">
      <w:pPr>
        <w:pStyle w:val="Body"/>
        <w:spacing w:after="0"/>
        <w:ind w:firstLine="720"/>
        <w:rPr>
          <w:rFonts w:ascii="Arial" w:hAnsi="Arial" w:cs="Arial"/>
        </w:rPr>
      </w:pPr>
      <m:oMath>
        <m:sSub>
          <m:sSubPr>
            <m:ctrlPr>
              <w:rPr>
                <w:rFonts w:ascii="Cambria Math" w:hAnsi="Cambria Math" w:cs="Arial"/>
                <w:i/>
              </w:rPr>
            </m:ctrlPr>
          </m:sSubPr>
          <m:e>
            <m:r>
              <w:rPr>
                <w:rFonts w:ascii="Cambria Math" w:hAnsi="Cambria Math" w:cs="Arial"/>
              </w:rPr>
              <m:t>ILCR</m:t>
            </m:r>
          </m:e>
          <m:sub>
            <m:r>
              <w:rPr>
                <w:rFonts w:ascii="Cambria Math" w:hAnsi="Cambria Math" w:cs="Arial"/>
              </w:rPr>
              <m:t>der</m:t>
            </m:r>
          </m:sub>
        </m:sSub>
        <m:r>
          <w:rPr>
            <w:rFonts w:ascii="Cambria Math" w:hAnsi="Cambria Math" w:cs="Arial"/>
          </w:rPr>
          <m:t>=</m:t>
        </m:r>
        <m:r>
          <w:rPr>
            <w:rFonts w:ascii="Cambria Math" w:hAnsi="Cambria Math" w:cs="Arial"/>
          </w:rPr>
          <m:t>DAD</m:t>
        </m:r>
        <m:r>
          <w:rPr>
            <w:rFonts w:ascii="Cambria Math" w:hAnsi="Cambria Math" w:cs="Arial"/>
          </w:rPr>
          <m:t>×</m:t>
        </m:r>
        <m:r>
          <w:rPr>
            <w:rFonts w:ascii="Cambria Math" w:hAnsi="Cambria Math" w:cs="Arial"/>
          </w:rPr>
          <m:t>SF</m:t>
        </m:r>
      </m:oMath>
      <w:r w:rsidR="00E1519B" w:rsidRPr="00E1519B">
        <w:rPr>
          <w:rFonts w:ascii="Arial" w:hAnsi="Arial" w:cs="Arial"/>
        </w:rPr>
        <w:tab/>
      </w:r>
      <w:r w:rsidR="00E1519B" w:rsidRPr="00E1519B">
        <w:rPr>
          <w:rFonts w:ascii="Arial" w:hAnsi="Arial" w:cs="Arial"/>
        </w:rPr>
        <w:tab/>
      </w:r>
      <w:r w:rsidR="00F95DD9">
        <w:rPr>
          <w:rFonts w:ascii="Arial" w:hAnsi="Arial" w:cs="Arial"/>
        </w:rPr>
        <w:tab/>
      </w:r>
      <w:r w:rsidR="00F95DD9">
        <w:rPr>
          <w:rFonts w:ascii="Arial" w:hAnsi="Arial" w:cs="Arial"/>
        </w:rPr>
        <w:tab/>
      </w:r>
      <w:r w:rsidR="00E1519B" w:rsidRPr="00E1519B">
        <w:rPr>
          <w:rFonts w:ascii="Arial" w:hAnsi="Arial" w:cs="Arial"/>
        </w:rPr>
        <w:t>(10)</w:t>
      </w:r>
      <w:r w:rsidR="00F95DD9">
        <w:rPr>
          <w:rFonts w:ascii="Arial" w:hAnsi="Arial" w:cs="Arial"/>
        </w:rPr>
        <w:tab/>
      </w:r>
    </w:p>
    <w:p w14:paraId="1BBB820A" w14:textId="77777777" w:rsidR="00E1519B" w:rsidRPr="00E1519B" w:rsidRDefault="00E1519B" w:rsidP="00E1519B">
      <w:pPr>
        <w:pStyle w:val="Body"/>
        <w:spacing w:after="0"/>
        <w:rPr>
          <w:rFonts w:ascii="Arial" w:hAnsi="Arial" w:cs="Arial"/>
        </w:rPr>
      </w:pPr>
      <w:r w:rsidRPr="00E1519B">
        <w:rPr>
          <w:rFonts w:ascii="Arial" w:hAnsi="Arial" w:cs="Arial"/>
        </w:rPr>
        <w:t xml:space="preserve">Where, </w:t>
      </w:r>
      <m:oMath>
        <m:sSub>
          <m:sSubPr>
            <m:ctrlPr>
              <w:rPr>
                <w:rFonts w:ascii="Cambria Math" w:hAnsi="Cambria Math" w:cs="Arial"/>
                <w:i/>
              </w:rPr>
            </m:ctrlPr>
          </m:sSubPr>
          <m:e>
            <m:r>
              <w:rPr>
                <w:rFonts w:ascii="Cambria Math" w:hAnsi="Cambria Math" w:cs="Arial"/>
              </w:rPr>
              <m:t>ILCR</m:t>
            </m:r>
          </m:e>
          <m:sub>
            <m:r>
              <w:rPr>
                <w:rFonts w:ascii="Cambria Math" w:hAnsi="Cambria Math" w:cs="Arial"/>
              </w:rPr>
              <m:t>ing</m:t>
            </m:r>
          </m:sub>
        </m:sSub>
      </m:oMath>
      <w:r w:rsidRPr="00E1519B">
        <w:rPr>
          <w:rFonts w:ascii="Arial" w:hAnsi="Arial" w:cs="Arial"/>
        </w:rPr>
        <w:t xml:space="preserve">, </w:t>
      </w:r>
      <m:oMath>
        <m:sSub>
          <m:sSubPr>
            <m:ctrlPr>
              <w:rPr>
                <w:rFonts w:ascii="Cambria Math" w:hAnsi="Cambria Math" w:cs="Arial"/>
                <w:i/>
              </w:rPr>
            </m:ctrlPr>
          </m:sSubPr>
          <m:e>
            <m:r>
              <w:rPr>
                <w:rFonts w:ascii="Cambria Math" w:hAnsi="Cambria Math" w:cs="Arial"/>
              </w:rPr>
              <m:t>ILCR</m:t>
            </m:r>
          </m:e>
          <m:sub>
            <m:r>
              <w:rPr>
                <w:rFonts w:ascii="Cambria Math" w:hAnsi="Cambria Math" w:cs="Arial"/>
              </w:rPr>
              <m:t>inh</m:t>
            </m:r>
          </m:sub>
        </m:sSub>
      </m:oMath>
      <w:r w:rsidRPr="00E1519B">
        <w:rPr>
          <w:rFonts w:ascii="Arial" w:hAnsi="Arial" w:cs="Arial"/>
        </w:rPr>
        <w:t xml:space="preserve">, and </w:t>
      </w:r>
      <m:oMath>
        <m:sSub>
          <m:sSubPr>
            <m:ctrlPr>
              <w:rPr>
                <w:rFonts w:ascii="Cambria Math" w:hAnsi="Cambria Math" w:cs="Arial"/>
                <w:i/>
              </w:rPr>
            </m:ctrlPr>
          </m:sSubPr>
          <m:e>
            <m:r>
              <w:rPr>
                <w:rFonts w:ascii="Cambria Math" w:hAnsi="Cambria Math" w:cs="Arial"/>
              </w:rPr>
              <m:t>ILCR</m:t>
            </m:r>
          </m:e>
          <m:sub>
            <m:r>
              <w:rPr>
                <w:rFonts w:ascii="Cambria Math" w:hAnsi="Cambria Math" w:cs="Arial"/>
              </w:rPr>
              <m:t>der</m:t>
            </m:r>
          </m:sub>
        </m:sSub>
      </m:oMath>
      <w:r w:rsidRPr="00E1519B">
        <w:rPr>
          <w:rFonts w:ascii="Arial" w:hAnsi="Arial" w:cs="Arial"/>
        </w:rPr>
        <w:t xml:space="preserve"> are increasing lifetime cancer risks through dermal contact, ingestion, and inhalation correspondingly. SF is the Slope Factor (mg/kg-day)</w:t>
      </w:r>
      <w:r w:rsidRPr="00E1519B">
        <w:rPr>
          <w:rFonts w:ascii="Arial" w:hAnsi="Arial" w:cs="Arial"/>
          <w:vertAlign w:val="superscript"/>
        </w:rPr>
        <w:t>-1</w:t>
      </w:r>
      <w:r w:rsidRPr="00E1519B">
        <w:rPr>
          <w:rFonts w:ascii="Arial" w:hAnsi="Arial" w:cs="Arial"/>
        </w:rPr>
        <w:t xml:space="preserve"> and IUR is the inhalation unit risk ((µg/m</w:t>
      </w:r>
      <w:r w:rsidRPr="00E1519B">
        <w:rPr>
          <w:rFonts w:ascii="Arial" w:hAnsi="Arial" w:cs="Arial"/>
          <w:vertAlign w:val="superscript"/>
        </w:rPr>
        <w:t>3</w:t>
      </w:r>
      <w:r w:rsidRPr="00E1519B">
        <w:rPr>
          <w:rFonts w:ascii="Arial" w:hAnsi="Arial" w:cs="Arial"/>
        </w:rPr>
        <w:t>))</w:t>
      </w:r>
      <w:r w:rsidRPr="00E1519B">
        <w:rPr>
          <w:rFonts w:ascii="Arial" w:hAnsi="Arial" w:cs="Arial"/>
          <w:vertAlign w:val="superscript"/>
        </w:rPr>
        <w:t>-1</w:t>
      </w:r>
      <w:r w:rsidRPr="00E1519B">
        <w:rPr>
          <w:rFonts w:ascii="Arial" w:hAnsi="Arial" w:cs="Arial"/>
        </w:rPr>
        <w:t xml:space="preserve"> SF and IUR data for carcinogenic metals were obtained from the Office of Environmental Health Hazard Assessment [27], California. The ILCR can be grouped as very low, low, moderate, high, and very high. The collective ILCR for varying carcinogenic metals (</w:t>
      </w:r>
      <w:proofErr w:type="spellStart"/>
      <w:r w:rsidRPr="00E1519B">
        <w:rPr>
          <w:rFonts w:ascii="Arial" w:hAnsi="Arial" w:cs="Arial"/>
        </w:rPr>
        <w:t>i</w:t>
      </w:r>
      <w:proofErr w:type="spellEnd"/>
      <w:r w:rsidRPr="00E1519B">
        <w:rPr>
          <w:rFonts w:ascii="Arial" w:hAnsi="Arial" w:cs="Arial"/>
        </w:rPr>
        <w:t>) is obtained by Equation (11) [28].</w:t>
      </w:r>
    </w:p>
    <w:p w14:paraId="037886E3" w14:textId="77777777" w:rsidR="00E1519B" w:rsidRPr="00E1519B" w:rsidRDefault="00E1519B" w:rsidP="00E1519B">
      <w:pPr>
        <w:pStyle w:val="Body"/>
        <w:spacing w:after="0"/>
        <w:rPr>
          <w:rFonts w:ascii="Arial" w:hAnsi="Arial" w:cs="Arial"/>
        </w:rPr>
      </w:pPr>
      <m:oMath>
        <m:r>
          <w:rPr>
            <w:rFonts w:ascii="Cambria Math" w:hAnsi="Cambria Math" w:cs="Arial"/>
          </w:rPr>
          <m:t>Cummulative ILCR=</m:t>
        </m:r>
        <m:nary>
          <m:naryPr>
            <m:chr m:val="∑"/>
            <m:limLoc m:val="undOvr"/>
            <m:subHide m:val="1"/>
            <m:supHide m:val="1"/>
            <m:ctrlPr>
              <w:rPr>
                <w:rFonts w:ascii="Cambria Math" w:hAnsi="Cambria Math" w:cs="Arial"/>
                <w:i/>
              </w:rPr>
            </m:ctrlPr>
          </m:naryPr>
          <m:sub/>
          <m:sup/>
          <m:e>
            <m:sSub>
              <m:sSubPr>
                <m:ctrlPr>
                  <w:rPr>
                    <w:rFonts w:ascii="Cambria Math" w:hAnsi="Cambria Math" w:cs="Arial"/>
                    <w:i/>
                  </w:rPr>
                </m:ctrlPr>
              </m:sSubPr>
              <m:e>
                <m:r>
                  <w:rPr>
                    <w:rFonts w:ascii="Cambria Math" w:hAnsi="Cambria Math" w:cs="Arial"/>
                  </w:rPr>
                  <m:t>ILCR</m:t>
                </m:r>
              </m:e>
              <m:sub>
                <m:r>
                  <w:rPr>
                    <w:rFonts w:ascii="Cambria Math" w:hAnsi="Cambria Math" w:cs="Arial"/>
                  </w:rPr>
                  <m:t>i</m:t>
                </m:r>
              </m:sub>
            </m:sSub>
          </m:e>
        </m:nary>
      </m:oMath>
      <w:r w:rsidRPr="00E1519B">
        <w:rPr>
          <w:rFonts w:ascii="Arial" w:hAnsi="Arial" w:cs="Arial"/>
        </w:rPr>
        <w:tab/>
        <w:t>(11)</w:t>
      </w:r>
    </w:p>
    <w:p w14:paraId="41DB705B" w14:textId="77777777" w:rsidR="00E1519B" w:rsidRPr="00E1519B" w:rsidRDefault="00E1519B" w:rsidP="00E1519B">
      <w:pPr>
        <w:pStyle w:val="Body"/>
        <w:spacing w:after="0"/>
        <w:rPr>
          <w:rFonts w:ascii="Arial" w:hAnsi="Arial" w:cs="Arial"/>
        </w:rPr>
      </w:pPr>
      <w:r w:rsidRPr="00E1519B">
        <w:rPr>
          <w:rFonts w:ascii="Arial" w:hAnsi="Arial" w:cs="Arial"/>
        </w:rPr>
        <w:t>The collective ILCR for several carcinogenic metals should be kept lower than 10</w:t>
      </w:r>
      <w:r w:rsidRPr="00E1519B">
        <w:rPr>
          <w:rFonts w:ascii="Arial" w:hAnsi="Arial" w:cs="Arial"/>
          <w:vertAlign w:val="superscript"/>
        </w:rPr>
        <w:t>-4</w:t>
      </w:r>
      <w:r w:rsidRPr="00E1519B">
        <w:rPr>
          <w:rFonts w:ascii="Arial" w:hAnsi="Arial" w:cs="Arial"/>
        </w:rPr>
        <w:t xml:space="preserve"> [29].</w:t>
      </w:r>
    </w:p>
    <w:p w14:paraId="1A722E40" w14:textId="77777777" w:rsidR="00E1519B" w:rsidRPr="008F2AAD" w:rsidRDefault="00E1519B" w:rsidP="008F2AAD">
      <w:pPr>
        <w:pStyle w:val="Body"/>
        <w:spacing w:after="0"/>
        <w:rPr>
          <w:rFonts w:ascii="Arial" w:hAnsi="Arial" w:cs="Arial"/>
        </w:rPr>
      </w:pPr>
    </w:p>
    <w:p w14:paraId="296502E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2D0D7E" w14:textId="77777777" w:rsidR="0079097F" w:rsidRPr="000B3229" w:rsidRDefault="0079097F" w:rsidP="00441B6F">
      <w:pPr>
        <w:pStyle w:val="Body"/>
        <w:spacing w:after="0"/>
        <w:rPr>
          <w:rFonts w:ascii="Arial" w:hAnsi="Arial" w:cs="Arial"/>
          <w:b/>
        </w:rPr>
      </w:pPr>
    </w:p>
    <w:p w14:paraId="126B6FBF" w14:textId="77777777" w:rsidR="000B3229" w:rsidRPr="00E93B5D" w:rsidRDefault="000B3229" w:rsidP="000B3229">
      <w:pPr>
        <w:pStyle w:val="Body"/>
        <w:spacing w:after="0"/>
        <w:rPr>
          <w:rFonts w:ascii="Arial" w:hAnsi="Arial" w:cs="Arial"/>
          <w:b/>
          <w:sz w:val="22"/>
          <w:szCs w:val="22"/>
        </w:rPr>
      </w:pPr>
      <w:r w:rsidRPr="00E93B5D">
        <w:rPr>
          <w:rFonts w:ascii="Arial" w:hAnsi="Arial" w:cs="Arial"/>
          <w:b/>
          <w:sz w:val="22"/>
          <w:szCs w:val="22"/>
        </w:rPr>
        <w:t>3.1 Concentrations of Heavy Metals</w:t>
      </w:r>
    </w:p>
    <w:p w14:paraId="3EAAA51D" w14:textId="77777777" w:rsidR="00E93B5D" w:rsidRDefault="000B3229" w:rsidP="000B3229">
      <w:pPr>
        <w:pStyle w:val="Body"/>
        <w:spacing w:after="0"/>
        <w:rPr>
          <w:rFonts w:ascii="Arial" w:hAnsi="Arial" w:cs="Arial"/>
        </w:rPr>
      </w:pPr>
      <w:r w:rsidRPr="000B3229">
        <w:rPr>
          <w:rFonts w:ascii="Arial" w:hAnsi="Arial" w:cs="Arial"/>
        </w:rPr>
        <w:t xml:space="preserve">Table 2 summarizes the concentration of selected heavy metals at Mobile Matt (MM), </w:t>
      </w:r>
      <w:proofErr w:type="spellStart"/>
      <w:r w:rsidRPr="000B3229">
        <w:rPr>
          <w:rFonts w:ascii="Arial" w:hAnsi="Arial" w:cs="Arial"/>
        </w:rPr>
        <w:t>Uqua</w:t>
      </w:r>
      <w:proofErr w:type="spellEnd"/>
      <w:r w:rsidRPr="000B3229">
        <w:rPr>
          <w:rFonts w:ascii="Arial" w:hAnsi="Arial" w:cs="Arial"/>
        </w:rPr>
        <w:t xml:space="preserve"> Junction (UJ), and Marina Junction (MJ) in mg/m</w:t>
      </w:r>
      <w:r w:rsidRPr="000B3229">
        <w:rPr>
          <w:rFonts w:ascii="Arial" w:hAnsi="Arial" w:cs="Arial"/>
          <w:vertAlign w:val="superscript"/>
        </w:rPr>
        <w:t>3</w:t>
      </w:r>
      <w:r w:rsidRPr="000B3229">
        <w:rPr>
          <w:rFonts w:ascii="Arial" w:hAnsi="Arial" w:cs="Arial"/>
        </w:rPr>
        <w:t xml:space="preserve"> compared with inhalation reference concentration (</w:t>
      </w:r>
      <w:proofErr w:type="spellStart"/>
      <w:r w:rsidRPr="000B3229">
        <w:rPr>
          <w:rFonts w:ascii="Arial" w:hAnsi="Arial" w:cs="Arial"/>
        </w:rPr>
        <w:t>RfC</w:t>
      </w:r>
      <w:proofErr w:type="spellEnd"/>
      <w:r w:rsidRPr="000B3229">
        <w:rPr>
          <w:rFonts w:ascii="Arial" w:hAnsi="Arial" w:cs="Arial"/>
        </w:rPr>
        <w:t xml:space="preserve">) [30]. The 15-minute’ average concentrations of the metals at Mobile Matt, </w:t>
      </w:r>
      <w:proofErr w:type="spellStart"/>
      <w:r w:rsidRPr="000B3229">
        <w:rPr>
          <w:rFonts w:ascii="Arial" w:hAnsi="Arial" w:cs="Arial"/>
        </w:rPr>
        <w:t>Uqua</w:t>
      </w:r>
      <w:proofErr w:type="spellEnd"/>
      <w:r w:rsidRPr="000B3229">
        <w:rPr>
          <w:rFonts w:ascii="Arial" w:hAnsi="Arial" w:cs="Arial"/>
        </w:rPr>
        <w:t xml:space="preserve"> Junction, and Marina Junction range as: 314 – 823 (mg/m</w:t>
      </w:r>
      <w:r w:rsidRPr="000B3229">
        <w:rPr>
          <w:rFonts w:ascii="Arial" w:hAnsi="Arial" w:cs="Arial"/>
          <w:vertAlign w:val="superscript"/>
        </w:rPr>
        <w:t>3</w:t>
      </w:r>
      <w:r w:rsidRPr="000B3229">
        <w:rPr>
          <w:rFonts w:ascii="Arial" w:hAnsi="Arial" w:cs="Arial"/>
        </w:rPr>
        <w:t>) for Cr, 63 – 165 (mg/m</w:t>
      </w:r>
      <w:r w:rsidRPr="000B3229">
        <w:rPr>
          <w:rFonts w:ascii="Arial" w:hAnsi="Arial" w:cs="Arial"/>
          <w:vertAlign w:val="superscript"/>
        </w:rPr>
        <w:t>3</w:t>
      </w:r>
      <w:r w:rsidRPr="000B3229">
        <w:rPr>
          <w:rFonts w:ascii="Arial" w:hAnsi="Arial" w:cs="Arial"/>
        </w:rPr>
        <w:t xml:space="preserve">) for </w:t>
      </w:r>
      <w:r w:rsidR="00E93B5D">
        <w:rPr>
          <w:rFonts w:ascii="Arial" w:hAnsi="Arial" w:cs="Arial"/>
        </w:rPr>
        <w:t>Cd,</w:t>
      </w:r>
      <w:r w:rsidRPr="000B3229">
        <w:rPr>
          <w:rFonts w:ascii="Arial" w:hAnsi="Arial" w:cs="Arial"/>
        </w:rPr>
        <w:t xml:space="preserve"> 1 – 3 (mg/m</w:t>
      </w:r>
      <w:r w:rsidRPr="000B3229">
        <w:rPr>
          <w:rFonts w:ascii="Arial" w:hAnsi="Arial" w:cs="Arial"/>
          <w:vertAlign w:val="superscript"/>
        </w:rPr>
        <w:t>3</w:t>
      </w:r>
      <w:r w:rsidRPr="000B3229">
        <w:rPr>
          <w:rFonts w:ascii="Arial" w:hAnsi="Arial" w:cs="Arial"/>
        </w:rPr>
        <w:t>) for Cu, 3 – 28 (mg/m</w:t>
      </w:r>
      <w:r w:rsidRPr="000B3229">
        <w:rPr>
          <w:rFonts w:ascii="Arial" w:hAnsi="Arial" w:cs="Arial"/>
          <w:vertAlign w:val="superscript"/>
        </w:rPr>
        <w:t>3</w:t>
      </w:r>
      <w:r w:rsidRPr="000B3229">
        <w:rPr>
          <w:rFonts w:ascii="Arial" w:hAnsi="Arial" w:cs="Arial"/>
        </w:rPr>
        <w:t>) for Pb, 284 – 412 (mg/m</w:t>
      </w:r>
      <w:r w:rsidRPr="000B3229">
        <w:rPr>
          <w:rFonts w:ascii="Arial" w:hAnsi="Arial" w:cs="Arial"/>
          <w:vertAlign w:val="superscript"/>
        </w:rPr>
        <w:t>3</w:t>
      </w:r>
      <w:r w:rsidRPr="000B3229">
        <w:rPr>
          <w:rFonts w:ascii="Arial" w:hAnsi="Arial" w:cs="Arial"/>
        </w:rPr>
        <w:t>) for Mn, 1 (mg/m</w:t>
      </w:r>
      <w:r w:rsidRPr="000B3229">
        <w:rPr>
          <w:rFonts w:ascii="Arial" w:hAnsi="Arial" w:cs="Arial"/>
          <w:vertAlign w:val="superscript"/>
        </w:rPr>
        <w:t>3</w:t>
      </w:r>
      <w:r w:rsidRPr="000B3229">
        <w:rPr>
          <w:rFonts w:ascii="Arial" w:hAnsi="Arial" w:cs="Arial"/>
        </w:rPr>
        <w:t>) at the three sampling locations for As, 73 – 202 (mg/m</w:t>
      </w:r>
      <w:r w:rsidRPr="000B3229">
        <w:rPr>
          <w:rFonts w:ascii="Arial" w:hAnsi="Arial" w:cs="Arial"/>
          <w:vertAlign w:val="superscript"/>
        </w:rPr>
        <w:t>3</w:t>
      </w:r>
      <w:r w:rsidRPr="000B3229">
        <w:rPr>
          <w:rFonts w:ascii="Arial" w:hAnsi="Arial" w:cs="Arial"/>
        </w:rPr>
        <w:t>) for Ni respectively. The average concentration of all the measured heavy met</w:t>
      </w:r>
      <w:r w:rsidR="00E93B5D">
        <w:rPr>
          <w:rFonts w:ascii="Arial" w:hAnsi="Arial" w:cs="Arial"/>
        </w:rPr>
        <w:t>als Cr, Cd, Cu, Pb, Mn, As, and</w:t>
      </w:r>
    </w:p>
    <w:p w14:paraId="338D2240" w14:textId="77777777" w:rsidR="000B3229" w:rsidRPr="000B3229" w:rsidRDefault="000B3229" w:rsidP="000B3229">
      <w:pPr>
        <w:pStyle w:val="Body"/>
        <w:spacing w:after="0"/>
        <w:rPr>
          <w:rFonts w:ascii="Arial" w:hAnsi="Arial" w:cs="Arial"/>
        </w:rPr>
      </w:pPr>
      <w:r w:rsidRPr="000B3229">
        <w:rPr>
          <w:rFonts w:ascii="Arial" w:hAnsi="Arial" w:cs="Arial"/>
        </w:rPr>
        <w:t xml:space="preserve"> Ni exceeds the inhalation reference concentration [30]. The key sources of heavy metals atmospheric pollution may include the resuspension of dust, traffic, incineration, industrial activities, combustion of fossil fuels, etc.</w:t>
      </w:r>
    </w:p>
    <w:p w14:paraId="4867CD7D" w14:textId="77777777" w:rsidR="000B3229" w:rsidRDefault="000B3229" w:rsidP="000B3229">
      <w:pPr>
        <w:pStyle w:val="Body"/>
        <w:rPr>
          <w:rFonts w:ascii="Arial" w:hAnsi="Arial" w:cs="Arial"/>
          <w:b/>
        </w:rPr>
      </w:pPr>
    </w:p>
    <w:p w14:paraId="5142FEE3" w14:textId="77777777" w:rsidR="000B3229" w:rsidRPr="000B3229" w:rsidRDefault="000B3229" w:rsidP="000B3229">
      <w:pPr>
        <w:pStyle w:val="Body"/>
        <w:spacing w:after="0"/>
        <w:rPr>
          <w:rFonts w:ascii="Arial" w:hAnsi="Arial" w:cs="Arial"/>
          <w:b/>
        </w:rPr>
      </w:pPr>
      <w:r w:rsidRPr="000B3229">
        <w:rPr>
          <w:rFonts w:ascii="Arial" w:hAnsi="Arial" w:cs="Arial"/>
          <w:b/>
        </w:rPr>
        <w:t xml:space="preserve">Table 2 </w:t>
      </w:r>
      <w:proofErr w:type="spellStart"/>
      <w:r w:rsidRPr="000B3229">
        <w:rPr>
          <w:rFonts w:ascii="Arial" w:hAnsi="Arial" w:cs="Arial"/>
          <w:b/>
        </w:rPr>
        <w:t>Smmary</w:t>
      </w:r>
      <w:proofErr w:type="spellEnd"/>
      <w:r w:rsidRPr="000B3229">
        <w:rPr>
          <w:rFonts w:ascii="Arial" w:hAnsi="Arial" w:cs="Arial"/>
          <w:b/>
        </w:rPr>
        <w:t xml:space="preserve"> of Concentration of Heavy Metals (mg/m</w:t>
      </w:r>
      <w:r w:rsidRPr="000B3229">
        <w:rPr>
          <w:rFonts w:ascii="Arial" w:hAnsi="Arial" w:cs="Arial"/>
          <w:b/>
          <w:vertAlign w:val="superscript"/>
        </w:rPr>
        <w:t>3</w:t>
      </w:r>
      <w:r w:rsidRPr="000B3229">
        <w:rPr>
          <w:rFonts w:ascii="Arial" w:hAnsi="Arial" w:cs="Arial"/>
          <w:b/>
        </w:rPr>
        <w:t>)</w:t>
      </w:r>
    </w:p>
    <w:tbl>
      <w:tblPr>
        <w:tblStyle w:val="TableGrid"/>
        <w:tblW w:w="935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208"/>
        <w:gridCol w:w="1260"/>
        <w:gridCol w:w="1350"/>
        <w:gridCol w:w="4135"/>
      </w:tblGrid>
      <w:tr w:rsidR="000B3229" w:rsidRPr="000B3229" w14:paraId="17D5E697" w14:textId="77777777" w:rsidTr="000B3229">
        <w:trPr>
          <w:trHeight w:val="557"/>
        </w:trPr>
        <w:tc>
          <w:tcPr>
            <w:tcW w:w="1402" w:type="dxa"/>
            <w:tcBorders>
              <w:top w:val="single" w:sz="4" w:space="0" w:color="auto"/>
              <w:left w:val="nil"/>
              <w:bottom w:val="single" w:sz="4" w:space="0" w:color="auto"/>
              <w:right w:val="nil"/>
            </w:tcBorders>
            <w:hideMark/>
          </w:tcPr>
          <w:p w14:paraId="12393970" w14:textId="77777777" w:rsidR="000B3229" w:rsidRPr="000B3229" w:rsidRDefault="000B3229" w:rsidP="000B3229">
            <w:pPr>
              <w:pStyle w:val="Body"/>
              <w:rPr>
                <w:rFonts w:ascii="Arial" w:hAnsi="Arial" w:cs="Arial"/>
                <w:sz w:val="20"/>
              </w:rPr>
            </w:pPr>
            <w:r w:rsidRPr="000B3229">
              <w:rPr>
                <w:rFonts w:ascii="Arial" w:hAnsi="Arial" w:cs="Arial"/>
                <w:sz w:val="20"/>
              </w:rPr>
              <w:lastRenderedPageBreak/>
              <w:t>Locations/</w:t>
            </w:r>
          </w:p>
          <w:p w14:paraId="385D318A" w14:textId="77777777" w:rsidR="000B3229" w:rsidRPr="000B3229" w:rsidRDefault="000B3229" w:rsidP="000B3229">
            <w:pPr>
              <w:pStyle w:val="Body"/>
              <w:rPr>
                <w:rFonts w:ascii="Arial" w:hAnsi="Arial" w:cs="Arial"/>
                <w:sz w:val="20"/>
              </w:rPr>
            </w:pPr>
            <w:r w:rsidRPr="000B3229">
              <w:rPr>
                <w:rFonts w:ascii="Arial" w:hAnsi="Arial" w:cs="Arial"/>
                <w:sz w:val="20"/>
              </w:rPr>
              <w:t>Parameters</w:t>
            </w:r>
          </w:p>
        </w:tc>
        <w:tc>
          <w:tcPr>
            <w:tcW w:w="1208" w:type="dxa"/>
            <w:tcBorders>
              <w:top w:val="single" w:sz="4" w:space="0" w:color="auto"/>
              <w:left w:val="nil"/>
              <w:bottom w:val="single" w:sz="4" w:space="0" w:color="auto"/>
              <w:right w:val="nil"/>
            </w:tcBorders>
            <w:hideMark/>
          </w:tcPr>
          <w:p w14:paraId="6A424948" w14:textId="77777777" w:rsidR="000B3229" w:rsidRPr="000B3229" w:rsidRDefault="000B3229" w:rsidP="000B3229">
            <w:pPr>
              <w:pStyle w:val="Body"/>
              <w:rPr>
                <w:rFonts w:ascii="Arial" w:hAnsi="Arial" w:cs="Arial"/>
                <w:sz w:val="20"/>
              </w:rPr>
            </w:pPr>
            <w:r w:rsidRPr="000B3229">
              <w:rPr>
                <w:rFonts w:ascii="Arial" w:hAnsi="Arial" w:cs="Arial"/>
                <w:sz w:val="20"/>
              </w:rPr>
              <w:t>MM</w:t>
            </w:r>
          </w:p>
          <w:p w14:paraId="0C023A4F" w14:textId="77777777" w:rsidR="000B3229" w:rsidRPr="000B3229" w:rsidRDefault="000B3229" w:rsidP="000B3229">
            <w:pPr>
              <w:pStyle w:val="Body"/>
              <w:rPr>
                <w:rFonts w:ascii="Arial" w:hAnsi="Arial" w:cs="Arial"/>
                <w:sz w:val="20"/>
              </w:rPr>
            </w:pPr>
            <w:r w:rsidRPr="000B3229">
              <w:rPr>
                <w:rFonts w:ascii="Arial" w:hAnsi="Arial" w:cs="Arial"/>
                <w:sz w:val="20"/>
              </w:rPr>
              <w:t>(mg/m</w:t>
            </w:r>
            <w:r w:rsidRPr="000B3229">
              <w:rPr>
                <w:rFonts w:ascii="Arial" w:hAnsi="Arial" w:cs="Arial"/>
                <w:sz w:val="20"/>
                <w:vertAlign w:val="superscript"/>
              </w:rPr>
              <w:t>3</w:t>
            </w:r>
            <w:r w:rsidRPr="000B3229">
              <w:rPr>
                <w:rFonts w:ascii="Arial" w:hAnsi="Arial" w:cs="Arial"/>
                <w:sz w:val="20"/>
              </w:rPr>
              <w:t>)</w:t>
            </w:r>
          </w:p>
        </w:tc>
        <w:tc>
          <w:tcPr>
            <w:tcW w:w="1260" w:type="dxa"/>
            <w:tcBorders>
              <w:top w:val="single" w:sz="4" w:space="0" w:color="auto"/>
              <w:left w:val="nil"/>
              <w:bottom w:val="single" w:sz="4" w:space="0" w:color="auto"/>
              <w:right w:val="nil"/>
            </w:tcBorders>
            <w:hideMark/>
          </w:tcPr>
          <w:p w14:paraId="4C83926F" w14:textId="77777777" w:rsidR="000B3229" w:rsidRPr="000B3229" w:rsidRDefault="000B3229" w:rsidP="000B3229">
            <w:pPr>
              <w:pStyle w:val="Body"/>
              <w:rPr>
                <w:rFonts w:ascii="Arial" w:hAnsi="Arial" w:cs="Arial"/>
                <w:sz w:val="20"/>
              </w:rPr>
            </w:pPr>
            <w:r w:rsidRPr="000B3229">
              <w:rPr>
                <w:rFonts w:ascii="Arial" w:hAnsi="Arial" w:cs="Arial"/>
                <w:sz w:val="20"/>
              </w:rPr>
              <w:t>UJ</w:t>
            </w:r>
          </w:p>
          <w:p w14:paraId="6E958CD4" w14:textId="77777777" w:rsidR="000B3229" w:rsidRPr="000B3229" w:rsidRDefault="000B3229" w:rsidP="000B3229">
            <w:pPr>
              <w:pStyle w:val="Body"/>
              <w:rPr>
                <w:rFonts w:ascii="Arial" w:hAnsi="Arial" w:cs="Arial"/>
                <w:sz w:val="20"/>
              </w:rPr>
            </w:pPr>
            <w:r w:rsidRPr="000B3229">
              <w:rPr>
                <w:rFonts w:ascii="Arial" w:hAnsi="Arial" w:cs="Arial"/>
                <w:sz w:val="20"/>
              </w:rPr>
              <w:t>(mg/m</w:t>
            </w:r>
            <w:r w:rsidRPr="000B3229">
              <w:rPr>
                <w:rFonts w:ascii="Arial" w:hAnsi="Arial" w:cs="Arial"/>
                <w:sz w:val="20"/>
                <w:vertAlign w:val="superscript"/>
              </w:rPr>
              <w:t>3</w:t>
            </w:r>
            <w:r w:rsidRPr="000B3229">
              <w:rPr>
                <w:rFonts w:ascii="Arial" w:hAnsi="Arial" w:cs="Arial"/>
                <w:sz w:val="20"/>
              </w:rPr>
              <w:t>)</w:t>
            </w:r>
          </w:p>
        </w:tc>
        <w:tc>
          <w:tcPr>
            <w:tcW w:w="1350" w:type="dxa"/>
            <w:tcBorders>
              <w:top w:val="single" w:sz="4" w:space="0" w:color="auto"/>
              <w:left w:val="nil"/>
              <w:bottom w:val="single" w:sz="4" w:space="0" w:color="auto"/>
              <w:right w:val="nil"/>
            </w:tcBorders>
            <w:hideMark/>
          </w:tcPr>
          <w:p w14:paraId="7A489F6B" w14:textId="77777777" w:rsidR="000B3229" w:rsidRPr="000B3229" w:rsidRDefault="000B3229" w:rsidP="000B3229">
            <w:pPr>
              <w:pStyle w:val="Body"/>
              <w:rPr>
                <w:rFonts w:ascii="Arial" w:hAnsi="Arial" w:cs="Arial"/>
                <w:sz w:val="20"/>
              </w:rPr>
            </w:pPr>
            <w:r w:rsidRPr="000B3229">
              <w:rPr>
                <w:rFonts w:ascii="Arial" w:hAnsi="Arial" w:cs="Arial"/>
                <w:sz w:val="20"/>
              </w:rPr>
              <w:t>MJ</w:t>
            </w:r>
          </w:p>
          <w:p w14:paraId="4F18B632" w14:textId="77777777" w:rsidR="000B3229" w:rsidRPr="000B3229" w:rsidRDefault="000B3229" w:rsidP="000B3229">
            <w:pPr>
              <w:pStyle w:val="Body"/>
              <w:rPr>
                <w:rFonts w:ascii="Arial" w:hAnsi="Arial" w:cs="Arial"/>
                <w:sz w:val="20"/>
              </w:rPr>
            </w:pPr>
            <w:r w:rsidRPr="000B3229">
              <w:rPr>
                <w:rFonts w:ascii="Arial" w:hAnsi="Arial" w:cs="Arial"/>
                <w:sz w:val="20"/>
              </w:rPr>
              <w:t>(mg/m</w:t>
            </w:r>
            <w:r w:rsidRPr="000B3229">
              <w:rPr>
                <w:rFonts w:ascii="Arial" w:hAnsi="Arial" w:cs="Arial"/>
                <w:sz w:val="20"/>
                <w:vertAlign w:val="superscript"/>
              </w:rPr>
              <w:t>3</w:t>
            </w:r>
            <w:r w:rsidRPr="000B3229">
              <w:rPr>
                <w:rFonts w:ascii="Arial" w:hAnsi="Arial" w:cs="Arial"/>
                <w:sz w:val="20"/>
              </w:rPr>
              <w:t>)</w:t>
            </w:r>
          </w:p>
        </w:tc>
        <w:tc>
          <w:tcPr>
            <w:tcW w:w="4135" w:type="dxa"/>
            <w:tcBorders>
              <w:top w:val="single" w:sz="4" w:space="0" w:color="auto"/>
              <w:left w:val="nil"/>
              <w:bottom w:val="single" w:sz="4" w:space="0" w:color="auto"/>
              <w:right w:val="nil"/>
            </w:tcBorders>
            <w:hideMark/>
          </w:tcPr>
          <w:p w14:paraId="02126C6B" w14:textId="77777777" w:rsidR="000B3229" w:rsidRPr="000B3229" w:rsidRDefault="000B3229" w:rsidP="000B3229">
            <w:pPr>
              <w:pStyle w:val="Body"/>
              <w:rPr>
                <w:rFonts w:ascii="Arial" w:hAnsi="Arial" w:cs="Arial"/>
                <w:sz w:val="20"/>
              </w:rPr>
            </w:pPr>
            <w:r w:rsidRPr="000B3229">
              <w:rPr>
                <w:rFonts w:ascii="Arial" w:hAnsi="Arial" w:cs="Arial"/>
                <w:sz w:val="20"/>
              </w:rPr>
              <w:t>Inhalation Reference Concentrations (</w:t>
            </w:r>
            <w:proofErr w:type="spellStart"/>
            <w:r w:rsidRPr="000B3229">
              <w:rPr>
                <w:rFonts w:ascii="Arial" w:hAnsi="Arial" w:cs="Arial"/>
                <w:sz w:val="20"/>
              </w:rPr>
              <w:t>RfC</w:t>
            </w:r>
            <w:proofErr w:type="spellEnd"/>
            <w:r w:rsidRPr="000B3229">
              <w:rPr>
                <w:rFonts w:ascii="Arial" w:hAnsi="Arial" w:cs="Arial"/>
                <w:sz w:val="20"/>
              </w:rPr>
              <w:t>) (mg/m</w:t>
            </w:r>
            <w:r w:rsidRPr="000B3229">
              <w:rPr>
                <w:rFonts w:ascii="Arial" w:hAnsi="Arial" w:cs="Arial"/>
                <w:sz w:val="20"/>
                <w:vertAlign w:val="superscript"/>
              </w:rPr>
              <w:t>3</w:t>
            </w:r>
            <w:r w:rsidRPr="000B3229">
              <w:rPr>
                <w:rFonts w:ascii="Arial" w:hAnsi="Arial" w:cs="Arial"/>
                <w:sz w:val="20"/>
              </w:rPr>
              <w:t>) [30]</w:t>
            </w:r>
          </w:p>
        </w:tc>
      </w:tr>
      <w:tr w:rsidR="000B3229" w:rsidRPr="000B3229" w14:paraId="28F6CE65" w14:textId="77777777" w:rsidTr="000B3229">
        <w:trPr>
          <w:trHeight w:val="261"/>
        </w:trPr>
        <w:tc>
          <w:tcPr>
            <w:tcW w:w="1402" w:type="dxa"/>
            <w:tcBorders>
              <w:top w:val="single" w:sz="4" w:space="0" w:color="auto"/>
              <w:left w:val="nil"/>
              <w:bottom w:val="nil"/>
              <w:right w:val="nil"/>
            </w:tcBorders>
            <w:hideMark/>
          </w:tcPr>
          <w:p w14:paraId="03FBFEA9" w14:textId="77777777" w:rsidR="000B3229" w:rsidRPr="000B3229" w:rsidRDefault="000B3229" w:rsidP="000B3229">
            <w:pPr>
              <w:pStyle w:val="Body"/>
              <w:rPr>
                <w:rFonts w:ascii="Arial" w:hAnsi="Arial" w:cs="Arial"/>
                <w:sz w:val="20"/>
              </w:rPr>
            </w:pPr>
            <w:r w:rsidRPr="000B3229">
              <w:rPr>
                <w:rFonts w:ascii="Arial" w:hAnsi="Arial" w:cs="Arial"/>
                <w:sz w:val="20"/>
              </w:rPr>
              <w:t>Cr</w:t>
            </w:r>
          </w:p>
        </w:tc>
        <w:tc>
          <w:tcPr>
            <w:tcW w:w="1208" w:type="dxa"/>
            <w:tcBorders>
              <w:top w:val="single" w:sz="4" w:space="0" w:color="auto"/>
              <w:left w:val="nil"/>
              <w:bottom w:val="nil"/>
              <w:right w:val="nil"/>
            </w:tcBorders>
            <w:hideMark/>
          </w:tcPr>
          <w:p w14:paraId="75654EAA" w14:textId="77777777" w:rsidR="000B3229" w:rsidRPr="000B3229" w:rsidRDefault="000B3229" w:rsidP="000B3229">
            <w:pPr>
              <w:pStyle w:val="Body"/>
              <w:rPr>
                <w:rFonts w:ascii="Arial" w:hAnsi="Arial" w:cs="Arial"/>
                <w:sz w:val="20"/>
              </w:rPr>
            </w:pPr>
            <w:r w:rsidRPr="000B3229">
              <w:rPr>
                <w:rFonts w:ascii="Arial" w:hAnsi="Arial" w:cs="Arial"/>
                <w:sz w:val="20"/>
              </w:rPr>
              <w:t>314</w:t>
            </w:r>
          </w:p>
        </w:tc>
        <w:tc>
          <w:tcPr>
            <w:tcW w:w="1260" w:type="dxa"/>
            <w:tcBorders>
              <w:top w:val="single" w:sz="4" w:space="0" w:color="auto"/>
              <w:left w:val="nil"/>
              <w:bottom w:val="nil"/>
              <w:right w:val="nil"/>
            </w:tcBorders>
            <w:hideMark/>
          </w:tcPr>
          <w:p w14:paraId="4A87D594" w14:textId="77777777" w:rsidR="000B3229" w:rsidRPr="000B3229" w:rsidRDefault="000B3229" w:rsidP="000B3229">
            <w:pPr>
              <w:pStyle w:val="Body"/>
              <w:rPr>
                <w:rFonts w:ascii="Arial" w:hAnsi="Arial" w:cs="Arial"/>
                <w:sz w:val="20"/>
              </w:rPr>
            </w:pPr>
            <w:r w:rsidRPr="000B3229">
              <w:rPr>
                <w:rFonts w:ascii="Arial" w:hAnsi="Arial" w:cs="Arial"/>
                <w:sz w:val="20"/>
              </w:rPr>
              <w:t>502</w:t>
            </w:r>
          </w:p>
        </w:tc>
        <w:tc>
          <w:tcPr>
            <w:tcW w:w="1350" w:type="dxa"/>
            <w:tcBorders>
              <w:top w:val="single" w:sz="4" w:space="0" w:color="auto"/>
              <w:left w:val="nil"/>
              <w:bottom w:val="nil"/>
              <w:right w:val="nil"/>
            </w:tcBorders>
            <w:hideMark/>
          </w:tcPr>
          <w:p w14:paraId="5819787D" w14:textId="77777777" w:rsidR="000B3229" w:rsidRPr="000B3229" w:rsidRDefault="000B3229" w:rsidP="000B3229">
            <w:pPr>
              <w:pStyle w:val="Body"/>
              <w:rPr>
                <w:rFonts w:ascii="Arial" w:hAnsi="Arial" w:cs="Arial"/>
                <w:sz w:val="20"/>
              </w:rPr>
            </w:pPr>
            <w:r w:rsidRPr="000B3229">
              <w:rPr>
                <w:rFonts w:ascii="Arial" w:hAnsi="Arial" w:cs="Arial"/>
                <w:sz w:val="20"/>
              </w:rPr>
              <w:t>823</w:t>
            </w:r>
          </w:p>
        </w:tc>
        <w:tc>
          <w:tcPr>
            <w:tcW w:w="4135" w:type="dxa"/>
            <w:tcBorders>
              <w:top w:val="single" w:sz="4" w:space="0" w:color="auto"/>
              <w:left w:val="nil"/>
              <w:bottom w:val="nil"/>
              <w:right w:val="nil"/>
            </w:tcBorders>
            <w:hideMark/>
          </w:tcPr>
          <w:p w14:paraId="64303890" w14:textId="77777777" w:rsidR="000B3229" w:rsidRPr="000B3229" w:rsidRDefault="000B3229" w:rsidP="000B3229">
            <w:pPr>
              <w:pStyle w:val="Body"/>
              <w:rPr>
                <w:rFonts w:ascii="Arial" w:hAnsi="Arial" w:cs="Arial"/>
                <w:sz w:val="20"/>
              </w:rPr>
            </w:pPr>
            <w:r w:rsidRPr="000B3229">
              <w:rPr>
                <w:rFonts w:ascii="Arial" w:hAnsi="Arial" w:cs="Arial"/>
                <w:sz w:val="20"/>
              </w:rPr>
              <w:t>1.00E-04</w:t>
            </w:r>
          </w:p>
        </w:tc>
      </w:tr>
      <w:tr w:rsidR="000B3229" w:rsidRPr="000B3229" w14:paraId="161C82EB" w14:textId="77777777" w:rsidTr="000B3229">
        <w:trPr>
          <w:trHeight w:val="261"/>
        </w:trPr>
        <w:tc>
          <w:tcPr>
            <w:tcW w:w="1402" w:type="dxa"/>
            <w:tcBorders>
              <w:top w:val="nil"/>
              <w:left w:val="nil"/>
              <w:bottom w:val="nil"/>
              <w:right w:val="nil"/>
            </w:tcBorders>
            <w:hideMark/>
          </w:tcPr>
          <w:p w14:paraId="1F58C99E" w14:textId="77777777" w:rsidR="000B3229" w:rsidRPr="000B3229" w:rsidRDefault="000B3229" w:rsidP="000B3229">
            <w:pPr>
              <w:pStyle w:val="Body"/>
              <w:rPr>
                <w:rFonts w:ascii="Arial" w:hAnsi="Arial" w:cs="Arial"/>
                <w:sz w:val="20"/>
              </w:rPr>
            </w:pPr>
            <w:r w:rsidRPr="000B3229">
              <w:rPr>
                <w:rFonts w:ascii="Arial" w:hAnsi="Arial" w:cs="Arial"/>
                <w:sz w:val="20"/>
              </w:rPr>
              <w:t>Cd</w:t>
            </w:r>
          </w:p>
        </w:tc>
        <w:tc>
          <w:tcPr>
            <w:tcW w:w="1208" w:type="dxa"/>
            <w:tcBorders>
              <w:top w:val="nil"/>
              <w:left w:val="nil"/>
              <w:bottom w:val="nil"/>
              <w:right w:val="nil"/>
            </w:tcBorders>
            <w:hideMark/>
          </w:tcPr>
          <w:p w14:paraId="2C3B6C78" w14:textId="77777777" w:rsidR="000B3229" w:rsidRPr="000B3229" w:rsidRDefault="000B3229" w:rsidP="000B3229">
            <w:pPr>
              <w:pStyle w:val="Body"/>
              <w:rPr>
                <w:rFonts w:ascii="Arial" w:hAnsi="Arial" w:cs="Arial"/>
                <w:sz w:val="20"/>
              </w:rPr>
            </w:pPr>
            <w:r w:rsidRPr="000B3229">
              <w:rPr>
                <w:rFonts w:ascii="Arial" w:hAnsi="Arial" w:cs="Arial"/>
                <w:sz w:val="20"/>
              </w:rPr>
              <w:t>63</w:t>
            </w:r>
          </w:p>
        </w:tc>
        <w:tc>
          <w:tcPr>
            <w:tcW w:w="1260" w:type="dxa"/>
            <w:tcBorders>
              <w:top w:val="nil"/>
              <w:left w:val="nil"/>
              <w:bottom w:val="nil"/>
              <w:right w:val="nil"/>
            </w:tcBorders>
            <w:hideMark/>
          </w:tcPr>
          <w:p w14:paraId="7EBD08AA" w14:textId="77777777" w:rsidR="000B3229" w:rsidRPr="000B3229" w:rsidRDefault="000B3229" w:rsidP="000B3229">
            <w:pPr>
              <w:pStyle w:val="Body"/>
              <w:rPr>
                <w:rFonts w:ascii="Arial" w:hAnsi="Arial" w:cs="Arial"/>
                <w:sz w:val="20"/>
              </w:rPr>
            </w:pPr>
            <w:r w:rsidRPr="000B3229">
              <w:rPr>
                <w:rFonts w:ascii="Arial" w:hAnsi="Arial" w:cs="Arial"/>
                <w:sz w:val="20"/>
              </w:rPr>
              <w:t>87</w:t>
            </w:r>
          </w:p>
        </w:tc>
        <w:tc>
          <w:tcPr>
            <w:tcW w:w="1350" w:type="dxa"/>
            <w:tcBorders>
              <w:top w:val="nil"/>
              <w:left w:val="nil"/>
              <w:bottom w:val="nil"/>
              <w:right w:val="nil"/>
            </w:tcBorders>
            <w:hideMark/>
          </w:tcPr>
          <w:p w14:paraId="35025021" w14:textId="77777777" w:rsidR="000B3229" w:rsidRPr="000B3229" w:rsidRDefault="000B3229" w:rsidP="000B3229">
            <w:pPr>
              <w:pStyle w:val="Body"/>
              <w:rPr>
                <w:rFonts w:ascii="Arial" w:hAnsi="Arial" w:cs="Arial"/>
                <w:sz w:val="20"/>
              </w:rPr>
            </w:pPr>
            <w:r w:rsidRPr="000B3229">
              <w:rPr>
                <w:rFonts w:ascii="Arial" w:hAnsi="Arial" w:cs="Arial"/>
                <w:sz w:val="20"/>
              </w:rPr>
              <w:t>165</w:t>
            </w:r>
          </w:p>
        </w:tc>
        <w:tc>
          <w:tcPr>
            <w:tcW w:w="4135" w:type="dxa"/>
            <w:tcBorders>
              <w:top w:val="nil"/>
              <w:left w:val="nil"/>
              <w:bottom w:val="nil"/>
              <w:right w:val="nil"/>
            </w:tcBorders>
            <w:hideMark/>
          </w:tcPr>
          <w:p w14:paraId="34C8CAE5" w14:textId="77777777" w:rsidR="000B3229" w:rsidRPr="000B3229" w:rsidRDefault="000B3229" w:rsidP="000B3229">
            <w:pPr>
              <w:pStyle w:val="Body"/>
              <w:rPr>
                <w:rFonts w:ascii="Arial" w:hAnsi="Arial" w:cs="Arial"/>
                <w:sz w:val="20"/>
              </w:rPr>
            </w:pPr>
            <w:r w:rsidRPr="000B3229">
              <w:rPr>
                <w:rFonts w:ascii="Arial" w:hAnsi="Arial" w:cs="Arial"/>
                <w:sz w:val="20"/>
              </w:rPr>
              <w:t>1.00E-05</w:t>
            </w:r>
          </w:p>
        </w:tc>
      </w:tr>
      <w:tr w:rsidR="000B3229" w:rsidRPr="000B3229" w14:paraId="4691E058" w14:textId="77777777" w:rsidTr="000B3229">
        <w:trPr>
          <w:trHeight w:val="261"/>
        </w:trPr>
        <w:tc>
          <w:tcPr>
            <w:tcW w:w="1402" w:type="dxa"/>
            <w:tcBorders>
              <w:top w:val="nil"/>
              <w:left w:val="nil"/>
              <w:bottom w:val="nil"/>
              <w:right w:val="nil"/>
            </w:tcBorders>
            <w:hideMark/>
          </w:tcPr>
          <w:p w14:paraId="5ED72F09" w14:textId="77777777" w:rsidR="000B3229" w:rsidRPr="000B3229" w:rsidRDefault="000B3229" w:rsidP="000B3229">
            <w:pPr>
              <w:pStyle w:val="Body"/>
              <w:rPr>
                <w:rFonts w:ascii="Arial" w:hAnsi="Arial" w:cs="Arial"/>
                <w:sz w:val="20"/>
              </w:rPr>
            </w:pPr>
            <w:r w:rsidRPr="000B3229">
              <w:rPr>
                <w:rFonts w:ascii="Arial" w:hAnsi="Arial" w:cs="Arial"/>
                <w:sz w:val="20"/>
              </w:rPr>
              <w:t>Cu</w:t>
            </w:r>
          </w:p>
        </w:tc>
        <w:tc>
          <w:tcPr>
            <w:tcW w:w="1208" w:type="dxa"/>
            <w:tcBorders>
              <w:top w:val="nil"/>
              <w:left w:val="nil"/>
              <w:bottom w:val="nil"/>
              <w:right w:val="nil"/>
            </w:tcBorders>
            <w:hideMark/>
          </w:tcPr>
          <w:p w14:paraId="003458EB" w14:textId="77777777" w:rsidR="000B3229" w:rsidRPr="000B3229" w:rsidRDefault="000B3229" w:rsidP="000B3229">
            <w:pPr>
              <w:pStyle w:val="Body"/>
              <w:rPr>
                <w:rFonts w:ascii="Arial" w:hAnsi="Arial" w:cs="Arial"/>
                <w:sz w:val="20"/>
              </w:rPr>
            </w:pPr>
            <w:r w:rsidRPr="000B3229">
              <w:rPr>
                <w:rFonts w:ascii="Arial" w:hAnsi="Arial" w:cs="Arial"/>
                <w:sz w:val="20"/>
              </w:rPr>
              <w:t>2</w:t>
            </w:r>
          </w:p>
        </w:tc>
        <w:tc>
          <w:tcPr>
            <w:tcW w:w="1260" w:type="dxa"/>
            <w:tcBorders>
              <w:top w:val="nil"/>
              <w:left w:val="nil"/>
              <w:bottom w:val="nil"/>
              <w:right w:val="nil"/>
            </w:tcBorders>
            <w:hideMark/>
          </w:tcPr>
          <w:p w14:paraId="7343F161"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1350" w:type="dxa"/>
            <w:tcBorders>
              <w:top w:val="nil"/>
              <w:left w:val="nil"/>
              <w:bottom w:val="nil"/>
              <w:right w:val="nil"/>
            </w:tcBorders>
            <w:hideMark/>
          </w:tcPr>
          <w:p w14:paraId="1090176B" w14:textId="77777777" w:rsidR="000B3229" w:rsidRPr="000B3229" w:rsidRDefault="000B3229" w:rsidP="000B3229">
            <w:pPr>
              <w:pStyle w:val="Body"/>
              <w:rPr>
                <w:rFonts w:ascii="Arial" w:hAnsi="Arial" w:cs="Arial"/>
                <w:sz w:val="20"/>
              </w:rPr>
            </w:pPr>
            <w:r w:rsidRPr="000B3229">
              <w:rPr>
                <w:rFonts w:ascii="Arial" w:hAnsi="Arial" w:cs="Arial"/>
                <w:sz w:val="20"/>
              </w:rPr>
              <w:t>3</w:t>
            </w:r>
          </w:p>
        </w:tc>
        <w:tc>
          <w:tcPr>
            <w:tcW w:w="4135" w:type="dxa"/>
            <w:tcBorders>
              <w:top w:val="nil"/>
              <w:left w:val="nil"/>
              <w:bottom w:val="nil"/>
              <w:right w:val="nil"/>
            </w:tcBorders>
            <w:hideMark/>
          </w:tcPr>
          <w:p w14:paraId="02DF2B6F" w14:textId="77777777" w:rsidR="000B3229" w:rsidRPr="000B3229" w:rsidRDefault="000B3229" w:rsidP="000B3229">
            <w:pPr>
              <w:pStyle w:val="Body"/>
              <w:rPr>
                <w:rFonts w:ascii="Arial" w:hAnsi="Arial" w:cs="Arial"/>
                <w:sz w:val="20"/>
              </w:rPr>
            </w:pPr>
            <w:r w:rsidRPr="000B3229">
              <w:rPr>
                <w:rFonts w:ascii="Arial" w:hAnsi="Arial" w:cs="Arial"/>
                <w:sz w:val="20"/>
              </w:rPr>
              <w:t>2.00E-05</w:t>
            </w:r>
          </w:p>
        </w:tc>
      </w:tr>
      <w:tr w:rsidR="000B3229" w:rsidRPr="000B3229" w14:paraId="633CDC61" w14:textId="77777777" w:rsidTr="000B3229">
        <w:trPr>
          <w:trHeight w:val="261"/>
        </w:trPr>
        <w:tc>
          <w:tcPr>
            <w:tcW w:w="1402" w:type="dxa"/>
            <w:tcBorders>
              <w:top w:val="nil"/>
              <w:left w:val="nil"/>
              <w:bottom w:val="nil"/>
              <w:right w:val="nil"/>
            </w:tcBorders>
            <w:hideMark/>
          </w:tcPr>
          <w:p w14:paraId="65587173" w14:textId="77777777" w:rsidR="000B3229" w:rsidRPr="000B3229" w:rsidRDefault="000B3229" w:rsidP="000B3229">
            <w:pPr>
              <w:pStyle w:val="Body"/>
              <w:rPr>
                <w:rFonts w:ascii="Arial" w:hAnsi="Arial" w:cs="Arial"/>
                <w:sz w:val="20"/>
              </w:rPr>
            </w:pPr>
            <w:r w:rsidRPr="000B3229">
              <w:rPr>
                <w:rFonts w:ascii="Arial" w:hAnsi="Arial" w:cs="Arial"/>
                <w:sz w:val="20"/>
              </w:rPr>
              <w:t>Pb</w:t>
            </w:r>
          </w:p>
        </w:tc>
        <w:tc>
          <w:tcPr>
            <w:tcW w:w="1208" w:type="dxa"/>
            <w:tcBorders>
              <w:top w:val="nil"/>
              <w:left w:val="nil"/>
              <w:bottom w:val="nil"/>
              <w:right w:val="nil"/>
            </w:tcBorders>
            <w:hideMark/>
          </w:tcPr>
          <w:p w14:paraId="0D0545B0" w14:textId="77777777" w:rsidR="000B3229" w:rsidRPr="000B3229" w:rsidRDefault="000B3229" w:rsidP="000B3229">
            <w:pPr>
              <w:pStyle w:val="Body"/>
              <w:rPr>
                <w:rFonts w:ascii="Arial" w:hAnsi="Arial" w:cs="Arial"/>
                <w:sz w:val="20"/>
              </w:rPr>
            </w:pPr>
            <w:r w:rsidRPr="000B3229">
              <w:rPr>
                <w:rFonts w:ascii="Arial" w:hAnsi="Arial" w:cs="Arial"/>
                <w:sz w:val="20"/>
              </w:rPr>
              <w:t>3</w:t>
            </w:r>
          </w:p>
        </w:tc>
        <w:tc>
          <w:tcPr>
            <w:tcW w:w="1260" w:type="dxa"/>
            <w:tcBorders>
              <w:top w:val="nil"/>
              <w:left w:val="nil"/>
              <w:bottom w:val="nil"/>
              <w:right w:val="nil"/>
            </w:tcBorders>
            <w:hideMark/>
          </w:tcPr>
          <w:p w14:paraId="1E4F1C8C" w14:textId="77777777" w:rsidR="000B3229" w:rsidRPr="000B3229" w:rsidRDefault="000B3229" w:rsidP="000B3229">
            <w:pPr>
              <w:pStyle w:val="Body"/>
              <w:rPr>
                <w:rFonts w:ascii="Arial" w:hAnsi="Arial" w:cs="Arial"/>
                <w:sz w:val="20"/>
              </w:rPr>
            </w:pPr>
            <w:r w:rsidRPr="000B3229">
              <w:rPr>
                <w:rFonts w:ascii="Arial" w:hAnsi="Arial" w:cs="Arial"/>
                <w:sz w:val="20"/>
              </w:rPr>
              <w:t>16</w:t>
            </w:r>
          </w:p>
        </w:tc>
        <w:tc>
          <w:tcPr>
            <w:tcW w:w="1350" w:type="dxa"/>
            <w:tcBorders>
              <w:top w:val="nil"/>
              <w:left w:val="nil"/>
              <w:bottom w:val="nil"/>
              <w:right w:val="nil"/>
            </w:tcBorders>
            <w:hideMark/>
          </w:tcPr>
          <w:p w14:paraId="5C06F5C2" w14:textId="77777777" w:rsidR="000B3229" w:rsidRPr="000B3229" w:rsidRDefault="000B3229" w:rsidP="000B3229">
            <w:pPr>
              <w:pStyle w:val="Body"/>
              <w:rPr>
                <w:rFonts w:ascii="Arial" w:hAnsi="Arial" w:cs="Arial"/>
                <w:sz w:val="20"/>
              </w:rPr>
            </w:pPr>
            <w:r w:rsidRPr="000B3229">
              <w:rPr>
                <w:rFonts w:ascii="Arial" w:hAnsi="Arial" w:cs="Arial"/>
                <w:sz w:val="20"/>
              </w:rPr>
              <w:t>28</w:t>
            </w:r>
          </w:p>
        </w:tc>
        <w:tc>
          <w:tcPr>
            <w:tcW w:w="4135" w:type="dxa"/>
            <w:tcBorders>
              <w:top w:val="nil"/>
              <w:left w:val="nil"/>
              <w:bottom w:val="nil"/>
              <w:right w:val="nil"/>
            </w:tcBorders>
            <w:hideMark/>
          </w:tcPr>
          <w:p w14:paraId="120EF795" w14:textId="77777777" w:rsidR="000B3229" w:rsidRPr="000B3229" w:rsidRDefault="000B3229" w:rsidP="000B3229">
            <w:pPr>
              <w:pStyle w:val="Body"/>
              <w:rPr>
                <w:rFonts w:ascii="Arial" w:hAnsi="Arial" w:cs="Arial"/>
                <w:sz w:val="20"/>
              </w:rPr>
            </w:pPr>
            <w:r w:rsidRPr="000B3229">
              <w:rPr>
                <w:rFonts w:ascii="Arial" w:hAnsi="Arial" w:cs="Arial"/>
                <w:sz w:val="20"/>
              </w:rPr>
              <w:t>5.00E-04</w:t>
            </w:r>
          </w:p>
        </w:tc>
      </w:tr>
      <w:tr w:rsidR="000B3229" w:rsidRPr="000B3229" w14:paraId="3D492E84" w14:textId="77777777" w:rsidTr="000B3229">
        <w:trPr>
          <w:trHeight w:val="261"/>
        </w:trPr>
        <w:tc>
          <w:tcPr>
            <w:tcW w:w="1402" w:type="dxa"/>
            <w:tcBorders>
              <w:top w:val="nil"/>
              <w:left w:val="nil"/>
              <w:bottom w:val="nil"/>
              <w:right w:val="nil"/>
            </w:tcBorders>
            <w:hideMark/>
          </w:tcPr>
          <w:p w14:paraId="30DF597E" w14:textId="77777777" w:rsidR="000B3229" w:rsidRPr="000B3229" w:rsidRDefault="000B3229" w:rsidP="000B3229">
            <w:pPr>
              <w:pStyle w:val="Body"/>
              <w:rPr>
                <w:rFonts w:ascii="Arial" w:hAnsi="Arial" w:cs="Arial"/>
                <w:sz w:val="20"/>
              </w:rPr>
            </w:pPr>
            <w:r w:rsidRPr="000B3229">
              <w:rPr>
                <w:rFonts w:ascii="Arial" w:hAnsi="Arial" w:cs="Arial"/>
                <w:sz w:val="20"/>
              </w:rPr>
              <w:t>As</w:t>
            </w:r>
          </w:p>
        </w:tc>
        <w:tc>
          <w:tcPr>
            <w:tcW w:w="1208" w:type="dxa"/>
            <w:tcBorders>
              <w:top w:val="nil"/>
              <w:left w:val="nil"/>
              <w:bottom w:val="nil"/>
              <w:right w:val="nil"/>
            </w:tcBorders>
            <w:hideMark/>
          </w:tcPr>
          <w:p w14:paraId="037911F7"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1260" w:type="dxa"/>
            <w:tcBorders>
              <w:top w:val="nil"/>
              <w:left w:val="nil"/>
              <w:bottom w:val="nil"/>
              <w:right w:val="nil"/>
            </w:tcBorders>
            <w:hideMark/>
          </w:tcPr>
          <w:p w14:paraId="56B2E661"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1350" w:type="dxa"/>
            <w:tcBorders>
              <w:top w:val="nil"/>
              <w:left w:val="nil"/>
              <w:bottom w:val="nil"/>
              <w:right w:val="nil"/>
            </w:tcBorders>
            <w:hideMark/>
          </w:tcPr>
          <w:p w14:paraId="283CF32D" w14:textId="77777777" w:rsidR="000B3229" w:rsidRPr="000B3229" w:rsidRDefault="000B3229" w:rsidP="000B3229">
            <w:pPr>
              <w:pStyle w:val="Body"/>
              <w:rPr>
                <w:rFonts w:ascii="Arial" w:hAnsi="Arial" w:cs="Arial"/>
                <w:sz w:val="20"/>
              </w:rPr>
            </w:pPr>
            <w:r w:rsidRPr="000B3229">
              <w:rPr>
                <w:rFonts w:ascii="Arial" w:hAnsi="Arial" w:cs="Arial"/>
                <w:sz w:val="20"/>
              </w:rPr>
              <w:t>1</w:t>
            </w:r>
          </w:p>
        </w:tc>
        <w:tc>
          <w:tcPr>
            <w:tcW w:w="4135" w:type="dxa"/>
            <w:tcBorders>
              <w:top w:val="nil"/>
              <w:left w:val="nil"/>
              <w:bottom w:val="nil"/>
              <w:right w:val="nil"/>
            </w:tcBorders>
            <w:hideMark/>
          </w:tcPr>
          <w:p w14:paraId="4549DA51" w14:textId="77777777" w:rsidR="000B3229" w:rsidRPr="000B3229" w:rsidRDefault="000B3229" w:rsidP="000B3229">
            <w:pPr>
              <w:pStyle w:val="Body"/>
              <w:rPr>
                <w:rFonts w:ascii="Arial" w:hAnsi="Arial" w:cs="Arial"/>
                <w:sz w:val="20"/>
              </w:rPr>
            </w:pPr>
            <w:r w:rsidRPr="000B3229">
              <w:rPr>
                <w:rFonts w:ascii="Arial" w:hAnsi="Arial" w:cs="Arial"/>
                <w:sz w:val="20"/>
              </w:rPr>
              <w:t>1.50E-05</w:t>
            </w:r>
          </w:p>
        </w:tc>
      </w:tr>
      <w:tr w:rsidR="000B3229" w:rsidRPr="000B3229" w14:paraId="0DE46458" w14:textId="77777777" w:rsidTr="000B3229">
        <w:trPr>
          <w:trHeight w:val="261"/>
        </w:trPr>
        <w:tc>
          <w:tcPr>
            <w:tcW w:w="1402" w:type="dxa"/>
            <w:tcBorders>
              <w:top w:val="nil"/>
              <w:left w:val="nil"/>
              <w:bottom w:val="nil"/>
              <w:right w:val="nil"/>
            </w:tcBorders>
            <w:hideMark/>
          </w:tcPr>
          <w:p w14:paraId="3B8A56AB" w14:textId="77777777" w:rsidR="000B3229" w:rsidRPr="000B3229" w:rsidRDefault="000B3229" w:rsidP="000B3229">
            <w:pPr>
              <w:pStyle w:val="Body"/>
              <w:rPr>
                <w:rFonts w:ascii="Arial" w:hAnsi="Arial" w:cs="Arial"/>
                <w:sz w:val="20"/>
              </w:rPr>
            </w:pPr>
            <w:r w:rsidRPr="000B3229">
              <w:rPr>
                <w:rFonts w:ascii="Arial" w:hAnsi="Arial" w:cs="Arial"/>
                <w:sz w:val="20"/>
              </w:rPr>
              <w:t xml:space="preserve">Ni </w:t>
            </w:r>
          </w:p>
        </w:tc>
        <w:tc>
          <w:tcPr>
            <w:tcW w:w="1208" w:type="dxa"/>
            <w:tcBorders>
              <w:top w:val="nil"/>
              <w:left w:val="nil"/>
              <w:bottom w:val="nil"/>
              <w:right w:val="nil"/>
            </w:tcBorders>
            <w:hideMark/>
          </w:tcPr>
          <w:p w14:paraId="452BBA5C" w14:textId="77777777" w:rsidR="000B3229" w:rsidRPr="000B3229" w:rsidRDefault="000B3229" w:rsidP="000B3229">
            <w:pPr>
              <w:pStyle w:val="Body"/>
              <w:rPr>
                <w:rFonts w:ascii="Arial" w:hAnsi="Arial" w:cs="Arial"/>
                <w:sz w:val="20"/>
              </w:rPr>
            </w:pPr>
            <w:r w:rsidRPr="000B3229">
              <w:rPr>
                <w:rFonts w:ascii="Arial" w:hAnsi="Arial" w:cs="Arial"/>
                <w:sz w:val="20"/>
              </w:rPr>
              <w:t>202</w:t>
            </w:r>
          </w:p>
        </w:tc>
        <w:tc>
          <w:tcPr>
            <w:tcW w:w="1260" w:type="dxa"/>
            <w:tcBorders>
              <w:top w:val="nil"/>
              <w:left w:val="nil"/>
              <w:bottom w:val="nil"/>
              <w:right w:val="nil"/>
            </w:tcBorders>
            <w:hideMark/>
          </w:tcPr>
          <w:p w14:paraId="399925E7" w14:textId="77777777" w:rsidR="000B3229" w:rsidRPr="000B3229" w:rsidRDefault="000B3229" w:rsidP="000B3229">
            <w:pPr>
              <w:pStyle w:val="Body"/>
              <w:rPr>
                <w:rFonts w:ascii="Arial" w:hAnsi="Arial" w:cs="Arial"/>
                <w:sz w:val="20"/>
              </w:rPr>
            </w:pPr>
            <w:r w:rsidRPr="000B3229">
              <w:rPr>
                <w:rFonts w:ascii="Arial" w:hAnsi="Arial" w:cs="Arial"/>
                <w:sz w:val="20"/>
              </w:rPr>
              <w:t>73</w:t>
            </w:r>
          </w:p>
        </w:tc>
        <w:tc>
          <w:tcPr>
            <w:tcW w:w="1350" w:type="dxa"/>
            <w:tcBorders>
              <w:top w:val="nil"/>
              <w:left w:val="nil"/>
              <w:bottom w:val="nil"/>
              <w:right w:val="nil"/>
            </w:tcBorders>
            <w:hideMark/>
          </w:tcPr>
          <w:p w14:paraId="434FD786" w14:textId="77777777" w:rsidR="000B3229" w:rsidRPr="000B3229" w:rsidRDefault="000B3229" w:rsidP="000B3229">
            <w:pPr>
              <w:pStyle w:val="Body"/>
              <w:rPr>
                <w:rFonts w:ascii="Arial" w:hAnsi="Arial" w:cs="Arial"/>
                <w:sz w:val="20"/>
              </w:rPr>
            </w:pPr>
            <w:r w:rsidRPr="000B3229">
              <w:rPr>
                <w:rFonts w:ascii="Arial" w:hAnsi="Arial" w:cs="Arial"/>
                <w:sz w:val="20"/>
              </w:rPr>
              <w:t>123</w:t>
            </w:r>
          </w:p>
        </w:tc>
        <w:tc>
          <w:tcPr>
            <w:tcW w:w="4135" w:type="dxa"/>
            <w:tcBorders>
              <w:top w:val="nil"/>
              <w:left w:val="nil"/>
              <w:bottom w:val="nil"/>
              <w:right w:val="nil"/>
            </w:tcBorders>
            <w:hideMark/>
          </w:tcPr>
          <w:p w14:paraId="690C09E4" w14:textId="77777777" w:rsidR="000B3229" w:rsidRPr="000B3229" w:rsidRDefault="000B3229" w:rsidP="000B3229">
            <w:pPr>
              <w:pStyle w:val="Body"/>
              <w:rPr>
                <w:rFonts w:ascii="Arial" w:hAnsi="Arial" w:cs="Arial"/>
                <w:sz w:val="20"/>
              </w:rPr>
            </w:pPr>
            <w:r w:rsidRPr="000B3229">
              <w:rPr>
                <w:rFonts w:ascii="Arial" w:hAnsi="Arial" w:cs="Arial"/>
                <w:sz w:val="20"/>
              </w:rPr>
              <w:t>1.40E-05</w:t>
            </w:r>
          </w:p>
        </w:tc>
      </w:tr>
      <w:tr w:rsidR="000B3229" w:rsidRPr="000B3229" w14:paraId="35AB60EF" w14:textId="77777777" w:rsidTr="000B3229">
        <w:trPr>
          <w:trHeight w:val="261"/>
        </w:trPr>
        <w:tc>
          <w:tcPr>
            <w:tcW w:w="1402" w:type="dxa"/>
            <w:tcBorders>
              <w:top w:val="nil"/>
              <w:left w:val="nil"/>
              <w:bottom w:val="single" w:sz="4" w:space="0" w:color="auto"/>
              <w:right w:val="nil"/>
            </w:tcBorders>
            <w:hideMark/>
          </w:tcPr>
          <w:p w14:paraId="0DEA48C2" w14:textId="77777777" w:rsidR="000B3229" w:rsidRPr="000B3229" w:rsidRDefault="000B3229" w:rsidP="000B3229">
            <w:pPr>
              <w:pStyle w:val="Body"/>
              <w:rPr>
                <w:rFonts w:ascii="Arial" w:hAnsi="Arial" w:cs="Arial"/>
                <w:sz w:val="20"/>
              </w:rPr>
            </w:pPr>
            <w:r w:rsidRPr="000B3229">
              <w:rPr>
                <w:rFonts w:ascii="Arial" w:hAnsi="Arial" w:cs="Arial"/>
                <w:sz w:val="20"/>
              </w:rPr>
              <w:t>Mn</w:t>
            </w:r>
          </w:p>
        </w:tc>
        <w:tc>
          <w:tcPr>
            <w:tcW w:w="1208" w:type="dxa"/>
            <w:tcBorders>
              <w:top w:val="nil"/>
              <w:left w:val="nil"/>
              <w:bottom w:val="single" w:sz="4" w:space="0" w:color="auto"/>
              <w:right w:val="nil"/>
            </w:tcBorders>
            <w:hideMark/>
          </w:tcPr>
          <w:p w14:paraId="6FF5E436" w14:textId="77777777" w:rsidR="000B3229" w:rsidRPr="000B3229" w:rsidRDefault="000B3229" w:rsidP="000B3229">
            <w:pPr>
              <w:pStyle w:val="Body"/>
              <w:rPr>
                <w:rFonts w:ascii="Arial" w:hAnsi="Arial" w:cs="Arial"/>
                <w:sz w:val="20"/>
              </w:rPr>
            </w:pPr>
            <w:r w:rsidRPr="000B3229">
              <w:rPr>
                <w:rFonts w:ascii="Arial" w:hAnsi="Arial" w:cs="Arial"/>
                <w:sz w:val="20"/>
              </w:rPr>
              <w:t>367</w:t>
            </w:r>
          </w:p>
        </w:tc>
        <w:tc>
          <w:tcPr>
            <w:tcW w:w="1260" w:type="dxa"/>
            <w:tcBorders>
              <w:top w:val="nil"/>
              <w:left w:val="nil"/>
              <w:bottom w:val="single" w:sz="4" w:space="0" w:color="auto"/>
              <w:right w:val="nil"/>
            </w:tcBorders>
            <w:hideMark/>
          </w:tcPr>
          <w:p w14:paraId="4740CC20" w14:textId="77777777" w:rsidR="000B3229" w:rsidRPr="000B3229" w:rsidRDefault="000B3229" w:rsidP="000B3229">
            <w:pPr>
              <w:pStyle w:val="Body"/>
              <w:rPr>
                <w:rFonts w:ascii="Arial" w:hAnsi="Arial" w:cs="Arial"/>
                <w:sz w:val="20"/>
              </w:rPr>
            </w:pPr>
            <w:r w:rsidRPr="000B3229">
              <w:rPr>
                <w:rFonts w:ascii="Arial" w:hAnsi="Arial" w:cs="Arial"/>
                <w:sz w:val="20"/>
              </w:rPr>
              <w:t>284</w:t>
            </w:r>
          </w:p>
        </w:tc>
        <w:tc>
          <w:tcPr>
            <w:tcW w:w="1350" w:type="dxa"/>
            <w:tcBorders>
              <w:top w:val="nil"/>
              <w:left w:val="nil"/>
              <w:bottom w:val="single" w:sz="4" w:space="0" w:color="auto"/>
              <w:right w:val="nil"/>
            </w:tcBorders>
            <w:hideMark/>
          </w:tcPr>
          <w:p w14:paraId="1BE3BFAB" w14:textId="77777777" w:rsidR="000B3229" w:rsidRPr="000B3229" w:rsidRDefault="000B3229" w:rsidP="000B3229">
            <w:pPr>
              <w:pStyle w:val="Body"/>
              <w:rPr>
                <w:rFonts w:ascii="Arial" w:hAnsi="Arial" w:cs="Arial"/>
                <w:sz w:val="20"/>
              </w:rPr>
            </w:pPr>
            <w:r w:rsidRPr="000B3229">
              <w:rPr>
                <w:rFonts w:ascii="Arial" w:hAnsi="Arial" w:cs="Arial"/>
                <w:sz w:val="20"/>
              </w:rPr>
              <w:t>412</w:t>
            </w:r>
          </w:p>
        </w:tc>
        <w:tc>
          <w:tcPr>
            <w:tcW w:w="4135" w:type="dxa"/>
            <w:tcBorders>
              <w:top w:val="nil"/>
              <w:left w:val="nil"/>
              <w:bottom w:val="single" w:sz="4" w:space="0" w:color="auto"/>
              <w:right w:val="nil"/>
            </w:tcBorders>
            <w:hideMark/>
          </w:tcPr>
          <w:p w14:paraId="0B3CC702" w14:textId="77777777" w:rsidR="000B3229" w:rsidRPr="000B3229" w:rsidRDefault="000B3229" w:rsidP="000B3229">
            <w:pPr>
              <w:pStyle w:val="Body"/>
              <w:rPr>
                <w:rFonts w:ascii="Arial" w:hAnsi="Arial" w:cs="Arial"/>
                <w:sz w:val="20"/>
              </w:rPr>
            </w:pPr>
            <w:r w:rsidRPr="000B3229">
              <w:rPr>
                <w:rFonts w:ascii="Arial" w:hAnsi="Arial" w:cs="Arial"/>
                <w:sz w:val="20"/>
              </w:rPr>
              <w:t>5.00E-05</w:t>
            </w:r>
          </w:p>
        </w:tc>
      </w:tr>
    </w:tbl>
    <w:p w14:paraId="0AB27610" w14:textId="77777777" w:rsidR="0079097F" w:rsidRPr="000B3229" w:rsidRDefault="0079097F" w:rsidP="00441B6F">
      <w:pPr>
        <w:pStyle w:val="Body"/>
        <w:spacing w:after="0"/>
        <w:rPr>
          <w:rFonts w:ascii="Arial" w:hAnsi="Arial" w:cs="Arial"/>
          <w:b/>
        </w:rPr>
      </w:pPr>
    </w:p>
    <w:p w14:paraId="7B67F0FE" w14:textId="77777777" w:rsidR="00E93B5D" w:rsidRPr="00936D15" w:rsidRDefault="00E93B5D" w:rsidP="00E93B5D">
      <w:pPr>
        <w:pStyle w:val="Body"/>
        <w:rPr>
          <w:rFonts w:ascii="Arial" w:hAnsi="Arial" w:cs="Arial"/>
          <w:b/>
        </w:rPr>
      </w:pPr>
      <w:r w:rsidRPr="00936D15">
        <w:rPr>
          <w:rFonts w:ascii="Arial" w:hAnsi="Arial" w:cs="Arial"/>
          <w:b/>
        </w:rPr>
        <w:t>3.2 Health Risk Assessment</w:t>
      </w:r>
    </w:p>
    <w:p w14:paraId="5D952E6B" w14:textId="77777777" w:rsidR="00E93B5D" w:rsidRPr="00936D15" w:rsidRDefault="00E93B5D" w:rsidP="00E93B5D">
      <w:pPr>
        <w:pStyle w:val="Body"/>
        <w:rPr>
          <w:rFonts w:ascii="Arial" w:hAnsi="Arial" w:cs="Arial"/>
        </w:rPr>
      </w:pPr>
      <w:r w:rsidRPr="00936D15">
        <w:rPr>
          <w:rFonts w:ascii="Arial" w:hAnsi="Arial" w:cs="Arial"/>
        </w:rPr>
        <w:t xml:space="preserve">Tables 3, 4, and 5 demonstrate the typical daily exposure dosages of heavy metals that are non-carcinogenic and carcinogenic by inhalation, ingestion, and skin contact linked to human exposure to harmful chemicals. Using the previously mentioned models, this study shows the probable non-carcinogenic and carcinogenic dangers of Pb, Cd, Cu, Cr, As, Ni, and Mn. </w:t>
      </w:r>
    </w:p>
    <w:p w14:paraId="3F22994F" w14:textId="77777777" w:rsidR="00E93B5D" w:rsidRPr="00E93B5D" w:rsidRDefault="00E93B5D" w:rsidP="00936D15">
      <w:pPr>
        <w:pStyle w:val="Body"/>
        <w:spacing w:after="0"/>
        <w:rPr>
          <w:rFonts w:ascii="Arial" w:hAnsi="Arial" w:cs="Arial"/>
          <w:b/>
        </w:rPr>
      </w:pPr>
      <w:r w:rsidRPr="00E93B5D">
        <w:rPr>
          <w:rFonts w:ascii="Arial" w:hAnsi="Arial" w:cs="Arial"/>
          <w:b/>
        </w:rPr>
        <w:t>Table 3. Average daily doses of non-carcinogenic and carcinogenic hazards of heavy metals through ingestion exposure</w:t>
      </w:r>
    </w:p>
    <w:tbl>
      <w:tblPr>
        <w:tblStyle w:val="TableGrid"/>
        <w:tblW w:w="8185" w:type="dxa"/>
        <w:tblLook w:val="04A0" w:firstRow="1" w:lastRow="0" w:firstColumn="1" w:lastColumn="0" w:noHBand="0" w:noVBand="1"/>
      </w:tblPr>
      <w:tblGrid>
        <w:gridCol w:w="723"/>
        <w:gridCol w:w="982"/>
        <w:gridCol w:w="1260"/>
        <w:gridCol w:w="1440"/>
        <w:gridCol w:w="1260"/>
        <w:gridCol w:w="1260"/>
        <w:gridCol w:w="1260"/>
      </w:tblGrid>
      <w:tr w:rsidR="00E93B5D" w:rsidRPr="00E93B5D" w14:paraId="4DCAF03C" w14:textId="77777777" w:rsidTr="00D67FE2">
        <w:tc>
          <w:tcPr>
            <w:tcW w:w="723" w:type="dxa"/>
            <w:tcBorders>
              <w:top w:val="single" w:sz="4" w:space="0" w:color="auto"/>
              <w:left w:val="single" w:sz="4" w:space="0" w:color="auto"/>
              <w:bottom w:val="single" w:sz="4" w:space="0" w:color="auto"/>
              <w:right w:val="single" w:sz="4" w:space="0" w:color="auto"/>
            </w:tcBorders>
          </w:tcPr>
          <w:p w14:paraId="2D604EC2"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62BA20E5" w14:textId="77777777" w:rsidR="00E93B5D" w:rsidRPr="00E93B5D" w:rsidRDefault="00E93B5D" w:rsidP="00E93B5D">
            <w:pPr>
              <w:pStyle w:val="Body"/>
              <w:rPr>
                <w:rFonts w:ascii="Arial" w:hAnsi="Arial" w:cs="Arial"/>
                <w:b/>
                <w:sz w:val="20"/>
              </w:rPr>
            </w:pPr>
            <w:r w:rsidRPr="00E93B5D">
              <w:rPr>
                <w:rFonts w:ascii="Arial" w:hAnsi="Arial" w:cs="Arial"/>
                <w:b/>
                <w:sz w:val="20"/>
              </w:rPr>
              <w:t>Carcinogenic Risks</w:t>
            </w:r>
          </w:p>
        </w:tc>
        <w:tc>
          <w:tcPr>
            <w:tcW w:w="3780" w:type="dxa"/>
            <w:gridSpan w:val="3"/>
            <w:tcBorders>
              <w:top w:val="single" w:sz="4" w:space="0" w:color="auto"/>
              <w:left w:val="single" w:sz="4" w:space="0" w:color="auto"/>
              <w:bottom w:val="single" w:sz="4" w:space="0" w:color="auto"/>
              <w:right w:val="single" w:sz="4" w:space="0" w:color="auto"/>
            </w:tcBorders>
            <w:hideMark/>
          </w:tcPr>
          <w:p w14:paraId="198CE8C8" w14:textId="77777777" w:rsidR="00E93B5D" w:rsidRPr="00E93B5D" w:rsidRDefault="00E93B5D" w:rsidP="00E93B5D">
            <w:pPr>
              <w:pStyle w:val="Body"/>
              <w:rPr>
                <w:rFonts w:ascii="Arial" w:hAnsi="Arial" w:cs="Arial"/>
                <w:b/>
                <w:sz w:val="20"/>
              </w:rPr>
            </w:pPr>
            <w:r w:rsidRPr="00E93B5D">
              <w:rPr>
                <w:rFonts w:ascii="Arial" w:hAnsi="Arial" w:cs="Arial"/>
                <w:b/>
                <w:sz w:val="20"/>
              </w:rPr>
              <w:t>Non-Carcinogenic Risks</w:t>
            </w:r>
          </w:p>
        </w:tc>
      </w:tr>
      <w:tr w:rsidR="00E93B5D" w:rsidRPr="00E93B5D" w14:paraId="37D66D24" w14:textId="77777777" w:rsidTr="00D67FE2">
        <w:tc>
          <w:tcPr>
            <w:tcW w:w="723" w:type="dxa"/>
            <w:tcBorders>
              <w:top w:val="single" w:sz="4" w:space="0" w:color="auto"/>
              <w:left w:val="single" w:sz="4" w:space="0" w:color="auto"/>
              <w:bottom w:val="single" w:sz="4" w:space="0" w:color="auto"/>
              <w:right w:val="single" w:sz="4" w:space="0" w:color="auto"/>
            </w:tcBorders>
          </w:tcPr>
          <w:p w14:paraId="7D6F14BF"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297BD342"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c>
          <w:tcPr>
            <w:tcW w:w="3780" w:type="dxa"/>
            <w:gridSpan w:val="3"/>
            <w:tcBorders>
              <w:top w:val="single" w:sz="4" w:space="0" w:color="auto"/>
              <w:left w:val="single" w:sz="4" w:space="0" w:color="auto"/>
              <w:bottom w:val="single" w:sz="4" w:space="0" w:color="auto"/>
              <w:right w:val="single" w:sz="4" w:space="0" w:color="auto"/>
            </w:tcBorders>
            <w:hideMark/>
          </w:tcPr>
          <w:p w14:paraId="0E6445CC"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r>
      <w:tr w:rsidR="00D67FE2" w:rsidRPr="00E93B5D" w14:paraId="70DD72B8"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3825C33D" w14:textId="77777777" w:rsidR="00E93B5D" w:rsidRPr="00E93B5D" w:rsidRDefault="00E93B5D" w:rsidP="00E93B5D">
            <w:pPr>
              <w:pStyle w:val="Body"/>
              <w:rPr>
                <w:rFonts w:ascii="Arial" w:hAnsi="Arial" w:cs="Arial"/>
                <w:b/>
                <w:sz w:val="20"/>
              </w:rPr>
            </w:pPr>
            <w:r w:rsidRPr="00E93B5D">
              <w:rPr>
                <w:rFonts w:ascii="Arial" w:hAnsi="Arial" w:cs="Arial"/>
                <w:b/>
                <w:sz w:val="20"/>
              </w:rPr>
              <w:t>HMs</w:t>
            </w:r>
          </w:p>
        </w:tc>
        <w:tc>
          <w:tcPr>
            <w:tcW w:w="982" w:type="dxa"/>
            <w:tcBorders>
              <w:top w:val="single" w:sz="4" w:space="0" w:color="auto"/>
              <w:left w:val="single" w:sz="4" w:space="0" w:color="auto"/>
              <w:bottom w:val="single" w:sz="4" w:space="0" w:color="auto"/>
              <w:right w:val="single" w:sz="4" w:space="0" w:color="auto"/>
            </w:tcBorders>
            <w:hideMark/>
          </w:tcPr>
          <w:p w14:paraId="1BBFC7BD"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275E6990"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440" w:type="dxa"/>
            <w:tcBorders>
              <w:top w:val="single" w:sz="4" w:space="0" w:color="auto"/>
              <w:left w:val="single" w:sz="4" w:space="0" w:color="auto"/>
              <w:bottom w:val="single" w:sz="4" w:space="0" w:color="auto"/>
              <w:right w:val="single" w:sz="4" w:space="0" w:color="auto"/>
            </w:tcBorders>
            <w:hideMark/>
          </w:tcPr>
          <w:p w14:paraId="6C049339" w14:textId="77777777" w:rsidR="00B034CF" w:rsidRDefault="00E93B5D" w:rsidP="00B034CF">
            <w:pPr>
              <w:pStyle w:val="Body"/>
              <w:spacing w:after="0"/>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w:t>
            </w:r>
          </w:p>
          <w:p w14:paraId="0690F0B7" w14:textId="77777777" w:rsidR="00E93B5D" w:rsidRPr="00E93B5D" w:rsidRDefault="00E93B5D" w:rsidP="00E93B5D">
            <w:pPr>
              <w:pStyle w:val="Body"/>
              <w:rPr>
                <w:rFonts w:ascii="Arial" w:hAnsi="Arial" w:cs="Arial"/>
                <w:b/>
                <w:sz w:val="20"/>
              </w:rPr>
            </w:pPr>
            <w:r w:rsidRPr="00E93B5D">
              <w:rPr>
                <w:rFonts w:ascii="Arial" w:hAnsi="Arial" w:cs="Arial"/>
                <w:b/>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016F4B77"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25AEC370"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260" w:type="dxa"/>
            <w:tcBorders>
              <w:top w:val="single" w:sz="4" w:space="0" w:color="auto"/>
              <w:left w:val="single" w:sz="4" w:space="0" w:color="auto"/>
              <w:bottom w:val="single" w:sz="4" w:space="0" w:color="auto"/>
              <w:right w:val="single" w:sz="4" w:space="0" w:color="auto"/>
            </w:tcBorders>
            <w:hideMark/>
          </w:tcPr>
          <w:p w14:paraId="3C8C63CD"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r>
      <w:tr w:rsidR="00D67FE2" w:rsidRPr="00E93B5D" w14:paraId="69A8E871"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A86EAAF"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982" w:type="dxa"/>
            <w:tcBorders>
              <w:top w:val="single" w:sz="4" w:space="0" w:color="auto"/>
              <w:left w:val="single" w:sz="4" w:space="0" w:color="auto"/>
              <w:bottom w:val="single" w:sz="4" w:space="0" w:color="auto"/>
              <w:right w:val="single" w:sz="4" w:space="0" w:color="auto"/>
            </w:tcBorders>
            <w:hideMark/>
          </w:tcPr>
          <w:p w14:paraId="24E646DE" w14:textId="77777777" w:rsidR="00E93B5D" w:rsidRPr="00E93B5D" w:rsidRDefault="00E93B5D" w:rsidP="00E93B5D">
            <w:pPr>
              <w:pStyle w:val="Body"/>
              <w:rPr>
                <w:rFonts w:ascii="Arial" w:hAnsi="Arial" w:cs="Arial"/>
                <w:sz w:val="20"/>
              </w:rPr>
            </w:pPr>
            <w:r w:rsidRPr="00E93B5D">
              <w:rPr>
                <w:rFonts w:ascii="Arial" w:hAnsi="Arial" w:cs="Arial"/>
                <w:sz w:val="20"/>
              </w:rPr>
              <w:t>7.58E-5</w:t>
            </w:r>
          </w:p>
        </w:tc>
        <w:tc>
          <w:tcPr>
            <w:tcW w:w="1260" w:type="dxa"/>
            <w:tcBorders>
              <w:top w:val="single" w:sz="4" w:space="0" w:color="auto"/>
              <w:left w:val="single" w:sz="4" w:space="0" w:color="auto"/>
              <w:bottom w:val="single" w:sz="4" w:space="0" w:color="auto"/>
              <w:right w:val="single" w:sz="4" w:space="0" w:color="auto"/>
            </w:tcBorders>
            <w:hideMark/>
          </w:tcPr>
          <w:p w14:paraId="31397FE7" w14:textId="77777777" w:rsidR="00E93B5D" w:rsidRPr="00E93B5D" w:rsidRDefault="00E93B5D" w:rsidP="00E93B5D">
            <w:pPr>
              <w:pStyle w:val="Body"/>
              <w:rPr>
                <w:rFonts w:ascii="Arial" w:hAnsi="Arial" w:cs="Arial"/>
                <w:sz w:val="20"/>
              </w:rPr>
            </w:pPr>
            <w:r w:rsidRPr="00E93B5D">
              <w:rPr>
                <w:rFonts w:ascii="Arial" w:hAnsi="Arial" w:cs="Arial"/>
                <w:sz w:val="20"/>
              </w:rPr>
              <w:t>1.21E-4</w:t>
            </w:r>
          </w:p>
        </w:tc>
        <w:tc>
          <w:tcPr>
            <w:tcW w:w="1440" w:type="dxa"/>
            <w:tcBorders>
              <w:top w:val="single" w:sz="4" w:space="0" w:color="auto"/>
              <w:left w:val="single" w:sz="4" w:space="0" w:color="auto"/>
              <w:bottom w:val="single" w:sz="4" w:space="0" w:color="auto"/>
              <w:right w:val="single" w:sz="4" w:space="0" w:color="auto"/>
            </w:tcBorders>
            <w:hideMark/>
          </w:tcPr>
          <w:p w14:paraId="05EC7ED0" w14:textId="77777777" w:rsidR="00E93B5D" w:rsidRPr="00E93B5D" w:rsidRDefault="00E93B5D" w:rsidP="00E93B5D">
            <w:pPr>
              <w:pStyle w:val="Body"/>
              <w:rPr>
                <w:rFonts w:ascii="Arial" w:hAnsi="Arial" w:cs="Arial"/>
                <w:sz w:val="20"/>
              </w:rPr>
            </w:pPr>
            <w:r w:rsidRPr="00E93B5D">
              <w:rPr>
                <w:rFonts w:ascii="Arial" w:hAnsi="Arial" w:cs="Arial"/>
                <w:sz w:val="20"/>
              </w:rPr>
              <w:t>1.98E-4</w:t>
            </w:r>
          </w:p>
        </w:tc>
        <w:tc>
          <w:tcPr>
            <w:tcW w:w="1260" w:type="dxa"/>
            <w:tcBorders>
              <w:top w:val="single" w:sz="4" w:space="0" w:color="auto"/>
              <w:left w:val="single" w:sz="4" w:space="0" w:color="auto"/>
              <w:bottom w:val="single" w:sz="4" w:space="0" w:color="auto"/>
              <w:right w:val="single" w:sz="4" w:space="0" w:color="auto"/>
            </w:tcBorders>
            <w:hideMark/>
          </w:tcPr>
          <w:p w14:paraId="5CC9A663" w14:textId="77777777" w:rsidR="00E93B5D" w:rsidRPr="00E93B5D" w:rsidRDefault="00E93B5D" w:rsidP="00E93B5D">
            <w:pPr>
              <w:pStyle w:val="Body"/>
              <w:rPr>
                <w:rFonts w:ascii="Arial" w:hAnsi="Arial" w:cs="Arial"/>
                <w:sz w:val="20"/>
              </w:rPr>
            </w:pPr>
            <w:r w:rsidRPr="00E93B5D">
              <w:rPr>
                <w:rFonts w:ascii="Arial" w:hAnsi="Arial" w:cs="Arial"/>
                <w:sz w:val="20"/>
              </w:rPr>
              <w:t>2.21E-4</w:t>
            </w:r>
          </w:p>
        </w:tc>
        <w:tc>
          <w:tcPr>
            <w:tcW w:w="1260" w:type="dxa"/>
            <w:tcBorders>
              <w:top w:val="single" w:sz="4" w:space="0" w:color="auto"/>
              <w:left w:val="single" w:sz="4" w:space="0" w:color="auto"/>
              <w:bottom w:val="single" w:sz="4" w:space="0" w:color="auto"/>
              <w:right w:val="single" w:sz="4" w:space="0" w:color="auto"/>
            </w:tcBorders>
            <w:hideMark/>
          </w:tcPr>
          <w:p w14:paraId="3F00FFFA" w14:textId="77777777" w:rsidR="00E93B5D" w:rsidRPr="00E93B5D" w:rsidRDefault="00E93B5D" w:rsidP="00E93B5D">
            <w:pPr>
              <w:pStyle w:val="Body"/>
              <w:rPr>
                <w:rFonts w:ascii="Arial" w:hAnsi="Arial" w:cs="Arial"/>
                <w:sz w:val="20"/>
              </w:rPr>
            </w:pPr>
            <w:r w:rsidRPr="00E93B5D">
              <w:rPr>
                <w:rFonts w:ascii="Arial" w:hAnsi="Arial" w:cs="Arial"/>
                <w:sz w:val="20"/>
              </w:rPr>
              <w:t>3.53E-4</w:t>
            </w:r>
          </w:p>
        </w:tc>
        <w:tc>
          <w:tcPr>
            <w:tcW w:w="1260" w:type="dxa"/>
            <w:tcBorders>
              <w:top w:val="single" w:sz="4" w:space="0" w:color="auto"/>
              <w:left w:val="single" w:sz="4" w:space="0" w:color="auto"/>
              <w:bottom w:val="single" w:sz="4" w:space="0" w:color="auto"/>
              <w:right w:val="single" w:sz="4" w:space="0" w:color="auto"/>
            </w:tcBorders>
            <w:hideMark/>
          </w:tcPr>
          <w:p w14:paraId="2468F5C2" w14:textId="77777777" w:rsidR="00E93B5D" w:rsidRPr="00E93B5D" w:rsidRDefault="00E93B5D" w:rsidP="00E93B5D">
            <w:pPr>
              <w:pStyle w:val="Body"/>
              <w:rPr>
                <w:rFonts w:ascii="Arial" w:hAnsi="Arial" w:cs="Arial"/>
                <w:sz w:val="20"/>
              </w:rPr>
            </w:pPr>
            <w:r w:rsidRPr="00E93B5D">
              <w:rPr>
                <w:rFonts w:ascii="Arial" w:hAnsi="Arial" w:cs="Arial"/>
                <w:sz w:val="20"/>
              </w:rPr>
              <w:t>5.79E-4</w:t>
            </w:r>
          </w:p>
        </w:tc>
      </w:tr>
      <w:tr w:rsidR="00D67FE2" w:rsidRPr="00E93B5D" w14:paraId="10AFA3EA"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FEA3682"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982" w:type="dxa"/>
            <w:tcBorders>
              <w:top w:val="single" w:sz="4" w:space="0" w:color="auto"/>
              <w:left w:val="single" w:sz="4" w:space="0" w:color="auto"/>
              <w:bottom w:val="single" w:sz="4" w:space="0" w:color="auto"/>
              <w:right w:val="single" w:sz="4" w:space="0" w:color="auto"/>
            </w:tcBorders>
            <w:hideMark/>
          </w:tcPr>
          <w:p w14:paraId="2739CB95" w14:textId="77777777" w:rsidR="00E93B5D" w:rsidRPr="00E93B5D" w:rsidRDefault="00E93B5D" w:rsidP="00E93B5D">
            <w:pPr>
              <w:pStyle w:val="Body"/>
              <w:rPr>
                <w:rFonts w:ascii="Arial" w:hAnsi="Arial" w:cs="Arial"/>
                <w:sz w:val="20"/>
              </w:rPr>
            </w:pPr>
            <w:r w:rsidRPr="00E93B5D">
              <w:rPr>
                <w:rFonts w:ascii="Arial" w:hAnsi="Arial" w:cs="Arial"/>
                <w:sz w:val="20"/>
              </w:rPr>
              <w:t>1.52E-5</w:t>
            </w:r>
          </w:p>
        </w:tc>
        <w:tc>
          <w:tcPr>
            <w:tcW w:w="1260" w:type="dxa"/>
            <w:tcBorders>
              <w:top w:val="single" w:sz="4" w:space="0" w:color="auto"/>
              <w:left w:val="single" w:sz="4" w:space="0" w:color="auto"/>
              <w:bottom w:val="single" w:sz="4" w:space="0" w:color="auto"/>
              <w:right w:val="single" w:sz="4" w:space="0" w:color="auto"/>
            </w:tcBorders>
            <w:hideMark/>
          </w:tcPr>
          <w:p w14:paraId="6F43C900" w14:textId="77777777" w:rsidR="00E93B5D" w:rsidRPr="00E93B5D" w:rsidRDefault="00E93B5D" w:rsidP="00E93B5D">
            <w:pPr>
              <w:pStyle w:val="Body"/>
              <w:rPr>
                <w:rFonts w:ascii="Arial" w:hAnsi="Arial" w:cs="Arial"/>
                <w:sz w:val="20"/>
              </w:rPr>
            </w:pPr>
            <w:r w:rsidRPr="00E93B5D">
              <w:rPr>
                <w:rFonts w:ascii="Arial" w:hAnsi="Arial" w:cs="Arial"/>
                <w:sz w:val="20"/>
              </w:rPr>
              <w:t>2.10E-5</w:t>
            </w:r>
          </w:p>
        </w:tc>
        <w:tc>
          <w:tcPr>
            <w:tcW w:w="1440" w:type="dxa"/>
            <w:tcBorders>
              <w:top w:val="single" w:sz="4" w:space="0" w:color="auto"/>
              <w:left w:val="single" w:sz="4" w:space="0" w:color="auto"/>
              <w:bottom w:val="single" w:sz="4" w:space="0" w:color="auto"/>
              <w:right w:val="single" w:sz="4" w:space="0" w:color="auto"/>
            </w:tcBorders>
            <w:hideMark/>
          </w:tcPr>
          <w:p w14:paraId="1682F5D8" w14:textId="77777777" w:rsidR="00E93B5D" w:rsidRPr="00E93B5D" w:rsidRDefault="00E93B5D" w:rsidP="00E93B5D">
            <w:pPr>
              <w:pStyle w:val="Body"/>
              <w:rPr>
                <w:rFonts w:ascii="Arial" w:hAnsi="Arial" w:cs="Arial"/>
                <w:sz w:val="20"/>
              </w:rPr>
            </w:pPr>
            <w:r w:rsidRPr="00E93B5D">
              <w:rPr>
                <w:rFonts w:ascii="Arial" w:hAnsi="Arial" w:cs="Arial"/>
                <w:sz w:val="20"/>
              </w:rPr>
              <w:t>3.90E-5</w:t>
            </w:r>
          </w:p>
        </w:tc>
        <w:tc>
          <w:tcPr>
            <w:tcW w:w="1260" w:type="dxa"/>
            <w:tcBorders>
              <w:top w:val="single" w:sz="4" w:space="0" w:color="auto"/>
              <w:left w:val="single" w:sz="4" w:space="0" w:color="auto"/>
              <w:bottom w:val="single" w:sz="4" w:space="0" w:color="auto"/>
              <w:right w:val="single" w:sz="4" w:space="0" w:color="auto"/>
            </w:tcBorders>
            <w:hideMark/>
          </w:tcPr>
          <w:p w14:paraId="391E283A" w14:textId="77777777" w:rsidR="00E93B5D" w:rsidRPr="00E93B5D" w:rsidRDefault="00E93B5D" w:rsidP="00E93B5D">
            <w:pPr>
              <w:pStyle w:val="Body"/>
              <w:rPr>
                <w:rFonts w:ascii="Arial" w:hAnsi="Arial" w:cs="Arial"/>
                <w:sz w:val="20"/>
              </w:rPr>
            </w:pPr>
            <w:r w:rsidRPr="00E93B5D">
              <w:rPr>
                <w:rFonts w:ascii="Arial" w:hAnsi="Arial" w:cs="Arial"/>
                <w:sz w:val="20"/>
              </w:rPr>
              <w:t>4.40E-5</w:t>
            </w:r>
          </w:p>
        </w:tc>
        <w:tc>
          <w:tcPr>
            <w:tcW w:w="1260" w:type="dxa"/>
            <w:tcBorders>
              <w:top w:val="single" w:sz="4" w:space="0" w:color="auto"/>
              <w:left w:val="single" w:sz="4" w:space="0" w:color="auto"/>
              <w:bottom w:val="single" w:sz="4" w:space="0" w:color="auto"/>
              <w:right w:val="single" w:sz="4" w:space="0" w:color="auto"/>
            </w:tcBorders>
            <w:hideMark/>
          </w:tcPr>
          <w:p w14:paraId="54F9FADB" w14:textId="77777777" w:rsidR="00E93B5D" w:rsidRPr="00E93B5D" w:rsidRDefault="00E93B5D" w:rsidP="00E93B5D">
            <w:pPr>
              <w:pStyle w:val="Body"/>
              <w:rPr>
                <w:rFonts w:ascii="Arial" w:hAnsi="Arial" w:cs="Arial"/>
                <w:sz w:val="20"/>
              </w:rPr>
            </w:pPr>
            <w:r w:rsidRPr="00E93B5D">
              <w:rPr>
                <w:rFonts w:ascii="Arial" w:hAnsi="Arial" w:cs="Arial"/>
                <w:sz w:val="20"/>
              </w:rPr>
              <w:t>6.12E-5</w:t>
            </w:r>
          </w:p>
        </w:tc>
        <w:tc>
          <w:tcPr>
            <w:tcW w:w="1260" w:type="dxa"/>
            <w:tcBorders>
              <w:top w:val="single" w:sz="4" w:space="0" w:color="auto"/>
              <w:left w:val="single" w:sz="4" w:space="0" w:color="auto"/>
              <w:bottom w:val="single" w:sz="4" w:space="0" w:color="auto"/>
              <w:right w:val="single" w:sz="4" w:space="0" w:color="auto"/>
            </w:tcBorders>
            <w:hideMark/>
          </w:tcPr>
          <w:p w14:paraId="15198FD5" w14:textId="77777777" w:rsidR="00E93B5D" w:rsidRPr="00E93B5D" w:rsidRDefault="00E93B5D" w:rsidP="00E93B5D">
            <w:pPr>
              <w:pStyle w:val="Body"/>
              <w:rPr>
                <w:rFonts w:ascii="Arial" w:hAnsi="Arial" w:cs="Arial"/>
                <w:sz w:val="20"/>
              </w:rPr>
            </w:pPr>
            <w:r w:rsidRPr="00E93B5D">
              <w:rPr>
                <w:rFonts w:ascii="Arial" w:hAnsi="Arial" w:cs="Arial"/>
                <w:sz w:val="20"/>
              </w:rPr>
              <w:t>1.16E-4</w:t>
            </w:r>
          </w:p>
        </w:tc>
      </w:tr>
      <w:tr w:rsidR="00D67FE2" w:rsidRPr="00E93B5D" w14:paraId="3FBE73CD"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3D301110"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982" w:type="dxa"/>
            <w:tcBorders>
              <w:top w:val="single" w:sz="4" w:space="0" w:color="auto"/>
              <w:left w:val="single" w:sz="4" w:space="0" w:color="auto"/>
              <w:bottom w:val="single" w:sz="4" w:space="0" w:color="auto"/>
              <w:right w:val="single" w:sz="4" w:space="0" w:color="auto"/>
            </w:tcBorders>
            <w:hideMark/>
          </w:tcPr>
          <w:p w14:paraId="780B7078" w14:textId="77777777" w:rsidR="00E93B5D" w:rsidRPr="00E93B5D" w:rsidRDefault="00E93B5D" w:rsidP="00E93B5D">
            <w:pPr>
              <w:pStyle w:val="Body"/>
              <w:rPr>
                <w:rFonts w:ascii="Arial" w:hAnsi="Arial" w:cs="Arial"/>
                <w:sz w:val="20"/>
              </w:rPr>
            </w:pPr>
            <w:r w:rsidRPr="00E93B5D">
              <w:rPr>
                <w:rFonts w:ascii="Arial" w:hAnsi="Arial" w:cs="Arial"/>
                <w:sz w:val="20"/>
              </w:rPr>
              <w:t>4.80E-7</w:t>
            </w:r>
          </w:p>
        </w:tc>
        <w:tc>
          <w:tcPr>
            <w:tcW w:w="1260" w:type="dxa"/>
            <w:tcBorders>
              <w:top w:val="single" w:sz="4" w:space="0" w:color="auto"/>
              <w:left w:val="single" w:sz="4" w:space="0" w:color="auto"/>
              <w:bottom w:val="single" w:sz="4" w:space="0" w:color="auto"/>
              <w:right w:val="single" w:sz="4" w:space="0" w:color="auto"/>
            </w:tcBorders>
            <w:hideMark/>
          </w:tcPr>
          <w:p w14:paraId="69E6ADBE" w14:textId="77777777" w:rsidR="00E93B5D" w:rsidRPr="00E93B5D" w:rsidRDefault="00E93B5D" w:rsidP="00E93B5D">
            <w:pPr>
              <w:pStyle w:val="Body"/>
              <w:rPr>
                <w:rFonts w:ascii="Arial" w:hAnsi="Arial" w:cs="Arial"/>
                <w:sz w:val="20"/>
              </w:rPr>
            </w:pPr>
            <w:r w:rsidRPr="00E93B5D">
              <w:rPr>
                <w:rFonts w:ascii="Arial" w:hAnsi="Arial" w:cs="Arial"/>
                <w:sz w:val="20"/>
              </w:rPr>
              <w:t>2.404-7</w:t>
            </w:r>
          </w:p>
        </w:tc>
        <w:tc>
          <w:tcPr>
            <w:tcW w:w="1440" w:type="dxa"/>
            <w:tcBorders>
              <w:top w:val="single" w:sz="4" w:space="0" w:color="auto"/>
              <w:left w:val="single" w:sz="4" w:space="0" w:color="auto"/>
              <w:bottom w:val="single" w:sz="4" w:space="0" w:color="auto"/>
              <w:right w:val="single" w:sz="4" w:space="0" w:color="auto"/>
            </w:tcBorders>
            <w:hideMark/>
          </w:tcPr>
          <w:p w14:paraId="51A43F7E" w14:textId="77777777" w:rsidR="00E93B5D" w:rsidRPr="00E93B5D" w:rsidRDefault="00E93B5D" w:rsidP="00E93B5D">
            <w:pPr>
              <w:pStyle w:val="Body"/>
              <w:rPr>
                <w:rFonts w:ascii="Arial" w:hAnsi="Arial" w:cs="Arial"/>
                <w:sz w:val="20"/>
              </w:rPr>
            </w:pPr>
            <w:r w:rsidRPr="00E93B5D">
              <w:rPr>
                <w:rFonts w:ascii="Arial" w:hAnsi="Arial" w:cs="Arial"/>
                <w:sz w:val="20"/>
              </w:rPr>
              <w:t>7.24E-7</w:t>
            </w:r>
          </w:p>
        </w:tc>
        <w:tc>
          <w:tcPr>
            <w:tcW w:w="1260" w:type="dxa"/>
            <w:tcBorders>
              <w:top w:val="single" w:sz="4" w:space="0" w:color="auto"/>
              <w:left w:val="single" w:sz="4" w:space="0" w:color="auto"/>
              <w:bottom w:val="single" w:sz="4" w:space="0" w:color="auto"/>
              <w:right w:val="single" w:sz="4" w:space="0" w:color="auto"/>
            </w:tcBorders>
            <w:hideMark/>
          </w:tcPr>
          <w:p w14:paraId="2524AD13" w14:textId="77777777" w:rsidR="00E93B5D" w:rsidRPr="00E93B5D" w:rsidRDefault="00E93B5D" w:rsidP="00E93B5D">
            <w:pPr>
              <w:pStyle w:val="Body"/>
              <w:rPr>
                <w:rFonts w:ascii="Arial" w:hAnsi="Arial" w:cs="Arial"/>
                <w:sz w:val="20"/>
              </w:rPr>
            </w:pPr>
            <w:r w:rsidRPr="00E93B5D">
              <w:rPr>
                <w:rFonts w:ascii="Arial" w:hAnsi="Arial" w:cs="Arial"/>
                <w:sz w:val="20"/>
              </w:rPr>
              <w:t>1.40E-6</w:t>
            </w:r>
          </w:p>
        </w:tc>
        <w:tc>
          <w:tcPr>
            <w:tcW w:w="1260" w:type="dxa"/>
            <w:tcBorders>
              <w:top w:val="single" w:sz="4" w:space="0" w:color="auto"/>
              <w:left w:val="single" w:sz="4" w:space="0" w:color="auto"/>
              <w:bottom w:val="single" w:sz="4" w:space="0" w:color="auto"/>
              <w:right w:val="single" w:sz="4" w:space="0" w:color="auto"/>
            </w:tcBorders>
            <w:hideMark/>
          </w:tcPr>
          <w:p w14:paraId="0B1085C0"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c>
          <w:tcPr>
            <w:tcW w:w="1260" w:type="dxa"/>
            <w:tcBorders>
              <w:top w:val="single" w:sz="4" w:space="0" w:color="auto"/>
              <w:left w:val="single" w:sz="4" w:space="0" w:color="auto"/>
              <w:bottom w:val="single" w:sz="4" w:space="0" w:color="auto"/>
              <w:right w:val="single" w:sz="4" w:space="0" w:color="auto"/>
            </w:tcBorders>
            <w:hideMark/>
          </w:tcPr>
          <w:p w14:paraId="13E7D40B" w14:textId="77777777" w:rsidR="00E93B5D" w:rsidRPr="00E93B5D" w:rsidRDefault="00E93B5D" w:rsidP="00E93B5D">
            <w:pPr>
              <w:pStyle w:val="Body"/>
              <w:rPr>
                <w:rFonts w:ascii="Arial" w:hAnsi="Arial" w:cs="Arial"/>
                <w:sz w:val="20"/>
              </w:rPr>
            </w:pPr>
            <w:r w:rsidRPr="00E93B5D">
              <w:rPr>
                <w:rFonts w:ascii="Arial" w:hAnsi="Arial" w:cs="Arial"/>
                <w:sz w:val="20"/>
              </w:rPr>
              <w:t>2.11E-6</w:t>
            </w:r>
          </w:p>
        </w:tc>
      </w:tr>
      <w:tr w:rsidR="00D67FE2" w:rsidRPr="00E93B5D" w14:paraId="25D6254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86D5618"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982" w:type="dxa"/>
            <w:tcBorders>
              <w:top w:val="single" w:sz="4" w:space="0" w:color="auto"/>
              <w:left w:val="single" w:sz="4" w:space="0" w:color="auto"/>
              <w:bottom w:val="single" w:sz="4" w:space="0" w:color="auto"/>
              <w:right w:val="single" w:sz="4" w:space="0" w:color="auto"/>
            </w:tcBorders>
            <w:hideMark/>
          </w:tcPr>
          <w:p w14:paraId="658C894B" w14:textId="77777777" w:rsidR="00E93B5D" w:rsidRPr="00E93B5D" w:rsidRDefault="00E93B5D" w:rsidP="00E93B5D">
            <w:pPr>
              <w:pStyle w:val="Body"/>
              <w:rPr>
                <w:rFonts w:ascii="Arial" w:hAnsi="Arial" w:cs="Arial"/>
                <w:sz w:val="20"/>
              </w:rPr>
            </w:pPr>
            <w:r w:rsidRPr="00E93B5D">
              <w:rPr>
                <w:rFonts w:ascii="Arial" w:hAnsi="Arial" w:cs="Arial"/>
                <w:sz w:val="20"/>
              </w:rPr>
              <w:t>7.24E-7</w:t>
            </w:r>
          </w:p>
        </w:tc>
        <w:tc>
          <w:tcPr>
            <w:tcW w:w="1260" w:type="dxa"/>
            <w:tcBorders>
              <w:top w:val="single" w:sz="4" w:space="0" w:color="auto"/>
              <w:left w:val="single" w:sz="4" w:space="0" w:color="auto"/>
              <w:bottom w:val="single" w:sz="4" w:space="0" w:color="auto"/>
              <w:right w:val="single" w:sz="4" w:space="0" w:color="auto"/>
            </w:tcBorders>
            <w:hideMark/>
          </w:tcPr>
          <w:p w14:paraId="5B7BF363" w14:textId="77777777" w:rsidR="00E93B5D" w:rsidRPr="00E93B5D" w:rsidRDefault="00E93B5D" w:rsidP="00E93B5D">
            <w:pPr>
              <w:pStyle w:val="Body"/>
              <w:rPr>
                <w:rFonts w:ascii="Arial" w:hAnsi="Arial" w:cs="Arial"/>
                <w:sz w:val="20"/>
              </w:rPr>
            </w:pPr>
            <w:r w:rsidRPr="00E93B5D">
              <w:rPr>
                <w:rFonts w:ascii="Arial" w:hAnsi="Arial" w:cs="Arial"/>
                <w:sz w:val="20"/>
              </w:rPr>
              <w:t>3.86E-6</w:t>
            </w:r>
          </w:p>
        </w:tc>
        <w:tc>
          <w:tcPr>
            <w:tcW w:w="1440" w:type="dxa"/>
            <w:tcBorders>
              <w:top w:val="single" w:sz="4" w:space="0" w:color="auto"/>
              <w:left w:val="single" w:sz="4" w:space="0" w:color="auto"/>
              <w:bottom w:val="single" w:sz="4" w:space="0" w:color="auto"/>
              <w:right w:val="single" w:sz="4" w:space="0" w:color="auto"/>
            </w:tcBorders>
            <w:hideMark/>
          </w:tcPr>
          <w:p w14:paraId="3D350172" w14:textId="77777777" w:rsidR="00E93B5D" w:rsidRPr="00E93B5D" w:rsidRDefault="00E93B5D" w:rsidP="00E93B5D">
            <w:pPr>
              <w:pStyle w:val="Body"/>
              <w:rPr>
                <w:rFonts w:ascii="Arial" w:hAnsi="Arial" w:cs="Arial"/>
                <w:sz w:val="20"/>
              </w:rPr>
            </w:pPr>
            <w:r w:rsidRPr="00E93B5D">
              <w:rPr>
                <w:rFonts w:ascii="Arial" w:hAnsi="Arial" w:cs="Arial"/>
                <w:sz w:val="20"/>
              </w:rPr>
              <w:t>6.70E-6</w:t>
            </w:r>
          </w:p>
        </w:tc>
        <w:tc>
          <w:tcPr>
            <w:tcW w:w="1260" w:type="dxa"/>
            <w:tcBorders>
              <w:top w:val="single" w:sz="4" w:space="0" w:color="auto"/>
              <w:left w:val="single" w:sz="4" w:space="0" w:color="auto"/>
              <w:bottom w:val="single" w:sz="4" w:space="0" w:color="auto"/>
              <w:right w:val="single" w:sz="4" w:space="0" w:color="auto"/>
            </w:tcBorders>
            <w:hideMark/>
          </w:tcPr>
          <w:p w14:paraId="35853C25" w14:textId="77777777" w:rsidR="00E93B5D" w:rsidRPr="00E93B5D" w:rsidRDefault="00E93B5D" w:rsidP="00E93B5D">
            <w:pPr>
              <w:pStyle w:val="Body"/>
              <w:rPr>
                <w:rFonts w:ascii="Arial" w:hAnsi="Arial" w:cs="Arial"/>
                <w:sz w:val="20"/>
              </w:rPr>
            </w:pPr>
            <w:r w:rsidRPr="00E93B5D">
              <w:rPr>
                <w:rFonts w:ascii="Arial" w:hAnsi="Arial" w:cs="Arial"/>
                <w:sz w:val="20"/>
              </w:rPr>
              <w:t>2.11E-6</w:t>
            </w:r>
          </w:p>
        </w:tc>
        <w:tc>
          <w:tcPr>
            <w:tcW w:w="1260" w:type="dxa"/>
            <w:tcBorders>
              <w:top w:val="single" w:sz="4" w:space="0" w:color="auto"/>
              <w:left w:val="single" w:sz="4" w:space="0" w:color="auto"/>
              <w:bottom w:val="single" w:sz="4" w:space="0" w:color="auto"/>
              <w:right w:val="single" w:sz="4" w:space="0" w:color="auto"/>
            </w:tcBorders>
            <w:hideMark/>
          </w:tcPr>
          <w:p w14:paraId="53612717" w14:textId="77777777" w:rsidR="00E93B5D" w:rsidRPr="00E93B5D" w:rsidRDefault="00E93B5D" w:rsidP="00E93B5D">
            <w:pPr>
              <w:pStyle w:val="Body"/>
              <w:rPr>
                <w:rFonts w:ascii="Arial" w:hAnsi="Arial" w:cs="Arial"/>
                <w:sz w:val="20"/>
              </w:rPr>
            </w:pPr>
            <w:r w:rsidRPr="00E93B5D">
              <w:rPr>
                <w:rFonts w:ascii="Arial" w:hAnsi="Arial" w:cs="Arial"/>
                <w:sz w:val="20"/>
              </w:rPr>
              <w:t>1.12E-5</w:t>
            </w:r>
          </w:p>
        </w:tc>
        <w:tc>
          <w:tcPr>
            <w:tcW w:w="1260" w:type="dxa"/>
            <w:tcBorders>
              <w:top w:val="single" w:sz="4" w:space="0" w:color="auto"/>
              <w:left w:val="single" w:sz="4" w:space="0" w:color="auto"/>
              <w:bottom w:val="single" w:sz="4" w:space="0" w:color="auto"/>
              <w:right w:val="single" w:sz="4" w:space="0" w:color="auto"/>
            </w:tcBorders>
            <w:hideMark/>
          </w:tcPr>
          <w:p w14:paraId="51257A6A" w14:textId="77777777" w:rsidR="00E93B5D" w:rsidRPr="00E93B5D" w:rsidRDefault="00E93B5D" w:rsidP="00E93B5D">
            <w:pPr>
              <w:pStyle w:val="Body"/>
              <w:rPr>
                <w:rFonts w:ascii="Arial" w:hAnsi="Arial" w:cs="Arial"/>
                <w:sz w:val="20"/>
              </w:rPr>
            </w:pPr>
            <w:r w:rsidRPr="00E93B5D">
              <w:rPr>
                <w:rFonts w:ascii="Arial" w:hAnsi="Arial" w:cs="Arial"/>
                <w:sz w:val="20"/>
              </w:rPr>
              <w:t>1.97E-5</w:t>
            </w:r>
          </w:p>
        </w:tc>
      </w:tr>
      <w:tr w:rsidR="00D67FE2" w:rsidRPr="00E93B5D" w14:paraId="38C3706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2360D66F"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982" w:type="dxa"/>
            <w:tcBorders>
              <w:top w:val="single" w:sz="4" w:space="0" w:color="auto"/>
              <w:left w:val="single" w:sz="4" w:space="0" w:color="auto"/>
              <w:bottom w:val="single" w:sz="4" w:space="0" w:color="auto"/>
              <w:right w:val="single" w:sz="4" w:space="0" w:color="auto"/>
            </w:tcBorders>
            <w:hideMark/>
          </w:tcPr>
          <w:p w14:paraId="550F184B" w14:textId="77777777" w:rsidR="00E93B5D" w:rsidRPr="00E93B5D" w:rsidRDefault="00E93B5D" w:rsidP="00E93B5D">
            <w:pPr>
              <w:pStyle w:val="Body"/>
              <w:rPr>
                <w:rFonts w:ascii="Arial" w:hAnsi="Arial" w:cs="Arial"/>
                <w:sz w:val="20"/>
              </w:rPr>
            </w:pPr>
            <w:r w:rsidRPr="00E93B5D">
              <w:rPr>
                <w:rFonts w:ascii="Arial" w:hAnsi="Arial" w:cs="Arial"/>
                <w:sz w:val="20"/>
              </w:rPr>
              <w:t>2.41E-7</w:t>
            </w:r>
          </w:p>
        </w:tc>
        <w:tc>
          <w:tcPr>
            <w:tcW w:w="1260" w:type="dxa"/>
            <w:tcBorders>
              <w:top w:val="single" w:sz="4" w:space="0" w:color="auto"/>
              <w:left w:val="single" w:sz="4" w:space="0" w:color="auto"/>
              <w:bottom w:val="single" w:sz="4" w:space="0" w:color="auto"/>
              <w:right w:val="single" w:sz="4" w:space="0" w:color="auto"/>
            </w:tcBorders>
            <w:hideMark/>
          </w:tcPr>
          <w:p w14:paraId="3F23E963" w14:textId="77777777" w:rsidR="00E93B5D" w:rsidRPr="00E93B5D" w:rsidRDefault="00E93B5D" w:rsidP="00E93B5D">
            <w:pPr>
              <w:pStyle w:val="Body"/>
              <w:rPr>
                <w:rFonts w:ascii="Arial" w:hAnsi="Arial" w:cs="Arial"/>
                <w:sz w:val="20"/>
              </w:rPr>
            </w:pPr>
            <w:r w:rsidRPr="00E93B5D">
              <w:rPr>
                <w:rFonts w:ascii="Arial" w:hAnsi="Arial" w:cs="Arial"/>
                <w:sz w:val="20"/>
              </w:rPr>
              <w:t>2.41E-7</w:t>
            </w:r>
          </w:p>
        </w:tc>
        <w:tc>
          <w:tcPr>
            <w:tcW w:w="1440" w:type="dxa"/>
            <w:tcBorders>
              <w:top w:val="single" w:sz="4" w:space="0" w:color="auto"/>
              <w:left w:val="single" w:sz="4" w:space="0" w:color="auto"/>
              <w:bottom w:val="single" w:sz="4" w:space="0" w:color="auto"/>
              <w:right w:val="single" w:sz="4" w:space="0" w:color="auto"/>
            </w:tcBorders>
            <w:hideMark/>
          </w:tcPr>
          <w:p w14:paraId="5FBD4345" w14:textId="77777777" w:rsidR="00E93B5D" w:rsidRPr="00E93B5D" w:rsidRDefault="00E93B5D" w:rsidP="00E93B5D">
            <w:pPr>
              <w:pStyle w:val="Body"/>
              <w:rPr>
                <w:rFonts w:ascii="Arial" w:hAnsi="Arial" w:cs="Arial"/>
                <w:sz w:val="20"/>
              </w:rPr>
            </w:pPr>
            <w:r w:rsidRPr="00E93B5D">
              <w:rPr>
                <w:rFonts w:ascii="Arial" w:hAnsi="Arial" w:cs="Arial"/>
                <w:sz w:val="20"/>
              </w:rPr>
              <w:t>2.41E-7</w:t>
            </w:r>
          </w:p>
        </w:tc>
        <w:tc>
          <w:tcPr>
            <w:tcW w:w="1260" w:type="dxa"/>
            <w:tcBorders>
              <w:top w:val="single" w:sz="4" w:space="0" w:color="auto"/>
              <w:left w:val="single" w:sz="4" w:space="0" w:color="auto"/>
              <w:bottom w:val="single" w:sz="4" w:space="0" w:color="auto"/>
              <w:right w:val="single" w:sz="4" w:space="0" w:color="auto"/>
            </w:tcBorders>
            <w:hideMark/>
          </w:tcPr>
          <w:p w14:paraId="7ACA92C4"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c>
          <w:tcPr>
            <w:tcW w:w="1260" w:type="dxa"/>
            <w:tcBorders>
              <w:top w:val="single" w:sz="4" w:space="0" w:color="auto"/>
              <w:left w:val="single" w:sz="4" w:space="0" w:color="auto"/>
              <w:bottom w:val="single" w:sz="4" w:space="0" w:color="auto"/>
              <w:right w:val="single" w:sz="4" w:space="0" w:color="auto"/>
            </w:tcBorders>
            <w:hideMark/>
          </w:tcPr>
          <w:p w14:paraId="486D6E33"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c>
          <w:tcPr>
            <w:tcW w:w="1260" w:type="dxa"/>
            <w:tcBorders>
              <w:top w:val="single" w:sz="4" w:space="0" w:color="auto"/>
              <w:left w:val="single" w:sz="4" w:space="0" w:color="auto"/>
              <w:bottom w:val="single" w:sz="4" w:space="0" w:color="auto"/>
              <w:right w:val="single" w:sz="4" w:space="0" w:color="auto"/>
            </w:tcBorders>
            <w:hideMark/>
          </w:tcPr>
          <w:p w14:paraId="29298441" w14:textId="77777777" w:rsidR="00E93B5D" w:rsidRPr="00E93B5D" w:rsidRDefault="00E93B5D" w:rsidP="00E93B5D">
            <w:pPr>
              <w:pStyle w:val="Body"/>
              <w:rPr>
                <w:rFonts w:ascii="Arial" w:hAnsi="Arial" w:cs="Arial"/>
                <w:sz w:val="20"/>
              </w:rPr>
            </w:pPr>
            <w:r w:rsidRPr="00E93B5D">
              <w:rPr>
                <w:rFonts w:ascii="Arial" w:hAnsi="Arial" w:cs="Arial"/>
                <w:sz w:val="20"/>
              </w:rPr>
              <w:t>7.04E-7</w:t>
            </w:r>
          </w:p>
        </w:tc>
      </w:tr>
      <w:tr w:rsidR="00D67FE2" w:rsidRPr="00E93B5D" w14:paraId="519BEBD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3CBC0180"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982" w:type="dxa"/>
            <w:tcBorders>
              <w:top w:val="single" w:sz="4" w:space="0" w:color="auto"/>
              <w:left w:val="single" w:sz="4" w:space="0" w:color="auto"/>
              <w:bottom w:val="single" w:sz="4" w:space="0" w:color="auto"/>
              <w:right w:val="single" w:sz="4" w:space="0" w:color="auto"/>
            </w:tcBorders>
            <w:hideMark/>
          </w:tcPr>
          <w:p w14:paraId="13925C6D" w14:textId="77777777" w:rsidR="00E93B5D" w:rsidRPr="00E93B5D" w:rsidRDefault="00E93B5D" w:rsidP="00E93B5D">
            <w:pPr>
              <w:pStyle w:val="Body"/>
              <w:rPr>
                <w:rFonts w:ascii="Arial" w:hAnsi="Arial" w:cs="Arial"/>
                <w:sz w:val="20"/>
              </w:rPr>
            </w:pPr>
            <w:r w:rsidRPr="00E93B5D">
              <w:rPr>
                <w:rFonts w:ascii="Arial" w:hAnsi="Arial" w:cs="Arial"/>
                <w:sz w:val="20"/>
              </w:rPr>
              <w:t>4.80E-5</w:t>
            </w:r>
          </w:p>
        </w:tc>
        <w:tc>
          <w:tcPr>
            <w:tcW w:w="1260" w:type="dxa"/>
            <w:tcBorders>
              <w:top w:val="single" w:sz="4" w:space="0" w:color="auto"/>
              <w:left w:val="single" w:sz="4" w:space="0" w:color="auto"/>
              <w:bottom w:val="single" w:sz="4" w:space="0" w:color="auto"/>
              <w:right w:val="single" w:sz="4" w:space="0" w:color="auto"/>
            </w:tcBorders>
            <w:hideMark/>
          </w:tcPr>
          <w:p w14:paraId="70F07BAA" w14:textId="77777777" w:rsidR="00E93B5D" w:rsidRPr="00E93B5D" w:rsidRDefault="00E93B5D" w:rsidP="00E93B5D">
            <w:pPr>
              <w:pStyle w:val="Body"/>
              <w:rPr>
                <w:rFonts w:ascii="Arial" w:hAnsi="Arial" w:cs="Arial"/>
                <w:sz w:val="20"/>
              </w:rPr>
            </w:pPr>
            <w:r w:rsidRPr="00E93B5D">
              <w:rPr>
                <w:rFonts w:ascii="Arial" w:hAnsi="Arial" w:cs="Arial"/>
                <w:sz w:val="20"/>
              </w:rPr>
              <w:t>1.70E-5</w:t>
            </w:r>
          </w:p>
        </w:tc>
        <w:tc>
          <w:tcPr>
            <w:tcW w:w="1440" w:type="dxa"/>
            <w:tcBorders>
              <w:top w:val="single" w:sz="4" w:space="0" w:color="auto"/>
              <w:left w:val="single" w:sz="4" w:space="0" w:color="auto"/>
              <w:bottom w:val="single" w:sz="4" w:space="0" w:color="auto"/>
              <w:right w:val="single" w:sz="4" w:space="0" w:color="auto"/>
            </w:tcBorders>
            <w:hideMark/>
          </w:tcPr>
          <w:p w14:paraId="54C52031" w14:textId="77777777" w:rsidR="00E93B5D" w:rsidRPr="00E93B5D" w:rsidRDefault="00E93B5D" w:rsidP="00E93B5D">
            <w:pPr>
              <w:pStyle w:val="Body"/>
              <w:rPr>
                <w:rFonts w:ascii="Arial" w:hAnsi="Arial" w:cs="Arial"/>
                <w:sz w:val="20"/>
              </w:rPr>
            </w:pPr>
            <w:r w:rsidRPr="00E93B5D">
              <w:rPr>
                <w:rFonts w:ascii="Arial" w:hAnsi="Arial" w:cs="Arial"/>
                <w:sz w:val="20"/>
              </w:rPr>
              <w:t>2.97E-5</w:t>
            </w:r>
          </w:p>
        </w:tc>
        <w:tc>
          <w:tcPr>
            <w:tcW w:w="1260" w:type="dxa"/>
            <w:tcBorders>
              <w:top w:val="single" w:sz="4" w:space="0" w:color="auto"/>
              <w:left w:val="single" w:sz="4" w:space="0" w:color="auto"/>
              <w:bottom w:val="single" w:sz="4" w:space="0" w:color="auto"/>
              <w:right w:val="single" w:sz="4" w:space="0" w:color="auto"/>
            </w:tcBorders>
            <w:hideMark/>
          </w:tcPr>
          <w:p w14:paraId="2970E652" w14:textId="77777777" w:rsidR="00E93B5D" w:rsidRPr="00E93B5D" w:rsidRDefault="00E93B5D" w:rsidP="00E93B5D">
            <w:pPr>
              <w:pStyle w:val="Body"/>
              <w:rPr>
                <w:rFonts w:ascii="Arial" w:hAnsi="Arial" w:cs="Arial"/>
                <w:sz w:val="20"/>
              </w:rPr>
            </w:pPr>
            <w:r w:rsidRPr="00E93B5D">
              <w:rPr>
                <w:rFonts w:ascii="Arial" w:hAnsi="Arial" w:cs="Arial"/>
                <w:sz w:val="20"/>
              </w:rPr>
              <w:t>1.42E-4</w:t>
            </w:r>
          </w:p>
        </w:tc>
        <w:tc>
          <w:tcPr>
            <w:tcW w:w="1260" w:type="dxa"/>
            <w:tcBorders>
              <w:top w:val="single" w:sz="4" w:space="0" w:color="auto"/>
              <w:left w:val="single" w:sz="4" w:space="0" w:color="auto"/>
              <w:bottom w:val="single" w:sz="4" w:space="0" w:color="auto"/>
              <w:right w:val="single" w:sz="4" w:space="0" w:color="auto"/>
            </w:tcBorders>
            <w:hideMark/>
          </w:tcPr>
          <w:p w14:paraId="6B40AE8E" w14:textId="77777777" w:rsidR="00E93B5D" w:rsidRPr="00E93B5D" w:rsidRDefault="00E93B5D" w:rsidP="00E93B5D">
            <w:pPr>
              <w:pStyle w:val="Body"/>
              <w:rPr>
                <w:rFonts w:ascii="Arial" w:hAnsi="Arial" w:cs="Arial"/>
                <w:sz w:val="20"/>
              </w:rPr>
            </w:pPr>
            <w:r w:rsidRPr="00E93B5D">
              <w:rPr>
                <w:rFonts w:ascii="Arial" w:hAnsi="Arial" w:cs="Arial"/>
                <w:sz w:val="20"/>
              </w:rPr>
              <w:t>5.14E-5</w:t>
            </w:r>
          </w:p>
        </w:tc>
        <w:tc>
          <w:tcPr>
            <w:tcW w:w="1260" w:type="dxa"/>
            <w:tcBorders>
              <w:top w:val="single" w:sz="4" w:space="0" w:color="auto"/>
              <w:left w:val="single" w:sz="4" w:space="0" w:color="auto"/>
              <w:bottom w:val="single" w:sz="4" w:space="0" w:color="auto"/>
              <w:right w:val="single" w:sz="4" w:space="0" w:color="auto"/>
            </w:tcBorders>
            <w:hideMark/>
          </w:tcPr>
          <w:p w14:paraId="2B756477" w14:textId="77777777" w:rsidR="00E93B5D" w:rsidRPr="00E93B5D" w:rsidRDefault="00E93B5D" w:rsidP="00E93B5D">
            <w:pPr>
              <w:pStyle w:val="Body"/>
              <w:rPr>
                <w:rFonts w:ascii="Arial" w:hAnsi="Arial" w:cs="Arial"/>
                <w:sz w:val="20"/>
              </w:rPr>
            </w:pPr>
            <w:r w:rsidRPr="00E93B5D">
              <w:rPr>
                <w:rFonts w:ascii="Arial" w:hAnsi="Arial" w:cs="Arial"/>
                <w:sz w:val="20"/>
              </w:rPr>
              <w:t>8.66E-5</w:t>
            </w:r>
          </w:p>
        </w:tc>
      </w:tr>
      <w:tr w:rsidR="00D67FE2" w:rsidRPr="00E93B5D" w14:paraId="22867D4A"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65B3834D"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982" w:type="dxa"/>
            <w:tcBorders>
              <w:top w:val="single" w:sz="4" w:space="0" w:color="auto"/>
              <w:left w:val="single" w:sz="4" w:space="0" w:color="auto"/>
              <w:bottom w:val="single" w:sz="4" w:space="0" w:color="auto"/>
              <w:right w:val="single" w:sz="4" w:space="0" w:color="auto"/>
            </w:tcBorders>
            <w:hideMark/>
          </w:tcPr>
          <w:p w14:paraId="32C105E7" w14:textId="77777777" w:rsidR="00E93B5D" w:rsidRPr="00E93B5D" w:rsidRDefault="00E93B5D" w:rsidP="00E93B5D">
            <w:pPr>
              <w:pStyle w:val="Body"/>
              <w:rPr>
                <w:rFonts w:ascii="Arial" w:hAnsi="Arial" w:cs="Arial"/>
                <w:sz w:val="20"/>
              </w:rPr>
            </w:pPr>
            <w:r w:rsidRPr="00E93B5D">
              <w:rPr>
                <w:rFonts w:ascii="Arial" w:hAnsi="Arial" w:cs="Arial"/>
                <w:sz w:val="20"/>
              </w:rPr>
              <w:t>8.86E-5</w:t>
            </w:r>
          </w:p>
        </w:tc>
        <w:tc>
          <w:tcPr>
            <w:tcW w:w="1260" w:type="dxa"/>
            <w:tcBorders>
              <w:top w:val="single" w:sz="4" w:space="0" w:color="auto"/>
              <w:left w:val="single" w:sz="4" w:space="0" w:color="auto"/>
              <w:bottom w:val="single" w:sz="4" w:space="0" w:color="auto"/>
              <w:right w:val="single" w:sz="4" w:space="0" w:color="auto"/>
            </w:tcBorders>
            <w:hideMark/>
          </w:tcPr>
          <w:p w14:paraId="320C3C18" w14:textId="77777777" w:rsidR="00E93B5D" w:rsidRPr="00E93B5D" w:rsidRDefault="00E93B5D" w:rsidP="00E93B5D">
            <w:pPr>
              <w:pStyle w:val="Body"/>
              <w:rPr>
                <w:rFonts w:ascii="Arial" w:hAnsi="Arial" w:cs="Arial"/>
                <w:sz w:val="20"/>
              </w:rPr>
            </w:pPr>
            <w:r w:rsidRPr="00E93B5D">
              <w:rPr>
                <w:rFonts w:ascii="Arial" w:hAnsi="Arial" w:cs="Arial"/>
                <w:sz w:val="20"/>
              </w:rPr>
              <w:t>6.85E-5</w:t>
            </w:r>
          </w:p>
        </w:tc>
        <w:tc>
          <w:tcPr>
            <w:tcW w:w="1440" w:type="dxa"/>
            <w:tcBorders>
              <w:top w:val="single" w:sz="4" w:space="0" w:color="auto"/>
              <w:left w:val="single" w:sz="4" w:space="0" w:color="auto"/>
              <w:bottom w:val="single" w:sz="4" w:space="0" w:color="auto"/>
              <w:right w:val="single" w:sz="4" w:space="0" w:color="auto"/>
            </w:tcBorders>
            <w:hideMark/>
          </w:tcPr>
          <w:p w14:paraId="1A6A4202" w14:textId="77777777" w:rsidR="00E93B5D" w:rsidRPr="00E93B5D" w:rsidRDefault="00E93B5D" w:rsidP="00E93B5D">
            <w:pPr>
              <w:pStyle w:val="Body"/>
              <w:rPr>
                <w:rFonts w:ascii="Arial" w:hAnsi="Arial" w:cs="Arial"/>
                <w:sz w:val="20"/>
              </w:rPr>
            </w:pPr>
            <w:r w:rsidRPr="00E93B5D">
              <w:rPr>
                <w:rFonts w:ascii="Arial" w:hAnsi="Arial" w:cs="Arial"/>
                <w:sz w:val="20"/>
              </w:rPr>
              <w:t>9.90E-5</w:t>
            </w:r>
          </w:p>
        </w:tc>
        <w:tc>
          <w:tcPr>
            <w:tcW w:w="1260" w:type="dxa"/>
            <w:tcBorders>
              <w:top w:val="single" w:sz="4" w:space="0" w:color="auto"/>
              <w:left w:val="single" w:sz="4" w:space="0" w:color="auto"/>
              <w:bottom w:val="single" w:sz="4" w:space="0" w:color="auto"/>
              <w:right w:val="single" w:sz="4" w:space="0" w:color="auto"/>
            </w:tcBorders>
            <w:hideMark/>
          </w:tcPr>
          <w:p w14:paraId="7972FFAB" w14:textId="77777777" w:rsidR="00E93B5D" w:rsidRPr="00E93B5D" w:rsidRDefault="00E93B5D" w:rsidP="00E93B5D">
            <w:pPr>
              <w:pStyle w:val="Body"/>
              <w:rPr>
                <w:rFonts w:ascii="Arial" w:hAnsi="Arial" w:cs="Arial"/>
                <w:sz w:val="20"/>
              </w:rPr>
            </w:pPr>
            <w:r w:rsidRPr="00E93B5D">
              <w:rPr>
                <w:rFonts w:ascii="Arial" w:hAnsi="Arial" w:cs="Arial"/>
                <w:sz w:val="20"/>
              </w:rPr>
              <w:t>2.58E-4</w:t>
            </w:r>
          </w:p>
        </w:tc>
        <w:tc>
          <w:tcPr>
            <w:tcW w:w="1260" w:type="dxa"/>
            <w:tcBorders>
              <w:top w:val="single" w:sz="4" w:space="0" w:color="auto"/>
              <w:left w:val="single" w:sz="4" w:space="0" w:color="auto"/>
              <w:bottom w:val="single" w:sz="4" w:space="0" w:color="auto"/>
              <w:right w:val="single" w:sz="4" w:space="0" w:color="auto"/>
            </w:tcBorders>
            <w:hideMark/>
          </w:tcPr>
          <w:p w14:paraId="4BC7451F" w14:textId="77777777" w:rsidR="00E93B5D" w:rsidRPr="00E93B5D" w:rsidRDefault="00E93B5D" w:rsidP="00E93B5D">
            <w:pPr>
              <w:pStyle w:val="Body"/>
              <w:rPr>
                <w:rFonts w:ascii="Arial" w:hAnsi="Arial" w:cs="Arial"/>
                <w:sz w:val="20"/>
              </w:rPr>
            </w:pPr>
            <w:r w:rsidRPr="00E93B5D">
              <w:rPr>
                <w:rFonts w:ascii="Arial" w:hAnsi="Arial" w:cs="Arial"/>
                <w:sz w:val="20"/>
              </w:rPr>
              <w:t>2.00E-4</w:t>
            </w:r>
          </w:p>
        </w:tc>
        <w:tc>
          <w:tcPr>
            <w:tcW w:w="1260" w:type="dxa"/>
            <w:tcBorders>
              <w:top w:val="single" w:sz="4" w:space="0" w:color="auto"/>
              <w:left w:val="single" w:sz="4" w:space="0" w:color="auto"/>
              <w:bottom w:val="single" w:sz="4" w:space="0" w:color="auto"/>
              <w:right w:val="single" w:sz="4" w:space="0" w:color="auto"/>
            </w:tcBorders>
            <w:hideMark/>
          </w:tcPr>
          <w:p w14:paraId="36B395CC" w14:textId="77777777" w:rsidR="00E93B5D" w:rsidRPr="00E93B5D" w:rsidRDefault="00E93B5D" w:rsidP="00E93B5D">
            <w:pPr>
              <w:pStyle w:val="Body"/>
              <w:rPr>
                <w:rFonts w:ascii="Arial" w:hAnsi="Arial" w:cs="Arial"/>
                <w:sz w:val="20"/>
              </w:rPr>
            </w:pPr>
            <w:r w:rsidRPr="00E93B5D">
              <w:rPr>
                <w:rFonts w:ascii="Arial" w:hAnsi="Arial" w:cs="Arial"/>
                <w:sz w:val="20"/>
              </w:rPr>
              <w:t>2.90E-4</w:t>
            </w:r>
          </w:p>
        </w:tc>
      </w:tr>
      <w:tr w:rsidR="00E93B5D" w:rsidRPr="00E93B5D" w14:paraId="697351F6" w14:textId="77777777" w:rsidTr="00D67FE2">
        <w:tc>
          <w:tcPr>
            <w:tcW w:w="723" w:type="dxa"/>
            <w:tcBorders>
              <w:top w:val="single" w:sz="4" w:space="0" w:color="auto"/>
              <w:left w:val="single" w:sz="4" w:space="0" w:color="auto"/>
              <w:bottom w:val="single" w:sz="4" w:space="0" w:color="auto"/>
              <w:right w:val="single" w:sz="4" w:space="0" w:color="auto"/>
            </w:tcBorders>
          </w:tcPr>
          <w:p w14:paraId="1C8152FB" w14:textId="77777777" w:rsidR="00E93B5D" w:rsidRPr="00E93B5D" w:rsidRDefault="00E93B5D" w:rsidP="00E93B5D">
            <w:pPr>
              <w:pStyle w:val="Body"/>
              <w:rPr>
                <w:rFonts w:ascii="Arial" w:hAnsi="Arial" w:cs="Arial"/>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28592B85"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c>
          <w:tcPr>
            <w:tcW w:w="3780" w:type="dxa"/>
            <w:gridSpan w:val="3"/>
            <w:tcBorders>
              <w:top w:val="single" w:sz="4" w:space="0" w:color="auto"/>
              <w:left w:val="single" w:sz="4" w:space="0" w:color="auto"/>
              <w:bottom w:val="single" w:sz="4" w:space="0" w:color="auto"/>
              <w:right w:val="single" w:sz="4" w:space="0" w:color="auto"/>
            </w:tcBorders>
            <w:hideMark/>
          </w:tcPr>
          <w:p w14:paraId="7FE759F7"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r>
      <w:tr w:rsidR="00D67FE2" w:rsidRPr="00E93B5D" w14:paraId="2B163962"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81C46AD" w14:textId="77777777" w:rsidR="00E93B5D" w:rsidRPr="00E93B5D" w:rsidRDefault="00E93B5D" w:rsidP="00E93B5D">
            <w:pPr>
              <w:pStyle w:val="Body"/>
              <w:rPr>
                <w:rFonts w:ascii="Arial" w:hAnsi="Arial" w:cs="Arial"/>
                <w:sz w:val="20"/>
              </w:rPr>
            </w:pPr>
            <w:r w:rsidRPr="00E93B5D">
              <w:rPr>
                <w:rFonts w:ascii="Arial" w:hAnsi="Arial" w:cs="Arial"/>
                <w:sz w:val="20"/>
              </w:rPr>
              <w:lastRenderedPageBreak/>
              <w:t>Cr</w:t>
            </w:r>
          </w:p>
        </w:tc>
        <w:tc>
          <w:tcPr>
            <w:tcW w:w="982" w:type="dxa"/>
            <w:tcBorders>
              <w:top w:val="single" w:sz="4" w:space="0" w:color="auto"/>
              <w:left w:val="single" w:sz="4" w:space="0" w:color="auto"/>
              <w:bottom w:val="single" w:sz="4" w:space="0" w:color="auto"/>
              <w:right w:val="single" w:sz="4" w:space="0" w:color="auto"/>
            </w:tcBorders>
            <w:hideMark/>
          </w:tcPr>
          <w:p w14:paraId="3FD01B70" w14:textId="77777777" w:rsidR="00E93B5D" w:rsidRPr="00E93B5D" w:rsidRDefault="00E93B5D" w:rsidP="00E93B5D">
            <w:pPr>
              <w:pStyle w:val="Body"/>
              <w:rPr>
                <w:rFonts w:ascii="Arial" w:hAnsi="Arial" w:cs="Arial"/>
                <w:sz w:val="20"/>
              </w:rPr>
            </w:pPr>
            <w:r w:rsidRPr="00E93B5D">
              <w:rPr>
                <w:rFonts w:ascii="Arial" w:hAnsi="Arial" w:cs="Arial"/>
                <w:sz w:val="20"/>
              </w:rPr>
              <w:t>8.84E-5</w:t>
            </w:r>
          </w:p>
        </w:tc>
        <w:tc>
          <w:tcPr>
            <w:tcW w:w="1260" w:type="dxa"/>
            <w:tcBorders>
              <w:top w:val="single" w:sz="4" w:space="0" w:color="auto"/>
              <w:left w:val="single" w:sz="4" w:space="0" w:color="auto"/>
              <w:bottom w:val="single" w:sz="4" w:space="0" w:color="auto"/>
              <w:right w:val="single" w:sz="4" w:space="0" w:color="auto"/>
            </w:tcBorders>
            <w:hideMark/>
          </w:tcPr>
          <w:p w14:paraId="2DB96132" w14:textId="77777777" w:rsidR="00E93B5D" w:rsidRPr="00E93B5D" w:rsidRDefault="00E93B5D" w:rsidP="00E93B5D">
            <w:pPr>
              <w:pStyle w:val="Body"/>
              <w:rPr>
                <w:rFonts w:ascii="Arial" w:hAnsi="Arial" w:cs="Arial"/>
                <w:sz w:val="20"/>
              </w:rPr>
            </w:pPr>
            <w:r w:rsidRPr="00E93B5D">
              <w:rPr>
                <w:rFonts w:ascii="Arial" w:hAnsi="Arial" w:cs="Arial"/>
                <w:sz w:val="20"/>
              </w:rPr>
              <w:t>1.41E-4</w:t>
            </w:r>
          </w:p>
        </w:tc>
        <w:tc>
          <w:tcPr>
            <w:tcW w:w="1440" w:type="dxa"/>
            <w:tcBorders>
              <w:top w:val="single" w:sz="4" w:space="0" w:color="auto"/>
              <w:left w:val="single" w:sz="4" w:space="0" w:color="auto"/>
              <w:bottom w:val="single" w:sz="4" w:space="0" w:color="auto"/>
              <w:right w:val="single" w:sz="4" w:space="0" w:color="auto"/>
            </w:tcBorders>
            <w:hideMark/>
          </w:tcPr>
          <w:p w14:paraId="3BD275E9" w14:textId="77777777" w:rsidR="00E93B5D" w:rsidRPr="00E93B5D" w:rsidRDefault="00E93B5D" w:rsidP="00E93B5D">
            <w:pPr>
              <w:pStyle w:val="Body"/>
              <w:rPr>
                <w:rFonts w:ascii="Arial" w:hAnsi="Arial" w:cs="Arial"/>
                <w:sz w:val="20"/>
              </w:rPr>
            </w:pPr>
            <w:r w:rsidRPr="00E93B5D">
              <w:rPr>
                <w:rFonts w:ascii="Arial" w:hAnsi="Arial" w:cs="Arial"/>
                <w:sz w:val="20"/>
              </w:rPr>
              <w:t>2.31E-4</w:t>
            </w:r>
          </w:p>
        </w:tc>
        <w:tc>
          <w:tcPr>
            <w:tcW w:w="1260" w:type="dxa"/>
            <w:tcBorders>
              <w:top w:val="single" w:sz="4" w:space="0" w:color="auto"/>
              <w:left w:val="single" w:sz="4" w:space="0" w:color="auto"/>
              <w:bottom w:val="single" w:sz="4" w:space="0" w:color="auto"/>
              <w:right w:val="single" w:sz="4" w:space="0" w:color="auto"/>
            </w:tcBorders>
            <w:hideMark/>
          </w:tcPr>
          <w:p w14:paraId="14022EB5" w14:textId="77777777" w:rsidR="00E93B5D" w:rsidRPr="00E93B5D" w:rsidRDefault="00E93B5D" w:rsidP="00E93B5D">
            <w:pPr>
              <w:pStyle w:val="Body"/>
              <w:rPr>
                <w:rFonts w:ascii="Arial" w:hAnsi="Arial" w:cs="Arial"/>
                <w:sz w:val="20"/>
              </w:rPr>
            </w:pPr>
            <w:r w:rsidRPr="00E93B5D">
              <w:rPr>
                <w:rFonts w:ascii="Arial" w:hAnsi="Arial" w:cs="Arial"/>
                <w:sz w:val="20"/>
              </w:rPr>
              <w:t>1.03E-3</w:t>
            </w:r>
          </w:p>
        </w:tc>
        <w:tc>
          <w:tcPr>
            <w:tcW w:w="1260" w:type="dxa"/>
            <w:tcBorders>
              <w:top w:val="single" w:sz="4" w:space="0" w:color="auto"/>
              <w:left w:val="single" w:sz="4" w:space="0" w:color="auto"/>
              <w:bottom w:val="single" w:sz="4" w:space="0" w:color="auto"/>
              <w:right w:val="single" w:sz="4" w:space="0" w:color="auto"/>
            </w:tcBorders>
            <w:hideMark/>
          </w:tcPr>
          <w:p w14:paraId="32C69F09" w14:textId="77777777" w:rsidR="00E93B5D" w:rsidRPr="00E93B5D" w:rsidRDefault="00E93B5D" w:rsidP="00E93B5D">
            <w:pPr>
              <w:pStyle w:val="Body"/>
              <w:rPr>
                <w:rFonts w:ascii="Arial" w:hAnsi="Arial" w:cs="Arial"/>
                <w:sz w:val="20"/>
              </w:rPr>
            </w:pPr>
            <w:r w:rsidRPr="00E93B5D">
              <w:rPr>
                <w:rFonts w:ascii="Arial" w:hAnsi="Arial" w:cs="Arial"/>
                <w:sz w:val="20"/>
              </w:rPr>
              <w:t>1.65E-3</w:t>
            </w:r>
          </w:p>
        </w:tc>
        <w:tc>
          <w:tcPr>
            <w:tcW w:w="1260" w:type="dxa"/>
            <w:tcBorders>
              <w:top w:val="single" w:sz="4" w:space="0" w:color="auto"/>
              <w:left w:val="single" w:sz="4" w:space="0" w:color="auto"/>
              <w:bottom w:val="single" w:sz="4" w:space="0" w:color="auto"/>
              <w:right w:val="single" w:sz="4" w:space="0" w:color="auto"/>
            </w:tcBorders>
            <w:hideMark/>
          </w:tcPr>
          <w:p w14:paraId="08CFE87A" w14:textId="77777777" w:rsidR="00E93B5D" w:rsidRPr="00E93B5D" w:rsidRDefault="00E93B5D" w:rsidP="00E93B5D">
            <w:pPr>
              <w:pStyle w:val="Body"/>
              <w:rPr>
                <w:rFonts w:ascii="Arial" w:hAnsi="Arial" w:cs="Arial"/>
                <w:sz w:val="20"/>
              </w:rPr>
            </w:pPr>
            <w:r w:rsidRPr="00E93B5D">
              <w:rPr>
                <w:rFonts w:ascii="Arial" w:hAnsi="Arial" w:cs="Arial"/>
                <w:sz w:val="20"/>
              </w:rPr>
              <w:t>2.70E-3</w:t>
            </w:r>
          </w:p>
        </w:tc>
      </w:tr>
      <w:tr w:rsidR="00D67FE2" w:rsidRPr="00E93B5D" w14:paraId="5BBAC1E6"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0EA42CC3"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982" w:type="dxa"/>
            <w:tcBorders>
              <w:top w:val="single" w:sz="4" w:space="0" w:color="auto"/>
              <w:left w:val="single" w:sz="4" w:space="0" w:color="auto"/>
              <w:bottom w:val="single" w:sz="4" w:space="0" w:color="auto"/>
              <w:right w:val="single" w:sz="4" w:space="0" w:color="auto"/>
            </w:tcBorders>
            <w:hideMark/>
          </w:tcPr>
          <w:p w14:paraId="4B55E53E" w14:textId="77777777" w:rsidR="00E93B5D" w:rsidRPr="00E93B5D" w:rsidRDefault="00E93B5D" w:rsidP="00E93B5D">
            <w:pPr>
              <w:pStyle w:val="Body"/>
              <w:rPr>
                <w:rFonts w:ascii="Arial" w:hAnsi="Arial" w:cs="Arial"/>
                <w:sz w:val="20"/>
              </w:rPr>
            </w:pPr>
            <w:r w:rsidRPr="00E93B5D">
              <w:rPr>
                <w:rFonts w:ascii="Arial" w:hAnsi="Arial" w:cs="Arial"/>
                <w:sz w:val="20"/>
              </w:rPr>
              <w:t>1.77E-5</w:t>
            </w:r>
          </w:p>
        </w:tc>
        <w:tc>
          <w:tcPr>
            <w:tcW w:w="1260" w:type="dxa"/>
            <w:tcBorders>
              <w:top w:val="single" w:sz="4" w:space="0" w:color="auto"/>
              <w:left w:val="single" w:sz="4" w:space="0" w:color="auto"/>
              <w:bottom w:val="single" w:sz="4" w:space="0" w:color="auto"/>
              <w:right w:val="single" w:sz="4" w:space="0" w:color="auto"/>
            </w:tcBorders>
            <w:hideMark/>
          </w:tcPr>
          <w:p w14:paraId="39486267" w14:textId="77777777" w:rsidR="00E93B5D" w:rsidRPr="00E93B5D" w:rsidRDefault="00E93B5D" w:rsidP="00E93B5D">
            <w:pPr>
              <w:pStyle w:val="Body"/>
              <w:rPr>
                <w:rFonts w:ascii="Arial" w:hAnsi="Arial" w:cs="Arial"/>
                <w:sz w:val="20"/>
              </w:rPr>
            </w:pPr>
            <w:r w:rsidRPr="00E93B5D">
              <w:rPr>
                <w:rFonts w:ascii="Arial" w:hAnsi="Arial" w:cs="Arial"/>
                <w:sz w:val="20"/>
              </w:rPr>
              <w:t>2.45E-5</w:t>
            </w:r>
          </w:p>
        </w:tc>
        <w:tc>
          <w:tcPr>
            <w:tcW w:w="1440" w:type="dxa"/>
            <w:tcBorders>
              <w:top w:val="single" w:sz="4" w:space="0" w:color="auto"/>
              <w:left w:val="single" w:sz="4" w:space="0" w:color="auto"/>
              <w:bottom w:val="single" w:sz="4" w:space="0" w:color="auto"/>
              <w:right w:val="single" w:sz="4" w:space="0" w:color="auto"/>
            </w:tcBorders>
            <w:hideMark/>
          </w:tcPr>
          <w:p w14:paraId="28F3CBF5" w14:textId="77777777" w:rsidR="00E93B5D" w:rsidRPr="00E93B5D" w:rsidRDefault="00E93B5D" w:rsidP="00E93B5D">
            <w:pPr>
              <w:pStyle w:val="Body"/>
              <w:rPr>
                <w:rFonts w:ascii="Arial" w:hAnsi="Arial" w:cs="Arial"/>
                <w:sz w:val="20"/>
              </w:rPr>
            </w:pPr>
            <w:r w:rsidRPr="00E93B5D">
              <w:rPr>
                <w:rFonts w:ascii="Arial" w:hAnsi="Arial" w:cs="Arial"/>
                <w:sz w:val="20"/>
              </w:rPr>
              <w:t>4.64E-5</w:t>
            </w:r>
          </w:p>
        </w:tc>
        <w:tc>
          <w:tcPr>
            <w:tcW w:w="1260" w:type="dxa"/>
            <w:tcBorders>
              <w:top w:val="single" w:sz="4" w:space="0" w:color="auto"/>
              <w:left w:val="single" w:sz="4" w:space="0" w:color="auto"/>
              <w:bottom w:val="single" w:sz="4" w:space="0" w:color="auto"/>
              <w:right w:val="single" w:sz="4" w:space="0" w:color="auto"/>
            </w:tcBorders>
            <w:hideMark/>
          </w:tcPr>
          <w:p w14:paraId="2BE434DF" w14:textId="77777777" w:rsidR="00E93B5D" w:rsidRPr="00E93B5D" w:rsidRDefault="00E93B5D" w:rsidP="00E93B5D">
            <w:pPr>
              <w:pStyle w:val="Body"/>
              <w:rPr>
                <w:rFonts w:ascii="Arial" w:hAnsi="Arial" w:cs="Arial"/>
                <w:sz w:val="20"/>
              </w:rPr>
            </w:pPr>
            <w:r w:rsidRPr="00E93B5D">
              <w:rPr>
                <w:rFonts w:ascii="Arial" w:hAnsi="Arial" w:cs="Arial"/>
                <w:sz w:val="20"/>
              </w:rPr>
              <w:t>2.07E-4</w:t>
            </w:r>
          </w:p>
        </w:tc>
        <w:tc>
          <w:tcPr>
            <w:tcW w:w="1260" w:type="dxa"/>
            <w:tcBorders>
              <w:top w:val="single" w:sz="4" w:space="0" w:color="auto"/>
              <w:left w:val="single" w:sz="4" w:space="0" w:color="auto"/>
              <w:bottom w:val="single" w:sz="4" w:space="0" w:color="auto"/>
              <w:right w:val="single" w:sz="4" w:space="0" w:color="auto"/>
            </w:tcBorders>
            <w:hideMark/>
          </w:tcPr>
          <w:p w14:paraId="6CCD11B2" w14:textId="77777777" w:rsidR="00E93B5D" w:rsidRPr="00E93B5D" w:rsidRDefault="00E93B5D" w:rsidP="00E93B5D">
            <w:pPr>
              <w:pStyle w:val="Body"/>
              <w:rPr>
                <w:rFonts w:ascii="Arial" w:hAnsi="Arial" w:cs="Arial"/>
                <w:sz w:val="20"/>
              </w:rPr>
            </w:pPr>
            <w:r w:rsidRPr="00E93B5D">
              <w:rPr>
                <w:rFonts w:ascii="Arial" w:hAnsi="Arial" w:cs="Arial"/>
                <w:sz w:val="20"/>
              </w:rPr>
              <w:t>2.86E-4</w:t>
            </w:r>
          </w:p>
        </w:tc>
        <w:tc>
          <w:tcPr>
            <w:tcW w:w="1260" w:type="dxa"/>
            <w:tcBorders>
              <w:top w:val="single" w:sz="4" w:space="0" w:color="auto"/>
              <w:left w:val="single" w:sz="4" w:space="0" w:color="auto"/>
              <w:bottom w:val="single" w:sz="4" w:space="0" w:color="auto"/>
              <w:right w:val="single" w:sz="4" w:space="0" w:color="auto"/>
            </w:tcBorders>
            <w:hideMark/>
          </w:tcPr>
          <w:p w14:paraId="122CCCD5" w14:textId="77777777" w:rsidR="00E93B5D" w:rsidRPr="00E93B5D" w:rsidRDefault="00E93B5D" w:rsidP="00E93B5D">
            <w:pPr>
              <w:pStyle w:val="Body"/>
              <w:rPr>
                <w:rFonts w:ascii="Arial" w:hAnsi="Arial" w:cs="Arial"/>
                <w:sz w:val="20"/>
              </w:rPr>
            </w:pPr>
            <w:r w:rsidRPr="00E93B5D">
              <w:rPr>
                <w:rFonts w:ascii="Arial" w:hAnsi="Arial" w:cs="Arial"/>
                <w:sz w:val="20"/>
              </w:rPr>
              <w:t>5.42E-4</w:t>
            </w:r>
          </w:p>
        </w:tc>
      </w:tr>
      <w:tr w:rsidR="00D67FE2" w:rsidRPr="00E93B5D" w14:paraId="1CAEC15B"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26AD6913"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982" w:type="dxa"/>
            <w:tcBorders>
              <w:top w:val="single" w:sz="4" w:space="0" w:color="auto"/>
              <w:left w:val="single" w:sz="4" w:space="0" w:color="auto"/>
              <w:bottom w:val="single" w:sz="4" w:space="0" w:color="auto"/>
              <w:right w:val="single" w:sz="4" w:space="0" w:color="auto"/>
            </w:tcBorders>
            <w:hideMark/>
          </w:tcPr>
          <w:p w14:paraId="65A4D38B" w14:textId="77777777" w:rsidR="00E93B5D" w:rsidRPr="00E93B5D" w:rsidRDefault="00E93B5D" w:rsidP="00E93B5D">
            <w:pPr>
              <w:pStyle w:val="Body"/>
              <w:rPr>
                <w:rFonts w:ascii="Arial" w:hAnsi="Arial" w:cs="Arial"/>
                <w:sz w:val="20"/>
              </w:rPr>
            </w:pPr>
            <w:r w:rsidRPr="00E93B5D">
              <w:rPr>
                <w:rFonts w:ascii="Arial" w:hAnsi="Arial" w:cs="Arial"/>
                <w:sz w:val="20"/>
              </w:rPr>
              <w:t>5.63E-7</w:t>
            </w:r>
          </w:p>
        </w:tc>
        <w:tc>
          <w:tcPr>
            <w:tcW w:w="1260" w:type="dxa"/>
            <w:tcBorders>
              <w:top w:val="single" w:sz="4" w:space="0" w:color="auto"/>
              <w:left w:val="single" w:sz="4" w:space="0" w:color="auto"/>
              <w:bottom w:val="single" w:sz="4" w:space="0" w:color="auto"/>
              <w:right w:val="single" w:sz="4" w:space="0" w:color="auto"/>
            </w:tcBorders>
            <w:hideMark/>
          </w:tcPr>
          <w:p w14:paraId="7F546CEF"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440" w:type="dxa"/>
            <w:tcBorders>
              <w:top w:val="single" w:sz="4" w:space="0" w:color="auto"/>
              <w:left w:val="single" w:sz="4" w:space="0" w:color="auto"/>
              <w:bottom w:val="single" w:sz="4" w:space="0" w:color="auto"/>
              <w:right w:val="single" w:sz="4" w:space="0" w:color="auto"/>
            </w:tcBorders>
            <w:hideMark/>
          </w:tcPr>
          <w:p w14:paraId="64E40D2D" w14:textId="77777777" w:rsidR="00E93B5D" w:rsidRPr="00E93B5D" w:rsidRDefault="00E93B5D" w:rsidP="00E93B5D">
            <w:pPr>
              <w:pStyle w:val="Body"/>
              <w:rPr>
                <w:rFonts w:ascii="Arial" w:hAnsi="Arial" w:cs="Arial"/>
                <w:sz w:val="20"/>
              </w:rPr>
            </w:pPr>
            <w:r w:rsidRPr="00E93B5D">
              <w:rPr>
                <w:rFonts w:ascii="Arial" w:hAnsi="Arial" w:cs="Arial"/>
                <w:sz w:val="20"/>
              </w:rPr>
              <w:t>8.45E-7</w:t>
            </w:r>
          </w:p>
        </w:tc>
        <w:tc>
          <w:tcPr>
            <w:tcW w:w="1260" w:type="dxa"/>
            <w:tcBorders>
              <w:top w:val="single" w:sz="4" w:space="0" w:color="auto"/>
              <w:left w:val="single" w:sz="4" w:space="0" w:color="auto"/>
              <w:bottom w:val="single" w:sz="4" w:space="0" w:color="auto"/>
              <w:right w:val="single" w:sz="4" w:space="0" w:color="auto"/>
            </w:tcBorders>
            <w:hideMark/>
          </w:tcPr>
          <w:p w14:paraId="1BDA5709" w14:textId="77777777" w:rsidR="00E93B5D" w:rsidRPr="00E93B5D" w:rsidRDefault="00E93B5D" w:rsidP="00E93B5D">
            <w:pPr>
              <w:pStyle w:val="Body"/>
              <w:rPr>
                <w:rFonts w:ascii="Arial" w:hAnsi="Arial" w:cs="Arial"/>
                <w:sz w:val="20"/>
              </w:rPr>
            </w:pPr>
            <w:r w:rsidRPr="00E93B5D">
              <w:rPr>
                <w:rFonts w:ascii="Arial" w:hAnsi="Arial" w:cs="Arial"/>
                <w:sz w:val="20"/>
              </w:rPr>
              <w:t>6.57E-6</w:t>
            </w:r>
          </w:p>
        </w:tc>
        <w:tc>
          <w:tcPr>
            <w:tcW w:w="1260" w:type="dxa"/>
            <w:tcBorders>
              <w:top w:val="single" w:sz="4" w:space="0" w:color="auto"/>
              <w:left w:val="single" w:sz="4" w:space="0" w:color="auto"/>
              <w:bottom w:val="single" w:sz="4" w:space="0" w:color="auto"/>
              <w:right w:val="single" w:sz="4" w:space="0" w:color="auto"/>
            </w:tcBorders>
            <w:hideMark/>
          </w:tcPr>
          <w:p w14:paraId="2249A606"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c>
          <w:tcPr>
            <w:tcW w:w="1260" w:type="dxa"/>
            <w:tcBorders>
              <w:top w:val="single" w:sz="4" w:space="0" w:color="auto"/>
              <w:left w:val="single" w:sz="4" w:space="0" w:color="auto"/>
              <w:bottom w:val="single" w:sz="4" w:space="0" w:color="auto"/>
              <w:right w:val="single" w:sz="4" w:space="0" w:color="auto"/>
            </w:tcBorders>
            <w:hideMark/>
          </w:tcPr>
          <w:p w14:paraId="7E72FF08" w14:textId="77777777" w:rsidR="00E93B5D" w:rsidRPr="00E93B5D" w:rsidRDefault="00E93B5D" w:rsidP="00E93B5D">
            <w:pPr>
              <w:pStyle w:val="Body"/>
              <w:rPr>
                <w:rFonts w:ascii="Arial" w:hAnsi="Arial" w:cs="Arial"/>
                <w:sz w:val="20"/>
              </w:rPr>
            </w:pPr>
            <w:r w:rsidRPr="00E93B5D">
              <w:rPr>
                <w:rFonts w:ascii="Arial" w:hAnsi="Arial" w:cs="Arial"/>
                <w:sz w:val="20"/>
              </w:rPr>
              <w:t>9.86E-6</w:t>
            </w:r>
          </w:p>
        </w:tc>
      </w:tr>
      <w:tr w:rsidR="00D67FE2" w:rsidRPr="00E93B5D" w14:paraId="1ACA45C6"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73C85D0"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982" w:type="dxa"/>
            <w:tcBorders>
              <w:top w:val="single" w:sz="4" w:space="0" w:color="auto"/>
              <w:left w:val="single" w:sz="4" w:space="0" w:color="auto"/>
              <w:bottom w:val="single" w:sz="4" w:space="0" w:color="auto"/>
              <w:right w:val="single" w:sz="4" w:space="0" w:color="auto"/>
            </w:tcBorders>
            <w:hideMark/>
          </w:tcPr>
          <w:p w14:paraId="67E680E2" w14:textId="77777777" w:rsidR="00E93B5D" w:rsidRPr="00E93B5D" w:rsidRDefault="00E93B5D" w:rsidP="00E93B5D">
            <w:pPr>
              <w:pStyle w:val="Body"/>
              <w:rPr>
                <w:rFonts w:ascii="Arial" w:hAnsi="Arial" w:cs="Arial"/>
                <w:sz w:val="20"/>
              </w:rPr>
            </w:pPr>
            <w:r w:rsidRPr="00E93B5D">
              <w:rPr>
                <w:rFonts w:ascii="Arial" w:hAnsi="Arial" w:cs="Arial"/>
                <w:sz w:val="20"/>
              </w:rPr>
              <w:t>8.45E-7</w:t>
            </w:r>
          </w:p>
        </w:tc>
        <w:tc>
          <w:tcPr>
            <w:tcW w:w="1260" w:type="dxa"/>
            <w:tcBorders>
              <w:top w:val="single" w:sz="4" w:space="0" w:color="auto"/>
              <w:left w:val="single" w:sz="4" w:space="0" w:color="auto"/>
              <w:bottom w:val="single" w:sz="4" w:space="0" w:color="auto"/>
              <w:right w:val="single" w:sz="4" w:space="0" w:color="auto"/>
            </w:tcBorders>
            <w:hideMark/>
          </w:tcPr>
          <w:p w14:paraId="10EB55EA" w14:textId="77777777" w:rsidR="00E93B5D" w:rsidRPr="00E93B5D" w:rsidRDefault="00E93B5D" w:rsidP="00E93B5D">
            <w:pPr>
              <w:pStyle w:val="Body"/>
              <w:rPr>
                <w:rFonts w:ascii="Arial" w:hAnsi="Arial" w:cs="Arial"/>
                <w:sz w:val="20"/>
              </w:rPr>
            </w:pPr>
            <w:r w:rsidRPr="00E93B5D">
              <w:rPr>
                <w:rFonts w:ascii="Arial" w:hAnsi="Arial" w:cs="Arial"/>
                <w:sz w:val="20"/>
              </w:rPr>
              <w:t>4.50E-6</w:t>
            </w:r>
          </w:p>
        </w:tc>
        <w:tc>
          <w:tcPr>
            <w:tcW w:w="1440" w:type="dxa"/>
            <w:tcBorders>
              <w:top w:val="single" w:sz="4" w:space="0" w:color="auto"/>
              <w:left w:val="single" w:sz="4" w:space="0" w:color="auto"/>
              <w:bottom w:val="single" w:sz="4" w:space="0" w:color="auto"/>
              <w:right w:val="single" w:sz="4" w:space="0" w:color="auto"/>
            </w:tcBorders>
            <w:hideMark/>
          </w:tcPr>
          <w:p w14:paraId="2F4BB67E" w14:textId="77777777" w:rsidR="00E93B5D" w:rsidRPr="00E93B5D" w:rsidRDefault="00E93B5D" w:rsidP="00E93B5D">
            <w:pPr>
              <w:pStyle w:val="Body"/>
              <w:rPr>
                <w:rFonts w:ascii="Arial" w:hAnsi="Arial" w:cs="Arial"/>
                <w:sz w:val="20"/>
              </w:rPr>
            </w:pPr>
            <w:r w:rsidRPr="00E93B5D">
              <w:rPr>
                <w:rFonts w:ascii="Arial" w:hAnsi="Arial" w:cs="Arial"/>
                <w:sz w:val="20"/>
              </w:rPr>
              <w:t>7.89E-6</w:t>
            </w:r>
          </w:p>
        </w:tc>
        <w:tc>
          <w:tcPr>
            <w:tcW w:w="1260" w:type="dxa"/>
            <w:tcBorders>
              <w:top w:val="single" w:sz="4" w:space="0" w:color="auto"/>
              <w:left w:val="single" w:sz="4" w:space="0" w:color="auto"/>
              <w:bottom w:val="single" w:sz="4" w:space="0" w:color="auto"/>
              <w:right w:val="single" w:sz="4" w:space="0" w:color="auto"/>
            </w:tcBorders>
            <w:hideMark/>
          </w:tcPr>
          <w:p w14:paraId="06A4DA5E" w14:textId="77777777" w:rsidR="00E93B5D" w:rsidRPr="00E93B5D" w:rsidRDefault="00E93B5D" w:rsidP="00E93B5D">
            <w:pPr>
              <w:pStyle w:val="Body"/>
              <w:rPr>
                <w:rFonts w:ascii="Arial" w:hAnsi="Arial" w:cs="Arial"/>
                <w:sz w:val="20"/>
              </w:rPr>
            </w:pPr>
            <w:r w:rsidRPr="00E93B5D">
              <w:rPr>
                <w:rFonts w:ascii="Arial" w:hAnsi="Arial" w:cs="Arial"/>
                <w:sz w:val="20"/>
              </w:rPr>
              <w:t>9.86E-6</w:t>
            </w:r>
          </w:p>
        </w:tc>
        <w:tc>
          <w:tcPr>
            <w:tcW w:w="1260" w:type="dxa"/>
            <w:tcBorders>
              <w:top w:val="single" w:sz="4" w:space="0" w:color="auto"/>
              <w:left w:val="single" w:sz="4" w:space="0" w:color="auto"/>
              <w:bottom w:val="single" w:sz="4" w:space="0" w:color="auto"/>
              <w:right w:val="single" w:sz="4" w:space="0" w:color="auto"/>
            </w:tcBorders>
            <w:hideMark/>
          </w:tcPr>
          <w:p w14:paraId="7D59EC69" w14:textId="77777777" w:rsidR="00E93B5D" w:rsidRPr="00E93B5D" w:rsidRDefault="00E93B5D" w:rsidP="00E93B5D">
            <w:pPr>
              <w:pStyle w:val="Body"/>
              <w:rPr>
                <w:rFonts w:ascii="Arial" w:hAnsi="Arial" w:cs="Arial"/>
                <w:sz w:val="20"/>
              </w:rPr>
            </w:pPr>
            <w:r w:rsidRPr="00E93B5D">
              <w:rPr>
                <w:rFonts w:ascii="Arial" w:hAnsi="Arial" w:cs="Arial"/>
                <w:sz w:val="20"/>
              </w:rPr>
              <w:t>5.26E-5</w:t>
            </w:r>
          </w:p>
        </w:tc>
        <w:tc>
          <w:tcPr>
            <w:tcW w:w="1260" w:type="dxa"/>
            <w:tcBorders>
              <w:top w:val="single" w:sz="4" w:space="0" w:color="auto"/>
              <w:left w:val="single" w:sz="4" w:space="0" w:color="auto"/>
              <w:bottom w:val="single" w:sz="4" w:space="0" w:color="auto"/>
              <w:right w:val="single" w:sz="4" w:space="0" w:color="auto"/>
            </w:tcBorders>
            <w:hideMark/>
          </w:tcPr>
          <w:p w14:paraId="7DCF750C" w14:textId="77777777" w:rsidR="00E93B5D" w:rsidRPr="00E93B5D" w:rsidRDefault="00E93B5D" w:rsidP="00E93B5D">
            <w:pPr>
              <w:pStyle w:val="Body"/>
              <w:rPr>
                <w:rFonts w:ascii="Arial" w:hAnsi="Arial" w:cs="Arial"/>
                <w:sz w:val="20"/>
              </w:rPr>
            </w:pPr>
            <w:r w:rsidRPr="00E93B5D">
              <w:rPr>
                <w:rFonts w:ascii="Arial" w:hAnsi="Arial" w:cs="Arial"/>
                <w:sz w:val="20"/>
              </w:rPr>
              <w:t>9.20E-6</w:t>
            </w:r>
          </w:p>
        </w:tc>
      </w:tr>
      <w:tr w:rsidR="00D67FE2" w:rsidRPr="00E93B5D" w14:paraId="45195E03"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5CE36C82"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982" w:type="dxa"/>
            <w:tcBorders>
              <w:top w:val="single" w:sz="4" w:space="0" w:color="auto"/>
              <w:left w:val="single" w:sz="4" w:space="0" w:color="auto"/>
              <w:bottom w:val="single" w:sz="4" w:space="0" w:color="auto"/>
              <w:right w:val="single" w:sz="4" w:space="0" w:color="auto"/>
            </w:tcBorders>
            <w:hideMark/>
          </w:tcPr>
          <w:p w14:paraId="1BC69E2E"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260" w:type="dxa"/>
            <w:tcBorders>
              <w:top w:val="single" w:sz="4" w:space="0" w:color="auto"/>
              <w:left w:val="single" w:sz="4" w:space="0" w:color="auto"/>
              <w:bottom w:val="single" w:sz="4" w:space="0" w:color="auto"/>
              <w:right w:val="single" w:sz="4" w:space="0" w:color="auto"/>
            </w:tcBorders>
            <w:hideMark/>
          </w:tcPr>
          <w:p w14:paraId="2DAF1438"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440" w:type="dxa"/>
            <w:tcBorders>
              <w:top w:val="single" w:sz="4" w:space="0" w:color="auto"/>
              <w:left w:val="single" w:sz="4" w:space="0" w:color="auto"/>
              <w:bottom w:val="single" w:sz="4" w:space="0" w:color="auto"/>
              <w:right w:val="single" w:sz="4" w:space="0" w:color="auto"/>
            </w:tcBorders>
            <w:hideMark/>
          </w:tcPr>
          <w:p w14:paraId="30A76317" w14:textId="77777777" w:rsidR="00E93B5D" w:rsidRPr="00E93B5D" w:rsidRDefault="00E93B5D" w:rsidP="00E93B5D">
            <w:pPr>
              <w:pStyle w:val="Body"/>
              <w:rPr>
                <w:rFonts w:ascii="Arial" w:hAnsi="Arial" w:cs="Arial"/>
                <w:sz w:val="20"/>
              </w:rPr>
            </w:pPr>
            <w:r w:rsidRPr="00E93B5D">
              <w:rPr>
                <w:rFonts w:ascii="Arial" w:hAnsi="Arial" w:cs="Arial"/>
                <w:sz w:val="20"/>
              </w:rPr>
              <w:t>2.81E-7</w:t>
            </w:r>
          </w:p>
        </w:tc>
        <w:tc>
          <w:tcPr>
            <w:tcW w:w="1260" w:type="dxa"/>
            <w:tcBorders>
              <w:top w:val="single" w:sz="4" w:space="0" w:color="auto"/>
              <w:left w:val="single" w:sz="4" w:space="0" w:color="auto"/>
              <w:bottom w:val="single" w:sz="4" w:space="0" w:color="auto"/>
              <w:right w:val="single" w:sz="4" w:space="0" w:color="auto"/>
            </w:tcBorders>
            <w:hideMark/>
          </w:tcPr>
          <w:p w14:paraId="20912C6B"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c>
          <w:tcPr>
            <w:tcW w:w="1260" w:type="dxa"/>
            <w:tcBorders>
              <w:top w:val="single" w:sz="4" w:space="0" w:color="auto"/>
              <w:left w:val="single" w:sz="4" w:space="0" w:color="auto"/>
              <w:bottom w:val="single" w:sz="4" w:space="0" w:color="auto"/>
              <w:right w:val="single" w:sz="4" w:space="0" w:color="auto"/>
            </w:tcBorders>
            <w:hideMark/>
          </w:tcPr>
          <w:p w14:paraId="7C61CE26"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c>
          <w:tcPr>
            <w:tcW w:w="1260" w:type="dxa"/>
            <w:tcBorders>
              <w:top w:val="single" w:sz="4" w:space="0" w:color="auto"/>
              <w:left w:val="single" w:sz="4" w:space="0" w:color="auto"/>
              <w:bottom w:val="single" w:sz="4" w:space="0" w:color="auto"/>
              <w:right w:val="single" w:sz="4" w:space="0" w:color="auto"/>
            </w:tcBorders>
            <w:hideMark/>
          </w:tcPr>
          <w:p w14:paraId="4F2E7A5F" w14:textId="77777777" w:rsidR="00E93B5D" w:rsidRPr="00E93B5D" w:rsidRDefault="00E93B5D" w:rsidP="00E93B5D">
            <w:pPr>
              <w:pStyle w:val="Body"/>
              <w:rPr>
                <w:rFonts w:ascii="Arial" w:hAnsi="Arial" w:cs="Arial"/>
                <w:sz w:val="20"/>
              </w:rPr>
            </w:pPr>
            <w:r w:rsidRPr="00E93B5D">
              <w:rPr>
                <w:rFonts w:ascii="Arial" w:hAnsi="Arial" w:cs="Arial"/>
                <w:sz w:val="20"/>
              </w:rPr>
              <w:t>3.28E-6</w:t>
            </w:r>
          </w:p>
        </w:tc>
      </w:tr>
      <w:tr w:rsidR="00D67FE2" w:rsidRPr="00E93B5D" w14:paraId="2D46583D"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9386836"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982" w:type="dxa"/>
            <w:tcBorders>
              <w:top w:val="single" w:sz="4" w:space="0" w:color="auto"/>
              <w:left w:val="single" w:sz="4" w:space="0" w:color="auto"/>
              <w:bottom w:val="single" w:sz="4" w:space="0" w:color="auto"/>
              <w:right w:val="single" w:sz="4" w:space="0" w:color="auto"/>
            </w:tcBorders>
            <w:hideMark/>
          </w:tcPr>
          <w:p w14:paraId="0402D8A1" w14:textId="77777777" w:rsidR="00E93B5D" w:rsidRPr="00E93B5D" w:rsidRDefault="00E93B5D" w:rsidP="00E93B5D">
            <w:pPr>
              <w:pStyle w:val="Body"/>
              <w:rPr>
                <w:rFonts w:ascii="Arial" w:hAnsi="Arial" w:cs="Arial"/>
                <w:sz w:val="20"/>
              </w:rPr>
            </w:pPr>
            <w:r w:rsidRPr="00E93B5D">
              <w:rPr>
                <w:rFonts w:ascii="Arial" w:hAnsi="Arial" w:cs="Arial"/>
                <w:sz w:val="20"/>
              </w:rPr>
              <w:t>5.69E-5</w:t>
            </w:r>
          </w:p>
        </w:tc>
        <w:tc>
          <w:tcPr>
            <w:tcW w:w="1260" w:type="dxa"/>
            <w:tcBorders>
              <w:top w:val="single" w:sz="4" w:space="0" w:color="auto"/>
              <w:left w:val="single" w:sz="4" w:space="0" w:color="auto"/>
              <w:bottom w:val="single" w:sz="4" w:space="0" w:color="auto"/>
              <w:right w:val="single" w:sz="4" w:space="0" w:color="auto"/>
            </w:tcBorders>
            <w:hideMark/>
          </w:tcPr>
          <w:p w14:paraId="7C3D5973" w14:textId="77777777" w:rsidR="00E93B5D" w:rsidRPr="00E93B5D" w:rsidRDefault="00E93B5D" w:rsidP="00E93B5D">
            <w:pPr>
              <w:pStyle w:val="Body"/>
              <w:rPr>
                <w:rFonts w:ascii="Arial" w:hAnsi="Arial" w:cs="Arial"/>
                <w:sz w:val="20"/>
              </w:rPr>
            </w:pPr>
            <w:r w:rsidRPr="00E93B5D">
              <w:rPr>
                <w:rFonts w:ascii="Arial" w:hAnsi="Arial" w:cs="Arial"/>
                <w:sz w:val="20"/>
              </w:rPr>
              <w:t>2.05E-5</w:t>
            </w:r>
          </w:p>
        </w:tc>
        <w:tc>
          <w:tcPr>
            <w:tcW w:w="1440" w:type="dxa"/>
            <w:tcBorders>
              <w:top w:val="single" w:sz="4" w:space="0" w:color="auto"/>
              <w:left w:val="single" w:sz="4" w:space="0" w:color="auto"/>
              <w:bottom w:val="single" w:sz="4" w:space="0" w:color="auto"/>
              <w:right w:val="single" w:sz="4" w:space="0" w:color="auto"/>
            </w:tcBorders>
            <w:hideMark/>
          </w:tcPr>
          <w:p w14:paraId="589D7D1F" w14:textId="77777777" w:rsidR="00E93B5D" w:rsidRPr="00E93B5D" w:rsidRDefault="00E93B5D" w:rsidP="00E93B5D">
            <w:pPr>
              <w:pStyle w:val="Body"/>
              <w:rPr>
                <w:rFonts w:ascii="Arial" w:hAnsi="Arial" w:cs="Arial"/>
                <w:sz w:val="20"/>
              </w:rPr>
            </w:pPr>
            <w:r w:rsidRPr="00E93B5D">
              <w:rPr>
                <w:rFonts w:ascii="Arial" w:hAnsi="Arial" w:cs="Arial"/>
                <w:sz w:val="20"/>
              </w:rPr>
              <w:t>3.46E-5</w:t>
            </w:r>
          </w:p>
        </w:tc>
        <w:tc>
          <w:tcPr>
            <w:tcW w:w="1260" w:type="dxa"/>
            <w:tcBorders>
              <w:top w:val="single" w:sz="4" w:space="0" w:color="auto"/>
              <w:left w:val="single" w:sz="4" w:space="0" w:color="auto"/>
              <w:bottom w:val="single" w:sz="4" w:space="0" w:color="auto"/>
              <w:right w:val="single" w:sz="4" w:space="0" w:color="auto"/>
            </w:tcBorders>
            <w:hideMark/>
          </w:tcPr>
          <w:p w14:paraId="2CD60147" w14:textId="77777777" w:rsidR="00E93B5D" w:rsidRPr="00E93B5D" w:rsidRDefault="00E93B5D" w:rsidP="00E93B5D">
            <w:pPr>
              <w:pStyle w:val="Body"/>
              <w:rPr>
                <w:rFonts w:ascii="Arial" w:hAnsi="Arial" w:cs="Arial"/>
                <w:sz w:val="20"/>
              </w:rPr>
            </w:pPr>
            <w:r w:rsidRPr="00E93B5D">
              <w:rPr>
                <w:rFonts w:ascii="Arial" w:hAnsi="Arial" w:cs="Arial"/>
                <w:sz w:val="20"/>
              </w:rPr>
              <w:t>6.64E-4</w:t>
            </w:r>
          </w:p>
        </w:tc>
        <w:tc>
          <w:tcPr>
            <w:tcW w:w="1260" w:type="dxa"/>
            <w:tcBorders>
              <w:top w:val="single" w:sz="4" w:space="0" w:color="auto"/>
              <w:left w:val="single" w:sz="4" w:space="0" w:color="auto"/>
              <w:bottom w:val="single" w:sz="4" w:space="0" w:color="auto"/>
              <w:right w:val="single" w:sz="4" w:space="0" w:color="auto"/>
            </w:tcBorders>
            <w:hideMark/>
          </w:tcPr>
          <w:p w14:paraId="28FBD3AA" w14:textId="77777777" w:rsidR="00E93B5D" w:rsidRPr="00E93B5D" w:rsidRDefault="00E93B5D" w:rsidP="00E93B5D">
            <w:pPr>
              <w:pStyle w:val="Body"/>
              <w:rPr>
                <w:rFonts w:ascii="Arial" w:hAnsi="Arial" w:cs="Arial"/>
                <w:sz w:val="20"/>
              </w:rPr>
            </w:pPr>
            <w:r w:rsidRPr="00E93B5D">
              <w:rPr>
                <w:rFonts w:ascii="Arial" w:hAnsi="Arial" w:cs="Arial"/>
                <w:sz w:val="20"/>
              </w:rPr>
              <w:t>2.4E-4</w:t>
            </w:r>
          </w:p>
        </w:tc>
        <w:tc>
          <w:tcPr>
            <w:tcW w:w="1260" w:type="dxa"/>
            <w:tcBorders>
              <w:top w:val="single" w:sz="4" w:space="0" w:color="auto"/>
              <w:left w:val="single" w:sz="4" w:space="0" w:color="auto"/>
              <w:bottom w:val="single" w:sz="4" w:space="0" w:color="auto"/>
              <w:right w:val="single" w:sz="4" w:space="0" w:color="auto"/>
            </w:tcBorders>
            <w:hideMark/>
          </w:tcPr>
          <w:p w14:paraId="5FF3F68D"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r>
      <w:tr w:rsidR="00D67FE2" w:rsidRPr="00E93B5D" w14:paraId="2DCCED87" w14:textId="77777777" w:rsidTr="00D67FE2">
        <w:tc>
          <w:tcPr>
            <w:tcW w:w="723" w:type="dxa"/>
            <w:tcBorders>
              <w:top w:val="single" w:sz="4" w:space="0" w:color="auto"/>
              <w:left w:val="single" w:sz="4" w:space="0" w:color="auto"/>
              <w:bottom w:val="single" w:sz="4" w:space="0" w:color="auto"/>
              <w:right w:val="single" w:sz="4" w:space="0" w:color="auto"/>
            </w:tcBorders>
            <w:hideMark/>
          </w:tcPr>
          <w:p w14:paraId="7EB3EDE7"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982" w:type="dxa"/>
            <w:tcBorders>
              <w:top w:val="single" w:sz="4" w:space="0" w:color="auto"/>
              <w:left w:val="single" w:sz="4" w:space="0" w:color="auto"/>
              <w:bottom w:val="single" w:sz="4" w:space="0" w:color="auto"/>
              <w:right w:val="single" w:sz="4" w:space="0" w:color="auto"/>
            </w:tcBorders>
            <w:hideMark/>
          </w:tcPr>
          <w:p w14:paraId="57BABDA3" w14:textId="77777777" w:rsidR="00E93B5D" w:rsidRPr="00E93B5D" w:rsidRDefault="00E93B5D" w:rsidP="00E93B5D">
            <w:pPr>
              <w:pStyle w:val="Body"/>
              <w:rPr>
                <w:rFonts w:ascii="Arial" w:hAnsi="Arial" w:cs="Arial"/>
                <w:sz w:val="20"/>
              </w:rPr>
            </w:pPr>
            <w:r w:rsidRPr="00E93B5D">
              <w:rPr>
                <w:rFonts w:ascii="Arial" w:hAnsi="Arial" w:cs="Arial"/>
                <w:sz w:val="20"/>
              </w:rPr>
              <w:t>1.03E-4</w:t>
            </w:r>
          </w:p>
        </w:tc>
        <w:tc>
          <w:tcPr>
            <w:tcW w:w="1260" w:type="dxa"/>
            <w:tcBorders>
              <w:top w:val="single" w:sz="4" w:space="0" w:color="auto"/>
              <w:left w:val="single" w:sz="4" w:space="0" w:color="auto"/>
              <w:bottom w:val="single" w:sz="4" w:space="0" w:color="auto"/>
              <w:right w:val="single" w:sz="4" w:space="0" w:color="auto"/>
            </w:tcBorders>
            <w:hideMark/>
          </w:tcPr>
          <w:p w14:paraId="320A06D5" w14:textId="77777777" w:rsidR="00E93B5D" w:rsidRPr="00E93B5D" w:rsidRDefault="00E93B5D" w:rsidP="00E93B5D">
            <w:pPr>
              <w:pStyle w:val="Body"/>
              <w:rPr>
                <w:rFonts w:ascii="Arial" w:hAnsi="Arial" w:cs="Arial"/>
                <w:sz w:val="20"/>
              </w:rPr>
            </w:pPr>
            <w:r w:rsidRPr="00E93B5D">
              <w:rPr>
                <w:rFonts w:ascii="Arial" w:hAnsi="Arial" w:cs="Arial"/>
                <w:sz w:val="20"/>
              </w:rPr>
              <w:t>8.00E-5</w:t>
            </w:r>
          </w:p>
        </w:tc>
        <w:tc>
          <w:tcPr>
            <w:tcW w:w="1440" w:type="dxa"/>
            <w:tcBorders>
              <w:top w:val="single" w:sz="4" w:space="0" w:color="auto"/>
              <w:left w:val="single" w:sz="4" w:space="0" w:color="auto"/>
              <w:bottom w:val="single" w:sz="4" w:space="0" w:color="auto"/>
              <w:right w:val="single" w:sz="4" w:space="0" w:color="auto"/>
            </w:tcBorders>
            <w:hideMark/>
          </w:tcPr>
          <w:p w14:paraId="45B4F371" w14:textId="77777777" w:rsidR="00E93B5D" w:rsidRPr="00E93B5D" w:rsidRDefault="00E93B5D" w:rsidP="00E93B5D">
            <w:pPr>
              <w:pStyle w:val="Body"/>
              <w:rPr>
                <w:rFonts w:ascii="Arial" w:hAnsi="Arial" w:cs="Arial"/>
                <w:sz w:val="20"/>
              </w:rPr>
            </w:pPr>
            <w:r w:rsidRPr="00E93B5D">
              <w:rPr>
                <w:rFonts w:ascii="Arial" w:hAnsi="Arial" w:cs="Arial"/>
                <w:sz w:val="20"/>
              </w:rPr>
              <w:t>1.16E-4</w:t>
            </w:r>
          </w:p>
        </w:tc>
        <w:tc>
          <w:tcPr>
            <w:tcW w:w="1260" w:type="dxa"/>
            <w:tcBorders>
              <w:top w:val="single" w:sz="4" w:space="0" w:color="auto"/>
              <w:left w:val="single" w:sz="4" w:space="0" w:color="auto"/>
              <w:bottom w:val="single" w:sz="4" w:space="0" w:color="auto"/>
              <w:right w:val="single" w:sz="4" w:space="0" w:color="auto"/>
            </w:tcBorders>
            <w:hideMark/>
          </w:tcPr>
          <w:p w14:paraId="49EC1CA1" w14:textId="77777777" w:rsidR="00E93B5D" w:rsidRPr="00E93B5D" w:rsidRDefault="00E93B5D" w:rsidP="00E93B5D">
            <w:pPr>
              <w:pStyle w:val="Body"/>
              <w:rPr>
                <w:rFonts w:ascii="Arial" w:hAnsi="Arial" w:cs="Arial"/>
                <w:sz w:val="20"/>
              </w:rPr>
            </w:pPr>
            <w:r w:rsidRPr="00E93B5D">
              <w:rPr>
                <w:rFonts w:ascii="Arial" w:hAnsi="Arial" w:cs="Arial"/>
                <w:sz w:val="20"/>
              </w:rPr>
              <w:t>1.20E-3</w:t>
            </w:r>
          </w:p>
        </w:tc>
        <w:tc>
          <w:tcPr>
            <w:tcW w:w="1260" w:type="dxa"/>
            <w:tcBorders>
              <w:top w:val="single" w:sz="4" w:space="0" w:color="auto"/>
              <w:left w:val="single" w:sz="4" w:space="0" w:color="auto"/>
              <w:bottom w:val="single" w:sz="4" w:space="0" w:color="auto"/>
              <w:right w:val="single" w:sz="4" w:space="0" w:color="auto"/>
            </w:tcBorders>
            <w:hideMark/>
          </w:tcPr>
          <w:p w14:paraId="02131985" w14:textId="77777777" w:rsidR="00E93B5D" w:rsidRPr="00E93B5D" w:rsidRDefault="00E93B5D" w:rsidP="00E93B5D">
            <w:pPr>
              <w:pStyle w:val="Body"/>
              <w:rPr>
                <w:rFonts w:ascii="Arial" w:hAnsi="Arial" w:cs="Arial"/>
                <w:sz w:val="20"/>
              </w:rPr>
            </w:pPr>
            <w:r w:rsidRPr="00E93B5D">
              <w:rPr>
                <w:rFonts w:ascii="Arial" w:hAnsi="Arial" w:cs="Arial"/>
                <w:sz w:val="20"/>
              </w:rPr>
              <w:t>9.33E-4</w:t>
            </w:r>
          </w:p>
        </w:tc>
        <w:tc>
          <w:tcPr>
            <w:tcW w:w="1260" w:type="dxa"/>
            <w:tcBorders>
              <w:top w:val="single" w:sz="4" w:space="0" w:color="auto"/>
              <w:left w:val="single" w:sz="4" w:space="0" w:color="auto"/>
              <w:bottom w:val="single" w:sz="4" w:space="0" w:color="auto"/>
              <w:right w:val="single" w:sz="4" w:space="0" w:color="auto"/>
            </w:tcBorders>
            <w:hideMark/>
          </w:tcPr>
          <w:p w14:paraId="31C6AC4E" w14:textId="77777777" w:rsidR="00E93B5D" w:rsidRPr="00E93B5D" w:rsidRDefault="00E93B5D" w:rsidP="00E93B5D">
            <w:pPr>
              <w:pStyle w:val="Body"/>
              <w:rPr>
                <w:rFonts w:ascii="Arial" w:hAnsi="Arial" w:cs="Arial"/>
                <w:sz w:val="20"/>
              </w:rPr>
            </w:pPr>
            <w:r w:rsidRPr="00E93B5D">
              <w:rPr>
                <w:rFonts w:ascii="Arial" w:hAnsi="Arial" w:cs="Arial"/>
                <w:sz w:val="20"/>
              </w:rPr>
              <w:t>1.35E-3</w:t>
            </w:r>
          </w:p>
        </w:tc>
      </w:tr>
    </w:tbl>
    <w:p w14:paraId="29C11F93" w14:textId="77777777" w:rsidR="00936D15" w:rsidRDefault="00936D15" w:rsidP="00E93B5D">
      <w:pPr>
        <w:pStyle w:val="Body"/>
        <w:rPr>
          <w:rFonts w:ascii="Arial" w:hAnsi="Arial" w:cs="Arial"/>
          <w:b/>
        </w:rPr>
      </w:pPr>
    </w:p>
    <w:p w14:paraId="70E50179" w14:textId="77777777" w:rsidR="00E93B5D" w:rsidRPr="00936D15" w:rsidRDefault="00E93B5D" w:rsidP="00936D15">
      <w:pPr>
        <w:pStyle w:val="Body"/>
        <w:spacing w:after="0"/>
        <w:rPr>
          <w:rFonts w:ascii="Arial" w:hAnsi="Arial" w:cs="Arial"/>
        </w:rPr>
      </w:pPr>
      <w:r w:rsidRPr="00936D15">
        <w:rPr>
          <w:rFonts w:ascii="Arial" w:hAnsi="Arial" w:cs="Arial"/>
        </w:rPr>
        <w:t>Table 4. Average daily exposure doses of non-carcinogenic and carcinogenic hazards of heavy metals through inhalation exposure</w:t>
      </w:r>
    </w:p>
    <w:tbl>
      <w:tblPr>
        <w:tblStyle w:val="TableGrid"/>
        <w:tblW w:w="8095" w:type="dxa"/>
        <w:tblLook w:val="04A0" w:firstRow="1" w:lastRow="0" w:firstColumn="1" w:lastColumn="0" w:noHBand="0" w:noVBand="1"/>
      </w:tblPr>
      <w:tblGrid>
        <w:gridCol w:w="723"/>
        <w:gridCol w:w="1342"/>
        <w:gridCol w:w="1170"/>
        <w:gridCol w:w="1170"/>
        <w:gridCol w:w="1350"/>
        <w:gridCol w:w="1260"/>
        <w:gridCol w:w="1080"/>
      </w:tblGrid>
      <w:tr w:rsidR="00E93B5D" w:rsidRPr="00E93B5D" w14:paraId="4CC24FE2" w14:textId="77777777" w:rsidTr="00B42D91">
        <w:tc>
          <w:tcPr>
            <w:tcW w:w="723" w:type="dxa"/>
            <w:tcBorders>
              <w:top w:val="single" w:sz="4" w:space="0" w:color="auto"/>
              <w:left w:val="single" w:sz="4" w:space="0" w:color="auto"/>
              <w:bottom w:val="single" w:sz="4" w:space="0" w:color="auto"/>
              <w:right w:val="single" w:sz="4" w:space="0" w:color="auto"/>
            </w:tcBorders>
          </w:tcPr>
          <w:p w14:paraId="1C766C34"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0621DA71" w14:textId="77777777" w:rsidR="00E93B5D" w:rsidRPr="00E93B5D" w:rsidRDefault="00E93B5D" w:rsidP="00E93B5D">
            <w:pPr>
              <w:pStyle w:val="Body"/>
              <w:rPr>
                <w:rFonts w:ascii="Arial" w:hAnsi="Arial" w:cs="Arial"/>
                <w:b/>
                <w:sz w:val="20"/>
              </w:rPr>
            </w:pPr>
            <w:r w:rsidRPr="00E93B5D">
              <w:rPr>
                <w:rFonts w:ascii="Arial" w:hAnsi="Arial" w:cs="Arial"/>
                <w:b/>
                <w:sz w:val="20"/>
              </w:rPr>
              <w:t>Carcinogenic Risks</w:t>
            </w:r>
          </w:p>
        </w:tc>
        <w:tc>
          <w:tcPr>
            <w:tcW w:w="3690" w:type="dxa"/>
            <w:gridSpan w:val="3"/>
            <w:tcBorders>
              <w:top w:val="single" w:sz="4" w:space="0" w:color="auto"/>
              <w:left w:val="single" w:sz="4" w:space="0" w:color="auto"/>
              <w:bottom w:val="single" w:sz="4" w:space="0" w:color="auto"/>
              <w:right w:val="single" w:sz="4" w:space="0" w:color="auto"/>
            </w:tcBorders>
            <w:hideMark/>
          </w:tcPr>
          <w:p w14:paraId="5BC5C278" w14:textId="77777777" w:rsidR="00E93B5D" w:rsidRPr="00E93B5D" w:rsidRDefault="00E93B5D" w:rsidP="00E93B5D">
            <w:pPr>
              <w:pStyle w:val="Body"/>
              <w:rPr>
                <w:rFonts w:ascii="Arial" w:hAnsi="Arial" w:cs="Arial"/>
                <w:b/>
                <w:sz w:val="20"/>
              </w:rPr>
            </w:pPr>
            <w:r w:rsidRPr="00E93B5D">
              <w:rPr>
                <w:rFonts w:ascii="Arial" w:hAnsi="Arial" w:cs="Arial"/>
                <w:b/>
                <w:sz w:val="20"/>
              </w:rPr>
              <w:t>Non-Carcinogenic Risks</w:t>
            </w:r>
          </w:p>
        </w:tc>
      </w:tr>
      <w:tr w:rsidR="00E93B5D" w:rsidRPr="00E93B5D" w14:paraId="2E11DD89" w14:textId="77777777" w:rsidTr="00B42D91">
        <w:tc>
          <w:tcPr>
            <w:tcW w:w="723" w:type="dxa"/>
            <w:tcBorders>
              <w:top w:val="single" w:sz="4" w:space="0" w:color="auto"/>
              <w:left w:val="single" w:sz="4" w:space="0" w:color="auto"/>
              <w:bottom w:val="single" w:sz="4" w:space="0" w:color="auto"/>
              <w:right w:val="single" w:sz="4" w:space="0" w:color="auto"/>
            </w:tcBorders>
          </w:tcPr>
          <w:p w14:paraId="557F6638"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13815960"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c>
          <w:tcPr>
            <w:tcW w:w="3690" w:type="dxa"/>
            <w:gridSpan w:val="3"/>
            <w:tcBorders>
              <w:top w:val="single" w:sz="4" w:space="0" w:color="auto"/>
              <w:left w:val="single" w:sz="4" w:space="0" w:color="auto"/>
              <w:bottom w:val="single" w:sz="4" w:space="0" w:color="auto"/>
              <w:right w:val="single" w:sz="4" w:space="0" w:color="auto"/>
            </w:tcBorders>
            <w:hideMark/>
          </w:tcPr>
          <w:p w14:paraId="644E61FC"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r>
      <w:tr w:rsidR="00E93B5D" w:rsidRPr="00E93B5D" w14:paraId="2897A691"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7E6C9434" w14:textId="77777777" w:rsidR="00E93B5D" w:rsidRPr="00E93B5D" w:rsidRDefault="00E93B5D" w:rsidP="00E93B5D">
            <w:pPr>
              <w:pStyle w:val="Body"/>
              <w:rPr>
                <w:rFonts w:ascii="Arial" w:hAnsi="Arial" w:cs="Arial"/>
                <w:b/>
                <w:sz w:val="20"/>
              </w:rPr>
            </w:pPr>
            <w:r w:rsidRPr="00E93B5D">
              <w:rPr>
                <w:rFonts w:ascii="Arial" w:hAnsi="Arial" w:cs="Arial"/>
                <w:b/>
                <w:sz w:val="20"/>
              </w:rPr>
              <w:t>HMs</w:t>
            </w:r>
          </w:p>
        </w:tc>
        <w:tc>
          <w:tcPr>
            <w:tcW w:w="1342" w:type="dxa"/>
            <w:tcBorders>
              <w:top w:val="single" w:sz="4" w:space="0" w:color="auto"/>
              <w:left w:val="single" w:sz="4" w:space="0" w:color="auto"/>
              <w:bottom w:val="single" w:sz="4" w:space="0" w:color="auto"/>
              <w:right w:val="single" w:sz="4" w:space="0" w:color="auto"/>
            </w:tcBorders>
            <w:hideMark/>
          </w:tcPr>
          <w:p w14:paraId="267E7B04"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170" w:type="dxa"/>
            <w:tcBorders>
              <w:top w:val="single" w:sz="4" w:space="0" w:color="auto"/>
              <w:left w:val="single" w:sz="4" w:space="0" w:color="auto"/>
              <w:bottom w:val="single" w:sz="4" w:space="0" w:color="auto"/>
              <w:right w:val="single" w:sz="4" w:space="0" w:color="auto"/>
            </w:tcBorders>
            <w:hideMark/>
          </w:tcPr>
          <w:p w14:paraId="5D420020"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170" w:type="dxa"/>
            <w:tcBorders>
              <w:top w:val="single" w:sz="4" w:space="0" w:color="auto"/>
              <w:left w:val="single" w:sz="4" w:space="0" w:color="auto"/>
              <w:bottom w:val="single" w:sz="4" w:space="0" w:color="auto"/>
              <w:right w:val="single" w:sz="4" w:space="0" w:color="auto"/>
            </w:tcBorders>
            <w:hideMark/>
          </w:tcPr>
          <w:p w14:paraId="480BA3E4"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c>
          <w:tcPr>
            <w:tcW w:w="1350" w:type="dxa"/>
            <w:tcBorders>
              <w:top w:val="single" w:sz="4" w:space="0" w:color="auto"/>
              <w:left w:val="single" w:sz="4" w:space="0" w:color="auto"/>
              <w:bottom w:val="single" w:sz="4" w:space="0" w:color="auto"/>
              <w:right w:val="single" w:sz="4" w:space="0" w:color="auto"/>
            </w:tcBorders>
            <w:hideMark/>
          </w:tcPr>
          <w:p w14:paraId="019B3A9F"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3B24A29B"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080" w:type="dxa"/>
            <w:tcBorders>
              <w:top w:val="single" w:sz="4" w:space="0" w:color="auto"/>
              <w:left w:val="single" w:sz="4" w:space="0" w:color="auto"/>
              <w:bottom w:val="single" w:sz="4" w:space="0" w:color="auto"/>
              <w:right w:val="single" w:sz="4" w:space="0" w:color="auto"/>
            </w:tcBorders>
            <w:hideMark/>
          </w:tcPr>
          <w:p w14:paraId="077EDAAC"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r>
      <w:tr w:rsidR="00E93B5D" w:rsidRPr="00E93B5D" w14:paraId="187D92CA"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5CDDD759"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459B66E5" w14:textId="77777777" w:rsidR="00E93B5D" w:rsidRPr="00E93B5D" w:rsidRDefault="00E93B5D" w:rsidP="00E93B5D">
            <w:pPr>
              <w:pStyle w:val="Body"/>
              <w:rPr>
                <w:rFonts w:ascii="Arial" w:hAnsi="Arial" w:cs="Arial"/>
                <w:sz w:val="20"/>
              </w:rPr>
            </w:pPr>
            <w:r w:rsidRPr="00E93B5D">
              <w:rPr>
                <w:rFonts w:ascii="Arial" w:hAnsi="Arial" w:cs="Arial"/>
                <w:sz w:val="20"/>
              </w:rPr>
              <w:t>5.30E-2</w:t>
            </w:r>
          </w:p>
        </w:tc>
        <w:tc>
          <w:tcPr>
            <w:tcW w:w="1170" w:type="dxa"/>
            <w:tcBorders>
              <w:top w:val="single" w:sz="4" w:space="0" w:color="auto"/>
              <w:left w:val="single" w:sz="4" w:space="0" w:color="auto"/>
              <w:bottom w:val="single" w:sz="4" w:space="0" w:color="auto"/>
              <w:right w:val="single" w:sz="4" w:space="0" w:color="auto"/>
            </w:tcBorders>
            <w:hideMark/>
          </w:tcPr>
          <w:p w14:paraId="75C738CD" w14:textId="77777777" w:rsidR="00E93B5D" w:rsidRPr="00E93B5D" w:rsidRDefault="00E93B5D" w:rsidP="00E93B5D">
            <w:pPr>
              <w:pStyle w:val="Body"/>
              <w:rPr>
                <w:rFonts w:ascii="Arial" w:hAnsi="Arial" w:cs="Arial"/>
                <w:sz w:val="20"/>
              </w:rPr>
            </w:pPr>
            <w:r w:rsidRPr="00E93B5D">
              <w:rPr>
                <w:rFonts w:ascii="Arial" w:hAnsi="Arial" w:cs="Arial"/>
                <w:sz w:val="20"/>
              </w:rPr>
              <w:t>8.40E-2</w:t>
            </w:r>
          </w:p>
        </w:tc>
        <w:tc>
          <w:tcPr>
            <w:tcW w:w="1170" w:type="dxa"/>
            <w:tcBorders>
              <w:top w:val="single" w:sz="4" w:space="0" w:color="auto"/>
              <w:left w:val="single" w:sz="4" w:space="0" w:color="auto"/>
              <w:bottom w:val="single" w:sz="4" w:space="0" w:color="auto"/>
              <w:right w:val="single" w:sz="4" w:space="0" w:color="auto"/>
            </w:tcBorders>
            <w:hideMark/>
          </w:tcPr>
          <w:p w14:paraId="76DB19F7" w14:textId="77777777" w:rsidR="00E93B5D" w:rsidRPr="00E93B5D" w:rsidRDefault="00E93B5D" w:rsidP="00E93B5D">
            <w:pPr>
              <w:pStyle w:val="Body"/>
              <w:rPr>
                <w:rFonts w:ascii="Arial" w:hAnsi="Arial" w:cs="Arial"/>
                <w:sz w:val="20"/>
              </w:rPr>
            </w:pPr>
            <w:r w:rsidRPr="00E93B5D">
              <w:rPr>
                <w:rFonts w:ascii="Arial" w:hAnsi="Arial" w:cs="Arial"/>
                <w:sz w:val="20"/>
              </w:rPr>
              <w:t>1.39E-1</w:t>
            </w:r>
          </w:p>
        </w:tc>
        <w:tc>
          <w:tcPr>
            <w:tcW w:w="1350" w:type="dxa"/>
            <w:tcBorders>
              <w:top w:val="single" w:sz="4" w:space="0" w:color="auto"/>
              <w:left w:val="single" w:sz="4" w:space="0" w:color="auto"/>
              <w:bottom w:val="single" w:sz="4" w:space="0" w:color="auto"/>
              <w:right w:val="single" w:sz="4" w:space="0" w:color="auto"/>
            </w:tcBorders>
            <w:hideMark/>
          </w:tcPr>
          <w:p w14:paraId="4E7FFE8F" w14:textId="77777777" w:rsidR="00E93B5D" w:rsidRPr="00E93B5D" w:rsidRDefault="00E93B5D" w:rsidP="00E93B5D">
            <w:pPr>
              <w:pStyle w:val="Body"/>
              <w:rPr>
                <w:rFonts w:ascii="Arial" w:hAnsi="Arial" w:cs="Arial"/>
                <w:sz w:val="20"/>
              </w:rPr>
            </w:pPr>
            <w:r w:rsidRPr="00E93B5D">
              <w:rPr>
                <w:rFonts w:ascii="Arial" w:hAnsi="Arial" w:cs="Arial"/>
                <w:sz w:val="20"/>
              </w:rPr>
              <w:t>1.54E-1</w:t>
            </w:r>
          </w:p>
        </w:tc>
        <w:tc>
          <w:tcPr>
            <w:tcW w:w="1260" w:type="dxa"/>
            <w:tcBorders>
              <w:top w:val="single" w:sz="4" w:space="0" w:color="auto"/>
              <w:left w:val="single" w:sz="4" w:space="0" w:color="auto"/>
              <w:bottom w:val="single" w:sz="4" w:space="0" w:color="auto"/>
              <w:right w:val="single" w:sz="4" w:space="0" w:color="auto"/>
            </w:tcBorders>
            <w:hideMark/>
          </w:tcPr>
          <w:p w14:paraId="1F558819" w14:textId="77777777" w:rsidR="00E93B5D" w:rsidRPr="00E93B5D" w:rsidRDefault="00E93B5D" w:rsidP="00E93B5D">
            <w:pPr>
              <w:pStyle w:val="Body"/>
              <w:rPr>
                <w:rFonts w:ascii="Arial" w:hAnsi="Arial" w:cs="Arial"/>
                <w:sz w:val="20"/>
              </w:rPr>
            </w:pPr>
            <w:r w:rsidRPr="00E93B5D">
              <w:rPr>
                <w:rFonts w:ascii="Arial" w:hAnsi="Arial" w:cs="Arial"/>
                <w:sz w:val="20"/>
              </w:rPr>
              <w:t>2.47E-1</w:t>
            </w:r>
          </w:p>
        </w:tc>
        <w:tc>
          <w:tcPr>
            <w:tcW w:w="1080" w:type="dxa"/>
            <w:tcBorders>
              <w:top w:val="single" w:sz="4" w:space="0" w:color="auto"/>
              <w:left w:val="single" w:sz="4" w:space="0" w:color="auto"/>
              <w:bottom w:val="single" w:sz="4" w:space="0" w:color="auto"/>
              <w:right w:val="single" w:sz="4" w:space="0" w:color="auto"/>
            </w:tcBorders>
            <w:hideMark/>
          </w:tcPr>
          <w:p w14:paraId="2F52D9E2" w14:textId="77777777" w:rsidR="00E93B5D" w:rsidRPr="00E93B5D" w:rsidRDefault="00E93B5D" w:rsidP="00E93B5D">
            <w:pPr>
              <w:pStyle w:val="Body"/>
              <w:rPr>
                <w:rFonts w:ascii="Arial" w:hAnsi="Arial" w:cs="Arial"/>
                <w:sz w:val="20"/>
              </w:rPr>
            </w:pPr>
            <w:r w:rsidRPr="00E93B5D">
              <w:rPr>
                <w:rFonts w:ascii="Arial" w:hAnsi="Arial" w:cs="Arial"/>
                <w:sz w:val="20"/>
              </w:rPr>
              <w:t>4.05E-1</w:t>
            </w:r>
          </w:p>
        </w:tc>
      </w:tr>
      <w:tr w:rsidR="00E93B5D" w:rsidRPr="00E93B5D" w14:paraId="5F02C438"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24750123"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7B96692" w14:textId="77777777" w:rsidR="00E93B5D" w:rsidRPr="00E93B5D" w:rsidRDefault="00E93B5D" w:rsidP="00E93B5D">
            <w:pPr>
              <w:pStyle w:val="Body"/>
              <w:rPr>
                <w:rFonts w:ascii="Arial" w:hAnsi="Arial" w:cs="Arial"/>
                <w:sz w:val="20"/>
              </w:rPr>
            </w:pPr>
            <w:r w:rsidRPr="00E93B5D">
              <w:rPr>
                <w:rFonts w:ascii="Arial" w:hAnsi="Arial" w:cs="Arial"/>
                <w:sz w:val="20"/>
              </w:rPr>
              <w:t>1.00E-2</w:t>
            </w:r>
          </w:p>
        </w:tc>
        <w:tc>
          <w:tcPr>
            <w:tcW w:w="1170" w:type="dxa"/>
            <w:tcBorders>
              <w:top w:val="single" w:sz="4" w:space="0" w:color="auto"/>
              <w:left w:val="single" w:sz="4" w:space="0" w:color="auto"/>
              <w:bottom w:val="single" w:sz="4" w:space="0" w:color="auto"/>
              <w:right w:val="single" w:sz="4" w:space="0" w:color="auto"/>
            </w:tcBorders>
            <w:hideMark/>
          </w:tcPr>
          <w:p w14:paraId="5EA0B41F" w14:textId="77777777" w:rsidR="00E93B5D" w:rsidRPr="00E93B5D" w:rsidRDefault="00E93B5D" w:rsidP="00E93B5D">
            <w:pPr>
              <w:pStyle w:val="Body"/>
              <w:rPr>
                <w:rFonts w:ascii="Arial" w:hAnsi="Arial" w:cs="Arial"/>
                <w:sz w:val="20"/>
              </w:rPr>
            </w:pPr>
            <w:r w:rsidRPr="00E93B5D">
              <w:rPr>
                <w:rFonts w:ascii="Arial" w:hAnsi="Arial" w:cs="Arial"/>
                <w:sz w:val="20"/>
              </w:rPr>
              <w:t>1.40E-2</w:t>
            </w:r>
          </w:p>
        </w:tc>
        <w:tc>
          <w:tcPr>
            <w:tcW w:w="1170" w:type="dxa"/>
            <w:tcBorders>
              <w:top w:val="single" w:sz="4" w:space="0" w:color="auto"/>
              <w:left w:val="single" w:sz="4" w:space="0" w:color="auto"/>
              <w:bottom w:val="single" w:sz="4" w:space="0" w:color="auto"/>
              <w:right w:val="single" w:sz="4" w:space="0" w:color="auto"/>
            </w:tcBorders>
            <w:hideMark/>
          </w:tcPr>
          <w:p w14:paraId="562AF53B" w14:textId="77777777" w:rsidR="00E93B5D" w:rsidRPr="00E93B5D" w:rsidRDefault="00E93B5D" w:rsidP="00E93B5D">
            <w:pPr>
              <w:pStyle w:val="Body"/>
              <w:rPr>
                <w:rFonts w:ascii="Arial" w:hAnsi="Arial" w:cs="Arial"/>
                <w:sz w:val="20"/>
              </w:rPr>
            </w:pPr>
            <w:r w:rsidRPr="00E93B5D">
              <w:rPr>
                <w:rFonts w:ascii="Arial" w:hAnsi="Arial" w:cs="Arial"/>
                <w:sz w:val="20"/>
              </w:rPr>
              <w:t>2.70E-2</w:t>
            </w:r>
          </w:p>
        </w:tc>
        <w:tc>
          <w:tcPr>
            <w:tcW w:w="1350" w:type="dxa"/>
            <w:tcBorders>
              <w:top w:val="single" w:sz="4" w:space="0" w:color="auto"/>
              <w:left w:val="single" w:sz="4" w:space="0" w:color="auto"/>
              <w:bottom w:val="single" w:sz="4" w:space="0" w:color="auto"/>
              <w:right w:val="single" w:sz="4" w:space="0" w:color="auto"/>
            </w:tcBorders>
            <w:hideMark/>
          </w:tcPr>
          <w:p w14:paraId="490ECED2" w14:textId="77777777" w:rsidR="00E93B5D" w:rsidRPr="00E93B5D" w:rsidRDefault="00E93B5D" w:rsidP="00E93B5D">
            <w:pPr>
              <w:pStyle w:val="Body"/>
              <w:rPr>
                <w:rFonts w:ascii="Arial" w:hAnsi="Arial" w:cs="Arial"/>
                <w:sz w:val="20"/>
              </w:rPr>
            </w:pPr>
            <w:r w:rsidRPr="00E93B5D">
              <w:rPr>
                <w:rFonts w:ascii="Arial" w:hAnsi="Arial" w:cs="Arial"/>
                <w:sz w:val="20"/>
              </w:rPr>
              <w:t>3.10E-2</w:t>
            </w:r>
          </w:p>
        </w:tc>
        <w:tc>
          <w:tcPr>
            <w:tcW w:w="1260" w:type="dxa"/>
            <w:tcBorders>
              <w:top w:val="single" w:sz="4" w:space="0" w:color="auto"/>
              <w:left w:val="single" w:sz="4" w:space="0" w:color="auto"/>
              <w:bottom w:val="single" w:sz="4" w:space="0" w:color="auto"/>
              <w:right w:val="single" w:sz="4" w:space="0" w:color="auto"/>
            </w:tcBorders>
            <w:hideMark/>
          </w:tcPr>
          <w:p w14:paraId="582127D4" w14:textId="77777777" w:rsidR="00E93B5D" w:rsidRPr="00E93B5D" w:rsidRDefault="00E93B5D" w:rsidP="00E93B5D">
            <w:pPr>
              <w:pStyle w:val="Body"/>
              <w:rPr>
                <w:rFonts w:ascii="Arial" w:hAnsi="Arial" w:cs="Arial"/>
                <w:sz w:val="20"/>
              </w:rPr>
            </w:pPr>
            <w:r w:rsidRPr="00E93B5D">
              <w:rPr>
                <w:rFonts w:ascii="Arial" w:hAnsi="Arial" w:cs="Arial"/>
                <w:sz w:val="20"/>
              </w:rPr>
              <w:t>4.20E-2</w:t>
            </w:r>
          </w:p>
        </w:tc>
        <w:tc>
          <w:tcPr>
            <w:tcW w:w="1080" w:type="dxa"/>
            <w:tcBorders>
              <w:top w:val="single" w:sz="4" w:space="0" w:color="auto"/>
              <w:left w:val="single" w:sz="4" w:space="0" w:color="auto"/>
              <w:bottom w:val="single" w:sz="4" w:space="0" w:color="auto"/>
              <w:right w:val="single" w:sz="4" w:space="0" w:color="auto"/>
            </w:tcBorders>
            <w:hideMark/>
          </w:tcPr>
          <w:p w14:paraId="0B01CC2E" w14:textId="77777777" w:rsidR="00E93B5D" w:rsidRPr="00E93B5D" w:rsidRDefault="00E93B5D" w:rsidP="00E93B5D">
            <w:pPr>
              <w:pStyle w:val="Body"/>
              <w:rPr>
                <w:rFonts w:ascii="Arial" w:hAnsi="Arial" w:cs="Arial"/>
                <w:sz w:val="20"/>
              </w:rPr>
            </w:pPr>
            <w:r w:rsidRPr="00E93B5D">
              <w:rPr>
                <w:rFonts w:ascii="Arial" w:hAnsi="Arial" w:cs="Arial"/>
                <w:sz w:val="20"/>
              </w:rPr>
              <w:t>8.10E-2</w:t>
            </w:r>
          </w:p>
        </w:tc>
      </w:tr>
      <w:tr w:rsidR="00E93B5D" w:rsidRPr="00E93B5D" w14:paraId="32F011BD"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82E8B70"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7CA7FB29" w14:textId="77777777" w:rsidR="00E93B5D" w:rsidRPr="00E93B5D" w:rsidRDefault="00E93B5D" w:rsidP="00E93B5D">
            <w:pPr>
              <w:pStyle w:val="Body"/>
              <w:rPr>
                <w:rFonts w:ascii="Arial" w:hAnsi="Arial" w:cs="Arial"/>
                <w:sz w:val="20"/>
              </w:rPr>
            </w:pPr>
            <w:r w:rsidRPr="00E93B5D">
              <w:rPr>
                <w:rFonts w:ascii="Arial" w:hAnsi="Arial" w:cs="Arial"/>
                <w:sz w:val="20"/>
              </w:rPr>
              <w:t>3.00E-4</w:t>
            </w:r>
          </w:p>
        </w:tc>
        <w:tc>
          <w:tcPr>
            <w:tcW w:w="1170" w:type="dxa"/>
            <w:tcBorders>
              <w:top w:val="single" w:sz="4" w:space="0" w:color="auto"/>
              <w:left w:val="single" w:sz="4" w:space="0" w:color="auto"/>
              <w:bottom w:val="single" w:sz="4" w:space="0" w:color="auto"/>
              <w:right w:val="single" w:sz="4" w:space="0" w:color="auto"/>
            </w:tcBorders>
            <w:hideMark/>
          </w:tcPr>
          <w:p w14:paraId="535B4BEE"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707CC2FF" w14:textId="77777777" w:rsidR="00E93B5D" w:rsidRPr="00E93B5D" w:rsidRDefault="00E93B5D" w:rsidP="00E93B5D">
            <w:pPr>
              <w:pStyle w:val="Body"/>
              <w:rPr>
                <w:rFonts w:ascii="Arial" w:hAnsi="Arial" w:cs="Arial"/>
                <w:sz w:val="20"/>
              </w:rPr>
            </w:pPr>
            <w:r w:rsidRPr="00E93B5D">
              <w:rPr>
                <w:rFonts w:ascii="Arial" w:hAnsi="Arial" w:cs="Arial"/>
                <w:sz w:val="20"/>
              </w:rPr>
              <w:t>5.00E-4</w:t>
            </w:r>
          </w:p>
        </w:tc>
        <w:tc>
          <w:tcPr>
            <w:tcW w:w="1350" w:type="dxa"/>
            <w:tcBorders>
              <w:top w:val="single" w:sz="4" w:space="0" w:color="auto"/>
              <w:left w:val="single" w:sz="4" w:space="0" w:color="auto"/>
              <w:bottom w:val="single" w:sz="4" w:space="0" w:color="auto"/>
              <w:right w:val="single" w:sz="4" w:space="0" w:color="auto"/>
            </w:tcBorders>
            <w:hideMark/>
          </w:tcPr>
          <w:p w14:paraId="7D51B329" w14:textId="77777777" w:rsidR="00E93B5D" w:rsidRPr="00E93B5D" w:rsidRDefault="00E93B5D" w:rsidP="00E93B5D">
            <w:pPr>
              <w:pStyle w:val="Body"/>
              <w:rPr>
                <w:rFonts w:ascii="Arial" w:hAnsi="Arial" w:cs="Arial"/>
                <w:sz w:val="20"/>
              </w:rPr>
            </w:pPr>
            <w:r w:rsidRPr="00E93B5D">
              <w:rPr>
                <w:rFonts w:ascii="Arial" w:hAnsi="Arial" w:cs="Arial"/>
                <w:sz w:val="20"/>
              </w:rPr>
              <w:t>9.00E-4</w:t>
            </w:r>
          </w:p>
        </w:tc>
        <w:tc>
          <w:tcPr>
            <w:tcW w:w="1260" w:type="dxa"/>
            <w:tcBorders>
              <w:top w:val="single" w:sz="4" w:space="0" w:color="auto"/>
              <w:left w:val="single" w:sz="4" w:space="0" w:color="auto"/>
              <w:bottom w:val="single" w:sz="4" w:space="0" w:color="auto"/>
              <w:right w:val="single" w:sz="4" w:space="0" w:color="auto"/>
            </w:tcBorders>
            <w:hideMark/>
          </w:tcPr>
          <w:p w14:paraId="425315EB"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087CB31D"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r>
      <w:tr w:rsidR="00E93B5D" w:rsidRPr="00E93B5D" w14:paraId="6BDE2651"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3EE54DF6"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7DECA916" w14:textId="77777777" w:rsidR="00E93B5D" w:rsidRPr="00E93B5D" w:rsidRDefault="00E93B5D" w:rsidP="00E93B5D">
            <w:pPr>
              <w:pStyle w:val="Body"/>
              <w:rPr>
                <w:rFonts w:ascii="Arial" w:hAnsi="Arial" w:cs="Arial"/>
                <w:sz w:val="20"/>
              </w:rPr>
            </w:pPr>
            <w:r w:rsidRPr="00E93B5D">
              <w:rPr>
                <w:rFonts w:ascii="Arial" w:hAnsi="Arial" w:cs="Arial"/>
                <w:sz w:val="20"/>
              </w:rPr>
              <w:t>5.00E-4</w:t>
            </w:r>
          </w:p>
        </w:tc>
        <w:tc>
          <w:tcPr>
            <w:tcW w:w="1170" w:type="dxa"/>
            <w:tcBorders>
              <w:top w:val="single" w:sz="4" w:space="0" w:color="auto"/>
              <w:left w:val="single" w:sz="4" w:space="0" w:color="auto"/>
              <w:bottom w:val="single" w:sz="4" w:space="0" w:color="auto"/>
              <w:right w:val="single" w:sz="4" w:space="0" w:color="auto"/>
            </w:tcBorders>
            <w:hideMark/>
          </w:tcPr>
          <w:p w14:paraId="7B1F9F35" w14:textId="77777777" w:rsidR="00E93B5D" w:rsidRPr="00E93B5D" w:rsidRDefault="00E93B5D" w:rsidP="00E93B5D">
            <w:pPr>
              <w:pStyle w:val="Body"/>
              <w:rPr>
                <w:rFonts w:ascii="Arial" w:hAnsi="Arial" w:cs="Arial"/>
                <w:sz w:val="20"/>
              </w:rPr>
            </w:pPr>
            <w:r w:rsidRPr="00E93B5D">
              <w:rPr>
                <w:rFonts w:ascii="Arial" w:hAnsi="Arial" w:cs="Arial"/>
                <w:sz w:val="20"/>
              </w:rPr>
              <w:t>2.00E-3</w:t>
            </w:r>
          </w:p>
        </w:tc>
        <w:tc>
          <w:tcPr>
            <w:tcW w:w="1170" w:type="dxa"/>
            <w:tcBorders>
              <w:top w:val="single" w:sz="4" w:space="0" w:color="auto"/>
              <w:left w:val="single" w:sz="4" w:space="0" w:color="auto"/>
              <w:bottom w:val="single" w:sz="4" w:space="0" w:color="auto"/>
              <w:right w:val="single" w:sz="4" w:space="0" w:color="auto"/>
            </w:tcBorders>
            <w:hideMark/>
          </w:tcPr>
          <w:p w14:paraId="072BBBF4" w14:textId="77777777" w:rsidR="00E93B5D" w:rsidRPr="00E93B5D" w:rsidRDefault="00E93B5D" w:rsidP="00E93B5D">
            <w:pPr>
              <w:pStyle w:val="Body"/>
              <w:rPr>
                <w:rFonts w:ascii="Arial" w:hAnsi="Arial" w:cs="Arial"/>
                <w:sz w:val="20"/>
              </w:rPr>
            </w:pPr>
            <w:r w:rsidRPr="00E93B5D">
              <w:rPr>
                <w:rFonts w:ascii="Arial" w:hAnsi="Arial" w:cs="Arial"/>
                <w:sz w:val="20"/>
              </w:rPr>
              <w:t>4.00E-3</w:t>
            </w:r>
          </w:p>
        </w:tc>
        <w:tc>
          <w:tcPr>
            <w:tcW w:w="1350" w:type="dxa"/>
            <w:tcBorders>
              <w:top w:val="single" w:sz="4" w:space="0" w:color="auto"/>
              <w:left w:val="single" w:sz="4" w:space="0" w:color="auto"/>
              <w:bottom w:val="single" w:sz="4" w:space="0" w:color="auto"/>
              <w:right w:val="single" w:sz="4" w:space="0" w:color="auto"/>
            </w:tcBorders>
            <w:hideMark/>
          </w:tcPr>
          <w:p w14:paraId="33D63152"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c>
          <w:tcPr>
            <w:tcW w:w="1260" w:type="dxa"/>
            <w:tcBorders>
              <w:top w:val="single" w:sz="4" w:space="0" w:color="auto"/>
              <w:left w:val="single" w:sz="4" w:space="0" w:color="auto"/>
              <w:bottom w:val="single" w:sz="4" w:space="0" w:color="auto"/>
              <w:right w:val="single" w:sz="4" w:space="0" w:color="auto"/>
            </w:tcBorders>
            <w:hideMark/>
          </w:tcPr>
          <w:p w14:paraId="3B2EDAAD" w14:textId="77777777" w:rsidR="00E93B5D" w:rsidRPr="00E93B5D" w:rsidRDefault="00E93B5D" w:rsidP="00E93B5D">
            <w:pPr>
              <w:pStyle w:val="Body"/>
              <w:rPr>
                <w:rFonts w:ascii="Arial" w:hAnsi="Arial" w:cs="Arial"/>
                <w:sz w:val="20"/>
              </w:rPr>
            </w:pPr>
            <w:r w:rsidRPr="00E93B5D">
              <w:rPr>
                <w:rFonts w:ascii="Arial" w:hAnsi="Arial" w:cs="Arial"/>
                <w:sz w:val="20"/>
              </w:rPr>
              <w:t>7.00-E3</w:t>
            </w:r>
          </w:p>
        </w:tc>
        <w:tc>
          <w:tcPr>
            <w:tcW w:w="1080" w:type="dxa"/>
            <w:tcBorders>
              <w:top w:val="single" w:sz="4" w:space="0" w:color="auto"/>
              <w:left w:val="single" w:sz="4" w:space="0" w:color="auto"/>
              <w:bottom w:val="single" w:sz="4" w:space="0" w:color="auto"/>
              <w:right w:val="single" w:sz="4" w:space="0" w:color="auto"/>
            </w:tcBorders>
            <w:hideMark/>
          </w:tcPr>
          <w:p w14:paraId="0F87E80E" w14:textId="77777777" w:rsidR="00E93B5D" w:rsidRPr="00E93B5D" w:rsidRDefault="00E93B5D" w:rsidP="00E93B5D">
            <w:pPr>
              <w:pStyle w:val="Body"/>
              <w:rPr>
                <w:rFonts w:ascii="Arial" w:hAnsi="Arial" w:cs="Arial"/>
                <w:sz w:val="20"/>
              </w:rPr>
            </w:pPr>
            <w:r w:rsidRPr="00E93B5D">
              <w:rPr>
                <w:rFonts w:ascii="Arial" w:hAnsi="Arial" w:cs="Arial"/>
                <w:sz w:val="20"/>
              </w:rPr>
              <w:t>1.00E-2</w:t>
            </w:r>
          </w:p>
        </w:tc>
      </w:tr>
      <w:tr w:rsidR="00E93B5D" w:rsidRPr="00E93B5D" w14:paraId="4534B13A"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4470EB56"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3B010A19"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31ED4257"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7616D49A"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350" w:type="dxa"/>
            <w:tcBorders>
              <w:top w:val="single" w:sz="4" w:space="0" w:color="auto"/>
              <w:left w:val="single" w:sz="4" w:space="0" w:color="auto"/>
              <w:bottom w:val="single" w:sz="4" w:space="0" w:color="auto"/>
              <w:right w:val="single" w:sz="4" w:space="0" w:color="auto"/>
            </w:tcBorders>
            <w:hideMark/>
          </w:tcPr>
          <w:p w14:paraId="64E6FF58"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260" w:type="dxa"/>
            <w:tcBorders>
              <w:top w:val="single" w:sz="4" w:space="0" w:color="auto"/>
              <w:left w:val="single" w:sz="4" w:space="0" w:color="auto"/>
              <w:bottom w:val="single" w:sz="4" w:space="0" w:color="auto"/>
              <w:right w:val="single" w:sz="4" w:space="0" w:color="auto"/>
            </w:tcBorders>
            <w:hideMark/>
          </w:tcPr>
          <w:p w14:paraId="0CDEC649"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5969A6E6"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r>
      <w:tr w:rsidR="00E93B5D" w:rsidRPr="00E93B5D" w14:paraId="36A8DDC5"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117FD896"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1342" w:type="dxa"/>
            <w:tcBorders>
              <w:top w:val="single" w:sz="4" w:space="0" w:color="auto"/>
              <w:left w:val="single" w:sz="4" w:space="0" w:color="auto"/>
              <w:bottom w:val="single" w:sz="4" w:space="0" w:color="auto"/>
              <w:right w:val="single" w:sz="4" w:space="0" w:color="auto"/>
            </w:tcBorders>
            <w:hideMark/>
          </w:tcPr>
          <w:p w14:paraId="70A4B626" w14:textId="77777777" w:rsidR="00E93B5D" w:rsidRPr="00E93B5D" w:rsidRDefault="00E93B5D" w:rsidP="00E93B5D">
            <w:pPr>
              <w:pStyle w:val="Body"/>
              <w:rPr>
                <w:rFonts w:ascii="Arial" w:hAnsi="Arial" w:cs="Arial"/>
                <w:sz w:val="20"/>
              </w:rPr>
            </w:pPr>
            <w:r w:rsidRPr="00E93B5D">
              <w:rPr>
                <w:rFonts w:ascii="Arial" w:hAnsi="Arial" w:cs="Arial"/>
                <w:sz w:val="20"/>
              </w:rPr>
              <w:t>3.40E-2</w:t>
            </w:r>
          </w:p>
        </w:tc>
        <w:tc>
          <w:tcPr>
            <w:tcW w:w="1170" w:type="dxa"/>
            <w:tcBorders>
              <w:top w:val="single" w:sz="4" w:space="0" w:color="auto"/>
              <w:left w:val="single" w:sz="4" w:space="0" w:color="auto"/>
              <w:bottom w:val="single" w:sz="4" w:space="0" w:color="auto"/>
              <w:right w:val="single" w:sz="4" w:space="0" w:color="auto"/>
            </w:tcBorders>
            <w:hideMark/>
          </w:tcPr>
          <w:p w14:paraId="79ECD0D4" w14:textId="77777777" w:rsidR="00E93B5D" w:rsidRPr="00E93B5D" w:rsidRDefault="00E93B5D" w:rsidP="00E93B5D">
            <w:pPr>
              <w:pStyle w:val="Body"/>
              <w:rPr>
                <w:rFonts w:ascii="Arial" w:hAnsi="Arial" w:cs="Arial"/>
                <w:sz w:val="20"/>
              </w:rPr>
            </w:pPr>
            <w:r w:rsidRPr="00E93B5D">
              <w:rPr>
                <w:rFonts w:ascii="Arial" w:hAnsi="Arial" w:cs="Arial"/>
                <w:sz w:val="20"/>
              </w:rPr>
              <w:t>1.20E-2</w:t>
            </w:r>
          </w:p>
        </w:tc>
        <w:tc>
          <w:tcPr>
            <w:tcW w:w="1170" w:type="dxa"/>
            <w:tcBorders>
              <w:top w:val="single" w:sz="4" w:space="0" w:color="auto"/>
              <w:left w:val="single" w:sz="4" w:space="0" w:color="auto"/>
              <w:bottom w:val="single" w:sz="4" w:space="0" w:color="auto"/>
              <w:right w:val="single" w:sz="4" w:space="0" w:color="auto"/>
            </w:tcBorders>
            <w:hideMark/>
          </w:tcPr>
          <w:p w14:paraId="0D144D21" w14:textId="77777777" w:rsidR="00E93B5D" w:rsidRPr="00E93B5D" w:rsidRDefault="00E93B5D" w:rsidP="00E93B5D">
            <w:pPr>
              <w:pStyle w:val="Body"/>
              <w:rPr>
                <w:rFonts w:ascii="Arial" w:hAnsi="Arial" w:cs="Arial"/>
                <w:sz w:val="20"/>
              </w:rPr>
            </w:pPr>
            <w:r w:rsidRPr="00E93B5D">
              <w:rPr>
                <w:rFonts w:ascii="Arial" w:hAnsi="Arial" w:cs="Arial"/>
                <w:sz w:val="20"/>
              </w:rPr>
              <w:t>2.00E-2</w:t>
            </w:r>
          </w:p>
        </w:tc>
        <w:tc>
          <w:tcPr>
            <w:tcW w:w="1350" w:type="dxa"/>
            <w:tcBorders>
              <w:top w:val="single" w:sz="4" w:space="0" w:color="auto"/>
              <w:left w:val="single" w:sz="4" w:space="0" w:color="auto"/>
              <w:bottom w:val="single" w:sz="4" w:space="0" w:color="auto"/>
              <w:right w:val="single" w:sz="4" w:space="0" w:color="auto"/>
            </w:tcBorders>
            <w:hideMark/>
          </w:tcPr>
          <w:p w14:paraId="5EDFA50E" w14:textId="77777777" w:rsidR="00E93B5D" w:rsidRPr="00E93B5D" w:rsidRDefault="00E93B5D" w:rsidP="00E93B5D">
            <w:pPr>
              <w:pStyle w:val="Body"/>
              <w:rPr>
                <w:rFonts w:ascii="Arial" w:hAnsi="Arial" w:cs="Arial"/>
                <w:sz w:val="20"/>
              </w:rPr>
            </w:pPr>
            <w:r w:rsidRPr="00E93B5D">
              <w:rPr>
                <w:rFonts w:ascii="Arial" w:hAnsi="Arial" w:cs="Arial"/>
                <w:sz w:val="20"/>
              </w:rPr>
              <w:t>9.90E-2</w:t>
            </w:r>
          </w:p>
        </w:tc>
        <w:tc>
          <w:tcPr>
            <w:tcW w:w="1260" w:type="dxa"/>
            <w:tcBorders>
              <w:top w:val="single" w:sz="4" w:space="0" w:color="auto"/>
              <w:left w:val="single" w:sz="4" w:space="0" w:color="auto"/>
              <w:bottom w:val="single" w:sz="4" w:space="0" w:color="auto"/>
              <w:right w:val="single" w:sz="4" w:space="0" w:color="auto"/>
            </w:tcBorders>
            <w:hideMark/>
          </w:tcPr>
          <w:p w14:paraId="44CC0186" w14:textId="77777777" w:rsidR="00E93B5D" w:rsidRPr="00E93B5D" w:rsidRDefault="00E93B5D" w:rsidP="00E93B5D">
            <w:pPr>
              <w:pStyle w:val="Body"/>
              <w:rPr>
                <w:rFonts w:ascii="Arial" w:hAnsi="Arial" w:cs="Arial"/>
                <w:sz w:val="20"/>
              </w:rPr>
            </w:pPr>
            <w:r w:rsidRPr="00E93B5D">
              <w:rPr>
                <w:rFonts w:ascii="Arial" w:hAnsi="Arial" w:cs="Arial"/>
                <w:sz w:val="20"/>
              </w:rPr>
              <w:t>3.60E-2</w:t>
            </w:r>
          </w:p>
        </w:tc>
        <w:tc>
          <w:tcPr>
            <w:tcW w:w="1080" w:type="dxa"/>
            <w:tcBorders>
              <w:top w:val="single" w:sz="4" w:space="0" w:color="auto"/>
              <w:left w:val="single" w:sz="4" w:space="0" w:color="auto"/>
              <w:bottom w:val="single" w:sz="4" w:space="0" w:color="auto"/>
              <w:right w:val="single" w:sz="4" w:space="0" w:color="auto"/>
            </w:tcBorders>
            <w:hideMark/>
          </w:tcPr>
          <w:p w14:paraId="616339AF" w14:textId="77777777" w:rsidR="00E93B5D" w:rsidRPr="00E93B5D" w:rsidRDefault="00E93B5D" w:rsidP="00E93B5D">
            <w:pPr>
              <w:pStyle w:val="Body"/>
              <w:rPr>
                <w:rFonts w:ascii="Arial" w:hAnsi="Arial" w:cs="Arial"/>
                <w:sz w:val="20"/>
              </w:rPr>
            </w:pPr>
            <w:r w:rsidRPr="00E93B5D">
              <w:rPr>
                <w:rFonts w:ascii="Arial" w:hAnsi="Arial" w:cs="Arial"/>
                <w:sz w:val="20"/>
              </w:rPr>
              <w:t>6.00E-2</w:t>
            </w:r>
          </w:p>
        </w:tc>
      </w:tr>
      <w:tr w:rsidR="00E93B5D" w:rsidRPr="00E93B5D" w14:paraId="59901378"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7509753"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39CA0CF1" w14:textId="77777777" w:rsidR="00E93B5D" w:rsidRPr="00E93B5D" w:rsidRDefault="00E93B5D" w:rsidP="00E93B5D">
            <w:pPr>
              <w:pStyle w:val="Body"/>
              <w:rPr>
                <w:rFonts w:ascii="Arial" w:hAnsi="Arial" w:cs="Arial"/>
                <w:sz w:val="20"/>
              </w:rPr>
            </w:pPr>
            <w:r w:rsidRPr="00E93B5D">
              <w:rPr>
                <w:rFonts w:ascii="Arial" w:hAnsi="Arial" w:cs="Arial"/>
                <w:sz w:val="20"/>
              </w:rPr>
              <w:t>6.20E-2</w:t>
            </w:r>
          </w:p>
        </w:tc>
        <w:tc>
          <w:tcPr>
            <w:tcW w:w="1170" w:type="dxa"/>
            <w:tcBorders>
              <w:top w:val="single" w:sz="4" w:space="0" w:color="auto"/>
              <w:left w:val="single" w:sz="4" w:space="0" w:color="auto"/>
              <w:bottom w:val="single" w:sz="4" w:space="0" w:color="auto"/>
              <w:right w:val="single" w:sz="4" w:space="0" w:color="auto"/>
            </w:tcBorders>
            <w:hideMark/>
          </w:tcPr>
          <w:p w14:paraId="175F3F76" w14:textId="77777777" w:rsidR="00E93B5D" w:rsidRPr="00E93B5D" w:rsidRDefault="00E93B5D" w:rsidP="00E93B5D">
            <w:pPr>
              <w:pStyle w:val="Body"/>
              <w:rPr>
                <w:rFonts w:ascii="Arial" w:hAnsi="Arial" w:cs="Arial"/>
                <w:sz w:val="20"/>
              </w:rPr>
            </w:pPr>
            <w:r w:rsidRPr="00E93B5D">
              <w:rPr>
                <w:rFonts w:ascii="Arial" w:hAnsi="Arial" w:cs="Arial"/>
                <w:sz w:val="20"/>
              </w:rPr>
              <w:t>4.80E-2</w:t>
            </w:r>
          </w:p>
        </w:tc>
        <w:tc>
          <w:tcPr>
            <w:tcW w:w="1170" w:type="dxa"/>
            <w:tcBorders>
              <w:top w:val="single" w:sz="4" w:space="0" w:color="auto"/>
              <w:left w:val="single" w:sz="4" w:space="0" w:color="auto"/>
              <w:bottom w:val="single" w:sz="4" w:space="0" w:color="auto"/>
              <w:right w:val="single" w:sz="4" w:space="0" w:color="auto"/>
            </w:tcBorders>
            <w:hideMark/>
          </w:tcPr>
          <w:p w14:paraId="3C125767" w14:textId="77777777" w:rsidR="00E93B5D" w:rsidRPr="00E93B5D" w:rsidRDefault="00E93B5D" w:rsidP="00E93B5D">
            <w:pPr>
              <w:pStyle w:val="Body"/>
              <w:rPr>
                <w:rFonts w:ascii="Arial" w:hAnsi="Arial" w:cs="Arial"/>
                <w:sz w:val="20"/>
              </w:rPr>
            </w:pPr>
            <w:r w:rsidRPr="00E93B5D">
              <w:rPr>
                <w:rFonts w:ascii="Arial" w:hAnsi="Arial" w:cs="Arial"/>
                <w:sz w:val="20"/>
              </w:rPr>
              <w:t>6.90E-2</w:t>
            </w:r>
          </w:p>
        </w:tc>
        <w:tc>
          <w:tcPr>
            <w:tcW w:w="1350" w:type="dxa"/>
            <w:tcBorders>
              <w:top w:val="single" w:sz="4" w:space="0" w:color="auto"/>
              <w:left w:val="single" w:sz="4" w:space="0" w:color="auto"/>
              <w:bottom w:val="single" w:sz="4" w:space="0" w:color="auto"/>
              <w:right w:val="single" w:sz="4" w:space="0" w:color="auto"/>
            </w:tcBorders>
            <w:hideMark/>
          </w:tcPr>
          <w:p w14:paraId="26AFD37A" w14:textId="77777777" w:rsidR="00E93B5D" w:rsidRPr="00E93B5D" w:rsidRDefault="00E93B5D" w:rsidP="00E93B5D">
            <w:pPr>
              <w:pStyle w:val="Body"/>
              <w:rPr>
                <w:rFonts w:ascii="Arial" w:hAnsi="Arial" w:cs="Arial"/>
                <w:sz w:val="20"/>
              </w:rPr>
            </w:pPr>
            <w:r w:rsidRPr="00E93B5D">
              <w:rPr>
                <w:rFonts w:ascii="Arial" w:hAnsi="Arial" w:cs="Arial"/>
                <w:sz w:val="20"/>
              </w:rPr>
              <w:t>1.80E-1</w:t>
            </w:r>
          </w:p>
        </w:tc>
        <w:tc>
          <w:tcPr>
            <w:tcW w:w="1260" w:type="dxa"/>
            <w:tcBorders>
              <w:top w:val="single" w:sz="4" w:space="0" w:color="auto"/>
              <w:left w:val="single" w:sz="4" w:space="0" w:color="auto"/>
              <w:bottom w:val="single" w:sz="4" w:space="0" w:color="auto"/>
              <w:right w:val="single" w:sz="4" w:space="0" w:color="auto"/>
            </w:tcBorders>
            <w:hideMark/>
          </w:tcPr>
          <w:p w14:paraId="4250A69E" w14:textId="77777777" w:rsidR="00E93B5D" w:rsidRPr="00E93B5D" w:rsidRDefault="00E93B5D" w:rsidP="00E93B5D">
            <w:pPr>
              <w:pStyle w:val="Body"/>
              <w:rPr>
                <w:rFonts w:ascii="Arial" w:hAnsi="Arial" w:cs="Arial"/>
                <w:sz w:val="20"/>
              </w:rPr>
            </w:pPr>
            <w:r w:rsidRPr="00E93B5D">
              <w:rPr>
                <w:rFonts w:ascii="Arial" w:hAnsi="Arial" w:cs="Arial"/>
                <w:sz w:val="20"/>
              </w:rPr>
              <w:t>1.40E-1</w:t>
            </w:r>
          </w:p>
        </w:tc>
        <w:tc>
          <w:tcPr>
            <w:tcW w:w="1080" w:type="dxa"/>
            <w:tcBorders>
              <w:top w:val="single" w:sz="4" w:space="0" w:color="auto"/>
              <w:left w:val="single" w:sz="4" w:space="0" w:color="auto"/>
              <w:bottom w:val="single" w:sz="4" w:space="0" w:color="auto"/>
              <w:right w:val="single" w:sz="4" w:space="0" w:color="auto"/>
            </w:tcBorders>
            <w:hideMark/>
          </w:tcPr>
          <w:p w14:paraId="2B14D730" w14:textId="77777777" w:rsidR="00E93B5D" w:rsidRPr="00E93B5D" w:rsidRDefault="00E93B5D" w:rsidP="00E93B5D">
            <w:pPr>
              <w:pStyle w:val="Body"/>
              <w:rPr>
                <w:rFonts w:ascii="Arial" w:hAnsi="Arial" w:cs="Arial"/>
                <w:sz w:val="20"/>
              </w:rPr>
            </w:pPr>
            <w:r w:rsidRPr="00E93B5D">
              <w:rPr>
                <w:rFonts w:ascii="Arial" w:hAnsi="Arial" w:cs="Arial"/>
                <w:sz w:val="20"/>
              </w:rPr>
              <w:t>2.03E-1</w:t>
            </w:r>
          </w:p>
        </w:tc>
      </w:tr>
      <w:tr w:rsidR="00E93B5D" w:rsidRPr="00E93B5D" w14:paraId="5316F60B" w14:textId="77777777" w:rsidTr="00B42D91">
        <w:tc>
          <w:tcPr>
            <w:tcW w:w="723" w:type="dxa"/>
            <w:tcBorders>
              <w:top w:val="single" w:sz="4" w:space="0" w:color="auto"/>
              <w:left w:val="single" w:sz="4" w:space="0" w:color="auto"/>
              <w:bottom w:val="single" w:sz="4" w:space="0" w:color="auto"/>
              <w:right w:val="single" w:sz="4" w:space="0" w:color="auto"/>
            </w:tcBorders>
          </w:tcPr>
          <w:p w14:paraId="0747C3EE" w14:textId="77777777" w:rsidR="00E93B5D" w:rsidRPr="00E93B5D" w:rsidRDefault="00E93B5D" w:rsidP="00E93B5D">
            <w:pPr>
              <w:pStyle w:val="Body"/>
              <w:rPr>
                <w:rFonts w:ascii="Arial" w:hAnsi="Arial" w:cs="Arial"/>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67343310"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c>
          <w:tcPr>
            <w:tcW w:w="3690" w:type="dxa"/>
            <w:gridSpan w:val="3"/>
            <w:tcBorders>
              <w:top w:val="single" w:sz="4" w:space="0" w:color="auto"/>
              <w:left w:val="single" w:sz="4" w:space="0" w:color="auto"/>
              <w:bottom w:val="single" w:sz="4" w:space="0" w:color="auto"/>
              <w:right w:val="single" w:sz="4" w:space="0" w:color="auto"/>
            </w:tcBorders>
            <w:hideMark/>
          </w:tcPr>
          <w:p w14:paraId="5897D017"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r>
      <w:tr w:rsidR="00E93B5D" w:rsidRPr="00E93B5D" w14:paraId="69C92BBB"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32E9EF38"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538B0E69" w14:textId="77777777" w:rsidR="00E93B5D" w:rsidRPr="00E93B5D" w:rsidRDefault="00E93B5D" w:rsidP="00E93B5D">
            <w:pPr>
              <w:pStyle w:val="Body"/>
              <w:rPr>
                <w:rFonts w:ascii="Arial" w:hAnsi="Arial" w:cs="Arial"/>
                <w:sz w:val="20"/>
              </w:rPr>
            </w:pPr>
            <w:r w:rsidRPr="00E93B5D">
              <w:rPr>
                <w:rFonts w:ascii="Arial" w:hAnsi="Arial" w:cs="Arial"/>
                <w:sz w:val="20"/>
              </w:rPr>
              <w:t>1.30E-2</w:t>
            </w:r>
          </w:p>
        </w:tc>
        <w:tc>
          <w:tcPr>
            <w:tcW w:w="1170" w:type="dxa"/>
            <w:tcBorders>
              <w:top w:val="single" w:sz="4" w:space="0" w:color="auto"/>
              <w:left w:val="single" w:sz="4" w:space="0" w:color="auto"/>
              <w:bottom w:val="single" w:sz="4" w:space="0" w:color="auto"/>
              <w:right w:val="single" w:sz="4" w:space="0" w:color="auto"/>
            </w:tcBorders>
            <w:hideMark/>
          </w:tcPr>
          <w:p w14:paraId="18B4AE89" w14:textId="77777777" w:rsidR="00E93B5D" w:rsidRPr="00E93B5D" w:rsidRDefault="00E93B5D" w:rsidP="00E93B5D">
            <w:pPr>
              <w:pStyle w:val="Body"/>
              <w:rPr>
                <w:rFonts w:ascii="Arial" w:hAnsi="Arial" w:cs="Arial"/>
                <w:sz w:val="20"/>
              </w:rPr>
            </w:pPr>
            <w:r w:rsidRPr="00E93B5D">
              <w:rPr>
                <w:rFonts w:ascii="Arial" w:hAnsi="Arial" w:cs="Arial"/>
                <w:sz w:val="20"/>
              </w:rPr>
              <w:t>2.10E-2</w:t>
            </w:r>
          </w:p>
        </w:tc>
        <w:tc>
          <w:tcPr>
            <w:tcW w:w="1170" w:type="dxa"/>
            <w:tcBorders>
              <w:top w:val="single" w:sz="4" w:space="0" w:color="auto"/>
              <w:left w:val="single" w:sz="4" w:space="0" w:color="auto"/>
              <w:bottom w:val="single" w:sz="4" w:space="0" w:color="auto"/>
              <w:right w:val="single" w:sz="4" w:space="0" w:color="auto"/>
            </w:tcBorders>
            <w:hideMark/>
          </w:tcPr>
          <w:p w14:paraId="66986FD2" w14:textId="77777777" w:rsidR="00E93B5D" w:rsidRPr="00E93B5D" w:rsidRDefault="00E93B5D" w:rsidP="00E93B5D">
            <w:pPr>
              <w:pStyle w:val="Body"/>
              <w:rPr>
                <w:rFonts w:ascii="Arial" w:hAnsi="Arial" w:cs="Arial"/>
                <w:sz w:val="20"/>
              </w:rPr>
            </w:pPr>
            <w:r w:rsidRPr="00E93B5D">
              <w:rPr>
                <w:rFonts w:ascii="Arial" w:hAnsi="Arial" w:cs="Arial"/>
                <w:sz w:val="20"/>
              </w:rPr>
              <w:t>3.40E-2</w:t>
            </w:r>
          </w:p>
        </w:tc>
        <w:tc>
          <w:tcPr>
            <w:tcW w:w="1350" w:type="dxa"/>
            <w:tcBorders>
              <w:top w:val="single" w:sz="4" w:space="0" w:color="auto"/>
              <w:left w:val="single" w:sz="4" w:space="0" w:color="auto"/>
              <w:bottom w:val="single" w:sz="4" w:space="0" w:color="auto"/>
              <w:right w:val="single" w:sz="4" w:space="0" w:color="auto"/>
            </w:tcBorders>
            <w:hideMark/>
          </w:tcPr>
          <w:p w14:paraId="0106B205" w14:textId="77777777" w:rsidR="00E93B5D" w:rsidRPr="00E93B5D" w:rsidRDefault="00E93B5D" w:rsidP="00E93B5D">
            <w:pPr>
              <w:pStyle w:val="Body"/>
              <w:rPr>
                <w:rFonts w:ascii="Arial" w:hAnsi="Arial" w:cs="Arial"/>
                <w:sz w:val="20"/>
              </w:rPr>
            </w:pPr>
            <w:r w:rsidRPr="00E93B5D">
              <w:rPr>
                <w:rFonts w:ascii="Arial" w:hAnsi="Arial" w:cs="Arial"/>
                <w:sz w:val="20"/>
              </w:rPr>
              <w:t>1.54E-1</w:t>
            </w:r>
          </w:p>
        </w:tc>
        <w:tc>
          <w:tcPr>
            <w:tcW w:w="1260" w:type="dxa"/>
            <w:tcBorders>
              <w:top w:val="single" w:sz="4" w:space="0" w:color="auto"/>
              <w:left w:val="single" w:sz="4" w:space="0" w:color="auto"/>
              <w:bottom w:val="single" w:sz="4" w:space="0" w:color="auto"/>
              <w:right w:val="single" w:sz="4" w:space="0" w:color="auto"/>
            </w:tcBorders>
            <w:hideMark/>
          </w:tcPr>
          <w:p w14:paraId="78E81E6A" w14:textId="77777777" w:rsidR="00E93B5D" w:rsidRPr="00E93B5D" w:rsidRDefault="00E93B5D" w:rsidP="00E93B5D">
            <w:pPr>
              <w:pStyle w:val="Body"/>
              <w:rPr>
                <w:rFonts w:ascii="Arial" w:hAnsi="Arial" w:cs="Arial"/>
                <w:sz w:val="20"/>
              </w:rPr>
            </w:pPr>
            <w:r w:rsidRPr="00E93B5D">
              <w:rPr>
                <w:rFonts w:ascii="Arial" w:hAnsi="Arial" w:cs="Arial"/>
                <w:sz w:val="20"/>
              </w:rPr>
              <w:t>2.47E-1</w:t>
            </w:r>
          </w:p>
        </w:tc>
        <w:tc>
          <w:tcPr>
            <w:tcW w:w="1080" w:type="dxa"/>
            <w:tcBorders>
              <w:top w:val="single" w:sz="4" w:space="0" w:color="auto"/>
              <w:left w:val="single" w:sz="4" w:space="0" w:color="auto"/>
              <w:bottom w:val="single" w:sz="4" w:space="0" w:color="auto"/>
              <w:right w:val="single" w:sz="4" w:space="0" w:color="auto"/>
            </w:tcBorders>
            <w:hideMark/>
          </w:tcPr>
          <w:p w14:paraId="7BE3B5FA" w14:textId="77777777" w:rsidR="00E93B5D" w:rsidRPr="00E93B5D" w:rsidRDefault="00E93B5D" w:rsidP="00E93B5D">
            <w:pPr>
              <w:pStyle w:val="Body"/>
              <w:rPr>
                <w:rFonts w:ascii="Arial" w:hAnsi="Arial" w:cs="Arial"/>
                <w:sz w:val="20"/>
              </w:rPr>
            </w:pPr>
            <w:r w:rsidRPr="00E93B5D">
              <w:rPr>
                <w:rFonts w:ascii="Arial" w:hAnsi="Arial" w:cs="Arial"/>
                <w:sz w:val="20"/>
              </w:rPr>
              <w:t>4.05E-1</w:t>
            </w:r>
          </w:p>
        </w:tc>
      </w:tr>
      <w:tr w:rsidR="00E93B5D" w:rsidRPr="00E93B5D" w14:paraId="207E8647"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659FA522"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88F0163" w14:textId="77777777" w:rsidR="00E93B5D" w:rsidRPr="00E93B5D" w:rsidRDefault="00E93B5D" w:rsidP="00E93B5D">
            <w:pPr>
              <w:pStyle w:val="Body"/>
              <w:rPr>
                <w:rFonts w:ascii="Arial" w:hAnsi="Arial" w:cs="Arial"/>
                <w:sz w:val="20"/>
              </w:rPr>
            </w:pPr>
            <w:r w:rsidRPr="00E93B5D">
              <w:rPr>
                <w:rFonts w:ascii="Arial" w:hAnsi="Arial" w:cs="Arial"/>
                <w:sz w:val="20"/>
              </w:rPr>
              <w:t>2.00E-3</w:t>
            </w:r>
          </w:p>
        </w:tc>
        <w:tc>
          <w:tcPr>
            <w:tcW w:w="1170" w:type="dxa"/>
            <w:tcBorders>
              <w:top w:val="single" w:sz="4" w:space="0" w:color="auto"/>
              <w:left w:val="single" w:sz="4" w:space="0" w:color="auto"/>
              <w:bottom w:val="single" w:sz="4" w:space="0" w:color="auto"/>
              <w:right w:val="single" w:sz="4" w:space="0" w:color="auto"/>
            </w:tcBorders>
            <w:hideMark/>
          </w:tcPr>
          <w:p w14:paraId="61350C5A" w14:textId="77777777" w:rsidR="00E93B5D" w:rsidRPr="00E93B5D" w:rsidRDefault="00E93B5D" w:rsidP="00E93B5D">
            <w:pPr>
              <w:pStyle w:val="Body"/>
              <w:rPr>
                <w:rFonts w:ascii="Arial" w:hAnsi="Arial" w:cs="Arial"/>
                <w:sz w:val="20"/>
              </w:rPr>
            </w:pPr>
            <w:r w:rsidRPr="00E93B5D">
              <w:rPr>
                <w:rFonts w:ascii="Arial" w:hAnsi="Arial" w:cs="Arial"/>
                <w:sz w:val="20"/>
              </w:rPr>
              <w:t>3.00E-3</w:t>
            </w:r>
          </w:p>
        </w:tc>
        <w:tc>
          <w:tcPr>
            <w:tcW w:w="1170" w:type="dxa"/>
            <w:tcBorders>
              <w:top w:val="single" w:sz="4" w:space="0" w:color="auto"/>
              <w:left w:val="single" w:sz="4" w:space="0" w:color="auto"/>
              <w:bottom w:val="single" w:sz="4" w:space="0" w:color="auto"/>
              <w:right w:val="single" w:sz="4" w:space="0" w:color="auto"/>
            </w:tcBorders>
            <w:hideMark/>
          </w:tcPr>
          <w:p w14:paraId="4B27CD49" w14:textId="77777777" w:rsidR="00E93B5D" w:rsidRPr="00E93B5D" w:rsidRDefault="00E93B5D" w:rsidP="00E93B5D">
            <w:pPr>
              <w:pStyle w:val="Body"/>
              <w:rPr>
                <w:rFonts w:ascii="Arial" w:hAnsi="Arial" w:cs="Arial"/>
                <w:sz w:val="20"/>
              </w:rPr>
            </w:pPr>
            <w:r w:rsidRPr="00E93B5D">
              <w:rPr>
                <w:rFonts w:ascii="Arial" w:hAnsi="Arial" w:cs="Arial"/>
                <w:sz w:val="20"/>
              </w:rPr>
              <w:t>6.00E-3</w:t>
            </w:r>
          </w:p>
        </w:tc>
        <w:tc>
          <w:tcPr>
            <w:tcW w:w="1350" w:type="dxa"/>
            <w:tcBorders>
              <w:top w:val="single" w:sz="4" w:space="0" w:color="auto"/>
              <w:left w:val="single" w:sz="4" w:space="0" w:color="auto"/>
              <w:bottom w:val="single" w:sz="4" w:space="0" w:color="auto"/>
              <w:right w:val="single" w:sz="4" w:space="0" w:color="auto"/>
            </w:tcBorders>
            <w:hideMark/>
          </w:tcPr>
          <w:p w14:paraId="50FB3545" w14:textId="77777777" w:rsidR="00E93B5D" w:rsidRPr="00E93B5D" w:rsidRDefault="00E93B5D" w:rsidP="00E93B5D">
            <w:pPr>
              <w:pStyle w:val="Body"/>
              <w:rPr>
                <w:rFonts w:ascii="Arial" w:hAnsi="Arial" w:cs="Arial"/>
                <w:sz w:val="20"/>
              </w:rPr>
            </w:pPr>
            <w:r w:rsidRPr="00E93B5D">
              <w:rPr>
                <w:rFonts w:ascii="Arial" w:hAnsi="Arial" w:cs="Arial"/>
                <w:sz w:val="20"/>
              </w:rPr>
              <w:t>3.10E-2</w:t>
            </w:r>
          </w:p>
        </w:tc>
        <w:tc>
          <w:tcPr>
            <w:tcW w:w="1260" w:type="dxa"/>
            <w:tcBorders>
              <w:top w:val="single" w:sz="4" w:space="0" w:color="auto"/>
              <w:left w:val="single" w:sz="4" w:space="0" w:color="auto"/>
              <w:bottom w:val="single" w:sz="4" w:space="0" w:color="auto"/>
              <w:right w:val="single" w:sz="4" w:space="0" w:color="auto"/>
            </w:tcBorders>
            <w:hideMark/>
          </w:tcPr>
          <w:p w14:paraId="50378A68" w14:textId="77777777" w:rsidR="00E93B5D" w:rsidRPr="00E93B5D" w:rsidRDefault="00E93B5D" w:rsidP="00E93B5D">
            <w:pPr>
              <w:pStyle w:val="Body"/>
              <w:rPr>
                <w:rFonts w:ascii="Arial" w:hAnsi="Arial" w:cs="Arial"/>
                <w:sz w:val="20"/>
              </w:rPr>
            </w:pPr>
            <w:r w:rsidRPr="00E93B5D">
              <w:rPr>
                <w:rFonts w:ascii="Arial" w:hAnsi="Arial" w:cs="Arial"/>
                <w:sz w:val="20"/>
              </w:rPr>
              <w:t>4.20E-2</w:t>
            </w:r>
          </w:p>
        </w:tc>
        <w:tc>
          <w:tcPr>
            <w:tcW w:w="1080" w:type="dxa"/>
            <w:tcBorders>
              <w:top w:val="single" w:sz="4" w:space="0" w:color="auto"/>
              <w:left w:val="single" w:sz="4" w:space="0" w:color="auto"/>
              <w:bottom w:val="single" w:sz="4" w:space="0" w:color="auto"/>
              <w:right w:val="single" w:sz="4" w:space="0" w:color="auto"/>
            </w:tcBorders>
            <w:hideMark/>
          </w:tcPr>
          <w:p w14:paraId="7DC598A9" w14:textId="77777777" w:rsidR="00E93B5D" w:rsidRPr="00E93B5D" w:rsidRDefault="00E93B5D" w:rsidP="00E93B5D">
            <w:pPr>
              <w:pStyle w:val="Body"/>
              <w:rPr>
                <w:rFonts w:ascii="Arial" w:hAnsi="Arial" w:cs="Arial"/>
                <w:sz w:val="20"/>
              </w:rPr>
            </w:pPr>
            <w:r w:rsidRPr="00E93B5D">
              <w:rPr>
                <w:rFonts w:ascii="Arial" w:hAnsi="Arial" w:cs="Arial"/>
                <w:sz w:val="20"/>
              </w:rPr>
              <w:t>8.10E-2</w:t>
            </w:r>
          </w:p>
        </w:tc>
      </w:tr>
      <w:tr w:rsidR="00E93B5D" w:rsidRPr="00E93B5D" w14:paraId="70D6EC13"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30F22770"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54DFBEC4" w14:textId="77777777" w:rsidR="00E93B5D" w:rsidRPr="00E93B5D" w:rsidRDefault="00E93B5D" w:rsidP="00E93B5D">
            <w:pPr>
              <w:pStyle w:val="Body"/>
              <w:rPr>
                <w:rFonts w:ascii="Arial" w:hAnsi="Arial" w:cs="Arial"/>
                <w:sz w:val="20"/>
              </w:rPr>
            </w:pPr>
            <w:r w:rsidRPr="00E93B5D">
              <w:rPr>
                <w:rFonts w:ascii="Arial" w:hAnsi="Arial" w:cs="Arial"/>
                <w:sz w:val="20"/>
              </w:rPr>
              <w:t>8.00E-5</w:t>
            </w:r>
          </w:p>
        </w:tc>
        <w:tc>
          <w:tcPr>
            <w:tcW w:w="1170" w:type="dxa"/>
            <w:tcBorders>
              <w:top w:val="single" w:sz="4" w:space="0" w:color="auto"/>
              <w:left w:val="single" w:sz="4" w:space="0" w:color="auto"/>
              <w:bottom w:val="single" w:sz="4" w:space="0" w:color="auto"/>
              <w:right w:val="single" w:sz="4" w:space="0" w:color="auto"/>
            </w:tcBorders>
            <w:hideMark/>
          </w:tcPr>
          <w:p w14:paraId="26A63F32"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170" w:type="dxa"/>
            <w:tcBorders>
              <w:top w:val="single" w:sz="4" w:space="0" w:color="auto"/>
              <w:left w:val="single" w:sz="4" w:space="0" w:color="auto"/>
              <w:bottom w:val="single" w:sz="4" w:space="0" w:color="auto"/>
              <w:right w:val="single" w:sz="4" w:space="0" w:color="auto"/>
            </w:tcBorders>
            <w:hideMark/>
          </w:tcPr>
          <w:p w14:paraId="52D31A69"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350" w:type="dxa"/>
            <w:tcBorders>
              <w:top w:val="single" w:sz="4" w:space="0" w:color="auto"/>
              <w:left w:val="single" w:sz="4" w:space="0" w:color="auto"/>
              <w:bottom w:val="single" w:sz="4" w:space="0" w:color="auto"/>
              <w:right w:val="single" w:sz="4" w:space="0" w:color="auto"/>
            </w:tcBorders>
            <w:hideMark/>
          </w:tcPr>
          <w:p w14:paraId="07A8FF4C" w14:textId="77777777" w:rsidR="00E93B5D" w:rsidRPr="00E93B5D" w:rsidRDefault="00E93B5D" w:rsidP="00E93B5D">
            <w:pPr>
              <w:pStyle w:val="Body"/>
              <w:rPr>
                <w:rFonts w:ascii="Arial" w:hAnsi="Arial" w:cs="Arial"/>
                <w:sz w:val="20"/>
              </w:rPr>
            </w:pPr>
            <w:r w:rsidRPr="00E93B5D">
              <w:rPr>
                <w:rFonts w:ascii="Arial" w:hAnsi="Arial" w:cs="Arial"/>
                <w:sz w:val="20"/>
              </w:rPr>
              <w:t>9.00E-4</w:t>
            </w:r>
          </w:p>
        </w:tc>
        <w:tc>
          <w:tcPr>
            <w:tcW w:w="1260" w:type="dxa"/>
            <w:tcBorders>
              <w:top w:val="single" w:sz="4" w:space="0" w:color="auto"/>
              <w:left w:val="single" w:sz="4" w:space="0" w:color="auto"/>
              <w:bottom w:val="single" w:sz="4" w:space="0" w:color="auto"/>
              <w:right w:val="single" w:sz="4" w:space="0" w:color="auto"/>
            </w:tcBorders>
            <w:hideMark/>
          </w:tcPr>
          <w:p w14:paraId="7956AF38"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0D8CE26B"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r>
      <w:tr w:rsidR="00E93B5D" w:rsidRPr="00E93B5D" w14:paraId="0E904B1E"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02B8081"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1FED820C" w14:textId="77777777" w:rsidR="00E93B5D" w:rsidRPr="00E93B5D" w:rsidRDefault="00E93B5D" w:rsidP="00E93B5D">
            <w:pPr>
              <w:pStyle w:val="Body"/>
              <w:rPr>
                <w:rFonts w:ascii="Arial" w:hAnsi="Arial" w:cs="Arial"/>
                <w:sz w:val="20"/>
              </w:rPr>
            </w:pPr>
            <w:r w:rsidRPr="00E93B5D">
              <w:rPr>
                <w:rFonts w:ascii="Arial" w:hAnsi="Arial" w:cs="Arial"/>
                <w:sz w:val="20"/>
              </w:rPr>
              <w:t>1.00E-4</w:t>
            </w:r>
          </w:p>
        </w:tc>
        <w:tc>
          <w:tcPr>
            <w:tcW w:w="1170" w:type="dxa"/>
            <w:tcBorders>
              <w:top w:val="single" w:sz="4" w:space="0" w:color="auto"/>
              <w:left w:val="single" w:sz="4" w:space="0" w:color="auto"/>
              <w:bottom w:val="single" w:sz="4" w:space="0" w:color="auto"/>
              <w:right w:val="single" w:sz="4" w:space="0" w:color="auto"/>
            </w:tcBorders>
            <w:hideMark/>
          </w:tcPr>
          <w:p w14:paraId="75A2CE24" w14:textId="77777777" w:rsidR="00E93B5D" w:rsidRPr="00E93B5D" w:rsidRDefault="00E93B5D" w:rsidP="00E93B5D">
            <w:pPr>
              <w:pStyle w:val="Body"/>
              <w:rPr>
                <w:rFonts w:ascii="Arial" w:hAnsi="Arial" w:cs="Arial"/>
                <w:sz w:val="20"/>
              </w:rPr>
            </w:pPr>
            <w:r w:rsidRPr="00E93B5D">
              <w:rPr>
                <w:rFonts w:ascii="Arial" w:hAnsi="Arial" w:cs="Arial"/>
                <w:sz w:val="20"/>
              </w:rPr>
              <w:t>6.00E-4</w:t>
            </w:r>
          </w:p>
        </w:tc>
        <w:tc>
          <w:tcPr>
            <w:tcW w:w="1170" w:type="dxa"/>
            <w:tcBorders>
              <w:top w:val="single" w:sz="4" w:space="0" w:color="auto"/>
              <w:left w:val="single" w:sz="4" w:space="0" w:color="auto"/>
              <w:bottom w:val="single" w:sz="4" w:space="0" w:color="auto"/>
              <w:right w:val="single" w:sz="4" w:space="0" w:color="auto"/>
            </w:tcBorders>
            <w:hideMark/>
          </w:tcPr>
          <w:p w14:paraId="01CB23C2"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c>
          <w:tcPr>
            <w:tcW w:w="1350" w:type="dxa"/>
            <w:tcBorders>
              <w:top w:val="single" w:sz="4" w:space="0" w:color="auto"/>
              <w:left w:val="single" w:sz="4" w:space="0" w:color="auto"/>
              <w:bottom w:val="single" w:sz="4" w:space="0" w:color="auto"/>
              <w:right w:val="single" w:sz="4" w:space="0" w:color="auto"/>
            </w:tcBorders>
            <w:hideMark/>
          </w:tcPr>
          <w:p w14:paraId="69277382" w14:textId="77777777" w:rsidR="00E93B5D" w:rsidRPr="00E93B5D" w:rsidRDefault="00E93B5D" w:rsidP="00E93B5D">
            <w:pPr>
              <w:pStyle w:val="Body"/>
              <w:rPr>
                <w:rFonts w:ascii="Arial" w:hAnsi="Arial" w:cs="Arial"/>
                <w:sz w:val="20"/>
              </w:rPr>
            </w:pPr>
            <w:r w:rsidRPr="00E93B5D">
              <w:rPr>
                <w:rFonts w:ascii="Arial" w:hAnsi="Arial" w:cs="Arial"/>
                <w:sz w:val="20"/>
              </w:rPr>
              <w:t>1.00E-3</w:t>
            </w:r>
          </w:p>
        </w:tc>
        <w:tc>
          <w:tcPr>
            <w:tcW w:w="1260" w:type="dxa"/>
            <w:tcBorders>
              <w:top w:val="single" w:sz="4" w:space="0" w:color="auto"/>
              <w:left w:val="single" w:sz="4" w:space="0" w:color="auto"/>
              <w:bottom w:val="single" w:sz="4" w:space="0" w:color="auto"/>
              <w:right w:val="single" w:sz="4" w:space="0" w:color="auto"/>
            </w:tcBorders>
            <w:hideMark/>
          </w:tcPr>
          <w:p w14:paraId="29873E9D" w14:textId="77777777" w:rsidR="00E93B5D" w:rsidRPr="00E93B5D" w:rsidRDefault="00E93B5D" w:rsidP="00E93B5D">
            <w:pPr>
              <w:pStyle w:val="Body"/>
              <w:rPr>
                <w:rFonts w:ascii="Arial" w:hAnsi="Arial" w:cs="Arial"/>
                <w:sz w:val="20"/>
              </w:rPr>
            </w:pPr>
            <w:r w:rsidRPr="00E93B5D">
              <w:rPr>
                <w:rFonts w:ascii="Arial" w:hAnsi="Arial" w:cs="Arial"/>
                <w:sz w:val="20"/>
              </w:rPr>
              <w:t>7.00E-3</w:t>
            </w:r>
          </w:p>
        </w:tc>
        <w:tc>
          <w:tcPr>
            <w:tcW w:w="1080" w:type="dxa"/>
            <w:tcBorders>
              <w:top w:val="single" w:sz="4" w:space="0" w:color="auto"/>
              <w:left w:val="single" w:sz="4" w:space="0" w:color="auto"/>
              <w:bottom w:val="single" w:sz="4" w:space="0" w:color="auto"/>
              <w:right w:val="single" w:sz="4" w:space="0" w:color="auto"/>
            </w:tcBorders>
            <w:hideMark/>
          </w:tcPr>
          <w:p w14:paraId="4479C53B" w14:textId="77777777" w:rsidR="00E93B5D" w:rsidRPr="00E93B5D" w:rsidRDefault="00E93B5D" w:rsidP="00E93B5D">
            <w:pPr>
              <w:pStyle w:val="Body"/>
              <w:rPr>
                <w:rFonts w:ascii="Arial" w:hAnsi="Arial" w:cs="Arial"/>
                <w:sz w:val="20"/>
              </w:rPr>
            </w:pPr>
            <w:r w:rsidRPr="00E93B5D">
              <w:rPr>
                <w:rFonts w:ascii="Arial" w:hAnsi="Arial" w:cs="Arial"/>
                <w:sz w:val="20"/>
              </w:rPr>
              <w:t>1.30E-2</w:t>
            </w:r>
          </w:p>
        </w:tc>
      </w:tr>
      <w:tr w:rsidR="00E93B5D" w:rsidRPr="00E93B5D" w14:paraId="0DDA4E77"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509E79D7"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6AB512EE"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170" w:type="dxa"/>
            <w:tcBorders>
              <w:top w:val="single" w:sz="4" w:space="0" w:color="auto"/>
              <w:left w:val="single" w:sz="4" w:space="0" w:color="auto"/>
              <w:bottom w:val="single" w:sz="4" w:space="0" w:color="auto"/>
              <w:right w:val="single" w:sz="4" w:space="0" w:color="auto"/>
            </w:tcBorders>
            <w:hideMark/>
          </w:tcPr>
          <w:p w14:paraId="3FA42EE5"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170" w:type="dxa"/>
            <w:tcBorders>
              <w:top w:val="single" w:sz="4" w:space="0" w:color="auto"/>
              <w:left w:val="single" w:sz="4" w:space="0" w:color="auto"/>
              <w:bottom w:val="single" w:sz="4" w:space="0" w:color="auto"/>
              <w:right w:val="single" w:sz="4" w:space="0" w:color="auto"/>
            </w:tcBorders>
            <w:hideMark/>
          </w:tcPr>
          <w:p w14:paraId="18A7D964" w14:textId="77777777" w:rsidR="00E93B5D" w:rsidRPr="00E93B5D" w:rsidRDefault="00E93B5D" w:rsidP="00E93B5D">
            <w:pPr>
              <w:pStyle w:val="Body"/>
              <w:rPr>
                <w:rFonts w:ascii="Arial" w:hAnsi="Arial" w:cs="Arial"/>
                <w:sz w:val="20"/>
              </w:rPr>
            </w:pPr>
            <w:r w:rsidRPr="00E93B5D">
              <w:rPr>
                <w:rFonts w:ascii="Arial" w:hAnsi="Arial" w:cs="Arial"/>
                <w:sz w:val="20"/>
              </w:rPr>
              <w:t>4.00E-5</w:t>
            </w:r>
          </w:p>
        </w:tc>
        <w:tc>
          <w:tcPr>
            <w:tcW w:w="1350" w:type="dxa"/>
            <w:tcBorders>
              <w:top w:val="single" w:sz="4" w:space="0" w:color="auto"/>
              <w:left w:val="single" w:sz="4" w:space="0" w:color="auto"/>
              <w:bottom w:val="single" w:sz="4" w:space="0" w:color="auto"/>
              <w:right w:val="single" w:sz="4" w:space="0" w:color="auto"/>
            </w:tcBorders>
            <w:hideMark/>
          </w:tcPr>
          <w:p w14:paraId="7A4B8EC4"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260" w:type="dxa"/>
            <w:tcBorders>
              <w:top w:val="single" w:sz="4" w:space="0" w:color="auto"/>
              <w:left w:val="single" w:sz="4" w:space="0" w:color="auto"/>
              <w:bottom w:val="single" w:sz="4" w:space="0" w:color="auto"/>
              <w:right w:val="single" w:sz="4" w:space="0" w:color="auto"/>
            </w:tcBorders>
            <w:hideMark/>
          </w:tcPr>
          <w:p w14:paraId="3FB0F34F"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c>
          <w:tcPr>
            <w:tcW w:w="1080" w:type="dxa"/>
            <w:tcBorders>
              <w:top w:val="single" w:sz="4" w:space="0" w:color="auto"/>
              <w:left w:val="single" w:sz="4" w:space="0" w:color="auto"/>
              <w:bottom w:val="single" w:sz="4" w:space="0" w:color="auto"/>
              <w:right w:val="single" w:sz="4" w:space="0" w:color="auto"/>
            </w:tcBorders>
            <w:hideMark/>
          </w:tcPr>
          <w:p w14:paraId="0272EC27" w14:textId="77777777" w:rsidR="00E93B5D" w:rsidRPr="00E93B5D" w:rsidRDefault="00E93B5D" w:rsidP="00E93B5D">
            <w:pPr>
              <w:pStyle w:val="Body"/>
              <w:rPr>
                <w:rFonts w:ascii="Arial" w:hAnsi="Arial" w:cs="Arial"/>
                <w:sz w:val="20"/>
              </w:rPr>
            </w:pPr>
            <w:r w:rsidRPr="00E93B5D">
              <w:rPr>
                <w:rFonts w:ascii="Arial" w:hAnsi="Arial" w:cs="Arial"/>
                <w:sz w:val="20"/>
              </w:rPr>
              <w:t>4.00E-4</w:t>
            </w:r>
          </w:p>
        </w:tc>
      </w:tr>
      <w:tr w:rsidR="00E93B5D" w:rsidRPr="00E93B5D" w14:paraId="770A2A36"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0B00EADA" w14:textId="77777777" w:rsidR="00E93B5D" w:rsidRPr="00E93B5D" w:rsidRDefault="00E93B5D" w:rsidP="00E93B5D">
            <w:pPr>
              <w:pStyle w:val="Body"/>
              <w:rPr>
                <w:rFonts w:ascii="Arial" w:hAnsi="Arial" w:cs="Arial"/>
                <w:sz w:val="20"/>
              </w:rPr>
            </w:pPr>
            <w:r w:rsidRPr="00E93B5D">
              <w:rPr>
                <w:rFonts w:ascii="Arial" w:hAnsi="Arial" w:cs="Arial"/>
                <w:sz w:val="20"/>
              </w:rPr>
              <w:lastRenderedPageBreak/>
              <w:t>Ni</w:t>
            </w:r>
          </w:p>
        </w:tc>
        <w:tc>
          <w:tcPr>
            <w:tcW w:w="1342" w:type="dxa"/>
            <w:tcBorders>
              <w:top w:val="single" w:sz="4" w:space="0" w:color="auto"/>
              <w:left w:val="single" w:sz="4" w:space="0" w:color="auto"/>
              <w:bottom w:val="single" w:sz="4" w:space="0" w:color="auto"/>
              <w:right w:val="single" w:sz="4" w:space="0" w:color="auto"/>
            </w:tcBorders>
            <w:hideMark/>
          </w:tcPr>
          <w:p w14:paraId="3D3E597A" w14:textId="77777777" w:rsidR="00E93B5D" w:rsidRPr="00E93B5D" w:rsidRDefault="00E93B5D" w:rsidP="00E93B5D">
            <w:pPr>
              <w:pStyle w:val="Body"/>
              <w:rPr>
                <w:rFonts w:ascii="Arial" w:hAnsi="Arial" w:cs="Arial"/>
                <w:sz w:val="20"/>
              </w:rPr>
            </w:pPr>
            <w:r w:rsidRPr="00E93B5D">
              <w:rPr>
                <w:rFonts w:ascii="Arial" w:hAnsi="Arial" w:cs="Arial"/>
                <w:sz w:val="20"/>
              </w:rPr>
              <w:t>8.00E-3</w:t>
            </w:r>
          </w:p>
        </w:tc>
        <w:tc>
          <w:tcPr>
            <w:tcW w:w="1170" w:type="dxa"/>
            <w:tcBorders>
              <w:top w:val="single" w:sz="4" w:space="0" w:color="auto"/>
              <w:left w:val="single" w:sz="4" w:space="0" w:color="auto"/>
              <w:bottom w:val="single" w:sz="4" w:space="0" w:color="auto"/>
              <w:right w:val="single" w:sz="4" w:space="0" w:color="auto"/>
            </w:tcBorders>
            <w:hideMark/>
          </w:tcPr>
          <w:p w14:paraId="1BFB8493" w14:textId="77777777" w:rsidR="00E93B5D" w:rsidRPr="00E93B5D" w:rsidRDefault="00E93B5D" w:rsidP="00E93B5D">
            <w:pPr>
              <w:pStyle w:val="Body"/>
              <w:rPr>
                <w:rFonts w:ascii="Arial" w:hAnsi="Arial" w:cs="Arial"/>
                <w:sz w:val="20"/>
              </w:rPr>
            </w:pPr>
            <w:r w:rsidRPr="00E93B5D">
              <w:rPr>
                <w:rFonts w:ascii="Arial" w:hAnsi="Arial" w:cs="Arial"/>
                <w:sz w:val="20"/>
              </w:rPr>
              <w:t>3.00E-3</w:t>
            </w:r>
          </w:p>
        </w:tc>
        <w:tc>
          <w:tcPr>
            <w:tcW w:w="1170" w:type="dxa"/>
            <w:tcBorders>
              <w:top w:val="single" w:sz="4" w:space="0" w:color="auto"/>
              <w:left w:val="single" w:sz="4" w:space="0" w:color="auto"/>
              <w:bottom w:val="single" w:sz="4" w:space="0" w:color="auto"/>
              <w:right w:val="single" w:sz="4" w:space="0" w:color="auto"/>
            </w:tcBorders>
            <w:hideMark/>
          </w:tcPr>
          <w:p w14:paraId="1B19BA6B" w14:textId="77777777" w:rsidR="00E93B5D" w:rsidRPr="00E93B5D" w:rsidRDefault="00E93B5D" w:rsidP="00E93B5D">
            <w:pPr>
              <w:pStyle w:val="Body"/>
              <w:rPr>
                <w:rFonts w:ascii="Arial" w:hAnsi="Arial" w:cs="Arial"/>
                <w:sz w:val="20"/>
              </w:rPr>
            </w:pPr>
            <w:r w:rsidRPr="00E93B5D">
              <w:rPr>
                <w:rFonts w:ascii="Arial" w:hAnsi="Arial" w:cs="Arial"/>
                <w:sz w:val="20"/>
              </w:rPr>
              <w:t>5.00E-5</w:t>
            </w:r>
          </w:p>
        </w:tc>
        <w:tc>
          <w:tcPr>
            <w:tcW w:w="1350" w:type="dxa"/>
            <w:tcBorders>
              <w:top w:val="single" w:sz="4" w:space="0" w:color="auto"/>
              <w:left w:val="single" w:sz="4" w:space="0" w:color="auto"/>
              <w:bottom w:val="single" w:sz="4" w:space="0" w:color="auto"/>
              <w:right w:val="single" w:sz="4" w:space="0" w:color="auto"/>
            </w:tcBorders>
            <w:hideMark/>
          </w:tcPr>
          <w:p w14:paraId="45116B7E" w14:textId="77777777" w:rsidR="00E93B5D" w:rsidRPr="00E93B5D" w:rsidRDefault="00E93B5D" w:rsidP="00E93B5D">
            <w:pPr>
              <w:pStyle w:val="Body"/>
              <w:rPr>
                <w:rFonts w:ascii="Arial" w:hAnsi="Arial" w:cs="Arial"/>
                <w:sz w:val="20"/>
              </w:rPr>
            </w:pPr>
            <w:r w:rsidRPr="00E93B5D">
              <w:rPr>
                <w:rFonts w:ascii="Arial" w:hAnsi="Arial" w:cs="Arial"/>
                <w:sz w:val="20"/>
              </w:rPr>
              <w:t>9.90E-2</w:t>
            </w:r>
          </w:p>
        </w:tc>
        <w:tc>
          <w:tcPr>
            <w:tcW w:w="1260" w:type="dxa"/>
            <w:tcBorders>
              <w:top w:val="single" w:sz="4" w:space="0" w:color="auto"/>
              <w:left w:val="single" w:sz="4" w:space="0" w:color="auto"/>
              <w:bottom w:val="single" w:sz="4" w:space="0" w:color="auto"/>
              <w:right w:val="single" w:sz="4" w:space="0" w:color="auto"/>
            </w:tcBorders>
            <w:hideMark/>
          </w:tcPr>
          <w:p w14:paraId="4855ABB2" w14:textId="77777777" w:rsidR="00E93B5D" w:rsidRPr="00E93B5D" w:rsidRDefault="00E93B5D" w:rsidP="00E93B5D">
            <w:pPr>
              <w:pStyle w:val="Body"/>
              <w:rPr>
                <w:rFonts w:ascii="Arial" w:hAnsi="Arial" w:cs="Arial"/>
                <w:sz w:val="20"/>
              </w:rPr>
            </w:pPr>
            <w:r w:rsidRPr="00E93B5D">
              <w:rPr>
                <w:rFonts w:ascii="Arial" w:hAnsi="Arial" w:cs="Arial"/>
                <w:sz w:val="20"/>
              </w:rPr>
              <w:t>3.60E-2</w:t>
            </w:r>
          </w:p>
        </w:tc>
        <w:tc>
          <w:tcPr>
            <w:tcW w:w="1080" w:type="dxa"/>
            <w:tcBorders>
              <w:top w:val="single" w:sz="4" w:space="0" w:color="auto"/>
              <w:left w:val="single" w:sz="4" w:space="0" w:color="auto"/>
              <w:bottom w:val="single" w:sz="4" w:space="0" w:color="auto"/>
              <w:right w:val="single" w:sz="4" w:space="0" w:color="auto"/>
            </w:tcBorders>
            <w:hideMark/>
          </w:tcPr>
          <w:p w14:paraId="19A8AD39" w14:textId="77777777" w:rsidR="00E93B5D" w:rsidRPr="00E93B5D" w:rsidRDefault="00E93B5D" w:rsidP="00E93B5D">
            <w:pPr>
              <w:pStyle w:val="Body"/>
              <w:rPr>
                <w:rFonts w:ascii="Arial" w:hAnsi="Arial" w:cs="Arial"/>
                <w:sz w:val="20"/>
              </w:rPr>
            </w:pPr>
            <w:r w:rsidRPr="00E93B5D">
              <w:rPr>
                <w:rFonts w:ascii="Arial" w:hAnsi="Arial" w:cs="Arial"/>
                <w:sz w:val="20"/>
              </w:rPr>
              <w:t>6.00E-2</w:t>
            </w:r>
          </w:p>
        </w:tc>
      </w:tr>
      <w:tr w:rsidR="00E93B5D" w:rsidRPr="00E93B5D" w14:paraId="3B760D22" w14:textId="77777777" w:rsidTr="00B42D91">
        <w:tc>
          <w:tcPr>
            <w:tcW w:w="723" w:type="dxa"/>
            <w:tcBorders>
              <w:top w:val="single" w:sz="4" w:space="0" w:color="auto"/>
              <w:left w:val="single" w:sz="4" w:space="0" w:color="auto"/>
              <w:bottom w:val="single" w:sz="4" w:space="0" w:color="auto"/>
              <w:right w:val="single" w:sz="4" w:space="0" w:color="auto"/>
            </w:tcBorders>
            <w:hideMark/>
          </w:tcPr>
          <w:p w14:paraId="5C0256E5"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60CC8401" w14:textId="77777777" w:rsidR="00E93B5D" w:rsidRPr="00E93B5D" w:rsidRDefault="00E93B5D" w:rsidP="00E93B5D">
            <w:pPr>
              <w:pStyle w:val="Body"/>
              <w:rPr>
                <w:rFonts w:ascii="Arial" w:hAnsi="Arial" w:cs="Arial"/>
                <w:sz w:val="20"/>
              </w:rPr>
            </w:pPr>
            <w:r w:rsidRPr="00E93B5D">
              <w:rPr>
                <w:rFonts w:ascii="Arial" w:hAnsi="Arial" w:cs="Arial"/>
                <w:sz w:val="20"/>
              </w:rPr>
              <w:t>1.50E-2</w:t>
            </w:r>
          </w:p>
        </w:tc>
        <w:tc>
          <w:tcPr>
            <w:tcW w:w="1170" w:type="dxa"/>
            <w:tcBorders>
              <w:top w:val="single" w:sz="4" w:space="0" w:color="auto"/>
              <w:left w:val="single" w:sz="4" w:space="0" w:color="auto"/>
              <w:bottom w:val="single" w:sz="4" w:space="0" w:color="auto"/>
              <w:right w:val="single" w:sz="4" w:space="0" w:color="auto"/>
            </w:tcBorders>
            <w:hideMark/>
          </w:tcPr>
          <w:p w14:paraId="20F0FB06" w14:textId="77777777" w:rsidR="00E93B5D" w:rsidRPr="00E93B5D" w:rsidRDefault="00E93B5D" w:rsidP="00E93B5D">
            <w:pPr>
              <w:pStyle w:val="Body"/>
              <w:rPr>
                <w:rFonts w:ascii="Arial" w:hAnsi="Arial" w:cs="Arial"/>
                <w:sz w:val="20"/>
              </w:rPr>
            </w:pPr>
            <w:r w:rsidRPr="00E93B5D">
              <w:rPr>
                <w:rFonts w:ascii="Arial" w:hAnsi="Arial" w:cs="Arial"/>
                <w:sz w:val="20"/>
              </w:rPr>
              <w:t>1.20E-2</w:t>
            </w:r>
          </w:p>
        </w:tc>
        <w:tc>
          <w:tcPr>
            <w:tcW w:w="1170" w:type="dxa"/>
            <w:tcBorders>
              <w:top w:val="single" w:sz="4" w:space="0" w:color="auto"/>
              <w:left w:val="single" w:sz="4" w:space="0" w:color="auto"/>
              <w:bottom w:val="single" w:sz="4" w:space="0" w:color="auto"/>
              <w:right w:val="single" w:sz="4" w:space="0" w:color="auto"/>
            </w:tcBorders>
            <w:hideMark/>
          </w:tcPr>
          <w:p w14:paraId="57DAD4CB" w14:textId="77777777" w:rsidR="00E93B5D" w:rsidRPr="00E93B5D" w:rsidRDefault="00E93B5D" w:rsidP="00E93B5D">
            <w:pPr>
              <w:pStyle w:val="Body"/>
              <w:rPr>
                <w:rFonts w:ascii="Arial" w:hAnsi="Arial" w:cs="Arial"/>
                <w:sz w:val="20"/>
              </w:rPr>
            </w:pPr>
            <w:r w:rsidRPr="00E93B5D">
              <w:rPr>
                <w:rFonts w:ascii="Arial" w:hAnsi="Arial" w:cs="Arial"/>
                <w:sz w:val="20"/>
              </w:rPr>
              <w:t>1.70E-2</w:t>
            </w:r>
          </w:p>
        </w:tc>
        <w:tc>
          <w:tcPr>
            <w:tcW w:w="1350" w:type="dxa"/>
            <w:tcBorders>
              <w:top w:val="single" w:sz="4" w:space="0" w:color="auto"/>
              <w:left w:val="single" w:sz="4" w:space="0" w:color="auto"/>
              <w:bottom w:val="single" w:sz="4" w:space="0" w:color="auto"/>
              <w:right w:val="single" w:sz="4" w:space="0" w:color="auto"/>
            </w:tcBorders>
            <w:hideMark/>
          </w:tcPr>
          <w:p w14:paraId="012251C2" w14:textId="77777777" w:rsidR="00E93B5D" w:rsidRPr="00E93B5D" w:rsidRDefault="00E93B5D" w:rsidP="00E93B5D">
            <w:pPr>
              <w:pStyle w:val="Body"/>
              <w:rPr>
                <w:rFonts w:ascii="Arial" w:hAnsi="Arial" w:cs="Arial"/>
                <w:sz w:val="20"/>
              </w:rPr>
            </w:pPr>
            <w:r w:rsidRPr="00E93B5D">
              <w:rPr>
                <w:rFonts w:ascii="Arial" w:hAnsi="Arial" w:cs="Arial"/>
                <w:sz w:val="20"/>
              </w:rPr>
              <w:t>1.80E-1</w:t>
            </w:r>
          </w:p>
        </w:tc>
        <w:tc>
          <w:tcPr>
            <w:tcW w:w="1260" w:type="dxa"/>
            <w:tcBorders>
              <w:top w:val="single" w:sz="4" w:space="0" w:color="auto"/>
              <w:left w:val="single" w:sz="4" w:space="0" w:color="auto"/>
              <w:bottom w:val="single" w:sz="4" w:space="0" w:color="auto"/>
              <w:right w:val="single" w:sz="4" w:space="0" w:color="auto"/>
            </w:tcBorders>
            <w:hideMark/>
          </w:tcPr>
          <w:p w14:paraId="1CA72312" w14:textId="77777777" w:rsidR="00E93B5D" w:rsidRPr="00E93B5D" w:rsidRDefault="00E93B5D" w:rsidP="00E93B5D">
            <w:pPr>
              <w:pStyle w:val="Body"/>
              <w:rPr>
                <w:rFonts w:ascii="Arial" w:hAnsi="Arial" w:cs="Arial"/>
                <w:sz w:val="20"/>
              </w:rPr>
            </w:pPr>
            <w:r w:rsidRPr="00E93B5D">
              <w:rPr>
                <w:rFonts w:ascii="Arial" w:hAnsi="Arial" w:cs="Arial"/>
                <w:sz w:val="20"/>
              </w:rPr>
              <w:t>1.40E-1</w:t>
            </w:r>
          </w:p>
        </w:tc>
        <w:tc>
          <w:tcPr>
            <w:tcW w:w="1080" w:type="dxa"/>
            <w:tcBorders>
              <w:top w:val="single" w:sz="4" w:space="0" w:color="auto"/>
              <w:left w:val="single" w:sz="4" w:space="0" w:color="auto"/>
              <w:bottom w:val="single" w:sz="4" w:space="0" w:color="auto"/>
              <w:right w:val="single" w:sz="4" w:space="0" w:color="auto"/>
            </w:tcBorders>
            <w:hideMark/>
          </w:tcPr>
          <w:p w14:paraId="52F927BB" w14:textId="77777777" w:rsidR="00E93B5D" w:rsidRPr="00E93B5D" w:rsidRDefault="00E93B5D" w:rsidP="00E93B5D">
            <w:pPr>
              <w:pStyle w:val="Body"/>
              <w:rPr>
                <w:rFonts w:ascii="Arial" w:hAnsi="Arial" w:cs="Arial"/>
                <w:sz w:val="20"/>
              </w:rPr>
            </w:pPr>
            <w:r w:rsidRPr="00E93B5D">
              <w:rPr>
                <w:rFonts w:ascii="Arial" w:hAnsi="Arial" w:cs="Arial"/>
                <w:sz w:val="20"/>
              </w:rPr>
              <w:t>2.03E-1</w:t>
            </w:r>
          </w:p>
        </w:tc>
      </w:tr>
    </w:tbl>
    <w:p w14:paraId="3AE2AB91" w14:textId="77777777" w:rsidR="00936D15" w:rsidRDefault="00936D15" w:rsidP="00E93B5D">
      <w:pPr>
        <w:pStyle w:val="Body"/>
        <w:rPr>
          <w:rFonts w:ascii="Arial" w:hAnsi="Arial" w:cs="Arial"/>
          <w:b/>
        </w:rPr>
      </w:pPr>
    </w:p>
    <w:p w14:paraId="24DCA7D4" w14:textId="77777777" w:rsidR="00E93B5D" w:rsidRPr="00E93B5D" w:rsidRDefault="00E93B5D" w:rsidP="00936D15">
      <w:pPr>
        <w:pStyle w:val="Body"/>
        <w:spacing w:after="0"/>
        <w:rPr>
          <w:rFonts w:ascii="Arial" w:hAnsi="Arial" w:cs="Arial"/>
          <w:b/>
        </w:rPr>
      </w:pPr>
      <w:r w:rsidRPr="00E93B5D">
        <w:rPr>
          <w:rFonts w:ascii="Arial" w:hAnsi="Arial" w:cs="Arial"/>
          <w:b/>
        </w:rPr>
        <w:t>Table 5. Average daily exposure doses of non-carcinogenic and carcinogenic effects of heavy metals through dermal exposure</w:t>
      </w:r>
    </w:p>
    <w:tbl>
      <w:tblPr>
        <w:tblStyle w:val="TableGrid"/>
        <w:tblW w:w="8095" w:type="dxa"/>
        <w:tblLook w:val="04A0" w:firstRow="1" w:lastRow="0" w:firstColumn="1" w:lastColumn="0" w:noHBand="0" w:noVBand="1"/>
      </w:tblPr>
      <w:tblGrid>
        <w:gridCol w:w="723"/>
        <w:gridCol w:w="1342"/>
        <w:gridCol w:w="1170"/>
        <w:gridCol w:w="1170"/>
        <w:gridCol w:w="1260"/>
        <w:gridCol w:w="1170"/>
        <w:gridCol w:w="1260"/>
      </w:tblGrid>
      <w:tr w:rsidR="00E93B5D" w:rsidRPr="00E93B5D" w14:paraId="0D39BBE7" w14:textId="77777777" w:rsidTr="00F276C0">
        <w:tc>
          <w:tcPr>
            <w:tcW w:w="723" w:type="dxa"/>
            <w:tcBorders>
              <w:top w:val="single" w:sz="4" w:space="0" w:color="auto"/>
              <w:left w:val="single" w:sz="4" w:space="0" w:color="auto"/>
              <w:bottom w:val="single" w:sz="4" w:space="0" w:color="auto"/>
              <w:right w:val="single" w:sz="4" w:space="0" w:color="auto"/>
            </w:tcBorders>
          </w:tcPr>
          <w:p w14:paraId="401F34CD"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08396C93" w14:textId="77777777" w:rsidR="00E93B5D" w:rsidRPr="00E93B5D" w:rsidRDefault="00E93B5D" w:rsidP="00E93B5D">
            <w:pPr>
              <w:pStyle w:val="Body"/>
              <w:rPr>
                <w:rFonts w:ascii="Arial" w:hAnsi="Arial" w:cs="Arial"/>
                <w:b/>
                <w:sz w:val="20"/>
              </w:rPr>
            </w:pPr>
            <w:r w:rsidRPr="00E93B5D">
              <w:rPr>
                <w:rFonts w:ascii="Arial" w:hAnsi="Arial" w:cs="Arial"/>
                <w:b/>
                <w:sz w:val="20"/>
              </w:rPr>
              <w:t>Carcinogenic Risks</w:t>
            </w:r>
          </w:p>
        </w:tc>
        <w:tc>
          <w:tcPr>
            <w:tcW w:w="3690" w:type="dxa"/>
            <w:gridSpan w:val="3"/>
            <w:tcBorders>
              <w:top w:val="single" w:sz="4" w:space="0" w:color="auto"/>
              <w:left w:val="single" w:sz="4" w:space="0" w:color="auto"/>
              <w:bottom w:val="single" w:sz="4" w:space="0" w:color="auto"/>
              <w:right w:val="single" w:sz="4" w:space="0" w:color="auto"/>
            </w:tcBorders>
            <w:hideMark/>
          </w:tcPr>
          <w:p w14:paraId="1E06FD8D" w14:textId="77777777" w:rsidR="00E93B5D" w:rsidRPr="00E93B5D" w:rsidRDefault="00E93B5D" w:rsidP="00E93B5D">
            <w:pPr>
              <w:pStyle w:val="Body"/>
              <w:rPr>
                <w:rFonts w:ascii="Arial" w:hAnsi="Arial" w:cs="Arial"/>
                <w:b/>
                <w:sz w:val="20"/>
              </w:rPr>
            </w:pPr>
            <w:r w:rsidRPr="00E93B5D">
              <w:rPr>
                <w:rFonts w:ascii="Arial" w:hAnsi="Arial" w:cs="Arial"/>
                <w:b/>
                <w:sz w:val="20"/>
              </w:rPr>
              <w:t>Non-Carcinogenic Risks</w:t>
            </w:r>
          </w:p>
        </w:tc>
      </w:tr>
      <w:tr w:rsidR="00E93B5D" w:rsidRPr="00E93B5D" w14:paraId="6099E1D9" w14:textId="77777777" w:rsidTr="00F276C0">
        <w:tc>
          <w:tcPr>
            <w:tcW w:w="723" w:type="dxa"/>
            <w:tcBorders>
              <w:top w:val="single" w:sz="4" w:space="0" w:color="auto"/>
              <w:left w:val="single" w:sz="4" w:space="0" w:color="auto"/>
              <w:bottom w:val="single" w:sz="4" w:space="0" w:color="auto"/>
              <w:right w:val="single" w:sz="4" w:space="0" w:color="auto"/>
            </w:tcBorders>
          </w:tcPr>
          <w:p w14:paraId="7AEA50CD" w14:textId="77777777" w:rsidR="00E93B5D" w:rsidRPr="00E93B5D" w:rsidRDefault="00E93B5D" w:rsidP="00E93B5D">
            <w:pPr>
              <w:pStyle w:val="Body"/>
              <w:rPr>
                <w:rFonts w:ascii="Arial" w:hAnsi="Arial" w:cs="Arial"/>
                <w:b/>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0A2AB80B"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c>
          <w:tcPr>
            <w:tcW w:w="3690" w:type="dxa"/>
            <w:gridSpan w:val="3"/>
            <w:tcBorders>
              <w:top w:val="single" w:sz="4" w:space="0" w:color="auto"/>
              <w:left w:val="single" w:sz="4" w:space="0" w:color="auto"/>
              <w:bottom w:val="single" w:sz="4" w:space="0" w:color="auto"/>
              <w:right w:val="single" w:sz="4" w:space="0" w:color="auto"/>
            </w:tcBorders>
            <w:hideMark/>
          </w:tcPr>
          <w:p w14:paraId="23E3434F" w14:textId="77777777" w:rsidR="00E93B5D" w:rsidRPr="00E93B5D" w:rsidRDefault="00E93B5D" w:rsidP="00E93B5D">
            <w:pPr>
              <w:pStyle w:val="Body"/>
              <w:rPr>
                <w:rFonts w:ascii="Arial" w:hAnsi="Arial" w:cs="Arial"/>
                <w:b/>
                <w:sz w:val="20"/>
              </w:rPr>
            </w:pPr>
            <w:r w:rsidRPr="00E93B5D">
              <w:rPr>
                <w:rFonts w:ascii="Arial" w:hAnsi="Arial" w:cs="Arial"/>
                <w:b/>
                <w:sz w:val="20"/>
              </w:rPr>
              <w:t>Adult</w:t>
            </w:r>
          </w:p>
        </w:tc>
      </w:tr>
      <w:tr w:rsidR="00E93B5D" w:rsidRPr="00E93B5D" w14:paraId="1BB86DE8"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0A7A2BDC" w14:textId="77777777" w:rsidR="00E93B5D" w:rsidRPr="00E93B5D" w:rsidRDefault="00E93B5D" w:rsidP="00E93B5D">
            <w:pPr>
              <w:pStyle w:val="Body"/>
              <w:rPr>
                <w:rFonts w:ascii="Arial" w:hAnsi="Arial" w:cs="Arial"/>
                <w:b/>
                <w:sz w:val="20"/>
              </w:rPr>
            </w:pPr>
            <w:r w:rsidRPr="00E93B5D">
              <w:rPr>
                <w:rFonts w:ascii="Arial" w:hAnsi="Arial" w:cs="Arial"/>
                <w:b/>
                <w:sz w:val="20"/>
              </w:rPr>
              <w:t>HMs</w:t>
            </w:r>
          </w:p>
        </w:tc>
        <w:tc>
          <w:tcPr>
            <w:tcW w:w="1342" w:type="dxa"/>
            <w:tcBorders>
              <w:top w:val="single" w:sz="4" w:space="0" w:color="auto"/>
              <w:left w:val="single" w:sz="4" w:space="0" w:color="auto"/>
              <w:bottom w:val="single" w:sz="4" w:space="0" w:color="auto"/>
              <w:right w:val="single" w:sz="4" w:space="0" w:color="auto"/>
            </w:tcBorders>
            <w:hideMark/>
          </w:tcPr>
          <w:p w14:paraId="0BF14B3A"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170" w:type="dxa"/>
            <w:tcBorders>
              <w:top w:val="single" w:sz="4" w:space="0" w:color="auto"/>
              <w:left w:val="single" w:sz="4" w:space="0" w:color="auto"/>
              <w:bottom w:val="single" w:sz="4" w:space="0" w:color="auto"/>
              <w:right w:val="single" w:sz="4" w:space="0" w:color="auto"/>
            </w:tcBorders>
            <w:hideMark/>
          </w:tcPr>
          <w:p w14:paraId="42DF9B4E"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170" w:type="dxa"/>
            <w:tcBorders>
              <w:top w:val="single" w:sz="4" w:space="0" w:color="auto"/>
              <w:left w:val="single" w:sz="4" w:space="0" w:color="auto"/>
              <w:bottom w:val="single" w:sz="4" w:space="0" w:color="auto"/>
              <w:right w:val="single" w:sz="4" w:space="0" w:color="auto"/>
            </w:tcBorders>
            <w:hideMark/>
          </w:tcPr>
          <w:p w14:paraId="1755D1C3"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c>
          <w:tcPr>
            <w:tcW w:w="1260" w:type="dxa"/>
            <w:tcBorders>
              <w:top w:val="single" w:sz="4" w:space="0" w:color="auto"/>
              <w:left w:val="single" w:sz="4" w:space="0" w:color="auto"/>
              <w:bottom w:val="single" w:sz="4" w:space="0" w:color="auto"/>
              <w:right w:val="single" w:sz="4" w:space="0" w:color="auto"/>
            </w:tcBorders>
            <w:hideMark/>
          </w:tcPr>
          <w:p w14:paraId="525CD1D2"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(MM)</w:t>
            </w:r>
          </w:p>
        </w:tc>
        <w:tc>
          <w:tcPr>
            <w:tcW w:w="1170" w:type="dxa"/>
            <w:tcBorders>
              <w:top w:val="single" w:sz="4" w:space="0" w:color="auto"/>
              <w:left w:val="single" w:sz="4" w:space="0" w:color="auto"/>
              <w:bottom w:val="single" w:sz="4" w:space="0" w:color="auto"/>
              <w:right w:val="single" w:sz="4" w:space="0" w:color="auto"/>
            </w:tcBorders>
            <w:hideMark/>
          </w:tcPr>
          <w:p w14:paraId="4DEA5708"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(UJ)</w:t>
            </w:r>
          </w:p>
        </w:tc>
        <w:tc>
          <w:tcPr>
            <w:tcW w:w="1260" w:type="dxa"/>
            <w:tcBorders>
              <w:top w:val="single" w:sz="4" w:space="0" w:color="auto"/>
              <w:left w:val="single" w:sz="4" w:space="0" w:color="auto"/>
              <w:bottom w:val="single" w:sz="4" w:space="0" w:color="auto"/>
              <w:right w:val="single" w:sz="4" w:space="0" w:color="auto"/>
            </w:tcBorders>
            <w:hideMark/>
          </w:tcPr>
          <w:p w14:paraId="32199D68" w14:textId="77777777" w:rsidR="00E93B5D" w:rsidRPr="00E93B5D" w:rsidRDefault="00E93B5D" w:rsidP="00E93B5D">
            <w:pPr>
              <w:pStyle w:val="Body"/>
              <w:rPr>
                <w:rFonts w:ascii="Arial" w:hAnsi="Arial" w:cs="Arial"/>
                <w:b/>
                <w:sz w:val="20"/>
              </w:rPr>
            </w:pPr>
            <w:proofErr w:type="spellStart"/>
            <w:r w:rsidRPr="00E93B5D">
              <w:rPr>
                <w:rFonts w:ascii="Arial" w:hAnsi="Arial" w:cs="Arial"/>
                <w:b/>
                <w:sz w:val="20"/>
              </w:rPr>
              <w:t>ADD</w:t>
            </w:r>
            <w:r w:rsidRPr="00E93B5D">
              <w:rPr>
                <w:rFonts w:ascii="Arial" w:hAnsi="Arial" w:cs="Arial"/>
                <w:b/>
                <w:sz w:val="20"/>
                <w:vertAlign w:val="subscript"/>
              </w:rPr>
              <w:t>ing</w:t>
            </w:r>
            <w:proofErr w:type="spellEnd"/>
            <w:r w:rsidRPr="00E93B5D">
              <w:rPr>
                <w:rFonts w:ascii="Arial" w:hAnsi="Arial" w:cs="Arial"/>
                <w:b/>
                <w:sz w:val="20"/>
              </w:rPr>
              <w:t xml:space="preserve"> (MJ)</w:t>
            </w:r>
          </w:p>
        </w:tc>
      </w:tr>
      <w:tr w:rsidR="00E93B5D" w:rsidRPr="00E93B5D" w14:paraId="17376B55"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0D5D2FEE"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4B047E59" w14:textId="77777777" w:rsidR="00E93B5D" w:rsidRPr="00E93B5D" w:rsidRDefault="00E93B5D" w:rsidP="00E93B5D">
            <w:pPr>
              <w:pStyle w:val="Body"/>
              <w:rPr>
                <w:rFonts w:ascii="Arial" w:hAnsi="Arial" w:cs="Arial"/>
                <w:sz w:val="20"/>
              </w:rPr>
            </w:pPr>
            <w:r w:rsidRPr="00E93B5D">
              <w:rPr>
                <w:rFonts w:ascii="Arial" w:hAnsi="Arial" w:cs="Arial"/>
                <w:sz w:val="20"/>
              </w:rPr>
              <w:t>3.02E-6</w:t>
            </w:r>
          </w:p>
        </w:tc>
        <w:tc>
          <w:tcPr>
            <w:tcW w:w="1170" w:type="dxa"/>
            <w:tcBorders>
              <w:top w:val="single" w:sz="4" w:space="0" w:color="auto"/>
              <w:left w:val="single" w:sz="4" w:space="0" w:color="auto"/>
              <w:bottom w:val="single" w:sz="4" w:space="0" w:color="auto"/>
              <w:right w:val="single" w:sz="4" w:space="0" w:color="auto"/>
            </w:tcBorders>
            <w:hideMark/>
          </w:tcPr>
          <w:p w14:paraId="067001B7" w14:textId="77777777" w:rsidR="00E93B5D" w:rsidRPr="00E93B5D" w:rsidRDefault="00E93B5D" w:rsidP="00E93B5D">
            <w:pPr>
              <w:pStyle w:val="Body"/>
              <w:rPr>
                <w:rFonts w:ascii="Arial" w:hAnsi="Arial" w:cs="Arial"/>
                <w:sz w:val="20"/>
              </w:rPr>
            </w:pPr>
            <w:r w:rsidRPr="00E93B5D">
              <w:rPr>
                <w:rFonts w:ascii="Arial" w:hAnsi="Arial" w:cs="Arial"/>
                <w:sz w:val="20"/>
              </w:rPr>
              <w:t>4.83E-6</w:t>
            </w:r>
          </w:p>
        </w:tc>
        <w:tc>
          <w:tcPr>
            <w:tcW w:w="1170" w:type="dxa"/>
            <w:tcBorders>
              <w:top w:val="single" w:sz="4" w:space="0" w:color="auto"/>
              <w:left w:val="single" w:sz="4" w:space="0" w:color="auto"/>
              <w:bottom w:val="single" w:sz="4" w:space="0" w:color="auto"/>
              <w:right w:val="single" w:sz="4" w:space="0" w:color="auto"/>
            </w:tcBorders>
            <w:hideMark/>
          </w:tcPr>
          <w:p w14:paraId="11FE73BE" w14:textId="77777777" w:rsidR="00E93B5D" w:rsidRPr="00E93B5D" w:rsidRDefault="00E93B5D" w:rsidP="00E93B5D">
            <w:pPr>
              <w:pStyle w:val="Body"/>
              <w:rPr>
                <w:rFonts w:ascii="Arial" w:hAnsi="Arial" w:cs="Arial"/>
                <w:sz w:val="20"/>
              </w:rPr>
            </w:pPr>
            <w:r w:rsidRPr="00E93B5D">
              <w:rPr>
                <w:rFonts w:ascii="Arial" w:hAnsi="Arial" w:cs="Arial"/>
                <w:sz w:val="20"/>
              </w:rPr>
              <w:t>7.95E-6</w:t>
            </w:r>
          </w:p>
        </w:tc>
        <w:tc>
          <w:tcPr>
            <w:tcW w:w="1260" w:type="dxa"/>
            <w:tcBorders>
              <w:top w:val="single" w:sz="4" w:space="0" w:color="auto"/>
              <w:left w:val="single" w:sz="4" w:space="0" w:color="auto"/>
              <w:bottom w:val="single" w:sz="4" w:space="0" w:color="auto"/>
              <w:right w:val="single" w:sz="4" w:space="0" w:color="auto"/>
            </w:tcBorders>
            <w:hideMark/>
          </w:tcPr>
          <w:p w14:paraId="69AB0495" w14:textId="77777777" w:rsidR="00E93B5D" w:rsidRPr="00E93B5D" w:rsidRDefault="00E93B5D" w:rsidP="00E93B5D">
            <w:pPr>
              <w:pStyle w:val="Body"/>
              <w:rPr>
                <w:rFonts w:ascii="Arial" w:hAnsi="Arial" w:cs="Arial"/>
                <w:sz w:val="20"/>
              </w:rPr>
            </w:pPr>
            <w:r w:rsidRPr="00E93B5D">
              <w:rPr>
                <w:rFonts w:ascii="Arial" w:hAnsi="Arial" w:cs="Arial"/>
                <w:sz w:val="20"/>
              </w:rPr>
              <w:t>8.82E-6</w:t>
            </w:r>
          </w:p>
        </w:tc>
        <w:tc>
          <w:tcPr>
            <w:tcW w:w="1170" w:type="dxa"/>
            <w:tcBorders>
              <w:top w:val="single" w:sz="4" w:space="0" w:color="auto"/>
              <w:left w:val="single" w:sz="4" w:space="0" w:color="auto"/>
              <w:bottom w:val="single" w:sz="4" w:space="0" w:color="auto"/>
              <w:right w:val="single" w:sz="4" w:space="0" w:color="auto"/>
            </w:tcBorders>
            <w:hideMark/>
          </w:tcPr>
          <w:p w14:paraId="60DBA9AF" w14:textId="77777777" w:rsidR="00E93B5D" w:rsidRPr="00E93B5D" w:rsidRDefault="00E93B5D" w:rsidP="00E93B5D">
            <w:pPr>
              <w:pStyle w:val="Body"/>
              <w:rPr>
                <w:rFonts w:ascii="Arial" w:hAnsi="Arial" w:cs="Arial"/>
                <w:sz w:val="20"/>
              </w:rPr>
            </w:pPr>
            <w:r w:rsidRPr="00E93B5D">
              <w:rPr>
                <w:rFonts w:ascii="Arial" w:hAnsi="Arial" w:cs="Arial"/>
                <w:sz w:val="20"/>
              </w:rPr>
              <w:t>1.41E-5</w:t>
            </w:r>
          </w:p>
        </w:tc>
        <w:tc>
          <w:tcPr>
            <w:tcW w:w="1260" w:type="dxa"/>
            <w:tcBorders>
              <w:top w:val="single" w:sz="4" w:space="0" w:color="auto"/>
              <w:left w:val="single" w:sz="4" w:space="0" w:color="auto"/>
              <w:bottom w:val="single" w:sz="4" w:space="0" w:color="auto"/>
              <w:right w:val="single" w:sz="4" w:space="0" w:color="auto"/>
            </w:tcBorders>
            <w:hideMark/>
          </w:tcPr>
          <w:p w14:paraId="66098B71" w14:textId="77777777" w:rsidR="00E93B5D" w:rsidRPr="00E93B5D" w:rsidRDefault="00E93B5D" w:rsidP="00E93B5D">
            <w:pPr>
              <w:pStyle w:val="Body"/>
              <w:rPr>
                <w:rFonts w:ascii="Arial" w:hAnsi="Arial" w:cs="Arial"/>
                <w:sz w:val="20"/>
              </w:rPr>
            </w:pPr>
            <w:r w:rsidRPr="00E93B5D">
              <w:rPr>
                <w:rFonts w:ascii="Arial" w:hAnsi="Arial" w:cs="Arial"/>
                <w:sz w:val="20"/>
              </w:rPr>
              <w:t>2.31E-5</w:t>
            </w:r>
          </w:p>
        </w:tc>
      </w:tr>
      <w:tr w:rsidR="00E93B5D" w:rsidRPr="00E93B5D" w14:paraId="4A65B0EE"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41D6A54"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784F92D" w14:textId="77777777" w:rsidR="00E93B5D" w:rsidRPr="00E93B5D" w:rsidRDefault="00E93B5D" w:rsidP="00E93B5D">
            <w:pPr>
              <w:pStyle w:val="Body"/>
              <w:rPr>
                <w:rFonts w:ascii="Arial" w:hAnsi="Arial" w:cs="Arial"/>
                <w:sz w:val="20"/>
              </w:rPr>
            </w:pPr>
            <w:r w:rsidRPr="00E93B5D">
              <w:rPr>
                <w:rFonts w:ascii="Arial" w:hAnsi="Arial" w:cs="Arial"/>
                <w:sz w:val="20"/>
              </w:rPr>
              <w:t>6.07E-8</w:t>
            </w:r>
          </w:p>
        </w:tc>
        <w:tc>
          <w:tcPr>
            <w:tcW w:w="1170" w:type="dxa"/>
            <w:tcBorders>
              <w:top w:val="single" w:sz="4" w:space="0" w:color="auto"/>
              <w:left w:val="single" w:sz="4" w:space="0" w:color="auto"/>
              <w:bottom w:val="single" w:sz="4" w:space="0" w:color="auto"/>
              <w:right w:val="single" w:sz="4" w:space="0" w:color="auto"/>
            </w:tcBorders>
            <w:hideMark/>
          </w:tcPr>
          <w:p w14:paraId="0357F2F7" w14:textId="77777777" w:rsidR="00E93B5D" w:rsidRPr="00E93B5D" w:rsidRDefault="00E93B5D" w:rsidP="00E93B5D">
            <w:pPr>
              <w:pStyle w:val="Body"/>
              <w:rPr>
                <w:rFonts w:ascii="Arial" w:hAnsi="Arial" w:cs="Arial"/>
                <w:sz w:val="20"/>
              </w:rPr>
            </w:pPr>
            <w:r w:rsidRPr="00E93B5D">
              <w:rPr>
                <w:rFonts w:ascii="Arial" w:hAnsi="Arial" w:cs="Arial"/>
                <w:sz w:val="20"/>
              </w:rPr>
              <w:t>8.38E-8</w:t>
            </w:r>
          </w:p>
        </w:tc>
        <w:tc>
          <w:tcPr>
            <w:tcW w:w="1170" w:type="dxa"/>
            <w:tcBorders>
              <w:top w:val="single" w:sz="4" w:space="0" w:color="auto"/>
              <w:left w:val="single" w:sz="4" w:space="0" w:color="auto"/>
              <w:bottom w:val="single" w:sz="4" w:space="0" w:color="auto"/>
              <w:right w:val="single" w:sz="4" w:space="0" w:color="auto"/>
            </w:tcBorders>
            <w:hideMark/>
          </w:tcPr>
          <w:p w14:paraId="6010A95F" w14:textId="77777777" w:rsidR="00E93B5D" w:rsidRPr="00E93B5D" w:rsidRDefault="00E93B5D" w:rsidP="00E93B5D">
            <w:pPr>
              <w:pStyle w:val="Body"/>
              <w:rPr>
                <w:rFonts w:ascii="Arial" w:hAnsi="Arial" w:cs="Arial"/>
                <w:sz w:val="20"/>
              </w:rPr>
            </w:pPr>
            <w:r w:rsidRPr="00E93B5D">
              <w:rPr>
                <w:rFonts w:ascii="Arial" w:hAnsi="Arial" w:cs="Arial"/>
                <w:sz w:val="20"/>
              </w:rPr>
              <w:t>1.59E-7</w:t>
            </w:r>
          </w:p>
        </w:tc>
        <w:tc>
          <w:tcPr>
            <w:tcW w:w="1260" w:type="dxa"/>
            <w:tcBorders>
              <w:top w:val="single" w:sz="4" w:space="0" w:color="auto"/>
              <w:left w:val="single" w:sz="4" w:space="0" w:color="auto"/>
              <w:bottom w:val="single" w:sz="4" w:space="0" w:color="auto"/>
              <w:right w:val="single" w:sz="4" w:space="0" w:color="auto"/>
            </w:tcBorders>
            <w:hideMark/>
          </w:tcPr>
          <w:p w14:paraId="7A3E91D3" w14:textId="77777777" w:rsidR="00E93B5D" w:rsidRPr="00E93B5D" w:rsidRDefault="00E93B5D" w:rsidP="00E93B5D">
            <w:pPr>
              <w:pStyle w:val="Body"/>
              <w:rPr>
                <w:rFonts w:ascii="Arial" w:hAnsi="Arial" w:cs="Arial"/>
                <w:sz w:val="20"/>
              </w:rPr>
            </w:pPr>
            <w:r w:rsidRPr="00E93B5D">
              <w:rPr>
                <w:rFonts w:ascii="Arial" w:hAnsi="Arial" w:cs="Arial"/>
                <w:sz w:val="20"/>
              </w:rPr>
              <w:t>1.77E-6</w:t>
            </w:r>
          </w:p>
        </w:tc>
        <w:tc>
          <w:tcPr>
            <w:tcW w:w="1170" w:type="dxa"/>
            <w:tcBorders>
              <w:top w:val="single" w:sz="4" w:space="0" w:color="auto"/>
              <w:left w:val="single" w:sz="4" w:space="0" w:color="auto"/>
              <w:bottom w:val="single" w:sz="4" w:space="0" w:color="auto"/>
              <w:right w:val="single" w:sz="4" w:space="0" w:color="auto"/>
            </w:tcBorders>
            <w:hideMark/>
          </w:tcPr>
          <w:p w14:paraId="4D6D5692" w14:textId="77777777" w:rsidR="00E93B5D" w:rsidRPr="00E93B5D" w:rsidRDefault="00E93B5D" w:rsidP="00E93B5D">
            <w:pPr>
              <w:pStyle w:val="Body"/>
              <w:rPr>
                <w:rFonts w:ascii="Arial" w:hAnsi="Arial" w:cs="Arial"/>
                <w:sz w:val="20"/>
              </w:rPr>
            </w:pPr>
            <w:r w:rsidRPr="00E93B5D">
              <w:rPr>
                <w:rFonts w:ascii="Arial" w:hAnsi="Arial" w:cs="Arial"/>
                <w:sz w:val="20"/>
              </w:rPr>
              <w:t>2.44E-7</w:t>
            </w:r>
          </w:p>
        </w:tc>
        <w:tc>
          <w:tcPr>
            <w:tcW w:w="1260" w:type="dxa"/>
            <w:tcBorders>
              <w:top w:val="single" w:sz="4" w:space="0" w:color="auto"/>
              <w:left w:val="single" w:sz="4" w:space="0" w:color="auto"/>
              <w:bottom w:val="single" w:sz="4" w:space="0" w:color="auto"/>
              <w:right w:val="single" w:sz="4" w:space="0" w:color="auto"/>
            </w:tcBorders>
            <w:hideMark/>
          </w:tcPr>
          <w:p w14:paraId="769EEFE2" w14:textId="77777777" w:rsidR="00E93B5D" w:rsidRPr="00E93B5D" w:rsidRDefault="00E93B5D" w:rsidP="00E93B5D">
            <w:pPr>
              <w:pStyle w:val="Body"/>
              <w:rPr>
                <w:rFonts w:ascii="Arial" w:hAnsi="Arial" w:cs="Arial"/>
                <w:sz w:val="20"/>
              </w:rPr>
            </w:pPr>
            <w:r w:rsidRPr="00E93B5D">
              <w:rPr>
                <w:rFonts w:ascii="Arial" w:hAnsi="Arial" w:cs="Arial"/>
                <w:sz w:val="20"/>
              </w:rPr>
              <w:t>4.63E-7</w:t>
            </w:r>
          </w:p>
        </w:tc>
      </w:tr>
      <w:tr w:rsidR="00E93B5D" w:rsidRPr="00E93B5D" w14:paraId="3EA6CADB"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3A416FCE"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7B6B0767" w14:textId="77777777" w:rsidR="00E93B5D" w:rsidRPr="00E93B5D" w:rsidRDefault="00E93B5D" w:rsidP="00E93B5D">
            <w:pPr>
              <w:pStyle w:val="Body"/>
              <w:rPr>
                <w:rFonts w:ascii="Arial" w:hAnsi="Arial" w:cs="Arial"/>
                <w:sz w:val="20"/>
              </w:rPr>
            </w:pPr>
            <w:r w:rsidRPr="00E93B5D">
              <w:rPr>
                <w:rFonts w:ascii="Arial" w:hAnsi="Arial" w:cs="Arial"/>
                <w:sz w:val="20"/>
              </w:rPr>
              <w:t>1.92E-8</w:t>
            </w:r>
          </w:p>
        </w:tc>
        <w:tc>
          <w:tcPr>
            <w:tcW w:w="1170" w:type="dxa"/>
            <w:tcBorders>
              <w:top w:val="single" w:sz="4" w:space="0" w:color="auto"/>
              <w:left w:val="single" w:sz="4" w:space="0" w:color="auto"/>
              <w:bottom w:val="single" w:sz="4" w:space="0" w:color="auto"/>
              <w:right w:val="single" w:sz="4" w:space="0" w:color="auto"/>
            </w:tcBorders>
            <w:hideMark/>
          </w:tcPr>
          <w:p w14:paraId="5407E4E4" w14:textId="77777777" w:rsidR="00E93B5D" w:rsidRPr="00E93B5D" w:rsidRDefault="00E93B5D" w:rsidP="00E93B5D">
            <w:pPr>
              <w:pStyle w:val="Body"/>
              <w:rPr>
                <w:rFonts w:ascii="Arial" w:hAnsi="Arial" w:cs="Arial"/>
                <w:sz w:val="20"/>
              </w:rPr>
            </w:pPr>
            <w:r w:rsidRPr="00E93B5D">
              <w:rPr>
                <w:rFonts w:ascii="Arial" w:hAnsi="Arial" w:cs="Arial"/>
                <w:sz w:val="20"/>
              </w:rPr>
              <w:t>9.63E-9</w:t>
            </w:r>
          </w:p>
        </w:tc>
        <w:tc>
          <w:tcPr>
            <w:tcW w:w="1170" w:type="dxa"/>
            <w:tcBorders>
              <w:top w:val="single" w:sz="4" w:space="0" w:color="auto"/>
              <w:left w:val="single" w:sz="4" w:space="0" w:color="auto"/>
              <w:bottom w:val="single" w:sz="4" w:space="0" w:color="auto"/>
              <w:right w:val="single" w:sz="4" w:space="0" w:color="auto"/>
            </w:tcBorders>
            <w:hideMark/>
          </w:tcPr>
          <w:p w14:paraId="4DE4DD03"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260" w:type="dxa"/>
            <w:tcBorders>
              <w:top w:val="single" w:sz="4" w:space="0" w:color="auto"/>
              <w:left w:val="single" w:sz="4" w:space="0" w:color="auto"/>
              <w:bottom w:val="single" w:sz="4" w:space="0" w:color="auto"/>
              <w:right w:val="single" w:sz="4" w:space="0" w:color="auto"/>
            </w:tcBorders>
            <w:hideMark/>
          </w:tcPr>
          <w:p w14:paraId="5FFFA24A" w14:textId="77777777" w:rsidR="00E93B5D" w:rsidRPr="00E93B5D" w:rsidRDefault="00E93B5D" w:rsidP="00E93B5D">
            <w:pPr>
              <w:pStyle w:val="Body"/>
              <w:rPr>
                <w:rFonts w:ascii="Arial" w:hAnsi="Arial" w:cs="Arial"/>
                <w:sz w:val="20"/>
              </w:rPr>
            </w:pPr>
            <w:r w:rsidRPr="00E93B5D">
              <w:rPr>
                <w:rFonts w:ascii="Arial" w:hAnsi="Arial" w:cs="Arial"/>
                <w:sz w:val="20"/>
              </w:rPr>
              <w:t>5.62E-8</w:t>
            </w:r>
          </w:p>
        </w:tc>
        <w:tc>
          <w:tcPr>
            <w:tcW w:w="1170" w:type="dxa"/>
            <w:tcBorders>
              <w:top w:val="single" w:sz="4" w:space="0" w:color="auto"/>
              <w:left w:val="single" w:sz="4" w:space="0" w:color="auto"/>
              <w:bottom w:val="single" w:sz="4" w:space="0" w:color="auto"/>
              <w:right w:val="single" w:sz="4" w:space="0" w:color="auto"/>
            </w:tcBorders>
            <w:hideMark/>
          </w:tcPr>
          <w:p w14:paraId="6D01E7CB" w14:textId="77777777" w:rsidR="00E93B5D" w:rsidRPr="00E93B5D" w:rsidRDefault="00E93B5D" w:rsidP="00E93B5D">
            <w:pPr>
              <w:pStyle w:val="Body"/>
              <w:rPr>
                <w:rFonts w:ascii="Arial" w:hAnsi="Arial" w:cs="Arial"/>
                <w:sz w:val="20"/>
              </w:rPr>
            </w:pPr>
            <w:r w:rsidRPr="00E93B5D">
              <w:rPr>
                <w:rFonts w:ascii="Arial" w:hAnsi="Arial" w:cs="Arial"/>
                <w:sz w:val="20"/>
              </w:rPr>
              <w:t>2.81E-8</w:t>
            </w:r>
          </w:p>
        </w:tc>
        <w:tc>
          <w:tcPr>
            <w:tcW w:w="1260" w:type="dxa"/>
            <w:tcBorders>
              <w:top w:val="single" w:sz="4" w:space="0" w:color="auto"/>
              <w:left w:val="single" w:sz="4" w:space="0" w:color="auto"/>
              <w:bottom w:val="single" w:sz="4" w:space="0" w:color="auto"/>
              <w:right w:val="single" w:sz="4" w:space="0" w:color="auto"/>
            </w:tcBorders>
            <w:hideMark/>
          </w:tcPr>
          <w:p w14:paraId="7D263AB2"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r>
      <w:tr w:rsidR="00E93B5D" w:rsidRPr="00E93B5D" w14:paraId="48416A9E"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1FC107B5"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4B515D8E" w14:textId="77777777" w:rsidR="00E93B5D" w:rsidRPr="00E93B5D" w:rsidRDefault="00E93B5D" w:rsidP="00E93B5D">
            <w:pPr>
              <w:pStyle w:val="Body"/>
              <w:rPr>
                <w:rFonts w:ascii="Arial" w:hAnsi="Arial" w:cs="Arial"/>
                <w:sz w:val="20"/>
              </w:rPr>
            </w:pPr>
            <w:r w:rsidRPr="00E93B5D">
              <w:rPr>
                <w:rFonts w:ascii="Arial" w:hAnsi="Arial" w:cs="Arial"/>
                <w:sz w:val="20"/>
              </w:rPr>
              <w:t>2.89E-7</w:t>
            </w:r>
          </w:p>
        </w:tc>
        <w:tc>
          <w:tcPr>
            <w:tcW w:w="1170" w:type="dxa"/>
            <w:tcBorders>
              <w:top w:val="single" w:sz="4" w:space="0" w:color="auto"/>
              <w:left w:val="single" w:sz="4" w:space="0" w:color="auto"/>
              <w:bottom w:val="single" w:sz="4" w:space="0" w:color="auto"/>
              <w:right w:val="single" w:sz="4" w:space="0" w:color="auto"/>
            </w:tcBorders>
            <w:hideMark/>
          </w:tcPr>
          <w:p w14:paraId="0B7EF046" w14:textId="77777777" w:rsidR="00E93B5D" w:rsidRPr="00E93B5D" w:rsidRDefault="00E93B5D" w:rsidP="00E93B5D">
            <w:pPr>
              <w:pStyle w:val="Body"/>
              <w:rPr>
                <w:rFonts w:ascii="Arial" w:hAnsi="Arial" w:cs="Arial"/>
                <w:sz w:val="20"/>
              </w:rPr>
            </w:pPr>
            <w:r w:rsidRPr="00E93B5D">
              <w:rPr>
                <w:rFonts w:ascii="Arial" w:hAnsi="Arial" w:cs="Arial"/>
                <w:sz w:val="20"/>
              </w:rPr>
              <w:t>1.54E-6</w:t>
            </w:r>
          </w:p>
        </w:tc>
        <w:tc>
          <w:tcPr>
            <w:tcW w:w="1170" w:type="dxa"/>
            <w:tcBorders>
              <w:top w:val="single" w:sz="4" w:space="0" w:color="auto"/>
              <w:left w:val="single" w:sz="4" w:space="0" w:color="auto"/>
              <w:bottom w:val="single" w:sz="4" w:space="0" w:color="auto"/>
              <w:right w:val="single" w:sz="4" w:space="0" w:color="auto"/>
            </w:tcBorders>
            <w:hideMark/>
          </w:tcPr>
          <w:p w14:paraId="1FD45F2F" w14:textId="77777777" w:rsidR="00E93B5D" w:rsidRPr="00E93B5D" w:rsidRDefault="00E93B5D" w:rsidP="00E93B5D">
            <w:pPr>
              <w:pStyle w:val="Body"/>
              <w:rPr>
                <w:rFonts w:ascii="Arial" w:hAnsi="Arial" w:cs="Arial"/>
                <w:sz w:val="20"/>
              </w:rPr>
            </w:pPr>
            <w:r w:rsidRPr="00E93B5D">
              <w:rPr>
                <w:rFonts w:ascii="Arial" w:hAnsi="Arial" w:cs="Arial"/>
                <w:sz w:val="20"/>
              </w:rPr>
              <w:t>2.69E-6</w:t>
            </w:r>
          </w:p>
        </w:tc>
        <w:tc>
          <w:tcPr>
            <w:tcW w:w="1260" w:type="dxa"/>
            <w:tcBorders>
              <w:top w:val="single" w:sz="4" w:space="0" w:color="auto"/>
              <w:left w:val="single" w:sz="4" w:space="0" w:color="auto"/>
              <w:bottom w:val="single" w:sz="4" w:space="0" w:color="auto"/>
              <w:right w:val="single" w:sz="4" w:space="0" w:color="auto"/>
            </w:tcBorders>
            <w:hideMark/>
          </w:tcPr>
          <w:p w14:paraId="315458EE" w14:textId="77777777" w:rsidR="00E93B5D" w:rsidRPr="00E93B5D" w:rsidRDefault="00E93B5D" w:rsidP="00E93B5D">
            <w:pPr>
              <w:pStyle w:val="Body"/>
              <w:rPr>
                <w:rFonts w:ascii="Arial" w:hAnsi="Arial" w:cs="Arial"/>
                <w:sz w:val="20"/>
              </w:rPr>
            </w:pPr>
            <w:r w:rsidRPr="00E93B5D">
              <w:rPr>
                <w:rFonts w:ascii="Arial" w:hAnsi="Arial" w:cs="Arial"/>
                <w:sz w:val="20"/>
              </w:rPr>
              <w:t>8.42E-7</w:t>
            </w:r>
          </w:p>
        </w:tc>
        <w:tc>
          <w:tcPr>
            <w:tcW w:w="1170" w:type="dxa"/>
            <w:tcBorders>
              <w:top w:val="single" w:sz="4" w:space="0" w:color="auto"/>
              <w:left w:val="single" w:sz="4" w:space="0" w:color="auto"/>
              <w:bottom w:val="single" w:sz="4" w:space="0" w:color="auto"/>
              <w:right w:val="single" w:sz="4" w:space="0" w:color="auto"/>
            </w:tcBorders>
            <w:hideMark/>
          </w:tcPr>
          <w:p w14:paraId="0BE4678C" w14:textId="77777777" w:rsidR="00E93B5D" w:rsidRPr="00E93B5D" w:rsidRDefault="00E93B5D" w:rsidP="00E93B5D">
            <w:pPr>
              <w:pStyle w:val="Body"/>
              <w:rPr>
                <w:rFonts w:ascii="Arial" w:hAnsi="Arial" w:cs="Arial"/>
                <w:sz w:val="20"/>
              </w:rPr>
            </w:pPr>
            <w:r w:rsidRPr="00E93B5D">
              <w:rPr>
                <w:rFonts w:ascii="Arial" w:hAnsi="Arial" w:cs="Arial"/>
                <w:sz w:val="20"/>
              </w:rPr>
              <w:t>4.40E-6</w:t>
            </w:r>
          </w:p>
        </w:tc>
        <w:tc>
          <w:tcPr>
            <w:tcW w:w="1260" w:type="dxa"/>
            <w:tcBorders>
              <w:top w:val="single" w:sz="4" w:space="0" w:color="auto"/>
              <w:left w:val="single" w:sz="4" w:space="0" w:color="auto"/>
              <w:bottom w:val="single" w:sz="4" w:space="0" w:color="auto"/>
              <w:right w:val="single" w:sz="4" w:space="0" w:color="auto"/>
            </w:tcBorders>
            <w:hideMark/>
          </w:tcPr>
          <w:p w14:paraId="54652B78" w14:textId="77777777" w:rsidR="00E93B5D" w:rsidRPr="00E93B5D" w:rsidRDefault="00E93B5D" w:rsidP="00E93B5D">
            <w:pPr>
              <w:pStyle w:val="Body"/>
              <w:rPr>
                <w:rFonts w:ascii="Arial" w:hAnsi="Arial" w:cs="Arial"/>
                <w:sz w:val="20"/>
              </w:rPr>
            </w:pPr>
            <w:r w:rsidRPr="00E93B5D">
              <w:rPr>
                <w:rFonts w:ascii="Arial" w:hAnsi="Arial" w:cs="Arial"/>
                <w:sz w:val="20"/>
              </w:rPr>
              <w:t>7.80E-6</w:t>
            </w:r>
          </w:p>
        </w:tc>
      </w:tr>
      <w:tr w:rsidR="00E93B5D" w:rsidRPr="00E93B5D" w14:paraId="1420E617"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10A408F1"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7FF7BB59"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170" w:type="dxa"/>
            <w:tcBorders>
              <w:top w:val="single" w:sz="4" w:space="0" w:color="auto"/>
              <w:left w:val="single" w:sz="4" w:space="0" w:color="auto"/>
              <w:bottom w:val="single" w:sz="4" w:space="0" w:color="auto"/>
              <w:right w:val="single" w:sz="4" w:space="0" w:color="auto"/>
            </w:tcBorders>
            <w:hideMark/>
          </w:tcPr>
          <w:p w14:paraId="5DDB2F34"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170" w:type="dxa"/>
            <w:tcBorders>
              <w:top w:val="single" w:sz="4" w:space="0" w:color="auto"/>
              <w:left w:val="single" w:sz="4" w:space="0" w:color="auto"/>
              <w:bottom w:val="single" w:sz="4" w:space="0" w:color="auto"/>
              <w:right w:val="single" w:sz="4" w:space="0" w:color="auto"/>
            </w:tcBorders>
            <w:hideMark/>
          </w:tcPr>
          <w:p w14:paraId="3CAED10E" w14:textId="77777777" w:rsidR="00E93B5D" w:rsidRPr="00E93B5D" w:rsidRDefault="00E93B5D" w:rsidP="00E93B5D">
            <w:pPr>
              <w:pStyle w:val="Body"/>
              <w:rPr>
                <w:rFonts w:ascii="Arial" w:hAnsi="Arial" w:cs="Arial"/>
                <w:sz w:val="20"/>
              </w:rPr>
            </w:pPr>
            <w:r w:rsidRPr="00E93B5D">
              <w:rPr>
                <w:rFonts w:ascii="Arial" w:hAnsi="Arial" w:cs="Arial"/>
                <w:sz w:val="20"/>
              </w:rPr>
              <w:t>2.89E-8</w:t>
            </w:r>
          </w:p>
        </w:tc>
        <w:tc>
          <w:tcPr>
            <w:tcW w:w="1260" w:type="dxa"/>
            <w:tcBorders>
              <w:top w:val="single" w:sz="4" w:space="0" w:color="auto"/>
              <w:left w:val="single" w:sz="4" w:space="0" w:color="auto"/>
              <w:bottom w:val="single" w:sz="4" w:space="0" w:color="auto"/>
              <w:right w:val="single" w:sz="4" w:space="0" w:color="auto"/>
            </w:tcBorders>
            <w:hideMark/>
          </w:tcPr>
          <w:p w14:paraId="1996E6E5"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c>
          <w:tcPr>
            <w:tcW w:w="1170" w:type="dxa"/>
            <w:tcBorders>
              <w:top w:val="single" w:sz="4" w:space="0" w:color="auto"/>
              <w:left w:val="single" w:sz="4" w:space="0" w:color="auto"/>
              <w:bottom w:val="single" w:sz="4" w:space="0" w:color="auto"/>
              <w:right w:val="single" w:sz="4" w:space="0" w:color="auto"/>
            </w:tcBorders>
            <w:hideMark/>
          </w:tcPr>
          <w:p w14:paraId="4D24ACBE"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c>
          <w:tcPr>
            <w:tcW w:w="1260" w:type="dxa"/>
            <w:tcBorders>
              <w:top w:val="single" w:sz="4" w:space="0" w:color="auto"/>
              <w:left w:val="single" w:sz="4" w:space="0" w:color="auto"/>
              <w:bottom w:val="single" w:sz="4" w:space="0" w:color="auto"/>
              <w:right w:val="single" w:sz="4" w:space="0" w:color="auto"/>
            </w:tcBorders>
            <w:hideMark/>
          </w:tcPr>
          <w:p w14:paraId="1303CECA" w14:textId="77777777" w:rsidR="00E93B5D" w:rsidRPr="00E93B5D" w:rsidRDefault="00E93B5D" w:rsidP="00E93B5D">
            <w:pPr>
              <w:pStyle w:val="Body"/>
              <w:rPr>
                <w:rFonts w:ascii="Arial" w:hAnsi="Arial" w:cs="Arial"/>
                <w:sz w:val="20"/>
              </w:rPr>
            </w:pPr>
            <w:r w:rsidRPr="00E93B5D">
              <w:rPr>
                <w:rFonts w:ascii="Arial" w:hAnsi="Arial" w:cs="Arial"/>
                <w:sz w:val="20"/>
              </w:rPr>
              <w:t>8.43E-8</w:t>
            </w:r>
          </w:p>
        </w:tc>
      </w:tr>
      <w:tr w:rsidR="00E93B5D" w:rsidRPr="00E93B5D" w14:paraId="5430C21C"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D27B781"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1342" w:type="dxa"/>
            <w:tcBorders>
              <w:top w:val="single" w:sz="4" w:space="0" w:color="auto"/>
              <w:left w:val="single" w:sz="4" w:space="0" w:color="auto"/>
              <w:bottom w:val="single" w:sz="4" w:space="0" w:color="auto"/>
              <w:right w:val="single" w:sz="4" w:space="0" w:color="auto"/>
            </w:tcBorders>
            <w:hideMark/>
          </w:tcPr>
          <w:p w14:paraId="07B79DB8" w14:textId="77777777" w:rsidR="00E93B5D" w:rsidRPr="00E93B5D" w:rsidRDefault="00E93B5D" w:rsidP="00E93B5D">
            <w:pPr>
              <w:pStyle w:val="Body"/>
              <w:rPr>
                <w:rFonts w:ascii="Arial" w:hAnsi="Arial" w:cs="Arial"/>
                <w:sz w:val="20"/>
              </w:rPr>
            </w:pPr>
            <w:r w:rsidRPr="00E93B5D">
              <w:rPr>
                <w:rFonts w:ascii="Arial" w:hAnsi="Arial" w:cs="Arial"/>
                <w:sz w:val="20"/>
              </w:rPr>
              <w:t>1.94E-6</w:t>
            </w:r>
          </w:p>
        </w:tc>
        <w:tc>
          <w:tcPr>
            <w:tcW w:w="1170" w:type="dxa"/>
            <w:tcBorders>
              <w:top w:val="single" w:sz="4" w:space="0" w:color="auto"/>
              <w:left w:val="single" w:sz="4" w:space="0" w:color="auto"/>
              <w:bottom w:val="single" w:sz="4" w:space="0" w:color="auto"/>
              <w:right w:val="single" w:sz="4" w:space="0" w:color="auto"/>
            </w:tcBorders>
            <w:hideMark/>
          </w:tcPr>
          <w:p w14:paraId="2A2A44C2" w14:textId="77777777" w:rsidR="00E93B5D" w:rsidRPr="00E93B5D" w:rsidRDefault="00E93B5D" w:rsidP="00E93B5D">
            <w:pPr>
              <w:pStyle w:val="Body"/>
              <w:rPr>
                <w:rFonts w:ascii="Arial" w:hAnsi="Arial" w:cs="Arial"/>
                <w:sz w:val="20"/>
              </w:rPr>
            </w:pPr>
            <w:r w:rsidRPr="00E93B5D">
              <w:rPr>
                <w:rFonts w:ascii="Arial" w:hAnsi="Arial" w:cs="Arial"/>
                <w:sz w:val="20"/>
              </w:rPr>
              <w:t>7.03E-7</w:t>
            </w:r>
          </w:p>
        </w:tc>
        <w:tc>
          <w:tcPr>
            <w:tcW w:w="1170" w:type="dxa"/>
            <w:tcBorders>
              <w:top w:val="single" w:sz="4" w:space="0" w:color="auto"/>
              <w:left w:val="single" w:sz="4" w:space="0" w:color="auto"/>
              <w:bottom w:val="single" w:sz="4" w:space="0" w:color="auto"/>
              <w:right w:val="single" w:sz="4" w:space="0" w:color="auto"/>
            </w:tcBorders>
            <w:hideMark/>
          </w:tcPr>
          <w:p w14:paraId="329C80B2" w14:textId="77777777" w:rsidR="00E93B5D" w:rsidRPr="00E93B5D" w:rsidRDefault="00E93B5D" w:rsidP="00E93B5D">
            <w:pPr>
              <w:pStyle w:val="Body"/>
              <w:rPr>
                <w:rFonts w:ascii="Arial" w:hAnsi="Arial" w:cs="Arial"/>
                <w:sz w:val="20"/>
              </w:rPr>
            </w:pPr>
            <w:r w:rsidRPr="00E93B5D">
              <w:rPr>
                <w:rFonts w:ascii="Arial" w:hAnsi="Arial" w:cs="Arial"/>
                <w:sz w:val="20"/>
              </w:rPr>
              <w:t>1.18E-6</w:t>
            </w:r>
          </w:p>
        </w:tc>
        <w:tc>
          <w:tcPr>
            <w:tcW w:w="1260" w:type="dxa"/>
            <w:tcBorders>
              <w:top w:val="single" w:sz="4" w:space="0" w:color="auto"/>
              <w:left w:val="single" w:sz="4" w:space="0" w:color="auto"/>
              <w:bottom w:val="single" w:sz="4" w:space="0" w:color="auto"/>
              <w:right w:val="single" w:sz="4" w:space="0" w:color="auto"/>
            </w:tcBorders>
            <w:hideMark/>
          </w:tcPr>
          <w:p w14:paraId="39020BAD" w14:textId="77777777" w:rsidR="00E93B5D" w:rsidRPr="00E93B5D" w:rsidRDefault="00E93B5D" w:rsidP="00E93B5D">
            <w:pPr>
              <w:pStyle w:val="Body"/>
              <w:rPr>
                <w:rFonts w:ascii="Arial" w:hAnsi="Arial" w:cs="Arial"/>
                <w:sz w:val="20"/>
              </w:rPr>
            </w:pPr>
            <w:r w:rsidRPr="00E93B5D">
              <w:rPr>
                <w:rFonts w:ascii="Arial" w:hAnsi="Arial" w:cs="Arial"/>
                <w:sz w:val="20"/>
              </w:rPr>
              <w:t>5.67E-6</w:t>
            </w:r>
          </w:p>
        </w:tc>
        <w:tc>
          <w:tcPr>
            <w:tcW w:w="1170" w:type="dxa"/>
            <w:tcBorders>
              <w:top w:val="single" w:sz="4" w:space="0" w:color="auto"/>
              <w:left w:val="single" w:sz="4" w:space="0" w:color="auto"/>
              <w:bottom w:val="single" w:sz="4" w:space="0" w:color="auto"/>
              <w:right w:val="single" w:sz="4" w:space="0" w:color="auto"/>
            </w:tcBorders>
            <w:hideMark/>
          </w:tcPr>
          <w:p w14:paraId="1E86AB9D" w14:textId="77777777" w:rsidR="00E93B5D" w:rsidRPr="00E93B5D" w:rsidRDefault="00E93B5D" w:rsidP="00E93B5D">
            <w:pPr>
              <w:pStyle w:val="Body"/>
              <w:rPr>
                <w:rFonts w:ascii="Arial" w:hAnsi="Arial" w:cs="Arial"/>
                <w:sz w:val="20"/>
              </w:rPr>
            </w:pPr>
            <w:r w:rsidRPr="00E93B5D">
              <w:rPr>
                <w:rFonts w:ascii="Arial" w:hAnsi="Arial" w:cs="Arial"/>
                <w:sz w:val="20"/>
              </w:rPr>
              <w:t>2.05E-6</w:t>
            </w:r>
          </w:p>
        </w:tc>
        <w:tc>
          <w:tcPr>
            <w:tcW w:w="1260" w:type="dxa"/>
            <w:tcBorders>
              <w:top w:val="single" w:sz="4" w:space="0" w:color="auto"/>
              <w:left w:val="single" w:sz="4" w:space="0" w:color="auto"/>
              <w:bottom w:val="single" w:sz="4" w:space="0" w:color="auto"/>
              <w:right w:val="single" w:sz="4" w:space="0" w:color="auto"/>
            </w:tcBorders>
            <w:hideMark/>
          </w:tcPr>
          <w:p w14:paraId="2F726F9E" w14:textId="77777777" w:rsidR="00E93B5D" w:rsidRPr="00E93B5D" w:rsidRDefault="00E93B5D" w:rsidP="00E93B5D">
            <w:pPr>
              <w:pStyle w:val="Body"/>
              <w:rPr>
                <w:rFonts w:ascii="Arial" w:hAnsi="Arial" w:cs="Arial"/>
                <w:sz w:val="20"/>
              </w:rPr>
            </w:pPr>
            <w:r w:rsidRPr="00E93B5D">
              <w:rPr>
                <w:rFonts w:ascii="Arial" w:hAnsi="Arial" w:cs="Arial"/>
                <w:sz w:val="20"/>
              </w:rPr>
              <w:t>3.45E-6</w:t>
            </w:r>
          </w:p>
        </w:tc>
      </w:tr>
      <w:tr w:rsidR="00E93B5D" w:rsidRPr="00E93B5D" w14:paraId="7EA9B4CA"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6D939179"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5140BEF9" w14:textId="77777777" w:rsidR="00E93B5D" w:rsidRPr="00E93B5D" w:rsidRDefault="00E93B5D" w:rsidP="00E93B5D">
            <w:pPr>
              <w:pStyle w:val="Body"/>
              <w:rPr>
                <w:rFonts w:ascii="Arial" w:hAnsi="Arial" w:cs="Arial"/>
                <w:sz w:val="20"/>
              </w:rPr>
            </w:pPr>
            <w:r w:rsidRPr="00E93B5D">
              <w:rPr>
                <w:rFonts w:ascii="Arial" w:hAnsi="Arial" w:cs="Arial"/>
                <w:sz w:val="20"/>
              </w:rPr>
              <w:t>3.67E-6</w:t>
            </w:r>
          </w:p>
        </w:tc>
        <w:tc>
          <w:tcPr>
            <w:tcW w:w="1170" w:type="dxa"/>
            <w:tcBorders>
              <w:top w:val="single" w:sz="4" w:space="0" w:color="auto"/>
              <w:left w:val="single" w:sz="4" w:space="0" w:color="auto"/>
              <w:bottom w:val="single" w:sz="4" w:space="0" w:color="auto"/>
              <w:right w:val="single" w:sz="4" w:space="0" w:color="auto"/>
            </w:tcBorders>
            <w:hideMark/>
          </w:tcPr>
          <w:p w14:paraId="3BEB4594" w14:textId="77777777" w:rsidR="00E93B5D" w:rsidRPr="00E93B5D" w:rsidRDefault="00E93B5D" w:rsidP="00E93B5D">
            <w:pPr>
              <w:pStyle w:val="Body"/>
              <w:rPr>
                <w:rFonts w:ascii="Arial" w:hAnsi="Arial" w:cs="Arial"/>
                <w:sz w:val="20"/>
              </w:rPr>
            </w:pPr>
            <w:r w:rsidRPr="00E93B5D">
              <w:rPr>
                <w:rFonts w:ascii="Arial" w:hAnsi="Arial" w:cs="Arial"/>
                <w:sz w:val="20"/>
              </w:rPr>
              <w:t>2.73E-6</w:t>
            </w:r>
          </w:p>
        </w:tc>
        <w:tc>
          <w:tcPr>
            <w:tcW w:w="1170" w:type="dxa"/>
            <w:tcBorders>
              <w:top w:val="single" w:sz="4" w:space="0" w:color="auto"/>
              <w:left w:val="single" w:sz="4" w:space="0" w:color="auto"/>
              <w:bottom w:val="single" w:sz="4" w:space="0" w:color="auto"/>
              <w:right w:val="single" w:sz="4" w:space="0" w:color="auto"/>
            </w:tcBorders>
            <w:hideMark/>
          </w:tcPr>
          <w:p w14:paraId="4BD9008D" w14:textId="77777777" w:rsidR="00E93B5D" w:rsidRPr="00E93B5D" w:rsidRDefault="00E93B5D" w:rsidP="00E93B5D">
            <w:pPr>
              <w:pStyle w:val="Body"/>
              <w:rPr>
                <w:rFonts w:ascii="Arial" w:hAnsi="Arial" w:cs="Arial"/>
                <w:sz w:val="20"/>
              </w:rPr>
            </w:pPr>
            <w:r w:rsidRPr="00E93B5D">
              <w:rPr>
                <w:rFonts w:ascii="Arial" w:hAnsi="Arial" w:cs="Arial"/>
                <w:sz w:val="20"/>
              </w:rPr>
              <w:t>3.97E-6</w:t>
            </w:r>
          </w:p>
        </w:tc>
        <w:tc>
          <w:tcPr>
            <w:tcW w:w="1260" w:type="dxa"/>
            <w:tcBorders>
              <w:top w:val="single" w:sz="4" w:space="0" w:color="auto"/>
              <w:left w:val="single" w:sz="4" w:space="0" w:color="auto"/>
              <w:bottom w:val="single" w:sz="4" w:space="0" w:color="auto"/>
              <w:right w:val="single" w:sz="4" w:space="0" w:color="auto"/>
            </w:tcBorders>
            <w:hideMark/>
          </w:tcPr>
          <w:p w14:paraId="5EF70D7E" w14:textId="77777777" w:rsidR="00E93B5D" w:rsidRPr="00E93B5D" w:rsidRDefault="00E93B5D" w:rsidP="00E93B5D">
            <w:pPr>
              <w:pStyle w:val="Body"/>
              <w:rPr>
                <w:rFonts w:ascii="Arial" w:hAnsi="Arial" w:cs="Arial"/>
                <w:sz w:val="20"/>
              </w:rPr>
            </w:pPr>
            <w:r w:rsidRPr="00E93B5D">
              <w:rPr>
                <w:rFonts w:ascii="Arial" w:hAnsi="Arial" w:cs="Arial"/>
                <w:sz w:val="20"/>
              </w:rPr>
              <w:t>1.03E-5</w:t>
            </w:r>
          </w:p>
        </w:tc>
        <w:tc>
          <w:tcPr>
            <w:tcW w:w="1170" w:type="dxa"/>
            <w:tcBorders>
              <w:top w:val="single" w:sz="4" w:space="0" w:color="auto"/>
              <w:left w:val="single" w:sz="4" w:space="0" w:color="auto"/>
              <w:bottom w:val="single" w:sz="4" w:space="0" w:color="auto"/>
              <w:right w:val="single" w:sz="4" w:space="0" w:color="auto"/>
            </w:tcBorders>
            <w:hideMark/>
          </w:tcPr>
          <w:p w14:paraId="46CD86AC" w14:textId="77777777" w:rsidR="00E93B5D" w:rsidRPr="00E93B5D" w:rsidRDefault="00E93B5D" w:rsidP="00E93B5D">
            <w:pPr>
              <w:pStyle w:val="Body"/>
              <w:rPr>
                <w:rFonts w:ascii="Arial" w:hAnsi="Arial" w:cs="Arial"/>
                <w:sz w:val="20"/>
              </w:rPr>
            </w:pPr>
            <w:r w:rsidRPr="00E93B5D">
              <w:rPr>
                <w:rFonts w:ascii="Arial" w:hAnsi="Arial" w:cs="Arial"/>
                <w:sz w:val="20"/>
              </w:rPr>
              <w:t>7.98E-6</w:t>
            </w:r>
          </w:p>
        </w:tc>
        <w:tc>
          <w:tcPr>
            <w:tcW w:w="1260" w:type="dxa"/>
            <w:tcBorders>
              <w:top w:val="single" w:sz="4" w:space="0" w:color="auto"/>
              <w:left w:val="single" w:sz="4" w:space="0" w:color="auto"/>
              <w:bottom w:val="single" w:sz="4" w:space="0" w:color="auto"/>
              <w:right w:val="single" w:sz="4" w:space="0" w:color="auto"/>
            </w:tcBorders>
            <w:hideMark/>
          </w:tcPr>
          <w:p w14:paraId="55B43D8A" w14:textId="77777777" w:rsidR="00E93B5D" w:rsidRPr="00E93B5D" w:rsidRDefault="00E93B5D" w:rsidP="00E93B5D">
            <w:pPr>
              <w:pStyle w:val="Body"/>
              <w:rPr>
                <w:rFonts w:ascii="Arial" w:hAnsi="Arial" w:cs="Arial"/>
                <w:sz w:val="20"/>
              </w:rPr>
            </w:pPr>
            <w:r w:rsidRPr="00E93B5D">
              <w:rPr>
                <w:rFonts w:ascii="Arial" w:hAnsi="Arial" w:cs="Arial"/>
                <w:sz w:val="20"/>
              </w:rPr>
              <w:t>1.15E-5</w:t>
            </w:r>
          </w:p>
        </w:tc>
      </w:tr>
      <w:tr w:rsidR="00E93B5D" w:rsidRPr="00E93B5D" w14:paraId="03034AB2" w14:textId="77777777" w:rsidTr="00F276C0">
        <w:tc>
          <w:tcPr>
            <w:tcW w:w="723" w:type="dxa"/>
            <w:tcBorders>
              <w:top w:val="single" w:sz="4" w:space="0" w:color="auto"/>
              <w:left w:val="single" w:sz="4" w:space="0" w:color="auto"/>
              <w:bottom w:val="single" w:sz="4" w:space="0" w:color="auto"/>
              <w:right w:val="single" w:sz="4" w:space="0" w:color="auto"/>
            </w:tcBorders>
          </w:tcPr>
          <w:p w14:paraId="4F89AB88" w14:textId="77777777" w:rsidR="00E93B5D" w:rsidRPr="00E93B5D" w:rsidRDefault="00E93B5D" w:rsidP="00E93B5D">
            <w:pPr>
              <w:pStyle w:val="Body"/>
              <w:rPr>
                <w:rFonts w:ascii="Arial" w:hAnsi="Arial" w:cs="Arial"/>
                <w:sz w:val="20"/>
              </w:rPr>
            </w:pPr>
          </w:p>
        </w:tc>
        <w:tc>
          <w:tcPr>
            <w:tcW w:w="3682" w:type="dxa"/>
            <w:gridSpan w:val="3"/>
            <w:tcBorders>
              <w:top w:val="single" w:sz="4" w:space="0" w:color="auto"/>
              <w:left w:val="single" w:sz="4" w:space="0" w:color="auto"/>
              <w:bottom w:val="single" w:sz="4" w:space="0" w:color="auto"/>
              <w:right w:val="single" w:sz="4" w:space="0" w:color="auto"/>
            </w:tcBorders>
            <w:hideMark/>
          </w:tcPr>
          <w:p w14:paraId="6F866DE0"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c>
          <w:tcPr>
            <w:tcW w:w="3690" w:type="dxa"/>
            <w:gridSpan w:val="3"/>
            <w:tcBorders>
              <w:top w:val="single" w:sz="4" w:space="0" w:color="auto"/>
              <w:left w:val="single" w:sz="4" w:space="0" w:color="auto"/>
              <w:bottom w:val="single" w:sz="4" w:space="0" w:color="auto"/>
              <w:right w:val="single" w:sz="4" w:space="0" w:color="auto"/>
            </w:tcBorders>
            <w:hideMark/>
          </w:tcPr>
          <w:p w14:paraId="133212AE" w14:textId="77777777" w:rsidR="00E93B5D" w:rsidRPr="00E93B5D" w:rsidRDefault="00E93B5D" w:rsidP="00E93B5D">
            <w:pPr>
              <w:pStyle w:val="Body"/>
              <w:rPr>
                <w:rFonts w:ascii="Arial" w:hAnsi="Arial" w:cs="Arial"/>
                <w:b/>
                <w:sz w:val="20"/>
              </w:rPr>
            </w:pPr>
            <w:r w:rsidRPr="00E93B5D">
              <w:rPr>
                <w:rFonts w:ascii="Arial" w:hAnsi="Arial" w:cs="Arial"/>
                <w:b/>
                <w:sz w:val="20"/>
              </w:rPr>
              <w:t>Children</w:t>
            </w:r>
          </w:p>
        </w:tc>
      </w:tr>
      <w:tr w:rsidR="00E93B5D" w:rsidRPr="00E93B5D" w14:paraId="31FF6F90"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30554BF5" w14:textId="77777777" w:rsidR="00E93B5D" w:rsidRPr="00E93B5D" w:rsidRDefault="00E93B5D" w:rsidP="00E93B5D">
            <w:pPr>
              <w:pStyle w:val="Body"/>
              <w:rPr>
                <w:rFonts w:ascii="Arial" w:hAnsi="Arial" w:cs="Arial"/>
                <w:sz w:val="20"/>
              </w:rPr>
            </w:pPr>
            <w:r w:rsidRPr="00E93B5D">
              <w:rPr>
                <w:rFonts w:ascii="Arial" w:hAnsi="Arial" w:cs="Arial"/>
                <w:sz w:val="20"/>
              </w:rPr>
              <w:t>Cr</w:t>
            </w:r>
          </w:p>
        </w:tc>
        <w:tc>
          <w:tcPr>
            <w:tcW w:w="1342" w:type="dxa"/>
            <w:tcBorders>
              <w:top w:val="single" w:sz="4" w:space="0" w:color="auto"/>
              <w:left w:val="single" w:sz="4" w:space="0" w:color="auto"/>
              <w:bottom w:val="single" w:sz="4" w:space="0" w:color="auto"/>
              <w:right w:val="single" w:sz="4" w:space="0" w:color="auto"/>
            </w:tcBorders>
            <w:hideMark/>
          </w:tcPr>
          <w:p w14:paraId="534FBFCF" w14:textId="77777777" w:rsidR="00E93B5D" w:rsidRPr="00E93B5D" w:rsidRDefault="00E93B5D" w:rsidP="00E93B5D">
            <w:pPr>
              <w:pStyle w:val="Body"/>
              <w:rPr>
                <w:rFonts w:ascii="Arial" w:hAnsi="Arial" w:cs="Arial"/>
                <w:sz w:val="20"/>
              </w:rPr>
            </w:pPr>
            <w:r w:rsidRPr="00E93B5D">
              <w:rPr>
                <w:rFonts w:ascii="Arial" w:hAnsi="Arial" w:cs="Arial"/>
                <w:sz w:val="20"/>
              </w:rPr>
              <w:t>4.95E-6</w:t>
            </w:r>
          </w:p>
        </w:tc>
        <w:tc>
          <w:tcPr>
            <w:tcW w:w="1170" w:type="dxa"/>
            <w:tcBorders>
              <w:top w:val="single" w:sz="4" w:space="0" w:color="auto"/>
              <w:left w:val="single" w:sz="4" w:space="0" w:color="auto"/>
              <w:bottom w:val="single" w:sz="4" w:space="0" w:color="auto"/>
              <w:right w:val="single" w:sz="4" w:space="0" w:color="auto"/>
            </w:tcBorders>
            <w:hideMark/>
          </w:tcPr>
          <w:p w14:paraId="357E55D2" w14:textId="77777777" w:rsidR="00E93B5D" w:rsidRPr="00E93B5D" w:rsidRDefault="00E93B5D" w:rsidP="00E93B5D">
            <w:pPr>
              <w:pStyle w:val="Body"/>
              <w:rPr>
                <w:rFonts w:ascii="Arial" w:hAnsi="Arial" w:cs="Arial"/>
                <w:sz w:val="20"/>
              </w:rPr>
            </w:pPr>
            <w:r w:rsidRPr="00E93B5D">
              <w:rPr>
                <w:rFonts w:ascii="Arial" w:hAnsi="Arial" w:cs="Arial"/>
                <w:sz w:val="20"/>
              </w:rPr>
              <w:t>7.92E-6</w:t>
            </w:r>
          </w:p>
        </w:tc>
        <w:tc>
          <w:tcPr>
            <w:tcW w:w="1170" w:type="dxa"/>
            <w:tcBorders>
              <w:top w:val="single" w:sz="4" w:space="0" w:color="auto"/>
              <w:left w:val="single" w:sz="4" w:space="0" w:color="auto"/>
              <w:bottom w:val="single" w:sz="4" w:space="0" w:color="auto"/>
              <w:right w:val="single" w:sz="4" w:space="0" w:color="auto"/>
            </w:tcBorders>
            <w:hideMark/>
          </w:tcPr>
          <w:p w14:paraId="4AAF292A" w14:textId="77777777" w:rsidR="00E93B5D" w:rsidRPr="00E93B5D" w:rsidRDefault="00E93B5D" w:rsidP="00E93B5D">
            <w:pPr>
              <w:pStyle w:val="Body"/>
              <w:rPr>
                <w:rFonts w:ascii="Arial" w:hAnsi="Arial" w:cs="Arial"/>
                <w:sz w:val="20"/>
              </w:rPr>
            </w:pPr>
            <w:r w:rsidRPr="00E93B5D">
              <w:rPr>
                <w:rFonts w:ascii="Arial" w:hAnsi="Arial" w:cs="Arial"/>
                <w:sz w:val="20"/>
              </w:rPr>
              <w:t>1.29E-5</w:t>
            </w:r>
          </w:p>
        </w:tc>
        <w:tc>
          <w:tcPr>
            <w:tcW w:w="1260" w:type="dxa"/>
            <w:tcBorders>
              <w:top w:val="single" w:sz="4" w:space="0" w:color="auto"/>
              <w:left w:val="single" w:sz="4" w:space="0" w:color="auto"/>
              <w:bottom w:val="single" w:sz="4" w:space="0" w:color="auto"/>
              <w:right w:val="single" w:sz="4" w:space="0" w:color="auto"/>
            </w:tcBorders>
            <w:hideMark/>
          </w:tcPr>
          <w:p w14:paraId="3CCAFBDC" w14:textId="77777777" w:rsidR="00E93B5D" w:rsidRPr="00E93B5D" w:rsidRDefault="00E93B5D" w:rsidP="00E93B5D">
            <w:pPr>
              <w:pStyle w:val="Body"/>
              <w:rPr>
                <w:rFonts w:ascii="Arial" w:hAnsi="Arial" w:cs="Arial"/>
                <w:sz w:val="20"/>
              </w:rPr>
            </w:pPr>
            <w:r w:rsidRPr="00E93B5D">
              <w:rPr>
                <w:rFonts w:ascii="Arial" w:hAnsi="Arial" w:cs="Arial"/>
                <w:sz w:val="20"/>
              </w:rPr>
              <w:t>5.78E-5</w:t>
            </w:r>
          </w:p>
        </w:tc>
        <w:tc>
          <w:tcPr>
            <w:tcW w:w="1170" w:type="dxa"/>
            <w:tcBorders>
              <w:top w:val="single" w:sz="4" w:space="0" w:color="auto"/>
              <w:left w:val="single" w:sz="4" w:space="0" w:color="auto"/>
              <w:bottom w:val="single" w:sz="4" w:space="0" w:color="auto"/>
              <w:right w:val="single" w:sz="4" w:space="0" w:color="auto"/>
            </w:tcBorders>
            <w:hideMark/>
          </w:tcPr>
          <w:p w14:paraId="522D0B53" w14:textId="77777777" w:rsidR="00E93B5D" w:rsidRPr="00E93B5D" w:rsidRDefault="00E93B5D" w:rsidP="00E93B5D">
            <w:pPr>
              <w:pStyle w:val="Body"/>
              <w:rPr>
                <w:rFonts w:ascii="Arial" w:hAnsi="Arial" w:cs="Arial"/>
                <w:sz w:val="20"/>
              </w:rPr>
            </w:pPr>
            <w:r w:rsidRPr="00E93B5D">
              <w:rPr>
                <w:rFonts w:ascii="Arial" w:hAnsi="Arial" w:cs="Arial"/>
                <w:sz w:val="20"/>
              </w:rPr>
              <w:t>9.24E-5</w:t>
            </w:r>
          </w:p>
        </w:tc>
        <w:tc>
          <w:tcPr>
            <w:tcW w:w="1260" w:type="dxa"/>
            <w:tcBorders>
              <w:top w:val="single" w:sz="4" w:space="0" w:color="auto"/>
              <w:left w:val="single" w:sz="4" w:space="0" w:color="auto"/>
              <w:bottom w:val="single" w:sz="4" w:space="0" w:color="auto"/>
              <w:right w:val="single" w:sz="4" w:space="0" w:color="auto"/>
            </w:tcBorders>
            <w:hideMark/>
          </w:tcPr>
          <w:p w14:paraId="25185847" w14:textId="77777777" w:rsidR="00E93B5D" w:rsidRPr="00E93B5D" w:rsidRDefault="00E93B5D" w:rsidP="00E93B5D">
            <w:pPr>
              <w:pStyle w:val="Body"/>
              <w:rPr>
                <w:rFonts w:ascii="Arial" w:hAnsi="Arial" w:cs="Arial"/>
                <w:sz w:val="20"/>
              </w:rPr>
            </w:pPr>
            <w:r w:rsidRPr="00E93B5D">
              <w:rPr>
                <w:rFonts w:ascii="Arial" w:hAnsi="Arial" w:cs="Arial"/>
                <w:sz w:val="20"/>
              </w:rPr>
              <w:t>1.51E-4</w:t>
            </w:r>
          </w:p>
        </w:tc>
      </w:tr>
      <w:tr w:rsidR="00E93B5D" w:rsidRPr="00E93B5D" w14:paraId="38E1B9AF"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2F67C400" w14:textId="77777777" w:rsidR="00E93B5D" w:rsidRPr="00E93B5D" w:rsidRDefault="00E93B5D" w:rsidP="00E93B5D">
            <w:pPr>
              <w:pStyle w:val="Body"/>
              <w:rPr>
                <w:rFonts w:ascii="Arial" w:hAnsi="Arial" w:cs="Arial"/>
                <w:sz w:val="20"/>
              </w:rPr>
            </w:pPr>
            <w:r w:rsidRPr="00E93B5D">
              <w:rPr>
                <w:rFonts w:ascii="Arial" w:hAnsi="Arial" w:cs="Arial"/>
                <w:sz w:val="20"/>
              </w:rPr>
              <w:t>Cd</w:t>
            </w:r>
          </w:p>
        </w:tc>
        <w:tc>
          <w:tcPr>
            <w:tcW w:w="1342" w:type="dxa"/>
            <w:tcBorders>
              <w:top w:val="single" w:sz="4" w:space="0" w:color="auto"/>
              <w:left w:val="single" w:sz="4" w:space="0" w:color="auto"/>
              <w:bottom w:val="single" w:sz="4" w:space="0" w:color="auto"/>
              <w:right w:val="single" w:sz="4" w:space="0" w:color="auto"/>
            </w:tcBorders>
            <w:hideMark/>
          </w:tcPr>
          <w:p w14:paraId="3AD701ED" w14:textId="77777777" w:rsidR="00E93B5D" w:rsidRPr="00E93B5D" w:rsidRDefault="00E93B5D" w:rsidP="00E93B5D">
            <w:pPr>
              <w:pStyle w:val="Body"/>
              <w:rPr>
                <w:rFonts w:ascii="Arial" w:hAnsi="Arial" w:cs="Arial"/>
                <w:sz w:val="20"/>
              </w:rPr>
            </w:pPr>
            <w:r w:rsidRPr="00E93B5D">
              <w:rPr>
                <w:rFonts w:ascii="Arial" w:hAnsi="Arial" w:cs="Arial"/>
                <w:sz w:val="20"/>
              </w:rPr>
              <w:t>9.94E-8</w:t>
            </w:r>
          </w:p>
        </w:tc>
        <w:tc>
          <w:tcPr>
            <w:tcW w:w="1170" w:type="dxa"/>
            <w:tcBorders>
              <w:top w:val="single" w:sz="4" w:space="0" w:color="auto"/>
              <w:left w:val="single" w:sz="4" w:space="0" w:color="auto"/>
              <w:bottom w:val="single" w:sz="4" w:space="0" w:color="auto"/>
              <w:right w:val="single" w:sz="4" w:space="0" w:color="auto"/>
            </w:tcBorders>
            <w:hideMark/>
          </w:tcPr>
          <w:p w14:paraId="6571B757" w14:textId="77777777" w:rsidR="00E93B5D" w:rsidRPr="00E93B5D" w:rsidRDefault="00E93B5D" w:rsidP="00E93B5D">
            <w:pPr>
              <w:pStyle w:val="Body"/>
              <w:rPr>
                <w:rFonts w:ascii="Arial" w:hAnsi="Arial" w:cs="Arial"/>
                <w:sz w:val="20"/>
              </w:rPr>
            </w:pPr>
            <w:r w:rsidRPr="00E93B5D">
              <w:rPr>
                <w:rFonts w:ascii="Arial" w:hAnsi="Arial" w:cs="Arial"/>
                <w:sz w:val="20"/>
              </w:rPr>
              <w:t>1.37E-7</w:t>
            </w:r>
          </w:p>
        </w:tc>
        <w:tc>
          <w:tcPr>
            <w:tcW w:w="1170" w:type="dxa"/>
            <w:tcBorders>
              <w:top w:val="single" w:sz="4" w:space="0" w:color="auto"/>
              <w:left w:val="single" w:sz="4" w:space="0" w:color="auto"/>
              <w:bottom w:val="single" w:sz="4" w:space="0" w:color="auto"/>
              <w:right w:val="single" w:sz="4" w:space="0" w:color="auto"/>
            </w:tcBorders>
            <w:hideMark/>
          </w:tcPr>
          <w:p w14:paraId="56936111" w14:textId="77777777" w:rsidR="00E93B5D" w:rsidRPr="00E93B5D" w:rsidRDefault="00E93B5D" w:rsidP="00E93B5D">
            <w:pPr>
              <w:pStyle w:val="Body"/>
              <w:rPr>
                <w:rFonts w:ascii="Arial" w:hAnsi="Arial" w:cs="Arial"/>
                <w:sz w:val="20"/>
              </w:rPr>
            </w:pPr>
            <w:r w:rsidRPr="00E93B5D">
              <w:rPr>
                <w:rFonts w:ascii="Arial" w:hAnsi="Arial" w:cs="Arial"/>
                <w:sz w:val="20"/>
              </w:rPr>
              <w:t>2.60E-7</w:t>
            </w:r>
          </w:p>
        </w:tc>
        <w:tc>
          <w:tcPr>
            <w:tcW w:w="1260" w:type="dxa"/>
            <w:tcBorders>
              <w:top w:val="single" w:sz="4" w:space="0" w:color="auto"/>
              <w:left w:val="single" w:sz="4" w:space="0" w:color="auto"/>
              <w:bottom w:val="single" w:sz="4" w:space="0" w:color="auto"/>
              <w:right w:val="single" w:sz="4" w:space="0" w:color="auto"/>
            </w:tcBorders>
            <w:hideMark/>
          </w:tcPr>
          <w:p w14:paraId="6EFFA88F" w14:textId="77777777" w:rsidR="00E93B5D" w:rsidRPr="00E93B5D" w:rsidRDefault="00E93B5D" w:rsidP="00E93B5D">
            <w:pPr>
              <w:pStyle w:val="Body"/>
              <w:rPr>
                <w:rFonts w:ascii="Arial" w:hAnsi="Arial" w:cs="Arial"/>
                <w:sz w:val="20"/>
              </w:rPr>
            </w:pPr>
            <w:r w:rsidRPr="00E93B5D">
              <w:rPr>
                <w:rFonts w:ascii="Arial" w:hAnsi="Arial" w:cs="Arial"/>
                <w:sz w:val="20"/>
              </w:rPr>
              <w:t>1.15E-6</w:t>
            </w:r>
          </w:p>
        </w:tc>
        <w:tc>
          <w:tcPr>
            <w:tcW w:w="1170" w:type="dxa"/>
            <w:tcBorders>
              <w:top w:val="single" w:sz="4" w:space="0" w:color="auto"/>
              <w:left w:val="single" w:sz="4" w:space="0" w:color="auto"/>
              <w:bottom w:val="single" w:sz="4" w:space="0" w:color="auto"/>
              <w:right w:val="single" w:sz="4" w:space="0" w:color="auto"/>
            </w:tcBorders>
            <w:hideMark/>
          </w:tcPr>
          <w:p w14:paraId="60F2588E" w14:textId="77777777" w:rsidR="00E93B5D" w:rsidRPr="00E93B5D" w:rsidRDefault="00E93B5D" w:rsidP="00E93B5D">
            <w:pPr>
              <w:pStyle w:val="Body"/>
              <w:rPr>
                <w:rFonts w:ascii="Arial" w:hAnsi="Arial" w:cs="Arial"/>
                <w:sz w:val="20"/>
              </w:rPr>
            </w:pPr>
            <w:r w:rsidRPr="00E93B5D">
              <w:rPr>
                <w:rFonts w:ascii="Arial" w:hAnsi="Arial" w:cs="Arial"/>
                <w:sz w:val="20"/>
              </w:rPr>
              <w:t>1.60E-6</w:t>
            </w:r>
          </w:p>
        </w:tc>
        <w:tc>
          <w:tcPr>
            <w:tcW w:w="1260" w:type="dxa"/>
            <w:tcBorders>
              <w:top w:val="single" w:sz="4" w:space="0" w:color="auto"/>
              <w:left w:val="single" w:sz="4" w:space="0" w:color="auto"/>
              <w:bottom w:val="single" w:sz="4" w:space="0" w:color="auto"/>
              <w:right w:val="single" w:sz="4" w:space="0" w:color="auto"/>
            </w:tcBorders>
            <w:hideMark/>
          </w:tcPr>
          <w:p w14:paraId="4C3C1AEC" w14:textId="77777777" w:rsidR="00E93B5D" w:rsidRPr="00E93B5D" w:rsidRDefault="00E93B5D" w:rsidP="00E93B5D">
            <w:pPr>
              <w:pStyle w:val="Body"/>
              <w:rPr>
                <w:rFonts w:ascii="Arial" w:hAnsi="Arial" w:cs="Arial"/>
                <w:sz w:val="20"/>
              </w:rPr>
            </w:pPr>
            <w:r w:rsidRPr="00E93B5D">
              <w:rPr>
                <w:rFonts w:ascii="Arial" w:hAnsi="Arial" w:cs="Arial"/>
                <w:sz w:val="20"/>
              </w:rPr>
              <w:t>3.03E-6</w:t>
            </w:r>
          </w:p>
        </w:tc>
      </w:tr>
      <w:tr w:rsidR="00E93B5D" w:rsidRPr="00E93B5D" w14:paraId="522A7068"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69D4245" w14:textId="77777777" w:rsidR="00E93B5D" w:rsidRPr="00E93B5D" w:rsidRDefault="00E93B5D" w:rsidP="00E93B5D">
            <w:pPr>
              <w:pStyle w:val="Body"/>
              <w:rPr>
                <w:rFonts w:ascii="Arial" w:hAnsi="Arial" w:cs="Arial"/>
                <w:sz w:val="20"/>
              </w:rPr>
            </w:pPr>
            <w:r w:rsidRPr="00E93B5D">
              <w:rPr>
                <w:rFonts w:ascii="Arial" w:hAnsi="Arial" w:cs="Arial"/>
                <w:sz w:val="20"/>
              </w:rPr>
              <w:t>Cu</w:t>
            </w:r>
          </w:p>
        </w:tc>
        <w:tc>
          <w:tcPr>
            <w:tcW w:w="1342" w:type="dxa"/>
            <w:tcBorders>
              <w:top w:val="single" w:sz="4" w:space="0" w:color="auto"/>
              <w:left w:val="single" w:sz="4" w:space="0" w:color="auto"/>
              <w:bottom w:val="single" w:sz="4" w:space="0" w:color="auto"/>
              <w:right w:val="single" w:sz="4" w:space="0" w:color="auto"/>
            </w:tcBorders>
            <w:hideMark/>
          </w:tcPr>
          <w:p w14:paraId="1A0426C9" w14:textId="77777777" w:rsidR="00E93B5D" w:rsidRPr="00E93B5D" w:rsidRDefault="00E93B5D" w:rsidP="00E93B5D">
            <w:pPr>
              <w:pStyle w:val="Body"/>
              <w:rPr>
                <w:rFonts w:ascii="Arial" w:hAnsi="Arial" w:cs="Arial"/>
                <w:sz w:val="20"/>
              </w:rPr>
            </w:pPr>
            <w:r w:rsidRPr="00E93B5D">
              <w:rPr>
                <w:rFonts w:ascii="Arial" w:hAnsi="Arial" w:cs="Arial"/>
                <w:sz w:val="20"/>
              </w:rPr>
              <w:t>3.15E-8</w:t>
            </w:r>
          </w:p>
        </w:tc>
        <w:tc>
          <w:tcPr>
            <w:tcW w:w="1170" w:type="dxa"/>
            <w:tcBorders>
              <w:top w:val="single" w:sz="4" w:space="0" w:color="auto"/>
              <w:left w:val="single" w:sz="4" w:space="0" w:color="auto"/>
              <w:bottom w:val="single" w:sz="4" w:space="0" w:color="auto"/>
              <w:right w:val="single" w:sz="4" w:space="0" w:color="auto"/>
            </w:tcBorders>
            <w:hideMark/>
          </w:tcPr>
          <w:p w14:paraId="2C50BF11" w14:textId="77777777" w:rsidR="00E93B5D" w:rsidRPr="00E93B5D" w:rsidRDefault="00E93B5D" w:rsidP="00E93B5D">
            <w:pPr>
              <w:pStyle w:val="Body"/>
              <w:rPr>
                <w:rFonts w:ascii="Arial" w:hAnsi="Arial" w:cs="Arial"/>
                <w:sz w:val="20"/>
              </w:rPr>
            </w:pPr>
            <w:r w:rsidRPr="00E93B5D">
              <w:rPr>
                <w:rFonts w:ascii="Arial" w:hAnsi="Arial" w:cs="Arial"/>
                <w:sz w:val="20"/>
              </w:rPr>
              <w:t>1.57E-8</w:t>
            </w:r>
          </w:p>
        </w:tc>
        <w:tc>
          <w:tcPr>
            <w:tcW w:w="1170" w:type="dxa"/>
            <w:tcBorders>
              <w:top w:val="single" w:sz="4" w:space="0" w:color="auto"/>
              <w:left w:val="single" w:sz="4" w:space="0" w:color="auto"/>
              <w:bottom w:val="single" w:sz="4" w:space="0" w:color="auto"/>
              <w:right w:val="single" w:sz="4" w:space="0" w:color="auto"/>
            </w:tcBorders>
            <w:hideMark/>
          </w:tcPr>
          <w:p w14:paraId="30BEC50B"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260" w:type="dxa"/>
            <w:tcBorders>
              <w:top w:val="single" w:sz="4" w:space="0" w:color="auto"/>
              <w:left w:val="single" w:sz="4" w:space="0" w:color="auto"/>
              <w:bottom w:val="single" w:sz="4" w:space="0" w:color="auto"/>
              <w:right w:val="single" w:sz="4" w:space="0" w:color="auto"/>
            </w:tcBorders>
            <w:hideMark/>
          </w:tcPr>
          <w:p w14:paraId="219A16FB" w14:textId="77777777" w:rsidR="00E93B5D" w:rsidRPr="00E93B5D" w:rsidRDefault="00E93B5D" w:rsidP="00E93B5D">
            <w:pPr>
              <w:pStyle w:val="Body"/>
              <w:rPr>
                <w:rFonts w:ascii="Arial" w:hAnsi="Arial" w:cs="Arial"/>
                <w:sz w:val="20"/>
              </w:rPr>
            </w:pPr>
            <w:r w:rsidRPr="00E93B5D">
              <w:rPr>
                <w:rFonts w:ascii="Arial" w:hAnsi="Arial" w:cs="Arial"/>
                <w:sz w:val="20"/>
              </w:rPr>
              <w:t>3.68E-7</w:t>
            </w:r>
          </w:p>
        </w:tc>
        <w:tc>
          <w:tcPr>
            <w:tcW w:w="1170" w:type="dxa"/>
            <w:tcBorders>
              <w:top w:val="single" w:sz="4" w:space="0" w:color="auto"/>
              <w:left w:val="single" w:sz="4" w:space="0" w:color="auto"/>
              <w:bottom w:val="single" w:sz="4" w:space="0" w:color="auto"/>
              <w:right w:val="single" w:sz="4" w:space="0" w:color="auto"/>
            </w:tcBorders>
            <w:hideMark/>
          </w:tcPr>
          <w:p w14:paraId="2F7068D0" w14:textId="77777777" w:rsidR="00E93B5D" w:rsidRPr="00E93B5D" w:rsidRDefault="00E93B5D" w:rsidP="00E93B5D">
            <w:pPr>
              <w:pStyle w:val="Body"/>
              <w:rPr>
                <w:rFonts w:ascii="Arial" w:hAnsi="Arial" w:cs="Arial"/>
                <w:sz w:val="20"/>
              </w:rPr>
            </w:pPr>
            <w:r w:rsidRPr="00E93B5D">
              <w:rPr>
                <w:rFonts w:ascii="Arial" w:hAnsi="Arial" w:cs="Arial"/>
                <w:sz w:val="20"/>
              </w:rPr>
              <w:t>1.84E-7</w:t>
            </w:r>
          </w:p>
        </w:tc>
        <w:tc>
          <w:tcPr>
            <w:tcW w:w="1260" w:type="dxa"/>
            <w:tcBorders>
              <w:top w:val="single" w:sz="4" w:space="0" w:color="auto"/>
              <w:left w:val="single" w:sz="4" w:space="0" w:color="auto"/>
              <w:bottom w:val="single" w:sz="4" w:space="0" w:color="auto"/>
              <w:right w:val="single" w:sz="4" w:space="0" w:color="auto"/>
            </w:tcBorders>
            <w:hideMark/>
          </w:tcPr>
          <w:p w14:paraId="0671ADEF"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r>
      <w:tr w:rsidR="00E93B5D" w:rsidRPr="00E93B5D" w14:paraId="60B6504B"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12723AB" w14:textId="77777777" w:rsidR="00E93B5D" w:rsidRPr="00E93B5D" w:rsidRDefault="00E93B5D" w:rsidP="00E93B5D">
            <w:pPr>
              <w:pStyle w:val="Body"/>
              <w:rPr>
                <w:rFonts w:ascii="Arial" w:hAnsi="Arial" w:cs="Arial"/>
                <w:sz w:val="20"/>
              </w:rPr>
            </w:pPr>
            <w:r w:rsidRPr="00E93B5D">
              <w:rPr>
                <w:rFonts w:ascii="Arial" w:hAnsi="Arial" w:cs="Arial"/>
                <w:sz w:val="20"/>
              </w:rPr>
              <w:t>Pb</w:t>
            </w:r>
          </w:p>
        </w:tc>
        <w:tc>
          <w:tcPr>
            <w:tcW w:w="1342" w:type="dxa"/>
            <w:tcBorders>
              <w:top w:val="single" w:sz="4" w:space="0" w:color="auto"/>
              <w:left w:val="single" w:sz="4" w:space="0" w:color="auto"/>
              <w:bottom w:val="single" w:sz="4" w:space="0" w:color="auto"/>
              <w:right w:val="single" w:sz="4" w:space="0" w:color="auto"/>
            </w:tcBorders>
            <w:hideMark/>
          </w:tcPr>
          <w:p w14:paraId="15902174" w14:textId="77777777" w:rsidR="00E93B5D" w:rsidRPr="00E93B5D" w:rsidRDefault="00E93B5D" w:rsidP="00E93B5D">
            <w:pPr>
              <w:pStyle w:val="Body"/>
              <w:rPr>
                <w:rFonts w:ascii="Arial" w:hAnsi="Arial" w:cs="Arial"/>
                <w:sz w:val="20"/>
              </w:rPr>
            </w:pPr>
            <w:r w:rsidRPr="00E93B5D">
              <w:rPr>
                <w:rFonts w:ascii="Arial" w:hAnsi="Arial" w:cs="Arial"/>
                <w:sz w:val="20"/>
              </w:rPr>
              <w:t>4.53E-7</w:t>
            </w:r>
          </w:p>
        </w:tc>
        <w:tc>
          <w:tcPr>
            <w:tcW w:w="1170" w:type="dxa"/>
            <w:tcBorders>
              <w:top w:val="single" w:sz="4" w:space="0" w:color="auto"/>
              <w:left w:val="single" w:sz="4" w:space="0" w:color="auto"/>
              <w:bottom w:val="single" w:sz="4" w:space="0" w:color="auto"/>
              <w:right w:val="single" w:sz="4" w:space="0" w:color="auto"/>
            </w:tcBorders>
            <w:hideMark/>
          </w:tcPr>
          <w:p w14:paraId="556019CF" w14:textId="77777777" w:rsidR="00E93B5D" w:rsidRPr="00E93B5D" w:rsidRDefault="00E93B5D" w:rsidP="00E93B5D">
            <w:pPr>
              <w:pStyle w:val="Body"/>
              <w:rPr>
                <w:rFonts w:ascii="Arial" w:hAnsi="Arial" w:cs="Arial"/>
                <w:sz w:val="20"/>
              </w:rPr>
            </w:pPr>
            <w:r w:rsidRPr="00E93B5D">
              <w:rPr>
                <w:rFonts w:ascii="Arial" w:hAnsi="Arial" w:cs="Arial"/>
                <w:sz w:val="20"/>
              </w:rPr>
              <w:t>2.52E-6</w:t>
            </w:r>
          </w:p>
        </w:tc>
        <w:tc>
          <w:tcPr>
            <w:tcW w:w="1170" w:type="dxa"/>
            <w:tcBorders>
              <w:top w:val="single" w:sz="4" w:space="0" w:color="auto"/>
              <w:left w:val="single" w:sz="4" w:space="0" w:color="auto"/>
              <w:bottom w:val="single" w:sz="4" w:space="0" w:color="auto"/>
              <w:right w:val="single" w:sz="4" w:space="0" w:color="auto"/>
            </w:tcBorders>
            <w:hideMark/>
          </w:tcPr>
          <w:p w14:paraId="62CAFCA7" w14:textId="77777777" w:rsidR="00E93B5D" w:rsidRPr="00E93B5D" w:rsidRDefault="00E93B5D" w:rsidP="00E93B5D">
            <w:pPr>
              <w:pStyle w:val="Body"/>
              <w:rPr>
                <w:rFonts w:ascii="Arial" w:hAnsi="Arial" w:cs="Arial"/>
                <w:sz w:val="20"/>
              </w:rPr>
            </w:pPr>
            <w:r w:rsidRPr="00E93B5D">
              <w:rPr>
                <w:rFonts w:ascii="Arial" w:hAnsi="Arial" w:cs="Arial"/>
                <w:sz w:val="20"/>
              </w:rPr>
              <w:t>4.41E-6</w:t>
            </w:r>
          </w:p>
        </w:tc>
        <w:tc>
          <w:tcPr>
            <w:tcW w:w="1260" w:type="dxa"/>
            <w:tcBorders>
              <w:top w:val="single" w:sz="4" w:space="0" w:color="auto"/>
              <w:left w:val="single" w:sz="4" w:space="0" w:color="auto"/>
              <w:bottom w:val="single" w:sz="4" w:space="0" w:color="auto"/>
              <w:right w:val="single" w:sz="4" w:space="0" w:color="auto"/>
            </w:tcBorders>
            <w:hideMark/>
          </w:tcPr>
          <w:p w14:paraId="204B866F" w14:textId="77777777" w:rsidR="00E93B5D" w:rsidRPr="00E93B5D" w:rsidRDefault="00E93B5D" w:rsidP="00E93B5D">
            <w:pPr>
              <w:pStyle w:val="Body"/>
              <w:rPr>
                <w:rFonts w:ascii="Arial" w:hAnsi="Arial" w:cs="Arial"/>
                <w:sz w:val="20"/>
              </w:rPr>
            </w:pPr>
            <w:r w:rsidRPr="00E93B5D">
              <w:rPr>
                <w:rFonts w:ascii="Arial" w:hAnsi="Arial" w:cs="Arial"/>
                <w:sz w:val="20"/>
              </w:rPr>
              <w:t>5.52E-6</w:t>
            </w:r>
          </w:p>
        </w:tc>
        <w:tc>
          <w:tcPr>
            <w:tcW w:w="1170" w:type="dxa"/>
            <w:tcBorders>
              <w:top w:val="single" w:sz="4" w:space="0" w:color="auto"/>
              <w:left w:val="single" w:sz="4" w:space="0" w:color="auto"/>
              <w:bottom w:val="single" w:sz="4" w:space="0" w:color="auto"/>
              <w:right w:val="single" w:sz="4" w:space="0" w:color="auto"/>
            </w:tcBorders>
            <w:hideMark/>
          </w:tcPr>
          <w:p w14:paraId="0C711C28" w14:textId="77777777" w:rsidR="00E93B5D" w:rsidRPr="00E93B5D" w:rsidRDefault="00E93B5D" w:rsidP="00E93B5D">
            <w:pPr>
              <w:pStyle w:val="Body"/>
              <w:rPr>
                <w:rFonts w:ascii="Arial" w:hAnsi="Arial" w:cs="Arial"/>
                <w:sz w:val="20"/>
              </w:rPr>
            </w:pPr>
            <w:r w:rsidRPr="00E93B5D">
              <w:rPr>
                <w:rFonts w:ascii="Arial" w:hAnsi="Arial" w:cs="Arial"/>
                <w:sz w:val="20"/>
              </w:rPr>
              <w:t>2.94E-5</w:t>
            </w:r>
          </w:p>
        </w:tc>
        <w:tc>
          <w:tcPr>
            <w:tcW w:w="1260" w:type="dxa"/>
            <w:tcBorders>
              <w:top w:val="single" w:sz="4" w:space="0" w:color="auto"/>
              <w:left w:val="single" w:sz="4" w:space="0" w:color="auto"/>
              <w:bottom w:val="single" w:sz="4" w:space="0" w:color="auto"/>
              <w:right w:val="single" w:sz="4" w:space="0" w:color="auto"/>
            </w:tcBorders>
            <w:hideMark/>
          </w:tcPr>
          <w:p w14:paraId="6A51D71D" w14:textId="77777777" w:rsidR="00E93B5D" w:rsidRPr="00E93B5D" w:rsidRDefault="00E93B5D" w:rsidP="00E93B5D">
            <w:pPr>
              <w:pStyle w:val="Body"/>
              <w:rPr>
                <w:rFonts w:ascii="Arial" w:hAnsi="Arial" w:cs="Arial"/>
                <w:sz w:val="20"/>
              </w:rPr>
            </w:pPr>
            <w:r w:rsidRPr="00E93B5D">
              <w:rPr>
                <w:rFonts w:ascii="Arial" w:hAnsi="Arial" w:cs="Arial"/>
                <w:sz w:val="20"/>
              </w:rPr>
              <w:t>5.15E-5</w:t>
            </w:r>
          </w:p>
        </w:tc>
      </w:tr>
      <w:tr w:rsidR="00E93B5D" w:rsidRPr="00E93B5D" w14:paraId="551A1052"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4D334881" w14:textId="77777777" w:rsidR="00E93B5D" w:rsidRPr="00E93B5D" w:rsidRDefault="00E93B5D" w:rsidP="00E93B5D">
            <w:pPr>
              <w:pStyle w:val="Body"/>
              <w:rPr>
                <w:rFonts w:ascii="Arial" w:hAnsi="Arial" w:cs="Arial"/>
                <w:sz w:val="20"/>
              </w:rPr>
            </w:pPr>
            <w:r w:rsidRPr="00E93B5D">
              <w:rPr>
                <w:rFonts w:ascii="Arial" w:hAnsi="Arial" w:cs="Arial"/>
                <w:sz w:val="20"/>
              </w:rPr>
              <w:t>As</w:t>
            </w:r>
          </w:p>
        </w:tc>
        <w:tc>
          <w:tcPr>
            <w:tcW w:w="1342" w:type="dxa"/>
            <w:tcBorders>
              <w:top w:val="single" w:sz="4" w:space="0" w:color="auto"/>
              <w:left w:val="single" w:sz="4" w:space="0" w:color="auto"/>
              <w:bottom w:val="single" w:sz="4" w:space="0" w:color="auto"/>
              <w:right w:val="single" w:sz="4" w:space="0" w:color="auto"/>
            </w:tcBorders>
            <w:hideMark/>
          </w:tcPr>
          <w:p w14:paraId="43714EFC"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170" w:type="dxa"/>
            <w:tcBorders>
              <w:top w:val="single" w:sz="4" w:space="0" w:color="auto"/>
              <w:left w:val="single" w:sz="4" w:space="0" w:color="auto"/>
              <w:bottom w:val="single" w:sz="4" w:space="0" w:color="auto"/>
              <w:right w:val="single" w:sz="4" w:space="0" w:color="auto"/>
            </w:tcBorders>
            <w:hideMark/>
          </w:tcPr>
          <w:p w14:paraId="6CEFF661"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170" w:type="dxa"/>
            <w:tcBorders>
              <w:top w:val="single" w:sz="4" w:space="0" w:color="auto"/>
              <w:left w:val="single" w:sz="4" w:space="0" w:color="auto"/>
              <w:bottom w:val="single" w:sz="4" w:space="0" w:color="auto"/>
              <w:right w:val="single" w:sz="4" w:space="0" w:color="auto"/>
            </w:tcBorders>
            <w:hideMark/>
          </w:tcPr>
          <w:p w14:paraId="4CCBE977" w14:textId="77777777" w:rsidR="00E93B5D" w:rsidRPr="00E93B5D" w:rsidRDefault="00E93B5D" w:rsidP="00E93B5D">
            <w:pPr>
              <w:pStyle w:val="Body"/>
              <w:rPr>
                <w:rFonts w:ascii="Arial" w:hAnsi="Arial" w:cs="Arial"/>
                <w:sz w:val="20"/>
              </w:rPr>
            </w:pPr>
            <w:r w:rsidRPr="00E93B5D">
              <w:rPr>
                <w:rFonts w:ascii="Arial" w:hAnsi="Arial" w:cs="Arial"/>
                <w:sz w:val="20"/>
              </w:rPr>
              <w:t>4.73E-8</w:t>
            </w:r>
          </w:p>
        </w:tc>
        <w:tc>
          <w:tcPr>
            <w:tcW w:w="1260" w:type="dxa"/>
            <w:tcBorders>
              <w:top w:val="single" w:sz="4" w:space="0" w:color="auto"/>
              <w:left w:val="single" w:sz="4" w:space="0" w:color="auto"/>
              <w:bottom w:val="single" w:sz="4" w:space="0" w:color="auto"/>
              <w:right w:val="single" w:sz="4" w:space="0" w:color="auto"/>
            </w:tcBorders>
            <w:hideMark/>
          </w:tcPr>
          <w:p w14:paraId="45C84861"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c>
          <w:tcPr>
            <w:tcW w:w="1170" w:type="dxa"/>
            <w:tcBorders>
              <w:top w:val="single" w:sz="4" w:space="0" w:color="auto"/>
              <w:left w:val="single" w:sz="4" w:space="0" w:color="auto"/>
              <w:bottom w:val="single" w:sz="4" w:space="0" w:color="auto"/>
              <w:right w:val="single" w:sz="4" w:space="0" w:color="auto"/>
            </w:tcBorders>
            <w:hideMark/>
          </w:tcPr>
          <w:p w14:paraId="2F8D9C63"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c>
          <w:tcPr>
            <w:tcW w:w="1260" w:type="dxa"/>
            <w:tcBorders>
              <w:top w:val="single" w:sz="4" w:space="0" w:color="auto"/>
              <w:left w:val="single" w:sz="4" w:space="0" w:color="auto"/>
              <w:bottom w:val="single" w:sz="4" w:space="0" w:color="auto"/>
              <w:right w:val="single" w:sz="4" w:space="0" w:color="auto"/>
            </w:tcBorders>
            <w:hideMark/>
          </w:tcPr>
          <w:p w14:paraId="66B55210" w14:textId="77777777" w:rsidR="00E93B5D" w:rsidRPr="00E93B5D" w:rsidRDefault="00E93B5D" w:rsidP="00E93B5D">
            <w:pPr>
              <w:pStyle w:val="Body"/>
              <w:rPr>
                <w:rFonts w:ascii="Arial" w:hAnsi="Arial" w:cs="Arial"/>
                <w:sz w:val="20"/>
              </w:rPr>
            </w:pPr>
            <w:r w:rsidRPr="00E93B5D">
              <w:rPr>
                <w:rFonts w:ascii="Arial" w:hAnsi="Arial" w:cs="Arial"/>
                <w:sz w:val="20"/>
              </w:rPr>
              <w:t>5.52E-7</w:t>
            </w:r>
          </w:p>
        </w:tc>
      </w:tr>
      <w:tr w:rsidR="00E93B5D" w:rsidRPr="00E93B5D" w14:paraId="77EAA275"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63F0F1D4" w14:textId="77777777" w:rsidR="00E93B5D" w:rsidRPr="00E93B5D" w:rsidRDefault="00E93B5D" w:rsidP="00E93B5D">
            <w:pPr>
              <w:pStyle w:val="Body"/>
              <w:rPr>
                <w:rFonts w:ascii="Arial" w:hAnsi="Arial" w:cs="Arial"/>
                <w:sz w:val="20"/>
              </w:rPr>
            </w:pPr>
            <w:r w:rsidRPr="00E93B5D">
              <w:rPr>
                <w:rFonts w:ascii="Arial" w:hAnsi="Arial" w:cs="Arial"/>
                <w:sz w:val="20"/>
              </w:rPr>
              <w:t>Ni</w:t>
            </w:r>
          </w:p>
        </w:tc>
        <w:tc>
          <w:tcPr>
            <w:tcW w:w="1342" w:type="dxa"/>
            <w:tcBorders>
              <w:top w:val="single" w:sz="4" w:space="0" w:color="auto"/>
              <w:left w:val="single" w:sz="4" w:space="0" w:color="auto"/>
              <w:bottom w:val="single" w:sz="4" w:space="0" w:color="auto"/>
              <w:right w:val="single" w:sz="4" w:space="0" w:color="auto"/>
            </w:tcBorders>
            <w:hideMark/>
          </w:tcPr>
          <w:p w14:paraId="2D7A3C44" w14:textId="77777777" w:rsidR="00E93B5D" w:rsidRPr="00E93B5D" w:rsidRDefault="00E93B5D" w:rsidP="00E93B5D">
            <w:pPr>
              <w:pStyle w:val="Body"/>
              <w:rPr>
                <w:rFonts w:ascii="Arial" w:hAnsi="Arial" w:cs="Arial"/>
                <w:sz w:val="20"/>
              </w:rPr>
            </w:pPr>
            <w:r w:rsidRPr="00E93B5D">
              <w:rPr>
                <w:rFonts w:ascii="Arial" w:hAnsi="Arial" w:cs="Arial"/>
                <w:sz w:val="20"/>
              </w:rPr>
              <w:t>3.18E-6</w:t>
            </w:r>
          </w:p>
        </w:tc>
        <w:tc>
          <w:tcPr>
            <w:tcW w:w="1170" w:type="dxa"/>
            <w:tcBorders>
              <w:top w:val="single" w:sz="4" w:space="0" w:color="auto"/>
              <w:left w:val="single" w:sz="4" w:space="0" w:color="auto"/>
              <w:bottom w:val="single" w:sz="4" w:space="0" w:color="auto"/>
              <w:right w:val="single" w:sz="4" w:space="0" w:color="auto"/>
            </w:tcBorders>
            <w:hideMark/>
          </w:tcPr>
          <w:p w14:paraId="4566C5E8" w14:textId="77777777" w:rsidR="00E93B5D" w:rsidRPr="00E93B5D" w:rsidRDefault="00E93B5D" w:rsidP="00E93B5D">
            <w:pPr>
              <w:pStyle w:val="Body"/>
              <w:rPr>
                <w:rFonts w:ascii="Arial" w:hAnsi="Arial" w:cs="Arial"/>
                <w:sz w:val="20"/>
              </w:rPr>
            </w:pPr>
            <w:r w:rsidRPr="00E93B5D">
              <w:rPr>
                <w:rFonts w:ascii="Arial" w:hAnsi="Arial" w:cs="Arial"/>
                <w:sz w:val="20"/>
              </w:rPr>
              <w:t>1.15E-6</w:t>
            </w:r>
          </w:p>
        </w:tc>
        <w:tc>
          <w:tcPr>
            <w:tcW w:w="1170" w:type="dxa"/>
            <w:tcBorders>
              <w:top w:val="single" w:sz="4" w:space="0" w:color="auto"/>
              <w:left w:val="single" w:sz="4" w:space="0" w:color="auto"/>
              <w:bottom w:val="single" w:sz="4" w:space="0" w:color="auto"/>
              <w:right w:val="single" w:sz="4" w:space="0" w:color="auto"/>
            </w:tcBorders>
            <w:hideMark/>
          </w:tcPr>
          <w:p w14:paraId="12C340E2" w14:textId="77777777" w:rsidR="00E93B5D" w:rsidRPr="00E93B5D" w:rsidRDefault="00E93B5D" w:rsidP="00E93B5D">
            <w:pPr>
              <w:pStyle w:val="Body"/>
              <w:rPr>
                <w:rFonts w:ascii="Arial" w:hAnsi="Arial" w:cs="Arial"/>
                <w:sz w:val="20"/>
              </w:rPr>
            </w:pPr>
            <w:r w:rsidRPr="00E93B5D">
              <w:rPr>
                <w:rFonts w:ascii="Arial" w:hAnsi="Arial" w:cs="Arial"/>
                <w:sz w:val="20"/>
              </w:rPr>
              <w:t>1.94E-6</w:t>
            </w:r>
          </w:p>
        </w:tc>
        <w:tc>
          <w:tcPr>
            <w:tcW w:w="1260" w:type="dxa"/>
            <w:tcBorders>
              <w:top w:val="single" w:sz="4" w:space="0" w:color="auto"/>
              <w:left w:val="single" w:sz="4" w:space="0" w:color="auto"/>
              <w:bottom w:val="single" w:sz="4" w:space="0" w:color="auto"/>
              <w:right w:val="single" w:sz="4" w:space="0" w:color="auto"/>
            </w:tcBorders>
            <w:hideMark/>
          </w:tcPr>
          <w:p w14:paraId="679CCB48" w14:textId="77777777" w:rsidR="00E93B5D" w:rsidRPr="00E93B5D" w:rsidRDefault="00E93B5D" w:rsidP="00E93B5D">
            <w:pPr>
              <w:pStyle w:val="Body"/>
              <w:rPr>
                <w:rFonts w:ascii="Arial" w:hAnsi="Arial" w:cs="Arial"/>
                <w:sz w:val="20"/>
              </w:rPr>
            </w:pPr>
            <w:r w:rsidRPr="00E93B5D">
              <w:rPr>
                <w:rFonts w:ascii="Arial" w:hAnsi="Arial" w:cs="Arial"/>
                <w:sz w:val="20"/>
              </w:rPr>
              <w:t>3.71E-5</w:t>
            </w:r>
          </w:p>
        </w:tc>
        <w:tc>
          <w:tcPr>
            <w:tcW w:w="1170" w:type="dxa"/>
            <w:tcBorders>
              <w:top w:val="single" w:sz="4" w:space="0" w:color="auto"/>
              <w:left w:val="single" w:sz="4" w:space="0" w:color="auto"/>
              <w:bottom w:val="single" w:sz="4" w:space="0" w:color="auto"/>
              <w:right w:val="single" w:sz="4" w:space="0" w:color="auto"/>
            </w:tcBorders>
            <w:hideMark/>
          </w:tcPr>
          <w:p w14:paraId="052F774E" w14:textId="77777777" w:rsidR="00E93B5D" w:rsidRPr="00E93B5D" w:rsidRDefault="00E93B5D" w:rsidP="00E93B5D">
            <w:pPr>
              <w:pStyle w:val="Body"/>
              <w:rPr>
                <w:rFonts w:ascii="Arial" w:hAnsi="Arial" w:cs="Arial"/>
                <w:sz w:val="20"/>
              </w:rPr>
            </w:pPr>
            <w:r w:rsidRPr="00E93B5D">
              <w:rPr>
                <w:rFonts w:ascii="Arial" w:hAnsi="Arial" w:cs="Arial"/>
                <w:sz w:val="20"/>
              </w:rPr>
              <w:t>1.34E-5</w:t>
            </w:r>
          </w:p>
        </w:tc>
        <w:tc>
          <w:tcPr>
            <w:tcW w:w="1260" w:type="dxa"/>
            <w:tcBorders>
              <w:top w:val="single" w:sz="4" w:space="0" w:color="auto"/>
              <w:left w:val="single" w:sz="4" w:space="0" w:color="auto"/>
              <w:bottom w:val="single" w:sz="4" w:space="0" w:color="auto"/>
              <w:right w:val="single" w:sz="4" w:space="0" w:color="auto"/>
            </w:tcBorders>
            <w:hideMark/>
          </w:tcPr>
          <w:p w14:paraId="09009F44" w14:textId="77777777" w:rsidR="00E93B5D" w:rsidRPr="00E93B5D" w:rsidRDefault="00E93B5D" w:rsidP="00E93B5D">
            <w:pPr>
              <w:pStyle w:val="Body"/>
              <w:rPr>
                <w:rFonts w:ascii="Arial" w:hAnsi="Arial" w:cs="Arial"/>
                <w:sz w:val="20"/>
              </w:rPr>
            </w:pPr>
            <w:r w:rsidRPr="00E93B5D">
              <w:rPr>
                <w:rFonts w:ascii="Arial" w:hAnsi="Arial" w:cs="Arial"/>
                <w:sz w:val="20"/>
              </w:rPr>
              <w:t>2.26E-5</w:t>
            </w:r>
          </w:p>
        </w:tc>
      </w:tr>
      <w:tr w:rsidR="00E93B5D" w:rsidRPr="00E93B5D" w14:paraId="4B492E27" w14:textId="77777777" w:rsidTr="00F276C0">
        <w:tc>
          <w:tcPr>
            <w:tcW w:w="723" w:type="dxa"/>
            <w:tcBorders>
              <w:top w:val="single" w:sz="4" w:space="0" w:color="auto"/>
              <w:left w:val="single" w:sz="4" w:space="0" w:color="auto"/>
              <w:bottom w:val="single" w:sz="4" w:space="0" w:color="auto"/>
              <w:right w:val="single" w:sz="4" w:space="0" w:color="auto"/>
            </w:tcBorders>
            <w:hideMark/>
          </w:tcPr>
          <w:p w14:paraId="7F674987" w14:textId="77777777" w:rsidR="00E93B5D" w:rsidRPr="00E93B5D" w:rsidRDefault="00E93B5D" w:rsidP="00E93B5D">
            <w:pPr>
              <w:pStyle w:val="Body"/>
              <w:rPr>
                <w:rFonts w:ascii="Arial" w:hAnsi="Arial" w:cs="Arial"/>
                <w:sz w:val="20"/>
              </w:rPr>
            </w:pPr>
            <w:r w:rsidRPr="00E93B5D">
              <w:rPr>
                <w:rFonts w:ascii="Arial" w:hAnsi="Arial" w:cs="Arial"/>
                <w:sz w:val="20"/>
              </w:rPr>
              <w:t>Mn</w:t>
            </w:r>
          </w:p>
        </w:tc>
        <w:tc>
          <w:tcPr>
            <w:tcW w:w="1342" w:type="dxa"/>
            <w:tcBorders>
              <w:top w:val="single" w:sz="4" w:space="0" w:color="auto"/>
              <w:left w:val="single" w:sz="4" w:space="0" w:color="auto"/>
              <w:bottom w:val="single" w:sz="4" w:space="0" w:color="auto"/>
              <w:right w:val="single" w:sz="4" w:space="0" w:color="auto"/>
            </w:tcBorders>
            <w:hideMark/>
          </w:tcPr>
          <w:p w14:paraId="387CB6F4" w14:textId="77777777" w:rsidR="00E93B5D" w:rsidRPr="00E93B5D" w:rsidRDefault="00E93B5D" w:rsidP="00E93B5D">
            <w:pPr>
              <w:pStyle w:val="Body"/>
              <w:rPr>
                <w:rFonts w:ascii="Arial" w:hAnsi="Arial" w:cs="Arial"/>
                <w:sz w:val="20"/>
              </w:rPr>
            </w:pPr>
            <w:r w:rsidRPr="00E93B5D">
              <w:rPr>
                <w:rFonts w:ascii="Arial" w:hAnsi="Arial" w:cs="Arial"/>
                <w:sz w:val="20"/>
              </w:rPr>
              <w:t>5.79E-6</w:t>
            </w:r>
          </w:p>
        </w:tc>
        <w:tc>
          <w:tcPr>
            <w:tcW w:w="1170" w:type="dxa"/>
            <w:tcBorders>
              <w:top w:val="single" w:sz="4" w:space="0" w:color="auto"/>
              <w:left w:val="single" w:sz="4" w:space="0" w:color="auto"/>
              <w:bottom w:val="single" w:sz="4" w:space="0" w:color="auto"/>
              <w:right w:val="single" w:sz="4" w:space="0" w:color="auto"/>
            </w:tcBorders>
            <w:hideMark/>
          </w:tcPr>
          <w:p w14:paraId="238392AC" w14:textId="77777777" w:rsidR="00E93B5D" w:rsidRPr="00E93B5D" w:rsidRDefault="00E93B5D" w:rsidP="00E93B5D">
            <w:pPr>
              <w:pStyle w:val="Body"/>
              <w:rPr>
                <w:rFonts w:ascii="Arial" w:hAnsi="Arial" w:cs="Arial"/>
                <w:sz w:val="20"/>
              </w:rPr>
            </w:pPr>
            <w:r w:rsidRPr="00E93B5D">
              <w:rPr>
                <w:rFonts w:ascii="Arial" w:hAnsi="Arial" w:cs="Arial"/>
                <w:sz w:val="20"/>
              </w:rPr>
              <w:t>4.48E-6</w:t>
            </w:r>
          </w:p>
        </w:tc>
        <w:tc>
          <w:tcPr>
            <w:tcW w:w="1170" w:type="dxa"/>
            <w:tcBorders>
              <w:top w:val="single" w:sz="4" w:space="0" w:color="auto"/>
              <w:left w:val="single" w:sz="4" w:space="0" w:color="auto"/>
              <w:bottom w:val="single" w:sz="4" w:space="0" w:color="auto"/>
              <w:right w:val="single" w:sz="4" w:space="0" w:color="auto"/>
            </w:tcBorders>
            <w:hideMark/>
          </w:tcPr>
          <w:p w14:paraId="099E96C5" w14:textId="77777777" w:rsidR="00E93B5D" w:rsidRPr="00E93B5D" w:rsidRDefault="00E93B5D" w:rsidP="00E93B5D">
            <w:pPr>
              <w:pStyle w:val="Body"/>
              <w:rPr>
                <w:rFonts w:ascii="Arial" w:hAnsi="Arial" w:cs="Arial"/>
                <w:sz w:val="20"/>
              </w:rPr>
            </w:pPr>
            <w:r w:rsidRPr="00E93B5D">
              <w:rPr>
                <w:rFonts w:ascii="Arial" w:hAnsi="Arial" w:cs="Arial"/>
                <w:sz w:val="20"/>
              </w:rPr>
              <w:t>5.50E-6</w:t>
            </w:r>
          </w:p>
        </w:tc>
        <w:tc>
          <w:tcPr>
            <w:tcW w:w="1260" w:type="dxa"/>
            <w:tcBorders>
              <w:top w:val="single" w:sz="4" w:space="0" w:color="auto"/>
              <w:left w:val="single" w:sz="4" w:space="0" w:color="auto"/>
              <w:bottom w:val="single" w:sz="4" w:space="0" w:color="auto"/>
              <w:right w:val="single" w:sz="4" w:space="0" w:color="auto"/>
            </w:tcBorders>
            <w:hideMark/>
          </w:tcPr>
          <w:p w14:paraId="240AC595" w14:textId="77777777" w:rsidR="00E93B5D" w:rsidRPr="00E93B5D" w:rsidRDefault="00E93B5D" w:rsidP="00E93B5D">
            <w:pPr>
              <w:pStyle w:val="Body"/>
              <w:rPr>
                <w:rFonts w:ascii="Arial" w:hAnsi="Arial" w:cs="Arial"/>
                <w:sz w:val="20"/>
              </w:rPr>
            </w:pPr>
            <w:r w:rsidRPr="00E93B5D">
              <w:rPr>
                <w:rFonts w:ascii="Arial" w:hAnsi="Arial" w:cs="Arial"/>
                <w:sz w:val="20"/>
              </w:rPr>
              <w:t>6.75E-5</w:t>
            </w:r>
          </w:p>
        </w:tc>
        <w:tc>
          <w:tcPr>
            <w:tcW w:w="1170" w:type="dxa"/>
            <w:tcBorders>
              <w:top w:val="single" w:sz="4" w:space="0" w:color="auto"/>
              <w:left w:val="single" w:sz="4" w:space="0" w:color="auto"/>
              <w:bottom w:val="single" w:sz="4" w:space="0" w:color="auto"/>
              <w:right w:val="single" w:sz="4" w:space="0" w:color="auto"/>
            </w:tcBorders>
            <w:hideMark/>
          </w:tcPr>
          <w:p w14:paraId="4C4A9994" w14:textId="77777777" w:rsidR="00E93B5D" w:rsidRPr="00E93B5D" w:rsidRDefault="00E93B5D" w:rsidP="00E93B5D">
            <w:pPr>
              <w:pStyle w:val="Body"/>
              <w:rPr>
                <w:rFonts w:ascii="Arial" w:hAnsi="Arial" w:cs="Arial"/>
                <w:sz w:val="20"/>
              </w:rPr>
            </w:pPr>
            <w:r w:rsidRPr="00E93B5D">
              <w:rPr>
                <w:rFonts w:ascii="Arial" w:hAnsi="Arial" w:cs="Arial"/>
                <w:sz w:val="20"/>
              </w:rPr>
              <w:t>5.22E-5</w:t>
            </w:r>
          </w:p>
        </w:tc>
        <w:tc>
          <w:tcPr>
            <w:tcW w:w="1260" w:type="dxa"/>
            <w:tcBorders>
              <w:top w:val="single" w:sz="4" w:space="0" w:color="auto"/>
              <w:left w:val="single" w:sz="4" w:space="0" w:color="auto"/>
              <w:bottom w:val="single" w:sz="4" w:space="0" w:color="auto"/>
              <w:right w:val="single" w:sz="4" w:space="0" w:color="auto"/>
            </w:tcBorders>
            <w:hideMark/>
          </w:tcPr>
          <w:p w14:paraId="64F2A24C" w14:textId="77777777" w:rsidR="00E93B5D" w:rsidRPr="00E93B5D" w:rsidRDefault="00E93B5D" w:rsidP="00E93B5D">
            <w:pPr>
              <w:pStyle w:val="Body"/>
              <w:rPr>
                <w:rFonts w:ascii="Arial" w:hAnsi="Arial" w:cs="Arial"/>
                <w:sz w:val="20"/>
              </w:rPr>
            </w:pPr>
            <w:r w:rsidRPr="00E93B5D">
              <w:rPr>
                <w:rFonts w:ascii="Arial" w:hAnsi="Arial" w:cs="Arial"/>
                <w:sz w:val="20"/>
              </w:rPr>
              <w:t>7.58E-5</w:t>
            </w:r>
          </w:p>
        </w:tc>
      </w:tr>
    </w:tbl>
    <w:p w14:paraId="517C6143" w14:textId="77777777" w:rsidR="00C30A0F" w:rsidRPr="000B3229" w:rsidRDefault="00C30A0F" w:rsidP="00441B6F">
      <w:pPr>
        <w:pStyle w:val="Body"/>
        <w:spacing w:after="0"/>
        <w:rPr>
          <w:rFonts w:ascii="Arial" w:hAnsi="Arial" w:cs="Arial"/>
          <w:b/>
        </w:rPr>
      </w:pPr>
    </w:p>
    <w:p w14:paraId="2BAC320A" w14:textId="77777777" w:rsidR="000C533D" w:rsidRPr="00AF1106" w:rsidRDefault="003339A1" w:rsidP="000C533D">
      <w:pPr>
        <w:pStyle w:val="Body"/>
        <w:spacing w:after="0"/>
        <w:rPr>
          <w:rFonts w:ascii="Arial" w:hAnsi="Arial" w:cs="Arial"/>
          <w:b/>
        </w:rPr>
      </w:pPr>
      <w:r w:rsidRPr="00AF1106">
        <w:rPr>
          <w:rFonts w:ascii="Arial" w:hAnsi="Arial" w:cs="Arial"/>
          <w:b/>
        </w:rPr>
        <w:t xml:space="preserve">3.2.1 </w:t>
      </w:r>
      <w:r w:rsidR="000C533D" w:rsidRPr="00AF1106">
        <w:rPr>
          <w:rFonts w:ascii="Arial" w:hAnsi="Arial" w:cs="Arial"/>
          <w:b/>
        </w:rPr>
        <w:t>Non-carcinogenic Risks (non-CRs)</w:t>
      </w:r>
    </w:p>
    <w:p w14:paraId="0808764A" w14:textId="77777777" w:rsidR="002A3438" w:rsidRDefault="000C533D" w:rsidP="000C533D">
      <w:pPr>
        <w:pStyle w:val="Body"/>
        <w:spacing w:after="0"/>
        <w:rPr>
          <w:rFonts w:ascii="Arial" w:hAnsi="Arial" w:cs="Arial"/>
        </w:rPr>
      </w:pPr>
      <w:r w:rsidRPr="000C533D">
        <w:rPr>
          <w:rFonts w:ascii="Arial" w:hAnsi="Arial" w:cs="Arial"/>
        </w:rPr>
        <w:tab/>
      </w:r>
    </w:p>
    <w:p w14:paraId="47AEA164" w14:textId="77777777" w:rsidR="000C533D" w:rsidRPr="000C533D" w:rsidRDefault="000C533D" w:rsidP="000C533D">
      <w:pPr>
        <w:pStyle w:val="Body"/>
        <w:spacing w:after="0"/>
        <w:rPr>
          <w:rFonts w:ascii="Arial" w:hAnsi="Arial" w:cs="Arial"/>
        </w:rPr>
      </w:pPr>
      <w:r w:rsidRPr="000C533D">
        <w:rPr>
          <w:rFonts w:ascii="Arial" w:hAnsi="Arial" w:cs="Arial"/>
        </w:rPr>
        <w:t xml:space="preserve">Tables 6, 7, and 8 present the findings of non-CRs associated with ingestion, dermal contact, and inhalation with heavy metals in </w:t>
      </w:r>
      <w:proofErr w:type="spellStart"/>
      <w:r w:rsidRPr="000C533D">
        <w:rPr>
          <w:rFonts w:ascii="Arial" w:hAnsi="Arial" w:cs="Arial"/>
        </w:rPr>
        <w:t>Eket</w:t>
      </w:r>
      <w:proofErr w:type="spellEnd"/>
      <w:r w:rsidRPr="000C533D">
        <w:rPr>
          <w:rFonts w:ascii="Arial" w:hAnsi="Arial" w:cs="Arial"/>
        </w:rPr>
        <w:t xml:space="preserve">. The results revealed that the </w:t>
      </w:r>
      <m:oMath>
        <m:r>
          <w:rPr>
            <w:rFonts w:ascii="Cambria Math" w:hAnsi="Cambria Math" w:cs="Arial"/>
          </w:rPr>
          <m:t>EC&gt;DAD&gt;ADD</m:t>
        </m:r>
      </m:oMath>
      <w:r w:rsidRPr="000C533D">
        <w:rPr>
          <w:rFonts w:ascii="Arial" w:hAnsi="Arial" w:cs="Arial"/>
        </w:rPr>
        <w:t xml:space="preserve">. This specified that the greatest exposure pathway to heavy metals in Eket was through inhalation. </w:t>
      </w:r>
      <w:r w:rsidRPr="000C533D">
        <w:rPr>
          <w:rFonts w:ascii="Arial" w:hAnsi="Arial" w:cs="Arial"/>
        </w:rPr>
        <w:lastRenderedPageBreak/>
        <w:t xml:space="preserve">The </w:t>
      </w:r>
      <w:proofErr w:type="spellStart"/>
      <w:r w:rsidRPr="000C533D">
        <w:rPr>
          <w:rFonts w:ascii="Arial" w:hAnsi="Arial" w:cs="Arial"/>
        </w:rPr>
        <w:t>HQ</w:t>
      </w:r>
      <w:r w:rsidRPr="000C533D">
        <w:rPr>
          <w:rFonts w:ascii="Arial" w:hAnsi="Arial" w:cs="Arial"/>
          <w:vertAlign w:val="subscript"/>
        </w:rPr>
        <w:t>ing</w:t>
      </w:r>
      <w:proofErr w:type="spellEnd"/>
      <w:r w:rsidRPr="000C533D">
        <w:rPr>
          <w:rFonts w:ascii="Arial" w:hAnsi="Arial" w:cs="Arial"/>
          <w:i/>
        </w:rPr>
        <w:t xml:space="preserve"> </w:t>
      </w:r>
      <w:r w:rsidRPr="000C533D">
        <w:rPr>
          <w:rFonts w:ascii="Arial" w:hAnsi="Arial" w:cs="Arial"/>
        </w:rPr>
        <w:t xml:space="preserve">for the studied heavy metals was lower than the acceptable level (HQ = 1) signifying no significant non CRs for children and adults in </w:t>
      </w:r>
      <w:proofErr w:type="spellStart"/>
      <w:r w:rsidRPr="000C533D">
        <w:rPr>
          <w:rFonts w:ascii="Arial" w:hAnsi="Arial" w:cs="Arial"/>
        </w:rPr>
        <w:t>Eket</w:t>
      </w:r>
      <w:proofErr w:type="spellEnd"/>
      <w:r w:rsidRPr="000C533D">
        <w:rPr>
          <w:rFonts w:ascii="Arial" w:hAnsi="Arial" w:cs="Arial"/>
        </w:rPr>
        <w:t xml:space="preserve"> at the three sampling locations from ingestion except for children at MJ which signifies significant non-CRs for children. </w:t>
      </w:r>
      <w:proofErr w:type="spellStart"/>
      <w:r w:rsidRPr="000C533D">
        <w:rPr>
          <w:rFonts w:ascii="Arial" w:hAnsi="Arial" w:cs="Arial"/>
        </w:rPr>
        <w:t>HQ</w:t>
      </w:r>
      <w:r w:rsidRPr="000C533D">
        <w:rPr>
          <w:rFonts w:ascii="Arial" w:hAnsi="Arial" w:cs="Arial"/>
          <w:vertAlign w:val="subscript"/>
        </w:rPr>
        <w:t>inh</w:t>
      </w:r>
      <w:proofErr w:type="spellEnd"/>
      <w:r w:rsidRPr="000C533D">
        <w:rPr>
          <w:rFonts w:ascii="Arial" w:hAnsi="Arial" w:cs="Arial"/>
          <w:vertAlign w:val="subscript"/>
        </w:rPr>
        <w:t xml:space="preserve"> </w:t>
      </w:r>
      <w:r w:rsidRPr="000C533D">
        <w:rPr>
          <w:rFonts w:ascii="Arial" w:hAnsi="Arial" w:cs="Arial"/>
        </w:rPr>
        <w:t xml:space="preserve">for investigated heavy metals was above the safe level signifying significant non-CRs for children and adults at the three sampling sites from inhalation. The results showed that Cr, Cd, Ni, and Mn have harmful effects on adults and children through inhalation while Pb and </w:t>
      </w:r>
      <w:proofErr w:type="gramStart"/>
      <w:r w:rsidRPr="000C533D">
        <w:rPr>
          <w:rFonts w:ascii="Arial" w:hAnsi="Arial" w:cs="Arial"/>
        </w:rPr>
        <w:t>As</w:t>
      </w:r>
      <w:proofErr w:type="gramEnd"/>
      <w:r w:rsidRPr="000C533D">
        <w:rPr>
          <w:rFonts w:ascii="Arial" w:hAnsi="Arial" w:cs="Arial"/>
        </w:rPr>
        <w:t xml:space="preserve"> may not cause non-CRs. </w:t>
      </w:r>
      <w:proofErr w:type="spellStart"/>
      <w:r w:rsidRPr="000C533D">
        <w:rPr>
          <w:rFonts w:ascii="Arial" w:hAnsi="Arial" w:cs="Arial"/>
        </w:rPr>
        <w:t>HQ</w:t>
      </w:r>
      <w:r w:rsidRPr="000C533D">
        <w:rPr>
          <w:rFonts w:ascii="Arial" w:hAnsi="Arial" w:cs="Arial"/>
          <w:vertAlign w:val="subscript"/>
        </w:rPr>
        <w:t>der</w:t>
      </w:r>
      <w:proofErr w:type="spellEnd"/>
      <w:r w:rsidRPr="000C533D">
        <w:rPr>
          <w:rFonts w:ascii="Arial" w:hAnsi="Arial" w:cs="Arial"/>
          <w:vertAlign w:val="subscript"/>
        </w:rPr>
        <w:t xml:space="preserve"> </w:t>
      </w:r>
      <w:r w:rsidRPr="000C533D">
        <w:rPr>
          <w:rFonts w:ascii="Arial" w:hAnsi="Arial" w:cs="Arial"/>
        </w:rPr>
        <w:t xml:space="preserve">exhibited the leeway of non CRs from exposure to Cr at UJ and MJ and </w:t>
      </w:r>
      <w:r w:rsidR="00AF1106" w:rsidRPr="000C533D">
        <w:rPr>
          <w:rFonts w:ascii="Arial" w:hAnsi="Arial" w:cs="Arial"/>
        </w:rPr>
        <w:t>non-harmful</w:t>
      </w:r>
      <w:r w:rsidRPr="000C533D">
        <w:rPr>
          <w:rFonts w:ascii="Arial" w:hAnsi="Arial" w:cs="Arial"/>
        </w:rPr>
        <w:t xml:space="preserve"> impacts from exposure to heavy metals. </w:t>
      </w:r>
    </w:p>
    <w:p w14:paraId="11724F20" w14:textId="77777777" w:rsidR="000C533D" w:rsidRPr="000C533D" w:rsidRDefault="000C533D" w:rsidP="000C533D">
      <w:pPr>
        <w:pStyle w:val="Body"/>
        <w:rPr>
          <w:rFonts w:ascii="Arial" w:hAnsi="Arial" w:cs="Arial"/>
        </w:rPr>
      </w:pPr>
      <w:r w:rsidRPr="000C533D">
        <w:rPr>
          <w:rFonts w:ascii="Arial" w:hAnsi="Arial" w:cs="Arial"/>
        </w:rPr>
        <w:t xml:space="preserve">Tables 6, 7, and 8 display the cumulative non-CRs, which were computed for ingestion, inhalation, and cutaneous routes and expressed as hazard index (HI). The probability of non-CRs from ingestion was shown by the HI data for children at MJ (HI = 1.48). Adults and children at MM, UJ, and MJ had HI values of 14.73, 12.06, 20.51, 15.33, 12.06, and 20.5, respectively, which indicated the probability of non-CRs from inhalation. Through dermal exposure, HI for children likewise demonstrated the probability of non-CRs at MM, UJ, and MJ (HI = 1.09, H = 1.75, and HI = 2.91). These results revealed that inhalation was the utmost damaging exposure pathway of heavy metals and Cr, Cd, Ni, and Mn were the key suppliers of hazard quotient in heavy metals in </w:t>
      </w:r>
      <w:proofErr w:type="spellStart"/>
      <w:r w:rsidRPr="000C533D">
        <w:rPr>
          <w:rFonts w:ascii="Arial" w:hAnsi="Arial" w:cs="Arial"/>
        </w:rPr>
        <w:t>Eket</w:t>
      </w:r>
      <w:proofErr w:type="spellEnd"/>
      <w:r w:rsidRPr="000C533D">
        <w:rPr>
          <w:rFonts w:ascii="Arial" w:hAnsi="Arial" w:cs="Arial"/>
        </w:rPr>
        <w:t xml:space="preserve">.                                                                         </w:t>
      </w:r>
    </w:p>
    <w:p w14:paraId="69523146" w14:textId="77777777" w:rsidR="000C533D" w:rsidRPr="000C533D" w:rsidRDefault="000C533D" w:rsidP="004B60C6">
      <w:pPr>
        <w:pStyle w:val="Body"/>
        <w:spacing w:after="0"/>
        <w:rPr>
          <w:rFonts w:ascii="Arial" w:hAnsi="Arial" w:cs="Arial"/>
          <w:b/>
        </w:rPr>
      </w:pPr>
      <w:r w:rsidRPr="000C533D">
        <w:rPr>
          <w:rFonts w:ascii="Arial" w:hAnsi="Arial" w:cs="Arial"/>
          <w:b/>
        </w:rPr>
        <w:t>Table 6. Hazard Quotient for Non-Carcinogenic Risks (non-CRs) Associated with Heavy Metals via Ingestion Exposure</w:t>
      </w:r>
    </w:p>
    <w:tbl>
      <w:tblPr>
        <w:tblStyle w:val="TableGrid"/>
        <w:tblW w:w="8185" w:type="dxa"/>
        <w:tblLook w:val="04A0" w:firstRow="1" w:lastRow="0" w:firstColumn="1" w:lastColumn="0" w:noHBand="0" w:noVBand="1"/>
      </w:tblPr>
      <w:tblGrid>
        <w:gridCol w:w="723"/>
        <w:gridCol w:w="1162"/>
        <w:gridCol w:w="990"/>
        <w:gridCol w:w="1260"/>
        <w:gridCol w:w="1440"/>
        <w:gridCol w:w="1260"/>
        <w:gridCol w:w="1350"/>
      </w:tblGrid>
      <w:tr w:rsidR="000C533D" w:rsidRPr="000C533D" w14:paraId="25EE6ADE" w14:textId="77777777" w:rsidTr="008E20DC">
        <w:tc>
          <w:tcPr>
            <w:tcW w:w="723" w:type="dxa"/>
            <w:tcBorders>
              <w:top w:val="single" w:sz="4" w:space="0" w:color="auto"/>
              <w:left w:val="single" w:sz="4" w:space="0" w:color="auto"/>
              <w:bottom w:val="single" w:sz="4" w:space="0" w:color="auto"/>
              <w:right w:val="single" w:sz="4" w:space="0" w:color="auto"/>
            </w:tcBorders>
          </w:tcPr>
          <w:p w14:paraId="1139428B" w14:textId="77777777" w:rsidR="000C533D" w:rsidRPr="000C533D" w:rsidRDefault="000C533D" w:rsidP="000C533D">
            <w:pPr>
              <w:pStyle w:val="Body"/>
              <w:rPr>
                <w:rFonts w:ascii="Arial" w:hAnsi="Arial" w:cs="Arial"/>
                <w:b/>
                <w:sz w:val="20"/>
              </w:rPr>
            </w:pPr>
          </w:p>
        </w:tc>
        <w:tc>
          <w:tcPr>
            <w:tcW w:w="3412" w:type="dxa"/>
            <w:gridSpan w:val="3"/>
            <w:tcBorders>
              <w:top w:val="single" w:sz="4" w:space="0" w:color="auto"/>
              <w:left w:val="single" w:sz="4" w:space="0" w:color="auto"/>
              <w:bottom w:val="single" w:sz="4" w:space="0" w:color="auto"/>
              <w:right w:val="single" w:sz="4" w:space="0" w:color="auto"/>
            </w:tcBorders>
            <w:hideMark/>
          </w:tcPr>
          <w:p w14:paraId="5CBA887D" w14:textId="77777777" w:rsidR="000C533D" w:rsidRPr="000C533D" w:rsidRDefault="000C533D" w:rsidP="000C533D">
            <w:pPr>
              <w:pStyle w:val="Body"/>
              <w:rPr>
                <w:rFonts w:ascii="Arial" w:hAnsi="Arial" w:cs="Arial"/>
                <w:b/>
                <w:sz w:val="20"/>
              </w:rPr>
            </w:pPr>
            <w:r w:rsidRPr="000C533D">
              <w:rPr>
                <w:rFonts w:ascii="Arial" w:hAnsi="Arial" w:cs="Arial"/>
                <w:b/>
                <w:sz w:val="20"/>
              </w:rPr>
              <w:t>Adult</w:t>
            </w:r>
          </w:p>
        </w:tc>
        <w:tc>
          <w:tcPr>
            <w:tcW w:w="4050" w:type="dxa"/>
            <w:gridSpan w:val="3"/>
            <w:tcBorders>
              <w:top w:val="single" w:sz="4" w:space="0" w:color="auto"/>
              <w:left w:val="single" w:sz="4" w:space="0" w:color="auto"/>
              <w:bottom w:val="single" w:sz="4" w:space="0" w:color="auto"/>
              <w:right w:val="single" w:sz="4" w:space="0" w:color="auto"/>
            </w:tcBorders>
            <w:hideMark/>
          </w:tcPr>
          <w:p w14:paraId="7B1313E0" w14:textId="77777777" w:rsidR="000C533D" w:rsidRPr="000C533D" w:rsidRDefault="000C533D" w:rsidP="000C533D">
            <w:pPr>
              <w:pStyle w:val="Body"/>
              <w:rPr>
                <w:rFonts w:ascii="Arial" w:hAnsi="Arial" w:cs="Arial"/>
                <w:b/>
                <w:sz w:val="20"/>
              </w:rPr>
            </w:pPr>
            <w:r w:rsidRPr="000C533D">
              <w:rPr>
                <w:rFonts w:ascii="Arial" w:hAnsi="Arial" w:cs="Arial"/>
                <w:b/>
                <w:sz w:val="20"/>
              </w:rPr>
              <w:t>Children</w:t>
            </w:r>
          </w:p>
        </w:tc>
      </w:tr>
      <w:tr w:rsidR="000C533D" w:rsidRPr="000C533D" w14:paraId="6F3634B3" w14:textId="77777777" w:rsidTr="00B034CF">
        <w:trPr>
          <w:trHeight w:val="440"/>
        </w:trPr>
        <w:tc>
          <w:tcPr>
            <w:tcW w:w="723" w:type="dxa"/>
            <w:tcBorders>
              <w:top w:val="single" w:sz="4" w:space="0" w:color="auto"/>
              <w:left w:val="single" w:sz="4" w:space="0" w:color="auto"/>
              <w:bottom w:val="single" w:sz="4" w:space="0" w:color="auto"/>
              <w:right w:val="single" w:sz="4" w:space="0" w:color="auto"/>
            </w:tcBorders>
            <w:hideMark/>
          </w:tcPr>
          <w:p w14:paraId="46868F1B" w14:textId="77777777" w:rsidR="000C533D" w:rsidRPr="000C533D" w:rsidRDefault="000C533D" w:rsidP="000C533D">
            <w:pPr>
              <w:pStyle w:val="Body"/>
              <w:rPr>
                <w:rFonts w:ascii="Arial" w:hAnsi="Arial" w:cs="Arial"/>
                <w:b/>
                <w:sz w:val="20"/>
              </w:rPr>
            </w:pPr>
            <w:r w:rsidRPr="000C533D">
              <w:rPr>
                <w:rFonts w:ascii="Arial" w:hAnsi="Arial" w:cs="Arial"/>
                <w:b/>
                <w:sz w:val="20"/>
              </w:rPr>
              <w:t>HMs</w:t>
            </w:r>
          </w:p>
        </w:tc>
        <w:tc>
          <w:tcPr>
            <w:tcW w:w="1162" w:type="dxa"/>
            <w:tcBorders>
              <w:top w:val="single" w:sz="4" w:space="0" w:color="auto"/>
              <w:left w:val="single" w:sz="4" w:space="0" w:color="auto"/>
              <w:bottom w:val="single" w:sz="4" w:space="0" w:color="auto"/>
              <w:right w:val="single" w:sz="4" w:space="0" w:color="auto"/>
            </w:tcBorders>
            <w:hideMark/>
          </w:tcPr>
          <w:p w14:paraId="332CCB16"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(MM)</w:t>
            </w:r>
          </w:p>
        </w:tc>
        <w:tc>
          <w:tcPr>
            <w:tcW w:w="990" w:type="dxa"/>
            <w:tcBorders>
              <w:top w:val="single" w:sz="4" w:space="0" w:color="auto"/>
              <w:left w:val="single" w:sz="4" w:space="0" w:color="auto"/>
              <w:bottom w:val="single" w:sz="4" w:space="0" w:color="auto"/>
              <w:right w:val="single" w:sz="4" w:space="0" w:color="auto"/>
            </w:tcBorders>
            <w:hideMark/>
          </w:tcPr>
          <w:p w14:paraId="5877E162" w14:textId="77777777" w:rsidR="000C533D" w:rsidRPr="000C533D"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0A0E5701"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632C7224" w14:textId="77777777" w:rsidR="000C533D" w:rsidRPr="000C533D"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3B23B26F"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c>
          <w:tcPr>
            <w:tcW w:w="1440" w:type="dxa"/>
            <w:tcBorders>
              <w:top w:val="single" w:sz="4" w:space="0" w:color="auto"/>
              <w:left w:val="single" w:sz="4" w:space="0" w:color="auto"/>
              <w:bottom w:val="single" w:sz="4" w:space="0" w:color="auto"/>
              <w:right w:val="single" w:sz="4" w:space="0" w:color="auto"/>
            </w:tcBorders>
            <w:hideMark/>
          </w:tcPr>
          <w:p w14:paraId="6381209E"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(MM)</w:t>
            </w:r>
          </w:p>
        </w:tc>
        <w:tc>
          <w:tcPr>
            <w:tcW w:w="1260" w:type="dxa"/>
            <w:tcBorders>
              <w:top w:val="single" w:sz="4" w:space="0" w:color="auto"/>
              <w:left w:val="single" w:sz="4" w:space="0" w:color="auto"/>
              <w:bottom w:val="single" w:sz="4" w:space="0" w:color="auto"/>
              <w:right w:val="single" w:sz="4" w:space="0" w:color="auto"/>
            </w:tcBorders>
            <w:hideMark/>
          </w:tcPr>
          <w:p w14:paraId="6BCD347F" w14:textId="77777777" w:rsidR="008E20DC"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3A63E9F1"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350" w:type="dxa"/>
            <w:tcBorders>
              <w:top w:val="single" w:sz="4" w:space="0" w:color="auto"/>
              <w:left w:val="single" w:sz="4" w:space="0" w:color="auto"/>
              <w:bottom w:val="single" w:sz="4" w:space="0" w:color="auto"/>
              <w:right w:val="single" w:sz="4" w:space="0" w:color="auto"/>
            </w:tcBorders>
            <w:hideMark/>
          </w:tcPr>
          <w:p w14:paraId="26129B7E" w14:textId="77777777" w:rsidR="000C533D" w:rsidRPr="000C533D" w:rsidRDefault="000C533D" w:rsidP="00B034CF">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ing</w:t>
            </w:r>
            <w:proofErr w:type="spellEnd"/>
            <w:r w:rsidRPr="000C533D">
              <w:rPr>
                <w:rFonts w:ascii="Arial" w:hAnsi="Arial" w:cs="Arial"/>
                <w:b/>
                <w:sz w:val="20"/>
              </w:rPr>
              <w:t xml:space="preserve"> </w:t>
            </w:r>
          </w:p>
          <w:p w14:paraId="32E3FB8E"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r>
      <w:tr w:rsidR="000C533D" w:rsidRPr="000C533D" w14:paraId="5FF3B6D6"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D90A720" w14:textId="77777777" w:rsidR="000C533D" w:rsidRPr="000C533D" w:rsidRDefault="000C533D" w:rsidP="000C533D">
            <w:pPr>
              <w:pStyle w:val="Body"/>
              <w:rPr>
                <w:rFonts w:ascii="Arial" w:hAnsi="Arial" w:cs="Arial"/>
                <w:sz w:val="20"/>
              </w:rPr>
            </w:pPr>
            <w:r w:rsidRPr="000C533D">
              <w:rPr>
                <w:rFonts w:ascii="Arial" w:hAnsi="Arial" w:cs="Arial"/>
                <w:sz w:val="20"/>
              </w:rPr>
              <w:t>Cr</w:t>
            </w:r>
          </w:p>
        </w:tc>
        <w:tc>
          <w:tcPr>
            <w:tcW w:w="1162" w:type="dxa"/>
            <w:tcBorders>
              <w:top w:val="single" w:sz="4" w:space="0" w:color="auto"/>
              <w:left w:val="single" w:sz="4" w:space="0" w:color="auto"/>
              <w:bottom w:val="single" w:sz="4" w:space="0" w:color="auto"/>
              <w:right w:val="single" w:sz="4" w:space="0" w:color="auto"/>
            </w:tcBorders>
            <w:hideMark/>
          </w:tcPr>
          <w:p w14:paraId="01681FEA" w14:textId="77777777" w:rsidR="000C533D" w:rsidRPr="000C533D" w:rsidRDefault="000C533D" w:rsidP="000C533D">
            <w:pPr>
              <w:pStyle w:val="Body"/>
              <w:rPr>
                <w:rFonts w:ascii="Arial" w:hAnsi="Arial" w:cs="Arial"/>
                <w:sz w:val="20"/>
              </w:rPr>
            </w:pPr>
            <w:r w:rsidRPr="000C533D">
              <w:rPr>
                <w:rFonts w:ascii="Arial" w:hAnsi="Arial" w:cs="Arial"/>
                <w:sz w:val="20"/>
              </w:rPr>
              <w:t>7.36E-2</w:t>
            </w:r>
          </w:p>
        </w:tc>
        <w:tc>
          <w:tcPr>
            <w:tcW w:w="990" w:type="dxa"/>
            <w:tcBorders>
              <w:top w:val="single" w:sz="4" w:space="0" w:color="auto"/>
              <w:left w:val="single" w:sz="4" w:space="0" w:color="auto"/>
              <w:bottom w:val="single" w:sz="4" w:space="0" w:color="auto"/>
              <w:right w:val="single" w:sz="4" w:space="0" w:color="auto"/>
            </w:tcBorders>
            <w:hideMark/>
          </w:tcPr>
          <w:p w14:paraId="129D0AB5" w14:textId="77777777" w:rsidR="000C533D" w:rsidRPr="000C533D" w:rsidRDefault="000C533D" w:rsidP="000C533D">
            <w:pPr>
              <w:pStyle w:val="Body"/>
              <w:rPr>
                <w:rFonts w:ascii="Arial" w:hAnsi="Arial" w:cs="Arial"/>
                <w:sz w:val="20"/>
              </w:rPr>
            </w:pPr>
            <w:r w:rsidRPr="000C533D">
              <w:rPr>
                <w:rFonts w:ascii="Arial" w:hAnsi="Arial" w:cs="Arial"/>
                <w:sz w:val="20"/>
              </w:rPr>
              <w:t>1.17E-1</w:t>
            </w:r>
          </w:p>
        </w:tc>
        <w:tc>
          <w:tcPr>
            <w:tcW w:w="1260" w:type="dxa"/>
            <w:tcBorders>
              <w:top w:val="single" w:sz="4" w:space="0" w:color="auto"/>
              <w:left w:val="single" w:sz="4" w:space="0" w:color="auto"/>
              <w:bottom w:val="single" w:sz="4" w:space="0" w:color="auto"/>
              <w:right w:val="single" w:sz="4" w:space="0" w:color="auto"/>
            </w:tcBorders>
            <w:hideMark/>
          </w:tcPr>
          <w:p w14:paraId="2DB08C29" w14:textId="77777777" w:rsidR="000C533D" w:rsidRPr="000C533D" w:rsidRDefault="000C533D" w:rsidP="000C533D">
            <w:pPr>
              <w:pStyle w:val="Body"/>
              <w:rPr>
                <w:rFonts w:ascii="Arial" w:hAnsi="Arial" w:cs="Arial"/>
                <w:sz w:val="20"/>
              </w:rPr>
            </w:pPr>
            <w:r w:rsidRPr="000C533D">
              <w:rPr>
                <w:rFonts w:ascii="Arial" w:hAnsi="Arial" w:cs="Arial"/>
                <w:sz w:val="20"/>
              </w:rPr>
              <w:t>1.93E-1</w:t>
            </w:r>
          </w:p>
        </w:tc>
        <w:tc>
          <w:tcPr>
            <w:tcW w:w="1440" w:type="dxa"/>
            <w:tcBorders>
              <w:top w:val="single" w:sz="4" w:space="0" w:color="auto"/>
              <w:left w:val="single" w:sz="4" w:space="0" w:color="auto"/>
              <w:bottom w:val="single" w:sz="4" w:space="0" w:color="auto"/>
              <w:right w:val="single" w:sz="4" w:space="0" w:color="auto"/>
            </w:tcBorders>
            <w:hideMark/>
          </w:tcPr>
          <w:p w14:paraId="68FDCE08" w14:textId="77777777" w:rsidR="000C533D" w:rsidRPr="000C533D" w:rsidRDefault="000C533D" w:rsidP="000C533D">
            <w:pPr>
              <w:pStyle w:val="Body"/>
              <w:rPr>
                <w:rFonts w:ascii="Arial" w:hAnsi="Arial" w:cs="Arial"/>
                <w:sz w:val="20"/>
              </w:rPr>
            </w:pPr>
            <w:r w:rsidRPr="000C533D">
              <w:rPr>
                <w:rFonts w:ascii="Arial" w:hAnsi="Arial" w:cs="Arial"/>
                <w:sz w:val="20"/>
              </w:rPr>
              <w:t>3.43E-1</w:t>
            </w:r>
          </w:p>
        </w:tc>
        <w:tc>
          <w:tcPr>
            <w:tcW w:w="1260" w:type="dxa"/>
            <w:tcBorders>
              <w:top w:val="single" w:sz="4" w:space="0" w:color="auto"/>
              <w:left w:val="single" w:sz="4" w:space="0" w:color="auto"/>
              <w:bottom w:val="single" w:sz="4" w:space="0" w:color="auto"/>
              <w:right w:val="single" w:sz="4" w:space="0" w:color="auto"/>
            </w:tcBorders>
            <w:hideMark/>
          </w:tcPr>
          <w:p w14:paraId="6BD5F5E3" w14:textId="77777777" w:rsidR="000C533D" w:rsidRPr="000C533D" w:rsidRDefault="000C533D" w:rsidP="000C533D">
            <w:pPr>
              <w:pStyle w:val="Body"/>
              <w:rPr>
                <w:rFonts w:ascii="Arial" w:hAnsi="Arial" w:cs="Arial"/>
                <w:sz w:val="20"/>
              </w:rPr>
            </w:pPr>
            <w:r w:rsidRPr="000C533D">
              <w:rPr>
                <w:rFonts w:ascii="Arial" w:hAnsi="Arial" w:cs="Arial"/>
                <w:sz w:val="20"/>
              </w:rPr>
              <w:t>5.50E-1</w:t>
            </w:r>
          </w:p>
        </w:tc>
        <w:tc>
          <w:tcPr>
            <w:tcW w:w="1350" w:type="dxa"/>
            <w:tcBorders>
              <w:top w:val="single" w:sz="4" w:space="0" w:color="auto"/>
              <w:left w:val="single" w:sz="4" w:space="0" w:color="auto"/>
              <w:bottom w:val="single" w:sz="4" w:space="0" w:color="auto"/>
              <w:right w:val="single" w:sz="4" w:space="0" w:color="auto"/>
            </w:tcBorders>
            <w:hideMark/>
          </w:tcPr>
          <w:p w14:paraId="0A46FA0F" w14:textId="77777777" w:rsidR="000C533D" w:rsidRPr="000C533D" w:rsidRDefault="000C533D" w:rsidP="000C533D">
            <w:pPr>
              <w:pStyle w:val="Body"/>
              <w:rPr>
                <w:rFonts w:ascii="Arial" w:hAnsi="Arial" w:cs="Arial"/>
                <w:sz w:val="20"/>
              </w:rPr>
            </w:pPr>
            <w:r w:rsidRPr="000C533D">
              <w:rPr>
                <w:rFonts w:ascii="Arial" w:hAnsi="Arial" w:cs="Arial"/>
                <w:sz w:val="20"/>
              </w:rPr>
              <w:t>9.00E-1</w:t>
            </w:r>
          </w:p>
        </w:tc>
      </w:tr>
      <w:tr w:rsidR="000C533D" w:rsidRPr="000C533D" w14:paraId="163AA744"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23BA2216" w14:textId="77777777" w:rsidR="000C533D" w:rsidRPr="000C533D" w:rsidRDefault="000C533D" w:rsidP="000C533D">
            <w:pPr>
              <w:pStyle w:val="Body"/>
              <w:rPr>
                <w:rFonts w:ascii="Arial" w:hAnsi="Arial" w:cs="Arial"/>
                <w:sz w:val="20"/>
              </w:rPr>
            </w:pPr>
            <w:r w:rsidRPr="000C533D">
              <w:rPr>
                <w:rFonts w:ascii="Arial" w:hAnsi="Arial" w:cs="Arial"/>
                <w:sz w:val="20"/>
              </w:rPr>
              <w:t>Cd</w:t>
            </w:r>
          </w:p>
        </w:tc>
        <w:tc>
          <w:tcPr>
            <w:tcW w:w="1162" w:type="dxa"/>
            <w:tcBorders>
              <w:top w:val="single" w:sz="4" w:space="0" w:color="auto"/>
              <w:left w:val="single" w:sz="4" w:space="0" w:color="auto"/>
              <w:bottom w:val="single" w:sz="4" w:space="0" w:color="auto"/>
              <w:right w:val="single" w:sz="4" w:space="0" w:color="auto"/>
            </w:tcBorders>
            <w:hideMark/>
          </w:tcPr>
          <w:p w14:paraId="36BA6083" w14:textId="77777777" w:rsidR="000C533D" w:rsidRPr="000C533D" w:rsidRDefault="000C533D" w:rsidP="000C533D">
            <w:pPr>
              <w:pStyle w:val="Body"/>
              <w:rPr>
                <w:rFonts w:ascii="Arial" w:hAnsi="Arial" w:cs="Arial"/>
                <w:sz w:val="20"/>
              </w:rPr>
            </w:pPr>
            <w:r w:rsidRPr="000C533D">
              <w:rPr>
                <w:rFonts w:ascii="Arial" w:hAnsi="Arial" w:cs="Arial"/>
                <w:sz w:val="20"/>
              </w:rPr>
              <w:t>2.21E-2</w:t>
            </w:r>
          </w:p>
        </w:tc>
        <w:tc>
          <w:tcPr>
            <w:tcW w:w="990" w:type="dxa"/>
            <w:tcBorders>
              <w:top w:val="single" w:sz="4" w:space="0" w:color="auto"/>
              <w:left w:val="single" w:sz="4" w:space="0" w:color="auto"/>
              <w:bottom w:val="single" w:sz="4" w:space="0" w:color="auto"/>
              <w:right w:val="single" w:sz="4" w:space="0" w:color="auto"/>
            </w:tcBorders>
            <w:hideMark/>
          </w:tcPr>
          <w:p w14:paraId="2715561C" w14:textId="77777777" w:rsidR="000C533D" w:rsidRPr="000C533D" w:rsidRDefault="000C533D" w:rsidP="000C533D">
            <w:pPr>
              <w:pStyle w:val="Body"/>
              <w:rPr>
                <w:rFonts w:ascii="Arial" w:hAnsi="Arial" w:cs="Arial"/>
                <w:sz w:val="20"/>
              </w:rPr>
            </w:pPr>
            <w:r w:rsidRPr="000C533D">
              <w:rPr>
                <w:rFonts w:ascii="Arial" w:hAnsi="Arial" w:cs="Arial"/>
                <w:sz w:val="20"/>
              </w:rPr>
              <w:t>6.12E-2</w:t>
            </w:r>
          </w:p>
        </w:tc>
        <w:tc>
          <w:tcPr>
            <w:tcW w:w="1260" w:type="dxa"/>
            <w:tcBorders>
              <w:top w:val="single" w:sz="4" w:space="0" w:color="auto"/>
              <w:left w:val="single" w:sz="4" w:space="0" w:color="auto"/>
              <w:bottom w:val="single" w:sz="4" w:space="0" w:color="auto"/>
              <w:right w:val="single" w:sz="4" w:space="0" w:color="auto"/>
            </w:tcBorders>
            <w:hideMark/>
          </w:tcPr>
          <w:p w14:paraId="789545D0" w14:textId="77777777" w:rsidR="000C533D" w:rsidRPr="000C533D" w:rsidRDefault="000C533D" w:rsidP="000C533D">
            <w:pPr>
              <w:pStyle w:val="Body"/>
              <w:rPr>
                <w:rFonts w:ascii="Arial" w:hAnsi="Arial" w:cs="Arial"/>
                <w:sz w:val="20"/>
              </w:rPr>
            </w:pPr>
            <w:r w:rsidRPr="000C533D">
              <w:rPr>
                <w:rFonts w:ascii="Arial" w:hAnsi="Arial" w:cs="Arial"/>
                <w:sz w:val="20"/>
              </w:rPr>
              <w:t>1.16E-1</w:t>
            </w:r>
          </w:p>
        </w:tc>
        <w:tc>
          <w:tcPr>
            <w:tcW w:w="1440" w:type="dxa"/>
            <w:tcBorders>
              <w:top w:val="single" w:sz="4" w:space="0" w:color="auto"/>
              <w:left w:val="single" w:sz="4" w:space="0" w:color="auto"/>
              <w:bottom w:val="single" w:sz="4" w:space="0" w:color="auto"/>
              <w:right w:val="single" w:sz="4" w:space="0" w:color="auto"/>
            </w:tcBorders>
            <w:hideMark/>
          </w:tcPr>
          <w:p w14:paraId="11A42E02" w14:textId="77777777" w:rsidR="000C533D" w:rsidRPr="000C533D" w:rsidRDefault="000C533D" w:rsidP="000C533D">
            <w:pPr>
              <w:pStyle w:val="Body"/>
              <w:rPr>
                <w:rFonts w:ascii="Arial" w:hAnsi="Arial" w:cs="Arial"/>
                <w:sz w:val="20"/>
              </w:rPr>
            </w:pPr>
            <w:r w:rsidRPr="000C533D">
              <w:rPr>
                <w:rFonts w:ascii="Arial" w:hAnsi="Arial" w:cs="Arial"/>
                <w:sz w:val="20"/>
              </w:rPr>
              <w:t>2.07E-1</w:t>
            </w:r>
          </w:p>
        </w:tc>
        <w:tc>
          <w:tcPr>
            <w:tcW w:w="1260" w:type="dxa"/>
            <w:tcBorders>
              <w:top w:val="single" w:sz="4" w:space="0" w:color="auto"/>
              <w:left w:val="single" w:sz="4" w:space="0" w:color="auto"/>
              <w:bottom w:val="single" w:sz="4" w:space="0" w:color="auto"/>
              <w:right w:val="single" w:sz="4" w:space="0" w:color="auto"/>
            </w:tcBorders>
            <w:hideMark/>
          </w:tcPr>
          <w:p w14:paraId="6285B680" w14:textId="77777777" w:rsidR="000C533D" w:rsidRPr="000C533D" w:rsidRDefault="000C533D" w:rsidP="000C533D">
            <w:pPr>
              <w:pStyle w:val="Body"/>
              <w:rPr>
                <w:rFonts w:ascii="Arial" w:hAnsi="Arial" w:cs="Arial"/>
                <w:sz w:val="20"/>
              </w:rPr>
            </w:pPr>
            <w:r w:rsidRPr="000C533D">
              <w:rPr>
                <w:rFonts w:ascii="Arial" w:hAnsi="Arial" w:cs="Arial"/>
                <w:sz w:val="20"/>
              </w:rPr>
              <w:t>2.86E-1</w:t>
            </w:r>
          </w:p>
        </w:tc>
        <w:tc>
          <w:tcPr>
            <w:tcW w:w="1350" w:type="dxa"/>
            <w:tcBorders>
              <w:top w:val="single" w:sz="4" w:space="0" w:color="auto"/>
              <w:left w:val="single" w:sz="4" w:space="0" w:color="auto"/>
              <w:bottom w:val="single" w:sz="4" w:space="0" w:color="auto"/>
              <w:right w:val="single" w:sz="4" w:space="0" w:color="auto"/>
            </w:tcBorders>
            <w:hideMark/>
          </w:tcPr>
          <w:p w14:paraId="3EB73A0C" w14:textId="77777777" w:rsidR="000C533D" w:rsidRPr="000C533D" w:rsidRDefault="000C533D" w:rsidP="000C533D">
            <w:pPr>
              <w:pStyle w:val="Body"/>
              <w:rPr>
                <w:rFonts w:ascii="Arial" w:hAnsi="Arial" w:cs="Arial"/>
                <w:sz w:val="20"/>
              </w:rPr>
            </w:pPr>
            <w:r w:rsidRPr="000C533D">
              <w:rPr>
                <w:rFonts w:ascii="Arial" w:hAnsi="Arial" w:cs="Arial"/>
                <w:sz w:val="20"/>
              </w:rPr>
              <w:t>5.42E-1</w:t>
            </w:r>
          </w:p>
        </w:tc>
      </w:tr>
      <w:tr w:rsidR="000C533D" w:rsidRPr="000C533D" w14:paraId="1AAE8049"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632FAB6D" w14:textId="77777777" w:rsidR="000C533D" w:rsidRPr="000C533D" w:rsidRDefault="000C533D" w:rsidP="000C533D">
            <w:pPr>
              <w:pStyle w:val="Body"/>
              <w:rPr>
                <w:rFonts w:ascii="Arial" w:hAnsi="Arial" w:cs="Arial"/>
                <w:sz w:val="20"/>
              </w:rPr>
            </w:pPr>
            <w:r w:rsidRPr="000C533D">
              <w:rPr>
                <w:rFonts w:ascii="Arial" w:hAnsi="Arial" w:cs="Arial"/>
                <w:sz w:val="20"/>
              </w:rPr>
              <w:t>Cu</w:t>
            </w:r>
          </w:p>
        </w:tc>
        <w:tc>
          <w:tcPr>
            <w:tcW w:w="1162" w:type="dxa"/>
            <w:tcBorders>
              <w:top w:val="single" w:sz="4" w:space="0" w:color="auto"/>
              <w:left w:val="single" w:sz="4" w:space="0" w:color="auto"/>
              <w:bottom w:val="single" w:sz="4" w:space="0" w:color="auto"/>
              <w:right w:val="single" w:sz="4" w:space="0" w:color="auto"/>
            </w:tcBorders>
            <w:hideMark/>
          </w:tcPr>
          <w:p w14:paraId="36D058A1" w14:textId="77777777" w:rsidR="000C533D" w:rsidRPr="000C533D" w:rsidRDefault="000C533D" w:rsidP="000C533D">
            <w:pPr>
              <w:pStyle w:val="Body"/>
              <w:rPr>
                <w:rFonts w:ascii="Arial" w:hAnsi="Arial" w:cs="Arial"/>
                <w:sz w:val="20"/>
              </w:rPr>
            </w:pPr>
            <w:r w:rsidRPr="000C533D">
              <w:rPr>
                <w:rFonts w:ascii="Arial" w:hAnsi="Arial" w:cs="Arial"/>
                <w:sz w:val="20"/>
              </w:rPr>
              <w:t>3.50E-5</w:t>
            </w:r>
          </w:p>
        </w:tc>
        <w:tc>
          <w:tcPr>
            <w:tcW w:w="990" w:type="dxa"/>
            <w:tcBorders>
              <w:top w:val="single" w:sz="4" w:space="0" w:color="auto"/>
              <w:left w:val="single" w:sz="4" w:space="0" w:color="auto"/>
              <w:bottom w:val="single" w:sz="4" w:space="0" w:color="auto"/>
              <w:right w:val="single" w:sz="4" w:space="0" w:color="auto"/>
            </w:tcBorders>
            <w:hideMark/>
          </w:tcPr>
          <w:p w14:paraId="71E4DEC5" w14:textId="77777777" w:rsidR="000C533D" w:rsidRPr="000C533D" w:rsidRDefault="000C533D" w:rsidP="000C533D">
            <w:pPr>
              <w:pStyle w:val="Body"/>
              <w:rPr>
                <w:rFonts w:ascii="Arial" w:hAnsi="Arial" w:cs="Arial"/>
                <w:sz w:val="20"/>
              </w:rPr>
            </w:pPr>
            <w:r w:rsidRPr="000C533D">
              <w:rPr>
                <w:rFonts w:ascii="Arial" w:hAnsi="Arial" w:cs="Arial"/>
                <w:sz w:val="20"/>
              </w:rPr>
              <w:t>1.76E-5</w:t>
            </w:r>
          </w:p>
        </w:tc>
        <w:tc>
          <w:tcPr>
            <w:tcW w:w="1260" w:type="dxa"/>
            <w:tcBorders>
              <w:top w:val="single" w:sz="4" w:space="0" w:color="auto"/>
              <w:left w:val="single" w:sz="4" w:space="0" w:color="auto"/>
              <w:bottom w:val="single" w:sz="4" w:space="0" w:color="auto"/>
              <w:right w:val="single" w:sz="4" w:space="0" w:color="auto"/>
            </w:tcBorders>
            <w:hideMark/>
          </w:tcPr>
          <w:p w14:paraId="744313F0" w14:textId="77777777" w:rsidR="000C533D" w:rsidRPr="000C533D" w:rsidRDefault="000C533D" w:rsidP="000C533D">
            <w:pPr>
              <w:pStyle w:val="Body"/>
              <w:rPr>
                <w:rFonts w:ascii="Arial" w:hAnsi="Arial" w:cs="Arial"/>
                <w:sz w:val="20"/>
              </w:rPr>
            </w:pPr>
            <w:r w:rsidRPr="000C533D">
              <w:rPr>
                <w:rFonts w:ascii="Arial" w:hAnsi="Arial" w:cs="Arial"/>
                <w:sz w:val="20"/>
              </w:rPr>
              <w:t>5.27E-5</w:t>
            </w:r>
          </w:p>
        </w:tc>
        <w:tc>
          <w:tcPr>
            <w:tcW w:w="1440" w:type="dxa"/>
            <w:tcBorders>
              <w:top w:val="single" w:sz="4" w:space="0" w:color="auto"/>
              <w:left w:val="single" w:sz="4" w:space="0" w:color="auto"/>
              <w:bottom w:val="single" w:sz="4" w:space="0" w:color="auto"/>
              <w:right w:val="single" w:sz="4" w:space="0" w:color="auto"/>
            </w:tcBorders>
            <w:hideMark/>
          </w:tcPr>
          <w:p w14:paraId="4C60DF70" w14:textId="77777777" w:rsidR="000C533D" w:rsidRPr="000C533D" w:rsidRDefault="000C533D" w:rsidP="000C533D">
            <w:pPr>
              <w:pStyle w:val="Body"/>
              <w:rPr>
                <w:rFonts w:ascii="Arial" w:hAnsi="Arial" w:cs="Arial"/>
                <w:sz w:val="20"/>
              </w:rPr>
            </w:pPr>
            <w:r w:rsidRPr="000C533D">
              <w:rPr>
                <w:rFonts w:ascii="Arial" w:hAnsi="Arial" w:cs="Arial"/>
                <w:sz w:val="20"/>
              </w:rPr>
              <w:t>1.64E-4</w:t>
            </w:r>
          </w:p>
        </w:tc>
        <w:tc>
          <w:tcPr>
            <w:tcW w:w="1260" w:type="dxa"/>
            <w:tcBorders>
              <w:top w:val="single" w:sz="4" w:space="0" w:color="auto"/>
              <w:left w:val="single" w:sz="4" w:space="0" w:color="auto"/>
              <w:bottom w:val="single" w:sz="4" w:space="0" w:color="auto"/>
              <w:right w:val="single" w:sz="4" w:space="0" w:color="auto"/>
            </w:tcBorders>
            <w:hideMark/>
          </w:tcPr>
          <w:p w14:paraId="3B68B244" w14:textId="77777777" w:rsidR="000C533D" w:rsidRPr="000C533D" w:rsidRDefault="000C533D" w:rsidP="000C533D">
            <w:pPr>
              <w:pStyle w:val="Body"/>
              <w:rPr>
                <w:rFonts w:ascii="Arial" w:hAnsi="Arial" w:cs="Arial"/>
                <w:sz w:val="20"/>
              </w:rPr>
            </w:pPr>
            <w:r w:rsidRPr="000C533D">
              <w:rPr>
                <w:rFonts w:ascii="Arial" w:hAnsi="Arial" w:cs="Arial"/>
                <w:sz w:val="20"/>
              </w:rPr>
              <w:t>8.20E-5</w:t>
            </w:r>
          </w:p>
        </w:tc>
        <w:tc>
          <w:tcPr>
            <w:tcW w:w="1350" w:type="dxa"/>
            <w:tcBorders>
              <w:top w:val="single" w:sz="4" w:space="0" w:color="auto"/>
              <w:left w:val="single" w:sz="4" w:space="0" w:color="auto"/>
              <w:bottom w:val="single" w:sz="4" w:space="0" w:color="auto"/>
              <w:right w:val="single" w:sz="4" w:space="0" w:color="auto"/>
            </w:tcBorders>
            <w:hideMark/>
          </w:tcPr>
          <w:p w14:paraId="3A8BA7BB" w14:textId="77777777" w:rsidR="000C533D" w:rsidRPr="000C533D" w:rsidRDefault="000C533D" w:rsidP="000C533D">
            <w:pPr>
              <w:pStyle w:val="Body"/>
              <w:rPr>
                <w:rFonts w:ascii="Arial" w:hAnsi="Arial" w:cs="Arial"/>
                <w:sz w:val="20"/>
              </w:rPr>
            </w:pPr>
            <w:r w:rsidRPr="000C533D">
              <w:rPr>
                <w:rFonts w:ascii="Arial" w:hAnsi="Arial" w:cs="Arial"/>
                <w:sz w:val="20"/>
              </w:rPr>
              <w:t>2.46E-4</w:t>
            </w:r>
          </w:p>
        </w:tc>
      </w:tr>
      <w:tr w:rsidR="000C533D" w:rsidRPr="000C533D" w14:paraId="60EF6F40"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337C31B5" w14:textId="77777777" w:rsidR="000C533D" w:rsidRPr="000C533D" w:rsidRDefault="000C533D" w:rsidP="000C533D">
            <w:pPr>
              <w:pStyle w:val="Body"/>
              <w:rPr>
                <w:rFonts w:ascii="Arial" w:hAnsi="Arial" w:cs="Arial"/>
                <w:sz w:val="20"/>
              </w:rPr>
            </w:pPr>
            <w:r w:rsidRPr="000C533D">
              <w:rPr>
                <w:rFonts w:ascii="Arial" w:hAnsi="Arial" w:cs="Arial"/>
                <w:sz w:val="20"/>
              </w:rPr>
              <w:t>Pb</w:t>
            </w:r>
          </w:p>
        </w:tc>
        <w:tc>
          <w:tcPr>
            <w:tcW w:w="1162" w:type="dxa"/>
            <w:tcBorders>
              <w:top w:val="single" w:sz="4" w:space="0" w:color="auto"/>
              <w:left w:val="single" w:sz="4" w:space="0" w:color="auto"/>
              <w:bottom w:val="single" w:sz="4" w:space="0" w:color="auto"/>
              <w:right w:val="single" w:sz="4" w:space="0" w:color="auto"/>
            </w:tcBorders>
            <w:hideMark/>
          </w:tcPr>
          <w:p w14:paraId="3E8BC7A4" w14:textId="77777777" w:rsidR="000C533D" w:rsidRPr="000C533D" w:rsidRDefault="000C533D" w:rsidP="000C533D">
            <w:pPr>
              <w:pStyle w:val="Body"/>
              <w:rPr>
                <w:rFonts w:ascii="Arial" w:hAnsi="Arial" w:cs="Arial"/>
                <w:sz w:val="20"/>
              </w:rPr>
            </w:pPr>
            <w:r w:rsidRPr="000C533D">
              <w:rPr>
                <w:rFonts w:ascii="Arial" w:hAnsi="Arial" w:cs="Arial"/>
                <w:sz w:val="20"/>
              </w:rPr>
              <w:t>6.02E-4</w:t>
            </w:r>
          </w:p>
        </w:tc>
        <w:tc>
          <w:tcPr>
            <w:tcW w:w="990" w:type="dxa"/>
            <w:tcBorders>
              <w:top w:val="single" w:sz="4" w:space="0" w:color="auto"/>
              <w:left w:val="single" w:sz="4" w:space="0" w:color="auto"/>
              <w:bottom w:val="single" w:sz="4" w:space="0" w:color="auto"/>
              <w:right w:val="single" w:sz="4" w:space="0" w:color="auto"/>
            </w:tcBorders>
            <w:hideMark/>
          </w:tcPr>
          <w:p w14:paraId="1376C515" w14:textId="77777777" w:rsidR="000C533D" w:rsidRPr="000C533D" w:rsidRDefault="000C533D" w:rsidP="000C533D">
            <w:pPr>
              <w:pStyle w:val="Body"/>
              <w:rPr>
                <w:rFonts w:ascii="Arial" w:hAnsi="Arial" w:cs="Arial"/>
                <w:sz w:val="20"/>
              </w:rPr>
            </w:pPr>
            <w:r w:rsidRPr="000C533D">
              <w:rPr>
                <w:rFonts w:ascii="Arial" w:hAnsi="Arial" w:cs="Arial"/>
                <w:sz w:val="20"/>
              </w:rPr>
              <w:t>3.20E-3</w:t>
            </w:r>
          </w:p>
        </w:tc>
        <w:tc>
          <w:tcPr>
            <w:tcW w:w="1260" w:type="dxa"/>
            <w:tcBorders>
              <w:top w:val="single" w:sz="4" w:space="0" w:color="auto"/>
              <w:left w:val="single" w:sz="4" w:space="0" w:color="auto"/>
              <w:bottom w:val="single" w:sz="4" w:space="0" w:color="auto"/>
              <w:right w:val="single" w:sz="4" w:space="0" w:color="auto"/>
            </w:tcBorders>
            <w:hideMark/>
          </w:tcPr>
          <w:p w14:paraId="4E737CB0" w14:textId="77777777" w:rsidR="000C533D" w:rsidRPr="000C533D" w:rsidRDefault="000C533D" w:rsidP="000C533D">
            <w:pPr>
              <w:pStyle w:val="Body"/>
              <w:rPr>
                <w:rFonts w:ascii="Arial" w:hAnsi="Arial" w:cs="Arial"/>
                <w:sz w:val="20"/>
              </w:rPr>
            </w:pPr>
            <w:r w:rsidRPr="000C533D">
              <w:rPr>
                <w:rFonts w:ascii="Arial" w:hAnsi="Arial" w:cs="Arial"/>
                <w:sz w:val="20"/>
              </w:rPr>
              <w:t>5.62E-3</w:t>
            </w:r>
          </w:p>
        </w:tc>
        <w:tc>
          <w:tcPr>
            <w:tcW w:w="1440" w:type="dxa"/>
            <w:tcBorders>
              <w:top w:val="single" w:sz="4" w:space="0" w:color="auto"/>
              <w:left w:val="single" w:sz="4" w:space="0" w:color="auto"/>
              <w:bottom w:val="single" w:sz="4" w:space="0" w:color="auto"/>
              <w:right w:val="single" w:sz="4" w:space="0" w:color="auto"/>
            </w:tcBorders>
            <w:hideMark/>
          </w:tcPr>
          <w:p w14:paraId="3F833F68" w14:textId="77777777" w:rsidR="000C533D" w:rsidRPr="000C533D" w:rsidRDefault="000C533D" w:rsidP="000C533D">
            <w:pPr>
              <w:pStyle w:val="Body"/>
              <w:rPr>
                <w:rFonts w:ascii="Arial" w:hAnsi="Arial" w:cs="Arial"/>
                <w:sz w:val="20"/>
              </w:rPr>
            </w:pPr>
            <w:r w:rsidRPr="000C533D">
              <w:rPr>
                <w:rFonts w:ascii="Arial" w:hAnsi="Arial" w:cs="Arial"/>
                <w:sz w:val="20"/>
              </w:rPr>
              <w:t xml:space="preserve">  2.81E-3</w:t>
            </w:r>
          </w:p>
        </w:tc>
        <w:tc>
          <w:tcPr>
            <w:tcW w:w="1260" w:type="dxa"/>
            <w:tcBorders>
              <w:top w:val="single" w:sz="4" w:space="0" w:color="auto"/>
              <w:left w:val="single" w:sz="4" w:space="0" w:color="auto"/>
              <w:bottom w:val="single" w:sz="4" w:space="0" w:color="auto"/>
              <w:right w:val="single" w:sz="4" w:space="0" w:color="auto"/>
            </w:tcBorders>
            <w:hideMark/>
          </w:tcPr>
          <w:p w14:paraId="29245FF6" w14:textId="77777777" w:rsidR="000C533D" w:rsidRPr="000C533D" w:rsidRDefault="000C533D" w:rsidP="000C533D">
            <w:pPr>
              <w:pStyle w:val="Body"/>
              <w:rPr>
                <w:rFonts w:ascii="Arial" w:hAnsi="Arial" w:cs="Arial"/>
                <w:sz w:val="20"/>
              </w:rPr>
            </w:pPr>
            <w:r w:rsidRPr="000C533D">
              <w:rPr>
                <w:rFonts w:ascii="Arial" w:hAnsi="Arial" w:cs="Arial"/>
                <w:sz w:val="20"/>
              </w:rPr>
              <w:t>1.50E-2</w:t>
            </w:r>
          </w:p>
        </w:tc>
        <w:tc>
          <w:tcPr>
            <w:tcW w:w="1350" w:type="dxa"/>
            <w:tcBorders>
              <w:top w:val="single" w:sz="4" w:space="0" w:color="auto"/>
              <w:left w:val="single" w:sz="4" w:space="0" w:color="auto"/>
              <w:bottom w:val="single" w:sz="4" w:space="0" w:color="auto"/>
              <w:right w:val="single" w:sz="4" w:space="0" w:color="auto"/>
            </w:tcBorders>
            <w:hideMark/>
          </w:tcPr>
          <w:p w14:paraId="73821869" w14:textId="77777777" w:rsidR="000C533D" w:rsidRPr="000C533D" w:rsidRDefault="000C533D" w:rsidP="000C533D">
            <w:pPr>
              <w:pStyle w:val="Body"/>
              <w:rPr>
                <w:rFonts w:ascii="Arial" w:hAnsi="Arial" w:cs="Arial"/>
                <w:sz w:val="20"/>
              </w:rPr>
            </w:pPr>
            <w:r w:rsidRPr="000C533D">
              <w:rPr>
                <w:rFonts w:ascii="Arial" w:hAnsi="Arial" w:cs="Arial"/>
                <w:sz w:val="20"/>
              </w:rPr>
              <w:t>2.62E-3</w:t>
            </w:r>
          </w:p>
        </w:tc>
      </w:tr>
      <w:tr w:rsidR="000C533D" w:rsidRPr="000C533D" w14:paraId="73581C66"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5C8BD4DF" w14:textId="77777777" w:rsidR="000C533D" w:rsidRPr="000C533D" w:rsidRDefault="000C533D" w:rsidP="000C533D">
            <w:pPr>
              <w:pStyle w:val="Body"/>
              <w:rPr>
                <w:rFonts w:ascii="Arial" w:hAnsi="Arial" w:cs="Arial"/>
                <w:sz w:val="20"/>
              </w:rPr>
            </w:pPr>
            <w:r w:rsidRPr="000C533D">
              <w:rPr>
                <w:rFonts w:ascii="Arial" w:hAnsi="Arial" w:cs="Arial"/>
                <w:sz w:val="20"/>
              </w:rPr>
              <w:t>As</w:t>
            </w:r>
          </w:p>
        </w:tc>
        <w:tc>
          <w:tcPr>
            <w:tcW w:w="1162" w:type="dxa"/>
            <w:tcBorders>
              <w:top w:val="single" w:sz="4" w:space="0" w:color="auto"/>
              <w:left w:val="single" w:sz="4" w:space="0" w:color="auto"/>
              <w:bottom w:val="single" w:sz="4" w:space="0" w:color="auto"/>
              <w:right w:val="single" w:sz="4" w:space="0" w:color="auto"/>
            </w:tcBorders>
            <w:hideMark/>
          </w:tcPr>
          <w:p w14:paraId="7B725B0E" w14:textId="77777777" w:rsidR="000C533D" w:rsidRPr="000C533D" w:rsidRDefault="000C533D" w:rsidP="000C533D">
            <w:pPr>
              <w:pStyle w:val="Body"/>
              <w:rPr>
                <w:rFonts w:ascii="Arial" w:hAnsi="Arial" w:cs="Arial"/>
                <w:sz w:val="20"/>
              </w:rPr>
            </w:pPr>
            <w:r w:rsidRPr="000C533D">
              <w:rPr>
                <w:rFonts w:ascii="Arial" w:hAnsi="Arial" w:cs="Arial"/>
                <w:sz w:val="20"/>
              </w:rPr>
              <w:t>2.34E-3</w:t>
            </w:r>
          </w:p>
        </w:tc>
        <w:tc>
          <w:tcPr>
            <w:tcW w:w="990" w:type="dxa"/>
            <w:tcBorders>
              <w:top w:val="single" w:sz="4" w:space="0" w:color="auto"/>
              <w:left w:val="single" w:sz="4" w:space="0" w:color="auto"/>
              <w:bottom w:val="single" w:sz="4" w:space="0" w:color="auto"/>
              <w:right w:val="single" w:sz="4" w:space="0" w:color="auto"/>
            </w:tcBorders>
            <w:hideMark/>
          </w:tcPr>
          <w:p w14:paraId="6D1C2570" w14:textId="77777777" w:rsidR="000C533D" w:rsidRPr="000C533D" w:rsidRDefault="000C533D" w:rsidP="000C533D">
            <w:pPr>
              <w:pStyle w:val="Body"/>
              <w:rPr>
                <w:rFonts w:ascii="Arial" w:hAnsi="Arial" w:cs="Arial"/>
                <w:sz w:val="20"/>
              </w:rPr>
            </w:pPr>
            <w:r w:rsidRPr="000C533D">
              <w:rPr>
                <w:rFonts w:ascii="Arial" w:hAnsi="Arial" w:cs="Arial"/>
                <w:sz w:val="20"/>
              </w:rPr>
              <w:t>2.34E-3</w:t>
            </w:r>
          </w:p>
        </w:tc>
        <w:tc>
          <w:tcPr>
            <w:tcW w:w="1260" w:type="dxa"/>
            <w:tcBorders>
              <w:top w:val="single" w:sz="4" w:space="0" w:color="auto"/>
              <w:left w:val="single" w:sz="4" w:space="0" w:color="auto"/>
              <w:bottom w:val="single" w:sz="4" w:space="0" w:color="auto"/>
              <w:right w:val="single" w:sz="4" w:space="0" w:color="auto"/>
            </w:tcBorders>
            <w:hideMark/>
          </w:tcPr>
          <w:p w14:paraId="6BD5358B" w14:textId="77777777" w:rsidR="000C533D" w:rsidRPr="000C533D" w:rsidRDefault="000C533D" w:rsidP="000C533D">
            <w:pPr>
              <w:pStyle w:val="Body"/>
              <w:rPr>
                <w:rFonts w:ascii="Arial" w:hAnsi="Arial" w:cs="Arial"/>
                <w:sz w:val="20"/>
              </w:rPr>
            </w:pPr>
            <w:r w:rsidRPr="000C533D">
              <w:rPr>
                <w:rFonts w:ascii="Arial" w:hAnsi="Arial" w:cs="Arial"/>
                <w:sz w:val="20"/>
              </w:rPr>
              <w:t>2.34E-3</w:t>
            </w:r>
          </w:p>
        </w:tc>
        <w:tc>
          <w:tcPr>
            <w:tcW w:w="1440" w:type="dxa"/>
            <w:tcBorders>
              <w:top w:val="single" w:sz="4" w:space="0" w:color="auto"/>
              <w:left w:val="single" w:sz="4" w:space="0" w:color="auto"/>
              <w:bottom w:val="single" w:sz="4" w:space="0" w:color="auto"/>
              <w:right w:val="single" w:sz="4" w:space="0" w:color="auto"/>
            </w:tcBorders>
            <w:hideMark/>
          </w:tcPr>
          <w:p w14:paraId="6D73F913" w14:textId="77777777" w:rsidR="000C533D" w:rsidRPr="000C533D" w:rsidRDefault="000C533D" w:rsidP="000C533D">
            <w:pPr>
              <w:pStyle w:val="Body"/>
              <w:rPr>
                <w:rFonts w:ascii="Arial" w:hAnsi="Arial" w:cs="Arial"/>
                <w:sz w:val="20"/>
              </w:rPr>
            </w:pPr>
            <w:r w:rsidRPr="000C533D">
              <w:rPr>
                <w:rFonts w:ascii="Arial" w:hAnsi="Arial" w:cs="Arial"/>
                <w:sz w:val="20"/>
              </w:rPr>
              <w:t>1.09E-2</w:t>
            </w:r>
          </w:p>
        </w:tc>
        <w:tc>
          <w:tcPr>
            <w:tcW w:w="1260" w:type="dxa"/>
            <w:tcBorders>
              <w:top w:val="single" w:sz="4" w:space="0" w:color="auto"/>
              <w:left w:val="single" w:sz="4" w:space="0" w:color="auto"/>
              <w:bottom w:val="single" w:sz="4" w:space="0" w:color="auto"/>
              <w:right w:val="single" w:sz="4" w:space="0" w:color="auto"/>
            </w:tcBorders>
            <w:hideMark/>
          </w:tcPr>
          <w:p w14:paraId="1527372E" w14:textId="77777777" w:rsidR="000C533D" w:rsidRPr="000C533D" w:rsidRDefault="000C533D" w:rsidP="000C533D">
            <w:pPr>
              <w:pStyle w:val="Body"/>
              <w:rPr>
                <w:rFonts w:ascii="Arial" w:hAnsi="Arial" w:cs="Arial"/>
                <w:sz w:val="20"/>
              </w:rPr>
            </w:pPr>
            <w:r w:rsidRPr="000C533D">
              <w:rPr>
                <w:rFonts w:ascii="Arial" w:hAnsi="Arial" w:cs="Arial"/>
                <w:sz w:val="20"/>
              </w:rPr>
              <w:t>1.09E-2</w:t>
            </w:r>
          </w:p>
        </w:tc>
        <w:tc>
          <w:tcPr>
            <w:tcW w:w="1350" w:type="dxa"/>
            <w:tcBorders>
              <w:top w:val="single" w:sz="4" w:space="0" w:color="auto"/>
              <w:left w:val="single" w:sz="4" w:space="0" w:color="auto"/>
              <w:bottom w:val="single" w:sz="4" w:space="0" w:color="auto"/>
              <w:right w:val="single" w:sz="4" w:space="0" w:color="auto"/>
            </w:tcBorders>
            <w:hideMark/>
          </w:tcPr>
          <w:p w14:paraId="1C7C9B22" w14:textId="77777777" w:rsidR="000C533D" w:rsidRPr="000C533D" w:rsidRDefault="000C533D" w:rsidP="000C533D">
            <w:pPr>
              <w:pStyle w:val="Body"/>
              <w:rPr>
                <w:rFonts w:ascii="Arial" w:hAnsi="Arial" w:cs="Arial"/>
                <w:sz w:val="20"/>
              </w:rPr>
            </w:pPr>
            <w:r w:rsidRPr="000C533D">
              <w:rPr>
                <w:rFonts w:ascii="Arial" w:hAnsi="Arial" w:cs="Arial"/>
                <w:sz w:val="20"/>
              </w:rPr>
              <w:t>1.09E-2</w:t>
            </w:r>
          </w:p>
        </w:tc>
      </w:tr>
      <w:tr w:rsidR="000C533D" w:rsidRPr="000C533D" w14:paraId="497E1DA9"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164665F9" w14:textId="77777777" w:rsidR="000C533D" w:rsidRPr="000C533D" w:rsidRDefault="000C533D" w:rsidP="000C533D">
            <w:pPr>
              <w:pStyle w:val="Body"/>
              <w:rPr>
                <w:rFonts w:ascii="Arial" w:hAnsi="Arial" w:cs="Arial"/>
                <w:sz w:val="20"/>
              </w:rPr>
            </w:pPr>
            <w:r w:rsidRPr="000C533D">
              <w:rPr>
                <w:rFonts w:ascii="Arial" w:hAnsi="Arial" w:cs="Arial"/>
                <w:sz w:val="20"/>
              </w:rPr>
              <w:t>Ni</w:t>
            </w:r>
          </w:p>
        </w:tc>
        <w:tc>
          <w:tcPr>
            <w:tcW w:w="1162" w:type="dxa"/>
            <w:tcBorders>
              <w:top w:val="single" w:sz="4" w:space="0" w:color="auto"/>
              <w:left w:val="single" w:sz="4" w:space="0" w:color="auto"/>
              <w:bottom w:val="single" w:sz="4" w:space="0" w:color="auto"/>
              <w:right w:val="single" w:sz="4" w:space="0" w:color="auto"/>
            </w:tcBorders>
            <w:hideMark/>
          </w:tcPr>
          <w:p w14:paraId="25C2D11C" w14:textId="77777777" w:rsidR="000C533D" w:rsidRPr="000C533D" w:rsidRDefault="000C533D" w:rsidP="000C533D">
            <w:pPr>
              <w:pStyle w:val="Body"/>
              <w:rPr>
                <w:rFonts w:ascii="Arial" w:hAnsi="Arial" w:cs="Arial"/>
                <w:sz w:val="20"/>
              </w:rPr>
            </w:pPr>
            <w:r w:rsidRPr="000C533D">
              <w:rPr>
                <w:rFonts w:ascii="Arial" w:hAnsi="Arial" w:cs="Arial"/>
                <w:sz w:val="20"/>
              </w:rPr>
              <w:t>7.10E-3</w:t>
            </w:r>
          </w:p>
        </w:tc>
        <w:tc>
          <w:tcPr>
            <w:tcW w:w="990" w:type="dxa"/>
            <w:tcBorders>
              <w:top w:val="single" w:sz="4" w:space="0" w:color="auto"/>
              <w:left w:val="single" w:sz="4" w:space="0" w:color="auto"/>
              <w:bottom w:val="single" w:sz="4" w:space="0" w:color="auto"/>
              <w:right w:val="single" w:sz="4" w:space="0" w:color="auto"/>
            </w:tcBorders>
            <w:hideMark/>
          </w:tcPr>
          <w:p w14:paraId="3DDCD5DF" w14:textId="77777777" w:rsidR="000C533D" w:rsidRPr="000C533D" w:rsidRDefault="000C533D" w:rsidP="000C533D">
            <w:pPr>
              <w:pStyle w:val="Body"/>
              <w:rPr>
                <w:rFonts w:ascii="Arial" w:hAnsi="Arial" w:cs="Arial"/>
                <w:sz w:val="20"/>
              </w:rPr>
            </w:pPr>
            <w:r w:rsidRPr="000C533D">
              <w:rPr>
                <w:rFonts w:ascii="Arial" w:hAnsi="Arial" w:cs="Arial"/>
                <w:sz w:val="20"/>
              </w:rPr>
              <w:t>2.57E-3</w:t>
            </w:r>
          </w:p>
        </w:tc>
        <w:tc>
          <w:tcPr>
            <w:tcW w:w="1260" w:type="dxa"/>
            <w:tcBorders>
              <w:top w:val="single" w:sz="4" w:space="0" w:color="auto"/>
              <w:left w:val="single" w:sz="4" w:space="0" w:color="auto"/>
              <w:bottom w:val="single" w:sz="4" w:space="0" w:color="auto"/>
              <w:right w:val="single" w:sz="4" w:space="0" w:color="auto"/>
            </w:tcBorders>
            <w:hideMark/>
          </w:tcPr>
          <w:p w14:paraId="5C05966A" w14:textId="77777777" w:rsidR="000C533D" w:rsidRPr="000C533D" w:rsidRDefault="000C533D" w:rsidP="000C533D">
            <w:pPr>
              <w:pStyle w:val="Body"/>
              <w:rPr>
                <w:rFonts w:ascii="Arial" w:hAnsi="Arial" w:cs="Arial"/>
                <w:sz w:val="20"/>
              </w:rPr>
            </w:pPr>
            <w:r w:rsidRPr="000C533D">
              <w:rPr>
                <w:rFonts w:ascii="Arial" w:hAnsi="Arial" w:cs="Arial"/>
                <w:sz w:val="20"/>
              </w:rPr>
              <w:t>4.33E-3</w:t>
            </w:r>
          </w:p>
        </w:tc>
        <w:tc>
          <w:tcPr>
            <w:tcW w:w="1440" w:type="dxa"/>
            <w:tcBorders>
              <w:top w:val="single" w:sz="4" w:space="0" w:color="auto"/>
              <w:left w:val="single" w:sz="4" w:space="0" w:color="auto"/>
              <w:bottom w:val="single" w:sz="4" w:space="0" w:color="auto"/>
              <w:right w:val="single" w:sz="4" w:space="0" w:color="auto"/>
            </w:tcBorders>
            <w:hideMark/>
          </w:tcPr>
          <w:p w14:paraId="5D684882" w14:textId="77777777" w:rsidR="000C533D" w:rsidRPr="000C533D" w:rsidRDefault="000C533D" w:rsidP="000C533D">
            <w:pPr>
              <w:pStyle w:val="Body"/>
              <w:rPr>
                <w:rFonts w:ascii="Arial" w:hAnsi="Arial" w:cs="Arial"/>
                <w:sz w:val="20"/>
              </w:rPr>
            </w:pPr>
            <w:r w:rsidRPr="000C533D">
              <w:rPr>
                <w:rFonts w:ascii="Arial" w:hAnsi="Arial" w:cs="Arial"/>
                <w:sz w:val="20"/>
              </w:rPr>
              <w:t>3.32E-2</w:t>
            </w:r>
          </w:p>
        </w:tc>
        <w:tc>
          <w:tcPr>
            <w:tcW w:w="1260" w:type="dxa"/>
            <w:tcBorders>
              <w:top w:val="single" w:sz="4" w:space="0" w:color="auto"/>
              <w:left w:val="single" w:sz="4" w:space="0" w:color="auto"/>
              <w:bottom w:val="single" w:sz="4" w:space="0" w:color="auto"/>
              <w:right w:val="single" w:sz="4" w:space="0" w:color="auto"/>
            </w:tcBorders>
            <w:hideMark/>
          </w:tcPr>
          <w:p w14:paraId="04B28191" w14:textId="77777777" w:rsidR="000C533D" w:rsidRPr="000C533D" w:rsidRDefault="000C533D" w:rsidP="000C533D">
            <w:pPr>
              <w:pStyle w:val="Body"/>
              <w:rPr>
                <w:rFonts w:ascii="Arial" w:hAnsi="Arial" w:cs="Arial"/>
                <w:sz w:val="20"/>
              </w:rPr>
            </w:pPr>
            <w:r w:rsidRPr="000C533D">
              <w:rPr>
                <w:rFonts w:ascii="Arial" w:hAnsi="Arial" w:cs="Arial"/>
                <w:sz w:val="20"/>
              </w:rPr>
              <w:t>1.20E-2</w:t>
            </w:r>
          </w:p>
        </w:tc>
        <w:tc>
          <w:tcPr>
            <w:tcW w:w="1350" w:type="dxa"/>
            <w:tcBorders>
              <w:top w:val="single" w:sz="4" w:space="0" w:color="auto"/>
              <w:left w:val="single" w:sz="4" w:space="0" w:color="auto"/>
              <w:bottom w:val="single" w:sz="4" w:space="0" w:color="auto"/>
              <w:right w:val="single" w:sz="4" w:space="0" w:color="auto"/>
            </w:tcBorders>
            <w:hideMark/>
          </w:tcPr>
          <w:p w14:paraId="4F213F16" w14:textId="77777777" w:rsidR="000C533D" w:rsidRPr="000C533D" w:rsidRDefault="000C533D" w:rsidP="000C533D">
            <w:pPr>
              <w:pStyle w:val="Body"/>
              <w:rPr>
                <w:rFonts w:ascii="Arial" w:hAnsi="Arial" w:cs="Arial"/>
                <w:sz w:val="20"/>
              </w:rPr>
            </w:pPr>
            <w:r w:rsidRPr="000C533D">
              <w:rPr>
                <w:rFonts w:ascii="Arial" w:hAnsi="Arial" w:cs="Arial"/>
                <w:sz w:val="20"/>
              </w:rPr>
              <w:t>2.00E-2</w:t>
            </w:r>
          </w:p>
        </w:tc>
      </w:tr>
      <w:tr w:rsidR="000C533D" w:rsidRPr="000C533D" w14:paraId="4FB0962D"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644C11A" w14:textId="77777777" w:rsidR="000C533D" w:rsidRPr="000C533D" w:rsidRDefault="000C533D" w:rsidP="000C533D">
            <w:pPr>
              <w:pStyle w:val="Body"/>
              <w:rPr>
                <w:rFonts w:ascii="Arial" w:hAnsi="Arial" w:cs="Arial"/>
                <w:sz w:val="20"/>
              </w:rPr>
            </w:pPr>
            <w:r w:rsidRPr="000C533D">
              <w:rPr>
                <w:rFonts w:ascii="Arial" w:hAnsi="Arial" w:cs="Arial"/>
                <w:sz w:val="20"/>
              </w:rPr>
              <w:t>Mn</w:t>
            </w:r>
          </w:p>
        </w:tc>
        <w:tc>
          <w:tcPr>
            <w:tcW w:w="1162" w:type="dxa"/>
            <w:tcBorders>
              <w:top w:val="single" w:sz="4" w:space="0" w:color="auto"/>
              <w:left w:val="single" w:sz="4" w:space="0" w:color="auto"/>
              <w:bottom w:val="single" w:sz="4" w:space="0" w:color="auto"/>
              <w:right w:val="single" w:sz="4" w:space="0" w:color="auto"/>
            </w:tcBorders>
            <w:hideMark/>
          </w:tcPr>
          <w:p w14:paraId="16B0BAB8" w14:textId="77777777" w:rsidR="000C533D" w:rsidRPr="000C533D" w:rsidRDefault="000C533D" w:rsidP="000C533D">
            <w:pPr>
              <w:pStyle w:val="Body"/>
              <w:rPr>
                <w:rFonts w:ascii="Arial" w:hAnsi="Arial" w:cs="Arial"/>
                <w:sz w:val="20"/>
              </w:rPr>
            </w:pPr>
            <w:r w:rsidRPr="000C533D">
              <w:rPr>
                <w:rFonts w:ascii="Arial" w:hAnsi="Arial" w:cs="Arial"/>
                <w:sz w:val="20"/>
              </w:rPr>
              <w:t>1.84E-3</w:t>
            </w:r>
          </w:p>
        </w:tc>
        <w:tc>
          <w:tcPr>
            <w:tcW w:w="990" w:type="dxa"/>
            <w:tcBorders>
              <w:top w:val="single" w:sz="4" w:space="0" w:color="auto"/>
              <w:left w:val="single" w:sz="4" w:space="0" w:color="auto"/>
              <w:bottom w:val="single" w:sz="4" w:space="0" w:color="auto"/>
              <w:right w:val="single" w:sz="4" w:space="0" w:color="auto"/>
            </w:tcBorders>
            <w:hideMark/>
          </w:tcPr>
          <w:p w14:paraId="14F7E822" w14:textId="77777777" w:rsidR="000C533D" w:rsidRPr="000C533D" w:rsidRDefault="000C533D" w:rsidP="000C533D">
            <w:pPr>
              <w:pStyle w:val="Body"/>
              <w:rPr>
                <w:rFonts w:ascii="Arial" w:hAnsi="Arial" w:cs="Arial"/>
                <w:sz w:val="20"/>
              </w:rPr>
            </w:pPr>
            <w:r w:rsidRPr="000C533D">
              <w:rPr>
                <w:rFonts w:ascii="Arial" w:hAnsi="Arial" w:cs="Arial"/>
                <w:sz w:val="20"/>
              </w:rPr>
              <w:t>1.42E-3</w:t>
            </w:r>
          </w:p>
        </w:tc>
        <w:tc>
          <w:tcPr>
            <w:tcW w:w="1260" w:type="dxa"/>
            <w:tcBorders>
              <w:top w:val="single" w:sz="4" w:space="0" w:color="auto"/>
              <w:left w:val="single" w:sz="4" w:space="0" w:color="auto"/>
              <w:bottom w:val="single" w:sz="4" w:space="0" w:color="auto"/>
              <w:right w:val="single" w:sz="4" w:space="0" w:color="auto"/>
            </w:tcBorders>
            <w:hideMark/>
          </w:tcPr>
          <w:p w14:paraId="0591182D" w14:textId="77777777" w:rsidR="000C533D" w:rsidRPr="000C533D" w:rsidRDefault="000C533D" w:rsidP="000C533D">
            <w:pPr>
              <w:pStyle w:val="Body"/>
              <w:rPr>
                <w:rFonts w:ascii="Arial" w:hAnsi="Arial" w:cs="Arial"/>
                <w:sz w:val="20"/>
              </w:rPr>
            </w:pPr>
            <w:r w:rsidRPr="000C533D">
              <w:rPr>
                <w:rFonts w:ascii="Arial" w:hAnsi="Arial" w:cs="Arial"/>
                <w:sz w:val="20"/>
              </w:rPr>
              <w:t>2.07E-3</w:t>
            </w:r>
          </w:p>
        </w:tc>
        <w:tc>
          <w:tcPr>
            <w:tcW w:w="1440" w:type="dxa"/>
            <w:tcBorders>
              <w:top w:val="single" w:sz="4" w:space="0" w:color="auto"/>
              <w:left w:val="single" w:sz="4" w:space="0" w:color="auto"/>
              <w:bottom w:val="single" w:sz="4" w:space="0" w:color="auto"/>
              <w:right w:val="single" w:sz="4" w:space="0" w:color="auto"/>
            </w:tcBorders>
            <w:hideMark/>
          </w:tcPr>
          <w:p w14:paraId="2A593630" w14:textId="77777777" w:rsidR="000C533D" w:rsidRPr="000C533D" w:rsidRDefault="000C533D" w:rsidP="000C533D">
            <w:pPr>
              <w:pStyle w:val="Body"/>
              <w:rPr>
                <w:rFonts w:ascii="Arial" w:hAnsi="Arial" w:cs="Arial"/>
                <w:sz w:val="20"/>
              </w:rPr>
            </w:pPr>
            <w:r w:rsidRPr="000C533D">
              <w:rPr>
                <w:rFonts w:ascii="Arial" w:hAnsi="Arial" w:cs="Arial"/>
                <w:sz w:val="20"/>
              </w:rPr>
              <w:t>8.57E-3</w:t>
            </w:r>
          </w:p>
        </w:tc>
        <w:tc>
          <w:tcPr>
            <w:tcW w:w="1260" w:type="dxa"/>
            <w:tcBorders>
              <w:top w:val="single" w:sz="4" w:space="0" w:color="auto"/>
              <w:left w:val="single" w:sz="4" w:space="0" w:color="auto"/>
              <w:bottom w:val="single" w:sz="4" w:space="0" w:color="auto"/>
              <w:right w:val="single" w:sz="4" w:space="0" w:color="auto"/>
            </w:tcBorders>
            <w:hideMark/>
          </w:tcPr>
          <w:p w14:paraId="3B809FFC" w14:textId="77777777" w:rsidR="000C533D" w:rsidRPr="000C533D" w:rsidRDefault="000C533D" w:rsidP="000C533D">
            <w:pPr>
              <w:pStyle w:val="Body"/>
              <w:rPr>
                <w:rFonts w:ascii="Arial" w:hAnsi="Arial" w:cs="Arial"/>
                <w:sz w:val="20"/>
              </w:rPr>
            </w:pPr>
            <w:r w:rsidRPr="000C533D">
              <w:rPr>
                <w:rFonts w:ascii="Arial" w:hAnsi="Arial" w:cs="Arial"/>
                <w:sz w:val="20"/>
              </w:rPr>
              <w:t>6.66E-3</w:t>
            </w:r>
          </w:p>
        </w:tc>
        <w:tc>
          <w:tcPr>
            <w:tcW w:w="1350" w:type="dxa"/>
            <w:tcBorders>
              <w:top w:val="single" w:sz="4" w:space="0" w:color="auto"/>
              <w:left w:val="single" w:sz="4" w:space="0" w:color="auto"/>
              <w:bottom w:val="single" w:sz="4" w:space="0" w:color="auto"/>
              <w:right w:val="single" w:sz="4" w:space="0" w:color="auto"/>
            </w:tcBorders>
            <w:hideMark/>
          </w:tcPr>
          <w:p w14:paraId="50866A80" w14:textId="77777777" w:rsidR="000C533D" w:rsidRPr="000C533D" w:rsidRDefault="000C533D" w:rsidP="000C533D">
            <w:pPr>
              <w:pStyle w:val="Body"/>
              <w:rPr>
                <w:rFonts w:ascii="Arial" w:hAnsi="Arial" w:cs="Arial"/>
                <w:sz w:val="20"/>
              </w:rPr>
            </w:pPr>
            <w:r w:rsidRPr="000C533D">
              <w:rPr>
                <w:rFonts w:ascii="Arial" w:hAnsi="Arial" w:cs="Arial"/>
                <w:sz w:val="20"/>
              </w:rPr>
              <w:t>9.64E-3</w:t>
            </w:r>
          </w:p>
        </w:tc>
      </w:tr>
      <w:tr w:rsidR="000C533D" w:rsidRPr="000C533D" w14:paraId="1CF2BB4B"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447E28D8" w14:textId="77777777" w:rsidR="000C533D" w:rsidRPr="000C533D" w:rsidRDefault="000C533D" w:rsidP="000C533D">
            <w:pPr>
              <w:pStyle w:val="Body"/>
              <w:rPr>
                <w:rFonts w:ascii="Arial" w:hAnsi="Arial" w:cs="Arial"/>
                <w:sz w:val="20"/>
              </w:rPr>
            </w:pPr>
            <w:r w:rsidRPr="000C533D">
              <w:rPr>
                <w:rFonts w:ascii="Arial" w:hAnsi="Arial" w:cs="Arial"/>
                <w:sz w:val="20"/>
              </w:rPr>
              <w:t>HI</w:t>
            </w:r>
          </w:p>
        </w:tc>
        <w:tc>
          <w:tcPr>
            <w:tcW w:w="1162" w:type="dxa"/>
            <w:tcBorders>
              <w:top w:val="single" w:sz="4" w:space="0" w:color="auto"/>
              <w:left w:val="single" w:sz="4" w:space="0" w:color="auto"/>
              <w:bottom w:val="single" w:sz="4" w:space="0" w:color="auto"/>
              <w:right w:val="single" w:sz="4" w:space="0" w:color="auto"/>
            </w:tcBorders>
            <w:hideMark/>
          </w:tcPr>
          <w:p w14:paraId="36F1C0E8" w14:textId="77777777" w:rsidR="000C533D" w:rsidRPr="000C533D" w:rsidRDefault="000C533D" w:rsidP="000C533D">
            <w:pPr>
              <w:pStyle w:val="Body"/>
              <w:rPr>
                <w:rFonts w:ascii="Arial" w:hAnsi="Arial" w:cs="Arial"/>
                <w:sz w:val="20"/>
              </w:rPr>
            </w:pPr>
            <w:r w:rsidRPr="000C533D">
              <w:rPr>
                <w:rFonts w:ascii="Arial" w:hAnsi="Arial" w:cs="Arial"/>
                <w:sz w:val="20"/>
              </w:rPr>
              <w:t>1.07E-1</w:t>
            </w:r>
          </w:p>
        </w:tc>
        <w:tc>
          <w:tcPr>
            <w:tcW w:w="990" w:type="dxa"/>
            <w:tcBorders>
              <w:top w:val="single" w:sz="4" w:space="0" w:color="auto"/>
              <w:left w:val="single" w:sz="4" w:space="0" w:color="auto"/>
              <w:bottom w:val="single" w:sz="4" w:space="0" w:color="auto"/>
              <w:right w:val="single" w:sz="4" w:space="0" w:color="auto"/>
            </w:tcBorders>
            <w:hideMark/>
          </w:tcPr>
          <w:p w14:paraId="73826755" w14:textId="77777777" w:rsidR="000C533D" w:rsidRPr="000C533D" w:rsidRDefault="000C533D" w:rsidP="000C533D">
            <w:pPr>
              <w:pStyle w:val="Body"/>
              <w:rPr>
                <w:rFonts w:ascii="Arial" w:hAnsi="Arial" w:cs="Arial"/>
                <w:sz w:val="20"/>
              </w:rPr>
            </w:pPr>
            <w:r w:rsidRPr="000C533D">
              <w:rPr>
                <w:rFonts w:ascii="Arial" w:hAnsi="Arial" w:cs="Arial"/>
                <w:sz w:val="20"/>
              </w:rPr>
              <w:t>1.87E-1</w:t>
            </w:r>
          </w:p>
        </w:tc>
        <w:tc>
          <w:tcPr>
            <w:tcW w:w="1260" w:type="dxa"/>
            <w:tcBorders>
              <w:top w:val="single" w:sz="4" w:space="0" w:color="auto"/>
              <w:left w:val="single" w:sz="4" w:space="0" w:color="auto"/>
              <w:bottom w:val="single" w:sz="4" w:space="0" w:color="auto"/>
              <w:right w:val="single" w:sz="4" w:space="0" w:color="auto"/>
            </w:tcBorders>
            <w:hideMark/>
          </w:tcPr>
          <w:p w14:paraId="6CC32D06" w14:textId="77777777" w:rsidR="000C533D" w:rsidRPr="000C533D" w:rsidRDefault="000C533D" w:rsidP="000C533D">
            <w:pPr>
              <w:pStyle w:val="Body"/>
              <w:rPr>
                <w:rFonts w:ascii="Arial" w:hAnsi="Arial" w:cs="Arial"/>
                <w:sz w:val="20"/>
              </w:rPr>
            </w:pPr>
            <w:r w:rsidRPr="000C533D">
              <w:rPr>
                <w:rFonts w:ascii="Arial" w:hAnsi="Arial" w:cs="Arial"/>
                <w:sz w:val="20"/>
              </w:rPr>
              <w:t>3.20E-1</w:t>
            </w:r>
          </w:p>
        </w:tc>
        <w:tc>
          <w:tcPr>
            <w:tcW w:w="1440" w:type="dxa"/>
            <w:tcBorders>
              <w:top w:val="single" w:sz="4" w:space="0" w:color="auto"/>
              <w:left w:val="single" w:sz="4" w:space="0" w:color="auto"/>
              <w:bottom w:val="single" w:sz="4" w:space="0" w:color="auto"/>
              <w:right w:val="single" w:sz="4" w:space="0" w:color="auto"/>
            </w:tcBorders>
            <w:hideMark/>
          </w:tcPr>
          <w:p w14:paraId="16A336D8" w14:textId="77777777" w:rsidR="000C533D" w:rsidRPr="000C533D" w:rsidRDefault="000C533D" w:rsidP="000C533D">
            <w:pPr>
              <w:pStyle w:val="Body"/>
              <w:rPr>
                <w:rFonts w:ascii="Arial" w:hAnsi="Arial" w:cs="Arial"/>
                <w:sz w:val="20"/>
              </w:rPr>
            </w:pPr>
            <w:r w:rsidRPr="000C533D">
              <w:rPr>
                <w:rFonts w:ascii="Arial" w:hAnsi="Arial" w:cs="Arial"/>
                <w:sz w:val="20"/>
              </w:rPr>
              <w:t>6.05E-1</w:t>
            </w:r>
          </w:p>
        </w:tc>
        <w:tc>
          <w:tcPr>
            <w:tcW w:w="1260" w:type="dxa"/>
            <w:tcBorders>
              <w:top w:val="single" w:sz="4" w:space="0" w:color="auto"/>
              <w:left w:val="single" w:sz="4" w:space="0" w:color="auto"/>
              <w:bottom w:val="single" w:sz="4" w:space="0" w:color="auto"/>
              <w:right w:val="single" w:sz="4" w:space="0" w:color="auto"/>
            </w:tcBorders>
            <w:hideMark/>
          </w:tcPr>
          <w:p w14:paraId="0E7BB318" w14:textId="77777777" w:rsidR="000C533D" w:rsidRPr="000C533D" w:rsidRDefault="000C533D" w:rsidP="000C533D">
            <w:pPr>
              <w:pStyle w:val="Body"/>
              <w:rPr>
                <w:rFonts w:ascii="Arial" w:hAnsi="Arial" w:cs="Arial"/>
                <w:sz w:val="20"/>
              </w:rPr>
            </w:pPr>
            <w:r w:rsidRPr="000C533D">
              <w:rPr>
                <w:rFonts w:ascii="Arial" w:hAnsi="Arial" w:cs="Arial"/>
                <w:sz w:val="20"/>
              </w:rPr>
              <w:t>8.80E-1</w:t>
            </w:r>
          </w:p>
        </w:tc>
        <w:tc>
          <w:tcPr>
            <w:tcW w:w="1350" w:type="dxa"/>
            <w:tcBorders>
              <w:top w:val="single" w:sz="4" w:space="0" w:color="auto"/>
              <w:left w:val="single" w:sz="4" w:space="0" w:color="auto"/>
              <w:bottom w:val="single" w:sz="4" w:space="0" w:color="auto"/>
              <w:right w:val="single" w:sz="4" w:space="0" w:color="auto"/>
            </w:tcBorders>
            <w:hideMark/>
          </w:tcPr>
          <w:p w14:paraId="3A926328" w14:textId="77777777" w:rsidR="000C533D" w:rsidRPr="000C533D" w:rsidRDefault="000C533D" w:rsidP="000C533D">
            <w:pPr>
              <w:pStyle w:val="Body"/>
              <w:rPr>
                <w:rFonts w:ascii="Arial" w:hAnsi="Arial" w:cs="Arial"/>
                <w:sz w:val="20"/>
              </w:rPr>
            </w:pPr>
            <w:r w:rsidRPr="000C533D">
              <w:rPr>
                <w:rFonts w:ascii="Arial" w:hAnsi="Arial" w:cs="Arial"/>
                <w:sz w:val="20"/>
              </w:rPr>
              <w:t>1.48</w:t>
            </w:r>
          </w:p>
        </w:tc>
      </w:tr>
    </w:tbl>
    <w:p w14:paraId="2707E3D8" w14:textId="77777777" w:rsidR="008E20DC" w:rsidRDefault="008E20DC" w:rsidP="000C533D">
      <w:pPr>
        <w:pStyle w:val="Body"/>
        <w:rPr>
          <w:rFonts w:ascii="Arial" w:hAnsi="Arial" w:cs="Arial"/>
          <w:b/>
        </w:rPr>
      </w:pPr>
    </w:p>
    <w:p w14:paraId="74BCA6C3" w14:textId="77777777" w:rsidR="000C533D" w:rsidRPr="000C533D" w:rsidRDefault="000C533D" w:rsidP="008E20DC">
      <w:pPr>
        <w:pStyle w:val="Body"/>
        <w:spacing w:after="0"/>
        <w:rPr>
          <w:rFonts w:ascii="Arial" w:hAnsi="Arial" w:cs="Arial"/>
          <w:b/>
        </w:rPr>
      </w:pPr>
      <w:r w:rsidRPr="000C533D">
        <w:rPr>
          <w:rFonts w:ascii="Arial" w:hAnsi="Arial" w:cs="Arial"/>
          <w:b/>
        </w:rPr>
        <w:t>Table 7. Hazard Quotient for Non-Carcinogenic Risks (non-CRs) Associated with Heavy Metals via Inhalation Exposure</w:t>
      </w:r>
    </w:p>
    <w:tbl>
      <w:tblPr>
        <w:tblStyle w:val="TableGrid"/>
        <w:tblW w:w="8185" w:type="dxa"/>
        <w:tblLook w:val="04A0" w:firstRow="1" w:lastRow="0" w:firstColumn="1" w:lastColumn="0" w:noHBand="0" w:noVBand="1"/>
      </w:tblPr>
      <w:tblGrid>
        <w:gridCol w:w="723"/>
        <w:gridCol w:w="1252"/>
        <w:gridCol w:w="1080"/>
        <w:gridCol w:w="1170"/>
        <w:gridCol w:w="1260"/>
        <w:gridCol w:w="1260"/>
        <w:gridCol w:w="1440"/>
      </w:tblGrid>
      <w:tr w:rsidR="000C533D" w:rsidRPr="000C533D" w14:paraId="5EA84F20" w14:textId="77777777" w:rsidTr="008E20DC">
        <w:tc>
          <w:tcPr>
            <w:tcW w:w="723" w:type="dxa"/>
            <w:tcBorders>
              <w:top w:val="single" w:sz="4" w:space="0" w:color="auto"/>
              <w:left w:val="single" w:sz="4" w:space="0" w:color="auto"/>
              <w:bottom w:val="single" w:sz="4" w:space="0" w:color="auto"/>
              <w:right w:val="single" w:sz="4" w:space="0" w:color="auto"/>
            </w:tcBorders>
          </w:tcPr>
          <w:p w14:paraId="04568A1E" w14:textId="77777777" w:rsidR="000C533D" w:rsidRPr="000C533D" w:rsidRDefault="000C533D" w:rsidP="000C533D">
            <w:pPr>
              <w:pStyle w:val="Body"/>
              <w:rPr>
                <w:rFonts w:ascii="Arial" w:hAnsi="Arial" w:cs="Arial"/>
                <w:b/>
                <w:sz w:val="20"/>
              </w:rPr>
            </w:pPr>
          </w:p>
        </w:tc>
        <w:tc>
          <w:tcPr>
            <w:tcW w:w="3502" w:type="dxa"/>
            <w:gridSpan w:val="3"/>
            <w:tcBorders>
              <w:top w:val="single" w:sz="4" w:space="0" w:color="auto"/>
              <w:left w:val="single" w:sz="4" w:space="0" w:color="auto"/>
              <w:bottom w:val="single" w:sz="4" w:space="0" w:color="auto"/>
              <w:right w:val="single" w:sz="4" w:space="0" w:color="auto"/>
            </w:tcBorders>
            <w:hideMark/>
          </w:tcPr>
          <w:p w14:paraId="06FD5D5F" w14:textId="77777777" w:rsidR="000C533D" w:rsidRPr="000C533D" w:rsidRDefault="000C533D" w:rsidP="000C533D">
            <w:pPr>
              <w:pStyle w:val="Body"/>
              <w:rPr>
                <w:rFonts w:ascii="Arial" w:hAnsi="Arial" w:cs="Arial"/>
                <w:b/>
                <w:sz w:val="20"/>
              </w:rPr>
            </w:pPr>
            <w:r w:rsidRPr="000C533D">
              <w:rPr>
                <w:rFonts w:ascii="Arial" w:hAnsi="Arial" w:cs="Arial"/>
                <w:b/>
                <w:sz w:val="20"/>
              </w:rPr>
              <w:t>Adult</w:t>
            </w:r>
          </w:p>
        </w:tc>
        <w:tc>
          <w:tcPr>
            <w:tcW w:w="3960" w:type="dxa"/>
            <w:gridSpan w:val="3"/>
            <w:tcBorders>
              <w:top w:val="single" w:sz="4" w:space="0" w:color="auto"/>
              <w:left w:val="single" w:sz="4" w:space="0" w:color="auto"/>
              <w:bottom w:val="single" w:sz="4" w:space="0" w:color="auto"/>
              <w:right w:val="single" w:sz="4" w:space="0" w:color="auto"/>
            </w:tcBorders>
            <w:hideMark/>
          </w:tcPr>
          <w:p w14:paraId="40F3A907" w14:textId="77777777" w:rsidR="000C533D" w:rsidRPr="000C533D" w:rsidRDefault="000C533D" w:rsidP="000C533D">
            <w:pPr>
              <w:pStyle w:val="Body"/>
              <w:rPr>
                <w:rFonts w:ascii="Arial" w:hAnsi="Arial" w:cs="Arial"/>
                <w:b/>
                <w:sz w:val="20"/>
              </w:rPr>
            </w:pPr>
            <w:r w:rsidRPr="000C533D">
              <w:rPr>
                <w:rFonts w:ascii="Arial" w:hAnsi="Arial" w:cs="Arial"/>
                <w:b/>
                <w:sz w:val="20"/>
              </w:rPr>
              <w:t>Children</w:t>
            </w:r>
          </w:p>
        </w:tc>
      </w:tr>
      <w:tr w:rsidR="008E20DC" w:rsidRPr="000C533D" w14:paraId="49E823EA"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79F079CE" w14:textId="77777777" w:rsidR="000C533D" w:rsidRPr="000C533D" w:rsidRDefault="000C533D" w:rsidP="000C533D">
            <w:pPr>
              <w:pStyle w:val="Body"/>
              <w:rPr>
                <w:rFonts w:ascii="Arial" w:hAnsi="Arial" w:cs="Arial"/>
                <w:b/>
                <w:sz w:val="20"/>
              </w:rPr>
            </w:pPr>
            <w:r w:rsidRPr="000C533D">
              <w:rPr>
                <w:rFonts w:ascii="Arial" w:hAnsi="Arial" w:cs="Arial"/>
                <w:b/>
                <w:sz w:val="20"/>
              </w:rPr>
              <w:t>HMs</w:t>
            </w:r>
          </w:p>
        </w:tc>
        <w:tc>
          <w:tcPr>
            <w:tcW w:w="1252" w:type="dxa"/>
            <w:tcBorders>
              <w:top w:val="single" w:sz="4" w:space="0" w:color="auto"/>
              <w:left w:val="single" w:sz="4" w:space="0" w:color="auto"/>
              <w:bottom w:val="single" w:sz="4" w:space="0" w:color="auto"/>
              <w:right w:val="single" w:sz="4" w:space="0" w:color="auto"/>
            </w:tcBorders>
            <w:hideMark/>
          </w:tcPr>
          <w:p w14:paraId="197DC55B" w14:textId="77777777" w:rsidR="008E20DC"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r w:rsidRPr="000C533D">
              <w:rPr>
                <w:rFonts w:ascii="Arial" w:hAnsi="Arial" w:cs="Arial"/>
                <w:b/>
                <w:sz w:val="20"/>
              </w:rPr>
              <w:t xml:space="preserve"> </w:t>
            </w:r>
          </w:p>
          <w:p w14:paraId="0908EEBB"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080" w:type="dxa"/>
            <w:tcBorders>
              <w:top w:val="single" w:sz="4" w:space="0" w:color="auto"/>
              <w:left w:val="single" w:sz="4" w:space="0" w:color="auto"/>
              <w:bottom w:val="single" w:sz="4" w:space="0" w:color="auto"/>
              <w:right w:val="single" w:sz="4" w:space="0" w:color="auto"/>
            </w:tcBorders>
            <w:hideMark/>
          </w:tcPr>
          <w:p w14:paraId="36BB3807"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p>
          <w:p w14:paraId="476131F2"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170" w:type="dxa"/>
            <w:tcBorders>
              <w:top w:val="single" w:sz="4" w:space="0" w:color="auto"/>
              <w:left w:val="single" w:sz="4" w:space="0" w:color="auto"/>
              <w:bottom w:val="single" w:sz="4" w:space="0" w:color="auto"/>
              <w:right w:val="single" w:sz="4" w:space="0" w:color="auto"/>
            </w:tcBorders>
            <w:hideMark/>
          </w:tcPr>
          <w:p w14:paraId="76C5DCBD" w14:textId="77777777" w:rsidR="000C533D" w:rsidRPr="000C533D"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r w:rsidRPr="000C533D">
              <w:rPr>
                <w:rFonts w:ascii="Arial" w:hAnsi="Arial" w:cs="Arial"/>
                <w:b/>
                <w:sz w:val="20"/>
              </w:rPr>
              <w:t xml:space="preserve"> </w:t>
            </w:r>
          </w:p>
          <w:p w14:paraId="1FB237F9"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131A01EF" w14:textId="77777777" w:rsidR="000C533D" w:rsidRPr="000C533D" w:rsidRDefault="000C533D" w:rsidP="000C533D">
            <w:pPr>
              <w:pStyle w:val="Body"/>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Inh</w:t>
            </w:r>
            <w:proofErr w:type="spellEnd"/>
          </w:p>
          <w:p w14:paraId="67C8E352"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260" w:type="dxa"/>
            <w:tcBorders>
              <w:top w:val="single" w:sz="4" w:space="0" w:color="auto"/>
              <w:left w:val="single" w:sz="4" w:space="0" w:color="auto"/>
              <w:bottom w:val="single" w:sz="4" w:space="0" w:color="auto"/>
              <w:right w:val="single" w:sz="4" w:space="0" w:color="auto"/>
            </w:tcBorders>
            <w:hideMark/>
          </w:tcPr>
          <w:p w14:paraId="20C5B528" w14:textId="77777777" w:rsidR="008E20DC" w:rsidRDefault="000C533D" w:rsidP="000C533D">
            <w:pPr>
              <w:pStyle w:val="Body"/>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Inh</w:t>
            </w:r>
            <w:proofErr w:type="spellEnd"/>
            <w:r w:rsidRPr="000C533D">
              <w:rPr>
                <w:rFonts w:ascii="Arial" w:hAnsi="Arial" w:cs="Arial"/>
                <w:b/>
                <w:sz w:val="20"/>
              </w:rPr>
              <w:t xml:space="preserve"> </w:t>
            </w:r>
          </w:p>
          <w:p w14:paraId="5BC37661"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440" w:type="dxa"/>
            <w:tcBorders>
              <w:top w:val="single" w:sz="4" w:space="0" w:color="auto"/>
              <w:left w:val="single" w:sz="4" w:space="0" w:color="auto"/>
              <w:bottom w:val="single" w:sz="4" w:space="0" w:color="auto"/>
              <w:right w:val="single" w:sz="4" w:space="0" w:color="auto"/>
            </w:tcBorders>
            <w:hideMark/>
          </w:tcPr>
          <w:p w14:paraId="74A13F93" w14:textId="77777777" w:rsidR="000C533D" w:rsidRPr="000C533D" w:rsidRDefault="000C533D" w:rsidP="000C533D">
            <w:pPr>
              <w:pStyle w:val="Body"/>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Inh</w:t>
            </w:r>
            <w:proofErr w:type="spellEnd"/>
          </w:p>
          <w:p w14:paraId="6910F086" w14:textId="77777777" w:rsidR="000C533D" w:rsidRPr="000C533D" w:rsidRDefault="000C533D" w:rsidP="000C533D">
            <w:pPr>
              <w:pStyle w:val="Body"/>
              <w:rPr>
                <w:rFonts w:ascii="Arial" w:hAnsi="Arial" w:cs="Arial"/>
                <w:b/>
                <w:sz w:val="20"/>
              </w:rPr>
            </w:pPr>
            <w:r w:rsidRPr="000C533D">
              <w:rPr>
                <w:rFonts w:ascii="Arial" w:hAnsi="Arial" w:cs="Arial"/>
                <w:b/>
                <w:sz w:val="20"/>
              </w:rPr>
              <w:t xml:space="preserve"> (MJ)</w:t>
            </w:r>
          </w:p>
        </w:tc>
      </w:tr>
      <w:tr w:rsidR="008E20DC" w:rsidRPr="000C533D" w14:paraId="57701FCA"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69B69CAD" w14:textId="77777777" w:rsidR="000C533D" w:rsidRPr="000C533D" w:rsidRDefault="000C533D" w:rsidP="000C533D">
            <w:pPr>
              <w:pStyle w:val="Body"/>
              <w:rPr>
                <w:rFonts w:ascii="Arial" w:hAnsi="Arial" w:cs="Arial"/>
                <w:sz w:val="20"/>
              </w:rPr>
            </w:pPr>
            <w:r w:rsidRPr="000C533D">
              <w:rPr>
                <w:rFonts w:ascii="Arial" w:hAnsi="Arial" w:cs="Arial"/>
                <w:sz w:val="20"/>
              </w:rPr>
              <w:lastRenderedPageBreak/>
              <w:t>Cr</w:t>
            </w:r>
          </w:p>
        </w:tc>
        <w:tc>
          <w:tcPr>
            <w:tcW w:w="1252" w:type="dxa"/>
            <w:tcBorders>
              <w:top w:val="single" w:sz="4" w:space="0" w:color="auto"/>
              <w:left w:val="single" w:sz="4" w:space="0" w:color="auto"/>
              <w:bottom w:val="single" w:sz="4" w:space="0" w:color="auto"/>
              <w:right w:val="single" w:sz="4" w:space="0" w:color="auto"/>
            </w:tcBorders>
            <w:hideMark/>
          </w:tcPr>
          <w:p w14:paraId="1DA57C6E" w14:textId="77777777" w:rsidR="000C533D" w:rsidRPr="000C533D" w:rsidRDefault="000C533D" w:rsidP="000C533D">
            <w:pPr>
              <w:pStyle w:val="Body"/>
              <w:rPr>
                <w:rFonts w:ascii="Arial" w:hAnsi="Arial" w:cs="Arial"/>
                <w:sz w:val="20"/>
              </w:rPr>
            </w:pPr>
            <w:r w:rsidRPr="000C533D">
              <w:rPr>
                <w:rFonts w:ascii="Arial" w:hAnsi="Arial" w:cs="Arial"/>
                <w:sz w:val="20"/>
              </w:rPr>
              <w:t>1.54</w:t>
            </w:r>
          </w:p>
        </w:tc>
        <w:tc>
          <w:tcPr>
            <w:tcW w:w="1080" w:type="dxa"/>
            <w:tcBorders>
              <w:top w:val="single" w:sz="4" w:space="0" w:color="auto"/>
              <w:left w:val="single" w:sz="4" w:space="0" w:color="auto"/>
              <w:bottom w:val="single" w:sz="4" w:space="0" w:color="auto"/>
              <w:right w:val="single" w:sz="4" w:space="0" w:color="auto"/>
            </w:tcBorders>
            <w:hideMark/>
          </w:tcPr>
          <w:p w14:paraId="70A34ACB" w14:textId="77777777" w:rsidR="000C533D" w:rsidRPr="000C533D" w:rsidRDefault="000C533D" w:rsidP="000C533D">
            <w:pPr>
              <w:pStyle w:val="Body"/>
              <w:rPr>
                <w:rFonts w:ascii="Arial" w:hAnsi="Arial" w:cs="Arial"/>
                <w:sz w:val="20"/>
              </w:rPr>
            </w:pPr>
            <w:r w:rsidRPr="000C533D">
              <w:rPr>
                <w:rFonts w:ascii="Arial" w:hAnsi="Arial" w:cs="Arial"/>
                <w:sz w:val="20"/>
              </w:rPr>
              <w:t>2.47</w:t>
            </w:r>
          </w:p>
        </w:tc>
        <w:tc>
          <w:tcPr>
            <w:tcW w:w="1170" w:type="dxa"/>
            <w:tcBorders>
              <w:top w:val="single" w:sz="4" w:space="0" w:color="auto"/>
              <w:left w:val="single" w:sz="4" w:space="0" w:color="auto"/>
              <w:bottom w:val="single" w:sz="4" w:space="0" w:color="auto"/>
              <w:right w:val="single" w:sz="4" w:space="0" w:color="auto"/>
            </w:tcBorders>
            <w:hideMark/>
          </w:tcPr>
          <w:p w14:paraId="43794ED9" w14:textId="77777777" w:rsidR="000C533D" w:rsidRPr="000C533D" w:rsidRDefault="000C533D" w:rsidP="000C533D">
            <w:pPr>
              <w:pStyle w:val="Body"/>
              <w:rPr>
                <w:rFonts w:ascii="Arial" w:hAnsi="Arial" w:cs="Arial"/>
                <w:sz w:val="20"/>
              </w:rPr>
            </w:pPr>
            <w:r w:rsidRPr="000C533D">
              <w:rPr>
                <w:rFonts w:ascii="Arial" w:hAnsi="Arial" w:cs="Arial"/>
                <w:sz w:val="20"/>
              </w:rPr>
              <w:t>4.05</w:t>
            </w:r>
          </w:p>
        </w:tc>
        <w:tc>
          <w:tcPr>
            <w:tcW w:w="1260" w:type="dxa"/>
            <w:tcBorders>
              <w:top w:val="single" w:sz="4" w:space="0" w:color="auto"/>
              <w:left w:val="single" w:sz="4" w:space="0" w:color="auto"/>
              <w:bottom w:val="single" w:sz="4" w:space="0" w:color="auto"/>
              <w:right w:val="single" w:sz="4" w:space="0" w:color="auto"/>
            </w:tcBorders>
            <w:hideMark/>
          </w:tcPr>
          <w:p w14:paraId="1FD2B379" w14:textId="77777777" w:rsidR="000C533D" w:rsidRPr="000C533D" w:rsidRDefault="000C533D" w:rsidP="000C533D">
            <w:pPr>
              <w:pStyle w:val="Body"/>
              <w:rPr>
                <w:rFonts w:ascii="Arial" w:hAnsi="Arial" w:cs="Arial"/>
                <w:sz w:val="20"/>
              </w:rPr>
            </w:pPr>
            <w:r w:rsidRPr="000C533D">
              <w:rPr>
                <w:rFonts w:ascii="Arial" w:hAnsi="Arial" w:cs="Arial"/>
                <w:sz w:val="20"/>
              </w:rPr>
              <w:t>1.54</w:t>
            </w:r>
          </w:p>
        </w:tc>
        <w:tc>
          <w:tcPr>
            <w:tcW w:w="1260" w:type="dxa"/>
            <w:tcBorders>
              <w:top w:val="single" w:sz="4" w:space="0" w:color="auto"/>
              <w:left w:val="single" w:sz="4" w:space="0" w:color="auto"/>
              <w:bottom w:val="single" w:sz="4" w:space="0" w:color="auto"/>
              <w:right w:val="single" w:sz="4" w:space="0" w:color="auto"/>
            </w:tcBorders>
            <w:hideMark/>
          </w:tcPr>
          <w:p w14:paraId="713BFE39" w14:textId="77777777" w:rsidR="000C533D" w:rsidRPr="000C533D" w:rsidRDefault="000C533D" w:rsidP="000C533D">
            <w:pPr>
              <w:pStyle w:val="Body"/>
              <w:rPr>
                <w:rFonts w:ascii="Arial" w:hAnsi="Arial" w:cs="Arial"/>
                <w:sz w:val="20"/>
              </w:rPr>
            </w:pPr>
            <w:r w:rsidRPr="000C533D">
              <w:rPr>
                <w:rFonts w:ascii="Arial" w:hAnsi="Arial" w:cs="Arial"/>
                <w:sz w:val="20"/>
              </w:rPr>
              <w:t>2.47</w:t>
            </w:r>
          </w:p>
        </w:tc>
        <w:tc>
          <w:tcPr>
            <w:tcW w:w="1440" w:type="dxa"/>
            <w:tcBorders>
              <w:top w:val="single" w:sz="4" w:space="0" w:color="auto"/>
              <w:left w:val="single" w:sz="4" w:space="0" w:color="auto"/>
              <w:bottom w:val="single" w:sz="4" w:space="0" w:color="auto"/>
              <w:right w:val="single" w:sz="4" w:space="0" w:color="auto"/>
            </w:tcBorders>
            <w:hideMark/>
          </w:tcPr>
          <w:p w14:paraId="2594C5AC" w14:textId="77777777" w:rsidR="000C533D" w:rsidRPr="000C533D" w:rsidRDefault="000C533D" w:rsidP="000C533D">
            <w:pPr>
              <w:pStyle w:val="Body"/>
              <w:rPr>
                <w:rFonts w:ascii="Arial" w:hAnsi="Arial" w:cs="Arial"/>
                <w:sz w:val="20"/>
              </w:rPr>
            </w:pPr>
            <w:r w:rsidRPr="000C533D">
              <w:rPr>
                <w:rFonts w:ascii="Arial" w:hAnsi="Arial" w:cs="Arial"/>
                <w:sz w:val="20"/>
              </w:rPr>
              <w:t>4.05</w:t>
            </w:r>
          </w:p>
        </w:tc>
      </w:tr>
      <w:tr w:rsidR="008E20DC" w:rsidRPr="000C533D" w14:paraId="106A73AC"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3806D17" w14:textId="77777777" w:rsidR="000C533D" w:rsidRPr="000C533D" w:rsidRDefault="000C533D" w:rsidP="000C533D">
            <w:pPr>
              <w:pStyle w:val="Body"/>
              <w:rPr>
                <w:rFonts w:ascii="Arial" w:hAnsi="Arial" w:cs="Arial"/>
                <w:sz w:val="20"/>
              </w:rPr>
            </w:pPr>
            <w:r w:rsidRPr="000C533D">
              <w:rPr>
                <w:rFonts w:ascii="Arial" w:hAnsi="Arial" w:cs="Arial"/>
                <w:sz w:val="20"/>
              </w:rPr>
              <w:t>Cd</w:t>
            </w:r>
          </w:p>
        </w:tc>
        <w:tc>
          <w:tcPr>
            <w:tcW w:w="1252" w:type="dxa"/>
            <w:tcBorders>
              <w:top w:val="single" w:sz="4" w:space="0" w:color="auto"/>
              <w:left w:val="single" w:sz="4" w:space="0" w:color="auto"/>
              <w:bottom w:val="single" w:sz="4" w:space="0" w:color="auto"/>
              <w:right w:val="single" w:sz="4" w:space="0" w:color="auto"/>
            </w:tcBorders>
            <w:hideMark/>
          </w:tcPr>
          <w:p w14:paraId="70E5C3A0" w14:textId="77777777" w:rsidR="000C533D" w:rsidRPr="000C533D" w:rsidRDefault="000C533D" w:rsidP="000C533D">
            <w:pPr>
              <w:pStyle w:val="Body"/>
              <w:rPr>
                <w:rFonts w:ascii="Arial" w:hAnsi="Arial" w:cs="Arial"/>
                <w:sz w:val="20"/>
              </w:rPr>
            </w:pPr>
            <w:r w:rsidRPr="000C533D">
              <w:rPr>
                <w:rFonts w:ascii="Arial" w:hAnsi="Arial" w:cs="Arial"/>
                <w:sz w:val="20"/>
              </w:rPr>
              <w:t>3.10</w:t>
            </w:r>
          </w:p>
        </w:tc>
        <w:tc>
          <w:tcPr>
            <w:tcW w:w="1080" w:type="dxa"/>
            <w:tcBorders>
              <w:top w:val="single" w:sz="4" w:space="0" w:color="auto"/>
              <w:left w:val="single" w:sz="4" w:space="0" w:color="auto"/>
              <w:bottom w:val="single" w:sz="4" w:space="0" w:color="auto"/>
              <w:right w:val="single" w:sz="4" w:space="0" w:color="auto"/>
            </w:tcBorders>
            <w:hideMark/>
          </w:tcPr>
          <w:p w14:paraId="398EBAC6" w14:textId="77777777" w:rsidR="000C533D" w:rsidRPr="000C533D" w:rsidRDefault="000C533D" w:rsidP="000C533D">
            <w:pPr>
              <w:pStyle w:val="Body"/>
              <w:rPr>
                <w:rFonts w:ascii="Arial" w:hAnsi="Arial" w:cs="Arial"/>
                <w:sz w:val="20"/>
              </w:rPr>
            </w:pPr>
            <w:r w:rsidRPr="000C533D">
              <w:rPr>
                <w:rFonts w:ascii="Arial" w:hAnsi="Arial" w:cs="Arial"/>
                <w:sz w:val="20"/>
              </w:rPr>
              <w:t>4.2</w:t>
            </w:r>
          </w:p>
        </w:tc>
        <w:tc>
          <w:tcPr>
            <w:tcW w:w="1170" w:type="dxa"/>
            <w:tcBorders>
              <w:top w:val="single" w:sz="4" w:space="0" w:color="auto"/>
              <w:left w:val="single" w:sz="4" w:space="0" w:color="auto"/>
              <w:bottom w:val="single" w:sz="4" w:space="0" w:color="auto"/>
              <w:right w:val="single" w:sz="4" w:space="0" w:color="auto"/>
            </w:tcBorders>
            <w:hideMark/>
          </w:tcPr>
          <w:p w14:paraId="33A01C44" w14:textId="77777777" w:rsidR="000C533D" w:rsidRPr="000C533D" w:rsidRDefault="000C533D" w:rsidP="000C533D">
            <w:pPr>
              <w:pStyle w:val="Body"/>
              <w:rPr>
                <w:rFonts w:ascii="Arial" w:hAnsi="Arial" w:cs="Arial"/>
                <w:sz w:val="20"/>
              </w:rPr>
            </w:pPr>
            <w:r w:rsidRPr="000C533D">
              <w:rPr>
                <w:rFonts w:ascii="Arial" w:hAnsi="Arial" w:cs="Arial"/>
                <w:sz w:val="20"/>
              </w:rPr>
              <w:t>8.1</w:t>
            </w:r>
          </w:p>
        </w:tc>
        <w:tc>
          <w:tcPr>
            <w:tcW w:w="1260" w:type="dxa"/>
            <w:tcBorders>
              <w:top w:val="single" w:sz="4" w:space="0" w:color="auto"/>
              <w:left w:val="single" w:sz="4" w:space="0" w:color="auto"/>
              <w:bottom w:val="single" w:sz="4" w:space="0" w:color="auto"/>
              <w:right w:val="single" w:sz="4" w:space="0" w:color="auto"/>
            </w:tcBorders>
            <w:hideMark/>
          </w:tcPr>
          <w:p w14:paraId="20692A7B" w14:textId="77777777" w:rsidR="000C533D" w:rsidRPr="000C533D" w:rsidRDefault="000C533D" w:rsidP="000C533D">
            <w:pPr>
              <w:pStyle w:val="Body"/>
              <w:rPr>
                <w:rFonts w:ascii="Arial" w:hAnsi="Arial" w:cs="Arial"/>
                <w:sz w:val="20"/>
              </w:rPr>
            </w:pPr>
            <w:r w:rsidRPr="000C533D">
              <w:rPr>
                <w:rFonts w:ascii="Arial" w:hAnsi="Arial" w:cs="Arial"/>
                <w:sz w:val="20"/>
              </w:rPr>
              <w:t>3.1</w:t>
            </w:r>
          </w:p>
        </w:tc>
        <w:tc>
          <w:tcPr>
            <w:tcW w:w="1260" w:type="dxa"/>
            <w:tcBorders>
              <w:top w:val="single" w:sz="4" w:space="0" w:color="auto"/>
              <w:left w:val="single" w:sz="4" w:space="0" w:color="auto"/>
              <w:bottom w:val="single" w:sz="4" w:space="0" w:color="auto"/>
              <w:right w:val="single" w:sz="4" w:space="0" w:color="auto"/>
            </w:tcBorders>
            <w:hideMark/>
          </w:tcPr>
          <w:p w14:paraId="7D8F78FC" w14:textId="77777777" w:rsidR="000C533D" w:rsidRPr="000C533D" w:rsidRDefault="000C533D" w:rsidP="000C533D">
            <w:pPr>
              <w:pStyle w:val="Body"/>
              <w:rPr>
                <w:rFonts w:ascii="Arial" w:hAnsi="Arial" w:cs="Arial"/>
                <w:sz w:val="20"/>
              </w:rPr>
            </w:pPr>
            <w:r w:rsidRPr="000C533D">
              <w:rPr>
                <w:rFonts w:ascii="Arial" w:hAnsi="Arial" w:cs="Arial"/>
                <w:sz w:val="20"/>
              </w:rPr>
              <w:t>4.2</w:t>
            </w:r>
          </w:p>
        </w:tc>
        <w:tc>
          <w:tcPr>
            <w:tcW w:w="1440" w:type="dxa"/>
            <w:tcBorders>
              <w:top w:val="single" w:sz="4" w:space="0" w:color="auto"/>
              <w:left w:val="single" w:sz="4" w:space="0" w:color="auto"/>
              <w:bottom w:val="single" w:sz="4" w:space="0" w:color="auto"/>
              <w:right w:val="single" w:sz="4" w:space="0" w:color="auto"/>
            </w:tcBorders>
            <w:hideMark/>
          </w:tcPr>
          <w:p w14:paraId="0421669E" w14:textId="77777777" w:rsidR="000C533D" w:rsidRPr="000C533D" w:rsidRDefault="000C533D" w:rsidP="000C533D">
            <w:pPr>
              <w:pStyle w:val="Body"/>
              <w:rPr>
                <w:rFonts w:ascii="Arial" w:hAnsi="Arial" w:cs="Arial"/>
                <w:sz w:val="20"/>
              </w:rPr>
            </w:pPr>
            <w:r w:rsidRPr="000C533D">
              <w:rPr>
                <w:rFonts w:ascii="Arial" w:hAnsi="Arial" w:cs="Arial"/>
                <w:sz w:val="20"/>
              </w:rPr>
              <w:t>8.1</w:t>
            </w:r>
          </w:p>
        </w:tc>
      </w:tr>
      <w:tr w:rsidR="008E20DC" w:rsidRPr="000C533D" w14:paraId="51A0F25C"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5EE450C5" w14:textId="77777777" w:rsidR="000C533D" w:rsidRPr="000C533D" w:rsidRDefault="000C533D" w:rsidP="000C533D">
            <w:pPr>
              <w:pStyle w:val="Body"/>
              <w:rPr>
                <w:rFonts w:ascii="Arial" w:hAnsi="Arial" w:cs="Arial"/>
                <w:sz w:val="20"/>
              </w:rPr>
            </w:pPr>
            <w:r w:rsidRPr="000C533D">
              <w:rPr>
                <w:rFonts w:ascii="Arial" w:hAnsi="Arial" w:cs="Arial"/>
                <w:sz w:val="20"/>
              </w:rPr>
              <w:t>Cu</w:t>
            </w:r>
          </w:p>
        </w:tc>
        <w:tc>
          <w:tcPr>
            <w:tcW w:w="1252" w:type="dxa"/>
            <w:tcBorders>
              <w:top w:val="single" w:sz="4" w:space="0" w:color="auto"/>
              <w:left w:val="single" w:sz="4" w:space="0" w:color="auto"/>
              <w:bottom w:val="single" w:sz="4" w:space="0" w:color="auto"/>
              <w:right w:val="single" w:sz="4" w:space="0" w:color="auto"/>
            </w:tcBorders>
            <w:hideMark/>
          </w:tcPr>
          <w:p w14:paraId="77FB73C0" w14:textId="77777777" w:rsidR="000C533D" w:rsidRPr="000C533D" w:rsidRDefault="000C533D" w:rsidP="000C533D">
            <w:pPr>
              <w:pStyle w:val="Body"/>
              <w:rPr>
                <w:rFonts w:ascii="Arial" w:hAnsi="Arial" w:cs="Arial"/>
                <w:sz w:val="20"/>
              </w:rPr>
            </w:pPr>
            <w:r w:rsidRPr="000C533D">
              <w:rPr>
                <w:rFonts w:ascii="Arial" w:hAnsi="Arial" w:cs="Arial"/>
                <w:sz w:val="20"/>
              </w:rPr>
              <w:t>2.25E-5</w:t>
            </w:r>
          </w:p>
        </w:tc>
        <w:tc>
          <w:tcPr>
            <w:tcW w:w="1080" w:type="dxa"/>
            <w:tcBorders>
              <w:top w:val="single" w:sz="4" w:space="0" w:color="auto"/>
              <w:left w:val="single" w:sz="4" w:space="0" w:color="auto"/>
              <w:bottom w:val="single" w:sz="4" w:space="0" w:color="auto"/>
              <w:right w:val="single" w:sz="4" w:space="0" w:color="auto"/>
            </w:tcBorders>
            <w:hideMark/>
          </w:tcPr>
          <w:p w14:paraId="049472F5" w14:textId="77777777" w:rsidR="000C533D" w:rsidRPr="000C533D" w:rsidRDefault="000C533D" w:rsidP="000C533D">
            <w:pPr>
              <w:pStyle w:val="Body"/>
              <w:rPr>
                <w:rFonts w:ascii="Arial" w:hAnsi="Arial" w:cs="Arial"/>
                <w:sz w:val="20"/>
              </w:rPr>
            </w:pPr>
            <w:r w:rsidRPr="000C533D">
              <w:rPr>
                <w:rFonts w:ascii="Arial" w:hAnsi="Arial" w:cs="Arial"/>
                <w:sz w:val="20"/>
              </w:rPr>
              <w:t>1.0E-5</w:t>
            </w:r>
          </w:p>
        </w:tc>
        <w:tc>
          <w:tcPr>
            <w:tcW w:w="1170" w:type="dxa"/>
            <w:tcBorders>
              <w:top w:val="single" w:sz="4" w:space="0" w:color="auto"/>
              <w:left w:val="single" w:sz="4" w:space="0" w:color="auto"/>
              <w:bottom w:val="single" w:sz="4" w:space="0" w:color="auto"/>
              <w:right w:val="single" w:sz="4" w:space="0" w:color="auto"/>
            </w:tcBorders>
            <w:hideMark/>
          </w:tcPr>
          <w:p w14:paraId="4E0ACB30" w14:textId="77777777" w:rsidR="000C533D" w:rsidRPr="000C533D" w:rsidRDefault="000C533D" w:rsidP="000C533D">
            <w:pPr>
              <w:pStyle w:val="Body"/>
              <w:rPr>
                <w:rFonts w:ascii="Arial" w:hAnsi="Arial" w:cs="Arial"/>
                <w:sz w:val="20"/>
              </w:rPr>
            </w:pPr>
            <w:r w:rsidRPr="000C533D">
              <w:rPr>
                <w:rFonts w:ascii="Arial" w:hAnsi="Arial" w:cs="Arial"/>
                <w:sz w:val="20"/>
              </w:rPr>
              <w:t>2.5E-5</w:t>
            </w:r>
          </w:p>
        </w:tc>
        <w:tc>
          <w:tcPr>
            <w:tcW w:w="1260" w:type="dxa"/>
            <w:tcBorders>
              <w:top w:val="single" w:sz="4" w:space="0" w:color="auto"/>
              <w:left w:val="single" w:sz="4" w:space="0" w:color="auto"/>
              <w:bottom w:val="single" w:sz="4" w:space="0" w:color="auto"/>
              <w:right w:val="single" w:sz="4" w:space="0" w:color="auto"/>
            </w:tcBorders>
            <w:hideMark/>
          </w:tcPr>
          <w:p w14:paraId="0F21D465" w14:textId="77777777" w:rsidR="000C533D" w:rsidRPr="000C533D" w:rsidRDefault="000C533D" w:rsidP="000C533D">
            <w:pPr>
              <w:pStyle w:val="Body"/>
              <w:rPr>
                <w:rFonts w:ascii="Arial" w:hAnsi="Arial" w:cs="Arial"/>
                <w:sz w:val="20"/>
              </w:rPr>
            </w:pPr>
            <w:r w:rsidRPr="000C533D">
              <w:rPr>
                <w:rFonts w:ascii="Arial" w:hAnsi="Arial" w:cs="Arial"/>
                <w:sz w:val="20"/>
              </w:rPr>
              <w:t>2.25E-5</w:t>
            </w:r>
          </w:p>
        </w:tc>
        <w:tc>
          <w:tcPr>
            <w:tcW w:w="1260" w:type="dxa"/>
            <w:tcBorders>
              <w:top w:val="single" w:sz="4" w:space="0" w:color="auto"/>
              <w:left w:val="single" w:sz="4" w:space="0" w:color="auto"/>
              <w:bottom w:val="single" w:sz="4" w:space="0" w:color="auto"/>
              <w:right w:val="single" w:sz="4" w:space="0" w:color="auto"/>
            </w:tcBorders>
            <w:hideMark/>
          </w:tcPr>
          <w:p w14:paraId="1FDDE602" w14:textId="77777777" w:rsidR="000C533D" w:rsidRPr="000C533D" w:rsidRDefault="000C533D" w:rsidP="000C533D">
            <w:pPr>
              <w:pStyle w:val="Body"/>
              <w:rPr>
                <w:rFonts w:ascii="Arial" w:hAnsi="Arial" w:cs="Arial"/>
                <w:sz w:val="20"/>
              </w:rPr>
            </w:pPr>
            <w:r w:rsidRPr="000C533D">
              <w:rPr>
                <w:rFonts w:ascii="Arial" w:hAnsi="Arial" w:cs="Arial"/>
                <w:sz w:val="20"/>
              </w:rPr>
              <w:t>1.0E-5</w:t>
            </w:r>
          </w:p>
        </w:tc>
        <w:tc>
          <w:tcPr>
            <w:tcW w:w="1440" w:type="dxa"/>
            <w:tcBorders>
              <w:top w:val="single" w:sz="4" w:space="0" w:color="auto"/>
              <w:left w:val="single" w:sz="4" w:space="0" w:color="auto"/>
              <w:bottom w:val="single" w:sz="4" w:space="0" w:color="auto"/>
              <w:right w:val="single" w:sz="4" w:space="0" w:color="auto"/>
            </w:tcBorders>
            <w:hideMark/>
          </w:tcPr>
          <w:p w14:paraId="1ECDA0DD" w14:textId="77777777" w:rsidR="000C533D" w:rsidRPr="000C533D" w:rsidRDefault="000C533D" w:rsidP="000C533D">
            <w:pPr>
              <w:pStyle w:val="Body"/>
              <w:rPr>
                <w:rFonts w:ascii="Arial" w:hAnsi="Arial" w:cs="Arial"/>
                <w:sz w:val="20"/>
              </w:rPr>
            </w:pPr>
            <w:r w:rsidRPr="000C533D">
              <w:rPr>
                <w:rFonts w:ascii="Arial" w:hAnsi="Arial" w:cs="Arial"/>
                <w:sz w:val="20"/>
              </w:rPr>
              <w:t>2.5E-5</w:t>
            </w:r>
          </w:p>
        </w:tc>
      </w:tr>
      <w:tr w:rsidR="008E20DC" w:rsidRPr="000C533D" w14:paraId="7CF18671"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267E967B" w14:textId="77777777" w:rsidR="000C533D" w:rsidRPr="000C533D" w:rsidRDefault="000C533D" w:rsidP="000C533D">
            <w:pPr>
              <w:pStyle w:val="Body"/>
              <w:rPr>
                <w:rFonts w:ascii="Arial" w:hAnsi="Arial" w:cs="Arial"/>
                <w:sz w:val="20"/>
              </w:rPr>
            </w:pPr>
            <w:r w:rsidRPr="000C533D">
              <w:rPr>
                <w:rFonts w:ascii="Arial" w:hAnsi="Arial" w:cs="Arial"/>
                <w:sz w:val="20"/>
              </w:rPr>
              <w:t>Pb</w:t>
            </w:r>
          </w:p>
        </w:tc>
        <w:tc>
          <w:tcPr>
            <w:tcW w:w="1252" w:type="dxa"/>
            <w:tcBorders>
              <w:top w:val="single" w:sz="4" w:space="0" w:color="auto"/>
              <w:left w:val="single" w:sz="4" w:space="0" w:color="auto"/>
              <w:bottom w:val="single" w:sz="4" w:space="0" w:color="auto"/>
              <w:right w:val="single" w:sz="4" w:space="0" w:color="auto"/>
            </w:tcBorders>
            <w:hideMark/>
          </w:tcPr>
          <w:p w14:paraId="615FA51A" w14:textId="77777777" w:rsidR="000C533D" w:rsidRPr="000C533D" w:rsidRDefault="000C533D" w:rsidP="000C533D">
            <w:pPr>
              <w:pStyle w:val="Body"/>
              <w:rPr>
                <w:rFonts w:ascii="Arial" w:hAnsi="Arial" w:cs="Arial"/>
                <w:sz w:val="20"/>
              </w:rPr>
            </w:pPr>
            <w:r w:rsidRPr="000C533D">
              <w:rPr>
                <w:rFonts w:ascii="Arial" w:hAnsi="Arial" w:cs="Arial"/>
                <w:sz w:val="20"/>
              </w:rPr>
              <w:t>2.85E-4</w:t>
            </w:r>
          </w:p>
        </w:tc>
        <w:tc>
          <w:tcPr>
            <w:tcW w:w="1080" w:type="dxa"/>
            <w:tcBorders>
              <w:top w:val="single" w:sz="4" w:space="0" w:color="auto"/>
              <w:left w:val="single" w:sz="4" w:space="0" w:color="auto"/>
              <w:bottom w:val="single" w:sz="4" w:space="0" w:color="auto"/>
              <w:right w:val="single" w:sz="4" w:space="0" w:color="auto"/>
            </w:tcBorders>
            <w:hideMark/>
          </w:tcPr>
          <w:p w14:paraId="2D4DCE08" w14:textId="77777777" w:rsidR="000C533D" w:rsidRPr="000C533D" w:rsidRDefault="000C533D" w:rsidP="000C533D">
            <w:pPr>
              <w:pStyle w:val="Body"/>
              <w:rPr>
                <w:rFonts w:ascii="Arial" w:hAnsi="Arial" w:cs="Arial"/>
                <w:sz w:val="20"/>
              </w:rPr>
            </w:pPr>
            <w:r w:rsidRPr="000C533D">
              <w:rPr>
                <w:rFonts w:ascii="Arial" w:hAnsi="Arial" w:cs="Arial"/>
                <w:sz w:val="20"/>
              </w:rPr>
              <w:t>2.0E-3</w:t>
            </w:r>
          </w:p>
        </w:tc>
        <w:tc>
          <w:tcPr>
            <w:tcW w:w="1170" w:type="dxa"/>
            <w:tcBorders>
              <w:top w:val="single" w:sz="4" w:space="0" w:color="auto"/>
              <w:left w:val="single" w:sz="4" w:space="0" w:color="auto"/>
              <w:bottom w:val="single" w:sz="4" w:space="0" w:color="auto"/>
              <w:right w:val="single" w:sz="4" w:space="0" w:color="auto"/>
            </w:tcBorders>
            <w:hideMark/>
          </w:tcPr>
          <w:p w14:paraId="1CE5DEDA" w14:textId="77777777" w:rsidR="000C533D" w:rsidRPr="000C533D" w:rsidRDefault="000C533D" w:rsidP="000C533D">
            <w:pPr>
              <w:pStyle w:val="Body"/>
              <w:rPr>
                <w:rFonts w:ascii="Arial" w:hAnsi="Arial" w:cs="Arial"/>
                <w:sz w:val="20"/>
              </w:rPr>
            </w:pPr>
            <w:r w:rsidRPr="000C533D">
              <w:rPr>
                <w:rFonts w:ascii="Arial" w:hAnsi="Arial" w:cs="Arial"/>
                <w:sz w:val="20"/>
              </w:rPr>
              <w:t>2.85E-3</w:t>
            </w:r>
          </w:p>
        </w:tc>
        <w:tc>
          <w:tcPr>
            <w:tcW w:w="1260" w:type="dxa"/>
            <w:tcBorders>
              <w:top w:val="single" w:sz="4" w:space="0" w:color="auto"/>
              <w:left w:val="single" w:sz="4" w:space="0" w:color="auto"/>
              <w:bottom w:val="single" w:sz="4" w:space="0" w:color="auto"/>
              <w:right w:val="single" w:sz="4" w:space="0" w:color="auto"/>
            </w:tcBorders>
            <w:hideMark/>
          </w:tcPr>
          <w:p w14:paraId="39A311C9" w14:textId="77777777" w:rsidR="000C533D" w:rsidRPr="000C533D" w:rsidRDefault="000C533D" w:rsidP="000C533D">
            <w:pPr>
              <w:pStyle w:val="Body"/>
              <w:rPr>
                <w:rFonts w:ascii="Arial" w:hAnsi="Arial" w:cs="Arial"/>
                <w:sz w:val="20"/>
              </w:rPr>
            </w:pPr>
            <w:r w:rsidRPr="000C533D">
              <w:rPr>
                <w:rFonts w:ascii="Arial" w:hAnsi="Arial" w:cs="Arial"/>
                <w:sz w:val="20"/>
              </w:rPr>
              <w:t>2.85E-4</w:t>
            </w:r>
          </w:p>
        </w:tc>
        <w:tc>
          <w:tcPr>
            <w:tcW w:w="1260" w:type="dxa"/>
            <w:tcBorders>
              <w:top w:val="single" w:sz="4" w:space="0" w:color="auto"/>
              <w:left w:val="single" w:sz="4" w:space="0" w:color="auto"/>
              <w:bottom w:val="single" w:sz="4" w:space="0" w:color="auto"/>
              <w:right w:val="single" w:sz="4" w:space="0" w:color="auto"/>
            </w:tcBorders>
            <w:hideMark/>
          </w:tcPr>
          <w:p w14:paraId="3FEE1586" w14:textId="77777777" w:rsidR="000C533D" w:rsidRPr="000C533D" w:rsidRDefault="000C533D" w:rsidP="000C533D">
            <w:pPr>
              <w:pStyle w:val="Body"/>
              <w:rPr>
                <w:rFonts w:ascii="Arial" w:hAnsi="Arial" w:cs="Arial"/>
                <w:sz w:val="20"/>
              </w:rPr>
            </w:pPr>
            <w:r w:rsidRPr="000C533D">
              <w:rPr>
                <w:rFonts w:ascii="Arial" w:hAnsi="Arial" w:cs="Arial"/>
                <w:sz w:val="20"/>
              </w:rPr>
              <w:t>2.0E-3</w:t>
            </w:r>
          </w:p>
        </w:tc>
        <w:tc>
          <w:tcPr>
            <w:tcW w:w="1440" w:type="dxa"/>
            <w:tcBorders>
              <w:top w:val="single" w:sz="4" w:space="0" w:color="auto"/>
              <w:left w:val="single" w:sz="4" w:space="0" w:color="auto"/>
              <w:bottom w:val="single" w:sz="4" w:space="0" w:color="auto"/>
              <w:right w:val="single" w:sz="4" w:space="0" w:color="auto"/>
            </w:tcBorders>
            <w:hideMark/>
          </w:tcPr>
          <w:p w14:paraId="2BBC96CA" w14:textId="77777777" w:rsidR="000C533D" w:rsidRPr="000C533D" w:rsidRDefault="000C533D" w:rsidP="000C533D">
            <w:pPr>
              <w:pStyle w:val="Body"/>
              <w:rPr>
                <w:rFonts w:ascii="Arial" w:hAnsi="Arial" w:cs="Arial"/>
                <w:sz w:val="20"/>
              </w:rPr>
            </w:pPr>
            <w:r w:rsidRPr="000C533D">
              <w:rPr>
                <w:rFonts w:ascii="Arial" w:hAnsi="Arial" w:cs="Arial"/>
                <w:sz w:val="20"/>
              </w:rPr>
              <w:t>3.71E-3</w:t>
            </w:r>
          </w:p>
        </w:tc>
      </w:tr>
      <w:tr w:rsidR="008E20DC" w:rsidRPr="000C533D" w14:paraId="76505B0A"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58BF8CB1" w14:textId="77777777" w:rsidR="000C533D" w:rsidRPr="000C533D" w:rsidRDefault="000C533D" w:rsidP="000C533D">
            <w:pPr>
              <w:pStyle w:val="Body"/>
              <w:rPr>
                <w:rFonts w:ascii="Arial" w:hAnsi="Arial" w:cs="Arial"/>
                <w:sz w:val="20"/>
              </w:rPr>
            </w:pPr>
            <w:r w:rsidRPr="000C533D">
              <w:rPr>
                <w:rFonts w:ascii="Arial" w:hAnsi="Arial" w:cs="Arial"/>
                <w:sz w:val="20"/>
              </w:rPr>
              <w:t>As</w:t>
            </w:r>
          </w:p>
        </w:tc>
        <w:tc>
          <w:tcPr>
            <w:tcW w:w="1252" w:type="dxa"/>
            <w:tcBorders>
              <w:top w:val="single" w:sz="4" w:space="0" w:color="auto"/>
              <w:left w:val="single" w:sz="4" w:space="0" w:color="auto"/>
              <w:bottom w:val="single" w:sz="4" w:space="0" w:color="auto"/>
              <w:right w:val="single" w:sz="4" w:space="0" w:color="auto"/>
            </w:tcBorders>
            <w:hideMark/>
          </w:tcPr>
          <w:p w14:paraId="47855504"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080" w:type="dxa"/>
            <w:tcBorders>
              <w:top w:val="single" w:sz="4" w:space="0" w:color="auto"/>
              <w:left w:val="single" w:sz="4" w:space="0" w:color="auto"/>
              <w:bottom w:val="single" w:sz="4" w:space="0" w:color="auto"/>
              <w:right w:val="single" w:sz="4" w:space="0" w:color="auto"/>
            </w:tcBorders>
            <w:hideMark/>
          </w:tcPr>
          <w:p w14:paraId="611B57D0"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170" w:type="dxa"/>
            <w:tcBorders>
              <w:top w:val="single" w:sz="4" w:space="0" w:color="auto"/>
              <w:left w:val="single" w:sz="4" w:space="0" w:color="auto"/>
              <w:bottom w:val="single" w:sz="4" w:space="0" w:color="auto"/>
              <w:right w:val="single" w:sz="4" w:space="0" w:color="auto"/>
            </w:tcBorders>
            <w:hideMark/>
          </w:tcPr>
          <w:p w14:paraId="7104ACD6"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260" w:type="dxa"/>
            <w:tcBorders>
              <w:top w:val="single" w:sz="4" w:space="0" w:color="auto"/>
              <w:left w:val="single" w:sz="4" w:space="0" w:color="auto"/>
              <w:bottom w:val="single" w:sz="4" w:space="0" w:color="auto"/>
              <w:right w:val="single" w:sz="4" w:space="0" w:color="auto"/>
            </w:tcBorders>
            <w:hideMark/>
          </w:tcPr>
          <w:p w14:paraId="5B678B9F"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260" w:type="dxa"/>
            <w:tcBorders>
              <w:top w:val="single" w:sz="4" w:space="0" w:color="auto"/>
              <w:left w:val="single" w:sz="4" w:space="0" w:color="auto"/>
              <w:bottom w:val="single" w:sz="4" w:space="0" w:color="auto"/>
              <w:right w:val="single" w:sz="4" w:space="0" w:color="auto"/>
            </w:tcBorders>
            <w:hideMark/>
          </w:tcPr>
          <w:p w14:paraId="2E643299"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c>
          <w:tcPr>
            <w:tcW w:w="1440" w:type="dxa"/>
            <w:tcBorders>
              <w:top w:val="single" w:sz="4" w:space="0" w:color="auto"/>
              <w:left w:val="single" w:sz="4" w:space="0" w:color="auto"/>
              <w:bottom w:val="single" w:sz="4" w:space="0" w:color="auto"/>
              <w:right w:val="single" w:sz="4" w:space="0" w:color="auto"/>
            </w:tcBorders>
            <w:hideMark/>
          </w:tcPr>
          <w:p w14:paraId="54F5D745" w14:textId="77777777" w:rsidR="000C533D" w:rsidRPr="000C533D" w:rsidRDefault="000C533D" w:rsidP="000C533D">
            <w:pPr>
              <w:pStyle w:val="Body"/>
              <w:rPr>
                <w:rFonts w:ascii="Arial" w:hAnsi="Arial" w:cs="Arial"/>
                <w:sz w:val="20"/>
              </w:rPr>
            </w:pPr>
            <w:r w:rsidRPr="000C533D">
              <w:rPr>
                <w:rFonts w:ascii="Arial" w:hAnsi="Arial" w:cs="Arial"/>
                <w:sz w:val="20"/>
              </w:rPr>
              <w:t>2.66E-2</w:t>
            </w:r>
          </w:p>
        </w:tc>
      </w:tr>
      <w:tr w:rsidR="008E20DC" w:rsidRPr="000C533D" w14:paraId="3D212E75"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03C17AD5" w14:textId="77777777" w:rsidR="000C533D" w:rsidRPr="000C533D" w:rsidRDefault="000C533D" w:rsidP="000C533D">
            <w:pPr>
              <w:pStyle w:val="Body"/>
              <w:rPr>
                <w:rFonts w:ascii="Arial" w:hAnsi="Arial" w:cs="Arial"/>
                <w:sz w:val="20"/>
              </w:rPr>
            </w:pPr>
            <w:r w:rsidRPr="000C533D">
              <w:rPr>
                <w:rFonts w:ascii="Arial" w:hAnsi="Arial" w:cs="Arial"/>
                <w:sz w:val="20"/>
              </w:rPr>
              <w:t>Ni</w:t>
            </w:r>
          </w:p>
        </w:tc>
        <w:tc>
          <w:tcPr>
            <w:tcW w:w="1252" w:type="dxa"/>
            <w:tcBorders>
              <w:top w:val="single" w:sz="4" w:space="0" w:color="auto"/>
              <w:left w:val="single" w:sz="4" w:space="0" w:color="auto"/>
              <w:bottom w:val="single" w:sz="4" w:space="0" w:color="auto"/>
              <w:right w:val="single" w:sz="4" w:space="0" w:color="auto"/>
            </w:tcBorders>
            <w:hideMark/>
          </w:tcPr>
          <w:p w14:paraId="3091FBF2" w14:textId="77777777" w:rsidR="000C533D" w:rsidRPr="000C533D" w:rsidRDefault="000C533D" w:rsidP="000C533D">
            <w:pPr>
              <w:pStyle w:val="Body"/>
              <w:rPr>
                <w:rFonts w:ascii="Arial" w:hAnsi="Arial" w:cs="Arial"/>
                <w:sz w:val="20"/>
              </w:rPr>
            </w:pPr>
            <w:r w:rsidRPr="000C533D">
              <w:rPr>
                <w:rFonts w:ascii="Arial" w:hAnsi="Arial" w:cs="Arial"/>
                <w:sz w:val="20"/>
              </w:rPr>
              <w:t>7.07</w:t>
            </w:r>
          </w:p>
        </w:tc>
        <w:tc>
          <w:tcPr>
            <w:tcW w:w="1080" w:type="dxa"/>
            <w:tcBorders>
              <w:top w:val="single" w:sz="4" w:space="0" w:color="auto"/>
              <w:left w:val="single" w:sz="4" w:space="0" w:color="auto"/>
              <w:bottom w:val="single" w:sz="4" w:space="0" w:color="auto"/>
              <w:right w:val="single" w:sz="4" w:space="0" w:color="auto"/>
            </w:tcBorders>
            <w:hideMark/>
          </w:tcPr>
          <w:p w14:paraId="6B7B4016" w14:textId="77777777" w:rsidR="000C533D" w:rsidRPr="000C533D" w:rsidRDefault="000C533D" w:rsidP="000C533D">
            <w:pPr>
              <w:pStyle w:val="Body"/>
              <w:rPr>
                <w:rFonts w:ascii="Arial" w:hAnsi="Arial" w:cs="Arial"/>
                <w:sz w:val="20"/>
              </w:rPr>
            </w:pPr>
            <w:r w:rsidRPr="000C533D">
              <w:rPr>
                <w:rFonts w:ascii="Arial" w:hAnsi="Arial" w:cs="Arial"/>
                <w:sz w:val="20"/>
              </w:rPr>
              <w:t>2.57</w:t>
            </w:r>
          </w:p>
        </w:tc>
        <w:tc>
          <w:tcPr>
            <w:tcW w:w="1170" w:type="dxa"/>
            <w:tcBorders>
              <w:top w:val="single" w:sz="4" w:space="0" w:color="auto"/>
              <w:left w:val="single" w:sz="4" w:space="0" w:color="auto"/>
              <w:bottom w:val="single" w:sz="4" w:space="0" w:color="auto"/>
              <w:right w:val="single" w:sz="4" w:space="0" w:color="auto"/>
            </w:tcBorders>
            <w:hideMark/>
          </w:tcPr>
          <w:p w14:paraId="72568FA3" w14:textId="77777777" w:rsidR="000C533D" w:rsidRPr="000C533D" w:rsidRDefault="000C533D" w:rsidP="000C533D">
            <w:pPr>
              <w:pStyle w:val="Body"/>
              <w:rPr>
                <w:rFonts w:ascii="Arial" w:hAnsi="Arial" w:cs="Arial"/>
                <w:sz w:val="20"/>
              </w:rPr>
            </w:pPr>
            <w:r w:rsidRPr="000C533D">
              <w:rPr>
                <w:rFonts w:ascii="Arial" w:hAnsi="Arial" w:cs="Arial"/>
                <w:sz w:val="20"/>
              </w:rPr>
              <w:t>4.28</w:t>
            </w:r>
          </w:p>
        </w:tc>
        <w:tc>
          <w:tcPr>
            <w:tcW w:w="1260" w:type="dxa"/>
            <w:tcBorders>
              <w:top w:val="single" w:sz="4" w:space="0" w:color="auto"/>
              <w:left w:val="single" w:sz="4" w:space="0" w:color="auto"/>
              <w:bottom w:val="single" w:sz="4" w:space="0" w:color="auto"/>
              <w:right w:val="single" w:sz="4" w:space="0" w:color="auto"/>
            </w:tcBorders>
            <w:hideMark/>
          </w:tcPr>
          <w:p w14:paraId="7DD165F5" w14:textId="77777777" w:rsidR="000C533D" w:rsidRPr="000C533D" w:rsidRDefault="000C533D" w:rsidP="000C533D">
            <w:pPr>
              <w:pStyle w:val="Body"/>
              <w:rPr>
                <w:rFonts w:ascii="Arial" w:hAnsi="Arial" w:cs="Arial"/>
                <w:sz w:val="20"/>
              </w:rPr>
            </w:pPr>
            <w:r w:rsidRPr="000C533D">
              <w:rPr>
                <w:rFonts w:ascii="Arial" w:hAnsi="Arial" w:cs="Arial"/>
                <w:sz w:val="20"/>
              </w:rPr>
              <w:t>7.07</w:t>
            </w:r>
          </w:p>
        </w:tc>
        <w:tc>
          <w:tcPr>
            <w:tcW w:w="1260" w:type="dxa"/>
            <w:tcBorders>
              <w:top w:val="single" w:sz="4" w:space="0" w:color="auto"/>
              <w:left w:val="single" w:sz="4" w:space="0" w:color="auto"/>
              <w:bottom w:val="single" w:sz="4" w:space="0" w:color="auto"/>
              <w:right w:val="single" w:sz="4" w:space="0" w:color="auto"/>
            </w:tcBorders>
            <w:hideMark/>
          </w:tcPr>
          <w:p w14:paraId="6541710C" w14:textId="77777777" w:rsidR="000C533D" w:rsidRPr="000C533D" w:rsidRDefault="000C533D" w:rsidP="000C533D">
            <w:pPr>
              <w:pStyle w:val="Body"/>
              <w:rPr>
                <w:rFonts w:ascii="Arial" w:hAnsi="Arial" w:cs="Arial"/>
                <w:sz w:val="20"/>
              </w:rPr>
            </w:pPr>
            <w:r w:rsidRPr="000C533D">
              <w:rPr>
                <w:rFonts w:ascii="Arial" w:hAnsi="Arial" w:cs="Arial"/>
                <w:sz w:val="20"/>
              </w:rPr>
              <w:t>2.57</w:t>
            </w:r>
          </w:p>
        </w:tc>
        <w:tc>
          <w:tcPr>
            <w:tcW w:w="1440" w:type="dxa"/>
            <w:tcBorders>
              <w:top w:val="single" w:sz="4" w:space="0" w:color="auto"/>
              <w:left w:val="single" w:sz="4" w:space="0" w:color="auto"/>
              <w:bottom w:val="single" w:sz="4" w:space="0" w:color="auto"/>
              <w:right w:val="single" w:sz="4" w:space="0" w:color="auto"/>
            </w:tcBorders>
            <w:hideMark/>
          </w:tcPr>
          <w:p w14:paraId="1A9ABBBE" w14:textId="77777777" w:rsidR="000C533D" w:rsidRPr="000C533D" w:rsidRDefault="000C533D" w:rsidP="000C533D">
            <w:pPr>
              <w:pStyle w:val="Body"/>
              <w:rPr>
                <w:rFonts w:ascii="Arial" w:hAnsi="Arial" w:cs="Arial"/>
                <w:sz w:val="20"/>
              </w:rPr>
            </w:pPr>
            <w:r w:rsidRPr="000C533D">
              <w:rPr>
                <w:rFonts w:ascii="Arial" w:hAnsi="Arial" w:cs="Arial"/>
                <w:sz w:val="20"/>
              </w:rPr>
              <w:t>4.28</w:t>
            </w:r>
          </w:p>
        </w:tc>
      </w:tr>
      <w:tr w:rsidR="008E20DC" w:rsidRPr="000C533D" w14:paraId="726041C6"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3D000E74" w14:textId="77777777" w:rsidR="000C533D" w:rsidRPr="000C533D" w:rsidRDefault="000C533D" w:rsidP="000C533D">
            <w:pPr>
              <w:pStyle w:val="Body"/>
              <w:rPr>
                <w:rFonts w:ascii="Arial" w:hAnsi="Arial" w:cs="Arial"/>
                <w:sz w:val="20"/>
              </w:rPr>
            </w:pPr>
            <w:r w:rsidRPr="000C533D">
              <w:rPr>
                <w:rFonts w:ascii="Arial" w:hAnsi="Arial" w:cs="Arial"/>
                <w:sz w:val="20"/>
              </w:rPr>
              <w:t>Mn</w:t>
            </w:r>
          </w:p>
        </w:tc>
        <w:tc>
          <w:tcPr>
            <w:tcW w:w="1252" w:type="dxa"/>
            <w:tcBorders>
              <w:top w:val="single" w:sz="4" w:space="0" w:color="auto"/>
              <w:left w:val="single" w:sz="4" w:space="0" w:color="auto"/>
              <w:bottom w:val="single" w:sz="4" w:space="0" w:color="auto"/>
              <w:right w:val="single" w:sz="4" w:space="0" w:color="auto"/>
            </w:tcBorders>
            <w:hideMark/>
          </w:tcPr>
          <w:p w14:paraId="46374AB6" w14:textId="77777777" w:rsidR="000C533D" w:rsidRPr="000C533D" w:rsidRDefault="000C533D" w:rsidP="000C533D">
            <w:pPr>
              <w:pStyle w:val="Body"/>
              <w:rPr>
                <w:rFonts w:ascii="Arial" w:hAnsi="Arial" w:cs="Arial"/>
                <w:sz w:val="20"/>
              </w:rPr>
            </w:pPr>
            <w:r w:rsidRPr="000C533D">
              <w:rPr>
                <w:rFonts w:ascii="Arial" w:hAnsi="Arial" w:cs="Arial"/>
                <w:sz w:val="20"/>
              </w:rPr>
              <w:t>3.6</w:t>
            </w:r>
          </w:p>
        </w:tc>
        <w:tc>
          <w:tcPr>
            <w:tcW w:w="1080" w:type="dxa"/>
            <w:tcBorders>
              <w:top w:val="single" w:sz="4" w:space="0" w:color="auto"/>
              <w:left w:val="single" w:sz="4" w:space="0" w:color="auto"/>
              <w:bottom w:val="single" w:sz="4" w:space="0" w:color="auto"/>
              <w:right w:val="single" w:sz="4" w:space="0" w:color="auto"/>
            </w:tcBorders>
            <w:hideMark/>
          </w:tcPr>
          <w:p w14:paraId="523A0866" w14:textId="77777777" w:rsidR="000C533D" w:rsidRPr="000C533D" w:rsidRDefault="000C533D" w:rsidP="000C533D">
            <w:pPr>
              <w:pStyle w:val="Body"/>
              <w:rPr>
                <w:rFonts w:ascii="Arial" w:hAnsi="Arial" w:cs="Arial"/>
                <w:sz w:val="20"/>
              </w:rPr>
            </w:pPr>
            <w:r w:rsidRPr="000C533D">
              <w:rPr>
                <w:rFonts w:ascii="Arial" w:hAnsi="Arial" w:cs="Arial"/>
                <w:sz w:val="20"/>
              </w:rPr>
              <w:t>2.8</w:t>
            </w:r>
          </w:p>
        </w:tc>
        <w:tc>
          <w:tcPr>
            <w:tcW w:w="1170" w:type="dxa"/>
            <w:tcBorders>
              <w:top w:val="single" w:sz="4" w:space="0" w:color="auto"/>
              <w:left w:val="single" w:sz="4" w:space="0" w:color="auto"/>
              <w:bottom w:val="single" w:sz="4" w:space="0" w:color="auto"/>
              <w:right w:val="single" w:sz="4" w:space="0" w:color="auto"/>
            </w:tcBorders>
            <w:hideMark/>
          </w:tcPr>
          <w:p w14:paraId="17611A8E" w14:textId="77777777" w:rsidR="000C533D" w:rsidRPr="000C533D" w:rsidRDefault="000C533D" w:rsidP="000C533D">
            <w:pPr>
              <w:pStyle w:val="Body"/>
              <w:rPr>
                <w:rFonts w:ascii="Arial" w:hAnsi="Arial" w:cs="Arial"/>
                <w:sz w:val="20"/>
              </w:rPr>
            </w:pPr>
            <w:r w:rsidRPr="000C533D">
              <w:rPr>
                <w:rFonts w:ascii="Arial" w:hAnsi="Arial" w:cs="Arial"/>
                <w:sz w:val="20"/>
              </w:rPr>
              <w:t>4.06</w:t>
            </w:r>
          </w:p>
        </w:tc>
        <w:tc>
          <w:tcPr>
            <w:tcW w:w="1260" w:type="dxa"/>
            <w:tcBorders>
              <w:top w:val="single" w:sz="4" w:space="0" w:color="auto"/>
              <w:left w:val="single" w:sz="4" w:space="0" w:color="auto"/>
              <w:bottom w:val="single" w:sz="4" w:space="0" w:color="auto"/>
              <w:right w:val="single" w:sz="4" w:space="0" w:color="auto"/>
            </w:tcBorders>
            <w:hideMark/>
          </w:tcPr>
          <w:p w14:paraId="034489D7" w14:textId="77777777" w:rsidR="000C533D" w:rsidRPr="000C533D" w:rsidRDefault="000C533D" w:rsidP="000C533D">
            <w:pPr>
              <w:pStyle w:val="Body"/>
              <w:rPr>
                <w:rFonts w:ascii="Arial" w:hAnsi="Arial" w:cs="Arial"/>
                <w:sz w:val="20"/>
              </w:rPr>
            </w:pPr>
            <w:r w:rsidRPr="000C533D">
              <w:rPr>
                <w:rFonts w:ascii="Arial" w:hAnsi="Arial" w:cs="Arial"/>
                <w:sz w:val="20"/>
              </w:rPr>
              <w:t>3.6</w:t>
            </w:r>
          </w:p>
        </w:tc>
        <w:tc>
          <w:tcPr>
            <w:tcW w:w="1260" w:type="dxa"/>
            <w:tcBorders>
              <w:top w:val="single" w:sz="4" w:space="0" w:color="auto"/>
              <w:left w:val="single" w:sz="4" w:space="0" w:color="auto"/>
              <w:bottom w:val="single" w:sz="4" w:space="0" w:color="auto"/>
              <w:right w:val="single" w:sz="4" w:space="0" w:color="auto"/>
            </w:tcBorders>
            <w:hideMark/>
          </w:tcPr>
          <w:p w14:paraId="77689ED2" w14:textId="77777777" w:rsidR="000C533D" w:rsidRPr="000C533D" w:rsidRDefault="000C533D" w:rsidP="000C533D">
            <w:pPr>
              <w:pStyle w:val="Body"/>
              <w:rPr>
                <w:rFonts w:ascii="Arial" w:hAnsi="Arial" w:cs="Arial"/>
                <w:sz w:val="20"/>
              </w:rPr>
            </w:pPr>
            <w:r w:rsidRPr="000C533D">
              <w:rPr>
                <w:rFonts w:ascii="Arial" w:hAnsi="Arial" w:cs="Arial"/>
                <w:sz w:val="20"/>
              </w:rPr>
              <w:t>2.8</w:t>
            </w:r>
          </w:p>
        </w:tc>
        <w:tc>
          <w:tcPr>
            <w:tcW w:w="1440" w:type="dxa"/>
            <w:tcBorders>
              <w:top w:val="single" w:sz="4" w:space="0" w:color="auto"/>
              <w:left w:val="single" w:sz="4" w:space="0" w:color="auto"/>
              <w:bottom w:val="single" w:sz="4" w:space="0" w:color="auto"/>
              <w:right w:val="single" w:sz="4" w:space="0" w:color="auto"/>
            </w:tcBorders>
            <w:hideMark/>
          </w:tcPr>
          <w:p w14:paraId="03A1D475" w14:textId="77777777" w:rsidR="000C533D" w:rsidRPr="000C533D" w:rsidRDefault="000C533D" w:rsidP="000C533D">
            <w:pPr>
              <w:pStyle w:val="Body"/>
              <w:rPr>
                <w:rFonts w:ascii="Arial" w:hAnsi="Arial" w:cs="Arial"/>
                <w:sz w:val="20"/>
              </w:rPr>
            </w:pPr>
            <w:r w:rsidRPr="000C533D">
              <w:rPr>
                <w:rFonts w:ascii="Arial" w:hAnsi="Arial" w:cs="Arial"/>
                <w:sz w:val="20"/>
              </w:rPr>
              <w:t>4.06</w:t>
            </w:r>
          </w:p>
        </w:tc>
      </w:tr>
      <w:tr w:rsidR="008E20DC" w:rsidRPr="000C533D" w14:paraId="3D1717A5" w14:textId="77777777" w:rsidTr="008E20DC">
        <w:tc>
          <w:tcPr>
            <w:tcW w:w="723" w:type="dxa"/>
            <w:tcBorders>
              <w:top w:val="single" w:sz="4" w:space="0" w:color="auto"/>
              <w:left w:val="single" w:sz="4" w:space="0" w:color="auto"/>
              <w:bottom w:val="single" w:sz="4" w:space="0" w:color="auto"/>
              <w:right w:val="single" w:sz="4" w:space="0" w:color="auto"/>
            </w:tcBorders>
            <w:hideMark/>
          </w:tcPr>
          <w:p w14:paraId="71C84EC0" w14:textId="77777777" w:rsidR="000C533D" w:rsidRPr="000C533D" w:rsidRDefault="000C533D" w:rsidP="000C533D">
            <w:pPr>
              <w:pStyle w:val="Body"/>
              <w:rPr>
                <w:rFonts w:ascii="Arial" w:hAnsi="Arial" w:cs="Arial"/>
                <w:sz w:val="20"/>
              </w:rPr>
            </w:pPr>
            <w:r w:rsidRPr="000C533D">
              <w:rPr>
                <w:rFonts w:ascii="Arial" w:hAnsi="Arial" w:cs="Arial"/>
                <w:sz w:val="20"/>
              </w:rPr>
              <w:t>HI</w:t>
            </w:r>
          </w:p>
        </w:tc>
        <w:tc>
          <w:tcPr>
            <w:tcW w:w="1252" w:type="dxa"/>
            <w:tcBorders>
              <w:top w:val="single" w:sz="4" w:space="0" w:color="auto"/>
              <w:left w:val="single" w:sz="4" w:space="0" w:color="auto"/>
              <w:bottom w:val="single" w:sz="4" w:space="0" w:color="auto"/>
              <w:right w:val="single" w:sz="4" w:space="0" w:color="auto"/>
            </w:tcBorders>
            <w:hideMark/>
          </w:tcPr>
          <w:p w14:paraId="2C82057A" w14:textId="77777777" w:rsidR="000C533D" w:rsidRPr="000C533D" w:rsidRDefault="000C533D" w:rsidP="000C533D">
            <w:pPr>
              <w:pStyle w:val="Body"/>
              <w:rPr>
                <w:rFonts w:ascii="Arial" w:hAnsi="Arial" w:cs="Arial"/>
                <w:sz w:val="20"/>
              </w:rPr>
            </w:pPr>
            <w:r w:rsidRPr="000C533D">
              <w:rPr>
                <w:rFonts w:ascii="Arial" w:hAnsi="Arial" w:cs="Arial"/>
                <w:sz w:val="20"/>
              </w:rPr>
              <w:t>14.73</w:t>
            </w:r>
          </w:p>
        </w:tc>
        <w:tc>
          <w:tcPr>
            <w:tcW w:w="1080" w:type="dxa"/>
            <w:tcBorders>
              <w:top w:val="single" w:sz="4" w:space="0" w:color="auto"/>
              <w:left w:val="single" w:sz="4" w:space="0" w:color="auto"/>
              <w:bottom w:val="single" w:sz="4" w:space="0" w:color="auto"/>
              <w:right w:val="single" w:sz="4" w:space="0" w:color="auto"/>
            </w:tcBorders>
            <w:hideMark/>
          </w:tcPr>
          <w:p w14:paraId="1318D830" w14:textId="77777777" w:rsidR="000C533D" w:rsidRPr="000C533D" w:rsidRDefault="000C533D" w:rsidP="000C533D">
            <w:pPr>
              <w:pStyle w:val="Body"/>
              <w:rPr>
                <w:rFonts w:ascii="Arial" w:hAnsi="Arial" w:cs="Arial"/>
                <w:sz w:val="20"/>
              </w:rPr>
            </w:pPr>
            <w:r w:rsidRPr="000C533D">
              <w:rPr>
                <w:rFonts w:ascii="Arial" w:hAnsi="Arial" w:cs="Arial"/>
                <w:sz w:val="20"/>
              </w:rPr>
              <w:t>12.06</w:t>
            </w:r>
          </w:p>
        </w:tc>
        <w:tc>
          <w:tcPr>
            <w:tcW w:w="1170" w:type="dxa"/>
            <w:tcBorders>
              <w:top w:val="single" w:sz="4" w:space="0" w:color="auto"/>
              <w:left w:val="single" w:sz="4" w:space="0" w:color="auto"/>
              <w:bottom w:val="single" w:sz="4" w:space="0" w:color="auto"/>
              <w:right w:val="single" w:sz="4" w:space="0" w:color="auto"/>
            </w:tcBorders>
            <w:hideMark/>
          </w:tcPr>
          <w:p w14:paraId="3B2A6C20" w14:textId="77777777" w:rsidR="000C533D" w:rsidRPr="000C533D" w:rsidRDefault="000C533D" w:rsidP="000C533D">
            <w:pPr>
              <w:pStyle w:val="Body"/>
              <w:rPr>
                <w:rFonts w:ascii="Arial" w:hAnsi="Arial" w:cs="Arial"/>
                <w:sz w:val="20"/>
              </w:rPr>
            </w:pPr>
            <w:r w:rsidRPr="000C533D">
              <w:rPr>
                <w:rFonts w:ascii="Arial" w:hAnsi="Arial" w:cs="Arial"/>
                <w:sz w:val="20"/>
              </w:rPr>
              <w:t>20.51</w:t>
            </w:r>
          </w:p>
        </w:tc>
        <w:tc>
          <w:tcPr>
            <w:tcW w:w="1260" w:type="dxa"/>
            <w:tcBorders>
              <w:top w:val="single" w:sz="4" w:space="0" w:color="auto"/>
              <w:left w:val="single" w:sz="4" w:space="0" w:color="auto"/>
              <w:bottom w:val="single" w:sz="4" w:space="0" w:color="auto"/>
              <w:right w:val="single" w:sz="4" w:space="0" w:color="auto"/>
            </w:tcBorders>
            <w:hideMark/>
          </w:tcPr>
          <w:p w14:paraId="6582D46D" w14:textId="77777777" w:rsidR="000C533D" w:rsidRPr="000C533D" w:rsidRDefault="000C533D" w:rsidP="000C533D">
            <w:pPr>
              <w:pStyle w:val="Body"/>
              <w:rPr>
                <w:rFonts w:ascii="Arial" w:hAnsi="Arial" w:cs="Arial"/>
                <w:sz w:val="20"/>
              </w:rPr>
            </w:pPr>
            <w:r w:rsidRPr="000C533D">
              <w:rPr>
                <w:rFonts w:ascii="Arial" w:hAnsi="Arial" w:cs="Arial"/>
                <w:sz w:val="20"/>
              </w:rPr>
              <w:t>15.33</w:t>
            </w:r>
          </w:p>
        </w:tc>
        <w:tc>
          <w:tcPr>
            <w:tcW w:w="1260" w:type="dxa"/>
            <w:tcBorders>
              <w:top w:val="single" w:sz="4" w:space="0" w:color="auto"/>
              <w:left w:val="single" w:sz="4" w:space="0" w:color="auto"/>
              <w:bottom w:val="single" w:sz="4" w:space="0" w:color="auto"/>
              <w:right w:val="single" w:sz="4" w:space="0" w:color="auto"/>
            </w:tcBorders>
            <w:hideMark/>
          </w:tcPr>
          <w:p w14:paraId="671C3A67" w14:textId="77777777" w:rsidR="000C533D" w:rsidRPr="000C533D" w:rsidRDefault="000C533D" w:rsidP="000C533D">
            <w:pPr>
              <w:pStyle w:val="Body"/>
              <w:rPr>
                <w:rFonts w:ascii="Arial" w:hAnsi="Arial" w:cs="Arial"/>
                <w:sz w:val="20"/>
              </w:rPr>
            </w:pPr>
            <w:r w:rsidRPr="000C533D">
              <w:rPr>
                <w:rFonts w:ascii="Arial" w:hAnsi="Arial" w:cs="Arial"/>
                <w:sz w:val="20"/>
              </w:rPr>
              <w:t>12.06</w:t>
            </w:r>
          </w:p>
        </w:tc>
        <w:tc>
          <w:tcPr>
            <w:tcW w:w="1440" w:type="dxa"/>
            <w:tcBorders>
              <w:top w:val="single" w:sz="4" w:space="0" w:color="auto"/>
              <w:left w:val="single" w:sz="4" w:space="0" w:color="auto"/>
              <w:bottom w:val="single" w:sz="4" w:space="0" w:color="auto"/>
              <w:right w:val="single" w:sz="4" w:space="0" w:color="auto"/>
            </w:tcBorders>
            <w:hideMark/>
          </w:tcPr>
          <w:p w14:paraId="40F97555" w14:textId="77777777" w:rsidR="000C533D" w:rsidRPr="000C533D" w:rsidRDefault="000C533D" w:rsidP="000C533D">
            <w:pPr>
              <w:pStyle w:val="Body"/>
              <w:rPr>
                <w:rFonts w:ascii="Arial" w:hAnsi="Arial" w:cs="Arial"/>
                <w:sz w:val="20"/>
              </w:rPr>
            </w:pPr>
            <w:r w:rsidRPr="000C533D">
              <w:rPr>
                <w:rFonts w:ascii="Arial" w:hAnsi="Arial" w:cs="Arial"/>
                <w:sz w:val="20"/>
              </w:rPr>
              <w:t>20.5</w:t>
            </w:r>
          </w:p>
        </w:tc>
      </w:tr>
    </w:tbl>
    <w:p w14:paraId="39F2DFA5" w14:textId="77777777" w:rsidR="000C533D" w:rsidRDefault="000C533D" w:rsidP="000C533D">
      <w:pPr>
        <w:pStyle w:val="Body"/>
        <w:rPr>
          <w:rFonts w:ascii="Arial" w:hAnsi="Arial" w:cs="Arial"/>
          <w:b/>
        </w:rPr>
      </w:pPr>
    </w:p>
    <w:p w14:paraId="357A9A74" w14:textId="77777777" w:rsidR="000C533D" w:rsidRPr="000C533D" w:rsidRDefault="000C533D" w:rsidP="000C533D">
      <w:pPr>
        <w:pStyle w:val="Body"/>
        <w:spacing w:after="0"/>
        <w:rPr>
          <w:rFonts w:ascii="Arial" w:hAnsi="Arial" w:cs="Arial"/>
          <w:b/>
        </w:rPr>
      </w:pPr>
      <w:r w:rsidRPr="000C533D">
        <w:rPr>
          <w:rFonts w:ascii="Arial" w:hAnsi="Arial" w:cs="Arial"/>
          <w:b/>
        </w:rPr>
        <w:t>Table 8. Hazard Quotient for Non-Carcinogenic Risks (non-CRs) Associated with Heavy Metals via Dermal Exposure</w:t>
      </w:r>
    </w:p>
    <w:tbl>
      <w:tblPr>
        <w:tblStyle w:val="TableGrid"/>
        <w:tblW w:w="8185" w:type="dxa"/>
        <w:tblLook w:val="04A0" w:firstRow="1" w:lastRow="0" w:firstColumn="1" w:lastColumn="0" w:noHBand="0" w:noVBand="1"/>
      </w:tblPr>
      <w:tblGrid>
        <w:gridCol w:w="723"/>
        <w:gridCol w:w="1162"/>
        <w:gridCol w:w="1170"/>
        <w:gridCol w:w="1170"/>
        <w:gridCol w:w="1350"/>
        <w:gridCol w:w="1350"/>
        <w:gridCol w:w="1260"/>
      </w:tblGrid>
      <w:tr w:rsidR="000C533D" w:rsidRPr="000C533D" w14:paraId="5DDD190F" w14:textId="77777777" w:rsidTr="0041621F">
        <w:tc>
          <w:tcPr>
            <w:tcW w:w="723" w:type="dxa"/>
            <w:tcBorders>
              <w:top w:val="single" w:sz="4" w:space="0" w:color="auto"/>
              <w:left w:val="single" w:sz="4" w:space="0" w:color="auto"/>
              <w:bottom w:val="single" w:sz="4" w:space="0" w:color="auto"/>
              <w:right w:val="single" w:sz="4" w:space="0" w:color="auto"/>
            </w:tcBorders>
          </w:tcPr>
          <w:p w14:paraId="3B8421FE" w14:textId="77777777" w:rsidR="000C533D" w:rsidRPr="000C533D" w:rsidRDefault="000C533D" w:rsidP="000C533D">
            <w:pPr>
              <w:pStyle w:val="Body"/>
              <w:rPr>
                <w:rFonts w:ascii="Arial" w:hAnsi="Arial" w:cs="Arial"/>
                <w:b/>
                <w:sz w:val="20"/>
              </w:rPr>
            </w:pPr>
          </w:p>
        </w:tc>
        <w:tc>
          <w:tcPr>
            <w:tcW w:w="3502" w:type="dxa"/>
            <w:gridSpan w:val="3"/>
            <w:tcBorders>
              <w:top w:val="single" w:sz="4" w:space="0" w:color="auto"/>
              <w:left w:val="single" w:sz="4" w:space="0" w:color="auto"/>
              <w:bottom w:val="single" w:sz="4" w:space="0" w:color="auto"/>
              <w:right w:val="single" w:sz="4" w:space="0" w:color="auto"/>
            </w:tcBorders>
            <w:hideMark/>
          </w:tcPr>
          <w:p w14:paraId="5718DC8C" w14:textId="77777777" w:rsidR="000C533D" w:rsidRPr="000C533D" w:rsidRDefault="000C533D" w:rsidP="000C533D">
            <w:pPr>
              <w:pStyle w:val="Body"/>
              <w:rPr>
                <w:rFonts w:ascii="Arial" w:hAnsi="Arial" w:cs="Arial"/>
                <w:b/>
                <w:sz w:val="20"/>
              </w:rPr>
            </w:pPr>
            <w:r w:rsidRPr="000C533D">
              <w:rPr>
                <w:rFonts w:ascii="Arial" w:hAnsi="Arial" w:cs="Arial"/>
                <w:b/>
                <w:sz w:val="20"/>
              </w:rPr>
              <w:t>Adult</w:t>
            </w:r>
          </w:p>
        </w:tc>
        <w:tc>
          <w:tcPr>
            <w:tcW w:w="3960" w:type="dxa"/>
            <w:gridSpan w:val="3"/>
            <w:tcBorders>
              <w:top w:val="single" w:sz="4" w:space="0" w:color="auto"/>
              <w:left w:val="single" w:sz="4" w:space="0" w:color="auto"/>
              <w:bottom w:val="single" w:sz="4" w:space="0" w:color="auto"/>
              <w:right w:val="single" w:sz="4" w:space="0" w:color="auto"/>
            </w:tcBorders>
            <w:hideMark/>
          </w:tcPr>
          <w:p w14:paraId="6FD1C770" w14:textId="77777777" w:rsidR="000C533D" w:rsidRPr="000C533D" w:rsidRDefault="000C533D" w:rsidP="000C533D">
            <w:pPr>
              <w:pStyle w:val="Body"/>
              <w:rPr>
                <w:rFonts w:ascii="Arial" w:hAnsi="Arial" w:cs="Arial"/>
                <w:b/>
                <w:sz w:val="20"/>
              </w:rPr>
            </w:pPr>
            <w:r w:rsidRPr="000C533D">
              <w:rPr>
                <w:rFonts w:ascii="Arial" w:hAnsi="Arial" w:cs="Arial"/>
                <w:b/>
                <w:sz w:val="20"/>
              </w:rPr>
              <w:t>Children</w:t>
            </w:r>
          </w:p>
        </w:tc>
      </w:tr>
      <w:tr w:rsidR="000C533D" w:rsidRPr="000C533D" w14:paraId="05C91EF6" w14:textId="77777777" w:rsidTr="0015488A">
        <w:trPr>
          <w:trHeight w:val="575"/>
        </w:trPr>
        <w:tc>
          <w:tcPr>
            <w:tcW w:w="723" w:type="dxa"/>
            <w:tcBorders>
              <w:top w:val="single" w:sz="4" w:space="0" w:color="auto"/>
              <w:left w:val="single" w:sz="4" w:space="0" w:color="auto"/>
              <w:bottom w:val="single" w:sz="4" w:space="0" w:color="auto"/>
              <w:right w:val="single" w:sz="4" w:space="0" w:color="auto"/>
            </w:tcBorders>
            <w:hideMark/>
          </w:tcPr>
          <w:p w14:paraId="06173A95" w14:textId="77777777" w:rsidR="000C533D" w:rsidRPr="000C533D" w:rsidRDefault="000C533D" w:rsidP="000C533D">
            <w:pPr>
              <w:pStyle w:val="Body"/>
              <w:rPr>
                <w:rFonts w:ascii="Arial" w:hAnsi="Arial" w:cs="Arial"/>
                <w:b/>
                <w:sz w:val="20"/>
              </w:rPr>
            </w:pPr>
            <w:r w:rsidRPr="000C533D">
              <w:rPr>
                <w:rFonts w:ascii="Arial" w:hAnsi="Arial" w:cs="Arial"/>
                <w:b/>
                <w:sz w:val="20"/>
              </w:rPr>
              <w:t>HMs</w:t>
            </w:r>
          </w:p>
        </w:tc>
        <w:tc>
          <w:tcPr>
            <w:tcW w:w="1162" w:type="dxa"/>
            <w:tcBorders>
              <w:top w:val="single" w:sz="4" w:space="0" w:color="auto"/>
              <w:left w:val="single" w:sz="4" w:space="0" w:color="auto"/>
              <w:bottom w:val="single" w:sz="4" w:space="0" w:color="auto"/>
              <w:right w:val="single" w:sz="4" w:space="0" w:color="auto"/>
            </w:tcBorders>
            <w:hideMark/>
          </w:tcPr>
          <w:p w14:paraId="442F0958" w14:textId="77777777" w:rsidR="0041621F" w:rsidRDefault="000C533D" w:rsidP="0015488A">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Pr="000C533D">
              <w:rPr>
                <w:rFonts w:ascii="Arial" w:hAnsi="Arial" w:cs="Arial"/>
                <w:b/>
                <w:sz w:val="20"/>
              </w:rPr>
              <w:t xml:space="preserve"> </w:t>
            </w:r>
          </w:p>
          <w:p w14:paraId="5B865D0B"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170" w:type="dxa"/>
            <w:tcBorders>
              <w:top w:val="single" w:sz="4" w:space="0" w:color="auto"/>
              <w:left w:val="single" w:sz="4" w:space="0" w:color="auto"/>
              <w:bottom w:val="single" w:sz="4" w:space="0" w:color="auto"/>
              <w:right w:val="single" w:sz="4" w:space="0" w:color="auto"/>
            </w:tcBorders>
            <w:hideMark/>
          </w:tcPr>
          <w:p w14:paraId="4CAC544C" w14:textId="77777777" w:rsidR="0041621F" w:rsidRDefault="000C533D" w:rsidP="0015488A">
            <w:pPr>
              <w:pStyle w:val="Body"/>
              <w:spacing w:after="0"/>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0041621F">
              <w:rPr>
                <w:rFonts w:ascii="Arial" w:hAnsi="Arial" w:cs="Arial"/>
                <w:b/>
                <w:sz w:val="20"/>
                <w:vertAlign w:val="subscript"/>
              </w:rPr>
              <w:t xml:space="preserve"> </w:t>
            </w:r>
          </w:p>
          <w:p w14:paraId="0A2AD7A1" w14:textId="77777777" w:rsidR="000C533D" w:rsidRPr="000C533D" w:rsidRDefault="000C533D" w:rsidP="0041621F">
            <w:pPr>
              <w:pStyle w:val="Body"/>
              <w:rPr>
                <w:rFonts w:ascii="Arial" w:hAnsi="Arial" w:cs="Arial"/>
                <w:b/>
                <w:sz w:val="20"/>
              </w:rPr>
            </w:pPr>
            <w:r w:rsidRPr="000C533D">
              <w:rPr>
                <w:rFonts w:ascii="Arial" w:hAnsi="Arial" w:cs="Arial"/>
                <w:b/>
                <w:sz w:val="20"/>
              </w:rPr>
              <w:t>(UJ)</w:t>
            </w:r>
          </w:p>
        </w:tc>
        <w:tc>
          <w:tcPr>
            <w:tcW w:w="1170" w:type="dxa"/>
            <w:tcBorders>
              <w:top w:val="single" w:sz="4" w:space="0" w:color="auto"/>
              <w:left w:val="single" w:sz="4" w:space="0" w:color="auto"/>
              <w:bottom w:val="single" w:sz="4" w:space="0" w:color="auto"/>
              <w:right w:val="single" w:sz="4" w:space="0" w:color="auto"/>
            </w:tcBorders>
            <w:hideMark/>
          </w:tcPr>
          <w:p w14:paraId="289F042C" w14:textId="77777777" w:rsidR="000C533D" w:rsidRPr="000C533D" w:rsidRDefault="000C533D" w:rsidP="0015488A">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Pr="000C533D">
              <w:rPr>
                <w:rFonts w:ascii="Arial" w:hAnsi="Arial" w:cs="Arial"/>
                <w:b/>
                <w:sz w:val="20"/>
              </w:rPr>
              <w:t xml:space="preserve"> </w:t>
            </w:r>
          </w:p>
          <w:p w14:paraId="776FC6CD" w14:textId="77777777" w:rsidR="000C533D" w:rsidRPr="000C533D" w:rsidRDefault="000C533D" w:rsidP="000C533D">
            <w:pPr>
              <w:pStyle w:val="Body"/>
              <w:rPr>
                <w:rFonts w:ascii="Arial" w:hAnsi="Arial" w:cs="Arial"/>
                <w:b/>
                <w:sz w:val="20"/>
              </w:rPr>
            </w:pPr>
            <w:r w:rsidRPr="000C533D">
              <w:rPr>
                <w:rFonts w:ascii="Arial" w:hAnsi="Arial" w:cs="Arial"/>
                <w:b/>
                <w:sz w:val="20"/>
              </w:rPr>
              <w:t>(MJ)</w:t>
            </w:r>
          </w:p>
        </w:tc>
        <w:tc>
          <w:tcPr>
            <w:tcW w:w="1350" w:type="dxa"/>
            <w:tcBorders>
              <w:top w:val="single" w:sz="4" w:space="0" w:color="auto"/>
              <w:left w:val="single" w:sz="4" w:space="0" w:color="auto"/>
              <w:bottom w:val="single" w:sz="4" w:space="0" w:color="auto"/>
              <w:right w:val="single" w:sz="4" w:space="0" w:color="auto"/>
            </w:tcBorders>
            <w:hideMark/>
          </w:tcPr>
          <w:p w14:paraId="162A96DE" w14:textId="77777777" w:rsidR="000C533D" w:rsidRPr="000C533D" w:rsidRDefault="000C533D" w:rsidP="0015488A">
            <w:pPr>
              <w:pStyle w:val="Body"/>
              <w:spacing w:after="0"/>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der</w:t>
            </w:r>
            <w:proofErr w:type="spellEnd"/>
          </w:p>
          <w:p w14:paraId="7AEA87CE" w14:textId="77777777" w:rsidR="000C533D" w:rsidRPr="000C533D" w:rsidRDefault="000C533D" w:rsidP="000C533D">
            <w:pPr>
              <w:pStyle w:val="Body"/>
              <w:rPr>
                <w:rFonts w:ascii="Arial" w:hAnsi="Arial" w:cs="Arial"/>
                <w:b/>
                <w:sz w:val="20"/>
              </w:rPr>
            </w:pPr>
            <w:r w:rsidRPr="000C533D">
              <w:rPr>
                <w:rFonts w:ascii="Arial" w:hAnsi="Arial" w:cs="Arial"/>
                <w:b/>
                <w:sz w:val="20"/>
              </w:rPr>
              <w:t>(MM)</w:t>
            </w:r>
          </w:p>
        </w:tc>
        <w:tc>
          <w:tcPr>
            <w:tcW w:w="1350" w:type="dxa"/>
            <w:tcBorders>
              <w:top w:val="single" w:sz="4" w:space="0" w:color="auto"/>
              <w:left w:val="single" w:sz="4" w:space="0" w:color="auto"/>
              <w:bottom w:val="single" w:sz="4" w:space="0" w:color="auto"/>
              <w:right w:val="single" w:sz="4" w:space="0" w:color="auto"/>
            </w:tcBorders>
            <w:hideMark/>
          </w:tcPr>
          <w:p w14:paraId="1268DCC7" w14:textId="77777777" w:rsidR="0041621F" w:rsidRDefault="000C533D" w:rsidP="0015488A">
            <w:pPr>
              <w:pStyle w:val="Body"/>
              <w:spacing w:after="0"/>
              <w:rPr>
                <w:rFonts w:ascii="Arial" w:hAnsi="Arial" w:cs="Arial"/>
                <w:b/>
                <w:sz w:val="20"/>
              </w:rPr>
            </w:pPr>
            <w:proofErr w:type="spellStart"/>
            <w:r w:rsidRPr="000C533D">
              <w:rPr>
                <w:rFonts w:ascii="Arial" w:hAnsi="Arial" w:cs="Arial"/>
                <w:b/>
                <w:sz w:val="20"/>
              </w:rPr>
              <w:t>HQ</w:t>
            </w:r>
            <w:r w:rsidRPr="000C533D">
              <w:rPr>
                <w:rFonts w:ascii="Arial" w:hAnsi="Arial" w:cs="Arial"/>
                <w:b/>
                <w:sz w:val="20"/>
                <w:vertAlign w:val="subscript"/>
              </w:rPr>
              <w:t>der</w:t>
            </w:r>
            <w:proofErr w:type="spellEnd"/>
            <w:r w:rsidRPr="000C533D">
              <w:rPr>
                <w:rFonts w:ascii="Arial" w:hAnsi="Arial" w:cs="Arial"/>
                <w:b/>
                <w:sz w:val="20"/>
              </w:rPr>
              <w:t xml:space="preserve"> </w:t>
            </w:r>
          </w:p>
          <w:p w14:paraId="5BEA8A58" w14:textId="77777777" w:rsidR="000C533D" w:rsidRPr="000C533D" w:rsidRDefault="000C533D" w:rsidP="000C533D">
            <w:pPr>
              <w:pStyle w:val="Body"/>
              <w:rPr>
                <w:rFonts w:ascii="Arial" w:hAnsi="Arial" w:cs="Arial"/>
                <w:b/>
                <w:sz w:val="20"/>
              </w:rPr>
            </w:pPr>
            <w:r w:rsidRPr="000C533D">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4FCA39D2" w14:textId="77777777" w:rsidR="000C533D" w:rsidRPr="000C533D" w:rsidRDefault="000C533D" w:rsidP="0015488A">
            <w:pPr>
              <w:pStyle w:val="Body"/>
              <w:spacing w:after="0"/>
              <w:rPr>
                <w:rFonts w:ascii="Arial" w:hAnsi="Arial" w:cs="Arial"/>
                <w:b/>
                <w:sz w:val="20"/>
                <w:vertAlign w:val="subscript"/>
              </w:rPr>
            </w:pPr>
            <w:proofErr w:type="spellStart"/>
            <w:r w:rsidRPr="000C533D">
              <w:rPr>
                <w:rFonts w:ascii="Arial" w:hAnsi="Arial" w:cs="Arial"/>
                <w:b/>
                <w:sz w:val="20"/>
              </w:rPr>
              <w:t>HQ</w:t>
            </w:r>
            <w:r w:rsidRPr="000C533D">
              <w:rPr>
                <w:rFonts w:ascii="Arial" w:hAnsi="Arial" w:cs="Arial"/>
                <w:b/>
                <w:sz w:val="20"/>
                <w:vertAlign w:val="subscript"/>
              </w:rPr>
              <w:t>der</w:t>
            </w:r>
            <w:proofErr w:type="spellEnd"/>
          </w:p>
          <w:p w14:paraId="1C18FDB1" w14:textId="77777777" w:rsidR="000C533D" w:rsidRPr="000C533D" w:rsidRDefault="000C533D" w:rsidP="000C533D">
            <w:pPr>
              <w:pStyle w:val="Body"/>
              <w:rPr>
                <w:rFonts w:ascii="Arial" w:hAnsi="Arial" w:cs="Arial"/>
                <w:b/>
                <w:sz w:val="20"/>
              </w:rPr>
            </w:pPr>
            <w:r w:rsidRPr="000C533D">
              <w:rPr>
                <w:rFonts w:ascii="Arial" w:hAnsi="Arial" w:cs="Arial"/>
                <w:b/>
                <w:sz w:val="20"/>
              </w:rPr>
              <w:t xml:space="preserve"> (MJ)</w:t>
            </w:r>
          </w:p>
        </w:tc>
      </w:tr>
      <w:tr w:rsidR="000C533D" w:rsidRPr="000C533D" w14:paraId="1C8EC3E4"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0FB56490" w14:textId="77777777" w:rsidR="000C533D" w:rsidRPr="000C533D" w:rsidRDefault="000C533D" w:rsidP="000C533D">
            <w:pPr>
              <w:pStyle w:val="Body"/>
              <w:rPr>
                <w:rFonts w:ascii="Arial" w:hAnsi="Arial" w:cs="Arial"/>
                <w:sz w:val="20"/>
              </w:rPr>
            </w:pPr>
            <w:r w:rsidRPr="000C533D">
              <w:rPr>
                <w:rFonts w:ascii="Arial" w:hAnsi="Arial" w:cs="Arial"/>
                <w:sz w:val="20"/>
              </w:rPr>
              <w:t>Cr</w:t>
            </w:r>
          </w:p>
        </w:tc>
        <w:tc>
          <w:tcPr>
            <w:tcW w:w="1162" w:type="dxa"/>
            <w:tcBorders>
              <w:top w:val="single" w:sz="4" w:space="0" w:color="auto"/>
              <w:left w:val="single" w:sz="4" w:space="0" w:color="auto"/>
              <w:bottom w:val="single" w:sz="4" w:space="0" w:color="auto"/>
              <w:right w:val="single" w:sz="4" w:space="0" w:color="auto"/>
            </w:tcBorders>
            <w:hideMark/>
          </w:tcPr>
          <w:p w14:paraId="3CDFADB2" w14:textId="77777777" w:rsidR="000C533D" w:rsidRPr="000C533D" w:rsidRDefault="000C533D" w:rsidP="000C533D">
            <w:pPr>
              <w:pStyle w:val="Body"/>
              <w:rPr>
                <w:rFonts w:ascii="Arial" w:hAnsi="Arial" w:cs="Arial"/>
                <w:sz w:val="20"/>
              </w:rPr>
            </w:pPr>
            <w:r w:rsidRPr="000C533D">
              <w:rPr>
                <w:rFonts w:ascii="Arial" w:hAnsi="Arial" w:cs="Arial"/>
                <w:sz w:val="20"/>
              </w:rPr>
              <w:t>1.47E-1</w:t>
            </w:r>
          </w:p>
        </w:tc>
        <w:tc>
          <w:tcPr>
            <w:tcW w:w="1170" w:type="dxa"/>
            <w:tcBorders>
              <w:top w:val="single" w:sz="4" w:space="0" w:color="auto"/>
              <w:left w:val="single" w:sz="4" w:space="0" w:color="auto"/>
              <w:bottom w:val="single" w:sz="4" w:space="0" w:color="auto"/>
              <w:right w:val="single" w:sz="4" w:space="0" w:color="auto"/>
            </w:tcBorders>
            <w:hideMark/>
          </w:tcPr>
          <w:p w14:paraId="6C176725" w14:textId="77777777" w:rsidR="000C533D" w:rsidRPr="000C533D" w:rsidRDefault="000C533D" w:rsidP="000C533D">
            <w:pPr>
              <w:pStyle w:val="Body"/>
              <w:rPr>
                <w:rFonts w:ascii="Arial" w:hAnsi="Arial" w:cs="Arial"/>
                <w:sz w:val="20"/>
              </w:rPr>
            </w:pPr>
            <w:r w:rsidRPr="000C533D">
              <w:rPr>
                <w:rFonts w:ascii="Arial" w:hAnsi="Arial" w:cs="Arial"/>
                <w:sz w:val="20"/>
              </w:rPr>
              <w:t>2.35E-1</w:t>
            </w:r>
          </w:p>
        </w:tc>
        <w:tc>
          <w:tcPr>
            <w:tcW w:w="1170" w:type="dxa"/>
            <w:tcBorders>
              <w:top w:val="single" w:sz="4" w:space="0" w:color="auto"/>
              <w:left w:val="single" w:sz="4" w:space="0" w:color="auto"/>
              <w:bottom w:val="single" w:sz="4" w:space="0" w:color="auto"/>
              <w:right w:val="single" w:sz="4" w:space="0" w:color="auto"/>
            </w:tcBorders>
            <w:hideMark/>
          </w:tcPr>
          <w:p w14:paraId="58DCDC58" w14:textId="77777777" w:rsidR="000C533D" w:rsidRPr="000C533D" w:rsidRDefault="000C533D" w:rsidP="000C533D">
            <w:pPr>
              <w:pStyle w:val="Body"/>
              <w:rPr>
                <w:rFonts w:ascii="Arial" w:hAnsi="Arial" w:cs="Arial"/>
                <w:sz w:val="20"/>
              </w:rPr>
            </w:pPr>
            <w:r w:rsidRPr="000C533D">
              <w:rPr>
                <w:rFonts w:ascii="Arial" w:hAnsi="Arial" w:cs="Arial"/>
                <w:sz w:val="20"/>
              </w:rPr>
              <w:t>3.85E-1</w:t>
            </w:r>
          </w:p>
        </w:tc>
        <w:tc>
          <w:tcPr>
            <w:tcW w:w="1350" w:type="dxa"/>
            <w:tcBorders>
              <w:top w:val="single" w:sz="4" w:space="0" w:color="auto"/>
              <w:left w:val="single" w:sz="4" w:space="0" w:color="auto"/>
              <w:bottom w:val="single" w:sz="4" w:space="0" w:color="auto"/>
              <w:right w:val="single" w:sz="4" w:space="0" w:color="auto"/>
            </w:tcBorders>
            <w:hideMark/>
          </w:tcPr>
          <w:p w14:paraId="2BFDF702" w14:textId="77777777" w:rsidR="000C533D" w:rsidRPr="000C533D" w:rsidRDefault="000C533D" w:rsidP="000C533D">
            <w:pPr>
              <w:pStyle w:val="Body"/>
              <w:rPr>
                <w:rFonts w:ascii="Arial" w:hAnsi="Arial" w:cs="Arial"/>
                <w:sz w:val="20"/>
              </w:rPr>
            </w:pPr>
            <w:r w:rsidRPr="000C533D">
              <w:rPr>
                <w:rFonts w:ascii="Arial" w:hAnsi="Arial" w:cs="Arial"/>
                <w:sz w:val="20"/>
              </w:rPr>
              <w:t>9.63E-1</w:t>
            </w:r>
          </w:p>
        </w:tc>
        <w:tc>
          <w:tcPr>
            <w:tcW w:w="1350" w:type="dxa"/>
            <w:tcBorders>
              <w:top w:val="single" w:sz="4" w:space="0" w:color="auto"/>
              <w:left w:val="single" w:sz="4" w:space="0" w:color="auto"/>
              <w:bottom w:val="single" w:sz="4" w:space="0" w:color="auto"/>
              <w:right w:val="single" w:sz="4" w:space="0" w:color="auto"/>
            </w:tcBorders>
            <w:hideMark/>
          </w:tcPr>
          <w:p w14:paraId="48F9D5CD" w14:textId="77777777" w:rsidR="000C533D" w:rsidRPr="000C533D" w:rsidRDefault="000C533D" w:rsidP="000C533D">
            <w:pPr>
              <w:pStyle w:val="Body"/>
              <w:rPr>
                <w:rFonts w:ascii="Arial" w:hAnsi="Arial" w:cs="Arial"/>
                <w:sz w:val="20"/>
              </w:rPr>
            </w:pPr>
            <w:r w:rsidRPr="000C533D">
              <w:rPr>
                <w:rFonts w:ascii="Arial" w:hAnsi="Arial" w:cs="Arial"/>
                <w:sz w:val="20"/>
              </w:rPr>
              <w:t>1.54</w:t>
            </w:r>
          </w:p>
        </w:tc>
        <w:tc>
          <w:tcPr>
            <w:tcW w:w="1260" w:type="dxa"/>
            <w:tcBorders>
              <w:top w:val="single" w:sz="4" w:space="0" w:color="auto"/>
              <w:left w:val="single" w:sz="4" w:space="0" w:color="auto"/>
              <w:bottom w:val="single" w:sz="4" w:space="0" w:color="auto"/>
              <w:right w:val="single" w:sz="4" w:space="0" w:color="auto"/>
            </w:tcBorders>
            <w:hideMark/>
          </w:tcPr>
          <w:p w14:paraId="338BFDA7" w14:textId="77777777" w:rsidR="000C533D" w:rsidRPr="000C533D" w:rsidRDefault="000C533D" w:rsidP="000C533D">
            <w:pPr>
              <w:pStyle w:val="Body"/>
              <w:rPr>
                <w:rFonts w:ascii="Arial" w:hAnsi="Arial" w:cs="Arial"/>
                <w:sz w:val="20"/>
              </w:rPr>
            </w:pPr>
            <w:r w:rsidRPr="000C533D">
              <w:rPr>
                <w:rFonts w:ascii="Arial" w:hAnsi="Arial" w:cs="Arial"/>
                <w:sz w:val="20"/>
              </w:rPr>
              <w:t>2.51</w:t>
            </w:r>
          </w:p>
        </w:tc>
      </w:tr>
      <w:tr w:rsidR="000C533D" w:rsidRPr="000C533D" w14:paraId="06DD9C17"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2BFDBB99" w14:textId="77777777" w:rsidR="000C533D" w:rsidRPr="000C533D" w:rsidRDefault="000C533D" w:rsidP="000C533D">
            <w:pPr>
              <w:pStyle w:val="Body"/>
              <w:rPr>
                <w:rFonts w:ascii="Arial" w:hAnsi="Arial" w:cs="Arial"/>
                <w:sz w:val="20"/>
              </w:rPr>
            </w:pPr>
            <w:r w:rsidRPr="000C533D">
              <w:rPr>
                <w:rFonts w:ascii="Arial" w:hAnsi="Arial" w:cs="Arial"/>
                <w:sz w:val="20"/>
              </w:rPr>
              <w:t>Cd</w:t>
            </w:r>
          </w:p>
        </w:tc>
        <w:tc>
          <w:tcPr>
            <w:tcW w:w="1162" w:type="dxa"/>
            <w:tcBorders>
              <w:top w:val="single" w:sz="4" w:space="0" w:color="auto"/>
              <w:left w:val="single" w:sz="4" w:space="0" w:color="auto"/>
              <w:bottom w:val="single" w:sz="4" w:space="0" w:color="auto"/>
              <w:right w:val="single" w:sz="4" w:space="0" w:color="auto"/>
            </w:tcBorders>
            <w:hideMark/>
          </w:tcPr>
          <w:p w14:paraId="4012B825" w14:textId="77777777" w:rsidR="000C533D" w:rsidRPr="000C533D" w:rsidRDefault="000C533D" w:rsidP="000C533D">
            <w:pPr>
              <w:pStyle w:val="Body"/>
              <w:rPr>
                <w:rFonts w:ascii="Arial" w:hAnsi="Arial" w:cs="Arial"/>
                <w:sz w:val="20"/>
              </w:rPr>
            </w:pPr>
            <w:r w:rsidRPr="000C533D">
              <w:rPr>
                <w:rFonts w:ascii="Arial" w:hAnsi="Arial" w:cs="Arial"/>
                <w:sz w:val="20"/>
              </w:rPr>
              <w:t>1.77E-1</w:t>
            </w:r>
          </w:p>
        </w:tc>
        <w:tc>
          <w:tcPr>
            <w:tcW w:w="1170" w:type="dxa"/>
            <w:tcBorders>
              <w:top w:val="single" w:sz="4" w:space="0" w:color="auto"/>
              <w:left w:val="single" w:sz="4" w:space="0" w:color="auto"/>
              <w:bottom w:val="single" w:sz="4" w:space="0" w:color="auto"/>
              <w:right w:val="single" w:sz="4" w:space="0" w:color="auto"/>
            </w:tcBorders>
            <w:hideMark/>
          </w:tcPr>
          <w:p w14:paraId="292F3BEF" w14:textId="77777777" w:rsidR="000C533D" w:rsidRPr="000C533D" w:rsidRDefault="000C533D" w:rsidP="000C533D">
            <w:pPr>
              <w:pStyle w:val="Body"/>
              <w:rPr>
                <w:rFonts w:ascii="Arial" w:hAnsi="Arial" w:cs="Arial"/>
                <w:sz w:val="20"/>
              </w:rPr>
            </w:pPr>
            <w:r w:rsidRPr="000C533D">
              <w:rPr>
                <w:rFonts w:ascii="Arial" w:hAnsi="Arial" w:cs="Arial"/>
                <w:sz w:val="20"/>
              </w:rPr>
              <w:t>2.44E-2</w:t>
            </w:r>
          </w:p>
        </w:tc>
        <w:tc>
          <w:tcPr>
            <w:tcW w:w="1170" w:type="dxa"/>
            <w:tcBorders>
              <w:top w:val="single" w:sz="4" w:space="0" w:color="auto"/>
              <w:left w:val="single" w:sz="4" w:space="0" w:color="auto"/>
              <w:bottom w:val="single" w:sz="4" w:space="0" w:color="auto"/>
              <w:right w:val="single" w:sz="4" w:space="0" w:color="auto"/>
            </w:tcBorders>
            <w:hideMark/>
          </w:tcPr>
          <w:p w14:paraId="141B0729" w14:textId="77777777" w:rsidR="000C533D" w:rsidRPr="000C533D" w:rsidRDefault="000C533D" w:rsidP="000C533D">
            <w:pPr>
              <w:pStyle w:val="Body"/>
              <w:rPr>
                <w:rFonts w:ascii="Arial" w:hAnsi="Arial" w:cs="Arial"/>
                <w:sz w:val="20"/>
              </w:rPr>
            </w:pPr>
            <w:r w:rsidRPr="000C533D">
              <w:rPr>
                <w:rFonts w:ascii="Arial" w:hAnsi="Arial" w:cs="Arial"/>
                <w:sz w:val="20"/>
              </w:rPr>
              <w:t>4.63E-2</w:t>
            </w:r>
          </w:p>
        </w:tc>
        <w:tc>
          <w:tcPr>
            <w:tcW w:w="1350" w:type="dxa"/>
            <w:tcBorders>
              <w:top w:val="single" w:sz="4" w:space="0" w:color="auto"/>
              <w:left w:val="single" w:sz="4" w:space="0" w:color="auto"/>
              <w:bottom w:val="single" w:sz="4" w:space="0" w:color="auto"/>
              <w:right w:val="single" w:sz="4" w:space="0" w:color="auto"/>
            </w:tcBorders>
            <w:hideMark/>
          </w:tcPr>
          <w:p w14:paraId="6BEE605F" w14:textId="77777777" w:rsidR="000C533D" w:rsidRPr="000C533D" w:rsidRDefault="000C533D" w:rsidP="000C533D">
            <w:pPr>
              <w:pStyle w:val="Body"/>
              <w:rPr>
                <w:rFonts w:ascii="Arial" w:hAnsi="Arial" w:cs="Arial"/>
                <w:sz w:val="20"/>
              </w:rPr>
            </w:pPr>
            <w:r w:rsidRPr="000C533D">
              <w:rPr>
                <w:rFonts w:ascii="Arial" w:hAnsi="Arial" w:cs="Arial"/>
                <w:sz w:val="20"/>
              </w:rPr>
              <w:t>1.15E-1</w:t>
            </w:r>
          </w:p>
        </w:tc>
        <w:tc>
          <w:tcPr>
            <w:tcW w:w="1350" w:type="dxa"/>
            <w:tcBorders>
              <w:top w:val="single" w:sz="4" w:space="0" w:color="auto"/>
              <w:left w:val="single" w:sz="4" w:space="0" w:color="auto"/>
              <w:bottom w:val="single" w:sz="4" w:space="0" w:color="auto"/>
              <w:right w:val="single" w:sz="4" w:space="0" w:color="auto"/>
            </w:tcBorders>
            <w:hideMark/>
          </w:tcPr>
          <w:p w14:paraId="32F40A5C" w14:textId="77777777" w:rsidR="000C533D" w:rsidRPr="000C533D" w:rsidRDefault="000C533D" w:rsidP="000C533D">
            <w:pPr>
              <w:pStyle w:val="Body"/>
              <w:rPr>
                <w:rFonts w:ascii="Arial" w:hAnsi="Arial" w:cs="Arial"/>
                <w:sz w:val="20"/>
              </w:rPr>
            </w:pPr>
            <w:r w:rsidRPr="000C533D">
              <w:rPr>
                <w:rFonts w:ascii="Arial" w:hAnsi="Arial" w:cs="Arial"/>
                <w:sz w:val="20"/>
              </w:rPr>
              <w:t>1.60E-1</w:t>
            </w:r>
          </w:p>
        </w:tc>
        <w:tc>
          <w:tcPr>
            <w:tcW w:w="1260" w:type="dxa"/>
            <w:tcBorders>
              <w:top w:val="single" w:sz="4" w:space="0" w:color="auto"/>
              <w:left w:val="single" w:sz="4" w:space="0" w:color="auto"/>
              <w:bottom w:val="single" w:sz="4" w:space="0" w:color="auto"/>
              <w:right w:val="single" w:sz="4" w:space="0" w:color="auto"/>
            </w:tcBorders>
            <w:hideMark/>
          </w:tcPr>
          <w:p w14:paraId="573E29FC" w14:textId="77777777" w:rsidR="000C533D" w:rsidRPr="000C533D" w:rsidRDefault="000C533D" w:rsidP="000C533D">
            <w:pPr>
              <w:pStyle w:val="Body"/>
              <w:rPr>
                <w:rFonts w:ascii="Arial" w:hAnsi="Arial" w:cs="Arial"/>
                <w:sz w:val="20"/>
              </w:rPr>
            </w:pPr>
            <w:r w:rsidRPr="000C533D">
              <w:rPr>
                <w:rFonts w:ascii="Arial" w:hAnsi="Arial" w:cs="Arial"/>
                <w:sz w:val="20"/>
              </w:rPr>
              <w:t>3.03E-1</w:t>
            </w:r>
          </w:p>
        </w:tc>
      </w:tr>
      <w:tr w:rsidR="000C533D" w:rsidRPr="000C533D" w14:paraId="1EB2A9A4"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7EB9D546" w14:textId="77777777" w:rsidR="000C533D" w:rsidRPr="000C533D" w:rsidRDefault="000C533D" w:rsidP="000C533D">
            <w:pPr>
              <w:pStyle w:val="Body"/>
              <w:rPr>
                <w:rFonts w:ascii="Arial" w:hAnsi="Arial" w:cs="Arial"/>
                <w:sz w:val="20"/>
              </w:rPr>
            </w:pPr>
            <w:r w:rsidRPr="000C533D">
              <w:rPr>
                <w:rFonts w:ascii="Arial" w:hAnsi="Arial" w:cs="Arial"/>
                <w:sz w:val="20"/>
              </w:rPr>
              <w:t>Cu</w:t>
            </w:r>
          </w:p>
        </w:tc>
        <w:tc>
          <w:tcPr>
            <w:tcW w:w="1162" w:type="dxa"/>
            <w:tcBorders>
              <w:top w:val="single" w:sz="4" w:space="0" w:color="auto"/>
              <w:left w:val="single" w:sz="4" w:space="0" w:color="auto"/>
              <w:bottom w:val="single" w:sz="4" w:space="0" w:color="auto"/>
              <w:right w:val="single" w:sz="4" w:space="0" w:color="auto"/>
            </w:tcBorders>
            <w:hideMark/>
          </w:tcPr>
          <w:p w14:paraId="3A37E41A" w14:textId="77777777" w:rsidR="000C533D" w:rsidRPr="000C533D" w:rsidRDefault="000C533D" w:rsidP="000C533D">
            <w:pPr>
              <w:pStyle w:val="Body"/>
              <w:rPr>
                <w:rFonts w:ascii="Arial" w:hAnsi="Arial" w:cs="Arial"/>
                <w:sz w:val="20"/>
              </w:rPr>
            </w:pPr>
            <w:r w:rsidRPr="000C533D">
              <w:rPr>
                <w:rFonts w:ascii="Arial" w:hAnsi="Arial" w:cs="Arial"/>
                <w:sz w:val="20"/>
              </w:rPr>
              <w:t>4.68E-6</w:t>
            </w:r>
          </w:p>
        </w:tc>
        <w:tc>
          <w:tcPr>
            <w:tcW w:w="1170" w:type="dxa"/>
            <w:tcBorders>
              <w:top w:val="single" w:sz="4" w:space="0" w:color="auto"/>
              <w:left w:val="single" w:sz="4" w:space="0" w:color="auto"/>
              <w:bottom w:val="single" w:sz="4" w:space="0" w:color="auto"/>
              <w:right w:val="single" w:sz="4" w:space="0" w:color="auto"/>
            </w:tcBorders>
            <w:hideMark/>
          </w:tcPr>
          <w:p w14:paraId="0D369516" w14:textId="77777777" w:rsidR="000C533D" w:rsidRPr="000C533D" w:rsidRDefault="000C533D" w:rsidP="000C533D">
            <w:pPr>
              <w:pStyle w:val="Body"/>
              <w:rPr>
                <w:rFonts w:ascii="Arial" w:hAnsi="Arial" w:cs="Arial"/>
                <w:sz w:val="20"/>
              </w:rPr>
            </w:pPr>
            <w:r w:rsidRPr="000C533D">
              <w:rPr>
                <w:rFonts w:ascii="Arial" w:hAnsi="Arial" w:cs="Arial"/>
                <w:sz w:val="20"/>
              </w:rPr>
              <w:t>2.34E-6</w:t>
            </w:r>
          </w:p>
        </w:tc>
        <w:tc>
          <w:tcPr>
            <w:tcW w:w="1170" w:type="dxa"/>
            <w:tcBorders>
              <w:top w:val="single" w:sz="4" w:space="0" w:color="auto"/>
              <w:left w:val="single" w:sz="4" w:space="0" w:color="auto"/>
              <w:bottom w:val="single" w:sz="4" w:space="0" w:color="auto"/>
              <w:right w:val="single" w:sz="4" w:space="0" w:color="auto"/>
            </w:tcBorders>
            <w:hideMark/>
          </w:tcPr>
          <w:p w14:paraId="02022617" w14:textId="77777777" w:rsidR="000C533D" w:rsidRPr="000C533D" w:rsidRDefault="000C533D" w:rsidP="000C533D">
            <w:pPr>
              <w:pStyle w:val="Body"/>
              <w:rPr>
                <w:rFonts w:ascii="Arial" w:hAnsi="Arial" w:cs="Arial"/>
                <w:sz w:val="20"/>
              </w:rPr>
            </w:pPr>
            <w:r w:rsidRPr="000C533D">
              <w:rPr>
                <w:rFonts w:ascii="Arial" w:hAnsi="Arial" w:cs="Arial"/>
                <w:sz w:val="20"/>
              </w:rPr>
              <w:t>7.02E-6</w:t>
            </w:r>
          </w:p>
        </w:tc>
        <w:tc>
          <w:tcPr>
            <w:tcW w:w="1350" w:type="dxa"/>
            <w:tcBorders>
              <w:top w:val="single" w:sz="4" w:space="0" w:color="auto"/>
              <w:left w:val="single" w:sz="4" w:space="0" w:color="auto"/>
              <w:bottom w:val="single" w:sz="4" w:space="0" w:color="auto"/>
              <w:right w:val="single" w:sz="4" w:space="0" w:color="auto"/>
            </w:tcBorders>
            <w:hideMark/>
          </w:tcPr>
          <w:p w14:paraId="277C0391" w14:textId="77777777" w:rsidR="000C533D" w:rsidRPr="000C533D" w:rsidRDefault="000C533D" w:rsidP="000C533D">
            <w:pPr>
              <w:pStyle w:val="Body"/>
              <w:rPr>
                <w:rFonts w:ascii="Arial" w:hAnsi="Arial" w:cs="Arial"/>
                <w:sz w:val="20"/>
              </w:rPr>
            </w:pPr>
            <w:r w:rsidRPr="000C533D">
              <w:rPr>
                <w:rFonts w:ascii="Arial" w:hAnsi="Arial" w:cs="Arial"/>
                <w:sz w:val="20"/>
              </w:rPr>
              <w:t>3.06E-5</w:t>
            </w:r>
          </w:p>
        </w:tc>
        <w:tc>
          <w:tcPr>
            <w:tcW w:w="1350" w:type="dxa"/>
            <w:tcBorders>
              <w:top w:val="single" w:sz="4" w:space="0" w:color="auto"/>
              <w:left w:val="single" w:sz="4" w:space="0" w:color="auto"/>
              <w:bottom w:val="single" w:sz="4" w:space="0" w:color="auto"/>
              <w:right w:val="single" w:sz="4" w:space="0" w:color="auto"/>
            </w:tcBorders>
            <w:hideMark/>
          </w:tcPr>
          <w:p w14:paraId="5BA1A8E5" w14:textId="77777777" w:rsidR="000C533D" w:rsidRPr="000C533D" w:rsidRDefault="000C533D" w:rsidP="000C533D">
            <w:pPr>
              <w:pStyle w:val="Body"/>
              <w:rPr>
                <w:rFonts w:ascii="Arial" w:hAnsi="Arial" w:cs="Arial"/>
                <w:sz w:val="20"/>
              </w:rPr>
            </w:pPr>
            <w:r w:rsidRPr="000C533D">
              <w:rPr>
                <w:rFonts w:ascii="Arial" w:hAnsi="Arial" w:cs="Arial"/>
                <w:sz w:val="20"/>
              </w:rPr>
              <w:t>1.53E-5</w:t>
            </w:r>
          </w:p>
        </w:tc>
        <w:tc>
          <w:tcPr>
            <w:tcW w:w="1260" w:type="dxa"/>
            <w:tcBorders>
              <w:top w:val="single" w:sz="4" w:space="0" w:color="auto"/>
              <w:left w:val="single" w:sz="4" w:space="0" w:color="auto"/>
              <w:bottom w:val="single" w:sz="4" w:space="0" w:color="auto"/>
              <w:right w:val="single" w:sz="4" w:space="0" w:color="auto"/>
            </w:tcBorders>
            <w:hideMark/>
          </w:tcPr>
          <w:p w14:paraId="63D93427" w14:textId="77777777" w:rsidR="000C533D" w:rsidRPr="000C533D" w:rsidRDefault="000C533D" w:rsidP="000C533D">
            <w:pPr>
              <w:pStyle w:val="Body"/>
              <w:rPr>
                <w:rFonts w:ascii="Arial" w:hAnsi="Arial" w:cs="Arial"/>
                <w:sz w:val="20"/>
              </w:rPr>
            </w:pPr>
            <w:r w:rsidRPr="000C533D">
              <w:rPr>
                <w:rFonts w:ascii="Arial" w:hAnsi="Arial" w:cs="Arial"/>
                <w:sz w:val="20"/>
              </w:rPr>
              <w:t>4.60E-5</w:t>
            </w:r>
          </w:p>
        </w:tc>
      </w:tr>
      <w:tr w:rsidR="000C533D" w:rsidRPr="000C533D" w14:paraId="3EB4DA96"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4722BA84" w14:textId="77777777" w:rsidR="000C533D" w:rsidRPr="000C533D" w:rsidRDefault="000C533D" w:rsidP="000C533D">
            <w:pPr>
              <w:pStyle w:val="Body"/>
              <w:rPr>
                <w:rFonts w:ascii="Arial" w:hAnsi="Arial" w:cs="Arial"/>
                <w:sz w:val="20"/>
              </w:rPr>
            </w:pPr>
            <w:r w:rsidRPr="000C533D">
              <w:rPr>
                <w:rFonts w:ascii="Arial" w:hAnsi="Arial" w:cs="Arial"/>
                <w:sz w:val="20"/>
              </w:rPr>
              <w:t>Pb</w:t>
            </w:r>
          </w:p>
        </w:tc>
        <w:tc>
          <w:tcPr>
            <w:tcW w:w="1162" w:type="dxa"/>
            <w:tcBorders>
              <w:top w:val="single" w:sz="4" w:space="0" w:color="auto"/>
              <w:left w:val="single" w:sz="4" w:space="0" w:color="auto"/>
              <w:bottom w:val="single" w:sz="4" w:space="0" w:color="auto"/>
              <w:right w:val="single" w:sz="4" w:space="0" w:color="auto"/>
            </w:tcBorders>
            <w:hideMark/>
          </w:tcPr>
          <w:p w14:paraId="1A5A2DCD" w14:textId="77777777" w:rsidR="000C533D" w:rsidRPr="000C533D" w:rsidRDefault="000C533D" w:rsidP="000C533D">
            <w:pPr>
              <w:pStyle w:val="Body"/>
              <w:rPr>
                <w:rFonts w:ascii="Arial" w:hAnsi="Arial" w:cs="Arial"/>
                <w:sz w:val="20"/>
              </w:rPr>
            </w:pPr>
            <w:r w:rsidRPr="000C533D">
              <w:rPr>
                <w:rFonts w:ascii="Arial" w:hAnsi="Arial" w:cs="Arial"/>
                <w:sz w:val="20"/>
              </w:rPr>
              <w:t>1.60E-3</w:t>
            </w:r>
          </w:p>
        </w:tc>
        <w:tc>
          <w:tcPr>
            <w:tcW w:w="1170" w:type="dxa"/>
            <w:tcBorders>
              <w:top w:val="single" w:sz="4" w:space="0" w:color="auto"/>
              <w:left w:val="single" w:sz="4" w:space="0" w:color="auto"/>
              <w:bottom w:val="single" w:sz="4" w:space="0" w:color="auto"/>
              <w:right w:val="single" w:sz="4" w:space="0" w:color="auto"/>
            </w:tcBorders>
            <w:hideMark/>
          </w:tcPr>
          <w:p w14:paraId="109BCEC4" w14:textId="77777777" w:rsidR="000C533D" w:rsidRPr="000C533D" w:rsidRDefault="000C533D" w:rsidP="000C533D">
            <w:pPr>
              <w:pStyle w:val="Body"/>
              <w:rPr>
                <w:rFonts w:ascii="Arial" w:hAnsi="Arial" w:cs="Arial"/>
                <w:sz w:val="20"/>
              </w:rPr>
            </w:pPr>
            <w:r w:rsidRPr="000C533D">
              <w:rPr>
                <w:rFonts w:ascii="Arial" w:hAnsi="Arial" w:cs="Arial"/>
                <w:sz w:val="20"/>
              </w:rPr>
              <w:t>8.38E-3</w:t>
            </w:r>
          </w:p>
        </w:tc>
        <w:tc>
          <w:tcPr>
            <w:tcW w:w="1170" w:type="dxa"/>
            <w:tcBorders>
              <w:top w:val="single" w:sz="4" w:space="0" w:color="auto"/>
              <w:left w:val="single" w:sz="4" w:space="0" w:color="auto"/>
              <w:bottom w:val="single" w:sz="4" w:space="0" w:color="auto"/>
              <w:right w:val="single" w:sz="4" w:space="0" w:color="auto"/>
            </w:tcBorders>
            <w:hideMark/>
          </w:tcPr>
          <w:p w14:paraId="4457FF02" w14:textId="77777777" w:rsidR="000C533D" w:rsidRPr="000C533D" w:rsidRDefault="000C533D" w:rsidP="000C533D">
            <w:pPr>
              <w:pStyle w:val="Body"/>
              <w:rPr>
                <w:rFonts w:ascii="Arial" w:hAnsi="Arial" w:cs="Arial"/>
                <w:sz w:val="20"/>
              </w:rPr>
            </w:pPr>
            <w:r w:rsidRPr="000C533D">
              <w:rPr>
                <w:rFonts w:ascii="Arial" w:hAnsi="Arial" w:cs="Arial"/>
                <w:sz w:val="20"/>
              </w:rPr>
              <w:t>1.48E-2</w:t>
            </w:r>
          </w:p>
        </w:tc>
        <w:tc>
          <w:tcPr>
            <w:tcW w:w="1350" w:type="dxa"/>
            <w:tcBorders>
              <w:top w:val="single" w:sz="4" w:space="0" w:color="auto"/>
              <w:left w:val="single" w:sz="4" w:space="0" w:color="auto"/>
              <w:bottom w:val="single" w:sz="4" w:space="0" w:color="auto"/>
              <w:right w:val="single" w:sz="4" w:space="0" w:color="auto"/>
            </w:tcBorders>
            <w:hideMark/>
          </w:tcPr>
          <w:p w14:paraId="7EDEC657" w14:textId="77777777" w:rsidR="000C533D" w:rsidRPr="000C533D" w:rsidRDefault="000C533D" w:rsidP="000C533D">
            <w:pPr>
              <w:pStyle w:val="Body"/>
              <w:rPr>
                <w:rFonts w:ascii="Arial" w:hAnsi="Arial" w:cs="Arial"/>
                <w:sz w:val="20"/>
              </w:rPr>
            </w:pPr>
            <w:r w:rsidRPr="000C533D">
              <w:rPr>
                <w:rFonts w:ascii="Arial" w:hAnsi="Arial" w:cs="Arial"/>
                <w:sz w:val="20"/>
              </w:rPr>
              <w:t>1.05E-2</w:t>
            </w:r>
          </w:p>
        </w:tc>
        <w:tc>
          <w:tcPr>
            <w:tcW w:w="1350" w:type="dxa"/>
            <w:tcBorders>
              <w:top w:val="single" w:sz="4" w:space="0" w:color="auto"/>
              <w:left w:val="single" w:sz="4" w:space="0" w:color="auto"/>
              <w:bottom w:val="single" w:sz="4" w:space="0" w:color="auto"/>
              <w:right w:val="single" w:sz="4" w:space="0" w:color="auto"/>
            </w:tcBorders>
            <w:hideMark/>
          </w:tcPr>
          <w:p w14:paraId="436BF6E9" w14:textId="77777777" w:rsidR="000C533D" w:rsidRPr="000C533D" w:rsidRDefault="000C533D" w:rsidP="000C533D">
            <w:pPr>
              <w:pStyle w:val="Body"/>
              <w:rPr>
                <w:rFonts w:ascii="Arial" w:hAnsi="Arial" w:cs="Arial"/>
                <w:sz w:val="20"/>
              </w:rPr>
            </w:pPr>
            <w:r w:rsidRPr="000C533D">
              <w:rPr>
                <w:rFonts w:ascii="Arial" w:hAnsi="Arial" w:cs="Arial"/>
                <w:sz w:val="20"/>
              </w:rPr>
              <w:t>5.60E-2</w:t>
            </w:r>
          </w:p>
        </w:tc>
        <w:tc>
          <w:tcPr>
            <w:tcW w:w="1260" w:type="dxa"/>
            <w:tcBorders>
              <w:top w:val="single" w:sz="4" w:space="0" w:color="auto"/>
              <w:left w:val="single" w:sz="4" w:space="0" w:color="auto"/>
              <w:bottom w:val="single" w:sz="4" w:space="0" w:color="auto"/>
              <w:right w:val="single" w:sz="4" w:space="0" w:color="auto"/>
            </w:tcBorders>
            <w:hideMark/>
          </w:tcPr>
          <w:p w14:paraId="1FEC1380" w14:textId="77777777" w:rsidR="000C533D" w:rsidRPr="000C533D" w:rsidRDefault="000C533D" w:rsidP="000C533D">
            <w:pPr>
              <w:pStyle w:val="Body"/>
              <w:rPr>
                <w:rFonts w:ascii="Arial" w:hAnsi="Arial" w:cs="Arial"/>
                <w:sz w:val="20"/>
              </w:rPr>
            </w:pPr>
            <w:r w:rsidRPr="000C533D">
              <w:rPr>
                <w:rFonts w:ascii="Arial" w:hAnsi="Arial" w:cs="Arial"/>
                <w:sz w:val="20"/>
              </w:rPr>
              <w:t>9.80E-2</w:t>
            </w:r>
          </w:p>
        </w:tc>
      </w:tr>
      <w:tr w:rsidR="000C533D" w:rsidRPr="000C533D" w14:paraId="69810C23"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3B32721A" w14:textId="77777777" w:rsidR="000C533D" w:rsidRPr="000C533D" w:rsidRDefault="000C533D" w:rsidP="000C533D">
            <w:pPr>
              <w:pStyle w:val="Body"/>
              <w:rPr>
                <w:rFonts w:ascii="Arial" w:hAnsi="Arial" w:cs="Arial"/>
                <w:sz w:val="20"/>
              </w:rPr>
            </w:pPr>
            <w:r w:rsidRPr="000C533D">
              <w:rPr>
                <w:rFonts w:ascii="Arial" w:hAnsi="Arial" w:cs="Arial"/>
                <w:sz w:val="20"/>
              </w:rPr>
              <w:t>Ni</w:t>
            </w:r>
          </w:p>
        </w:tc>
        <w:tc>
          <w:tcPr>
            <w:tcW w:w="1162" w:type="dxa"/>
            <w:tcBorders>
              <w:top w:val="single" w:sz="4" w:space="0" w:color="auto"/>
              <w:left w:val="single" w:sz="4" w:space="0" w:color="auto"/>
              <w:bottom w:val="single" w:sz="4" w:space="0" w:color="auto"/>
              <w:right w:val="single" w:sz="4" w:space="0" w:color="auto"/>
            </w:tcBorders>
            <w:hideMark/>
          </w:tcPr>
          <w:p w14:paraId="19501F79" w14:textId="77777777" w:rsidR="000C533D" w:rsidRPr="000C533D" w:rsidRDefault="000C533D" w:rsidP="000C533D">
            <w:pPr>
              <w:pStyle w:val="Body"/>
              <w:rPr>
                <w:rFonts w:ascii="Arial" w:hAnsi="Arial" w:cs="Arial"/>
                <w:sz w:val="20"/>
              </w:rPr>
            </w:pPr>
            <w:r w:rsidRPr="000C533D">
              <w:rPr>
                <w:rFonts w:ascii="Arial" w:hAnsi="Arial" w:cs="Arial"/>
                <w:sz w:val="20"/>
              </w:rPr>
              <w:t>1.05E-3</w:t>
            </w:r>
          </w:p>
        </w:tc>
        <w:tc>
          <w:tcPr>
            <w:tcW w:w="1170" w:type="dxa"/>
            <w:tcBorders>
              <w:top w:val="single" w:sz="4" w:space="0" w:color="auto"/>
              <w:left w:val="single" w:sz="4" w:space="0" w:color="auto"/>
              <w:bottom w:val="single" w:sz="4" w:space="0" w:color="auto"/>
              <w:right w:val="single" w:sz="4" w:space="0" w:color="auto"/>
            </w:tcBorders>
            <w:hideMark/>
          </w:tcPr>
          <w:p w14:paraId="31D41822" w14:textId="77777777" w:rsidR="000C533D" w:rsidRPr="000C533D" w:rsidRDefault="000C533D" w:rsidP="000C533D">
            <w:pPr>
              <w:pStyle w:val="Body"/>
              <w:rPr>
                <w:rFonts w:ascii="Arial" w:hAnsi="Arial" w:cs="Arial"/>
                <w:sz w:val="20"/>
              </w:rPr>
            </w:pPr>
            <w:r w:rsidRPr="000C533D">
              <w:rPr>
                <w:rFonts w:ascii="Arial" w:hAnsi="Arial" w:cs="Arial"/>
                <w:sz w:val="20"/>
              </w:rPr>
              <w:t>3.79E-4</w:t>
            </w:r>
          </w:p>
        </w:tc>
        <w:tc>
          <w:tcPr>
            <w:tcW w:w="1170" w:type="dxa"/>
            <w:tcBorders>
              <w:top w:val="single" w:sz="4" w:space="0" w:color="auto"/>
              <w:left w:val="single" w:sz="4" w:space="0" w:color="auto"/>
              <w:bottom w:val="single" w:sz="4" w:space="0" w:color="auto"/>
              <w:right w:val="single" w:sz="4" w:space="0" w:color="auto"/>
            </w:tcBorders>
            <w:hideMark/>
          </w:tcPr>
          <w:p w14:paraId="30AEAC84" w14:textId="77777777" w:rsidR="000C533D" w:rsidRPr="000C533D" w:rsidRDefault="000C533D" w:rsidP="000C533D">
            <w:pPr>
              <w:pStyle w:val="Body"/>
              <w:rPr>
                <w:rFonts w:ascii="Arial" w:hAnsi="Arial" w:cs="Arial"/>
                <w:sz w:val="20"/>
              </w:rPr>
            </w:pPr>
            <w:r w:rsidRPr="000C533D">
              <w:rPr>
                <w:rFonts w:ascii="Arial" w:hAnsi="Arial" w:cs="Arial"/>
                <w:sz w:val="20"/>
              </w:rPr>
              <w:t>6.38E-4</w:t>
            </w:r>
          </w:p>
        </w:tc>
        <w:tc>
          <w:tcPr>
            <w:tcW w:w="1350" w:type="dxa"/>
            <w:tcBorders>
              <w:top w:val="single" w:sz="4" w:space="0" w:color="auto"/>
              <w:left w:val="single" w:sz="4" w:space="0" w:color="auto"/>
              <w:bottom w:val="single" w:sz="4" w:space="0" w:color="auto"/>
              <w:right w:val="single" w:sz="4" w:space="0" w:color="auto"/>
            </w:tcBorders>
            <w:hideMark/>
          </w:tcPr>
          <w:p w14:paraId="381D0777" w14:textId="77777777" w:rsidR="000C533D" w:rsidRPr="000C533D" w:rsidRDefault="000C533D" w:rsidP="000C533D">
            <w:pPr>
              <w:pStyle w:val="Body"/>
              <w:rPr>
                <w:rFonts w:ascii="Arial" w:hAnsi="Arial" w:cs="Arial"/>
                <w:sz w:val="20"/>
              </w:rPr>
            </w:pPr>
            <w:r w:rsidRPr="000C533D">
              <w:rPr>
                <w:rFonts w:ascii="Arial" w:hAnsi="Arial" w:cs="Arial"/>
                <w:sz w:val="20"/>
              </w:rPr>
              <w:t>6.87E-3</w:t>
            </w:r>
          </w:p>
        </w:tc>
        <w:tc>
          <w:tcPr>
            <w:tcW w:w="1350" w:type="dxa"/>
            <w:tcBorders>
              <w:top w:val="single" w:sz="4" w:space="0" w:color="auto"/>
              <w:left w:val="single" w:sz="4" w:space="0" w:color="auto"/>
              <w:bottom w:val="single" w:sz="4" w:space="0" w:color="auto"/>
              <w:right w:val="single" w:sz="4" w:space="0" w:color="auto"/>
            </w:tcBorders>
            <w:hideMark/>
          </w:tcPr>
          <w:p w14:paraId="4CB42CF5" w14:textId="77777777" w:rsidR="000C533D" w:rsidRPr="000C533D" w:rsidRDefault="000C533D" w:rsidP="000C533D">
            <w:pPr>
              <w:pStyle w:val="Body"/>
              <w:rPr>
                <w:rFonts w:ascii="Arial" w:hAnsi="Arial" w:cs="Arial"/>
                <w:sz w:val="20"/>
              </w:rPr>
            </w:pPr>
            <w:r w:rsidRPr="000C533D">
              <w:rPr>
                <w:rFonts w:ascii="Arial" w:hAnsi="Arial" w:cs="Arial"/>
                <w:sz w:val="20"/>
              </w:rPr>
              <w:t>2.48E-3</w:t>
            </w:r>
          </w:p>
        </w:tc>
        <w:tc>
          <w:tcPr>
            <w:tcW w:w="1260" w:type="dxa"/>
            <w:tcBorders>
              <w:top w:val="single" w:sz="4" w:space="0" w:color="auto"/>
              <w:left w:val="single" w:sz="4" w:space="0" w:color="auto"/>
              <w:bottom w:val="single" w:sz="4" w:space="0" w:color="auto"/>
              <w:right w:val="single" w:sz="4" w:space="0" w:color="auto"/>
            </w:tcBorders>
            <w:hideMark/>
          </w:tcPr>
          <w:p w14:paraId="372D8CD8" w14:textId="77777777" w:rsidR="000C533D" w:rsidRPr="000C533D" w:rsidRDefault="000C533D" w:rsidP="000C533D">
            <w:pPr>
              <w:pStyle w:val="Body"/>
              <w:rPr>
                <w:rFonts w:ascii="Arial" w:hAnsi="Arial" w:cs="Arial"/>
                <w:sz w:val="20"/>
              </w:rPr>
            </w:pPr>
            <w:r w:rsidRPr="000C533D">
              <w:rPr>
                <w:rFonts w:ascii="Arial" w:hAnsi="Arial" w:cs="Arial"/>
                <w:sz w:val="20"/>
              </w:rPr>
              <w:t>4.18E-3</w:t>
            </w:r>
          </w:p>
        </w:tc>
      </w:tr>
      <w:tr w:rsidR="000C533D" w:rsidRPr="000C533D" w14:paraId="608AC409"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16BB9A78" w14:textId="77777777" w:rsidR="000C533D" w:rsidRPr="000C533D" w:rsidRDefault="000C533D" w:rsidP="000C533D">
            <w:pPr>
              <w:pStyle w:val="Body"/>
              <w:rPr>
                <w:rFonts w:ascii="Arial" w:hAnsi="Arial" w:cs="Arial"/>
                <w:sz w:val="20"/>
              </w:rPr>
            </w:pPr>
            <w:r w:rsidRPr="000C533D">
              <w:rPr>
                <w:rFonts w:ascii="Arial" w:hAnsi="Arial" w:cs="Arial"/>
                <w:sz w:val="20"/>
              </w:rPr>
              <w:t>Mn</w:t>
            </w:r>
          </w:p>
        </w:tc>
        <w:tc>
          <w:tcPr>
            <w:tcW w:w="1162" w:type="dxa"/>
            <w:tcBorders>
              <w:top w:val="single" w:sz="4" w:space="0" w:color="auto"/>
              <w:left w:val="single" w:sz="4" w:space="0" w:color="auto"/>
              <w:bottom w:val="single" w:sz="4" w:space="0" w:color="auto"/>
              <w:right w:val="single" w:sz="4" w:space="0" w:color="auto"/>
            </w:tcBorders>
            <w:hideMark/>
          </w:tcPr>
          <w:p w14:paraId="3621BBD2" w14:textId="77777777" w:rsidR="000C533D" w:rsidRPr="000C533D" w:rsidRDefault="000C533D" w:rsidP="000C533D">
            <w:pPr>
              <w:pStyle w:val="Body"/>
              <w:rPr>
                <w:rFonts w:ascii="Arial" w:hAnsi="Arial" w:cs="Arial"/>
                <w:sz w:val="20"/>
              </w:rPr>
            </w:pPr>
            <w:r w:rsidRPr="000C533D">
              <w:rPr>
                <w:rFonts w:ascii="Arial" w:hAnsi="Arial" w:cs="Arial"/>
                <w:sz w:val="20"/>
              </w:rPr>
              <w:t>7.35E-5</w:t>
            </w:r>
          </w:p>
        </w:tc>
        <w:tc>
          <w:tcPr>
            <w:tcW w:w="1170" w:type="dxa"/>
            <w:tcBorders>
              <w:top w:val="single" w:sz="4" w:space="0" w:color="auto"/>
              <w:left w:val="single" w:sz="4" w:space="0" w:color="auto"/>
              <w:bottom w:val="single" w:sz="4" w:space="0" w:color="auto"/>
              <w:right w:val="single" w:sz="4" w:space="0" w:color="auto"/>
            </w:tcBorders>
            <w:hideMark/>
          </w:tcPr>
          <w:p w14:paraId="472F330B" w14:textId="77777777" w:rsidR="000C533D" w:rsidRPr="000C533D" w:rsidRDefault="000C533D" w:rsidP="000C533D">
            <w:pPr>
              <w:pStyle w:val="Body"/>
              <w:rPr>
                <w:rFonts w:ascii="Arial" w:hAnsi="Arial" w:cs="Arial"/>
                <w:sz w:val="20"/>
              </w:rPr>
            </w:pPr>
            <w:r w:rsidRPr="000C533D">
              <w:rPr>
                <w:rFonts w:ascii="Arial" w:hAnsi="Arial" w:cs="Arial"/>
                <w:sz w:val="20"/>
              </w:rPr>
              <w:t>5.70E-5</w:t>
            </w:r>
          </w:p>
        </w:tc>
        <w:tc>
          <w:tcPr>
            <w:tcW w:w="1170" w:type="dxa"/>
            <w:tcBorders>
              <w:top w:val="single" w:sz="4" w:space="0" w:color="auto"/>
              <w:left w:val="single" w:sz="4" w:space="0" w:color="auto"/>
              <w:bottom w:val="single" w:sz="4" w:space="0" w:color="auto"/>
              <w:right w:val="single" w:sz="4" w:space="0" w:color="auto"/>
            </w:tcBorders>
            <w:hideMark/>
          </w:tcPr>
          <w:p w14:paraId="78C5F8F8" w14:textId="77777777" w:rsidR="000C533D" w:rsidRPr="000C533D" w:rsidRDefault="000C533D" w:rsidP="000C533D">
            <w:pPr>
              <w:pStyle w:val="Body"/>
              <w:rPr>
                <w:rFonts w:ascii="Arial" w:hAnsi="Arial" w:cs="Arial"/>
                <w:sz w:val="20"/>
              </w:rPr>
            </w:pPr>
            <w:r w:rsidRPr="000C533D">
              <w:rPr>
                <w:rFonts w:ascii="Arial" w:hAnsi="Arial" w:cs="Arial"/>
                <w:sz w:val="20"/>
              </w:rPr>
              <w:t>8.21E-5</w:t>
            </w:r>
          </w:p>
        </w:tc>
        <w:tc>
          <w:tcPr>
            <w:tcW w:w="1350" w:type="dxa"/>
            <w:tcBorders>
              <w:top w:val="single" w:sz="4" w:space="0" w:color="auto"/>
              <w:left w:val="single" w:sz="4" w:space="0" w:color="auto"/>
              <w:bottom w:val="single" w:sz="4" w:space="0" w:color="auto"/>
              <w:right w:val="single" w:sz="4" w:space="0" w:color="auto"/>
            </w:tcBorders>
            <w:hideMark/>
          </w:tcPr>
          <w:p w14:paraId="5DED4956" w14:textId="77777777" w:rsidR="000C533D" w:rsidRPr="000C533D" w:rsidRDefault="000C533D" w:rsidP="000C533D">
            <w:pPr>
              <w:pStyle w:val="Body"/>
              <w:rPr>
                <w:rFonts w:ascii="Arial" w:hAnsi="Arial" w:cs="Arial"/>
                <w:sz w:val="20"/>
              </w:rPr>
            </w:pPr>
            <w:r w:rsidRPr="000C533D">
              <w:rPr>
                <w:rFonts w:ascii="Arial" w:hAnsi="Arial" w:cs="Arial"/>
                <w:sz w:val="20"/>
              </w:rPr>
              <w:t>4.82E-4</w:t>
            </w:r>
          </w:p>
        </w:tc>
        <w:tc>
          <w:tcPr>
            <w:tcW w:w="1350" w:type="dxa"/>
            <w:tcBorders>
              <w:top w:val="single" w:sz="4" w:space="0" w:color="auto"/>
              <w:left w:val="single" w:sz="4" w:space="0" w:color="auto"/>
              <w:bottom w:val="single" w:sz="4" w:space="0" w:color="auto"/>
              <w:right w:val="single" w:sz="4" w:space="0" w:color="auto"/>
            </w:tcBorders>
            <w:hideMark/>
          </w:tcPr>
          <w:p w14:paraId="73236332" w14:textId="77777777" w:rsidR="000C533D" w:rsidRPr="000C533D" w:rsidRDefault="000C533D" w:rsidP="000C533D">
            <w:pPr>
              <w:pStyle w:val="Body"/>
              <w:rPr>
                <w:rFonts w:ascii="Arial" w:hAnsi="Arial" w:cs="Arial"/>
                <w:sz w:val="20"/>
              </w:rPr>
            </w:pPr>
            <w:r w:rsidRPr="000C533D">
              <w:rPr>
                <w:rFonts w:ascii="Arial" w:hAnsi="Arial" w:cs="Arial"/>
                <w:sz w:val="20"/>
              </w:rPr>
              <w:t>3.72E-4</w:t>
            </w:r>
          </w:p>
        </w:tc>
        <w:tc>
          <w:tcPr>
            <w:tcW w:w="1260" w:type="dxa"/>
            <w:tcBorders>
              <w:top w:val="single" w:sz="4" w:space="0" w:color="auto"/>
              <w:left w:val="single" w:sz="4" w:space="0" w:color="auto"/>
              <w:bottom w:val="single" w:sz="4" w:space="0" w:color="auto"/>
              <w:right w:val="single" w:sz="4" w:space="0" w:color="auto"/>
            </w:tcBorders>
            <w:hideMark/>
          </w:tcPr>
          <w:p w14:paraId="2FA17824" w14:textId="77777777" w:rsidR="000C533D" w:rsidRPr="000C533D" w:rsidRDefault="000C533D" w:rsidP="000C533D">
            <w:pPr>
              <w:pStyle w:val="Body"/>
              <w:rPr>
                <w:rFonts w:ascii="Arial" w:hAnsi="Arial" w:cs="Arial"/>
                <w:sz w:val="20"/>
              </w:rPr>
            </w:pPr>
            <w:r w:rsidRPr="000C533D">
              <w:rPr>
                <w:rFonts w:ascii="Arial" w:hAnsi="Arial" w:cs="Arial"/>
                <w:sz w:val="20"/>
              </w:rPr>
              <w:t>5.41E-4</w:t>
            </w:r>
          </w:p>
        </w:tc>
      </w:tr>
      <w:tr w:rsidR="000C533D" w:rsidRPr="000C533D" w14:paraId="7BF30129" w14:textId="77777777" w:rsidTr="0041621F">
        <w:tc>
          <w:tcPr>
            <w:tcW w:w="723" w:type="dxa"/>
            <w:tcBorders>
              <w:top w:val="single" w:sz="4" w:space="0" w:color="auto"/>
              <w:left w:val="single" w:sz="4" w:space="0" w:color="auto"/>
              <w:bottom w:val="single" w:sz="4" w:space="0" w:color="auto"/>
              <w:right w:val="single" w:sz="4" w:space="0" w:color="auto"/>
            </w:tcBorders>
            <w:hideMark/>
          </w:tcPr>
          <w:p w14:paraId="468F67A2" w14:textId="77777777" w:rsidR="000C533D" w:rsidRPr="000C533D" w:rsidRDefault="000C533D" w:rsidP="000C533D">
            <w:pPr>
              <w:pStyle w:val="Body"/>
              <w:rPr>
                <w:rFonts w:ascii="Arial" w:hAnsi="Arial" w:cs="Arial"/>
                <w:sz w:val="20"/>
              </w:rPr>
            </w:pPr>
            <w:r w:rsidRPr="000C533D">
              <w:rPr>
                <w:rFonts w:ascii="Arial" w:hAnsi="Arial" w:cs="Arial"/>
                <w:sz w:val="20"/>
              </w:rPr>
              <w:t>HI</w:t>
            </w:r>
          </w:p>
        </w:tc>
        <w:tc>
          <w:tcPr>
            <w:tcW w:w="1162" w:type="dxa"/>
            <w:tcBorders>
              <w:top w:val="single" w:sz="4" w:space="0" w:color="auto"/>
              <w:left w:val="single" w:sz="4" w:space="0" w:color="auto"/>
              <w:bottom w:val="single" w:sz="4" w:space="0" w:color="auto"/>
              <w:right w:val="single" w:sz="4" w:space="0" w:color="auto"/>
            </w:tcBorders>
            <w:hideMark/>
          </w:tcPr>
          <w:p w14:paraId="06878DF1" w14:textId="77777777" w:rsidR="000C533D" w:rsidRPr="000C533D" w:rsidRDefault="000C533D" w:rsidP="000C533D">
            <w:pPr>
              <w:pStyle w:val="Body"/>
              <w:rPr>
                <w:rFonts w:ascii="Arial" w:hAnsi="Arial" w:cs="Arial"/>
                <w:sz w:val="20"/>
              </w:rPr>
            </w:pPr>
            <w:r w:rsidRPr="000C533D">
              <w:rPr>
                <w:rFonts w:ascii="Arial" w:hAnsi="Arial" w:cs="Arial"/>
                <w:sz w:val="20"/>
              </w:rPr>
              <w:t>3.32E-1</w:t>
            </w:r>
          </w:p>
        </w:tc>
        <w:tc>
          <w:tcPr>
            <w:tcW w:w="1170" w:type="dxa"/>
            <w:tcBorders>
              <w:top w:val="single" w:sz="4" w:space="0" w:color="auto"/>
              <w:left w:val="single" w:sz="4" w:space="0" w:color="auto"/>
              <w:bottom w:val="single" w:sz="4" w:space="0" w:color="auto"/>
              <w:right w:val="single" w:sz="4" w:space="0" w:color="auto"/>
            </w:tcBorders>
            <w:hideMark/>
          </w:tcPr>
          <w:p w14:paraId="195D1318" w14:textId="77777777" w:rsidR="000C533D" w:rsidRPr="000C533D" w:rsidRDefault="000C533D" w:rsidP="000C533D">
            <w:pPr>
              <w:pStyle w:val="Body"/>
              <w:rPr>
                <w:rFonts w:ascii="Arial" w:hAnsi="Arial" w:cs="Arial"/>
                <w:sz w:val="20"/>
              </w:rPr>
            </w:pPr>
            <w:r w:rsidRPr="000C533D">
              <w:rPr>
                <w:rFonts w:ascii="Arial" w:hAnsi="Arial" w:cs="Arial"/>
                <w:sz w:val="20"/>
              </w:rPr>
              <w:t>2.68E-1</w:t>
            </w:r>
          </w:p>
        </w:tc>
        <w:tc>
          <w:tcPr>
            <w:tcW w:w="1170" w:type="dxa"/>
            <w:tcBorders>
              <w:top w:val="single" w:sz="4" w:space="0" w:color="auto"/>
              <w:left w:val="single" w:sz="4" w:space="0" w:color="auto"/>
              <w:bottom w:val="single" w:sz="4" w:space="0" w:color="auto"/>
              <w:right w:val="single" w:sz="4" w:space="0" w:color="auto"/>
            </w:tcBorders>
            <w:hideMark/>
          </w:tcPr>
          <w:p w14:paraId="22B25092" w14:textId="77777777" w:rsidR="000C533D" w:rsidRPr="000C533D" w:rsidRDefault="000C533D" w:rsidP="000C533D">
            <w:pPr>
              <w:pStyle w:val="Body"/>
              <w:rPr>
                <w:rFonts w:ascii="Arial" w:hAnsi="Arial" w:cs="Arial"/>
                <w:sz w:val="20"/>
              </w:rPr>
            </w:pPr>
            <w:r w:rsidRPr="000C533D">
              <w:rPr>
                <w:rFonts w:ascii="Arial" w:hAnsi="Arial" w:cs="Arial"/>
                <w:sz w:val="20"/>
              </w:rPr>
              <w:t>4.46E-1</w:t>
            </w:r>
          </w:p>
        </w:tc>
        <w:tc>
          <w:tcPr>
            <w:tcW w:w="1350" w:type="dxa"/>
            <w:tcBorders>
              <w:top w:val="single" w:sz="4" w:space="0" w:color="auto"/>
              <w:left w:val="single" w:sz="4" w:space="0" w:color="auto"/>
              <w:bottom w:val="single" w:sz="4" w:space="0" w:color="auto"/>
              <w:right w:val="single" w:sz="4" w:space="0" w:color="auto"/>
            </w:tcBorders>
            <w:hideMark/>
          </w:tcPr>
          <w:p w14:paraId="2DC9A424" w14:textId="77777777" w:rsidR="000C533D" w:rsidRPr="000C533D" w:rsidRDefault="000C533D" w:rsidP="000C533D">
            <w:pPr>
              <w:pStyle w:val="Body"/>
              <w:rPr>
                <w:rFonts w:ascii="Arial" w:hAnsi="Arial" w:cs="Arial"/>
                <w:sz w:val="20"/>
              </w:rPr>
            </w:pPr>
            <w:r w:rsidRPr="000C533D">
              <w:rPr>
                <w:rFonts w:ascii="Arial" w:hAnsi="Arial" w:cs="Arial"/>
                <w:sz w:val="20"/>
              </w:rPr>
              <w:t>1.09</w:t>
            </w:r>
          </w:p>
        </w:tc>
        <w:tc>
          <w:tcPr>
            <w:tcW w:w="1350" w:type="dxa"/>
            <w:tcBorders>
              <w:top w:val="single" w:sz="4" w:space="0" w:color="auto"/>
              <w:left w:val="single" w:sz="4" w:space="0" w:color="auto"/>
              <w:bottom w:val="single" w:sz="4" w:space="0" w:color="auto"/>
              <w:right w:val="single" w:sz="4" w:space="0" w:color="auto"/>
            </w:tcBorders>
            <w:hideMark/>
          </w:tcPr>
          <w:p w14:paraId="2BAACE46" w14:textId="77777777" w:rsidR="000C533D" w:rsidRPr="000C533D" w:rsidRDefault="000C533D" w:rsidP="000C533D">
            <w:pPr>
              <w:pStyle w:val="Body"/>
              <w:rPr>
                <w:rFonts w:ascii="Arial" w:hAnsi="Arial" w:cs="Arial"/>
                <w:sz w:val="20"/>
              </w:rPr>
            </w:pPr>
            <w:r w:rsidRPr="000C533D">
              <w:rPr>
                <w:rFonts w:ascii="Arial" w:hAnsi="Arial" w:cs="Arial"/>
                <w:sz w:val="20"/>
              </w:rPr>
              <w:t>1.75</w:t>
            </w:r>
          </w:p>
        </w:tc>
        <w:tc>
          <w:tcPr>
            <w:tcW w:w="1260" w:type="dxa"/>
            <w:tcBorders>
              <w:top w:val="single" w:sz="4" w:space="0" w:color="auto"/>
              <w:left w:val="single" w:sz="4" w:space="0" w:color="auto"/>
              <w:bottom w:val="single" w:sz="4" w:space="0" w:color="auto"/>
              <w:right w:val="single" w:sz="4" w:space="0" w:color="auto"/>
            </w:tcBorders>
            <w:hideMark/>
          </w:tcPr>
          <w:p w14:paraId="52B81B0F" w14:textId="77777777" w:rsidR="000C533D" w:rsidRPr="000C533D" w:rsidRDefault="000C533D" w:rsidP="000C533D">
            <w:pPr>
              <w:pStyle w:val="Body"/>
              <w:rPr>
                <w:rFonts w:ascii="Arial" w:hAnsi="Arial" w:cs="Arial"/>
                <w:sz w:val="20"/>
              </w:rPr>
            </w:pPr>
            <w:r w:rsidRPr="000C533D">
              <w:rPr>
                <w:rFonts w:ascii="Arial" w:hAnsi="Arial" w:cs="Arial"/>
                <w:sz w:val="20"/>
              </w:rPr>
              <w:t>2.91</w:t>
            </w:r>
          </w:p>
        </w:tc>
      </w:tr>
    </w:tbl>
    <w:p w14:paraId="3480859F" w14:textId="77777777" w:rsidR="000C533D" w:rsidRDefault="000C533D" w:rsidP="00441B6F">
      <w:pPr>
        <w:pStyle w:val="Body"/>
        <w:spacing w:after="0"/>
        <w:rPr>
          <w:rFonts w:ascii="Arial" w:hAnsi="Arial" w:cs="Arial"/>
          <w:b/>
          <w:u w:val="single"/>
        </w:rPr>
      </w:pPr>
    </w:p>
    <w:p w14:paraId="4192E4D3" w14:textId="77777777" w:rsidR="000C533D" w:rsidRDefault="000C533D" w:rsidP="00441B6F">
      <w:pPr>
        <w:pStyle w:val="Body"/>
        <w:spacing w:after="0"/>
        <w:rPr>
          <w:rFonts w:ascii="Arial" w:hAnsi="Arial" w:cs="Arial"/>
          <w:b/>
          <w:u w:val="single"/>
        </w:rPr>
      </w:pPr>
    </w:p>
    <w:p w14:paraId="3B61581B" w14:textId="77777777" w:rsidR="00D65F54" w:rsidRPr="00732FEB" w:rsidRDefault="00732FEB" w:rsidP="00D65F54">
      <w:pPr>
        <w:pStyle w:val="Body"/>
        <w:spacing w:after="0"/>
        <w:rPr>
          <w:rFonts w:ascii="Arial" w:hAnsi="Arial" w:cs="Arial"/>
          <w:b/>
        </w:rPr>
      </w:pPr>
      <w:r w:rsidRPr="00732FEB">
        <w:rPr>
          <w:rFonts w:ascii="Arial" w:hAnsi="Arial" w:cs="Arial"/>
          <w:b/>
        </w:rPr>
        <w:t xml:space="preserve">3.2.2 </w:t>
      </w:r>
      <w:r w:rsidR="00D65F54" w:rsidRPr="00732FEB">
        <w:rPr>
          <w:rFonts w:ascii="Arial" w:hAnsi="Arial" w:cs="Arial"/>
          <w:b/>
        </w:rPr>
        <w:t>Carcinogenic Risks (CRs)</w:t>
      </w:r>
    </w:p>
    <w:p w14:paraId="207DDB67" w14:textId="77777777" w:rsidR="00D65F54" w:rsidRPr="00D65F54" w:rsidRDefault="00D65F54" w:rsidP="00D65F54">
      <w:pPr>
        <w:pStyle w:val="Body"/>
        <w:rPr>
          <w:rFonts w:ascii="Arial" w:hAnsi="Arial" w:cs="Arial"/>
        </w:rPr>
      </w:pPr>
      <w:r w:rsidRPr="00D65F54">
        <w:rPr>
          <w:rFonts w:ascii="Arial" w:hAnsi="Arial" w:cs="Arial"/>
        </w:rPr>
        <w:t>For the three carefully selected sites, the CRs of Cr (VI), Cd, Pb, and Ni by ingestion and dermal contact were computed and shown in Tables 9 and 11, while the CRs of Cr, Cd, Pb, As, and Ni via inhalation were computed and shown in Table 10. While the ILCR values for Cd and Ni were between 10</w:t>
      </w:r>
      <w:r w:rsidRPr="00D65F54">
        <w:rPr>
          <w:rFonts w:ascii="Arial" w:hAnsi="Arial" w:cs="Arial"/>
          <w:vertAlign w:val="superscript"/>
        </w:rPr>
        <w:t>-6</w:t>
      </w:r>
      <w:r w:rsidRPr="00D65F54">
        <w:rPr>
          <w:rFonts w:ascii="Arial" w:hAnsi="Arial" w:cs="Arial"/>
        </w:rPr>
        <w:t>≤ILCR&lt;10</w:t>
      </w:r>
      <w:r w:rsidRPr="00D65F54">
        <w:rPr>
          <w:rFonts w:ascii="Arial" w:hAnsi="Arial" w:cs="Arial"/>
          <w:vertAlign w:val="superscript"/>
        </w:rPr>
        <w:t>-6</w:t>
      </w:r>
      <w:r w:rsidRPr="00D65F54">
        <w:rPr>
          <w:rFonts w:ascii="Arial" w:hAnsi="Arial" w:cs="Arial"/>
        </w:rPr>
        <w:t xml:space="preserve">, indicating low carcinogenic hazards from ingestion and inhalation of these metals at the three selected junctions MM, UJ, and MJ, the </w:t>
      </w:r>
      <w:proofErr w:type="spellStart"/>
      <w:r w:rsidRPr="00D65F54">
        <w:rPr>
          <w:rFonts w:ascii="Arial" w:hAnsi="Arial" w:cs="Arial"/>
        </w:rPr>
        <w:t>ILCRing</w:t>
      </w:r>
      <w:proofErr w:type="spellEnd"/>
      <w:r w:rsidRPr="00D65F54">
        <w:rPr>
          <w:rFonts w:ascii="Arial" w:hAnsi="Arial" w:cs="Arial"/>
        </w:rPr>
        <w:t xml:space="preserve"> and </w:t>
      </w:r>
      <w:proofErr w:type="spellStart"/>
      <w:r w:rsidRPr="00D65F54">
        <w:rPr>
          <w:rFonts w:ascii="Arial" w:hAnsi="Arial" w:cs="Arial"/>
        </w:rPr>
        <w:t>ILCRinh</w:t>
      </w:r>
      <w:proofErr w:type="spellEnd"/>
      <w:r w:rsidRPr="00D65F54">
        <w:rPr>
          <w:rFonts w:ascii="Arial" w:hAnsi="Arial" w:cs="Arial"/>
        </w:rPr>
        <w:t xml:space="preserve"> values for Cr were between 10</w:t>
      </w:r>
      <w:r w:rsidRPr="00D65F54">
        <w:rPr>
          <w:rFonts w:ascii="Arial" w:hAnsi="Arial" w:cs="Arial"/>
          <w:vertAlign w:val="superscript"/>
        </w:rPr>
        <w:t>-3</w:t>
      </w:r>
      <w:r w:rsidRPr="00D65F54">
        <w:rPr>
          <w:rFonts w:ascii="Arial" w:hAnsi="Arial" w:cs="Arial"/>
        </w:rPr>
        <w:t>≤ILCR&lt;10</w:t>
      </w:r>
      <w:r w:rsidRPr="00D65F54">
        <w:rPr>
          <w:rFonts w:ascii="Arial" w:hAnsi="Arial" w:cs="Arial"/>
          <w:vertAlign w:val="superscript"/>
        </w:rPr>
        <w:t>-1</w:t>
      </w:r>
      <w:r w:rsidRPr="00D65F54">
        <w:rPr>
          <w:rFonts w:ascii="Arial" w:hAnsi="Arial" w:cs="Arial"/>
        </w:rPr>
        <w:t xml:space="preserve">, indicating high CRs from this metal. Low CRs were suggested by </w:t>
      </w:r>
      <w:proofErr w:type="spellStart"/>
      <w:r w:rsidRPr="00D65F54">
        <w:rPr>
          <w:rFonts w:ascii="Arial" w:hAnsi="Arial" w:cs="Arial"/>
        </w:rPr>
        <w:t>ILCRder</w:t>
      </w:r>
      <w:proofErr w:type="spellEnd"/>
      <w:r w:rsidRPr="00D65F54">
        <w:rPr>
          <w:rFonts w:ascii="Arial" w:hAnsi="Arial" w:cs="Arial"/>
        </w:rPr>
        <w:t xml:space="preserve"> values for Cr and Ni for cutaneous exposure, which fell between 10</w:t>
      </w:r>
      <w:r w:rsidRPr="00D65F54">
        <w:rPr>
          <w:rFonts w:ascii="Arial" w:hAnsi="Arial" w:cs="Arial"/>
          <w:vertAlign w:val="superscript"/>
        </w:rPr>
        <w:t>-6</w:t>
      </w:r>
      <w:r w:rsidRPr="00D65F54">
        <w:rPr>
          <w:rFonts w:ascii="Arial" w:hAnsi="Arial" w:cs="Arial"/>
        </w:rPr>
        <w:t>≤ILCR&lt;10</w:t>
      </w:r>
      <w:r w:rsidRPr="00D65F54">
        <w:rPr>
          <w:rFonts w:ascii="Arial" w:hAnsi="Arial" w:cs="Arial"/>
          <w:vertAlign w:val="superscript"/>
        </w:rPr>
        <w:t>-4</w:t>
      </w:r>
      <w:r w:rsidRPr="00D65F54">
        <w:rPr>
          <w:rFonts w:ascii="Arial" w:hAnsi="Arial" w:cs="Arial"/>
        </w:rPr>
        <w:t xml:space="preserve">. </w:t>
      </w:r>
    </w:p>
    <w:p w14:paraId="1756BEDC" w14:textId="77777777" w:rsidR="00D65F54" w:rsidRPr="00D65F54" w:rsidRDefault="00D65F54" w:rsidP="00D65F54">
      <w:pPr>
        <w:pStyle w:val="Body"/>
        <w:spacing w:after="0"/>
        <w:rPr>
          <w:rFonts w:ascii="Arial" w:hAnsi="Arial" w:cs="Arial"/>
        </w:rPr>
      </w:pPr>
      <w:r w:rsidRPr="00D65F54">
        <w:rPr>
          <w:rFonts w:ascii="Arial" w:hAnsi="Arial" w:cs="Arial"/>
        </w:rPr>
        <w:lastRenderedPageBreak/>
        <w:t xml:space="preserve">Significant carcinogenic hazards were suggested by the collective ILCR values for the investigated heavy metals, which were over the permissible levels of (1×10-4) for both adults and children through ingestion and inhalation paths (Tables 9 and 10). The cumulative ILCR values for the heavy metals under study were in the permissible range of (1×10-4) for both adults and children when exposed through the skin (Table 11), signifying that there are no appreciable carcinogenic hazards linked with cutaneous exposure to the metals under investigation. It is evident that while other metals exhibited low CRs, Cr accounts for the majority of cumulative ILCR through ingestion and inhalation. In terms of non-CRs and CRs in </w:t>
      </w:r>
      <w:proofErr w:type="spellStart"/>
      <w:r w:rsidRPr="00D65F54">
        <w:rPr>
          <w:rFonts w:ascii="Arial" w:hAnsi="Arial" w:cs="Arial"/>
        </w:rPr>
        <w:t>Eket</w:t>
      </w:r>
      <w:proofErr w:type="spellEnd"/>
      <w:r w:rsidRPr="00D65F54">
        <w:rPr>
          <w:rFonts w:ascii="Arial" w:hAnsi="Arial" w:cs="Arial"/>
        </w:rPr>
        <w:t xml:space="preserve">, it can be said that the most harmful exposure to heavy metals is by ingestion and inhalation of Cr. Because it poses no risk of cancer, monitoring for Cr contamination in </w:t>
      </w:r>
      <w:proofErr w:type="spellStart"/>
      <w:r w:rsidRPr="00D65F54">
        <w:rPr>
          <w:rFonts w:ascii="Arial" w:hAnsi="Arial" w:cs="Arial"/>
        </w:rPr>
        <w:t>Eket's</w:t>
      </w:r>
      <w:proofErr w:type="spellEnd"/>
      <w:r w:rsidRPr="00D65F54">
        <w:rPr>
          <w:rFonts w:ascii="Arial" w:hAnsi="Arial" w:cs="Arial"/>
        </w:rPr>
        <w:t xml:space="preserve"> heavy metals should be given top priority. </w:t>
      </w:r>
    </w:p>
    <w:p w14:paraId="75E4B97D" w14:textId="77777777" w:rsidR="00F17074" w:rsidRDefault="00F17074" w:rsidP="00D65F54">
      <w:pPr>
        <w:pStyle w:val="Body"/>
        <w:rPr>
          <w:rFonts w:ascii="Arial" w:hAnsi="Arial" w:cs="Arial"/>
        </w:rPr>
      </w:pPr>
    </w:p>
    <w:p w14:paraId="62ACD9C2" w14:textId="77777777" w:rsidR="00D65F54" w:rsidRPr="00D65F54" w:rsidRDefault="00D65F54" w:rsidP="00F17074">
      <w:pPr>
        <w:pStyle w:val="Body"/>
        <w:spacing w:after="0"/>
        <w:rPr>
          <w:rFonts w:ascii="Arial" w:hAnsi="Arial" w:cs="Arial"/>
        </w:rPr>
      </w:pPr>
      <w:r w:rsidRPr="00D65F54">
        <w:rPr>
          <w:rFonts w:ascii="Arial" w:hAnsi="Arial" w:cs="Arial"/>
        </w:rPr>
        <w:t>Table 9. Carcinogenic Risks (CRs) Assessment of Heavy Metals via Ingestion Exposure</w:t>
      </w:r>
    </w:p>
    <w:tbl>
      <w:tblPr>
        <w:tblStyle w:val="TableGrid"/>
        <w:tblW w:w="8185" w:type="dxa"/>
        <w:tblLook w:val="04A0" w:firstRow="1" w:lastRow="0" w:firstColumn="1" w:lastColumn="0" w:noHBand="0" w:noVBand="1"/>
      </w:tblPr>
      <w:tblGrid>
        <w:gridCol w:w="990"/>
        <w:gridCol w:w="1165"/>
        <w:gridCol w:w="1170"/>
        <w:gridCol w:w="1260"/>
        <w:gridCol w:w="1260"/>
        <w:gridCol w:w="1080"/>
        <w:gridCol w:w="1260"/>
      </w:tblGrid>
      <w:tr w:rsidR="00D65F54" w:rsidRPr="00D65F54" w14:paraId="7F6BF2BB" w14:textId="77777777" w:rsidTr="00EE562B">
        <w:tc>
          <w:tcPr>
            <w:tcW w:w="990" w:type="dxa"/>
            <w:tcBorders>
              <w:top w:val="single" w:sz="4" w:space="0" w:color="auto"/>
              <w:left w:val="single" w:sz="4" w:space="0" w:color="auto"/>
              <w:bottom w:val="single" w:sz="4" w:space="0" w:color="auto"/>
              <w:right w:val="single" w:sz="4" w:space="0" w:color="auto"/>
            </w:tcBorders>
          </w:tcPr>
          <w:p w14:paraId="1C2AD04E" w14:textId="77777777" w:rsidR="00D65F54" w:rsidRPr="00D65F54" w:rsidRDefault="00D65F54" w:rsidP="00D65F54">
            <w:pPr>
              <w:pStyle w:val="Body"/>
              <w:rPr>
                <w:rFonts w:ascii="Arial" w:hAnsi="Arial" w:cs="Arial"/>
                <w:sz w:val="20"/>
              </w:rPr>
            </w:pPr>
          </w:p>
        </w:tc>
        <w:tc>
          <w:tcPr>
            <w:tcW w:w="3595" w:type="dxa"/>
            <w:gridSpan w:val="3"/>
            <w:tcBorders>
              <w:top w:val="single" w:sz="4" w:space="0" w:color="auto"/>
              <w:left w:val="single" w:sz="4" w:space="0" w:color="auto"/>
              <w:bottom w:val="single" w:sz="4" w:space="0" w:color="auto"/>
              <w:right w:val="single" w:sz="4" w:space="0" w:color="auto"/>
            </w:tcBorders>
            <w:hideMark/>
          </w:tcPr>
          <w:p w14:paraId="3185F83C" w14:textId="77777777" w:rsidR="00D65F54" w:rsidRPr="00D65F54" w:rsidRDefault="00D65F54" w:rsidP="00D65F54">
            <w:pPr>
              <w:pStyle w:val="Body"/>
              <w:rPr>
                <w:rFonts w:ascii="Arial" w:hAnsi="Arial" w:cs="Arial"/>
                <w:sz w:val="20"/>
              </w:rPr>
            </w:pPr>
            <w:r w:rsidRPr="00D65F54">
              <w:rPr>
                <w:rFonts w:ascii="Arial" w:hAnsi="Arial" w:cs="Arial"/>
                <w:sz w:val="20"/>
              </w:rPr>
              <w:t>Adult</w:t>
            </w:r>
          </w:p>
        </w:tc>
        <w:tc>
          <w:tcPr>
            <w:tcW w:w="3600" w:type="dxa"/>
            <w:gridSpan w:val="3"/>
            <w:tcBorders>
              <w:top w:val="single" w:sz="4" w:space="0" w:color="auto"/>
              <w:left w:val="single" w:sz="4" w:space="0" w:color="auto"/>
              <w:bottom w:val="single" w:sz="4" w:space="0" w:color="auto"/>
              <w:right w:val="single" w:sz="4" w:space="0" w:color="auto"/>
            </w:tcBorders>
            <w:hideMark/>
          </w:tcPr>
          <w:p w14:paraId="7B90DC9A" w14:textId="77777777" w:rsidR="00D65F54" w:rsidRPr="00D65F54" w:rsidRDefault="00D65F54" w:rsidP="00D65F54">
            <w:pPr>
              <w:pStyle w:val="Body"/>
              <w:rPr>
                <w:rFonts w:ascii="Arial" w:hAnsi="Arial" w:cs="Arial"/>
                <w:sz w:val="20"/>
              </w:rPr>
            </w:pPr>
            <w:r w:rsidRPr="00D65F54">
              <w:rPr>
                <w:rFonts w:ascii="Arial" w:hAnsi="Arial" w:cs="Arial"/>
                <w:sz w:val="20"/>
              </w:rPr>
              <w:t>Children</w:t>
            </w:r>
          </w:p>
        </w:tc>
      </w:tr>
      <w:tr w:rsidR="00D65F54" w:rsidRPr="00D65F54" w14:paraId="39CF6153"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6B4BFAA0" w14:textId="77777777" w:rsidR="00D65F54" w:rsidRPr="00D65F54" w:rsidRDefault="00D65F54" w:rsidP="00D65F54">
            <w:pPr>
              <w:pStyle w:val="Body"/>
              <w:rPr>
                <w:rFonts w:ascii="Arial" w:hAnsi="Arial" w:cs="Arial"/>
                <w:sz w:val="20"/>
              </w:rPr>
            </w:pPr>
            <w:r w:rsidRPr="00D65F54">
              <w:rPr>
                <w:rFonts w:ascii="Arial" w:hAnsi="Arial" w:cs="Arial"/>
                <w:sz w:val="20"/>
              </w:rPr>
              <w:t>HMs</w:t>
            </w:r>
          </w:p>
        </w:tc>
        <w:tc>
          <w:tcPr>
            <w:tcW w:w="1165" w:type="dxa"/>
            <w:tcBorders>
              <w:top w:val="single" w:sz="4" w:space="0" w:color="auto"/>
              <w:left w:val="single" w:sz="4" w:space="0" w:color="auto"/>
              <w:bottom w:val="single" w:sz="4" w:space="0" w:color="auto"/>
              <w:right w:val="single" w:sz="4" w:space="0" w:color="auto"/>
            </w:tcBorders>
            <w:hideMark/>
          </w:tcPr>
          <w:p w14:paraId="5CDAAE5B" w14:textId="77777777" w:rsidR="00D65F54" w:rsidRPr="00D65F54" w:rsidRDefault="00D65F54" w:rsidP="00D65F54">
            <w:pPr>
              <w:pStyle w:val="Body"/>
              <w:rPr>
                <w:rFonts w:ascii="Arial" w:hAnsi="Arial" w:cs="Arial"/>
                <w:sz w:val="20"/>
              </w:rPr>
            </w:pPr>
            <w:r w:rsidRPr="00D65F54">
              <w:rPr>
                <w:rFonts w:ascii="Arial" w:hAnsi="Arial" w:cs="Arial"/>
                <w:sz w:val="20"/>
              </w:rPr>
              <w:t>ILCRs (MM)</w:t>
            </w:r>
          </w:p>
        </w:tc>
        <w:tc>
          <w:tcPr>
            <w:tcW w:w="1170" w:type="dxa"/>
            <w:tcBorders>
              <w:top w:val="single" w:sz="4" w:space="0" w:color="auto"/>
              <w:left w:val="single" w:sz="4" w:space="0" w:color="auto"/>
              <w:bottom w:val="single" w:sz="4" w:space="0" w:color="auto"/>
              <w:right w:val="single" w:sz="4" w:space="0" w:color="auto"/>
            </w:tcBorders>
            <w:hideMark/>
          </w:tcPr>
          <w:p w14:paraId="4C5FB7FE" w14:textId="77777777" w:rsidR="00D65F54" w:rsidRPr="00D65F54" w:rsidRDefault="00D65F54" w:rsidP="00EE562B">
            <w:pPr>
              <w:pStyle w:val="Body"/>
              <w:rPr>
                <w:rFonts w:ascii="Arial" w:hAnsi="Arial" w:cs="Arial"/>
                <w:sz w:val="20"/>
              </w:rPr>
            </w:pPr>
            <w:r w:rsidRPr="00D65F54">
              <w:rPr>
                <w:rFonts w:ascii="Arial" w:hAnsi="Arial" w:cs="Arial"/>
                <w:sz w:val="20"/>
              </w:rPr>
              <w:t>ILCRs (UJ)</w:t>
            </w:r>
          </w:p>
        </w:tc>
        <w:tc>
          <w:tcPr>
            <w:tcW w:w="1260" w:type="dxa"/>
            <w:tcBorders>
              <w:top w:val="single" w:sz="4" w:space="0" w:color="auto"/>
              <w:left w:val="single" w:sz="4" w:space="0" w:color="auto"/>
              <w:bottom w:val="single" w:sz="4" w:space="0" w:color="auto"/>
              <w:right w:val="single" w:sz="4" w:space="0" w:color="auto"/>
            </w:tcBorders>
            <w:hideMark/>
          </w:tcPr>
          <w:p w14:paraId="0F226A70" w14:textId="77777777" w:rsidR="00EE562B" w:rsidRDefault="00D65F54" w:rsidP="00EE562B">
            <w:pPr>
              <w:pStyle w:val="Body"/>
              <w:spacing w:after="0"/>
              <w:rPr>
                <w:rFonts w:ascii="Arial" w:hAnsi="Arial" w:cs="Arial"/>
                <w:sz w:val="20"/>
              </w:rPr>
            </w:pPr>
            <w:r w:rsidRPr="00D65F54">
              <w:rPr>
                <w:rFonts w:ascii="Arial" w:hAnsi="Arial" w:cs="Arial"/>
                <w:sz w:val="20"/>
              </w:rPr>
              <w:t xml:space="preserve">ILCRs  </w:t>
            </w:r>
          </w:p>
          <w:p w14:paraId="3659F207" w14:textId="77777777" w:rsidR="00D65F54" w:rsidRPr="00D65F54" w:rsidRDefault="00D65F54" w:rsidP="00EE562B">
            <w:pPr>
              <w:pStyle w:val="Body"/>
              <w:rPr>
                <w:rFonts w:ascii="Arial" w:hAnsi="Arial" w:cs="Arial"/>
                <w:sz w:val="20"/>
              </w:rPr>
            </w:pPr>
            <w:r w:rsidRPr="00D65F54">
              <w:rPr>
                <w:rFonts w:ascii="Arial" w:hAnsi="Arial" w:cs="Arial"/>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33A6B7E2" w14:textId="77777777" w:rsidR="00D65F54" w:rsidRPr="00D65F54" w:rsidRDefault="00D65F54" w:rsidP="00EE562B">
            <w:pPr>
              <w:pStyle w:val="Body"/>
              <w:spacing w:after="0"/>
              <w:rPr>
                <w:rFonts w:ascii="Arial" w:hAnsi="Arial" w:cs="Arial"/>
                <w:sz w:val="20"/>
                <w:vertAlign w:val="subscript"/>
              </w:rPr>
            </w:pPr>
            <w:r w:rsidRPr="00D65F54">
              <w:rPr>
                <w:rFonts w:ascii="Arial" w:hAnsi="Arial" w:cs="Arial"/>
                <w:sz w:val="20"/>
              </w:rPr>
              <w:t xml:space="preserve">ILCRs </w:t>
            </w:r>
          </w:p>
          <w:p w14:paraId="1DE91B91" w14:textId="77777777" w:rsidR="00D65F54" w:rsidRPr="00D65F54" w:rsidRDefault="00D65F54" w:rsidP="00D65F54">
            <w:pPr>
              <w:pStyle w:val="Body"/>
              <w:rPr>
                <w:rFonts w:ascii="Arial" w:hAnsi="Arial" w:cs="Arial"/>
                <w:sz w:val="20"/>
              </w:rPr>
            </w:pPr>
            <w:r w:rsidRPr="00D65F54">
              <w:rPr>
                <w:rFonts w:ascii="Arial" w:hAnsi="Arial" w:cs="Arial"/>
                <w:sz w:val="20"/>
              </w:rPr>
              <w:t>(MM)</w:t>
            </w:r>
          </w:p>
        </w:tc>
        <w:tc>
          <w:tcPr>
            <w:tcW w:w="1080" w:type="dxa"/>
            <w:tcBorders>
              <w:top w:val="single" w:sz="4" w:space="0" w:color="auto"/>
              <w:left w:val="single" w:sz="4" w:space="0" w:color="auto"/>
              <w:bottom w:val="single" w:sz="4" w:space="0" w:color="auto"/>
              <w:right w:val="single" w:sz="4" w:space="0" w:color="auto"/>
            </w:tcBorders>
            <w:hideMark/>
          </w:tcPr>
          <w:p w14:paraId="12D34193" w14:textId="77777777" w:rsidR="00D65F54" w:rsidRPr="00D65F54" w:rsidRDefault="00D65F54" w:rsidP="00D65F54">
            <w:pPr>
              <w:pStyle w:val="Body"/>
              <w:rPr>
                <w:rFonts w:ascii="Arial" w:hAnsi="Arial" w:cs="Arial"/>
                <w:sz w:val="20"/>
              </w:rPr>
            </w:pPr>
            <w:r w:rsidRPr="00D65F54">
              <w:rPr>
                <w:rFonts w:ascii="Arial" w:hAnsi="Arial" w:cs="Arial"/>
                <w:sz w:val="20"/>
              </w:rPr>
              <w:t>ILCRs  (UJ)</w:t>
            </w:r>
          </w:p>
        </w:tc>
        <w:tc>
          <w:tcPr>
            <w:tcW w:w="1260" w:type="dxa"/>
            <w:tcBorders>
              <w:top w:val="single" w:sz="4" w:space="0" w:color="auto"/>
              <w:left w:val="single" w:sz="4" w:space="0" w:color="auto"/>
              <w:bottom w:val="single" w:sz="4" w:space="0" w:color="auto"/>
              <w:right w:val="single" w:sz="4" w:space="0" w:color="auto"/>
            </w:tcBorders>
            <w:hideMark/>
          </w:tcPr>
          <w:p w14:paraId="4D876B36" w14:textId="77777777" w:rsidR="00D65F54" w:rsidRPr="00D65F54" w:rsidRDefault="00D65F54" w:rsidP="00EE562B">
            <w:pPr>
              <w:pStyle w:val="Body"/>
              <w:spacing w:after="0"/>
              <w:rPr>
                <w:rFonts w:ascii="Arial" w:hAnsi="Arial" w:cs="Arial"/>
                <w:sz w:val="20"/>
                <w:vertAlign w:val="subscript"/>
              </w:rPr>
            </w:pPr>
            <w:r w:rsidRPr="00D65F54">
              <w:rPr>
                <w:rFonts w:ascii="Arial" w:hAnsi="Arial" w:cs="Arial"/>
                <w:sz w:val="20"/>
              </w:rPr>
              <w:t xml:space="preserve">ILCRs </w:t>
            </w:r>
          </w:p>
          <w:p w14:paraId="5F28C30B" w14:textId="77777777" w:rsidR="00D65F54" w:rsidRPr="00D65F54" w:rsidRDefault="00D65F54" w:rsidP="00D65F54">
            <w:pPr>
              <w:pStyle w:val="Body"/>
              <w:rPr>
                <w:rFonts w:ascii="Arial" w:hAnsi="Arial" w:cs="Arial"/>
                <w:sz w:val="20"/>
              </w:rPr>
            </w:pPr>
            <w:r w:rsidRPr="00D65F54">
              <w:rPr>
                <w:rFonts w:ascii="Arial" w:hAnsi="Arial" w:cs="Arial"/>
                <w:sz w:val="20"/>
              </w:rPr>
              <w:t xml:space="preserve"> (MJ)</w:t>
            </w:r>
          </w:p>
        </w:tc>
      </w:tr>
      <w:tr w:rsidR="00D65F54" w:rsidRPr="00D65F54" w14:paraId="27E89CB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63D58F4E" w14:textId="77777777" w:rsidR="00D65F54" w:rsidRPr="00D65F54" w:rsidRDefault="00D65F54" w:rsidP="00D65F54">
            <w:pPr>
              <w:pStyle w:val="Body"/>
              <w:rPr>
                <w:rFonts w:ascii="Arial" w:hAnsi="Arial" w:cs="Arial"/>
                <w:sz w:val="20"/>
              </w:rPr>
            </w:pPr>
            <w:r w:rsidRPr="00D65F54">
              <w:rPr>
                <w:rFonts w:ascii="Arial" w:hAnsi="Arial" w:cs="Arial"/>
                <w:sz w:val="20"/>
              </w:rPr>
              <w:t>Cr</w:t>
            </w:r>
          </w:p>
        </w:tc>
        <w:tc>
          <w:tcPr>
            <w:tcW w:w="1165" w:type="dxa"/>
            <w:tcBorders>
              <w:top w:val="single" w:sz="4" w:space="0" w:color="auto"/>
              <w:left w:val="single" w:sz="4" w:space="0" w:color="auto"/>
              <w:bottom w:val="single" w:sz="4" w:space="0" w:color="auto"/>
              <w:right w:val="single" w:sz="4" w:space="0" w:color="auto"/>
            </w:tcBorders>
            <w:hideMark/>
          </w:tcPr>
          <w:p w14:paraId="12E7A198" w14:textId="77777777" w:rsidR="00D65F54" w:rsidRPr="00D65F54" w:rsidRDefault="00D65F54" w:rsidP="00D65F54">
            <w:pPr>
              <w:pStyle w:val="Body"/>
              <w:rPr>
                <w:rFonts w:ascii="Arial" w:hAnsi="Arial" w:cs="Arial"/>
                <w:sz w:val="20"/>
              </w:rPr>
            </w:pPr>
            <w:r w:rsidRPr="00D65F54">
              <w:rPr>
                <w:rFonts w:ascii="Arial" w:hAnsi="Arial" w:cs="Arial"/>
                <w:sz w:val="20"/>
              </w:rPr>
              <w:t>3.10E-3</w:t>
            </w:r>
          </w:p>
        </w:tc>
        <w:tc>
          <w:tcPr>
            <w:tcW w:w="1170" w:type="dxa"/>
            <w:tcBorders>
              <w:top w:val="single" w:sz="4" w:space="0" w:color="auto"/>
              <w:left w:val="single" w:sz="4" w:space="0" w:color="auto"/>
              <w:bottom w:val="single" w:sz="4" w:space="0" w:color="auto"/>
              <w:right w:val="single" w:sz="4" w:space="0" w:color="auto"/>
            </w:tcBorders>
            <w:hideMark/>
          </w:tcPr>
          <w:p w14:paraId="5B2EFA2A" w14:textId="77777777" w:rsidR="00D65F54" w:rsidRPr="00D65F54" w:rsidRDefault="00D65F54" w:rsidP="00D65F54">
            <w:pPr>
              <w:pStyle w:val="Body"/>
              <w:rPr>
                <w:rFonts w:ascii="Arial" w:hAnsi="Arial" w:cs="Arial"/>
                <w:sz w:val="20"/>
              </w:rPr>
            </w:pPr>
            <w:r w:rsidRPr="00D65F54">
              <w:rPr>
                <w:rFonts w:ascii="Arial" w:hAnsi="Arial" w:cs="Arial"/>
                <w:sz w:val="20"/>
              </w:rPr>
              <w:t>4.96E-3</w:t>
            </w:r>
          </w:p>
        </w:tc>
        <w:tc>
          <w:tcPr>
            <w:tcW w:w="1260" w:type="dxa"/>
            <w:tcBorders>
              <w:top w:val="single" w:sz="4" w:space="0" w:color="auto"/>
              <w:left w:val="single" w:sz="4" w:space="0" w:color="auto"/>
              <w:bottom w:val="single" w:sz="4" w:space="0" w:color="auto"/>
              <w:right w:val="single" w:sz="4" w:space="0" w:color="auto"/>
            </w:tcBorders>
            <w:hideMark/>
          </w:tcPr>
          <w:p w14:paraId="34401512" w14:textId="77777777" w:rsidR="00D65F54" w:rsidRPr="00D65F54" w:rsidRDefault="00D65F54" w:rsidP="00D65F54">
            <w:pPr>
              <w:pStyle w:val="Body"/>
              <w:rPr>
                <w:rFonts w:ascii="Arial" w:hAnsi="Arial" w:cs="Arial"/>
                <w:sz w:val="20"/>
              </w:rPr>
            </w:pPr>
            <w:r w:rsidRPr="00D65F54">
              <w:rPr>
                <w:rFonts w:ascii="Arial" w:hAnsi="Arial" w:cs="Arial"/>
                <w:sz w:val="20"/>
              </w:rPr>
              <w:t>8.11E-3</w:t>
            </w:r>
          </w:p>
        </w:tc>
        <w:tc>
          <w:tcPr>
            <w:tcW w:w="1260" w:type="dxa"/>
            <w:tcBorders>
              <w:top w:val="single" w:sz="4" w:space="0" w:color="auto"/>
              <w:left w:val="single" w:sz="4" w:space="0" w:color="auto"/>
              <w:bottom w:val="single" w:sz="4" w:space="0" w:color="auto"/>
              <w:right w:val="single" w:sz="4" w:space="0" w:color="auto"/>
            </w:tcBorders>
            <w:hideMark/>
          </w:tcPr>
          <w:p w14:paraId="19751807" w14:textId="77777777" w:rsidR="00D65F54" w:rsidRPr="00D65F54" w:rsidRDefault="00D65F54" w:rsidP="00D65F54">
            <w:pPr>
              <w:pStyle w:val="Body"/>
              <w:rPr>
                <w:rFonts w:ascii="Arial" w:hAnsi="Arial" w:cs="Arial"/>
                <w:sz w:val="20"/>
              </w:rPr>
            </w:pPr>
            <w:r w:rsidRPr="00D65F54">
              <w:rPr>
                <w:rFonts w:ascii="Arial" w:hAnsi="Arial" w:cs="Arial"/>
                <w:sz w:val="20"/>
              </w:rPr>
              <w:t>3.62E-3</w:t>
            </w:r>
          </w:p>
        </w:tc>
        <w:tc>
          <w:tcPr>
            <w:tcW w:w="1080" w:type="dxa"/>
            <w:tcBorders>
              <w:top w:val="single" w:sz="4" w:space="0" w:color="auto"/>
              <w:left w:val="single" w:sz="4" w:space="0" w:color="auto"/>
              <w:bottom w:val="single" w:sz="4" w:space="0" w:color="auto"/>
              <w:right w:val="single" w:sz="4" w:space="0" w:color="auto"/>
            </w:tcBorders>
            <w:hideMark/>
          </w:tcPr>
          <w:p w14:paraId="3C2778C5" w14:textId="77777777" w:rsidR="00D65F54" w:rsidRPr="00D65F54" w:rsidRDefault="00D65F54" w:rsidP="00D65F54">
            <w:pPr>
              <w:pStyle w:val="Body"/>
              <w:rPr>
                <w:rFonts w:ascii="Arial" w:hAnsi="Arial" w:cs="Arial"/>
                <w:sz w:val="20"/>
              </w:rPr>
            </w:pPr>
            <w:r w:rsidRPr="00D65F54">
              <w:rPr>
                <w:rFonts w:ascii="Arial" w:hAnsi="Arial" w:cs="Arial"/>
                <w:sz w:val="20"/>
              </w:rPr>
              <w:t>5.78E-3</w:t>
            </w:r>
          </w:p>
        </w:tc>
        <w:tc>
          <w:tcPr>
            <w:tcW w:w="1260" w:type="dxa"/>
            <w:tcBorders>
              <w:top w:val="single" w:sz="4" w:space="0" w:color="auto"/>
              <w:left w:val="single" w:sz="4" w:space="0" w:color="auto"/>
              <w:bottom w:val="single" w:sz="4" w:space="0" w:color="auto"/>
              <w:right w:val="single" w:sz="4" w:space="0" w:color="auto"/>
            </w:tcBorders>
            <w:hideMark/>
          </w:tcPr>
          <w:p w14:paraId="5150E832" w14:textId="77777777" w:rsidR="00D65F54" w:rsidRPr="00D65F54" w:rsidRDefault="00D65F54" w:rsidP="00D65F54">
            <w:pPr>
              <w:pStyle w:val="Body"/>
              <w:rPr>
                <w:rFonts w:ascii="Arial" w:hAnsi="Arial" w:cs="Arial"/>
                <w:sz w:val="20"/>
              </w:rPr>
            </w:pPr>
            <w:r w:rsidRPr="00D65F54">
              <w:rPr>
                <w:rFonts w:ascii="Arial" w:hAnsi="Arial" w:cs="Arial"/>
                <w:sz w:val="20"/>
              </w:rPr>
              <w:t>9.47E-3</w:t>
            </w:r>
          </w:p>
        </w:tc>
      </w:tr>
      <w:tr w:rsidR="00D65F54" w:rsidRPr="00D65F54" w14:paraId="5DB9BDF2"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21D09DBA" w14:textId="77777777" w:rsidR="00D65F54" w:rsidRPr="00D65F54" w:rsidRDefault="00D65F54" w:rsidP="00D65F54">
            <w:pPr>
              <w:pStyle w:val="Body"/>
              <w:rPr>
                <w:rFonts w:ascii="Arial" w:hAnsi="Arial" w:cs="Arial"/>
                <w:sz w:val="20"/>
              </w:rPr>
            </w:pPr>
            <w:r w:rsidRPr="00D65F54">
              <w:rPr>
                <w:rFonts w:ascii="Arial" w:hAnsi="Arial" w:cs="Arial"/>
                <w:sz w:val="20"/>
              </w:rPr>
              <w:t>Cd</w:t>
            </w:r>
          </w:p>
        </w:tc>
        <w:tc>
          <w:tcPr>
            <w:tcW w:w="1165" w:type="dxa"/>
            <w:tcBorders>
              <w:top w:val="single" w:sz="4" w:space="0" w:color="auto"/>
              <w:left w:val="single" w:sz="4" w:space="0" w:color="auto"/>
              <w:bottom w:val="single" w:sz="4" w:space="0" w:color="auto"/>
              <w:right w:val="single" w:sz="4" w:space="0" w:color="auto"/>
            </w:tcBorders>
            <w:hideMark/>
          </w:tcPr>
          <w:p w14:paraId="5B3FB778" w14:textId="77777777" w:rsidR="00D65F54" w:rsidRPr="00D65F54" w:rsidRDefault="00D65F54" w:rsidP="00D65F54">
            <w:pPr>
              <w:pStyle w:val="Body"/>
              <w:rPr>
                <w:rFonts w:ascii="Arial" w:hAnsi="Arial" w:cs="Arial"/>
                <w:sz w:val="20"/>
              </w:rPr>
            </w:pPr>
            <w:r w:rsidRPr="00D65F54">
              <w:rPr>
                <w:rFonts w:ascii="Arial" w:hAnsi="Arial" w:cs="Arial"/>
                <w:sz w:val="20"/>
              </w:rPr>
              <w:t>9.27E-5</w:t>
            </w:r>
          </w:p>
        </w:tc>
        <w:tc>
          <w:tcPr>
            <w:tcW w:w="1170" w:type="dxa"/>
            <w:tcBorders>
              <w:top w:val="single" w:sz="4" w:space="0" w:color="auto"/>
              <w:left w:val="single" w:sz="4" w:space="0" w:color="auto"/>
              <w:bottom w:val="single" w:sz="4" w:space="0" w:color="auto"/>
              <w:right w:val="single" w:sz="4" w:space="0" w:color="auto"/>
            </w:tcBorders>
            <w:hideMark/>
          </w:tcPr>
          <w:p w14:paraId="366E5AB3" w14:textId="77777777" w:rsidR="00D65F54" w:rsidRPr="00D65F54" w:rsidRDefault="00D65F54" w:rsidP="00D65F54">
            <w:pPr>
              <w:pStyle w:val="Body"/>
              <w:rPr>
                <w:rFonts w:ascii="Arial" w:hAnsi="Arial" w:cs="Arial"/>
                <w:sz w:val="20"/>
              </w:rPr>
            </w:pPr>
            <w:r w:rsidRPr="00D65F54">
              <w:rPr>
                <w:rFonts w:ascii="Arial" w:hAnsi="Arial" w:cs="Arial"/>
                <w:sz w:val="20"/>
              </w:rPr>
              <w:t>1.28E-4</w:t>
            </w:r>
          </w:p>
        </w:tc>
        <w:tc>
          <w:tcPr>
            <w:tcW w:w="1260" w:type="dxa"/>
            <w:tcBorders>
              <w:top w:val="single" w:sz="4" w:space="0" w:color="auto"/>
              <w:left w:val="single" w:sz="4" w:space="0" w:color="auto"/>
              <w:bottom w:val="single" w:sz="4" w:space="0" w:color="auto"/>
              <w:right w:val="single" w:sz="4" w:space="0" w:color="auto"/>
            </w:tcBorders>
            <w:hideMark/>
          </w:tcPr>
          <w:p w14:paraId="429A5247" w14:textId="77777777" w:rsidR="00D65F54" w:rsidRPr="00D65F54" w:rsidRDefault="00D65F54" w:rsidP="00D65F54">
            <w:pPr>
              <w:pStyle w:val="Body"/>
              <w:rPr>
                <w:rFonts w:ascii="Arial" w:hAnsi="Arial" w:cs="Arial"/>
                <w:sz w:val="20"/>
              </w:rPr>
            </w:pPr>
            <w:r w:rsidRPr="00D65F54">
              <w:rPr>
                <w:rFonts w:ascii="Arial" w:hAnsi="Arial" w:cs="Arial"/>
                <w:sz w:val="20"/>
              </w:rPr>
              <w:t>2.37E-4</w:t>
            </w:r>
          </w:p>
        </w:tc>
        <w:tc>
          <w:tcPr>
            <w:tcW w:w="1260" w:type="dxa"/>
            <w:tcBorders>
              <w:top w:val="single" w:sz="4" w:space="0" w:color="auto"/>
              <w:left w:val="single" w:sz="4" w:space="0" w:color="auto"/>
              <w:bottom w:val="single" w:sz="4" w:space="0" w:color="auto"/>
              <w:right w:val="single" w:sz="4" w:space="0" w:color="auto"/>
            </w:tcBorders>
            <w:hideMark/>
          </w:tcPr>
          <w:p w14:paraId="3553520C" w14:textId="77777777" w:rsidR="00D65F54" w:rsidRPr="00D65F54" w:rsidRDefault="00D65F54" w:rsidP="00D65F54">
            <w:pPr>
              <w:pStyle w:val="Body"/>
              <w:rPr>
                <w:rFonts w:ascii="Arial" w:hAnsi="Arial" w:cs="Arial"/>
                <w:sz w:val="20"/>
              </w:rPr>
            </w:pPr>
            <w:r w:rsidRPr="00D65F54">
              <w:rPr>
                <w:rFonts w:ascii="Arial" w:hAnsi="Arial" w:cs="Arial"/>
                <w:sz w:val="20"/>
              </w:rPr>
              <w:t>1.07E-4</w:t>
            </w:r>
          </w:p>
        </w:tc>
        <w:tc>
          <w:tcPr>
            <w:tcW w:w="1080" w:type="dxa"/>
            <w:tcBorders>
              <w:top w:val="single" w:sz="4" w:space="0" w:color="auto"/>
              <w:left w:val="single" w:sz="4" w:space="0" w:color="auto"/>
              <w:bottom w:val="single" w:sz="4" w:space="0" w:color="auto"/>
              <w:right w:val="single" w:sz="4" w:space="0" w:color="auto"/>
            </w:tcBorders>
            <w:hideMark/>
          </w:tcPr>
          <w:p w14:paraId="587F718C" w14:textId="77777777" w:rsidR="00D65F54" w:rsidRPr="00D65F54" w:rsidRDefault="00D65F54" w:rsidP="00D65F54">
            <w:pPr>
              <w:pStyle w:val="Body"/>
              <w:rPr>
                <w:rFonts w:ascii="Arial" w:hAnsi="Arial" w:cs="Arial"/>
                <w:sz w:val="20"/>
              </w:rPr>
            </w:pPr>
            <w:r w:rsidRPr="00D65F54">
              <w:rPr>
                <w:rFonts w:ascii="Arial" w:hAnsi="Arial" w:cs="Arial"/>
                <w:sz w:val="20"/>
              </w:rPr>
              <w:t>1.46E-4</w:t>
            </w:r>
          </w:p>
        </w:tc>
        <w:tc>
          <w:tcPr>
            <w:tcW w:w="1260" w:type="dxa"/>
            <w:tcBorders>
              <w:top w:val="single" w:sz="4" w:space="0" w:color="auto"/>
              <w:left w:val="single" w:sz="4" w:space="0" w:color="auto"/>
              <w:bottom w:val="single" w:sz="4" w:space="0" w:color="auto"/>
              <w:right w:val="single" w:sz="4" w:space="0" w:color="auto"/>
            </w:tcBorders>
            <w:hideMark/>
          </w:tcPr>
          <w:p w14:paraId="2C33E3DF" w14:textId="77777777" w:rsidR="00D65F54" w:rsidRPr="00D65F54" w:rsidRDefault="00D65F54" w:rsidP="00D65F54">
            <w:pPr>
              <w:pStyle w:val="Body"/>
              <w:rPr>
                <w:rFonts w:ascii="Arial" w:hAnsi="Arial" w:cs="Arial"/>
                <w:sz w:val="20"/>
              </w:rPr>
            </w:pPr>
            <w:r w:rsidRPr="00D65F54">
              <w:rPr>
                <w:rFonts w:ascii="Arial" w:hAnsi="Arial" w:cs="Arial"/>
                <w:sz w:val="20"/>
              </w:rPr>
              <w:t>2.83E-4</w:t>
            </w:r>
          </w:p>
        </w:tc>
      </w:tr>
      <w:tr w:rsidR="00D65F54" w:rsidRPr="00D65F54" w14:paraId="51DCAE8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39B8E83F" w14:textId="77777777" w:rsidR="00D65F54" w:rsidRPr="00D65F54" w:rsidRDefault="00D65F54" w:rsidP="00D65F54">
            <w:pPr>
              <w:pStyle w:val="Body"/>
              <w:rPr>
                <w:rFonts w:ascii="Arial" w:hAnsi="Arial" w:cs="Arial"/>
                <w:sz w:val="20"/>
              </w:rPr>
            </w:pPr>
            <w:r w:rsidRPr="00D65F54">
              <w:rPr>
                <w:rFonts w:ascii="Arial" w:hAnsi="Arial" w:cs="Arial"/>
                <w:sz w:val="20"/>
              </w:rPr>
              <w:t>Pb</w:t>
            </w:r>
          </w:p>
        </w:tc>
        <w:tc>
          <w:tcPr>
            <w:tcW w:w="1165" w:type="dxa"/>
            <w:tcBorders>
              <w:top w:val="single" w:sz="4" w:space="0" w:color="auto"/>
              <w:left w:val="single" w:sz="4" w:space="0" w:color="auto"/>
              <w:bottom w:val="single" w:sz="4" w:space="0" w:color="auto"/>
              <w:right w:val="single" w:sz="4" w:space="0" w:color="auto"/>
            </w:tcBorders>
            <w:hideMark/>
          </w:tcPr>
          <w:p w14:paraId="05B291FB" w14:textId="77777777" w:rsidR="00D65F54" w:rsidRPr="00D65F54" w:rsidRDefault="00D65F54" w:rsidP="00D65F54">
            <w:pPr>
              <w:pStyle w:val="Body"/>
              <w:rPr>
                <w:rFonts w:ascii="Arial" w:hAnsi="Arial" w:cs="Arial"/>
                <w:sz w:val="20"/>
              </w:rPr>
            </w:pPr>
            <w:r w:rsidRPr="00D65F54">
              <w:rPr>
                <w:rFonts w:ascii="Arial" w:hAnsi="Arial" w:cs="Arial"/>
                <w:sz w:val="20"/>
              </w:rPr>
              <w:t>6.15E-9</w:t>
            </w:r>
          </w:p>
        </w:tc>
        <w:tc>
          <w:tcPr>
            <w:tcW w:w="1170" w:type="dxa"/>
            <w:tcBorders>
              <w:top w:val="single" w:sz="4" w:space="0" w:color="auto"/>
              <w:left w:val="single" w:sz="4" w:space="0" w:color="auto"/>
              <w:bottom w:val="single" w:sz="4" w:space="0" w:color="auto"/>
              <w:right w:val="single" w:sz="4" w:space="0" w:color="auto"/>
            </w:tcBorders>
            <w:hideMark/>
          </w:tcPr>
          <w:p w14:paraId="2E96FC89" w14:textId="77777777" w:rsidR="00D65F54" w:rsidRPr="00D65F54" w:rsidRDefault="00D65F54" w:rsidP="00D65F54">
            <w:pPr>
              <w:pStyle w:val="Body"/>
              <w:rPr>
                <w:rFonts w:ascii="Arial" w:hAnsi="Arial" w:cs="Arial"/>
                <w:sz w:val="20"/>
              </w:rPr>
            </w:pPr>
            <w:r w:rsidRPr="00D65F54">
              <w:rPr>
                <w:rFonts w:ascii="Arial" w:hAnsi="Arial" w:cs="Arial"/>
                <w:sz w:val="20"/>
              </w:rPr>
              <w:t>3.28E-8</w:t>
            </w:r>
          </w:p>
        </w:tc>
        <w:tc>
          <w:tcPr>
            <w:tcW w:w="1260" w:type="dxa"/>
            <w:tcBorders>
              <w:top w:val="single" w:sz="4" w:space="0" w:color="auto"/>
              <w:left w:val="single" w:sz="4" w:space="0" w:color="auto"/>
              <w:bottom w:val="single" w:sz="4" w:space="0" w:color="auto"/>
              <w:right w:val="single" w:sz="4" w:space="0" w:color="auto"/>
            </w:tcBorders>
            <w:hideMark/>
          </w:tcPr>
          <w:p w14:paraId="7162F001" w14:textId="77777777" w:rsidR="00D65F54" w:rsidRPr="00D65F54" w:rsidRDefault="00D65F54" w:rsidP="00D65F54">
            <w:pPr>
              <w:pStyle w:val="Body"/>
              <w:rPr>
                <w:rFonts w:ascii="Arial" w:hAnsi="Arial" w:cs="Arial"/>
                <w:sz w:val="20"/>
              </w:rPr>
            </w:pPr>
            <w:r w:rsidRPr="00D65F54">
              <w:rPr>
                <w:rFonts w:ascii="Arial" w:hAnsi="Arial" w:cs="Arial"/>
                <w:sz w:val="20"/>
              </w:rPr>
              <w:t>5.69E-8</w:t>
            </w:r>
          </w:p>
        </w:tc>
        <w:tc>
          <w:tcPr>
            <w:tcW w:w="1260" w:type="dxa"/>
            <w:tcBorders>
              <w:top w:val="single" w:sz="4" w:space="0" w:color="auto"/>
              <w:left w:val="single" w:sz="4" w:space="0" w:color="auto"/>
              <w:bottom w:val="single" w:sz="4" w:space="0" w:color="auto"/>
              <w:right w:val="single" w:sz="4" w:space="0" w:color="auto"/>
            </w:tcBorders>
            <w:hideMark/>
          </w:tcPr>
          <w:p w14:paraId="7B9E4734" w14:textId="77777777" w:rsidR="00D65F54" w:rsidRPr="00D65F54" w:rsidRDefault="00D65F54" w:rsidP="00D65F54">
            <w:pPr>
              <w:pStyle w:val="Body"/>
              <w:rPr>
                <w:rFonts w:ascii="Arial" w:hAnsi="Arial" w:cs="Arial"/>
                <w:sz w:val="20"/>
              </w:rPr>
            </w:pPr>
            <w:r w:rsidRPr="00D65F54">
              <w:rPr>
                <w:rFonts w:ascii="Arial" w:hAnsi="Arial" w:cs="Arial"/>
                <w:sz w:val="20"/>
              </w:rPr>
              <w:t>7.18E-9</w:t>
            </w:r>
          </w:p>
        </w:tc>
        <w:tc>
          <w:tcPr>
            <w:tcW w:w="1080" w:type="dxa"/>
            <w:tcBorders>
              <w:top w:val="single" w:sz="4" w:space="0" w:color="auto"/>
              <w:left w:val="single" w:sz="4" w:space="0" w:color="auto"/>
              <w:bottom w:val="single" w:sz="4" w:space="0" w:color="auto"/>
              <w:right w:val="single" w:sz="4" w:space="0" w:color="auto"/>
            </w:tcBorders>
            <w:hideMark/>
          </w:tcPr>
          <w:p w14:paraId="021E8503" w14:textId="77777777" w:rsidR="00D65F54" w:rsidRPr="00D65F54" w:rsidRDefault="00D65F54" w:rsidP="00D65F54">
            <w:pPr>
              <w:pStyle w:val="Body"/>
              <w:rPr>
                <w:rFonts w:ascii="Arial" w:hAnsi="Arial" w:cs="Arial"/>
                <w:sz w:val="20"/>
              </w:rPr>
            </w:pPr>
            <w:r w:rsidRPr="00D65F54">
              <w:rPr>
                <w:rFonts w:ascii="Arial" w:hAnsi="Arial" w:cs="Arial"/>
                <w:sz w:val="20"/>
              </w:rPr>
              <w:t>3.82E-8</w:t>
            </w:r>
          </w:p>
        </w:tc>
        <w:tc>
          <w:tcPr>
            <w:tcW w:w="1260" w:type="dxa"/>
            <w:tcBorders>
              <w:top w:val="single" w:sz="4" w:space="0" w:color="auto"/>
              <w:left w:val="single" w:sz="4" w:space="0" w:color="auto"/>
              <w:bottom w:val="single" w:sz="4" w:space="0" w:color="auto"/>
              <w:right w:val="single" w:sz="4" w:space="0" w:color="auto"/>
            </w:tcBorders>
            <w:hideMark/>
          </w:tcPr>
          <w:p w14:paraId="67E185F3" w14:textId="77777777" w:rsidR="00D65F54" w:rsidRPr="00D65F54" w:rsidRDefault="00D65F54" w:rsidP="00D65F54">
            <w:pPr>
              <w:pStyle w:val="Body"/>
              <w:rPr>
                <w:rFonts w:ascii="Arial" w:hAnsi="Arial" w:cs="Arial"/>
                <w:sz w:val="20"/>
              </w:rPr>
            </w:pPr>
            <w:r w:rsidRPr="00D65F54">
              <w:rPr>
                <w:rFonts w:ascii="Arial" w:hAnsi="Arial" w:cs="Arial"/>
                <w:sz w:val="20"/>
              </w:rPr>
              <w:t>6.70E-8</w:t>
            </w:r>
          </w:p>
        </w:tc>
      </w:tr>
      <w:tr w:rsidR="00D65F54" w:rsidRPr="00D65F54" w14:paraId="47D7690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1A1FFCBC" w14:textId="77777777" w:rsidR="00D65F54" w:rsidRPr="00D65F54" w:rsidRDefault="00D65F54" w:rsidP="00D65F54">
            <w:pPr>
              <w:pStyle w:val="Body"/>
              <w:rPr>
                <w:rFonts w:ascii="Arial" w:hAnsi="Arial" w:cs="Arial"/>
                <w:sz w:val="20"/>
              </w:rPr>
            </w:pPr>
            <w:r w:rsidRPr="00D65F54">
              <w:rPr>
                <w:rFonts w:ascii="Arial" w:hAnsi="Arial" w:cs="Arial"/>
                <w:sz w:val="20"/>
              </w:rPr>
              <w:t>Ni</w:t>
            </w:r>
          </w:p>
        </w:tc>
        <w:tc>
          <w:tcPr>
            <w:tcW w:w="1165" w:type="dxa"/>
            <w:tcBorders>
              <w:top w:val="single" w:sz="4" w:space="0" w:color="auto"/>
              <w:left w:val="single" w:sz="4" w:space="0" w:color="auto"/>
              <w:bottom w:val="single" w:sz="4" w:space="0" w:color="auto"/>
              <w:right w:val="single" w:sz="4" w:space="0" w:color="auto"/>
            </w:tcBorders>
            <w:hideMark/>
          </w:tcPr>
          <w:p w14:paraId="582F78A9" w14:textId="77777777" w:rsidR="00D65F54" w:rsidRPr="00D65F54" w:rsidRDefault="00D65F54" w:rsidP="00D65F54">
            <w:pPr>
              <w:pStyle w:val="Body"/>
              <w:rPr>
                <w:rFonts w:ascii="Arial" w:hAnsi="Arial" w:cs="Arial"/>
                <w:sz w:val="20"/>
              </w:rPr>
            </w:pPr>
            <w:r w:rsidRPr="00D65F54">
              <w:rPr>
                <w:rFonts w:ascii="Arial" w:hAnsi="Arial" w:cs="Arial"/>
                <w:sz w:val="20"/>
              </w:rPr>
              <w:t>4.03E-5</w:t>
            </w:r>
          </w:p>
        </w:tc>
        <w:tc>
          <w:tcPr>
            <w:tcW w:w="1170" w:type="dxa"/>
            <w:tcBorders>
              <w:top w:val="single" w:sz="4" w:space="0" w:color="auto"/>
              <w:left w:val="single" w:sz="4" w:space="0" w:color="auto"/>
              <w:bottom w:val="single" w:sz="4" w:space="0" w:color="auto"/>
              <w:right w:val="single" w:sz="4" w:space="0" w:color="auto"/>
            </w:tcBorders>
            <w:hideMark/>
          </w:tcPr>
          <w:p w14:paraId="3034C65C" w14:textId="77777777" w:rsidR="00D65F54" w:rsidRPr="00D65F54" w:rsidRDefault="00D65F54" w:rsidP="00D65F54">
            <w:pPr>
              <w:pStyle w:val="Body"/>
              <w:rPr>
                <w:rFonts w:ascii="Arial" w:hAnsi="Arial" w:cs="Arial"/>
                <w:sz w:val="20"/>
              </w:rPr>
            </w:pPr>
            <w:r w:rsidRPr="00D65F54">
              <w:rPr>
                <w:rFonts w:ascii="Arial" w:hAnsi="Arial" w:cs="Arial"/>
                <w:sz w:val="20"/>
              </w:rPr>
              <w:t>1.42E-5</w:t>
            </w:r>
          </w:p>
        </w:tc>
        <w:tc>
          <w:tcPr>
            <w:tcW w:w="1260" w:type="dxa"/>
            <w:tcBorders>
              <w:top w:val="single" w:sz="4" w:space="0" w:color="auto"/>
              <w:left w:val="single" w:sz="4" w:space="0" w:color="auto"/>
              <w:bottom w:val="single" w:sz="4" w:space="0" w:color="auto"/>
              <w:right w:val="single" w:sz="4" w:space="0" w:color="auto"/>
            </w:tcBorders>
            <w:hideMark/>
          </w:tcPr>
          <w:p w14:paraId="73AA7E87" w14:textId="77777777" w:rsidR="00D65F54" w:rsidRPr="00D65F54" w:rsidRDefault="00D65F54" w:rsidP="00D65F54">
            <w:pPr>
              <w:pStyle w:val="Body"/>
              <w:rPr>
                <w:rFonts w:ascii="Arial" w:hAnsi="Arial" w:cs="Arial"/>
                <w:sz w:val="20"/>
              </w:rPr>
            </w:pPr>
            <w:r w:rsidRPr="00D65F54">
              <w:rPr>
                <w:rFonts w:ascii="Arial" w:hAnsi="Arial" w:cs="Arial"/>
                <w:sz w:val="20"/>
              </w:rPr>
              <w:t>2.49E-5</w:t>
            </w:r>
          </w:p>
        </w:tc>
        <w:tc>
          <w:tcPr>
            <w:tcW w:w="1260" w:type="dxa"/>
            <w:tcBorders>
              <w:top w:val="single" w:sz="4" w:space="0" w:color="auto"/>
              <w:left w:val="single" w:sz="4" w:space="0" w:color="auto"/>
              <w:bottom w:val="single" w:sz="4" w:space="0" w:color="auto"/>
              <w:right w:val="single" w:sz="4" w:space="0" w:color="auto"/>
            </w:tcBorders>
            <w:hideMark/>
          </w:tcPr>
          <w:p w14:paraId="6EC4E957" w14:textId="77777777" w:rsidR="00D65F54" w:rsidRPr="00D65F54" w:rsidRDefault="00D65F54" w:rsidP="00D65F54">
            <w:pPr>
              <w:pStyle w:val="Body"/>
              <w:rPr>
                <w:rFonts w:ascii="Arial" w:hAnsi="Arial" w:cs="Arial"/>
                <w:sz w:val="20"/>
              </w:rPr>
            </w:pPr>
            <w:r w:rsidRPr="00D65F54">
              <w:rPr>
                <w:rFonts w:ascii="Arial" w:hAnsi="Arial" w:cs="Arial"/>
                <w:sz w:val="20"/>
              </w:rPr>
              <w:t>4.77E-5</w:t>
            </w:r>
          </w:p>
        </w:tc>
        <w:tc>
          <w:tcPr>
            <w:tcW w:w="1080" w:type="dxa"/>
            <w:tcBorders>
              <w:top w:val="single" w:sz="4" w:space="0" w:color="auto"/>
              <w:left w:val="single" w:sz="4" w:space="0" w:color="auto"/>
              <w:bottom w:val="single" w:sz="4" w:space="0" w:color="auto"/>
              <w:right w:val="single" w:sz="4" w:space="0" w:color="auto"/>
            </w:tcBorders>
            <w:hideMark/>
          </w:tcPr>
          <w:p w14:paraId="1338A8D1" w14:textId="77777777" w:rsidR="00D65F54" w:rsidRPr="00D65F54" w:rsidRDefault="00D65F54" w:rsidP="00D65F54">
            <w:pPr>
              <w:pStyle w:val="Body"/>
              <w:rPr>
                <w:rFonts w:ascii="Arial" w:hAnsi="Arial" w:cs="Arial"/>
                <w:sz w:val="20"/>
              </w:rPr>
            </w:pPr>
            <w:r w:rsidRPr="00D65F54">
              <w:rPr>
                <w:rFonts w:ascii="Arial" w:hAnsi="Arial" w:cs="Arial"/>
                <w:sz w:val="20"/>
              </w:rPr>
              <w:t>1.72E-5</w:t>
            </w:r>
          </w:p>
        </w:tc>
        <w:tc>
          <w:tcPr>
            <w:tcW w:w="1260" w:type="dxa"/>
            <w:tcBorders>
              <w:top w:val="single" w:sz="4" w:space="0" w:color="auto"/>
              <w:left w:val="single" w:sz="4" w:space="0" w:color="auto"/>
              <w:bottom w:val="single" w:sz="4" w:space="0" w:color="auto"/>
              <w:right w:val="single" w:sz="4" w:space="0" w:color="auto"/>
            </w:tcBorders>
            <w:hideMark/>
          </w:tcPr>
          <w:p w14:paraId="7FB1174A" w14:textId="77777777" w:rsidR="00D65F54" w:rsidRPr="00D65F54" w:rsidRDefault="00D65F54" w:rsidP="00D65F54">
            <w:pPr>
              <w:pStyle w:val="Body"/>
              <w:rPr>
                <w:rFonts w:ascii="Arial" w:hAnsi="Arial" w:cs="Arial"/>
                <w:sz w:val="20"/>
              </w:rPr>
            </w:pPr>
            <w:r w:rsidRPr="00D65F54">
              <w:rPr>
                <w:rFonts w:ascii="Arial" w:hAnsi="Arial" w:cs="Arial"/>
                <w:sz w:val="20"/>
              </w:rPr>
              <w:t>2.90E-5</w:t>
            </w:r>
          </w:p>
        </w:tc>
      </w:tr>
      <w:tr w:rsidR="00D65F54" w:rsidRPr="00D65F54" w14:paraId="49591F5C"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2DE4B777" w14:textId="77777777" w:rsidR="00D65F54" w:rsidRPr="00D65F54" w:rsidRDefault="00D65F54" w:rsidP="00D65F54">
            <w:pPr>
              <w:pStyle w:val="Body"/>
              <w:rPr>
                <w:rFonts w:ascii="Arial" w:hAnsi="Arial" w:cs="Arial"/>
                <w:sz w:val="20"/>
              </w:rPr>
            </w:pPr>
            <w:r w:rsidRPr="00D65F54">
              <w:rPr>
                <w:rFonts w:ascii="Arial" w:hAnsi="Arial" w:cs="Arial"/>
                <w:sz w:val="20"/>
              </w:rPr>
              <w:t>(∑</w:t>
            </w:r>
          </w:p>
          <w:p w14:paraId="3A5F111E" w14:textId="77777777" w:rsidR="00D65F54" w:rsidRPr="00D65F54" w:rsidRDefault="00D65F54" w:rsidP="00D65F54">
            <w:pPr>
              <w:pStyle w:val="Body"/>
              <w:rPr>
                <w:rFonts w:ascii="Arial" w:hAnsi="Arial" w:cs="Arial"/>
                <w:sz w:val="20"/>
              </w:rPr>
            </w:pPr>
            <w:r w:rsidRPr="00D65F54">
              <w:rPr>
                <w:rFonts w:ascii="Arial" w:hAnsi="Arial" w:cs="Arial"/>
                <w:sz w:val="20"/>
              </w:rPr>
              <w:t>ILCRs)</w:t>
            </w:r>
          </w:p>
        </w:tc>
        <w:tc>
          <w:tcPr>
            <w:tcW w:w="1165" w:type="dxa"/>
            <w:tcBorders>
              <w:top w:val="single" w:sz="4" w:space="0" w:color="auto"/>
              <w:left w:val="single" w:sz="4" w:space="0" w:color="auto"/>
              <w:bottom w:val="single" w:sz="4" w:space="0" w:color="auto"/>
              <w:right w:val="single" w:sz="4" w:space="0" w:color="auto"/>
            </w:tcBorders>
            <w:hideMark/>
          </w:tcPr>
          <w:p w14:paraId="6C209146" w14:textId="77777777" w:rsidR="00D65F54" w:rsidRPr="00D65F54" w:rsidRDefault="00D65F54" w:rsidP="00D65F54">
            <w:pPr>
              <w:pStyle w:val="Body"/>
              <w:rPr>
                <w:rFonts w:ascii="Arial" w:hAnsi="Arial" w:cs="Arial"/>
                <w:sz w:val="20"/>
              </w:rPr>
            </w:pPr>
            <w:r w:rsidRPr="00D65F54">
              <w:rPr>
                <w:rFonts w:ascii="Arial" w:hAnsi="Arial" w:cs="Arial"/>
                <w:sz w:val="20"/>
              </w:rPr>
              <w:t>3.23E-3</w:t>
            </w:r>
          </w:p>
        </w:tc>
        <w:tc>
          <w:tcPr>
            <w:tcW w:w="1170" w:type="dxa"/>
            <w:tcBorders>
              <w:top w:val="single" w:sz="4" w:space="0" w:color="auto"/>
              <w:left w:val="single" w:sz="4" w:space="0" w:color="auto"/>
              <w:bottom w:val="single" w:sz="4" w:space="0" w:color="auto"/>
              <w:right w:val="single" w:sz="4" w:space="0" w:color="auto"/>
            </w:tcBorders>
            <w:hideMark/>
          </w:tcPr>
          <w:p w14:paraId="3872216B" w14:textId="77777777" w:rsidR="00D65F54" w:rsidRPr="00D65F54" w:rsidRDefault="00D65F54" w:rsidP="00D65F54">
            <w:pPr>
              <w:pStyle w:val="Body"/>
              <w:rPr>
                <w:rFonts w:ascii="Arial" w:hAnsi="Arial" w:cs="Arial"/>
                <w:sz w:val="20"/>
              </w:rPr>
            </w:pPr>
            <w:r w:rsidRPr="00D65F54">
              <w:rPr>
                <w:rFonts w:ascii="Arial" w:hAnsi="Arial" w:cs="Arial"/>
                <w:sz w:val="20"/>
              </w:rPr>
              <w:t>5.10E-3</w:t>
            </w:r>
          </w:p>
        </w:tc>
        <w:tc>
          <w:tcPr>
            <w:tcW w:w="1260" w:type="dxa"/>
            <w:tcBorders>
              <w:top w:val="single" w:sz="4" w:space="0" w:color="auto"/>
              <w:left w:val="single" w:sz="4" w:space="0" w:color="auto"/>
              <w:bottom w:val="single" w:sz="4" w:space="0" w:color="auto"/>
              <w:right w:val="single" w:sz="4" w:space="0" w:color="auto"/>
            </w:tcBorders>
            <w:hideMark/>
          </w:tcPr>
          <w:p w14:paraId="0D78CA6F" w14:textId="77777777" w:rsidR="00D65F54" w:rsidRPr="00D65F54" w:rsidRDefault="00D65F54" w:rsidP="00D65F54">
            <w:pPr>
              <w:pStyle w:val="Body"/>
              <w:rPr>
                <w:rFonts w:ascii="Arial" w:hAnsi="Arial" w:cs="Arial"/>
                <w:sz w:val="20"/>
              </w:rPr>
            </w:pPr>
            <w:r w:rsidRPr="00D65F54">
              <w:rPr>
                <w:rFonts w:ascii="Arial" w:hAnsi="Arial" w:cs="Arial"/>
                <w:sz w:val="20"/>
              </w:rPr>
              <w:t>8.37E-3</w:t>
            </w:r>
          </w:p>
        </w:tc>
        <w:tc>
          <w:tcPr>
            <w:tcW w:w="1260" w:type="dxa"/>
            <w:tcBorders>
              <w:top w:val="single" w:sz="4" w:space="0" w:color="auto"/>
              <w:left w:val="single" w:sz="4" w:space="0" w:color="auto"/>
              <w:bottom w:val="single" w:sz="4" w:space="0" w:color="auto"/>
              <w:right w:val="single" w:sz="4" w:space="0" w:color="auto"/>
            </w:tcBorders>
            <w:hideMark/>
          </w:tcPr>
          <w:p w14:paraId="6DFABF84" w14:textId="77777777" w:rsidR="00D65F54" w:rsidRPr="00D65F54" w:rsidRDefault="00D65F54" w:rsidP="00D65F54">
            <w:pPr>
              <w:pStyle w:val="Body"/>
              <w:rPr>
                <w:rFonts w:ascii="Arial" w:hAnsi="Arial" w:cs="Arial"/>
                <w:sz w:val="20"/>
              </w:rPr>
            </w:pPr>
            <w:r w:rsidRPr="00D65F54">
              <w:rPr>
                <w:rFonts w:ascii="Arial" w:hAnsi="Arial" w:cs="Arial"/>
                <w:sz w:val="20"/>
              </w:rPr>
              <w:t>3.77E-3</w:t>
            </w:r>
          </w:p>
        </w:tc>
        <w:tc>
          <w:tcPr>
            <w:tcW w:w="1080" w:type="dxa"/>
            <w:tcBorders>
              <w:top w:val="single" w:sz="4" w:space="0" w:color="auto"/>
              <w:left w:val="single" w:sz="4" w:space="0" w:color="auto"/>
              <w:bottom w:val="single" w:sz="4" w:space="0" w:color="auto"/>
              <w:right w:val="single" w:sz="4" w:space="0" w:color="auto"/>
            </w:tcBorders>
            <w:hideMark/>
          </w:tcPr>
          <w:p w14:paraId="479217D3" w14:textId="77777777" w:rsidR="00D65F54" w:rsidRPr="00D65F54" w:rsidRDefault="00D65F54" w:rsidP="00D65F54">
            <w:pPr>
              <w:pStyle w:val="Body"/>
              <w:rPr>
                <w:rFonts w:ascii="Arial" w:hAnsi="Arial" w:cs="Arial"/>
                <w:sz w:val="20"/>
              </w:rPr>
            </w:pPr>
            <w:r w:rsidRPr="00D65F54">
              <w:rPr>
                <w:rFonts w:ascii="Arial" w:hAnsi="Arial" w:cs="Arial"/>
                <w:sz w:val="20"/>
              </w:rPr>
              <w:t>5.94E-3</w:t>
            </w:r>
          </w:p>
        </w:tc>
        <w:tc>
          <w:tcPr>
            <w:tcW w:w="1260" w:type="dxa"/>
            <w:tcBorders>
              <w:top w:val="single" w:sz="4" w:space="0" w:color="auto"/>
              <w:left w:val="single" w:sz="4" w:space="0" w:color="auto"/>
              <w:bottom w:val="single" w:sz="4" w:space="0" w:color="auto"/>
              <w:right w:val="single" w:sz="4" w:space="0" w:color="auto"/>
            </w:tcBorders>
            <w:hideMark/>
          </w:tcPr>
          <w:p w14:paraId="4AA8D0A5" w14:textId="77777777" w:rsidR="00D65F54" w:rsidRPr="00D65F54" w:rsidRDefault="00D65F54" w:rsidP="00D65F54">
            <w:pPr>
              <w:pStyle w:val="Body"/>
              <w:rPr>
                <w:rFonts w:ascii="Arial" w:hAnsi="Arial" w:cs="Arial"/>
                <w:sz w:val="20"/>
              </w:rPr>
            </w:pPr>
            <w:r w:rsidRPr="00D65F54">
              <w:rPr>
                <w:rFonts w:ascii="Arial" w:hAnsi="Arial" w:cs="Arial"/>
                <w:sz w:val="20"/>
              </w:rPr>
              <w:t>9.78E-3</w:t>
            </w:r>
          </w:p>
        </w:tc>
      </w:tr>
    </w:tbl>
    <w:p w14:paraId="7B14E8F4" w14:textId="77777777" w:rsidR="00F17074" w:rsidRDefault="00F17074" w:rsidP="00D65F54">
      <w:pPr>
        <w:pStyle w:val="Body"/>
        <w:rPr>
          <w:rFonts w:ascii="Arial" w:hAnsi="Arial" w:cs="Arial"/>
        </w:rPr>
      </w:pPr>
    </w:p>
    <w:p w14:paraId="6C39E55B" w14:textId="77777777" w:rsidR="00C633BE" w:rsidRDefault="00C633BE" w:rsidP="00F17074">
      <w:pPr>
        <w:pStyle w:val="Body"/>
        <w:spacing w:after="0"/>
        <w:rPr>
          <w:rFonts w:ascii="Arial" w:hAnsi="Arial" w:cs="Arial"/>
        </w:rPr>
      </w:pPr>
    </w:p>
    <w:p w14:paraId="0420B2B2" w14:textId="77777777" w:rsidR="00D65F54" w:rsidRPr="00D65F54" w:rsidRDefault="00D65F54" w:rsidP="00F17074">
      <w:pPr>
        <w:pStyle w:val="Body"/>
        <w:spacing w:after="0"/>
        <w:rPr>
          <w:rFonts w:ascii="Arial" w:hAnsi="Arial" w:cs="Arial"/>
          <w:b/>
        </w:rPr>
      </w:pPr>
      <w:r w:rsidRPr="00D65F54">
        <w:rPr>
          <w:rFonts w:ascii="Arial" w:hAnsi="Arial" w:cs="Arial"/>
        </w:rPr>
        <w:t>Table</w:t>
      </w:r>
      <w:r w:rsidRPr="00D65F54">
        <w:rPr>
          <w:rFonts w:ascii="Arial" w:hAnsi="Arial" w:cs="Arial"/>
          <w:b/>
        </w:rPr>
        <w:t xml:space="preserve"> 10. Carcinogenic risks (CRs) assessment of heavy metals through inhalation exposure</w:t>
      </w:r>
    </w:p>
    <w:tbl>
      <w:tblPr>
        <w:tblStyle w:val="TableGrid"/>
        <w:tblW w:w="8275" w:type="dxa"/>
        <w:tblLook w:val="04A0" w:firstRow="1" w:lastRow="0" w:firstColumn="1" w:lastColumn="0" w:noHBand="0" w:noVBand="1"/>
      </w:tblPr>
      <w:tblGrid>
        <w:gridCol w:w="990"/>
        <w:gridCol w:w="1075"/>
        <w:gridCol w:w="1170"/>
        <w:gridCol w:w="1260"/>
        <w:gridCol w:w="1350"/>
        <w:gridCol w:w="1170"/>
        <w:gridCol w:w="1260"/>
      </w:tblGrid>
      <w:tr w:rsidR="00D65F54" w:rsidRPr="00D65F54" w14:paraId="1041B909" w14:textId="77777777" w:rsidTr="00EE562B">
        <w:tc>
          <w:tcPr>
            <w:tcW w:w="990" w:type="dxa"/>
            <w:tcBorders>
              <w:top w:val="single" w:sz="4" w:space="0" w:color="auto"/>
              <w:left w:val="single" w:sz="4" w:space="0" w:color="auto"/>
              <w:bottom w:val="single" w:sz="4" w:space="0" w:color="auto"/>
              <w:right w:val="single" w:sz="4" w:space="0" w:color="auto"/>
            </w:tcBorders>
          </w:tcPr>
          <w:p w14:paraId="75741A06" w14:textId="77777777" w:rsidR="00D65F54" w:rsidRPr="00D65F54" w:rsidRDefault="00D65F54" w:rsidP="00D65F54">
            <w:pPr>
              <w:pStyle w:val="Body"/>
              <w:rPr>
                <w:rFonts w:ascii="Arial" w:hAnsi="Arial" w:cs="Arial"/>
                <w:b/>
                <w:sz w:val="20"/>
              </w:rPr>
            </w:pPr>
          </w:p>
        </w:tc>
        <w:tc>
          <w:tcPr>
            <w:tcW w:w="3505" w:type="dxa"/>
            <w:gridSpan w:val="3"/>
            <w:tcBorders>
              <w:top w:val="single" w:sz="4" w:space="0" w:color="auto"/>
              <w:left w:val="single" w:sz="4" w:space="0" w:color="auto"/>
              <w:bottom w:val="single" w:sz="4" w:space="0" w:color="auto"/>
              <w:right w:val="single" w:sz="4" w:space="0" w:color="auto"/>
            </w:tcBorders>
            <w:hideMark/>
          </w:tcPr>
          <w:p w14:paraId="02173D56" w14:textId="77777777" w:rsidR="00D65F54" w:rsidRPr="00D65F54" w:rsidRDefault="00D65F54" w:rsidP="00D65F54">
            <w:pPr>
              <w:pStyle w:val="Body"/>
              <w:rPr>
                <w:rFonts w:ascii="Arial" w:hAnsi="Arial" w:cs="Arial"/>
                <w:b/>
                <w:sz w:val="20"/>
              </w:rPr>
            </w:pPr>
            <w:r w:rsidRPr="00D65F54">
              <w:rPr>
                <w:rFonts w:ascii="Arial" w:hAnsi="Arial" w:cs="Arial"/>
                <w:b/>
                <w:sz w:val="20"/>
              </w:rPr>
              <w:t>Adult</w:t>
            </w:r>
          </w:p>
        </w:tc>
        <w:tc>
          <w:tcPr>
            <w:tcW w:w="3780" w:type="dxa"/>
            <w:gridSpan w:val="3"/>
            <w:tcBorders>
              <w:top w:val="single" w:sz="4" w:space="0" w:color="auto"/>
              <w:left w:val="single" w:sz="4" w:space="0" w:color="auto"/>
              <w:bottom w:val="single" w:sz="4" w:space="0" w:color="auto"/>
              <w:right w:val="single" w:sz="4" w:space="0" w:color="auto"/>
            </w:tcBorders>
            <w:hideMark/>
          </w:tcPr>
          <w:p w14:paraId="5098C81C" w14:textId="77777777" w:rsidR="00D65F54" w:rsidRPr="00D65F54" w:rsidRDefault="00D65F54" w:rsidP="00D65F54">
            <w:pPr>
              <w:pStyle w:val="Body"/>
              <w:rPr>
                <w:rFonts w:ascii="Arial" w:hAnsi="Arial" w:cs="Arial"/>
                <w:b/>
                <w:sz w:val="20"/>
              </w:rPr>
            </w:pPr>
            <w:r w:rsidRPr="00D65F54">
              <w:rPr>
                <w:rFonts w:ascii="Arial" w:hAnsi="Arial" w:cs="Arial"/>
                <w:b/>
                <w:sz w:val="20"/>
              </w:rPr>
              <w:t>Children</w:t>
            </w:r>
          </w:p>
        </w:tc>
      </w:tr>
      <w:tr w:rsidR="00D65F54" w:rsidRPr="00D65F54" w14:paraId="42365861"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4464571A" w14:textId="77777777" w:rsidR="00D65F54" w:rsidRPr="00D65F54" w:rsidRDefault="00D65F54" w:rsidP="00D65F54">
            <w:pPr>
              <w:pStyle w:val="Body"/>
              <w:rPr>
                <w:rFonts w:ascii="Arial" w:hAnsi="Arial" w:cs="Arial"/>
                <w:b/>
                <w:sz w:val="20"/>
              </w:rPr>
            </w:pPr>
            <w:r w:rsidRPr="00D65F54">
              <w:rPr>
                <w:rFonts w:ascii="Arial" w:hAnsi="Arial" w:cs="Arial"/>
                <w:b/>
                <w:sz w:val="20"/>
              </w:rPr>
              <w:t>HMs</w:t>
            </w:r>
          </w:p>
        </w:tc>
        <w:tc>
          <w:tcPr>
            <w:tcW w:w="1075" w:type="dxa"/>
            <w:tcBorders>
              <w:top w:val="single" w:sz="4" w:space="0" w:color="auto"/>
              <w:left w:val="single" w:sz="4" w:space="0" w:color="auto"/>
              <w:bottom w:val="single" w:sz="4" w:space="0" w:color="auto"/>
              <w:right w:val="single" w:sz="4" w:space="0" w:color="auto"/>
            </w:tcBorders>
            <w:hideMark/>
          </w:tcPr>
          <w:p w14:paraId="586E4933" w14:textId="77777777" w:rsidR="00D65F54" w:rsidRPr="00D65F54" w:rsidRDefault="00D65F54" w:rsidP="00D65F54">
            <w:pPr>
              <w:pStyle w:val="Body"/>
              <w:rPr>
                <w:rFonts w:ascii="Arial" w:hAnsi="Arial" w:cs="Arial"/>
                <w:b/>
                <w:sz w:val="20"/>
              </w:rPr>
            </w:pPr>
            <w:r w:rsidRPr="00D65F54">
              <w:rPr>
                <w:rFonts w:ascii="Arial" w:hAnsi="Arial" w:cs="Arial"/>
                <w:b/>
                <w:sz w:val="20"/>
              </w:rPr>
              <w:t>ILCRs (MM)</w:t>
            </w:r>
          </w:p>
        </w:tc>
        <w:tc>
          <w:tcPr>
            <w:tcW w:w="1170" w:type="dxa"/>
            <w:tcBorders>
              <w:top w:val="single" w:sz="4" w:space="0" w:color="auto"/>
              <w:left w:val="single" w:sz="4" w:space="0" w:color="auto"/>
              <w:bottom w:val="single" w:sz="4" w:space="0" w:color="auto"/>
              <w:right w:val="single" w:sz="4" w:space="0" w:color="auto"/>
            </w:tcBorders>
            <w:hideMark/>
          </w:tcPr>
          <w:p w14:paraId="19FB11AE" w14:textId="77777777" w:rsidR="00D65F54" w:rsidRPr="00D65F54" w:rsidRDefault="00D65F54" w:rsidP="00EE562B">
            <w:pPr>
              <w:pStyle w:val="Body"/>
              <w:spacing w:after="0"/>
              <w:rPr>
                <w:rFonts w:ascii="Arial" w:hAnsi="Arial" w:cs="Arial"/>
                <w:b/>
                <w:sz w:val="20"/>
              </w:rPr>
            </w:pPr>
            <w:r w:rsidRPr="00D65F54">
              <w:rPr>
                <w:rFonts w:ascii="Arial" w:hAnsi="Arial" w:cs="Arial"/>
                <w:b/>
                <w:sz w:val="20"/>
              </w:rPr>
              <w:t xml:space="preserve">ILCRs </w:t>
            </w:r>
          </w:p>
          <w:p w14:paraId="4FE2061E" w14:textId="77777777" w:rsidR="00D65F54" w:rsidRPr="00D65F54" w:rsidRDefault="00D65F54" w:rsidP="00D65F54">
            <w:pPr>
              <w:pStyle w:val="Body"/>
              <w:rPr>
                <w:rFonts w:ascii="Arial" w:hAnsi="Arial" w:cs="Arial"/>
                <w:b/>
                <w:sz w:val="20"/>
              </w:rPr>
            </w:pPr>
            <w:r w:rsidRPr="00D65F54">
              <w:rPr>
                <w:rFonts w:ascii="Arial" w:hAnsi="Arial" w:cs="Arial"/>
                <w:b/>
                <w:sz w:val="20"/>
              </w:rPr>
              <w:t>(UJ)</w:t>
            </w:r>
          </w:p>
        </w:tc>
        <w:tc>
          <w:tcPr>
            <w:tcW w:w="1260" w:type="dxa"/>
            <w:tcBorders>
              <w:top w:val="single" w:sz="4" w:space="0" w:color="auto"/>
              <w:left w:val="single" w:sz="4" w:space="0" w:color="auto"/>
              <w:bottom w:val="single" w:sz="4" w:space="0" w:color="auto"/>
              <w:right w:val="single" w:sz="4" w:space="0" w:color="auto"/>
            </w:tcBorders>
            <w:hideMark/>
          </w:tcPr>
          <w:p w14:paraId="2D1198CC" w14:textId="77777777" w:rsidR="00D65F54" w:rsidRPr="00D65F54" w:rsidRDefault="00D65F54" w:rsidP="00EE562B">
            <w:pPr>
              <w:pStyle w:val="Body"/>
              <w:spacing w:after="0"/>
              <w:rPr>
                <w:rFonts w:ascii="Arial" w:hAnsi="Arial" w:cs="Arial"/>
                <w:b/>
                <w:sz w:val="20"/>
              </w:rPr>
            </w:pPr>
            <w:r w:rsidRPr="00D65F54">
              <w:rPr>
                <w:rFonts w:ascii="Arial" w:hAnsi="Arial" w:cs="Arial"/>
                <w:b/>
                <w:sz w:val="20"/>
              </w:rPr>
              <w:t xml:space="preserve">ILCRs  </w:t>
            </w:r>
          </w:p>
          <w:p w14:paraId="171F932B" w14:textId="77777777" w:rsidR="00D65F54" w:rsidRPr="00D65F54" w:rsidRDefault="00D65F54" w:rsidP="00D65F54">
            <w:pPr>
              <w:pStyle w:val="Body"/>
              <w:rPr>
                <w:rFonts w:ascii="Arial" w:hAnsi="Arial" w:cs="Arial"/>
                <w:b/>
                <w:sz w:val="20"/>
              </w:rPr>
            </w:pPr>
            <w:r w:rsidRPr="00D65F54">
              <w:rPr>
                <w:rFonts w:ascii="Arial" w:hAnsi="Arial" w:cs="Arial"/>
                <w:b/>
                <w:sz w:val="20"/>
              </w:rPr>
              <w:t>(MJ)</w:t>
            </w:r>
          </w:p>
        </w:tc>
        <w:tc>
          <w:tcPr>
            <w:tcW w:w="1350" w:type="dxa"/>
            <w:tcBorders>
              <w:top w:val="single" w:sz="4" w:space="0" w:color="auto"/>
              <w:left w:val="single" w:sz="4" w:space="0" w:color="auto"/>
              <w:bottom w:val="single" w:sz="4" w:space="0" w:color="auto"/>
              <w:right w:val="single" w:sz="4" w:space="0" w:color="auto"/>
            </w:tcBorders>
            <w:hideMark/>
          </w:tcPr>
          <w:p w14:paraId="315D8FEB" w14:textId="77777777" w:rsidR="00D65F54" w:rsidRPr="00D65F54" w:rsidRDefault="00D65F54" w:rsidP="00EE562B">
            <w:pPr>
              <w:pStyle w:val="Body"/>
              <w:spacing w:after="0"/>
              <w:rPr>
                <w:rFonts w:ascii="Arial" w:hAnsi="Arial" w:cs="Arial"/>
                <w:b/>
                <w:sz w:val="20"/>
                <w:vertAlign w:val="subscript"/>
              </w:rPr>
            </w:pPr>
            <w:r w:rsidRPr="00D65F54">
              <w:rPr>
                <w:rFonts w:ascii="Arial" w:hAnsi="Arial" w:cs="Arial"/>
                <w:b/>
                <w:sz w:val="20"/>
              </w:rPr>
              <w:t xml:space="preserve">ILCRs </w:t>
            </w:r>
          </w:p>
          <w:p w14:paraId="6D670628" w14:textId="77777777" w:rsidR="00D65F54" w:rsidRPr="00D65F54" w:rsidRDefault="00D65F54" w:rsidP="00D65F54">
            <w:pPr>
              <w:pStyle w:val="Body"/>
              <w:rPr>
                <w:rFonts w:ascii="Arial" w:hAnsi="Arial" w:cs="Arial"/>
                <w:b/>
                <w:sz w:val="20"/>
              </w:rPr>
            </w:pPr>
            <w:r w:rsidRPr="00D65F54">
              <w:rPr>
                <w:rFonts w:ascii="Arial" w:hAnsi="Arial" w:cs="Arial"/>
                <w:b/>
                <w:sz w:val="20"/>
              </w:rPr>
              <w:t>(MM)</w:t>
            </w:r>
          </w:p>
        </w:tc>
        <w:tc>
          <w:tcPr>
            <w:tcW w:w="1170" w:type="dxa"/>
            <w:tcBorders>
              <w:top w:val="single" w:sz="4" w:space="0" w:color="auto"/>
              <w:left w:val="single" w:sz="4" w:space="0" w:color="auto"/>
              <w:bottom w:val="single" w:sz="4" w:space="0" w:color="auto"/>
              <w:right w:val="single" w:sz="4" w:space="0" w:color="auto"/>
            </w:tcBorders>
            <w:hideMark/>
          </w:tcPr>
          <w:p w14:paraId="246419EE" w14:textId="77777777" w:rsidR="00D65F54" w:rsidRPr="00D65F54" w:rsidRDefault="00D65F54" w:rsidP="00D65F54">
            <w:pPr>
              <w:pStyle w:val="Body"/>
              <w:rPr>
                <w:rFonts w:ascii="Arial" w:hAnsi="Arial" w:cs="Arial"/>
                <w:b/>
                <w:sz w:val="20"/>
              </w:rPr>
            </w:pPr>
            <w:r w:rsidRPr="00D65F54">
              <w:rPr>
                <w:rFonts w:ascii="Arial" w:hAnsi="Arial" w:cs="Arial"/>
                <w:b/>
                <w:sz w:val="20"/>
              </w:rPr>
              <w:t>ILCRs  (UJ)</w:t>
            </w:r>
          </w:p>
        </w:tc>
        <w:tc>
          <w:tcPr>
            <w:tcW w:w="1260" w:type="dxa"/>
            <w:tcBorders>
              <w:top w:val="single" w:sz="4" w:space="0" w:color="auto"/>
              <w:left w:val="single" w:sz="4" w:space="0" w:color="auto"/>
              <w:bottom w:val="single" w:sz="4" w:space="0" w:color="auto"/>
              <w:right w:val="single" w:sz="4" w:space="0" w:color="auto"/>
            </w:tcBorders>
            <w:hideMark/>
          </w:tcPr>
          <w:p w14:paraId="2F437A6E" w14:textId="77777777" w:rsidR="00D65F54" w:rsidRPr="00D65F54" w:rsidRDefault="00D65F54" w:rsidP="00D65F54">
            <w:pPr>
              <w:pStyle w:val="Body"/>
              <w:rPr>
                <w:rFonts w:ascii="Arial" w:hAnsi="Arial" w:cs="Arial"/>
                <w:b/>
                <w:sz w:val="20"/>
                <w:vertAlign w:val="subscript"/>
              </w:rPr>
            </w:pPr>
            <w:r w:rsidRPr="00D65F54">
              <w:rPr>
                <w:rFonts w:ascii="Arial" w:hAnsi="Arial" w:cs="Arial"/>
                <w:b/>
                <w:sz w:val="20"/>
              </w:rPr>
              <w:t xml:space="preserve">ILCRs </w:t>
            </w:r>
          </w:p>
          <w:p w14:paraId="4ABCA5ED" w14:textId="77777777" w:rsidR="00D65F54" w:rsidRPr="00D65F54" w:rsidRDefault="00D65F54" w:rsidP="00D65F54">
            <w:pPr>
              <w:pStyle w:val="Body"/>
              <w:rPr>
                <w:rFonts w:ascii="Arial" w:hAnsi="Arial" w:cs="Arial"/>
                <w:b/>
                <w:sz w:val="20"/>
              </w:rPr>
            </w:pPr>
            <w:r w:rsidRPr="00D65F54">
              <w:rPr>
                <w:rFonts w:ascii="Arial" w:hAnsi="Arial" w:cs="Arial"/>
                <w:b/>
                <w:sz w:val="20"/>
              </w:rPr>
              <w:t xml:space="preserve"> (MJ)</w:t>
            </w:r>
          </w:p>
        </w:tc>
      </w:tr>
      <w:tr w:rsidR="00D65F54" w:rsidRPr="00D65F54" w14:paraId="67425417"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39E94E91" w14:textId="77777777" w:rsidR="00D65F54" w:rsidRPr="00D65F54" w:rsidRDefault="00D65F54" w:rsidP="00D65F54">
            <w:pPr>
              <w:pStyle w:val="Body"/>
              <w:rPr>
                <w:rFonts w:ascii="Arial" w:hAnsi="Arial" w:cs="Arial"/>
                <w:sz w:val="20"/>
              </w:rPr>
            </w:pPr>
            <w:r w:rsidRPr="00D65F54">
              <w:rPr>
                <w:rFonts w:ascii="Arial" w:hAnsi="Arial" w:cs="Arial"/>
                <w:sz w:val="20"/>
              </w:rPr>
              <w:t>Cr</w:t>
            </w:r>
          </w:p>
        </w:tc>
        <w:tc>
          <w:tcPr>
            <w:tcW w:w="1075" w:type="dxa"/>
            <w:tcBorders>
              <w:top w:val="single" w:sz="4" w:space="0" w:color="auto"/>
              <w:left w:val="single" w:sz="4" w:space="0" w:color="auto"/>
              <w:bottom w:val="single" w:sz="4" w:space="0" w:color="auto"/>
              <w:right w:val="single" w:sz="4" w:space="0" w:color="auto"/>
            </w:tcBorders>
            <w:hideMark/>
          </w:tcPr>
          <w:p w14:paraId="4677D589" w14:textId="77777777" w:rsidR="00D65F54" w:rsidRPr="00D65F54" w:rsidRDefault="00D65F54" w:rsidP="00D65F54">
            <w:pPr>
              <w:pStyle w:val="Body"/>
              <w:rPr>
                <w:rFonts w:ascii="Arial" w:hAnsi="Arial" w:cs="Arial"/>
                <w:sz w:val="20"/>
              </w:rPr>
            </w:pPr>
            <w:r w:rsidRPr="00D65F54">
              <w:rPr>
                <w:rFonts w:ascii="Arial" w:hAnsi="Arial" w:cs="Arial"/>
                <w:sz w:val="20"/>
              </w:rPr>
              <w:t>4.45E-3</w:t>
            </w:r>
          </w:p>
        </w:tc>
        <w:tc>
          <w:tcPr>
            <w:tcW w:w="1170" w:type="dxa"/>
            <w:tcBorders>
              <w:top w:val="single" w:sz="4" w:space="0" w:color="auto"/>
              <w:left w:val="single" w:sz="4" w:space="0" w:color="auto"/>
              <w:bottom w:val="single" w:sz="4" w:space="0" w:color="auto"/>
              <w:right w:val="single" w:sz="4" w:space="0" w:color="auto"/>
            </w:tcBorders>
            <w:hideMark/>
          </w:tcPr>
          <w:p w14:paraId="7E47BFD5" w14:textId="77777777" w:rsidR="00D65F54" w:rsidRPr="00D65F54" w:rsidRDefault="00D65F54" w:rsidP="00D65F54">
            <w:pPr>
              <w:pStyle w:val="Body"/>
              <w:rPr>
                <w:rFonts w:ascii="Arial" w:hAnsi="Arial" w:cs="Arial"/>
                <w:sz w:val="20"/>
              </w:rPr>
            </w:pPr>
            <w:r w:rsidRPr="00D65F54">
              <w:rPr>
                <w:rFonts w:ascii="Arial" w:hAnsi="Arial" w:cs="Arial"/>
                <w:sz w:val="20"/>
              </w:rPr>
              <w:t>7.05E-3</w:t>
            </w:r>
          </w:p>
        </w:tc>
        <w:tc>
          <w:tcPr>
            <w:tcW w:w="1260" w:type="dxa"/>
            <w:tcBorders>
              <w:top w:val="single" w:sz="4" w:space="0" w:color="auto"/>
              <w:left w:val="single" w:sz="4" w:space="0" w:color="auto"/>
              <w:bottom w:val="single" w:sz="4" w:space="0" w:color="auto"/>
              <w:right w:val="single" w:sz="4" w:space="0" w:color="auto"/>
            </w:tcBorders>
            <w:hideMark/>
          </w:tcPr>
          <w:p w14:paraId="21975122" w14:textId="77777777" w:rsidR="00D65F54" w:rsidRPr="00D65F54" w:rsidRDefault="00D65F54" w:rsidP="00D65F54">
            <w:pPr>
              <w:pStyle w:val="Body"/>
              <w:rPr>
                <w:rFonts w:ascii="Arial" w:hAnsi="Arial" w:cs="Arial"/>
                <w:sz w:val="20"/>
              </w:rPr>
            </w:pPr>
            <w:r w:rsidRPr="00D65F54">
              <w:rPr>
                <w:rFonts w:ascii="Arial" w:hAnsi="Arial" w:cs="Arial"/>
                <w:sz w:val="20"/>
              </w:rPr>
              <w:t>1.16E-2</w:t>
            </w:r>
          </w:p>
        </w:tc>
        <w:tc>
          <w:tcPr>
            <w:tcW w:w="1350" w:type="dxa"/>
            <w:tcBorders>
              <w:top w:val="single" w:sz="4" w:space="0" w:color="auto"/>
              <w:left w:val="single" w:sz="4" w:space="0" w:color="auto"/>
              <w:bottom w:val="single" w:sz="4" w:space="0" w:color="auto"/>
              <w:right w:val="single" w:sz="4" w:space="0" w:color="auto"/>
            </w:tcBorders>
            <w:hideMark/>
          </w:tcPr>
          <w:p w14:paraId="4510377B" w14:textId="77777777" w:rsidR="00D65F54" w:rsidRPr="00D65F54" w:rsidRDefault="00D65F54" w:rsidP="00D65F54">
            <w:pPr>
              <w:pStyle w:val="Body"/>
              <w:rPr>
                <w:rFonts w:ascii="Arial" w:hAnsi="Arial" w:cs="Arial"/>
                <w:sz w:val="20"/>
              </w:rPr>
            </w:pPr>
            <w:r w:rsidRPr="00D65F54">
              <w:rPr>
                <w:rFonts w:ascii="Arial" w:hAnsi="Arial" w:cs="Arial"/>
                <w:sz w:val="20"/>
              </w:rPr>
              <w:t>1.09E-3</w:t>
            </w:r>
          </w:p>
        </w:tc>
        <w:tc>
          <w:tcPr>
            <w:tcW w:w="1170" w:type="dxa"/>
            <w:tcBorders>
              <w:top w:val="single" w:sz="4" w:space="0" w:color="auto"/>
              <w:left w:val="single" w:sz="4" w:space="0" w:color="auto"/>
              <w:bottom w:val="single" w:sz="4" w:space="0" w:color="auto"/>
              <w:right w:val="single" w:sz="4" w:space="0" w:color="auto"/>
            </w:tcBorders>
            <w:hideMark/>
          </w:tcPr>
          <w:p w14:paraId="1A2D3105" w14:textId="77777777" w:rsidR="00D65F54" w:rsidRPr="00D65F54" w:rsidRDefault="00D65F54" w:rsidP="00D65F54">
            <w:pPr>
              <w:pStyle w:val="Body"/>
              <w:rPr>
                <w:rFonts w:ascii="Arial" w:hAnsi="Arial" w:cs="Arial"/>
                <w:sz w:val="20"/>
              </w:rPr>
            </w:pPr>
            <w:r w:rsidRPr="00D65F54">
              <w:rPr>
                <w:rFonts w:ascii="Arial" w:hAnsi="Arial" w:cs="Arial"/>
                <w:sz w:val="20"/>
              </w:rPr>
              <w:t>1.76E-3</w:t>
            </w:r>
          </w:p>
        </w:tc>
        <w:tc>
          <w:tcPr>
            <w:tcW w:w="1260" w:type="dxa"/>
            <w:tcBorders>
              <w:top w:val="single" w:sz="4" w:space="0" w:color="auto"/>
              <w:left w:val="single" w:sz="4" w:space="0" w:color="auto"/>
              <w:bottom w:val="single" w:sz="4" w:space="0" w:color="auto"/>
              <w:right w:val="single" w:sz="4" w:space="0" w:color="auto"/>
            </w:tcBorders>
            <w:hideMark/>
          </w:tcPr>
          <w:p w14:paraId="52BE3D4B" w14:textId="77777777" w:rsidR="00D65F54" w:rsidRPr="00D65F54" w:rsidRDefault="00D65F54" w:rsidP="00D65F54">
            <w:pPr>
              <w:pStyle w:val="Body"/>
              <w:rPr>
                <w:rFonts w:ascii="Arial" w:hAnsi="Arial" w:cs="Arial"/>
                <w:sz w:val="20"/>
              </w:rPr>
            </w:pPr>
            <w:r w:rsidRPr="00D65F54">
              <w:rPr>
                <w:rFonts w:ascii="Arial" w:hAnsi="Arial" w:cs="Arial"/>
                <w:sz w:val="20"/>
              </w:rPr>
              <w:t>2.85E-3</w:t>
            </w:r>
          </w:p>
        </w:tc>
      </w:tr>
      <w:tr w:rsidR="00D65F54" w:rsidRPr="00D65F54" w14:paraId="1F514E48"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76A0DB22" w14:textId="77777777" w:rsidR="00D65F54" w:rsidRPr="00D65F54" w:rsidRDefault="00D65F54" w:rsidP="00D65F54">
            <w:pPr>
              <w:pStyle w:val="Body"/>
              <w:rPr>
                <w:rFonts w:ascii="Arial" w:hAnsi="Arial" w:cs="Arial"/>
                <w:sz w:val="20"/>
              </w:rPr>
            </w:pPr>
            <w:r w:rsidRPr="00D65F54">
              <w:rPr>
                <w:rFonts w:ascii="Arial" w:hAnsi="Arial" w:cs="Arial"/>
                <w:sz w:val="20"/>
              </w:rPr>
              <w:t>Cd</w:t>
            </w:r>
          </w:p>
        </w:tc>
        <w:tc>
          <w:tcPr>
            <w:tcW w:w="1075" w:type="dxa"/>
            <w:tcBorders>
              <w:top w:val="single" w:sz="4" w:space="0" w:color="auto"/>
              <w:left w:val="single" w:sz="4" w:space="0" w:color="auto"/>
              <w:bottom w:val="single" w:sz="4" w:space="0" w:color="auto"/>
              <w:right w:val="single" w:sz="4" w:space="0" w:color="auto"/>
            </w:tcBorders>
            <w:hideMark/>
          </w:tcPr>
          <w:p w14:paraId="14038CF5" w14:textId="77777777" w:rsidR="00D65F54" w:rsidRPr="00D65F54" w:rsidRDefault="00D65F54" w:rsidP="00D65F54">
            <w:pPr>
              <w:pStyle w:val="Body"/>
              <w:rPr>
                <w:rFonts w:ascii="Arial" w:hAnsi="Arial" w:cs="Arial"/>
                <w:sz w:val="20"/>
              </w:rPr>
            </w:pPr>
            <w:r w:rsidRPr="00D65F54">
              <w:rPr>
                <w:rFonts w:ascii="Arial" w:hAnsi="Arial" w:cs="Arial"/>
                <w:sz w:val="20"/>
              </w:rPr>
              <w:t>1.80E-5</w:t>
            </w:r>
          </w:p>
        </w:tc>
        <w:tc>
          <w:tcPr>
            <w:tcW w:w="1170" w:type="dxa"/>
            <w:tcBorders>
              <w:top w:val="single" w:sz="4" w:space="0" w:color="auto"/>
              <w:left w:val="single" w:sz="4" w:space="0" w:color="auto"/>
              <w:bottom w:val="single" w:sz="4" w:space="0" w:color="auto"/>
              <w:right w:val="single" w:sz="4" w:space="0" w:color="auto"/>
            </w:tcBorders>
            <w:hideMark/>
          </w:tcPr>
          <w:p w14:paraId="6743522B" w14:textId="77777777" w:rsidR="00D65F54" w:rsidRPr="00D65F54" w:rsidRDefault="00D65F54" w:rsidP="00D65F54">
            <w:pPr>
              <w:pStyle w:val="Body"/>
              <w:rPr>
                <w:rFonts w:ascii="Arial" w:hAnsi="Arial" w:cs="Arial"/>
                <w:sz w:val="20"/>
              </w:rPr>
            </w:pPr>
            <w:r w:rsidRPr="00D65F54">
              <w:rPr>
                <w:rFonts w:ascii="Arial" w:hAnsi="Arial" w:cs="Arial"/>
                <w:sz w:val="20"/>
              </w:rPr>
              <w:t>2.52E-5</w:t>
            </w:r>
          </w:p>
        </w:tc>
        <w:tc>
          <w:tcPr>
            <w:tcW w:w="1260" w:type="dxa"/>
            <w:tcBorders>
              <w:top w:val="single" w:sz="4" w:space="0" w:color="auto"/>
              <w:left w:val="single" w:sz="4" w:space="0" w:color="auto"/>
              <w:bottom w:val="single" w:sz="4" w:space="0" w:color="auto"/>
              <w:right w:val="single" w:sz="4" w:space="0" w:color="auto"/>
            </w:tcBorders>
            <w:hideMark/>
          </w:tcPr>
          <w:p w14:paraId="1CB41A2F" w14:textId="77777777" w:rsidR="00D65F54" w:rsidRPr="00D65F54" w:rsidRDefault="00D65F54" w:rsidP="00D65F54">
            <w:pPr>
              <w:pStyle w:val="Body"/>
              <w:rPr>
                <w:rFonts w:ascii="Arial" w:hAnsi="Arial" w:cs="Arial"/>
                <w:sz w:val="20"/>
              </w:rPr>
            </w:pPr>
            <w:r w:rsidRPr="00D65F54">
              <w:rPr>
                <w:rFonts w:ascii="Arial" w:hAnsi="Arial" w:cs="Arial"/>
                <w:sz w:val="20"/>
              </w:rPr>
              <w:t>4.86E-5</w:t>
            </w:r>
          </w:p>
        </w:tc>
        <w:tc>
          <w:tcPr>
            <w:tcW w:w="1350" w:type="dxa"/>
            <w:tcBorders>
              <w:top w:val="single" w:sz="4" w:space="0" w:color="auto"/>
              <w:left w:val="single" w:sz="4" w:space="0" w:color="auto"/>
              <w:bottom w:val="single" w:sz="4" w:space="0" w:color="auto"/>
              <w:right w:val="single" w:sz="4" w:space="0" w:color="auto"/>
            </w:tcBorders>
            <w:hideMark/>
          </w:tcPr>
          <w:p w14:paraId="445D3964" w14:textId="77777777" w:rsidR="00D65F54" w:rsidRPr="00D65F54" w:rsidRDefault="00D65F54" w:rsidP="00D65F54">
            <w:pPr>
              <w:pStyle w:val="Body"/>
              <w:rPr>
                <w:rFonts w:ascii="Arial" w:hAnsi="Arial" w:cs="Arial"/>
                <w:sz w:val="20"/>
              </w:rPr>
            </w:pPr>
            <w:r w:rsidRPr="00D65F54">
              <w:rPr>
                <w:rFonts w:ascii="Arial" w:hAnsi="Arial" w:cs="Arial"/>
                <w:sz w:val="20"/>
              </w:rPr>
              <w:t>3.60E-6</w:t>
            </w:r>
          </w:p>
        </w:tc>
        <w:tc>
          <w:tcPr>
            <w:tcW w:w="1170" w:type="dxa"/>
            <w:tcBorders>
              <w:top w:val="single" w:sz="4" w:space="0" w:color="auto"/>
              <w:left w:val="single" w:sz="4" w:space="0" w:color="auto"/>
              <w:bottom w:val="single" w:sz="4" w:space="0" w:color="auto"/>
              <w:right w:val="single" w:sz="4" w:space="0" w:color="auto"/>
            </w:tcBorders>
            <w:hideMark/>
          </w:tcPr>
          <w:p w14:paraId="476F93A2" w14:textId="77777777" w:rsidR="00D65F54" w:rsidRPr="00D65F54" w:rsidRDefault="00D65F54" w:rsidP="00D65F54">
            <w:pPr>
              <w:pStyle w:val="Body"/>
              <w:rPr>
                <w:rFonts w:ascii="Arial" w:hAnsi="Arial" w:cs="Arial"/>
                <w:sz w:val="20"/>
              </w:rPr>
            </w:pPr>
            <w:r w:rsidRPr="00D65F54">
              <w:rPr>
                <w:rFonts w:ascii="Arial" w:hAnsi="Arial" w:cs="Arial"/>
                <w:sz w:val="20"/>
              </w:rPr>
              <w:t>5.40E-6</w:t>
            </w:r>
          </w:p>
        </w:tc>
        <w:tc>
          <w:tcPr>
            <w:tcW w:w="1260" w:type="dxa"/>
            <w:tcBorders>
              <w:top w:val="single" w:sz="4" w:space="0" w:color="auto"/>
              <w:left w:val="single" w:sz="4" w:space="0" w:color="auto"/>
              <w:bottom w:val="single" w:sz="4" w:space="0" w:color="auto"/>
              <w:right w:val="single" w:sz="4" w:space="0" w:color="auto"/>
            </w:tcBorders>
            <w:hideMark/>
          </w:tcPr>
          <w:p w14:paraId="1E7F93AE" w14:textId="77777777" w:rsidR="00D65F54" w:rsidRPr="00D65F54" w:rsidRDefault="00D65F54" w:rsidP="00D65F54">
            <w:pPr>
              <w:pStyle w:val="Body"/>
              <w:rPr>
                <w:rFonts w:ascii="Arial" w:hAnsi="Arial" w:cs="Arial"/>
                <w:sz w:val="20"/>
              </w:rPr>
            </w:pPr>
            <w:r w:rsidRPr="00D65F54">
              <w:rPr>
                <w:rFonts w:ascii="Arial" w:hAnsi="Arial" w:cs="Arial"/>
                <w:sz w:val="20"/>
              </w:rPr>
              <w:t>1.08E-5</w:t>
            </w:r>
          </w:p>
        </w:tc>
      </w:tr>
      <w:tr w:rsidR="00D65F54" w:rsidRPr="00D65F54" w14:paraId="36AF7A2B"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0D34F25B" w14:textId="77777777" w:rsidR="00D65F54" w:rsidRPr="00D65F54" w:rsidRDefault="00D65F54" w:rsidP="00D65F54">
            <w:pPr>
              <w:pStyle w:val="Body"/>
              <w:rPr>
                <w:rFonts w:ascii="Arial" w:hAnsi="Arial" w:cs="Arial"/>
                <w:sz w:val="20"/>
              </w:rPr>
            </w:pPr>
            <w:r w:rsidRPr="00D65F54">
              <w:rPr>
                <w:rFonts w:ascii="Arial" w:hAnsi="Arial" w:cs="Arial"/>
                <w:sz w:val="20"/>
              </w:rPr>
              <w:t>Pb</w:t>
            </w:r>
          </w:p>
        </w:tc>
        <w:tc>
          <w:tcPr>
            <w:tcW w:w="1075" w:type="dxa"/>
            <w:tcBorders>
              <w:top w:val="single" w:sz="4" w:space="0" w:color="auto"/>
              <w:left w:val="single" w:sz="4" w:space="0" w:color="auto"/>
              <w:bottom w:val="single" w:sz="4" w:space="0" w:color="auto"/>
              <w:right w:val="single" w:sz="4" w:space="0" w:color="auto"/>
            </w:tcBorders>
            <w:hideMark/>
          </w:tcPr>
          <w:p w14:paraId="43424A80" w14:textId="77777777" w:rsidR="00D65F54" w:rsidRPr="00D65F54" w:rsidRDefault="00D65F54" w:rsidP="00D65F54">
            <w:pPr>
              <w:pStyle w:val="Body"/>
              <w:rPr>
                <w:rFonts w:ascii="Arial" w:hAnsi="Arial" w:cs="Arial"/>
                <w:sz w:val="20"/>
              </w:rPr>
            </w:pPr>
            <w:r w:rsidRPr="00D65F54">
              <w:rPr>
                <w:rFonts w:ascii="Arial" w:hAnsi="Arial" w:cs="Arial"/>
                <w:sz w:val="20"/>
              </w:rPr>
              <w:t>6.00E-9</w:t>
            </w:r>
          </w:p>
        </w:tc>
        <w:tc>
          <w:tcPr>
            <w:tcW w:w="1170" w:type="dxa"/>
            <w:tcBorders>
              <w:top w:val="single" w:sz="4" w:space="0" w:color="auto"/>
              <w:left w:val="single" w:sz="4" w:space="0" w:color="auto"/>
              <w:bottom w:val="single" w:sz="4" w:space="0" w:color="auto"/>
              <w:right w:val="single" w:sz="4" w:space="0" w:color="auto"/>
            </w:tcBorders>
            <w:hideMark/>
          </w:tcPr>
          <w:p w14:paraId="6130E83D" w14:textId="77777777" w:rsidR="00D65F54" w:rsidRPr="00D65F54" w:rsidRDefault="00D65F54" w:rsidP="00D65F54">
            <w:pPr>
              <w:pStyle w:val="Body"/>
              <w:rPr>
                <w:rFonts w:ascii="Arial" w:hAnsi="Arial" w:cs="Arial"/>
                <w:sz w:val="20"/>
              </w:rPr>
            </w:pPr>
            <w:r w:rsidRPr="00D65F54">
              <w:rPr>
                <w:rFonts w:ascii="Arial" w:hAnsi="Arial" w:cs="Arial"/>
                <w:sz w:val="20"/>
              </w:rPr>
              <w:t>2.40E-8</w:t>
            </w:r>
          </w:p>
        </w:tc>
        <w:tc>
          <w:tcPr>
            <w:tcW w:w="1260" w:type="dxa"/>
            <w:tcBorders>
              <w:top w:val="single" w:sz="4" w:space="0" w:color="auto"/>
              <w:left w:val="single" w:sz="4" w:space="0" w:color="auto"/>
              <w:bottom w:val="single" w:sz="4" w:space="0" w:color="auto"/>
              <w:right w:val="single" w:sz="4" w:space="0" w:color="auto"/>
            </w:tcBorders>
            <w:hideMark/>
          </w:tcPr>
          <w:p w14:paraId="2C4A60E6" w14:textId="77777777" w:rsidR="00D65F54" w:rsidRPr="00D65F54" w:rsidRDefault="00D65F54" w:rsidP="00D65F54">
            <w:pPr>
              <w:pStyle w:val="Body"/>
              <w:rPr>
                <w:rFonts w:ascii="Arial" w:hAnsi="Arial" w:cs="Arial"/>
                <w:sz w:val="20"/>
              </w:rPr>
            </w:pPr>
            <w:r w:rsidRPr="00D65F54">
              <w:rPr>
                <w:rFonts w:ascii="Arial" w:hAnsi="Arial" w:cs="Arial"/>
                <w:sz w:val="20"/>
              </w:rPr>
              <w:t>4.80E-8</w:t>
            </w:r>
          </w:p>
        </w:tc>
        <w:tc>
          <w:tcPr>
            <w:tcW w:w="1350" w:type="dxa"/>
            <w:tcBorders>
              <w:top w:val="single" w:sz="4" w:space="0" w:color="auto"/>
              <w:left w:val="single" w:sz="4" w:space="0" w:color="auto"/>
              <w:bottom w:val="single" w:sz="4" w:space="0" w:color="auto"/>
              <w:right w:val="single" w:sz="4" w:space="0" w:color="auto"/>
            </w:tcBorders>
            <w:hideMark/>
          </w:tcPr>
          <w:p w14:paraId="3C74313F" w14:textId="77777777" w:rsidR="00D65F54" w:rsidRPr="00D65F54" w:rsidRDefault="00D65F54" w:rsidP="00D65F54">
            <w:pPr>
              <w:pStyle w:val="Body"/>
              <w:rPr>
                <w:rFonts w:ascii="Arial" w:hAnsi="Arial" w:cs="Arial"/>
                <w:sz w:val="20"/>
              </w:rPr>
            </w:pPr>
            <w:r w:rsidRPr="00D65F54">
              <w:rPr>
                <w:rFonts w:ascii="Arial" w:hAnsi="Arial" w:cs="Arial"/>
                <w:sz w:val="20"/>
              </w:rPr>
              <w:t>1.20E-9</w:t>
            </w:r>
          </w:p>
        </w:tc>
        <w:tc>
          <w:tcPr>
            <w:tcW w:w="1170" w:type="dxa"/>
            <w:tcBorders>
              <w:top w:val="single" w:sz="4" w:space="0" w:color="auto"/>
              <w:left w:val="single" w:sz="4" w:space="0" w:color="auto"/>
              <w:bottom w:val="single" w:sz="4" w:space="0" w:color="auto"/>
              <w:right w:val="single" w:sz="4" w:space="0" w:color="auto"/>
            </w:tcBorders>
            <w:hideMark/>
          </w:tcPr>
          <w:p w14:paraId="5092019F" w14:textId="77777777" w:rsidR="00D65F54" w:rsidRPr="00D65F54" w:rsidRDefault="00D65F54" w:rsidP="00D65F54">
            <w:pPr>
              <w:pStyle w:val="Body"/>
              <w:rPr>
                <w:rFonts w:ascii="Arial" w:hAnsi="Arial" w:cs="Arial"/>
                <w:sz w:val="20"/>
              </w:rPr>
            </w:pPr>
            <w:r w:rsidRPr="00D65F54">
              <w:rPr>
                <w:rFonts w:ascii="Arial" w:hAnsi="Arial" w:cs="Arial"/>
                <w:sz w:val="20"/>
              </w:rPr>
              <w:t>7.20E-9</w:t>
            </w:r>
          </w:p>
        </w:tc>
        <w:tc>
          <w:tcPr>
            <w:tcW w:w="1260" w:type="dxa"/>
            <w:tcBorders>
              <w:top w:val="single" w:sz="4" w:space="0" w:color="auto"/>
              <w:left w:val="single" w:sz="4" w:space="0" w:color="auto"/>
              <w:bottom w:val="single" w:sz="4" w:space="0" w:color="auto"/>
              <w:right w:val="single" w:sz="4" w:space="0" w:color="auto"/>
            </w:tcBorders>
            <w:hideMark/>
          </w:tcPr>
          <w:p w14:paraId="0C551266" w14:textId="77777777" w:rsidR="00D65F54" w:rsidRPr="00D65F54" w:rsidRDefault="00D65F54" w:rsidP="00D65F54">
            <w:pPr>
              <w:pStyle w:val="Body"/>
              <w:rPr>
                <w:rFonts w:ascii="Arial" w:hAnsi="Arial" w:cs="Arial"/>
                <w:sz w:val="20"/>
              </w:rPr>
            </w:pPr>
            <w:r w:rsidRPr="00D65F54">
              <w:rPr>
                <w:rFonts w:ascii="Arial" w:hAnsi="Arial" w:cs="Arial"/>
                <w:sz w:val="20"/>
              </w:rPr>
              <w:t>1.20E-8</w:t>
            </w:r>
          </w:p>
        </w:tc>
      </w:tr>
      <w:tr w:rsidR="00D65F54" w:rsidRPr="00D65F54" w14:paraId="639F6D34"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04EE966C" w14:textId="77777777" w:rsidR="00D65F54" w:rsidRPr="00D65F54" w:rsidRDefault="00D65F54" w:rsidP="00D65F54">
            <w:pPr>
              <w:pStyle w:val="Body"/>
              <w:rPr>
                <w:rFonts w:ascii="Arial" w:hAnsi="Arial" w:cs="Arial"/>
                <w:sz w:val="20"/>
              </w:rPr>
            </w:pPr>
            <w:r w:rsidRPr="00D65F54">
              <w:rPr>
                <w:rFonts w:ascii="Arial" w:hAnsi="Arial" w:cs="Arial"/>
                <w:sz w:val="20"/>
              </w:rPr>
              <w:t>As</w:t>
            </w:r>
          </w:p>
        </w:tc>
        <w:tc>
          <w:tcPr>
            <w:tcW w:w="1075" w:type="dxa"/>
            <w:tcBorders>
              <w:top w:val="single" w:sz="4" w:space="0" w:color="auto"/>
              <w:left w:val="single" w:sz="4" w:space="0" w:color="auto"/>
              <w:bottom w:val="single" w:sz="4" w:space="0" w:color="auto"/>
              <w:right w:val="single" w:sz="4" w:space="0" w:color="auto"/>
            </w:tcBorders>
            <w:hideMark/>
          </w:tcPr>
          <w:p w14:paraId="500D55B2" w14:textId="77777777" w:rsidR="00D65F54" w:rsidRPr="00D65F54" w:rsidRDefault="00D65F54" w:rsidP="00D65F54">
            <w:pPr>
              <w:pStyle w:val="Body"/>
              <w:rPr>
                <w:rFonts w:ascii="Arial" w:hAnsi="Arial" w:cs="Arial"/>
                <w:sz w:val="20"/>
              </w:rPr>
            </w:pPr>
            <w:r w:rsidRPr="00D65F54">
              <w:rPr>
                <w:rFonts w:ascii="Arial" w:hAnsi="Arial" w:cs="Arial"/>
                <w:sz w:val="20"/>
              </w:rPr>
              <w:t>4.30E-7</w:t>
            </w:r>
          </w:p>
        </w:tc>
        <w:tc>
          <w:tcPr>
            <w:tcW w:w="1170" w:type="dxa"/>
            <w:tcBorders>
              <w:top w:val="single" w:sz="4" w:space="0" w:color="auto"/>
              <w:left w:val="single" w:sz="4" w:space="0" w:color="auto"/>
              <w:bottom w:val="single" w:sz="4" w:space="0" w:color="auto"/>
              <w:right w:val="single" w:sz="4" w:space="0" w:color="auto"/>
            </w:tcBorders>
            <w:hideMark/>
          </w:tcPr>
          <w:p w14:paraId="2A9D6ACD" w14:textId="77777777" w:rsidR="00D65F54" w:rsidRPr="00D65F54" w:rsidRDefault="00D65F54" w:rsidP="00D65F54">
            <w:pPr>
              <w:pStyle w:val="Body"/>
              <w:rPr>
                <w:rFonts w:ascii="Arial" w:hAnsi="Arial" w:cs="Arial"/>
                <w:sz w:val="20"/>
              </w:rPr>
            </w:pPr>
            <w:r w:rsidRPr="00D65F54">
              <w:rPr>
                <w:rFonts w:ascii="Arial" w:hAnsi="Arial" w:cs="Arial"/>
                <w:sz w:val="20"/>
              </w:rPr>
              <w:t>4.30E-7</w:t>
            </w:r>
          </w:p>
        </w:tc>
        <w:tc>
          <w:tcPr>
            <w:tcW w:w="1260" w:type="dxa"/>
            <w:tcBorders>
              <w:top w:val="single" w:sz="4" w:space="0" w:color="auto"/>
              <w:left w:val="single" w:sz="4" w:space="0" w:color="auto"/>
              <w:bottom w:val="single" w:sz="4" w:space="0" w:color="auto"/>
              <w:right w:val="single" w:sz="4" w:space="0" w:color="auto"/>
            </w:tcBorders>
            <w:hideMark/>
          </w:tcPr>
          <w:p w14:paraId="74170BD8" w14:textId="77777777" w:rsidR="00D65F54" w:rsidRPr="00D65F54" w:rsidRDefault="00D65F54" w:rsidP="00D65F54">
            <w:pPr>
              <w:pStyle w:val="Body"/>
              <w:rPr>
                <w:rFonts w:ascii="Arial" w:hAnsi="Arial" w:cs="Arial"/>
                <w:sz w:val="20"/>
              </w:rPr>
            </w:pPr>
            <w:r w:rsidRPr="00D65F54">
              <w:rPr>
                <w:rFonts w:ascii="Arial" w:hAnsi="Arial" w:cs="Arial"/>
                <w:sz w:val="20"/>
              </w:rPr>
              <w:t>4.30E-7</w:t>
            </w:r>
          </w:p>
        </w:tc>
        <w:tc>
          <w:tcPr>
            <w:tcW w:w="1350" w:type="dxa"/>
            <w:tcBorders>
              <w:top w:val="single" w:sz="4" w:space="0" w:color="auto"/>
              <w:left w:val="single" w:sz="4" w:space="0" w:color="auto"/>
              <w:bottom w:val="single" w:sz="4" w:space="0" w:color="auto"/>
              <w:right w:val="single" w:sz="4" w:space="0" w:color="auto"/>
            </w:tcBorders>
            <w:hideMark/>
          </w:tcPr>
          <w:p w14:paraId="332E4159" w14:textId="77777777" w:rsidR="00D65F54" w:rsidRPr="00D65F54" w:rsidRDefault="00D65F54" w:rsidP="00D65F54">
            <w:pPr>
              <w:pStyle w:val="Body"/>
              <w:rPr>
                <w:rFonts w:ascii="Arial" w:hAnsi="Arial" w:cs="Arial"/>
                <w:sz w:val="20"/>
              </w:rPr>
            </w:pPr>
            <w:r w:rsidRPr="00D65F54">
              <w:rPr>
                <w:rFonts w:ascii="Arial" w:hAnsi="Arial" w:cs="Arial"/>
                <w:sz w:val="20"/>
              </w:rPr>
              <w:t>1.72E-7</w:t>
            </w:r>
          </w:p>
        </w:tc>
        <w:tc>
          <w:tcPr>
            <w:tcW w:w="1170" w:type="dxa"/>
            <w:tcBorders>
              <w:top w:val="single" w:sz="4" w:space="0" w:color="auto"/>
              <w:left w:val="single" w:sz="4" w:space="0" w:color="auto"/>
              <w:bottom w:val="single" w:sz="4" w:space="0" w:color="auto"/>
              <w:right w:val="single" w:sz="4" w:space="0" w:color="auto"/>
            </w:tcBorders>
            <w:hideMark/>
          </w:tcPr>
          <w:p w14:paraId="108DD21F" w14:textId="77777777" w:rsidR="00D65F54" w:rsidRPr="00D65F54" w:rsidRDefault="00D65F54" w:rsidP="00D65F54">
            <w:pPr>
              <w:pStyle w:val="Body"/>
              <w:rPr>
                <w:rFonts w:ascii="Arial" w:hAnsi="Arial" w:cs="Arial"/>
                <w:sz w:val="20"/>
              </w:rPr>
            </w:pPr>
            <w:r w:rsidRPr="00D65F54">
              <w:rPr>
                <w:rFonts w:ascii="Arial" w:hAnsi="Arial" w:cs="Arial"/>
                <w:sz w:val="20"/>
              </w:rPr>
              <w:t>1.72E-7</w:t>
            </w:r>
          </w:p>
        </w:tc>
        <w:tc>
          <w:tcPr>
            <w:tcW w:w="1260" w:type="dxa"/>
            <w:tcBorders>
              <w:top w:val="single" w:sz="4" w:space="0" w:color="auto"/>
              <w:left w:val="single" w:sz="4" w:space="0" w:color="auto"/>
              <w:bottom w:val="single" w:sz="4" w:space="0" w:color="auto"/>
              <w:right w:val="single" w:sz="4" w:space="0" w:color="auto"/>
            </w:tcBorders>
            <w:hideMark/>
          </w:tcPr>
          <w:p w14:paraId="2BC29A1F" w14:textId="77777777" w:rsidR="00D65F54" w:rsidRPr="00D65F54" w:rsidRDefault="00D65F54" w:rsidP="00D65F54">
            <w:pPr>
              <w:pStyle w:val="Body"/>
              <w:rPr>
                <w:rFonts w:ascii="Arial" w:hAnsi="Arial" w:cs="Arial"/>
                <w:sz w:val="20"/>
              </w:rPr>
            </w:pPr>
            <w:r w:rsidRPr="00D65F54">
              <w:rPr>
                <w:rFonts w:ascii="Arial" w:hAnsi="Arial" w:cs="Arial"/>
                <w:sz w:val="20"/>
              </w:rPr>
              <w:t>1.72E-7</w:t>
            </w:r>
          </w:p>
        </w:tc>
      </w:tr>
      <w:tr w:rsidR="00D65F54" w:rsidRPr="00D65F54" w14:paraId="6A506B45"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762D4AD7" w14:textId="77777777" w:rsidR="00D65F54" w:rsidRPr="00D65F54" w:rsidRDefault="00D65F54" w:rsidP="00D65F54">
            <w:pPr>
              <w:pStyle w:val="Body"/>
              <w:rPr>
                <w:rFonts w:ascii="Arial" w:hAnsi="Arial" w:cs="Arial"/>
                <w:sz w:val="20"/>
              </w:rPr>
            </w:pPr>
            <w:r w:rsidRPr="00D65F54">
              <w:rPr>
                <w:rFonts w:ascii="Arial" w:hAnsi="Arial" w:cs="Arial"/>
                <w:sz w:val="20"/>
              </w:rPr>
              <w:t>Ni</w:t>
            </w:r>
          </w:p>
        </w:tc>
        <w:tc>
          <w:tcPr>
            <w:tcW w:w="1075" w:type="dxa"/>
            <w:tcBorders>
              <w:top w:val="single" w:sz="4" w:space="0" w:color="auto"/>
              <w:left w:val="single" w:sz="4" w:space="0" w:color="auto"/>
              <w:bottom w:val="single" w:sz="4" w:space="0" w:color="auto"/>
              <w:right w:val="single" w:sz="4" w:space="0" w:color="auto"/>
            </w:tcBorders>
            <w:hideMark/>
          </w:tcPr>
          <w:p w14:paraId="429D09F9" w14:textId="77777777" w:rsidR="00D65F54" w:rsidRPr="00D65F54" w:rsidRDefault="00D65F54" w:rsidP="00D65F54">
            <w:pPr>
              <w:pStyle w:val="Body"/>
              <w:rPr>
                <w:rFonts w:ascii="Arial" w:hAnsi="Arial" w:cs="Arial"/>
                <w:sz w:val="20"/>
              </w:rPr>
            </w:pPr>
            <w:r w:rsidRPr="00D65F54">
              <w:rPr>
                <w:rFonts w:ascii="Arial" w:hAnsi="Arial" w:cs="Arial"/>
                <w:sz w:val="20"/>
              </w:rPr>
              <w:t>8.16E-6</w:t>
            </w:r>
          </w:p>
        </w:tc>
        <w:tc>
          <w:tcPr>
            <w:tcW w:w="1170" w:type="dxa"/>
            <w:tcBorders>
              <w:top w:val="single" w:sz="4" w:space="0" w:color="auto"/>
              <w:left w:val="single" w:sz="4" w:space="0" w:color="auto"/>
              <w:bottom w:val="single" w:sz="4" w:space="0" w:color="auto"/>
              <w:right w:val="single" w:sz="4" w:space="0" w:color="auto"/>
            </w:tcBorders>
            <w:hideMark/>
          </w:tcPr>
          <w:p w14:paraId="1D9476A4" w14:textId="77777777" w:rsidR="00D65F54" w:rsidRPr="00D65F54" w:rsidRDefault="00D65F54" w:rsidP="00D65F54">
            <w:pPr>
              <w:pStyle w:val="Body"/>
              <w:rPr>
                <w:rFonts w:ascii="Arial" w:hAnsi="Arial" w:cs="Arial"/>
                <w:sz w:val="20"/>
              </w:rPr>
            </w:pPr>
            <w:r w:rsidRPr="00D65F54">
              <w:rPr>
                <w:rFonts w:ascii="Arial" w:hAnsi="Arial" w:cs="Arial"/>
                <w:sz w:val="20"/>
              </w:rPr>
              <w:t>2.88E-6</w:t>
            </w:r>
          </w:p>
        </w:tc>
        <w:tc>
          <w:tcPr>
            <w:tcW w:w="1260" w:type="dxa"/>
            <w:tcBorders>
              <w:top w:val="single" w:sz="4" w:space="0" w:color="auto"/>
              <w:left w:val="single" w:sz="4" w:space="0" w:color="auto"/>
              <w:bottom w:val="single" w:sz="4" w:space="0" w:color="auto"/>
              <w:right w:val="single" w:sz="4" w:space="0" w:color="auto"/>
            </w:tcBorders>
            <w:hideMark/>
          </w:tcPr>
          <w:p w14:paraId="63983B9B" w14:textId="77777777" w:rsidR="00D65F54" w:rsidRPr="00D65F54" w:rsidRDefault="00D65F54" w:rsidP="00D65F54">
            <w:pPr>
              <w:pStyle w:val="Body"/>
              <w:rPr>
                <w:rFonts w:ascii="Arial" w:hAnsi="Arial" w:cs="Arial"/>
                <w:sz w:val="20"/>
              </w:rPr>
            </w:pPr>
            <w:r w:rsidRPr="00D65F54">
              <w:rPr>
                <w:rFonts w:ascii="Arial" w:hAnsi="Arial" w:cs="Arial"/>
                <w:sz w:val="20"/>
              </w:rPr>
              <w:t>4.80E-6</w:t>
            </w:r>
          </w:p>
        </w:tc>
        <w:tc>
          <w:tcPr>
            <w:tcW w:w="1350" w:type="dxa"/>
            <w:tcBorders>
              <w:top w:val="single" w:sz="4" w:space="0" w:color="auto"/>
              <w:left w:val="single" w:sz="4" w:space="0" w:color="auto"/>
              <w:bottom w:val="single" w:sz="4" w:space="0" w:color="auto"/>
              <w:right w:val="single" w:sz="4" w:space="0" w:color="auto"/>
            </w:tcBorders>
            <w:hideMark/>
          </w:tcPr>
          <w:p w14:paraId="623394D4" w14:textId="77777777" w:rsidR="00D65F54" w:rsidRPr="00D65F54" w:rsidRDefault="00D65F54" w:rsidP="00D65F54">
            <w:pPr>
              <w:pStyle w:val="Body"/>
              <w:rPr>
                <w:rFonts w:ascii="Arial" w:hAnsi="Arial" w:cs="Arial"/>
                <w:sz w:val="20"/>
              </w:rPr>
            </w:pPr>
            <w:r w:rsidRPr="00D65F54">
              <w:rPr>
                <w:rFonts w:ascii="Arial" w:hAnsi="Arial" w:cs="Arial"/>
                <w:sz w:val="20"/>
              </w:rPr>
              <w:t>1.92E-6</w:t>
            </w:r>
          </w:p>
        </w:tc>
        <w:tc>
          <w:tcPr>
            <w:tcW w:w="1170" w:type="dxa"/>
            <w:tcBorders>
              <w:top w:val="single" w:sz="4" w:space="0" w:color="auto"/>
              <w:left w:val="single" w:sz="4" w:space="0" w:color="auto"/>
              <w:bottom w:val="single" w:sz="4" w:space="0" w:color="auto"/>
              <w:right w:val="single" w:sz="4" w:space="0" w:color="auto"/>
            </w:tcBorders>
            <w:hideMark/>
          </w:tcPr>
          <w:p w14:paraId="6FE17BF4" w14:textId="77777777" w:rsidR="00D65F54" w:rsidRPr="00D65F54" w:rsidRDefault="00D65F54" w:rsidP="00D65F54">
            <w:pPr>
              <w:pStyle w:val="Body"/>
              <w:rPr>
                <w:rFonts w:ascii="Arial" w:hAnsi="Arial" w:cs="Arial"/>
                <w:sz w:val="20"/>
              </w:rPr>
            </w:pPr>
            <w:r w:rsidRPr="00D65F54">
              <w:rPr>
                <w:rFonts w:ascii="Arial" w:hAnsi="Arial" w:cs="Arial"/>
                <w:sz w:val="20"/>
              </w:rPr>
              <w:t>7.20E-7</w:t>
            </w:r>
          </w:p>
        </w:tc>
        <w:tc>
          <w:tcPr>
            <w:tcW w:w="1260" w:type="dxa"/>
            <w:tcBorders>
              <w:top w:val="single" w:sz="4" w:space="0" w:color="auto"/>
              <w:left w:val="single" w:sz="4" w:space="0" w:color="auto"/>
              <w:bottom w:val="single" w:sz="4" w:space="0" w:color="auto"/>
              <w:right w:val="single" w:sz="4" w:space="0" w:color="auto"/>
            </w:tcBorders>
            <w:hideMark/>
          </w:tcPr>
          <w:p w14:paraId="385D31E8" w14:textId="77777777" w:rsidR="00D65F54" w:rsidRPr="00D65F54" w:rsidRDefault="00D65F54" w:rsidP="00D65F54">
            <w:pPr>
              <w:pStyle w:val="Body"/>
              <w:rPr>
                <w:rFonts w:ascii="Arial" w:hAnsi="Arial" w:cs="Arial"/>
                <w:sz w:val="20"/>
              </w:rPr>
            </w:pPr>
            <w:r w:rsidRPr="00D65F54">
              <w:rPr>
                <w:rFonts w:ascii="Arial" w:hAnsi="Arial" w:cs="Arial"/>
                <w:sz w:val="20"/>
              </w:rPr>
              <w:t>1.20E-6</w:t>
            </w:r>
          </w:p>
        </w:tc>
      </w:tr>
      <w:tr w:rsidR="00D65F54" w:rsidRPr="00D65F54" w14:paraId="6BCDD203" w14:textId="77777777" w:rsidTr="00EE562B">
        <w:tc>
          <w:tcPr>
            <w:tcW w:w="990" w:type="dxa"/>
            <w:tcBorders>
              <w:top w:val="single" w:sz="4" w:space="0" w:color="auto"/>
              <w:left w:val="single" w:sz="4" w:space="0" w:color="auto"/>
              <w:bottom w:val="single" w:sz="4" w:space="0" w:color="auto"/>
              <w:right w:val="single" w:sz="4" w:space="0" w:color="auto"/>
            </w:tcBorders>
            <w:hideMark/>
          </w:tcPr>
          <w:p w14:paraId="2A3015AD" w14:textId="77777777" w:rsidR="00D65F54" w:rsidRPr="00D65F54" w:rsidRDefault="00D65F54" w:rsidP="00D65F54">
            <w:pPr>
              <w:pStyle w:val="Body"/>
              <w:rPr>
                <w:rFonts w:ascii="Arial" w:hAnsi="Arial" w:cs="Arial"/>
                <w:b/>
                <w:sz w:val="20"/>
              </w:rPr>
            </w:pPr>
            <w:r w:rsidRPr="00D65F54">
              <w:rPr>
                <w:rFonts w:ascii="Arial" w:hAnsi="Arial" w:cs="Arial"/>
                <w:b/>
                <w:sz w:val="20"/>
              </w:rPr>
              <w:lastRenderedPageBreak/>
              <w:t>(∑</w:t>
            </w:r>
          </w:p>
          <w:p w14:paraId="11BC5F00" w14:textId="77777777" w:rsidR="00D65F54" w:rsidRPr="00D65F54" w:rsidRDefault="00D65F54" w:rsidP="00D65F54">
            <w:pPr>
              <w:pStyle w:val="Body"/>
              <w:rPr>
                <w:rFonts w:ascii="Arial" w:hAnsi="Arial" w:cs="Arial"/>
                <w:sz w:val="20"/>
              </w:rPr>
            </w:pPr>
            <w:r w:rsidRPr="00D65F54">
              <w:rPr>
                <w:rFonts w:ascii="Arial" w:hAnsi="Arial" w:cs="Arial"/>
                <w:b/>
                <w:sz w:val="20"/>
              </w:rPr>
              <w:t>ILCRs)</w:t>
            </w:r>
          </w:p>
        </w:tc>
        <w:tc>
          <w:tcPr>
            <w:tcW w:w="1075" w:type="dxa"/>
            <w:tcBorders>
              <w:top w:val="single" w:sz="4" w:space="0" w:color="auto"/>
              <w:left w:val="single" w:sz="4" w:space="0" w:color="auto"/>
              <w:bottom w:val="single" w:sz="4" w:space="0" w:color="auto"/>
              <w:right w:val="single" w:sz="4" w:space="0" w:color="auto"/>
            </w:tcBorders>
            <w:hideMark/>
          </w:tcPr>
          <w:p w14:paraId="02952B9D" w14:textId="77777777" w:rsidR="00D65F54" w:rsidRPr="00D65F54" w:rsidRDefault="00D65F54" w:rsidP="00D65F54">
            <w:pPr>
              <w:pStyle w:val="Body"/>
              <w:rPr>
                <w:rFonts w:ascii="Arial" w:hAnsi="Arial" w:cs="Arial"/>
                <w:sz w:val="20"/>
              </w:rPr>
            </w:pPr>
            <w:r w:rsidRPr="00D65F54">
              <w:rPr>
                <w:rFonts w:ascii="Arial" w:hAnsi="Arial" w:cs="Arial"/>
                <w:sz w:val="20"/>
              </w:rPr>
              <w:t>4.47E-3</w:t>
            </w:r>
          </w:p>
        </w:tc>
        <w:tc>
          <w:tcPr>
            <w:tcW w:w="1170" w:type="dxa"/>
            <w:tcBorders>
              <w:top w:val="single" w:sz="4" w:space="0" w:color="auto"/>
              <w:left w:val="single" w:sz="4" w:space="0" w:color="auto"/>
              <w:bottom w:val="single" w:sz="4" w:space="0" w:color="auto"/>
              <w:right w:val="single" w:sz="4" w:space="0" w:color="auto"/>
            </w:tcBorders>
            <w:hideMark/>
          </w:tcPr>
          <w:p w14:paraId="2FB6EABF" w14:textId="77777777" w:rsidR="00D65F54" w:rsidRPr="00D65F54" w:rsidRDefault="00D65F54" w:rsidP="00D65F54">
            <w:pPr>
              <w:pStyle w:val="Body"/>
              <w:rPr>
                <w:rFonts w:ascii="Arial" w:hAnsi="Arial" w:cs="Arial"/>
                <w:sz w:val="20"/>
              </w:rPr>
            </w:pPr>
            <w:r w:rsidRPr="00D65F54">
              <w:rPr>
                <w:rFonts w:ascii="Arial" w:hAnsi="Arial" w:cs="Arial"/>
                <w:sz w:val="20"/>
              </w:rPr>
              <w:t>7.07E-3</w:t>
            </w:r>
          </w:p>
        </w:tc>
        <w:tc>
          <w:tcPr>
            <w:tcW w:w="1260" w:type="dxa"/>
            <w:tcBorders>
              <w:top w:val="single" w:sz="4" w:space="0" w:color="auto"/>
              <w:left w:val="single" w:sz="4" w:space="0" w:color="auto"/>
              <w:bottom w:val="single" w:sz="4" w:space="0" w:color="auto"/>
              <w:right w:val="single" w:sz="4" w:space="0" w:color="auto"/>
            </w:tcBorders>
            <w:hideMark/>
          </w:tcPr>
          <w:p w14:paraId="17586A86" w14:textId="77777777" w:rsidR="00D65F54" w:rsidRPr="00D65F54" w:rsidRDefault="00D65F54" w:rsidP="00D65F54">
            <w:pPr>
              <w:pStyle w:val="Body"/>
              <w:rPr>
                <w:rFonts w:ascii="Arial" w:hAnsi="Arial" w:cs="Arial"/>
                <w:sz w:val="20"/>
              </w:rPr>
            </w:pPr>
            <w:r w:rsidRPr="00D65F54">
              <w:rPr>
                <w:rFonts w:ascii="Arial" w:hAnsi="Arial" w:cs="Arial"/>
                <w:sz w:val="20"/>
              </w:rPr>
              <w:t>1.16E-2</w:t>
            </w:r>
          </w:p>
        </w:tc>
        <w:tc>
          <w:tcPr>
            <w:tcW w:w="1350" w:type="dxa"/>
            <w:tcBorders>
              <w:top w:val="single" w:sz="4" w:space="0" w:color="auto"/>
              <w:left w:val="single" w:sz="4" w:space="0" w:color="auto"/>
              <w:bottom w:val="single" w:sz="4" w:space="0" w:color="auto"/>
              <w:right w:val="single" w:sz="4" w:space="0" w:color="auto"/>
            </w:tcBorders>
            <w:hideMark/>
          </w:tcPr>
          <w:p w14:paraId="35FB4596" w14:textId="77777777" w:rsidR="00D65F54" w:rsidRPr="00D65F54" w:rsidRDefault="00D65F54" w:rsidP="00D65F54">
            <w:pPr>
              <w:pStyle w:val="Body"/>
              <w:rPr>
                <w:rFonts w:ascii="Arial" w:hAnsi="Arial" w:cs="Arial"/>
                <w:sz w:val="20"/>
              </w:rPr>
            </w:pPr>
            <w:r w:rsidRPr="00D65F54">
              <w:rPr>
                <w:rFonts w:ascii="Arial" w:hAnsi="Arial" w:cs="Arial"/>
                <w:sz w:val="20"/>
              </w:rPr>
              <w:t>1.09E-3</w:t>
            </w:r>
          </w:p>
        </w:tc>
        <w:tc>
          <w:tcPr>
            <w:tcW w:w="1170" w:type="dxa"/>
            <w:tcBorders>
              <w:top w:val="single" w:sz="4" w:space="0" w:color="auto"/>
              <w:left w:val="single" w:sz="4" w:space="0" w:color="auto"/>
              <w:bottom w:val="single" w:sz="4" w:space="0" w:color="auto"/>
              <w:right w:val="single" w:sz="4" w:space="0" w:color="auto"/>
            </w:tcBorders>
            <w:hideMark/>
          </w:tcPr>
          <w:p w14:paraId="03A95A19" w14:textId="77777777" w:rsidR="00D65F54" w:rsidRPr="00D65F54" w:rsidRDefault="00D65F54" w:rsidP="00D65F54">
            <w:pPr>
              <w:pStyle w:val="Body"/>
              <w:rPr>
                <w:rFonts w:ascii="Arial" w:hAnsi="Arial" w:cs="Arial"/>
                <w:sz w:val="20"/>
              </w:rPr>
            </w:pPr>
            <w:r w:rsidRPr="00D65F54">
              <w:rPr>
                <w:rFonts w:ascii="Arial" w:hAnsi="Arial" w:cs="Arial"/>
                <w:sz w:val="20"/>
              </w:rPr>
              <w:t>1.76E-3</w:t>
            </w:r>
          </w:p>
        </w:tc>
        <w:tc>
          <w:tcPr>
            <w:tcW w:w="1260" w:type="dxa"/>
            <w:tcBorders>
              <w:top w:val="single" w:sz="4" w:space="0" w:color="auto"/>
              <w:left w:val="single" w:sz="4" w:space="0" w:color="auto"/>
              <w:bottom w:val="single" w:sz="4" w:space="0" w:color="auto"/>
              <w:right w:val="single" w:sz="4" w:space="0" w:color="auto"/>
            </w:tcBorders>
            <w:hideMark/>
          </w:tcPr>
          <w:p w14:paraId="12F212F4" w14:textId="77777777" w:rsidR="00D65F54" w:rsidRPr="00D65F54" w:rsidRDefault="00D65F54" w:rsidP="00D65F54">
            <w:pPr>
              <w:pStyle w:val="Body"/>
              <w:rPr>
                <w:rFonts w:ascii="Arial" w:hAnsi="Arial" w:cs="Arial"/>
                <w:sz w:val="20"/>
              </w:rPr>
            </w:pPr>
            <w:r w:rsidRPr="00D65F54">
              <w:rPr>
                <w:rFonts w:ascii="Arial" w:hAnsi="Arial" w:cs="Arial"/>
                <w:sz w:val="20"/>
              </w:rPr>
              <w:t>2.86E-3</w:t>
            </w:r>
          </w:p>
        </w:tc>
      </w:tr>
    </w:tbl>
    <w:p w14:paraId="51FE9FD8" w14:textId="77777777" w:rsidR="00D65F54" w:rsidRDefault="00D65F54" w:rsidP="00D65F54">
      <w:pPr>
        <w:pStyle w:val="Body"/>
        <w:rPr>
          <w:rFonts w:ascii="Arial" w:hAnsi="Arial" w:cs="Arial"/>
        </w:rPr>
      </w:pPr>
    </w:p>
    <w:p w14:paraId="30470AE5" w14:textId="77777777" w:rsidR="00D65F54" w:rsidRPr="00D65F54" w:rsidRDefault="00D65F54" w:rsidP="00D65F54">
      <w:pPr>
        <w:pStyle w:val="Body"/>
        <w:spacing w:after="0"/>
        <w:rPr>
          <w:rFonts w:ascii="Arial" w:hAnsi="Arial" w:cs="Arial"/>
          <w:b/>
        </w:rPr>
      </w:pPr>
      <w:r w:rsidRPr="00D65F54">
        <w:rPr>
          <w:rFonts w:ascii="Arial" w:hAnsi="Arial" w:cs="Arial"/>
        </w:rPr>
        <w:t>Table</w:t>
      </w:r>
      <w:r w:rsidRPr="00D65F54">
        <w:rPr>
          <w:rFonts w:ascii="Arial" w:hAnsi="Arial" w:cs="Arial"/>
          <w:b/>
        </w:rPr>
        <w:t xml:space="preserve"> 11. Carcinogenic risks (CRs) assessment of heavy metals through dermal exposure</w:t>
      </w:r>
    </w:p>
    <w:tbl>
      <w:tblPr>
        <w:tblStyle w:val="TableGrid"/>
        <w:tblW w:w="8275" w:type="dxa"/>
        <w:tblLook w:val="04A0" w:firstRow="1" w:lastRow="0" w:firstColumn="1" w:lastColumn="0" w:noHBand="0" w:noVBand="1"/>
      </w:tblPr>
      <w:tblGrid>
        <w:gridCol w:w="990"/>
        <w:gridCol w:w="1075"/>
        <w:gridCol w:w="990"/>
        <w:gridCol w:w="1170"/>
        <w:gridCol w:w="1260"/>
        <w:gridCol w:w="1170"/>
        <w:gridCol w:w="1620"/>
      </w:tblGrid>
      <w:tr w:rsidR="00D65F54" w:rsidRPr="00D65F54" w14:paraId="75733FF1" w14:textId="77777777" w:rsidTr="00C633BE">
        <w:tc>
          <w:tcPr>
            <w:tcW w:w="990" w:type="dxa"/>
            <w:tcBorders>
              <w:top w:val="single" w:sz="4" w:space="0" w:color="auto"/>
              <w:left w:val="single" w:sz="4" w:space="0" w:color="auto"/>
              <w:bottom w:val="single" w:sz="4" w:space="0" w:color="auto"/>
              <w:right w:val="single" w:sz="4" w:space="0" w:color="auto"/>
            </w:tcBorders>
          </w:tcPr>
          <w:p w14:paraId="3079BC79" w14:textId="77777777" w:rsidR="00D65F54" w:rsidRPr="00D65F54" w:rsidRDefault="00D65F54" w:rsidP="00D65F54">
            <w:pPr>
              <w:pStyle w:val="Body"/>
              <w:rPr>
                <w:rFonts w:ascii="Arial" w:hAnsi="Arial" w:cs="Arial"/>
                <w:b/>
                <w:sz w:val="20"/>
              </w:rPr>
            </w:pPr>
          </w:p>
        </w:tc>
        <w:tc>
          <w:tcPr>
            <w:tcW w:w="3235" w:type="dxa"/>
            <w:gridSpan w:val="3"/>
            <w:tcBorders>
              <w:top w:val="single" w:sz="4" w:space="0" w:color="auto"/>
              <w:left w:val="single" w:sz="4" w:space="0" w:color="auto"/>
              <w:bottom w:val="single" w:sz="4" w:space="0" w:color="auto"/>
              <w:right w:val="single" w:sz="4" w:space="0" w:color="auto"/>
            </w:tcBorders>
            <w:hideMark/>
          </w:tcPr>
          <w:p w14:paraId="49403A29" w14:textId="77777777" w:rsidR="00D65F54" w:rsidRPr="00D65F54" w:rsidRDefault="00D65F54" w:rsidP="00D65F54">
            <w:pPr>
              <w:pStyle w:val="Body"/>
              <w:rPr>
                <w:rFonts w:ascii="Arial" w:hAnsi="Arial" w:cs="Arial"/>
                <w:b/>
                <w:sz w:val="20"/>
              </w:rPr>
            </w:pPr>
            <w:r w:rsidRPr="00D65F54">
              <w:rPr>
                <w:rFonts w:ascii="Arial" w:hAnsi="Arial" w:cs="Arial"/>
                <w:b/>
                <w:sz w:val="20"/>
              </w:rPr>
              <w:t>Adult</w:t>
            </w:r>
          </w:p>
        </w:tc>
        <w:tc>
          <w:tcPr>
            <w:tcW w:w="4050" w:type="dxa"/>
            <w:gridSpan w:val="3"/>
            <w:tcBorders>
              <w:top w:val="single" w:sz="4" w:space="0" w:color="auto"/>
              <w:left w:val="single" w:sz="4" w:space="0" w:color="auto"/>
              <w:bottom w:val="single" w:sz="4" w:space="0" w:color="auto"/>
              <w:right w:val="single" w:sz="4" w:space="0" w:color="auto"/>
            </w:tcBorders>
            <w:hideMark/>
          </w:tcPr>
          <w:p w14:paraId="40040652" w14:textId="77777777" w:rsidR="00D65F54" w:rsidRPr="00D65F54" w:rsidRDefault="00D65F54" w:rsidP="00D65F54">
            <w:pPr>
              <w:pStyle w:val="Body"/>
              <w:rPr>
                <w:rFonts w:ascii="Arial" w:hAnsi="Arial" w:cs="Arial"/>
                <w:b/>
                <w:sz w:val="20"/>
              </w:rPr>
            </w:pPr>
            <w:r w:rsidRPr="00D65F54">
              <w:rPr>
                <w:rFonts w:ascii="Arial" w:hAnsi="Arial" w:cs="Arial"/>
                <w:b/>
                <w:sz w:val="20"/>
              </w:rPr>
              <w:t>Children</w:t>
            </w:r>
          </w:p>
        </w:tc>
      </w:tr>
      <w:tr w:rsidR="00D65F54" w:rsidRPr="00D65F54" w14:paraId="3DA7B1C5"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6168FDAE" w14:textId="77777777" w:rsidR="00D65F54" w:rsidRPr="00D65F54" w:rsidRDefault="00D65F54" w:rsidP="00D65F54">
            <w:pPr>
              <w:pStyle w:val="Body"/>
              <w:rPr>
                <w:rFonts w:ascii="Arial" w:hAnsi="Arial" w:cs="Arial"/>
                <w:b/>
                <w:sz w:val="20"/>
              </w:rPr>
            </w:pPr>
            <w:r w:rsidRPr="00D65F54">
              <w:rPr>
                <w:rFonts w:ascii="Arial" w:hAnsi="Arial" w:cs="Arial"/>
                <w:b/>
                <w:sz w:val="20"/>
              </w:rPr>
              <w:t>HMs</w:t>
            </w:r>
          </w:p>
        </w:tc>
        <w:tc>
          <w:tcPr>
            <w:tcW w:w="1075" w:type="dxa"/>
            <w:tcBorders>
              <w:top w:val="single" w:sz="4" w:space="0" w:color="auto"/>
              <w:left w:val="single" w:sz="4" w:space="0" w:color="auto"/>
              <w:bottom w:val="single" w:sz="4" w:space="0" w:color="auto"/>
              <w:right w:val="single" w:sz="4" w:space="0" w:color="auto"/>
            </w:tcBorders>
            <w:hideMark/>
          </w:tcPr>
          <w:p w14:paraId="13D8E33E" w14:textId="77777777" w:rsidR="00D65F54" w:rsidRPr="00D65F54" w:rsidRDefault="00D65F54" w:rsidP="00D65F54">
            <w:pPr>
              <w:pStyle w:val="Body"/>
              <w:rPr>
                <w:rFonts w:ascii="Arial" w:hAnsi="Arial" w:cs="Arial"/>
                <w:b/>
                <w:sz w:val="20"/>
              </w:rPr>
            </w:pPr>
            <w:r w:rsidRPr="00D65F54">
              <w:rPr>
                <w:rFonts w:ascii="Arial" w:hAnsi="Arial" w:cs="Arial"/>
                <w:b/>
                <w:sz w:val="20"/>
              </w:rPr>
              <w:t>ILCRs (MM)</w:t>
            </w:r>
          </w:p>
        </w:tc>
        <w:tc>
          <w:tcPr>
            <w:tcW w:w="990" w:type="dxa"/>
            <w:tcBorders>
              <w:top w:val="single" w:sz="4" w:space="0" w:color="auto"/>
              <w:left w:val="single" w:sz="4" w:space="0" w:color="auto"/>
              <w:bottom w:val="single" w:sz="4" w:space="0" w:color="auto"/>
              <w:right w:val="single" w:sz="4" w:space="0" w:color="auto"/>
            </w:tcBorders>
            <w:hideMark/>
          </w:tcPr>
          <w:p w14:paraId="02926BA3" w14:textId="77777777" w:rsidR="00D65F54" w:rsidRPr="00D65F54" w:rsidRDefault="00D65F54" w:rsidP="00C633BE">
            <w:pPr>
              <w:pStyle w:val="Body"/>
              <w:spacing w:after="0"/>
              <w:rPr>
                <w:rFonts w:ascii="Arial" w:hAnsi="Arial" w:cs="Arial"/>
                <w:b/>
                <w:sz w:val="20"/>
              </w:rPr>
            </w:pPr>
            <w:r w:rsidRPr="00D65F54">
              <w:rPr>
                <w:rFonts w:ascii="Arial" w:hAnsi="Arial" w:cs="Arial"/>
                <w:b/>
                <w:sz w:val="20"/>
              </w:rPr>
              <w:t xml:space="preserve">ILCRs </w:t>
            </w:r>
          </w:p>
          <w:p w14:paraId="463802D6" w14:textId="77777777" w:rsidR="00D65F54" w:rsidRPr="00D65F54" w:rsidRDefault="00D65F54" w:rsidP="00D65F54">
            <w:pPr>
              <w:pStyle w:val="Body"/>
              <w:rPr>
                <w:rFonts w:ascii="Arial" w:hAnsi="Arial" w:cs="Arial"/>
                <w:b/>
                <w:sz w:val="20"/>
              </w:rPr>
            </w:pPr>
            <w:r w:rsidRPr="00D65F54">
              <w:rPr>
                <w:rFonts w:ascii="Arial" w:hAnsi="Arial" w:cs="Arial"/>
                <w:b/>
                <w:sz w:val="20"/>
              </w:rPr>
              <w:t>(UJ)</w:t>
            </w:r>
          </w:p>
        </w:tc>
        <w:tc>
          <w:tcPr>
            <w:tcW w:w="1170" w:type="dxa"/>
            <w:tcBorders>
              <w:top w:val="single" w:sz="4" w:space="0" w:color="auto"/>
              <w:left w:val="single" w:sz="4" w:space="0" w:color="auto"/>
              <w:bottom w:val="single" w:sz="4" w:space="0" w:color="auto"/>
              <w:right w:val="single" w:sz="4" w:space="0" w:color="auto"/>
            </w:tcBorders>
            <w:hideMark/>
          </w:tcPr>
          <w:p w14:paraId="6DD1B58A" w14:textId="77777777" w:rsidR="00D65F54" w:rsidRPr="00D65F54" w:rsidRDefault="00D65F54" w:rsidP="00C633BE">
            <w:pPr>
              <w:pStyle w:val="Body"/>
              <w:spacing w:after="0"/>
              <w:rPr>
                <w:rFonts w:ascii="Arial" w:hAnsi="Arial" w:cs="Arial"/>
                <w:b/>
                <w:sz w:val="20"/>
              </w:rPr>
            </w:pPr>
            <w:r w:rsidRPr="00D65F54">
              <w:rPr>
                <w:rFonts w:ascii="Arial" w:hAnsi="Arial" w:cs="Arial"/>
                <w:b/>
                <w:sz w:val="20"/>
              </w:rPr>
              <w:t xml:space="preserve">ILCRs  </w:t>
            </w:r>
          </w:p>
          <w:p w14:paraId="212E7242" w14:textId="77777777" w:rsidR="00D65F54" w:rsidRPr="00D65F54" w:rsidRDefault="00D65F54" w:rsidP="00D65F54">
            <w:pPr>
              <w:pStyle w:val="Body"/>
              <w:rPr>
                <w:rFonts w:ascii="Arial" w:hAnsi="Arial" w:cs="Arial"/>
                <w:b/>
                <w:sz w:val="20"/>
              </w:rPr>
            </w:pPr>
            <w:r w:rsidRPr="00D65F54">
              <w:rPr>
                <w:rFonts w:ascii="Arial" w:hAnsi="Arial" w:cs="Arial"/>
                <w:b/>
                <w:sz w:val="20"/>
              </w:rPr>
              <w:t>(MJ)</w:t>
            </w:r>
          </w:p>
        </w:tc>
        <w:tc>
          <w:tcPr>
            <w:tcW w:w="1260" w:type="dxa"/>
            <w:tcBorders>
              <w:top w:val="single" w:sz="4" w:space="0" w:color="auto"/>
              <w:left w:val="single" w:sz="4" w:space="0" w:color="auto"/>
              <w:bottom w:val="single" w:sz="4" w:space="0" w:color="auto"/>
              <w:right w:val="single" w:sz="4" w:space="0" w:color="auto"/>
            </w:tcBorders>
            <w:hideMark/>
          </w:tcPr>
          <w:p w14:paraId="0DE22306" w14:textId="77777777" w:rsidR="00D65F54" w:rsidRPr="00D65F54" w:rsidRDefault="00D65F54" w:rsidP="00C633BE">
            <w:pPr>
              <w:pStyle w:val="Body"/>
              <w:spacing w:after="0"/>
              <w:rPr>
                <w:rFonts w:ascii="Arial" w:hAnsi="Arial" w:cs="Arial"/>
                <w:b/>
                <w:sz w:val="20"/>
                <w:vertAlign w:val="subscript"/>
              </w:rPr>
            </w:pPr>
            <w:r w:rsidRPr="00D65F54">
              <w:rPr>
                <w:rFonts w:ascii="Arial" w:hAnsi="Arial" w:cs="Arial"/>
                <w:b/>
                <w:sz w:val="20"/>
              </w:rPr>
              <w:t xml:space="preserve">ILCRs </w:t>
            </w:r>
          </w:p>
          <w:p w14:paraId="376656E0" w14:textId="77777777" w:rsidR="00D65F54" w:rsidRPr="00D65F54" w:rsidRDefault="00D65F54" w:rsidP="00D65F54">
            <w:pPr>
              <w:pStyle w:val="Body"/>
              <w:rPr>
                <w:rFonts w:ascii="Arial" w:hAnsi="Arial" w:cs="Arial"/>
                <w:b/>
                <w:sz w:val="20"/>
              </w:rPr>
            </w:pPr>
            <w:r w:rsidRPr="00D65F54">
              <w:rPr>
                <w:rFonts w:ascii="Arial" w:hAnsi="Arial" w:cs="Arial"/>
                <w:b/>
                <w:sz w:val="20"/>
              </w:rPr>
              <w:t>(MM)</w:t>
            </w:r>
          </w:p>
        </w:tc>
        <w:tc>
          <w:tcPr>
            <w:tcW w:w="1170" w:type="dxa"/>
            <w:tcBorders>
              <w:top w:val="single" w:sz="4" w:space="0" w:color="auto"/>
              <w:left w:val="single" w:sz="4" w:space="0" w:color="auto"/>
              <w:bottom w:val="single" w:sz="4" w:space="0" w:color="auto"/>
              <w:right w:val="single" w:sz="4" w:space="0" w:color="auto"/>
            </w:tcBorders>
            <w:hideMark/>
          </w:tcPr>
          <w:p w14:paraId="6C1FA3F7" w14:textId="77777777" w:rsidR="00C633BE" w:rsidRDefault="00D65F54" w:rsidP="00C633BE">
            <w:pPr>
              <w:pStyle w:val="Body"/>
              <w:spacing w:after="0"/>
              <w:rPr>
                <w:rFonts w:ascii="Arial" w:hAnsi="Arial" w:cs="Arial"/>
                <w:b/>
                <w:sz w:val="20"/>
              </w:rPr>
            </w:pPr>
            <w:r w:rsidRPr="00D65F54">
              <w:rPr>
                <w:rFonts w:ascii="Arial" w:hAnsi="Arial" w:cs="Arial"/>
                <w:b/>
                <w:sz w:val="20"/>
              </w:rPr>
              <w:t xml:space="preserve">ILCRs  </w:t>
            </w:r>
          </w:p>
          <w:p w14:paraId="14E23DB5" w14:textId="77777777" w:rsidR="00D65F54" w:rsidRPr="00D65F54" w:rsidRDefault="00D65F54" w:rsidP="00D65F54">
            <w:pPr>
              <w:pStyle w:val="Body"/>
              <w:rPr>
                <w:rFonts w:ascii="Arial" w:hAnsi="Arial" w:cs="Arial"/>
                <w:b/>
                <w:sz w:val="20"/>
              </w:rPr>
            </w:pPr>
            <w:r w:rsidRPr="00D65F54">
              <w:rPr>
                <w:rFonts w:ascii="Arial" w:hAnsi="Arial" w:cs="Arial"/>
                <w:b/>
                <w:sz w:val="20"/>
              </w:rPr>
              <w:t>(UJ)</w:t>
            </w:r>
          </w:p>
        </w:tc>
        <w:tc>
          <w:tcPr>
            <w:tcW w:w="1620" w:type="dxa"/>
            <w:tcBorders>
              <w:top w:val="single" w:sz="4" w:space="0" w:color="auto"/>
              <w:left w:val="single" w:sz="4" w:space="0" w:color="auto"/>
              <w:bottom w:val="single" w:sz="4" w:space="0" w:color="auto"/>
              <w:right w:val="single" w:sz="4" w:space="0" w:color="auto"/>
            </w:tcBorders>
            <w:hideMark/>
          </w:tcPr>
          <w:p w14:paraId="46660FB6" w14:textId="77777777" w:rsidR="00D65F54" w:rsidRPr="00D65F54" w:rsidRDefault="00D65F54" w:rsidP="00C633BE">
            <w:pPr>
              <w:pStyle w:val="Body"/>
              <w:spacing w:after="0"/>
              <w:rPr>
                <w:rFonts w:ascii="Arial" w:hAnsi="Arial" w:cs="Arial"/>
                <w:b/>
                <w:sz w:val="20"/>
                <w:vertAlign w:val="subscript"/>
              </w:rPr>
            </w:pPr>
            <w:r w:rsidRPr="00D65F54">
              <w:rPr>
                <w:rFonts w:ascii="Arial" w:hAnsi="Arial" w:cs="Arial"/>
                <w:b/>
                <w:sz w:val="20"/>
              </w:rPr>
              <w:t xml:space="preserve">ILCRs </w:t>
            </w:r>
          </w:p>
          <w:p w14:paraId="5475937B" w14:textId="77777777" w:rsidR="00D65F54" w:rsidRPr="00D65F54" w:rsidRDefault="00D65F54" w:rsidP="00D65F54">
            <w:pPr>
              <w:pStyle w:val="Body"/>
              <w:rPr>
                <w:rFonts w:ascii="Arial" w:hAnsi="Arial" w:cs="Arial"/>
                <w:b/>
                <w:sz w:val="20"/>
              </w:rPr>
            </w:pPr>
            <w:r w:rsidRPr="00D65F54">
              <w:rPr>
                <w:rFonts w:ascii="Arial" w:hAnsi="Arial" w:cs="Arial"/>
                <w:b/>
                <w:sz w:val="20"/>
              </w:rPr>
              <w:t xml:space="preserve"> (MJ)</w:t>
            </w:r>
          </w:p>
        </w:tc>
      </w:tr>
      <w:tr w:rsidR="00D65F54" w:rsidRPr="00D65F54" w14:paraId="4B1225A2"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655BB578" w14:textId="77777777" w:rsidR="00D65F54" w:rsidRPr="00D65F54" w:rsidRDefault="00D65F54" w:rsidP="00D65F54">
            <w:pPr>
              <w:pStyle w:val="Body"/>
              <w:rPr>
                <w:rFonts w:ascii="Arial" w:hAnsi="Arial" w:cs="Arial"/>
                <w:sz w:val="20"/>
              </w:rPr>
            </w:pPr>
            <w:r w:rsidRPr="00D65F54">
              <w:rPr>
                <w:rFonts w:ascii="Arial" w:hAnsi="Arial" w:cs="Arial"/>
                <w:sz w:val="20"/>
              </w:rPr>
              <w:t>Cr</w:t>
            </w:r>
          </w:p>
        </w:tc>
        <w:tc>
          <w:tcPr>
            <w:tcW w:w="1075" w:type="dxa"/>
            <w:tcBorders>
              <w:top w:val="single" w:sz="4" w:space="0" w:color="auto"/>
              <w:left w:val="single" w:sz="4" w:space="0" w:color="auto"/>
              <w:bottom w:val="single" w:sz="4" w:space="0" w:color="auto"/>
              <w:right w:val="single" w:sz="4" w:space="0" w:color="auto"/>
            </w:tcBorders>
            <w:hideMark/>
          </w:tcPr>
          <w:p w14:paraId="0A4DB3CF" w14:textId="77777777" w:rsidR="00D65F54" w:rsidRPr="00D65F54" w:rsidRDefault="00D65F54" w:rsidP="00D65F54">
            <w:pPr>
              <w:pStyle w:val="Body"/>
              <w:rPr>
                <w:rFonts w:ascii="Arial" w:hAnsi="Arial" w:cs="Arial"/>
                <w:sz w:val="20"/>
              </w:rPr>
            </w:pPr>
            <w:r w:rsidRPr="00D65F54">
              <w:rPr>
                <w:rFonts w:ascii="Arial" w:hAnsi="Arial" w:cs="Arial"/>
                <w:sz w:val="20"/>
              </w:rPr>
              <w:t>1.23E-4</w:t>
            </w:r>
          </w:p>
        </w:tc>
        <w:tc>
          <w:tcPr>
            <w:tcW w:w="990" w:type="dxa"/>
            <w:tcBorders>
              <w:top w:val="single" w:sz="4" w:space="0" w:color="auto"/>
              <w:left w:val="single" w:sz="4" w:space="0" w:color="auto"/>
              <w:bottom w:val="single" w:sz="4" w:space="0" w:color="auto"/>
              <w:right w:val="single" w:sz="4" w:space="0" w:color="auto"/>
            </w:tcBorders>
            <w:hideMark/>
          </w:tcPr>
          <w:p w14:paraId="61F7BF4C" w14:textId="77777777" w:rsidR="00D65F54" w:rsidRPr="00D65F54" w:rsidRDefault="00D65F54" w:rsidP="00D65F54">
            <w:pPr>
              <w:pStyle w:val="Body"/>
              <w:rPr>
                <w:rFonts w:ascii="Arial" w:hAnsi="Arial" w:cs="Arial"/>
                <w:sz w:val="20"/>
              </w:rPr>
            </w:pPr>
            <w:r w:rsidRPr="00D65F54">
              <w:rPr>
                <w:rFonts w:ascii="Arial" w:hAnsi="Arial" w:cs="Arial"/>
                <w:sz w:val="20"/>
              </w:rPr>
              <w:t>1.98E-4</w:t>
            </w:r>
          </w:p>
        </w:tc>
        <w:tc>
          <w:tcPr>
            <w:tcW w:w="1170" w:type="dxa"/>
            <w:tcBorders>
              <w:top w:val="single" w:sz="4" w:space="0" w:color="auto"/>
              <w:left w:val="single" w:sz="4" w:space="0" w:color="auto"/>
              <w:bottom w:val="single" w:sz="4" w:space="0" w:color="auto"/>
              <w:right w:val="single" w:sz="4" w:space="0" w:color="auto"/>
            </w:tcBorders>
            <w:hideMark/>
          </w:tcPr>
          <w:p w14:paraId="7872C22A" w14:textId="77777777" w:rsidR="00D65F54" w:rsidRPr="00D65F54" w:rsidRDefault="00D65F54" w:rsidP="00D65F54">
            <w:pPr>
              <w:pStyle w:val="Body"/>
              <w:rPr>
                <w:rFonts w:ascii="Arial" w:hAnsi="Arial" w:cs="Arial"/>
                <w:sz w:val="20"/>
              </w:rPr>
            </w:pPr>
            <w:r w:rsidRPr="00D65F54">
              <w:rPr>
                <w:rFonts w:ascii="Arial" w:hAnsi="Arial" w:cs="Arial"/>
                <w:sz w:val="20"/>
              </w:rPr>
              <w:t>3.25E-4</w:t>
            </w:r>
          </w:p>
        </w:tc>
        <w:tc>
          <w:tcPr>
            <w:tcW w:w="1260" w:type="dxa"/>
            <w:tcBorders>
              <w:top w:val="single" w:sz="4" w:space="0" w:color="auto"/>
              <w:left w:val="single" w:sz="4" w:space="0" w:color="auto"/>
              <w:bottom w:val="single" w:sz="4" w:space="0" w:color="auto"/>
              <w:right w:val="single" w:sz="4" w:space="0" w:color="auto"/>
            </w:tcBorders>
            <w:hideMark/>
          </w:tcPr>
          <w:p w14:paraId="658FB340" w14:textId="77777777" w:rsidR="00D65F54" w:rsidRPr="00D65F54" w:rsidRDefault="00D65F54" w:rsidP="00D65F54">
            <w:pPr>
              <w:pStyle w:val="Body"/>
              <w:rPr>
                <w:rFonts w:ascii="Arial" w:hAnsi="Arial" w:cs="Arial"/>
                <w:sz w:val="20"/>
              </w:rPr>
            </w:pPr>
            <w:r w:rsidRPr="00D65F54">
              <w:rPr>
                <w:rFonts w:ascii="Arial" w:hAnsi="Arial" w:cs="Arial"/>
                <w:sz w:val="20"/>
              </w:rPr>
              <w:t>2.02E-4</w:t>
            </w:r>
          </w:p>
        </w:tc>
        <w:tc>
          <w:tcPr>
            <w:tcW w:w="1170" w:type="dxa"/>
            <w:tcBorders>
              <w:top w:val="single" w:sz="4" w:space="0" w:color="auto"/>
              <w:left w:val="single" w:sz="4" w:space="0" w:color="auto"/>
              <w:bottom w:val="single" w:sz="4" w:space="0" w:color="auto"/>
              <w:right w:val="single" w:sz="4" w:space="0" w:color="auto"/>
            </w:tcBorders>
            <w:hideMark/>
          </w:tcPr>
          <w:p w14:paraId="54DC90F7" w14:textId="77777777" w:rsidR="00D65F54" w:rsidRPr="00D65F54" w:rsidRDefault="00D65F54" w:rsidP="00D65F54">
            <w:pPr>
              <w:pStyle w:val="Body"/>
              <w:rPr>
                <w:rFonts w:ascii="Arial" w:hAnsi="Arial" w:cs="Arial"/>
                <w:sz w:val="20"/>
              </w:rPr>
            </w:pPr>
            <w:r w:rsidRPr="00D65F54">
              <w:rPr>
                <w:rFonts w:ascii="Arial" w:hAnsi="Arial" w:cs="Arial"/>
                <w:sz w:val="20"/>
              </w:rPr>
              <w:t>3.24E-4</w:t>
            </w:r>
          </w:p>
        </w:tc>
        <w:tc>
          <w:tcPr>
            <w:tcW w:w="1620" w:type="dxa"/>
            <w:tcBorders>
              <w:top w:val="single" w:sz="4" w:space="0" w:color="auto"/>
              <w:left w:val="single" w:sz="4" w:space="0" w:color="auto"/>
              <w:bottom w:val="single" w:sz="4" w:space="0" w:color="auto"/>
              <w:right w:val="single" w:sz="4" w:space="0" w:color="auto"/>
            </w:tcBorders>
            <w:hideMark/>
          </w:tcPr>
          <w:p w14:paraId="2CB23118" w14:textId="77777777" w:rsidR="00D65F54" w:rsidRPr="00D65F54" w:rsidRDefault="00D65F54" w:rsidP="00D65F54">
            <w:pPr>
              <w:pStyle w:val="Body"/>
              <w:rPr>
                <w:rFonts w:ascii="Arial" w:hAnsi="Arial" w:cs="Arial"/>
                <w:sz w:val="20"/>
              </w:rPr>
            </w:pPr>
            <w:r w:rsidRPr="00D65F54">
              <w:rPr>
                <w:rFonts w:ascii="Arial" w:hAnsi="Arial" w:cs="Arial"/>
                <w:sz w:val="20"/>
              </w:rPr>
              <w:t>5.28E-4</w:t>
            </w:r>
          </w:p>
        </w:tc>
      </w:tr>
      <w:tr w:rsidR="00D65F54" w:rsidRPr="00D65F54" w14:paraId="701F31B2"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123A8F5F" w14:textId="77777777" w:rsidR="00D65F54" w:rsidRPr="00D65F54" w:rsidRDefault="00D65F54" w:rsidP="00D65F54">
            <w:pPr>
              <w:pStyle w:val="Body"/>
              <w:rPr>
                <w:rFonts w:ascii="Arial" w:hAnsi="Arial" w:cs="Arial"/>
                <w:sz w:val="20"/>
              </w:rPr>
            </w:pPr>
            <w:r w:rsidRPr="00D65F54">
              <w:rPr>
                <w:rFonts w:ascii="Arial" w:hAnsi="Arial" w:cs="Arial"/>
                <w:sz w:val="20"/>
              </w:rPr>
              <w:t>Cd</w:t>
            </w:r>
          </w:p>
        </w:tc>
        <w:tc>
          <w:tcPr>
            <w:tcW w:w="1075" w:type="dxa"/>
            <w:tcBorders>
              <w:top w:val="single" w:sz="4" w:space="0" w:color="auto"/>
              <w:left w:val="single" w:sz="4" w:space="0" w:color="auto"/>
              <w:bottom w:val="single" w:sz="4" w:space="0" w:color="auto"/>
              <w:right w:val="single" w:sz="4" w:space="0" w:color="auto"/>
            </w:tcBorders>
            <w:hideMark/>
          </w:tcPr>
          <w:p w14:paraId="6B9AE8FB" w14:textId="77777777" w:rsidR="00D65F54" w:rsidRPr="00D65F54" w:rsidRDefault="00D65F54" w:rsidP="00D65F54">
            <w:pPr>
              <w:pStyle w:val="Body"/>
              <w:rPr>
                <w:rFonts w:ascii="Arial" w:hAnsi="Arial" w:cs="Arial"/>
                <w:sz w:val="20"/>
              </w:rPr>
            </w:pPr>
            <w:r w:rsidRPr="00D65F54">
              <w:rPr>
                <w:rFonts w:ascii="Arial" w:hAnsi="Arial" w:cs="Arial"/>
                <w:sz w:val="20"/>
              </w:rPr>
              <w:t>3.70E-7</w:t>
            </w:r>
          </w:p>
        </w:tc>
        <w:tc>
          <w:tcPr>
            <w:tcW w:w="990" w:type="dxa"/>
            <w:tcBorders>
              <w:top w:val="single" w:sz="4" w:space="0" w:color="auto"/>
              <w:left w:val="single" w:sz="4" w:space="0" w:color="auto"/>
              <w:bottom w:val="single" w:sz="4" w:space="0" w:color="auto"/>
              <w:right w:val="single" w:sz="4" w:space="0" w:color="auto"/>
            </w:tcBorders>
            <w:hideMark/>
          </w:tcPr>
          <w:p w14:paraId="30E8CB3D" w14:textId="77777777" w:rsidR="00D65F54" w:rsidRPr="00D65F54" w:rsidRDefault="00D65F54" w:rsidP="00D65F54">
            <w:pPr>
              <w:pStyle w:val="Body"/>
              <w:rPr>
                <w:rFonts w:ascii="Arial" w:hAnsi="Arial" w:cs="Arial"/>
                <w:sz w:val="20"/>
              </w:rPr>
            </w:pPr>
            <w:r w:rsidRPr="00D65F54">
              <w:rPr>
                <w:rFonts w:ascii="Arial" w:hAnsi="Arial" w:cs="Arial"/>
                <w:sz w:val="20"/>
              </w:rPr>
              <w:t>5.11E-7</w:t>
            </w:r>
          </w:p>
        </w:tc>
        <w:tc>
          <w:tcPr>
            <w:tcW w:w="1170" w:type="dxa"/>
            <w:tcBorders>
              <w:top w:val="single" w:sz="4" w:space="0" w:color="auto"/>
              <w:left w:val="single" w:sz="4" w:space="0" w:color="auto"/>
              <w:bottom w:val="single" w:sz="4" w:space="0" w:color="auto"/>
              <w:right w:val="single" w:sz="4" w:space="0" w:color="auto"/>
            </w:tcBorders>
            <w:hideMark/>
          </w:tcPr>
          <w:p w14:paraId="6DC9A5EB" w14:textId="77777777" w:rsidR="00D65F54" w:rsidRPr="00D65F54" w:rsidRDefault="00D65F54" w:rsidP="00D65F54">
            <w:pPr>
              <w:pStyle w:val="Body"/>
              <w:rPr>
                <w:rFonts w:ascii="Arial" w:hAnsi="Arial" w:cs="Arial"/>
                <w:sz w:val="20"/>
              </w:rPr>
            </w:pPr>
            <w:r w:rsidRPr="00D65F54">
              <w:rPr>
                <w:rFonts w:ascii="Arial" w:hAnsi="Arial" w:cs="Arial"/>
                <w:sz w:val="20"/>
              </w:rPr>
              <w:t>9.69E-7</w:t>
            </w:r>
          </w:p>
        </w:tc>
        <w:tc>
          <w:tcPr>
            <w:tcW w:w="1260" w:type="dxa"/>
            <w:tcBorders>
              <w:top w:val="single" w:sz="4" w:space="0" w:color="auto"/>
              <w:left w:val="single" w:sz="4" w:space="0" w:color="auto"/>
              <w:bottom w:val="single" w:sz="4" w:space="0" w:color="auto"/>
              <w:right w:val="single" w:sz="4" w:space="0" w:color="auto"/>
            </w:tcBorders>
            <w:hideMark/>
          </w:tcPr>
          <w:p w14:paraId="6BEF2280" w14:textId="77777777" w:rsidR="00D65F54" w:rsidRPr="00D65F54" w:rsidRDefault="00D65F54" w:rsidP="00D65F54">
            <w:pPr>
              <w:pStyle w:val="Body"/>
              <w:rPr>
                <w:rFonts w:ascii="Arial" w:hAnsi="Arial" w:cs="Arial"/>
                <w:sz w:val="20"/>
              </w:rPr>
            </w:pPr>
            <w:r w:rsidRPr="00D65F54">
              <w:rPr>
                <w:rFonts w:ascii="Arial" w:hAnsi="Arial" w:cs="Arial"/>
                <w:sz w:val="20"/>
              </w:rPr>
              <w:t>6.06E-7</w:t>
            </w:r>
          </w:p>
        </w:tc>
        <w:tc>
          <w:tcPr>
            <w:tcW w:w="1170" w:type="dxa"/>
            <w:tcBorders>
              <w:top w:val="single" w:sz="4" w:space="0" w:color="auto"/>
              <w:left w:val="single" w:sz="4" w:space="0" w:color="auto"/>
              <w:bottom w:val="single" w:sz="4" w:space="0" w:color="auto"/>
              <w:right w:val="single" w:sz="4" w:space="0" w:color="auto"/>
            </w:tcBorders>
            <w:hideMark/>
          </w:tcPr>
          <w:p w14:paraId="500B8BB3" w14:textId="77777777" w:rsidR="00D65F54" w:rsidRPr="00D65F54" w:rsidRDefault="00D65F54" w:rsidP="00D65F54">
            <w:pPr>
              <w:pStyle w:val="Body"/>
              <w:rPr>
                <w:rFonts w:ascii="Arial" w:hAnsi="Arial" w:cs="Arial"/>
                <w:sz w:val="20"/>
              </w:rPr>
            </w:pPr>
            <w:r w:rsidRPr="00D65F54">
              <w:rPr>
                <w:rFonts w:ascii="Arial" w:hAnsi="Arial" w:cs="Arial"/>
                <w:sz w:val="20"/>
              </w:rPr>
              <w:t>8.35E-7</w:t>
            </w:r>
          </w:p>
        </w:tc>
        <w:tc>
          <w:tcPr>
            <w:tcW w:w="1620" w:type="dxa"/>
            <w:tcBorders>
              <w:top w:val="single" w:sz="4" w:space="0" w:color="auto"/>
              <w:left w:val="single" w:sz="4" w:space="0" w:color="auto"/>
              <w:bottom w:val="single" w:sz="4" w:space="0" w:color="auto"/>
              <w:right w:val="single" w:sz="4" w:space="0" w:color="auto"/>
            </w:tcBorders>
            <w:hideMark/>
          </w:tcPr>
          <w:p w14:paraId="65FB2DF6" w14:textId="77777777" w:rsidR="00D65F54" w:rsidRPr="00D65F54" w:rsidRDefault="00D65F54" w:rsidP="00D65F54">
            <w:pPr>
              <w:pStyle w:val="Body"/>
              <w:rPr>
                <w:rFonts w:ascii="Arial" w:hAnsi="Arial" w:cs="Arial"/>
                <w:sz w:val="20"/>
              </w:rPr>
            </w:pPr>
            <w:r w:rsidRPr="00D65F54">
              <w:rPr>
                <w:rFonts w:ascii="Arial" w:hAnsi="Arial" w:cs="Arial"/>
                <w:sz w:val="20"/>
              </w:rPr>
              <w:t>1.58E-6</w:t>
            </w:r>
          </w:p>
        </w:tc>
      </w:tr>
      <w:tr w:rsidR="00D65F54" w:rsidRPr="00D65F54" w14:paraId="08FEC7D2"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77C2791D" w14:textId="77777777" w:rsidR="00D65F54" w:rsidRPr="00D65F54" w:rsidRDefault="00D65F54" w:rsidP="00D65F54">
            <w:pPr>
              <w:pStyle w:val="Body"/>
              <w:rPr>
                <w:rFonts w:ascii="Arial" w:hAnsi="Arial" w:cs="Arial"/>
                <w:sz w:val="20"/>
              </w:rPr>
            </w:pPr>
            <w:r w:rsidRPr="00D65F54">
              <w:rPr>
                <w:rFonts w:ascii="Arial" w:hAnsi="Arial" w:cs="Arial"/>
                <w:sz w:val="20"/>
              </w:rPr>
              <w:t>Pb</w:t>
            </w:r>
          </w:p>
        </w:tc>
        <w:tc>
          <w:tcPr>
            <w:tcW w:w="1075" w:type="dxa"/>
            <w:tcBorders>
              <w:top w:val="single" w:sz="4" w:space="0" w:color="auto"/>
              <w:left w:val="single" w:sz="4" w:space="0" w:color="auto"/>
              <w:bottom w:val="single" w:sz="4" w:space="0" w:color="auto"/>
              <w:right w:val="single" w:sz="4" w:space="0" w:color="auto"/>
            </w:tcBorders>
            <w:hideMark/>
          </w:tcPr>
          <w:p w14:paraId="7AAD4CAF" w14:textId="77777777" w:rsidR="00D65F54" w:rsidRPr="00D65F54" w:rsidRDefault="00D65F54" w:rsidP="00D65F54">
            <w:pPr>
              <w:pStyle w:val="Body"/>
              <w:rPr>
                <w:rFonts w:ascii="Arial" w:hAnsi="Arial" w:cs="Arial"/>
                <w:sz w:val="20"/>
              </w:rPr>
            </w:pPr>
            <w:r w:rsidRPr="00D65F54">
              <w:rPr>
                <w:rFonts w:ascii="Arial" w:hAnsi="Arial" w:cs="Arial"/>
                <w:sz w:val="20"/>
              </w:rPr>
              <w:t>2.45E-9</w:t>
            </w:r>
          </w:p>
        </w:tc>
        <w:tc>
          <w:tcPr>
            <w:tcW w:w="990" w:type="dxa"/>
            <w:tcBorders>
              <w:top w:val="single" w:sz="4" w:space="0" w:color="auto"/>
              <w:left w:val="single" w:sz="4" w:space="0" w:color="auto"/>
              <w:bottom w:val="single" w:sz="4" w:space="0" w:color="auto"/>
              <w:right w:val="single" w:sz="4" w:space="0" w:color="auto"/>
            </w:tcBorders>
            <w:hideMark/>
          </w:tcPr>
          <w:p w14:paraId="6563DF37" w14:textId="77777777" w:rsidR="00D65F54" w:rsidRPr="00D65F54" w:rsidRDefault="00D65F54" w:rsidP="00D65F54">
            <w:pPr>
              <w:pStyle w:val="Body"/>
              <w:rPr>
                <w:rFonts w:ascii="Arial" w:hAnsi="Arial" w:cs="Arial"/>
                <w:sz w:val="20"/>
              </w:rPr>
            </w:pPr>
            <w:r w:rsidRPr="00D65F54">
              <w:rPr>
                <w:rFonts w:ascii="Arial" w:hAnsi="Arial" w:cs="Arial"/>
                <w:sz w:val="20"/>
              </w:rPr>
              <w:t>1.30E-8</w:t>
            </w:r>
          </w:p>
        </w:tc>
        <w:tc>
          <w:tcPr>
            <w:tcW w:w="1170" w:type="dxa"/>
            <w:tcBorders>
              <w:top w:val="single" w:sz="4" w:space="0" w:color="auto"/>
              <w:left w:val="single" w:sz="4" w:space="0" w:color="auto"/>
              <w:bottom w:val="single" w:sz="4" w:space="0" w:color="auto"/>
              <w:right w:val="single" w:sz="4" w:space="0" w:color="auto"/>
            </w:tcBorders>
            <w:hideMark/>
          </w:tcPr>
          <w:p w14:paraId="437734BF" w14:textId="77777777" w:rsidR="00D65F54" w:rsidRPr="00D65F54" w:rsidRDefault="00D65F54" w:rsidP="00D65F54">
            <w:pPr>
              <w:pStyle w:val="Body"/>
              <w:rPr>
                <w:rFonts w:ascii="Arial" w:hAnsi="Arial" w:cs="Arial"/>
                <w:sz w:val="20"/>
              </w:rPr>
            </w:pPr>
            <w:r w:rsidRPr="00D65F54">
              <w:rPr>
                <w:rFonts w:ascii="Arial" w:hAnsi="Arial" w:cs="Arial"/>
                <w:sz w:val="20"/>
              </w:rPr>
              <w:t>2.28E-8</w:t>
            </w:r>
          </w:p>
        </w:tc>
        <w:tc>
          <w:tcPr>
            <w:tcW w:w="1260" w:type="dxa"/>
            <w:tcBorders>
              <w:top w:val="single" w:sz="4" w:space="0" w:color="auto"/>
              <w:left w:val="single" w:sz="4" w:space="0" w:color="auto"/>
              <w:bottom w:val="single" w:sz="4" w:space="0" w:color="auto"/>
              <w:right w:val="single" w:sz="4" w:space="0" w:color="auto"/>
            </w:tcBorders>
            <w:hideMark/>
          </w:tcPr>
          <w:p w14:paraId="4F2F4F37" w14:textId="77777777" w:rsidR="00D65F54" w:rsidRPr="00D65F54" w:rsidRDefault="00D65F54" w:rsidP="00D65F54">
            <w:pPr>
              <w:pStyle w:val="Body"/>
              <w:rPr>
                <w:rFonts w:ascii="Arial" w:hAnsi="Arial" w:cs="Arial"/>
                <w:sz w:val="20"/>
              </w:rPr>
            </w:pPr>
            <w:r w:rsidRPr="00D65F54">
              <w:rPr>
                <w:rFonts w:ascii="Arial" w:hAnsi="Arial" w:cs="Arial"/>
                <w:sz w:val="20"/>
              </w:rPr>
              <w:t>3.85E-9</w:t>
            </w:r>
          </w:p>
        </w:tc>
        <w:tc>
          <w:tcPr>
            <w:tcW w:w="1170" w:type="dxa"/>
            <w:tcBorders>
              <w:top w:val="single" w:sz="4" w:space="0" w:color="auto"/>
              <w:left w:val="single" w:sz="4" w:space="0" w:color="auto"/>
              <w:bottom w:val="single" w:sz="4" w:space="0" w:color="auto"/>
              <w:right w:val="single" w:sz="4" w:space="0" w:color="auto"/>
            </w:tcBorders>
            <w:hideMark/>
          </w:tcPr>
          <w:p w14:paraId="64FEC3ED" w14:textId="77777777" w:rsidR="00D65F54" w:rsidRPr="00D65F54" w:rsidRDefault="00D65F54" w:rsidP="00D65F54">
            <w:pPr>
              <w:pStyle w:val="Body"/>
              <w:rPr>
                <w:rFonts w:ascii="Arial" w:hAnsi="Arial" w:cs="Arial"/>
                <w:sz w:val="20"/>
              </w:rPr>
            </w:pPr>
            <w:r w:rsidRPr="00D65F54">
              <w:rPr>
                <w:rFonts w:ascii="Arial" w:hAnsi="Arial" w:cs="Arial"/>
                <w:sz w:val="20"/>
              </w:rPr>
              <w:t>2.14E-8</w:t>
            </w:r>
          </w:p>
        </w:tc>
        <w:tc>
          <w:tcPr>
            <w:tcW w:w="1620" w:type="dxa"/>
            <w:tcBorders>
              <w:top w:val="single" w:sz="4" w:space="0" w:color="auto"/>
              <w:left w:val="single" w:sz="4" w:space="0" w:color="auto"/>
              <w:bottom w:val="single" w:sz="4" w:space="0" w:color="auto"/>
              <w:right w:val="single" w:sz="4" w:space="0" w:color="auto"/>
            </w:tcBorders>
            <w:hideMark/>
          </w:tcPr>
          <w:p w14:paraId="1CAF37DD" w14:textId="77777777" w:rsidR="00D65F54" w:rsidRPr="00D65F54" w:rsidRDefault="00D65F54" w:rsidP="00D65F54">
            <w:pPr>
              <w:pStyle w:val="Body"/>
              <w:rPr>
                <w:rFonts w:ascii="Arial" w:hAnsi="Arial" w:cs="Arial"/>
                <w:sz w:val="20"/>
              </w:rPr>
            </w:pPr>
            <w:r w:rsidRPr="00D65F54">
              <w:rPr>
                <w:rFonts w:ascii="Arial" w:hAnsi="Arial" w:cs="Arial"/>
                <w:sz w:val="20"/>
              </w:rPr>
              <w:t>3.74E-8</w:t>
            </w:r>
          </w:p>
        </w:tc>
      </w:tr>
      <w:tr w:rsidR="00D65F54" w:rsidRPr="00D65F54" w14:paraId="17E5D468"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31446F0C" w14:textId="77777777" w:rsidR="00D65F54" w:rsidRPr="00D65F54" w:rsidRDefault="00D65F54" w:rsidP="00D65F54">
            <w:pPr>
              <w:pStyle w:val="Body"/>
              <w:rPr>
                <w:rFonts w:ascii="Arial" w:hAnsi="Arial" w:cs="Arial"/>
                <w:sz w:val="20"/>
              </w:rPr>
            </w:pPr>
            <w:r w:rsidRPr="00D65F54">
              <w:rPr>
                <w:rFonts w:ascii="Arial" w:hAnsi="Arial" w:cs="Arial"/>
                <w:sz w:val="20"/>
              </w:rPr>
              <w:t>Ni</w:t>
            </w:r>
          </w:p>
        </w:tc>
        <w:tc>
          <w:tcPr>
            <w:tcW w:w="1075" w:type="dxa"/>
            <w:tcBorders>
              <w:top w:val="single" w:sz="4" w:space="0" w:color="auto"/>
              <w:left w:val="single" w:sz="4" w:space="0" w:color="auto"/>
              <w:bottom w:val="single" w:sz="4" w:space="0" w:color="auto"/>
              <w:right w:val="single" w:sz="4" w:space="0" w:color="auto"/>
            </w:tcBorders>
            <w:hideMark/>
          </w:tcPr>
          <w:p w14:paraId="2964FC32" w14:textId="77777777" w:rsidR="00D65F54" w:rsidRPr="00D65F54" w:rsidRDefault="00D65F54" w:rsidP="00D65F54">
            <w:pPr>
              <w:pStyle w:val="Body"/>
              <w:rPr>
                <w:rFonts w:ascii="Arial" w:hAnsi="Arial" w:cs="Arial"/>
                <w:sz w:val="20"/>
              </w:rPr>
            </w:pPr>
            <w:r w:rsidRPr="00D65F54">
              <w:rPr>
                <w:rFonts w:ascii="Arial" w:hAnsi="Arial" w:cs="Arial"/>
                <w:sz w:val="20"/>
              </w:rPr>
              <w:t>1.62E-6</w:t>
            </w:r>
          </w:p>
        </w:tc>
        <w:tc>
          <w:tcPr>
            <w:tcW w:w="990" w:type="dxa"/>
            <w:tcBorders>
              <w:top w:val="single" w:sz="4" w:space="0" w:color="auto"/>
              <w:left w:val="single" w:sz="4" w:space="0" w:color="auto"/>
              <w:bottom w:val="single" w:sz="4" w:space="0" w:color="auto"/>
              <w:right w:val="single" w:sz="4" w:space="0" w:color="auto"/>
            </w:tcBorders>
            <w:hideMark/>
          </w:tcPr>
          <w:p w14:paraId="222BE607" w14:textId="77777777" w:rsidR="00D65F54" w:rsidRPr="00D65F54" w:rsidRDefault="00D65F54" w:rsidP="00D65F54">
            <w:pPr>
              <w:pStyle w:val="Body"/>
              <w:rPr>
                <w:rFonts w:ascii="Arial" w:hAnsi="Arial" w:cs="Arial"/>
                <w:sz w:val="20"/>
              </w:rPr>
            </w:pPr>
            <w:r w:rsidRPr="00D65F54">
              <w:rPr>
                <w:rFonts w:ascii="Arial" w:hAnsi="Arial" w:cs="Arial"/>
                <w:sz w:val="20"/>
              </w:rPr>
              <w:t>5.90E-7</w:t>
            </w:r>
          </w:p>
        </w:tc>
        <w:tc>
          <w:tcPr>
            <w:tcW w:w="1170" w:type="dxa"/>
            <w:tcBorders>
              <w:top w:val="single" w:sz="4" w:space="0" w:color="auto"/>
              <w:left w:val="single" w:sz="4" w:space="0" w:color="auto"/>
              <w:bottom w:val="single" w:sz="4" w:space="0" w:color="auto"/>
              <w:right w:val="single" w:sz="4" w:space="0" w:color="auto"/>
            </w:tcBorders>
            <w:hideMark/>
          </w:tcPr>
          <w:p w14:paraId="0924688C" w14:textId="77777777" w:rsidR="00D65F54" w:rsidRPr="00D65F54" w:rsidRDefault="00D65F54" w:rsidP="00D65F54">
            <w:pPr>
              <w:pStyle w:val="Body"/>
              <w:rPr>
                <w:rFonts w:ascii="Arial" w:hAnsi="Arial" w:cs="Arial"/>
                <w:sz w:val="20"/>
              </w:rPr>
            </w:pPr>
            <w:r w:rsidRPr="00D65F54">
              <w:rPr>
                <w:rFonts w:ascii="Arial" w:hAnsi="Arial" w:cs="Arial"/>
                <w:sz w:val="20"/>
              </w:rPr>
              <w:t>9.91E-7</w:t>
            </w:r>
          </w:p>
        </w:tc>
        <w:tc>
          <w:tcPr>
            <w:tcW w:w="1260" w:type="dxa"/>
            <w:tcBorders>
              <w:top w:val="single" w:sz="4" w:space="0" w:color="auto"/>
              <w:left w:val="single" w:sz="4" w:space="0" w:color="auto"/>
              <w:bottom w:val="single" w:sz="4" w:space="0" w:color="auto"/>
              <w:right w:val="single" w:sz="4" w:space="0" w:color="auto"/>
            </w:tcBorders>
            <w:hideMark/>
          </w:tcPr>
          <w:p w14:paraId="54CB79B5" w14:textId="77777777" w:rsidR="00D65F54" w:rsidRPr="00D65F54" w:rsidRDefault="00D65F54" w:rsidP="00D65F54">
            <w:pPr>
              <w:pStyle w:val="Body"/>
              <w:rPr>
                <w:rFonts w:ascii="Arial" w:hAnsi="Arial" w:cs="Arial"/>
                <w:sz w:val="20"/>
              </w:rPr>
            </w:pPr>
            <w:r w:rsidRPr="00D65F54">
              <w:rPr>
                <w:rFonts w:ascii="Arial" w:hAnsi="Arial" w:cs="Arial"/>
                <w:sz w:val="20"/>
              </w:rPr>
              <w:t>2.67E-6</w:t>
            </w:r>
          </w:p>
        </w:tc>
        <w:tc>
          <w:tcPr>
            <w:tcW w:w="1170" w:type="dxa"/>
            <w:tcBorders>
              <w:top w:val="single" w:sz="4" w:space="0" w:color="auto"/>
              <w:left w:val="single" w:sz="4" w:space="0" w:color="auto"/>
              <w:bottom w:val="single" w:sz="4" w:space="0" w:color="auto"/>
              <w:right w:val="single" w:sz="4" w:space="0" w:color="auto"/>
            </w:tcBorders>
            <w:hideMark/>
          </w:tcPr>
          <w:p w14:paraId="1D08ED19" w14:textId="77777777" w:rsidR="00D65F54" w:rsidRPr="00D65F54" w:rsidRDefault="00D65F54" w:rsidP="00D65F54">
            <w:pPr>
              <w:pStyle w:val="Body"/>
              <w:rPr>
                <w:rFonts w:ascii="Arial" w:hAnsi="Arial" w:cs="Arial"/>
                <w:sz w:val="20"/>
              </w:rPr>
            </w:pPr>
            <w:r w:rsidRPr="00D65F54">
              <w:rPr>
                <w:rFonts w:ascii="Arial" w:hAnsi="Arial" w:cs="Arial"/>
                <w:sz w:val="20"/>
              </w:rPr>
              <w:t>9.66E-7</w:t>
            </w:r>
          </w:p>
        </w:tc>
        <w:tc>
          <w:tcPr>
            <w:tcW w:w="1620" w:type="dxa"/>
            <w:tcBorders>
              <w:top w:val="single" w:sz="4" w:space="0" w:color="auto"/>
              <w:left w:val="single" w:sz="4" w:space="0" w:color="auto"/>
              <w:bottom w:val="single" w:sz="4" w:space="0" w:color="auto"/>
              <w:right w:val="single" w:sz="4" w:space="0" w:color="auto"/>
            </w:tcBorders>
            <w:hideMark/>
          </w:tcPr>
          <w:p w14:paraId="7A7C9179" w14:textId="77777777" w:rsidR="00D65F54" w:rsidRPr="00D65F54" w:rsidRDefault="00D65F54" w:rsidP="00D65F54">
            <w:pPr>
              <w:pStyle w:val="Body"/>
              <w:rPr>
                <w:rFonts w:ascii="Arial" w:hAnsi="Arial" w:cs="Arial"/>
                <w:sz w:val="20"/>
              </w:rPr>
            </w:pPr>
            <w:r w:rsidRPr="00D65F54">
              <w:rPr>
                <w:rFonts w:ascii="Arial" w:hAnsi="Arial" w:cs="Arial"/>
                <w:sz w:val="20"/>
              </w:rPr>
              <w:t>1.62E-6</w:t>
            </w:r>
          </w:p>
        </w:tc>
      </w:tr>
      <w:tr w:rsidR="00D65F54" w:rsidRPr="00D65F54" w14:paraId="195182A5" w14:textId="77777777" w:rsidTr="00C633BE">
        <w:tc>
          <w:tcPr>
            <w:tcW w:w="990" w:type="dxa"/>
            <w:tcBorders>
              <w:top w:val="single" w:sz="4" w:space="0" w:color="auto"/>
              <w:left w:val="single" w:sz="4" w:space="0" w:color="auto"/>
              <w:bottom w:val="single" w:sz="4" w:space="0" w:color="auto"/>
              <w:right w:val="single" w:sz="4" w:space="0" w:color="auto"/>
            </w:tcBorders>
            <w:hideMark/>
          </w:tcPr>
          <w:p w14:paraId="67126096" w14:textId="77777777" w:rsidR="00D65F54" w:rsidRPr="00D65F54" w:rsidRDefault="00D65F54" w:rsidP="00D65F54">
            <w:pPr>
              <w:pStyle w:val="Body"/>
              <w:rPr>
                <w:rFonts w:ascii="Arial" w:hAnsi="Arial" w:cs="Arial"/>
                <w:b/>
                <w:sz w:val="20"/>
              </w:rPr>
            </w:pPr>
            <w:r w:rsidRPr="00D65F54">
              <w:rPr>
                <w:rFonts w:ascii="Arial" w:hAnsi="Arial" w:cs="Arial"/>
                <w:b/>
                <w:sz w:val="20"/>
              </w:rPr>
              <w:t>(∑</w:t>
            </w:r>
          </w:p>
          <w:p w14:paraId="47104D48" w14:textId="77777777" w:rsidR="00D65F54" w:rsidRPr="00D65F54" w:rsidRDefault="00D65F54" w:rsidP="00D65F54">
            <w:pPr>
              <w:pStyle w:val="Body"/>
              <w:rPr>
                <w:rFonts w:ascii="Arial" w:hAnsi="Arial" w:cs="Arial"/>
                <w:sz w:val="20"/>
              </w:rPr>
            </w:pPr>
            <w:r w:rsidRPr="00D65F54">
              <w:rPr>
                <w:rFonts w:ascii="Arial" w:hAnsi="Arial" w:cs="Arial"/>
                <w:b/>
                <w:sz w:val="20"/>
              </w:rPr>
              <w:t>ILCRs)</w:t>
            </w:r>
          </w:p>
        </w:tc>
        <w:tc>
          <w:tcPr>
            <w:tcW w:w="1075" w:type="dxa"/>
            <w:tcBorders>
              <w:top w:val="single" w:sz="4" w:space="0" w:color="auto"/>
              <w:left w:val="single" w:sz="4" w:space="0" w:color="auto"/>
              <w:bottom w:val="single" w:sz="4" w:space="0" w:color="auto"/>
              <w:right w:val="single" w:sz="4" w:space="0" w:color="auto"/>
            </w:tcBorders>
            <w:hideMark/>
          </w:tcPr>
          <w:p w14:paraId="5771A77C" w14:textId="77777777" w:rsidR="00D65F54" w:rsidRPr="00D65F54" w:rsidRDefault="00D65F54" w:rsidP="00D65F54">
            <w:pPr>
              <w:pStyle w:val="Body"/>
              <w:rPr>
                <w:rFonts w:ascii="Arial" w:hAnsi="Arial" w:cs="Arial"/>
                <w:sz w:val="20"/>
              </w:rPr>
            </w:pPr>
            <w:r w:rsidRPr="00D65F54">
              <w:rPr>
                <w:rFonts w:ascii="Arial" w:hAnsi="Arial" w:cs="Arial"/>
                <w:sz w:val="20"/>
              </w:rPr>
              <w:t>1.24E-4</w:t>
            </w:r>
          </w:p>
        </w:tc>
        <w:tc>
          <w:tcPr>
            <w:tcW w:w="990" w:type="dxa"/>
            <w:tcBorders>
              <w:top w:val="single" w:sz="4" w:space="0" w:color="auto"/>
              <w:left w:val="single" w:sz="4" w:space="0" w:color="auto"/>
              <w:bottom w:val="single" w:sz="4" w:space="0" w:color="auto"/>
              <w:right w:val="single" w:sz="4" w:space="0" w:color="auto"/>
            </w:tcBorders>
            <w:hideMark/>
          </w:tcPr>
          <w:p w14:paraId="3E332234" w14:textId="77777777" w:rsidR="00D65F54" w:rsidRPr="00D65F54" w:rsidRDefault="00D65F54" w:rsidP="00D65F54">
            <w:pPr>
              <w:pStyle w:val="Body"/>
              <w:rPr>
                <w:rFonts w:ascii="Arial" w:hAnsi="Arial" w:cs="Arial"/>
                <w:sz w:val="20"/>
              </w:rPr>
            </w:pPr>
            <w:r w:rsidRPr="00D65F54">
              <w:rPr>
                <w:rFonts w:ascii="Arial" w:hAnsi="Arial" w:cs="Arial"/>
                <w:sz w:val="20"/>
              </w:rPr>
              <w:t>1.99E-4</w:t>
            </w:r>
          </w:p>
        </w:tc>
        <w:tc>
          <w:tcPr>
            <w:tcW w:w="1170" w:type="dxa"/>
            <w:tcBorders>
              <w:top w:val="single" w:sz="4" w:space="0" w:color="auto"/>
              <w:left w:val="single" w:sz="4" w:space="0" w:color="auto"/>
              <w:bottom w:val="single" w:sz="4" w:space="0" w:color="auto"/>
              <w:right w:val="single" w:sz="4" w:space="0" w:color="auto"/>
            </w:tcBorders>
            <w:hideMark/>
          </w:tcPr>
          <w:p w14:paraId="4AB3FCC8" w14:textId="77777777" w:rsidR="00D65F54" w:rsidRPr="00D65F54" w:rsidRDefault="00D65F54" w:rsidP="00D65F54">
            <w:pPr>
              <w:pStyle w:val="Body"/>
              <w:rPr>
                <w:rFonts w:ascii="Arial" w:hAnsi="Arial" w:cs="Arial"/>
                <w:sz w:val="20"/>
              </w:rPr>
            </w:pPr>
            <w:r w:rsidRPr="00D65F54">
              <w:rPr>
                <w:rFonts w:ascii="Arial" w:hAnsi="Arial" w:cs="Arial"/>
                <w:sz w:val="20"/>
              </w:rPr>
              <w:t>3.26E-4</w:t>
            </w:r>
          </w:p>
        </w:tc>
        <w:tc>
          <w:tcPr>
            <w:tcW w:w="1260" w:type="dxa"/>
            <w:tcBorders>
              <w:top w:val="single" w:sz="4" w:space="0" w:color="auto"/>
              <w:left w:val="single" w:sz="4" w:space="0" w:color="auto"/>
              <w:bottom w:val="single" w:sz="4" w:space="0" w:color="auto"/>
              <w:right w:val="single" w:sz="4" w:space="0" w:color="auto"/>
            </w:tcBorders>
            <w:hideMark/>
          </w:tcPr>
          <w:p w14:paraId="75F560F7" w14:textId="77777777" w:rsidR="00D65F54" w:rsidRPr="00D65F54" w:rsidRDefault="00D65F54" w:rsidP="00D65F54">
            <w:pPr>
              <w:pStyle w:val="Body"/>
              <w:rPr>
                <w:rFonts w:ascii="Arial" w:hAnsi="Arial" w:cs="Arial"/>
                <w:sz w:val="20"/>
              </w:rPr>
            </w:pPr>
            <w:r w:rsidRPr="00D65F54">
              <w:rPr>
                <w:rFonts w:ascii="Arial" w:hAnsi="Arial" w:cs="Arial"/>
                <w:sz w:val="20"/>
              </w:rPr>
              <w:t>2.05E-4</w:t>
            </w:r>
          </w:p>
        </w:tc>
        <w:tc>
          <w:tcPr>
            <w:tcW w:w="1170" w:type="dxa"/>
            <w:tcBorders>
              <w:top w:val="single" w:sz="4" w:space="0" w:color="auto"/>
              <w:left w:val="single" w:sz="4" w:space="0" w:color="auto"/>
              <w:bottom w:val="single" w:sz="4" w:space="0" w:color="auto"/>
              <w:right w:val="single" w:sz="4" w:space="0" w:color="auto"/>
            </w:tcBorders>
            <w:hideMark/>
          </w:tcPr>
          <w:p w14:paraId="6195DB8A" w14:textId="77777777" w:rsidR="00D65F54" w:rsidRPr="00D65F54" w:rsidRDefault="00D65F54" w:rsidP="00D65F54">
            <w:pPr>
              <w:pStyle w:val="Body"/>
              <w:rPr>
                <w:rFonts w:ascii="Arial" w:hAnsi="Arial" w:cs="Arial"/>
                <w:sz w:val="20"/>
              </w:rPr>
            </w:pPr>
            <w:r w:rsidRPr="00D65F54">
              <w:rPr>
                <w:rFonts w:ascii="Arial" w:hAnsi="Arial" w:cs="Arial"/>
                <w:sz w:val="20"/>
              </w:rPr>
              <w:t>3.25E-4</w:t>
            </w:r>
          </w:p>
        </w:tc>
        <w:tc>
          <w:tcPr>
            <w:tcW w:w="1620" w:type="dxa"/>
            <w:tcBorders>
              <w:top w:val="single" w:sz="4" w:space="0" w:color="auto"/>
              <w:left w:val="single" w:sz="4" w:space="0" w:color="auto"/>
              <w:bottom w:val="single" w:sz="4" w:space="0" w:color="auto"/>
              <w:right w:val="single" w:sz="4" w:space="0" w:color="auto"/>
            </w:tcBorders>
            <w:hideMark/>
          </w:tcPr>
          <w:p w14:paraId="4D14280E" w14:textId="77777777" w:rsidR="00D65F54" w:rsidRPr="00D65F54" w:rsidRDefault="00D65F54" w:rsidP="00D65F54">
            <w:pPr>
              <w:pStyle w:val="Body"/>
              <w:rPr>
                <w:rFonts w:ascii="Arial" w:hAnsi="Arial" w:cs="Arial"/>
                <w:sz w:val="20"/>
              </w:rPr>
            </w:pPr>
            <w:r w:rsidRPr="00D65F54">
              <w:rPr>
                <w:rFonts w:ascii="Arial" w:hAnsi="Arial" w:cs="Arial"/>
                <w:sz w:val="20"/>
              </w:rPr>
              <w:t>5.31E-4</w:t>
            </w:r>
          </w:p>
        </w:tc>
      </w:tr>
    </w:tbl>
    <w:p w14:paraId="670DBA72" w14:textId="77777777" w:rsidR="00D65F54" w:rsidRDefault="00D65F54" w:rsidP="00441B6F">
      <w:pPr>
        <w:pStyle w:val="Body"/>
        <w:spacing w:after="0"/>
        <w:rPr>
          <w:rFonts w:ascii="Arial" w:hAnsi="Arial" w:cs="Arial"/>
        </w:rPr>
      </w:pPr>
    </w:p>
    <w:p w14:paraId="14B6A4B2" w14:textId="77777777" w:rsidR="00790ADA" w:rsidRPr="00FB3A86" w:rsidRDefault="00790ADA" w:rsidP="00441B6F">
      <w:pPr>
        <w:pStyle w:val="Body"/>
        <w:spacing w:after="0"/>
        <w:rPr>
          <w:rFonts w:ascii="Arial" w:hAnsi="Arial" w:cs="Arial"/>
        </w:rPr>
      </w:pPr>
    </w:p>
    <w:p w14:paraId="3DD90F1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B25AC31" w14:textId="77777777" w:rsidR="00790ADA" w:rsidRPr="00FB3A86" w:rsidRDefault="00790ADA" w:rsidP="00441B6F">
      <w:pPr>
        <w:pStyle w:val="ConcHead"/>
        <w:spacing w:after="0"/>
        <w:jc w:val="both"/>
        <w:rPr>
          <w:rFonts w:ascii="Arial" w:hAnsi="Arial" w:cs="Arial"/>
        </w:rPr>
      </w:pPr>
    </w:p>
    <w:p w14:paraId="7F4BB9C6" w14:textId="77777777" w:rsidR="002913C5" w:rsidRPr="002913C5" w:rsidRDefault="002913C5" w:rsidP="002913C5">
      <w:pPr>
        <w:pStyle w:val="Body"/>
        <w:rPr>
          <w:rFonts w:ascii="Arial" w:hAnsi="Arial" w:cs="Arial"/>
        </w:rPr>
      </w:pPr>
      <w:r w:rsidRPr="002913C5">
        <w:rPr>
          <w:rFonts w:ascii="Arial" w:hAnsi="Arial" w:cs="Arial"/>
        </w:rPr>
        <w:t>The average stages of Cd, Pb, Cu, Ni, Mn, As, and Cr are higher than the ATSDR inhalation reference values (</w:t>
      </w:r>
      <w:proofErr w:type="spellStart"/>
      <w:r w:rsidRPr="002913C5">
        <w:rPr>
          <w:rFonts w:ascii="Arial" w:hAnsi="Arial" w:cs="Arial"/>
        </w:rPr>
        <w:t>RfC</w:t>
      </w:r>
      <w:proofErr w:type="spellEnd"/>
      <w:r w:rsidRPr="002913C5">
        <w:rPr>
          <w:rFonts w:ascii="Arial" w:hAnsi="Arial" w:cs="Arial"/>
        </w:rPr>
        <w:t xml:space="preserve">), according to the study. The findings demonstrated that inhalation was the principal method of contact with heavy metals in </w:t>
      </w:r>
      <w:proofErr w:type="spellStart"/>
      <w:r w:rsidRPr="002913C5">
        <w:rPr>
          <w:rFonts w:ascii="Arial" w:hAnsi="Arial" w:cs="Arial"/>
        </w:rPr>
        <w:t>Eket</w:t>
      </w:r>
      <w:proofErr w:type="spellEnd"/>
      <w:r w:rsidRPr="002913C5">
        <w:rPr>
          <w:rFonts w:ascii="Arial" w:hAnsi="Arial" w:cs="Arial"/>
        </w:rPr>
        <w:t xml:space="preserve">, with EC&gt;ADD&gt;DAD. </w:t>
      </w:r>
    </w:p>
    <w:p w14:paraId="1722E94D" w14:textId="77777777" w:rsidR="002913C5" w:rsidRPr="002913C5" w:rsidRDefault="002913C5" w:rsidP="002913C5">
      <w:pPr>
        <w:pStyle w:val="Body"/>
        <w:rPr>
          <w:rFonts w:ascii="Arial" w:hAnsi="Arial" w:cs="Arial"/>
        </w:rPr>
      </w:pPr>
      <w:r w:rsidRPr="002913C5">
        <w:rPr>
          <w:rFonts w:ascii="Arial" w:hAnsi="Arial" w:cs="Arial"/>
        </w:rPr>
        <w:t xml:space="preserve">Children's HI at MJ demonstrated the possibility of non-CRs through ingestion. The probability of non-CRs by inhalation and skin exposure was demonstrated by HI for adults and children at MM, UJ, and MJ. While the ILCR values for Cd and Ni suggested minimal carcinogenic risks from ingestion and inhaling of these metals at the three selected junctions MM, UJ, and MJ, the </w:t>
      </w:r>
      <w:proofErr w:type="spellStart"/>
      <w:r w:rsidRPr="002913C5">
        <w:rPr>
          <w:rFonts w:ascii="Arial" w:hAnsi="Arial" w:cs="Arial"/>
        </w:rPr>
        <w:t>ILCRing</w:t>
      </w:r>
      <w:proofErr w:type="spellEnd"/>
      <w:r w:rsidRPr="002913C5">
        <w:rPr>
          <w:rFonts w:ascii="Arial" w:hAnsi="Arial" w:cs="Arial"/>
        </w:rPr>
        <w:t xml:space="preserve"> and </w:t>
      </w:r>
      <w:proofErr w:type="spellStart"/>
      <w:r w:rsidRPr="002913C5">
        <w:rPr>
          <w:rFonts w:ascii="Arial" w:hAnsi="Arial" w:cs="Arial"/>
        </w:rPr>
        <w:t>ILCRinh</w:t>
      </w:r>
      <w:proofErr w:type="spellEnd"/>
      <w:r w:rsidRPr="002913C5">
        <w:rPr>
          <w:rFonts w:ascii="Arial" w:hAnsi="Arial" w:cs="Arial"/>
        </w:rPr>
        <w:t xml:space="preserve"> values for Cr indicated substantial CRs from this metal. </w:t>
      </w:r>
      <w:proofErr w:type="spellStart"/>
      <w:r w:rsidRPr="002913C5">
        <w:rPr>
          <w:rFonts w:ascii="Arial" w:hAnsi="Arial" w:cs="Arial"/>
        </w:rPr>
        <w:t>ILCRder</w:t>
      </w:r>
      <w:proofErr w:type="spellEnd"/>
      <w:r w:rsidRPr="002913C5">
        <w:rPr>
          <w:rFonts w:ascii="Arial" w:hAnsi="Arial" w:cs="Arial"/>
        </w:rPr>
        <w:t xml:space="preserve"> values for Cr and Ni indicate low CRs for dermal exposure. </w:t>
      </w:r>
    </w:p>
    <w:p w14:paraId="315CF8EE" w14:textId="77777777" w:rsidR="002913C5" w:rsidRPr="002913C5" w:rsidRDefault="002913C5" w:rsidP="002913C5">
      <w:pPr>
        <w:pStyle w:val="Body"/>
        <w:rPr>
          <w:rFonts w:ascii="Arial" w:hAnsi="Arial" w:cs="Arial"/>
        </w:rPr>
      </w:pPr>
      <w:r w:rsidRPr="002913C5">
        <w:rPr>
          <w:rFonts w:ascii="Arial" w:hAnsi="Arial" w:cs="Arial"/>
        </w:rPr>
        <w:t>Substantial carcinogenic hazards from contact with the examined metals are suggested by the collective ILCR values for the heavy metals under consideration for both children and adults through ingestion and inhalation paths. There are no appreciable carcinogenic hazards associated with exposure to the examined metals through the skin, according to the cumulative ILCR values for the heavy metals evaluated in both children and adults.</w:t>
      </w:r>
    </w:p>
    <w:p w14:paraId="60A1D648" w14:textId="77777777" w:rsidR="00371FB6" w:rsidRPr="009C7631" w:rsidRDefault="00371FB6" w:rsidP="00441B6F">
      <w:pPr>
        <w:pStyle w:val="ReferHead"/>
        <w:spacing w:after="0"/>
        <w:jc w:val="both"/>
        <w:rPr>
          <w:rFonts w:ascii="Arial" w:hAnsi="Arial" w:cs="Arial"/>
          <w:b w:val="0"/>
          <w:caps w:val="0"/>
          <w:sz w:val="20"/>
        </w:rPr>
      </w:pPr>
    </w:p>
    <w:p w14:paraId="710BEC08" w14:textId="77777777" w:rsidR="001F46DB" w:rsidRDefault="001F46DB" w:rsidP="006979E7">
      <w:pPr>
        <w:pStyle w:val="ReferHead"/>
        <w:spacing w:after="0"/>
        <w:jc w:val="both"/>
        <w:rPr>
          <w:rFonts w:ascii="Arial" w:hAnsi="Arial" w:cs="Arial"/>
          <w:b w:val="0"/>
          <w:bCs/>
          <w:caps w:val="0"/>
        </w:rPr>
      </w:pPr>
      <w:bookmarkStart w:id="0" w:name="_GoBack"/>
      <w:bookmarkEnd w:id="0"/>
    </w:p>
    <w:p w14:paraId="6F76D85D" w14:textId="77777777" w:rsidR="001F46DB" w:rsidRPr="001F46DB" w:rsidRDefault="001F46DB" w:rsidP="001F46DB">
      <w:pPr>
        <w:pStyle w:val="ReferHead"/>
        <w:jc w:val="both"/>
        <w:rPr>
          <w:rFonts w:ascii="Arial" w:hAnsi="Arial" w:cs="Arial"/>
        </w:rPr>
      </w:pPr>
      <w:r w:rsidRPr="001F46DB">
        <w:rPr>
          <w:rFonts w:ascii="Arial" w:hAnsi="Arial" w:cs="Arial"/>
        </w:rPr>
        <w:t>COMPETING INTERESTS DISCLAIMER:</w:t>
      </w:r>
    </w:p>
    <w:p w14:paraId="0C580B2C" w14:textId="7C709AE7" w:rsidR="001F46DB" w:rsidRPr="006979E7" w:rsidRDefault="001F46DB" w:rsidP="001F46DB">
      <w:pPr>
        <w:pStyle w:val="ReferHead"/>
        <w:spacing w:after="0"/>
        <w:jc w:val="both"/>
        <w:rPr>
          <w:rFonts w:ascii="Arial" w:hAnsi="Arial" w:cs="Arial"/>
          <w:b w:val="0"/>
          <w:bCs/>
        </w:rPr>
      </w:pPr>
      <w:r w:rsidRPr="001F46DB">
        <w:rPr>
          <w:rFonts w:ascii="Arial" w:hAnsi="Arial" w:cs="Arial"/>
          <w:b w:val="0"/>
          <w:bCs/>
          <w:caps w:val="0"/>
        </w:rPr>
        <w:t>Authors have declared that they have no known competing financial interests or non-financial interests or personal relationships that could have appeared to influence the work reported in this paper.</w:t>
      </w:r>
    </w:p>
    <w:p w14:paraId="0C5E821A" w14:textId="77777777" w:rsidR="0041027F" w:rsidRPr="00F469F0" w:rsidRDefault="0041027F" w:rsidP="00441B6F">
      <w:pPr>
        <w:pStyle w:val="ReferHead"/>
        <w:spacing w:after="0"/>
        <w:jc w:val="both"/>
        <w:rPr>
          <w:rFonts w:ascii="Arial" w:hAnsi="Arial" w:cs="Arial"/>
          <w:b w:val="0"/>
          <w:caps w:val="0"/>
          <w:sz w:val="20"/>
          <w:u w:val="single"/>
        </w:rPr>
      </w:pPr>
    </w:p>
    <w:p w14:paraId="20B1CD74" w14:textId="77777777" w:rsidR="00860000" w:rsidRDefault="00860000" w:rsidP="00441B6F">
      <w:pPr>
        <w:pStyle w:val="ReferHead"/>
        <w:spacing w:after="0"/>
        <w:jc w:val="both"/>
        <w:rPr>
          <w:rFonts w:ascii="Arial" w:hAnsi="Arial" w:cs="Arial"/>
        </w:rPr>
      </w:pPr>
    </w:p>
    <w:p w14:paraId="6023A2D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22B3227" w14:textId="77777777" w:rsidR="00284C4C" w:rsidRPr="00284C4C" w:rsidRDefault="00284C4C" w:rsidP="00441B6F">
      <w:pPr>
        <w:pStyle w:val="Body"/>
        <w:spacing w:after="0"/>
        <w:rPr>
          <w:rFonts w:ascii="Arial" w:hAnsi="Arial" w:cs="Arial"/>
          <w:i/>
          <w:u w:val="single"/>
        </w:rPr>
      </w:pPr>
    </w:p>
    <w:p w14:paraId="5E2FDB68" w14:textId="77777777" w:rsidR="006979E7" w:rsidRPr="006979E7" w:rsidRDefault="001E72C3" w:rsidP="006979E7">
      <w:pPr>
        <w:pStyle w:val="Body"/>
        <w:spacing w:after="0"/>
        <w:rPr>
          <w:rFonts w:ascii="Arial" w:hAnsi="Arial" w:cs="Arial"/>
        </w:rPr>
      </w:pPr>
      <w:r>
        <w:rPr>
          <w:rFonts w:ascii="Arial" w:hAnsi="Arial" w:cs="Arial"/>
        </w:rPr>
        <w:t>[</w:t>
      </w:r>
      <w:r w:rsidR="006979E7" w:rsidRPr="006979E7">
        <w:rPr>
          <w:rFonts w:ascii="Arial" w:hAnsi="Arial" w:cs="Arial"/>
        </w:rPr>
        <w:t>1</w:t>
      </w:r>
      <w:r>
        <w:rPr>
          <w:rFonts w:ascii="Arial" w:hAnsi="Arial" w:cs="Arial"/>
        </w:rPr>
        <w:t>]</w:t>
      </w:r>
      <w:r w:rsidR="006979E7" w:rsidRPr="006979E7">
        <w:rPr>
          <w:rFonts w:ascii="Arial" w:hAnsi="Arial" w:cs="Arial"/>
        </w:rPr>
        <w:t xml:space="preserve">. </w:t>
      </w:r>
      <w:proofErr w:type="spellStart"/>
      <w:r w:rsidR="006979E7" w:rsidRPr="006979E7">
        <w:rPr>
          <w:rFonts w:ascii="Arial" w:hAnsi="Arial" w:cs="Arial"/>
        </w:rPr>
        <w:t>Nta</w:t>
      </w:r>
      <w:proofErr w:type="spellEnd"/>
      <w:r w:rsidR="006979E7" w:rsidRPr="006979E7">
        <w:rPr>
          <w:rFonts w:ascii="Arial" w:hAnsi="Arial" w:cs="Arial"/>
        </w:rPr>
        <w:t xml:space="preserve">, S. A.; </w:t>
      </w:r>
      <w:proofErr w:type="spellStart"/>
      <w:r w:rsidR="006979E7" w:rsidRPr="006979E7">
        <w:rPr>
          <w:rFonts w:ascii="Arial" w:hAnsi="Arial" w:cs="Arial"/>
        </w:rPr>
        <w:t>Ayotamuno</w:t>
      </w:r>
      <w:proofErr w:type="spellEnd"/>
      <w:r w:rsidR="006979E7" w:rsidRPr="006979E7">
        <w:rPr>
          <w:rFonts w:ascii="Arial" w:hAnsi="Arial" w:cs="Arial"/>
        </w:rPr>
        <w:t xml:space="preserve">, M. J.; </w:t>
      </w:r>
      <w:proofErr w:type="spellStart"/>
      <w:r w:rsidR="006979E7" w:rsidRPr="006979E7">
        <w:rPr>
          <w:rFonts w:ascii="Arial" w:hAnsi="Arial" w:cs="Arial"/>
        </w:rPr>
        <w:t>Igoni</w:t>
      </w:r>
      <w:proofErr w:type="spellEnd"/>
      <w:r w:rsidR="006979E7" w:rsidRPr="006979E7">
        <w:rPr>
          <w:rFonts w:ascii="Arial" w:hAnsi="Arial" w:cs="Arial"/>
        </w:rPr>
        <w:t xml:space="preserve">, A. H. &amp; </w:t>
      </w:r>
      <w:proofErr w:type="spellStart"/>
      <w:r w:rsidR="006979E7" w:rsidRPr="006979E7">
        <w:rPr>
          <w:rFonts w:ascii="Arial" w:hAnsi="Arial" w:cs="Arial"/>
        </w:rPr>
        <w:t>Okparanma</w:t>
      </w:r>
      <w:proofErr w:type="spellEnd"/>
      <w:r w:rsidR="006979E7" w:rsidRPr="006979E7">
        <w:rPr>
          <w:rFonts w:ascii="Arial" w:hAnsi="Arial" w:cs="Arial"/>
        </w:rPr>
        <w:t xml:space="preserve">, R. N. (2020). Emission from </w:t>
      </w:r>
      <w:proofErr w:type="spellStart"/>
      <w:r w:rsidR="006979E7" w:rsidRPr="006979E7">
        <w:rPr>
          <w:rFonts w:ascii="Arial" w:hAnsi="Arial" w:cs="Arial"/>
        </w:rPr>
        <w:t>Uyo</w:t>
      </w:r>
      <w:proofErr w:type="spellEnd"/>
      <w:r w:rsidR="006979E7" w:rsidRPr="006979E7">
        <w:rPr>
          <w:rFonts w:ascii="Arial" w:hAnsi="Arial" w:cs="Arial"/>
        </w:rPr>
        <w:t xml:space="preserve"> Main Refuse Dumpsite and Potential Impact on Health.</w:t>
      </w:r>
      <w:r>
        <w:rPr>
          <w:rFonts w:ascii="Arial" w:hAnsi="Arial" w:cs="Arial"/>
          <w:i/>
        </w:rPr>
        <w:t xml:space="preserve"> International Journal of </w:t>
      </w:r>
      <w:r w:rsidR="006979E7" w:rsidRPr="006979E7">
        <w:rPr>
          <w:rFonts w:ascii="Arial" w:hAnsi="Arial" w:cs="Arial"/>
          <w:i/>
        </w:rPr>
        <w:t>Environment and Climate Change</w:t>
      </w:r>
      <w:r w:rsidR="006979E7" w:rsidRPr="006979E7">
        <w:rPr>
          <w:rFonts w:ascii="Arial" w:hAnsi="Arial" w:cs="Arial"/>
        </w:rPr>
        <w:t xml:space="preserve"> 10(5): 8-13. DOI: 10.9734/IJECC/2020/v10i530196.</w:t>
      </w:r>
    </w:p>
    <w:p w14:paraId="6D010B6E" w14:textId="77777777" w:rsidR="006979E7" w:rsidRPr="006979E7" w:rsidRDefault="006979E7" w:rsidP="006979E7">
      <w:pPr>
        <w:pStyle w:val="Body"/>
        <w:spacing w:after="0"/>
        <w:rPr>
          <w:rFonts w:ascii="Arial" w:hAnsi="Arial" w:cs="Arial"/>
        </w:rPr>
      </w:pPr>
      <w:r w:rsidRPr="006979E7">
        <w:rPr>
          <w:rFonts w:ascii="Arial" w:hAnsi="Arial" w:cs="Arial"/>
        </w:rPr>
        <w:t xml:space="preserve">[2]. Farid, M.U.; Ullah, A.; Ghafoor, A.; Khan, S.N.; Iqbal, M.; </w:t>
      </w:r>
      <w:proofErr w:type="spellStart"/>
      <w:r w:rsidRPr="006979E7">
        <w:rPr>
          <w:rFonts w:ascii="Arial" w:hAnsi="Arial" w:cs="Arial"/>
        </w:rPr>
        <w:t>Muhayodin</w:t>
      </w:r>
      <w:proofErr w:type="spellEnd"/>
      <w:r w:rsidRPr="006979E7">
        <w:rPr>
          <w:rFonts w:ascii="Arial" w:hAnsi="Arial" w:cs="Arial"/>
        </w:rPr>
        <w:t xml:space="preserve">, F. and Nasir, A. (2023). Air Pollution and Clean Energy: Latest Trends and Future Perspectives; </w:t>
      </w:r>
      <w:proofErr w:type="spellStart"/>
      <w:r w:rsidRPr="006979E7">
        <w:rPr>
          <w:rFonts w:ascii="Arial" w:hAnsi="Arial" w:cs="Arial"/>
        </w:rPr>
        <w:t>Intechopen</w:t>
      </w:r>
      <w:proofErr w:type="spellEnd"/>
      <w:r w:rsidRPr="006979E7">
        <w:rPr>
          <w:rFonts w:ascii="Arial" w:hAnsi="Arial" w:cs="Arial"/>
        </w:rPr>
        <w:t>: London, UK.</w:t>
      </w:r>
    </w:p>
    <w:p w14:paraId="5C207551" w14:textId="77777777" w:rsidR="006979E7" w:rsidRPr="006979E7" w:rsidRDefault="006979E7" w:rsidP="006979E7">
      <w:pPr>
        <w:pStyle w:val="Body"/>
        <w:spacing w:after="0"/>
        <w:rPr>
          <w:rFonts w:ascii="Arial" w:hAnsi="Arial" w:cs="Arial"/>
        </w:rPr>
      </w:pPr>
      <w:r w:rsidRPr="006979E7">
        <w:rPr>
          <w:rFonts w:ascii="Arial" w:hAnsi="Arial" w:cs="Arial"/>
        </w:rPr>
        <w:t>[3]. Perera, F. (2018). Pollution from Fossil-fuel Combustion is the Leading Environmental Threat to Global Pediatric Health and Equity: Solutions Exist. Int. J. Environ. Res. Public Health, 15, 16.</w:t>
      </w:r>
    </w:p>
    <w:p w14:paraId="64419617" w14:textId="77777777" w:rsidR="006979E7" w:rsidRPr="006979E7" w:rsidRDefault="006979E7" w:rsidP="006979E7">
      <w:pPr>
        <w:pStyle w:val="Body"/>
        <w:spacing w:after="0"/>
        <w:rPr>
          <w:rFonts w:ascii="Arial" w:hAnsi="Arial" w:cs="Arial"/>
        </w:rPr>
      </w:pPr>
      <w:r w:rsidRPr="006979E7">
        <w:rPr>
          <w:rFonts w:ascii="Arial" w:hAnsi="Arial" w:cs="Arial"/>
        </w:rPr>
        <w:t xml:space="preserve">[4]. Haque, M. S. and Singh, R. B. (2017). Air Pollution and Human Health in Kolkata, India: A case Study. </w:t>
      </w:r>
      <w:r w:rsidRPr="006979E7">
        <w:rPr>
          <w:rFonts w:ascii="Arial" w:hAnsi="Arial" w:cs="Arial"/>
        </w:rPr>
        <w:tab/>
        <w:t>Climate 5, 77. [</w:t>
      </w:r>
      <w:proofErr w:type="spellStart"/>
      <w:r w:rsidRPr="006979E7">
        <w:rPr>
          <w:rFonts w:ascii="Arial" w:hAnsi="Arial" w:cs="Arial"/>
        </w:rPr>
        <w:t>CrossRef</w:t>
      </w:r>
      <w:proofErr w:type="spellEnd"/>
      <w:r w:rsidRPr="006979E7">
        <w:rPr>
          <w:rFonts w:ascii="Arial" w:hAnsi="Arial" w:cs="Arial"/>
        </w:rPr>
        <w:t>].</w:t>
      </w:r>
    </w:p>
    <w:p w14:paraId="4327DF40" w14:textId="77777777" w:rsidR="006979E7" w:rsidRPr="006979E7" w:rsidRDefault="006979E7" w:rsidP="006979E7">
      <w:pPr>
        <w:pStyle w:val="Body"/>
        <w:spacing w:after="0"/>
        <w:rPr>
          <w:rFonts w:ascii="Arial" w:hAnsi="Arial" w:cs="Arial"/>
        </w:rPr>
      </w:pPr>
      <w:r w:rsidRPr="006979E7">
        <w:rPr>
          <w:rFonts w:ascii="Arial" w:hAnsi="Arial" w:cs="Arial"/>
        </w:rPr>
        <w:t xml:space="preserve">[5]. Pandey, M.; Pandey, A.K.; Mishra, A.; Tripathi, B.D. (2017). Speciation of Carcinogenic and Non-carcinogenic </w:t>
      </w:r>
      <w:proofErr w:type="spellStart"/>
      <w:r w:rsidRPr="006979E7">
        <w:rPr>
          <w:rFonts w:ascii="Arial" w:hAnsi="Arial" w:cs="Arial"/>
        </w:rPr>
        <w:t>Hetals</w:t>
      </w:r>
      <w:proofErr w:type="spellEnd"/>
      <w:r w:rsidRPr="006979E7">
        <w:rPr>
          <w:rFonts w:ascii="Arial" w:hAnsi="Arial" w:cs="Arial"/>
        </w:rPr>
        <w:t xml:space="preserve"> in Respirable Suspended Particulate Matter (PM</w:t>
      </w:r>
      <w:r w:rsidRPr="006979E7">
        <w:rPr>
          <w:rFonts w:ascii="Arial" w:hAnsi="Arial" w:cs="Arial"/>
          <w:vertAlign w:val="subscript"/>
        </w:rPr>
        <w:t>10</w:t>
      </w:r>
      <w:r w:rsidRPr="006979E7">
        <w:rPr>
          <w:rFonts w:ascii="Arial" w:hAnsi="Arial" w:cs="Arial"/>
        </w:rPr>
        <w:t xml:space="preserve">) in Varanasi, India. Urban Clim. 19, 141–154. </w:t>
      </w:r>
    </w:p>
    <w:p w14:paraId="6BAC6D7E" w14:textId="77777777" w:rsidR="006979E7" w:rsidRPr="006979E7" w:rsidRDefault="006979E7" w:rsidP="006979E7">
      <w:pPr>
        <w:pStyle w:val="Body"/>
        <w:spacing w:after="0"/>
        <w:rPr>
          <w:rFonts w:ascii="Arial" w:hAnsi="Arial" w:cs="Arial"/>
        </w:rPr>
      </w:pPr>
      <w:r w:rsidRPr="006979E7">
        <w:rPr>
          <w:rFonts w:ascii="Arial" w:hAnsi="Arial" w:cs="Arial"/>
        </w:rPr>
        <w:t xml:space="preserve">[6]. </w:t>
      </w:r>
      <w:proofErr w:type="spellStart"/>
      <w:r w:rsidRPr="006979E7">
        <w:rPr>
          <w:rFonts w:ascii="Arial" w:hAnsi="Arial" w:cs="Arial"/>
        </w:rPr>
        <w:t>Gogikar</w:t>
      </w:r>
      <w:proofErr w:type="spellEnd"/>
      <w:r w:rsidRPr="006979E7">
        <w:rPr>
          <w:rFonts w:ascii="Arial" w:hAnsi="Arial" w:cs="Arial"/>
        </w:rPr>
        <w:t xml:space="preserve">, </w:t>
      </w:r>
      <w:proofErr w:type="spellStart"/>
      <w:r w:rsidRPr="006979E7">
        <w:rPr>
          <w:rFonts w:ascii="Arial" w:hAnsi="Arial" w:cs="Arial"/>
        </w:rPr>
        <w:t>P.and</w:t>
      </w:r>
      <w:proofErr w:type="spellEnd"/>
      <w:r w:rsidRPr="006979E7">
        <w:rPr>
          <w:rFonts w:ascii="Arial" w:hAnsi="Arial" w:cs="Arial"/>
        </w:rPr>
        <w:t xml:space="preserve"> Tyagi, B. (2016). Assessment of Particulate Matter Variation during 2011–2015 over a Tropical Station Agra, India. Atmos. Environ. 147, 11–21.</w:t>
      </w:r>
    </w:p>
    <w:p w14:paraId="50F17368" w14:textId="77777777" w:rsidR="006979E7" w:rsidRPr="006979E7" w:rsidRDefault="006979E7" w:rsidP="006979E7">
      <w:pPr>
        <w:pStyle w:val="Body"/>
        <w:spacing w:after="0"/>
        <w:rPr>
          <w:rFonts w:ascii="Arial" w:hAnsi="Arial" w:cs="Arial"/>
        </w:rPr>
      </w:pPr>
      <w:r w:rsidRPr="006979E7">
        <w:rPr>
          <w:rFonts w:ascii="Arial" w:hAnsi="Arial" w:cs="Arial"/>
        </w:rPr>
        <w:t xml:space="preserve">[7]. Kumar, N.; Kumar, S.; Pandey, S.P. (2023). Traffic-Related Air Pollution and Associated Human Health Risk. </w:t>
      </w:r>
      <w:proofErr w:type="spellStart"/>
      <w:r w:rsidRPr="006979E7">
        <w:rPr>
          <w:rFonts w:ascii="Arial" w:hAnsi="Arial" w:cs="Arial"/>
        </w:rPr>
        <w:t>Macromol</w:t>
      </w:r>
      <w:proofErr w:type="spellEnd"/>
      <w:r w:rsidRPr="006979E7">
        <w:rPr>
          <w:rFonts w:ascii="Arial" w:hAnsi="Arial" w:cs="Arial"/>
        </w:rPr>
        <w:t>. Symp. 407, 2100486. [</w:t>
      </w:r>
      <w:proofErr w:type="spellStart"/>
      <w:r w:rsidRPr="006979E7">
        <w:rPr>
          <w:rFonts w:ascii="Arial" w:hAnsi="Arial" w:cs="Arial"/>
        </w:rPr>
        <w:t>CrossRef</w:t>
      </w:r>
      <w:proofErr w:type="spellEnd"/>
      <w:r w:rsidRPr="006979E7">
        <w:rPr>
          <w:rFonts w:ascii="Arial" w:hAnsi="Arial" w:cs="Arial"/>
        </w:rPr>
        <w:t>].</w:t>
      </w:r>
    </w:p>
    <w:p w14:paraId="59E547B4" w14:textId="77777777" w:rsidR="006979E7" w:rsidRPr="006979E7" w:rsidRDefault="006979E7" w:rsidP="006979E7">
      <w:pPr>
        <w:pStyle w:val="Body"/>
        <w:spacing w:after="0"/>
        <w:rPr>
          <w:rFonts w:ascii="Arial" w:hAnsi="Arial" w:cs="Arial"/>
        </w:rPr>
      </w:pPr>
      <w:r w:rsidRPr="006979E7">
        <w:rPr>
          <w:rFonts w:ascii="Arial" w:hAnsi="Arial" w:cs="Arial"/>
        </w:rPr>
        <w:t xml:space="preserve">[8]. </w:t>
      </w:r>
      <w:proofErr w:type="spellStart"/>
      <w:r w:rsidRPr="006979E7">
        <w:rPr>
          <w:rFonts w:ascii="Arial" w:hAnsi="Arial" w:cs="Arial"/>
        </w:rPr>
        <w:t>Bhutiani</w:t>
      </w:r>
      <w:proofErr w:type="spellEnd"/>
      <w:r w:rsidRPr="006979E7">
        <w:rPr>
          <w:rFonts w:ascii="Arial" w:hAnsi="Arial" w:cs="Arial"/>
        </w:rPr>
        <w:t xml:space="preserve">, R.; Kulkarni, D. B.; Khanna, D. R.; Tyagi, V. and Ahamad, F. (2021). Spatial and Seasonal Variations in Particulate Matter and Gaseous Pollutants around the Integrated Industrial Estate </w:t>
      </w:r>
      <w:r w:rsidRPr="006979E7">
        <w:rPr>
          <w:rFonts w:ascii="Arial" w:hAnsi="Arial" w:cs="Arial"/>
        </w:rPr>
        <w:tab/>
        <w:t>(IIE), SIDCUL, Haridwar: A case study. Environ. Dev. Sustain. 2021, 23, 15619–15638.</w:t>
      </w:r>
    </w:p>
    <w:p w14:paraId="4BFCA5F2" w14:textId="77777777" w:rsidR="006979E7" w:rsidRPr="006979E7" w:rsidRDefault="006979E7" w:rsidP="006979E7">
      <w:pPr>
        <w:pStyle w:val="Body"/>
        <w:spacing w:after="0"/>
        <w:rPr>
          <w:rFonts w:ascii="Arial" w:hAnsi="Arial" w:cs="Arial"/>
        </w:rPr>
      </w:pPr>
      <w:r w:rsidRPr="006979E7">
        <w:rPr>
          <w:rFonts w:ascii="Arial" w:hAnsi="Arial" w:cs="Arial"/>
        </w:rPr>
        <w:t xml:space="preserve">[9]. Liu, X.; Ouyang, W.; Shu, Y.; Tian, Y.; Feng, Y.; Zhang, T. and Chen, W. (2019). Incorporating </w:t>
      </w:r>
      <w:proofErr w:type="spellStart"/>
      <w:r w:rsidRPr="006979E7">
        <w:rPr>
          <w:rFonts w:ascii="Arial" w:hAnsi="Arial" w:cs="Arial"/>
        </w:rPr>
        <w:t>Bioaccessibility</w:t>
      </w:r>
      <w:proofErr w:type="spellEnd"/>
      <w:r w:rsidRPr="006979E7">
        <w:rPr>
          <w:rFonts w:ascii="Arial" w:hAnsi="Arial" w:cs="Arial"/>
        </w:rPr>
        <w:t xml:space="preserve"> into Health Risk Assessment of Heavy Metals in Particulate Matter Originated from Different Sources of Atmospheric Pollution. Environ. </w:t>
      </w:r>
      <w:proofErr w:type="spellStart"/>
      <w:r w:rsidRPr="006979E7">
        <w:rPr>
          <w:rFonts w:ascii="Arial" w:hAnsi="Arial" w:cs="Arial"/>
        </w:rPr>
        <w:t>Pollut</w:t>
      </w:r>
      <w:proofErr w:type="spellEnd"/>
      <w:r w:rsidRPr="006979E7">
        <w:rPr>
          <w:rFonts w:ascii="Arial" w:hAnsi="Arial" w:cs="Arial"/>
        </w:rPr>
        <w:t xml:space="preserve">. 254, 113113. [PubMed] </w:t>
      </w:r>
    </w:p>
    <w:p w14:paraId="367721C9" w14:textId="77777777" w:rsidR="006979E7" w:rsidRPr="006979E7" w:rsidRDefault="006979E7" w:rsidP="006979E7">
      <w:pPr>
        <w:pStyle w:val="Body"/>
        <w:spacing w:after="0"/>
        <w:rPr>
          <w:rFonts w:ascii="Arial" w:hAnsi="Arial" w:cs="Arial"/>
        </w:rPr>
      </w:pPr>
      <w:r w:rsidRPr="006979E7">
        <w:rPr>
          <w:rFonts w:ascii="Arial" w:hAnsi="Arial" w:cs="Arial"/>
        </w:rPr>
        <w:t>[10]. Liu, X.; Zhai, Y.; Zhu, Y.; Liu, Y.; Chen, H.; Li, P. and Zeng, G. (2015). Mass Concentration and Health Risk Assessment of Heavy Metals in Size-segregated Airborne Particulate Matter in Changsha. Sci. Total Environ. 517, 215–221. [PubMed].</w:t>
      </w:r>
    </w:p>
    <w:p w14:paraId="1357F2F0" w14:textId="77777777" w:rsidR="006979E7" w:rsidRPr="006979E7" w:rsidRDefault="006979E7" w:rsidP="006979E7">
      <w:pPr>
        <w:pStyle w:val="Body"/>
        <w:spacing w:after="0"/>
        <w:rPr>
          <w:rFonts w:ascii="Arial" w:hAnsi="Arial" w:cs="Arial"/>
        </w:rPr>
      </w:pPr>
      <w:r w:rsidRPr="006979E7">
        <w:rPr>
          <w:rFonts w:ascii="Arial" w:hAnsi="Arial" w:cs="Arial"/>
        </w:rPr>
        <w:t xml:space="preserve">[11]. Chakraborty, B.; Bera, B.; Roy, S.; Adhikary, P. P.; Sengupta, D. and Shit, P. K. (2021). Assessment of Non-carcinogenic Health Risk of Heavy Metal Pollution: Evidence from Coal Mining Region of Eastern India. Environ. Sci. </w:t>
      </w:r>
      <w:proofErr w:type="spellStart"/>
      <w:r w:rsidRPr="006979E7">
        <w:rPr>
          <w:rFonts w:ascii="Arial" w:hAnsi="Arial" w:cs="Arial"/>
        </w:rPr>
        <w:t>Pollut</w:t>
      </w:r>
      <w:proofErr w:type="spellEnd"/>
      <w:r w:rsidRPr="006979E7">
        <w:rPr>
          <w:rFonts w:ascii="Arial" w:hAnsi="Arial" w:cs="Arial"/>
        </w:rPr>
        <w:t xml:space="preserve">. Res. 28, 47275–47293. </w:t>
      </w:r>
    </w:p>
    <w:p w14:paraId="300FAFA4" w14:textId="77777777" w:rsidR="006979E7" w:rsidRPr="006979E7" w:rsidRDefault="006979E7" w:rsidP="006979E7">
      <w:pPr>
        <w:pStyle w:val="Body"/>
        <w:spacing w:after="0"/>
        <w:rPr>
          <w:rFonts w:ascii="Arial" w:hAnsi="Arial" w:cs="Arial"/>
        </w:rPr>
      </w:pPr>
      <w:r w:rsidRPr="006979E7">
        <w:rPr>
          <w:rFonts w:ascii="Arial" w:hAnsi="Arial" w:cs="Arial"/>
        </w:rPr>
        <w:t>[12]. Abdulaziz, M.; Alshehri, A.; Yadav, I. C. and Badri, H. (2022). Pollution Level and Health Risk Assessment of Heavy Metals in Ambient Air and Surface Dust from Saudi Arabia: A Systematic Review and Meta-analysis. Air Qual. Atmos. Health. 15, 799–810.</w:t>
      </w:r>
    </w:p>
    <w:p w14:paraId="64D1E0DF" w14:textId="77777777" w:rsidR="006979E7" w:rsidRPr="006979E7" w:rsidRDefault="006979E7" w:rsidP="006979E7">
      <w:pPr>
        <w:pStyle w:val="Body"/>
        <w:spacing w:after="0"/>
        <w:rPr>
          <w:rFonts w:ascii="Arial" w:hAnsi="Arial" w:cs="Arial"/>
        </w:rPr>
      </w:pPr>
      <w:r w:rsidRPr="006979E7">
        <w:rPr>
          <w:rFonts w:ascii="Arial" w:hAnsi="Arial" w:cs="Arial"/>
        </w:rPr>
        <w:t xml:space="preserve">[13]. Ghosh, B.; </w:t>
      </w:r>
      <w:proofErr w:type="spellStart"/>
      <w:r w:rsidRPr="006979E7">
        <w:rPr>
          <w:rFonts w:ascii="Arial" w:hAnsi="Arial" w:cs="Arial"/>
        </w:rPr>
        <w:t>Padhy</w:t>
      </w:r>
      <w:proofErr w:type="spellEnd"/>
      <w:r w:rsidRPr="006979E7">
        <w:rPr>
          <w:rFonts w:ascii="Arial" w:hAnsi="Arial" w:cs="Arial"/>
        </w:rPr>
        <w:t>, P. K.; Niyogi, S.; Patra, P. K. and Hecker, M. A. (2023). Comparative Study of Heavy Metal Pollution in Ambient Air and the Health Risks Assessment in Industrial, Urban and Semi-Urban Areas of West Bengal, India: An Evaluation of Carcinogenic, Non-</w:t>
      </w:r>
      <w:r w:rsidRPr="006979E7">
        <w:rPr>
          <w:rFonts w:ascii="Arial" w:hAnsi="Arial" w:cs="Arial"/>
        </w:rPr>
        <w:tab/>
        <w:t>Carcinogenic, and Additional Lifetime Cancer Cases. Environments, 10, 190. https://doi.org/ 10.3390/environments10110190.</w:t>
      </w:r>
    </w:p>
    <w:p w14:paraId="62ACB0FD" w14:textId="77777777" w:rsidR="006979E7" w:rsidRPr="006979E7" w:rsidRDefault="006979E7" w:rsidP="006979E7">
      <w:pPr>
        <w:pStyle w:val="Body"/>
        <w:spacing w:after="0"/>
        <w:rPr>
          <w:rFonts w:ascii="Arial" w:hAnsi="Arial" w:cs="Arial"/>
        </w:rPr>
      </w:pPr>
      <w:r w:rsidRPr="006979E7">
        <w:rPr>
          <w:rFonts w:ascii="Arial" w:hAnsi="Arial" w:cs="Arial"/>
        </w:rPr>
        <w:lastRenderedPageBreak/>
        <w:t xml:space="preserve">[14]. </w:t>
      </w:r>
      <w:proofErr w:type="spellStart"/>
      <w:r w:rsidRPr="006979E7">
        <w:rPr>
          <w:rFonts w:ascii="Arial" w:hAnsi="Arial" w:cs="Arial"/>
        </w:rPr>
        <w:t>Balali</w:t>
      </w:r>
      <w:proofErr w:type="spellEnd"/>
      <w:r w:rsidRPr="006979E7">
        <w:rPr>
          <w:rFonts w:ascii="Arial" w:hAnsi="Arial" w:cs="Arial"/>
        </w:rPr>
        <w:t xml:space="preserve">-Mood, M.; Naseri, K.; </w:t>
      </w:r>
      <w:proofErr w:type="spellStart"/>
      <w:r w:rsidRPr="006979E7">
        <w:rPr>
          <w:rFonts w:ascii="Arial" w:hAnsi="Arial" w:cs="Arial"/>
        </w:rPr>
        <w:t>Tahergorabi</w:t>
      </w:r>
      <w:proofErr w:type="spellEnd"/>
      <w:r w:rsidRPr="006979E7">
        <w:rPr>
          <w:rFonts w:ascii="Arial" w:hAnsi="Arial" w:cs="Arial"/>
        </w:rPr>
        <w:t xml:space="preserve">, Z.; </w:t>
      </w:r>
      <w:proofErr w:type="spellStart"/>
      <w:r w:rsidRPr="006979E7">
        <w:rPr>
          <w:rFonts w:ascii="Arial" w:hAnsi="Arial" w:cs="Arial"/>
        </w:rPr>
        <w:t>Khazdair</w:t>
      </w:r>
      <w:proofErr w:type="spellEnd"/>
      <w:r w:rsidRPr="006979E7">
        <w:rPr>
          <w:rFonts w:ascii="Arial" w:hAnsi="Arial" w:cs="Arial"/>
        </w:rPr>
        <w:t xml:space="preserve">, M. R. and Sadeghi, M. (2021). Toxic Mechanisms of five Heavy Metals: Mercury, Lead, Chromium, Cadmium, and Arsenic. Front. </w:t>
      </w:r>
      <w:proofErr w:type="spellStart"/>
      <w:r w:rsidRPr="006979E7">
        <w:rPr>
          <w:rFonts w:ascii="Arial" w:hAnsi="Arial" w:cs="Arial"/>
        </w:rPr>
        <w:t>Pharmaco</w:t>
      </w:r>
      <w:proofErr w:type="spellEnd"/>
      <w:r w:rsidRPr="006979E7">
        <w:rPr>
          <w:rFonts w:ascii="Arial" w:hAnsi="Arial" w:cs="Arial"/>
        </w:rPr>
        <w:t>. 2021, 227, 643972.</w:t>
      </w:r>
    </w:p>
    <w:p w14:paraId="160EBBEB" w14:textId="77777777" w:rsidR="006979E7" w:rsidRPr="006979E7" w:rsidRDefault="006979E7" w:rsidP="006979E7">
      <w:pPr>
        <w:pStyle w:val="Body"/>
        <w:spacing w:after="0"/>
        <w:rPr>
          <w:rFonts w:ascii="Arial" w:hAnsi="Arial" w:cs="Arial"/>
        </w:rPr>
      </w:pPr>
      <w:r w:rsidRPr="006979E7">
        <w:rPr>
          <w:rFonts w:ascii="Arial" w:hAnsi="Arial" w:cs="Arial"/>
        </w:rPr>
        <w:t xml:space="preserve">[15]. </w:t>
      </w:r>
      <w:proofErr w:type="spellStart"/>
      <w:r w:rsidRPr="006979E7">
        <w:rPr>
          <w:rFonts w:ascii="Arial" w:hAnsi="Arial" w:cs="Arial"/>
        </w:rPr>
        <w:t>Engwa</w:t>
      </w:r>
      <w:proofErr w:type="spellEnd"/>
      <w:r w:rsidRPr="006979E7">
        <w:rPr>
          <w:rFonts w:ascii="Arial" w:hAnsi="Arial" w:cs="Arial"/>
        </w:rPr>
        <w:t xml:space="preserve">, G. A.; Ferdinand, P. U.; </w:t>
      </w:r>
      <w:proofErr w:type="spellStart"/>
      <w:r w:rsidRPr="006979E7">
        <w:rPr>
          <w:rFonts w:ascii="Arial" w:hAnsi="Arial" w:cs="Arial"/>
        </w:rPr>
        <w:t>Nwalo</w:t>
      </w:r>
      <w:proofErr w:type="spellEnd"/>
      <w:r w:rsidRPr="006979E7">
        <w:rPr>
          <w:rFonts w:ascii="Arial" w:hAnsi="Arial" w:cs="Arial"/>
        </w:rPr>
        <w:t xml:space="preserve">, F. N. and </w:t>
      </w:r>
      <w:proofErr w:type="spellStart"/>
      <w:r w:rsidRPr="006979E7">
        <w:rPr>
          <w:rFonts w:ascii="Arial" w:hAnsi="Arial" w:cs="Arial"/>
        </w:rPr>
        <w:t>Unachukwu</w:t>
      </w:r>
      <w:proofErr w:type="spellEnd"/>
      <w:r w:rsidRPr="006979E7">
        <w:rPr>
          <w:rFonts w:ascii="Arial" w:hAnsi="Arial" w:cs="Arial"/>
        </w:rPr>
        <w:t xml:space="preserve">, M. N. (2019). Mechanism and Health Effects of Heavy Metal Toxicity in Humans. In Poisoning in the Modern World-New Tricks for an Old Dog; </w:t>
      </w:r>
      <w:proofErr w:type="spellStart"/>
      <w:r w:rsidRPr="006979E7">
        <w:rPr>
          <w:rFonts w:ascii="Arial" w:hAnsi="Arial" w:cs="Arial"/>
        </w:rPr>
        <w:t>Intechopen</w:t>
      </w:r>
      <w:proofErr w:type="spellEnd"/>
      <w:r w:rsidRPr="006979E7">
        <w:rPr>
          <w:rFonts w:ascii="Arial" w:hAnsi="Arial" w:cs="Arial"/>
        </w:rPr>
        <w:t>: London, UK; Volume 10, pp. 70–90.</w:t>
      </w:r>
    </w:p>
    <w:p w14:paraId="4E4BF053" w14:textId="77777777" w:rsidR="006979E7" w:rsidRPr="006979E7" w:rsidRDefault="006979E7" w:rsidP="006979E7">
      <w:pPr>
        <w:pStyle w:val="Body"/>
        <w:spacing w:after="0"/>
        <w:rPr>
          <w:rFonts w:ascii="Arial" w:hAnsi="Arial" w:cs="Arial"/>
        </w:rPr>
      </w:pPr>
      <w:r w:rsidRPr="006979E7">
        <w:rPr>
          <w:rFonts w:ascii="Arial" w:hAnsi="Arial" w:cs="Arial"/>
        </w:rPr>
        <w:t xml:space="preserve">[16]. IARC. IARC (2021). Monographs on the Identification of Carcinogenic Hazards to Humans. Available online: https:// monographs.iarc.who.int/list-of-classifications/ (Accessed on 28 September 2021). </w:t>
      </w:r>
    </w:p>
    <w:p w14:paraId="524F84B5" w14:textId="77777777" w:rsidR="006979E7" w:rsidRPr="006979E7" w:rsidRDefault="006979E7" w:rsidP="006979E7">
      <w:pPr>
        <w:pStyle w:val="Body"/>
        <w:spacing w:after="0"/>
        <w:rPr>
          <w:rFonts w:ascii="Arial" w:hAnsi="Arial" w:cs="Arial"/>
        </w:rPr>
      </w:pPr>
      <w:r w:rsidRPr="006979E7">
        <w:rPr>
          <w:rFonts w:ascii="Arial" w:hAnsi="Arial" w:cs="Arial"/>
        </w:rPr>
        <w:t xml:space="preserve">[17]. Guo, L. C.; </w:t>
      </w:r>
      <w:proofErr w:type="spellStart"/>
      <w:r w:rsidRPr="006979E7">
        <w:rPr>
          <w:rFonts w:ascii="Arial" w:hAnsi="Arial" w:cs="Arial"/>
        </w:rPr>
        <w:t>Lv</w:t>
      </w:r>
      <w:proofErr w:type="spellEnd"/>
      <w:r w:rsidRPr="006979E7">
        <w:rPr>
          <w:rFonts w:ascii="Arial" w:hAnsi="Arial" w:cs="Arial"/>
        </w:rPr>
        <w:t>, Z.; Ma, W.; Xiao, J.; Lin, H.; He, G.; Liu, T. (2022). Contribution of Heavy metals in PM</w:t>
      </w:r>
      <w:r w:rsidRPr="006979E7">
        <w:rPr>
          <w:rFonts w:ascii="Arial" w:hAnsi="Arial" w:cs="Arial"/>
          <w:vertAlign w:val="subscript"/>
        </w:rPr>
        <w:t>2.5</w:t>
      </w:r>
      <w:r w:rsidRPr="006979E7">
        <w:rPr>
          <w:rFonts w:ascii="Arial" w:hAnsi="Arial" w:cs="Arial"/>
        </w:rPr>
        <w:t xml:space="preserve"> to Cardiovascular Disease Mortality Risk, a Case Study in Guangzhou, China. Chemosphere 2022, 297, 134102. </w:t>
      </w:r>
    </w:p>
    <w:p w14:paraId="4FA2E473" w14:textId="77777777" w:rsidR="006979E7" w:rsidRPr="006979E7" w:rsidRDefault="006979E7" w:rsidP="006979E7">
      <w:pPr>
        <w:pStyle w:val="Body"/>
        <w:spacing w:after="0"/>
        <w:rPr>
          <w:rFonts w:ascii="Arial" w:hAnsi="Arial" w:cs="Arial"/>
        </w:rPr>
      </w:pPr>
      <w:r w:rsidRPr="006979E7">
        <w:rPr>
          <w:rFonts w:ascii="Arial" w:hAnsi="Arial" w:cs="Arial"/>
        </w:rPr>
        <w:t xml:space="preserve">[18]. Buonanno, G.; Giovinco, G.; Morawska, L. and Stabile, L. (2015). Lung Cancer Risk of Airborne Particles for the Italian Population. Environ. Res. 142, 443–451. </w:t>
      </w:r>
    </w:p>
    <w:p w14:paraId="372301AB" w14:textId="77777777" w:rsidR="006979E7" w:rsidRPr="006979E7" w:rsidRDefault="006979E7" w:rsidP="006979E7">
      <w:pPr>
        <w:pStyle w:val="Body"/>
        <w:spacing w:after="0"/>
        <w:rPr>
          <w:rFonts w:ascii="Arial" w:hAnsi="Arial" w:cs="Arial"/>
        </w:rPr>
      </w:pPr>
      <w:r w:rsidRPr="006979E7">
        <w:rPr>
          <w:rFonts w:ascii="Arial" w:hAnsi="Arial" w:cs="Arial"/>
        </w:rPr>
        <w:t>[19]. Kamila, W.; Wioletta, R. K.; Krzysztof, L.; Karolina, K. and Grzegorz, M. (2018). Health Risk Impacts of Exposure to Airborne Metals and Benzo (a) pyrene during episodes of high PM</w:t>
      </w:r>
      <w:r w:rsidRPr="006979E7">
        <w:rPr>
          <w:rFonts w:ascii="Arial" w:hAnsi="Arial" w:cs="Arial"/>
          <w:vertAlign w:val="subscript"/>
        </w:rPr>
        <w:t>10</w:t>
      </w:r>
      <w:r w:rsidRPr="006979E7">
        <w:rPr>
          <w:rFonts w:ascii="Arial" w:hAnsi="Arial" w:cs="Arial"/>
        </w:rPr>
        <w:t xml:space="preserve"> Concentrations in Poland. Biomed. Environ. Sci. 31, 23–36.</w:t>
      </w:r>
    </w:p>
    <w:p w14:paraId="5503DA8E" w14:textId="77777777" w:rsidR="006979E7" w:rsidRPr="006979E7" w:rsidRDefault="006979E7" w:rsidP="006979E7">
      <w:pPr>
        <w:pStyle w:val="Body"/>
        <w:spacing w:after="0"/>
        <w:rPr>
          <w:rFonts w:ascii="Arial" w:hAnsi="Arial" w:cs="Arial"/>
        </w:rPr>
      </w:pPr>
      <w:r w:rsidRPr="006979E7">
        <w:rPr>
          <w:rFonts w:ascii="Arial" w:hAnsi="Arial" w:cs="Arial"/>
        </w:rPr>
        <w:t xml:space="preserve">[20]. Mahmoud, N.; Al-Shahwani, D.; Al-Thani, H. and </w:t>
      </w:r>
      <w:proofErr w:type="spellStart"/>
      <w:r w:rsidRPr="006979E7">
        <w:rPr>
          <w:rFonts w:ascii="Arial" w:hAnsi="Arial" w:cs="Arial"/>
        </w:rPr>
        <w:t>Isaifan</w:t>
      </w:r>
      <w:proofErr w:type="spellEnd"/>
      <w:r w:rsidRPr="006979E7">
        <w:rPr>
          <w:rFonts w:ascii="Arial" w:hAnsi="Arial" w:cs="Arial"/>
        </w:rPr>
        <w:t>, R. J. (2023). Risk Assessment of the Impact of Heavy Metals in Urban Traffic Dust on Human Health. Atmosphere 14, 1049.</w:t>
      </w:r>
    </w:p>
    <w:p w14:paraId="0FE466D6" w14:textId="77777777" w:rsidR="006979E7" w:rsidRPr="006979E7" w:rsidRDefault="006979E7" w:rsidP="006979E7">
      <w:pPr>
        <w:pStyle w:val="Body"/>
        <w:spacing w:after="0"/>
        <w:rPr>
          <w:rFonts w:ascii="Arial" w:hAnsi="Arial" w:cs="Arial"/>
        </w:rPr>
      </w:pPr>
      <w:r w:rsidRPr="006979E7">
        <w:rPr>
          <w:rFonts w:ascii="Arial" w:hAnsi="Arial" w:cs="Arial"/>
        </w:rPr>
        <w:t xml:space="preserve">[21]. Khan S. A.; Muhammad S.; Nazir, S. and Shah, F.A. (2020).  Heavy Metals Bounded to Particulate Matter in the </w:t>
      </w:r>
      <w:proofErr w:type="spellStart"/>
      <w:r w:rsidRPr="006979E7">
        <w:rPr>
          <w:rFonts w:ascii="Arial" w:hAnsi="Arial" w:cs="Arial"/>
        </w:rPr>
        <w:t>Esidential</w:t>
      </w:r>
      <w:proofErr w:type="spellEnd"/>
      <w:r w:rsidRPr="006979E7">
        <w:rPr>
          <w:rFonts w:ascii="Arial" w:hAnsi="Arial" w:cs="Arial"/>
        </w:rPr>
        <w:t xml:space="preserve"> and Industrial Sites of Islamabad, Pakistan: Implications for Non-</w:t>
      </w:r>
      <w:r w:rsidRPr="006979E7">
        <w:rPr>
          <w:rFonts w:ascii="Arial" w:hAnsi="Arial" w:cs="Arial"/>
        </w:rPr>
        <w:tab/>
        <w:t>cancer and Cancer Risks. Environmental Technology and Innovation, 19, 100822.</w:t>
      </w:r>
    </w:p>
    <w:p w14:paraId="4849CCC6" w14:textId="77777777" w:rsidR="006979E7" w:rsidRPr="006979E7" w:rsidRDefault="006979E7" w:rsidP="006979E7">
      <w:pPr>
        <w:pStyle w:val="Body"/>
        <w:spacing w:after="0"/>
        <w:rPr>
          <w:rFonts w:ascii="Arial" w:hAnsi="Arial" w:cs="Arial"/>
        </w:rPr>
      </w:pPr>
      <w:r w:rsidRPr="006979E7">
        <w:rPr>
          <w:rFonts w:ascii="Arial" w:hAnsi="Arial" w:cs="Arial"/>
        </w:rPr>
        <w:t>[22]. Zhang X., Eto Y. and Aikawa M. (2021). Risk Assessment and Management of PM</w:t>
      </w:r>
      <w:r w:rsidRPr="006979E7">
        <w:rPr>
          <w:rFonts w:ascii="Arial" w:hAnsi="Arial" w:cs="Arial"/>
          <w:vertAlign w:val="subscript"/>
        </w:rPr>
        <w:t>2.5</w:t>
      </w:r>
      <w:r w:rsidRPr="006979E7">
        <w:rPr>
          <w:rFonts w:ascii="Arial" w:hAnsi="Arial" w:cs="Arial"/>
        </w:rPr>
        <w:t>-Bound Heavy Metals in the Urban Area of Kita-</w:t>
      </w:r>
      <w:proofErr w:type="spellStart"/>
      <w:r w:rsidRPr="006979E7">
        <w:rPr>
          <w:rFonts w:ascii="Arial" w:hAnsi="Arial" w:cs="Arial"/>
        </w:rPr>
        <w:t>kyushu</w:t>
      </w:r>
      <w:proofErr w:type="spellEnd"/>
      <w:r w:rsidRPr="006979E7">
        <w:rPr>
          <w:rFonts w:ascii="Arial" w:hAnsi="Arial" w:cs="Arial"/>
        </w:rPr>
        <w:t>, Japan. Science of The Total Environment, 795, 148748.</w:t>
      </w:r>
    </w:p>
    <w:p w14:paraId="5241A823" w14:textId="77777777" w:rsidR="006979E7" w:rsidRPr="006979E7" w:rsidRDefault="006979E7" w:rsidP="006979E7">
      <w:pPr>
        <w:pStyle w:val="Body"/>
        <w:spacing w:after="0"/>
        <w:rPr>
          <w:rFonts w:ascii="Arial" w:hAnsi="Arial" w:cs="Arial"/>
        </w:rPr>
      </w:pPr>
      <w:r w:rsidRPr="006979E7">
        <w:rPr>
          <w:rFonts w:ascii="Arial" w:hAnsi="Arial" w:cs="Arial"/>
        </w:rPr>
        <w:t xml:space="preserve">[23]. USEPA (2002). Supplemental Guidance for Developing Soil Screening Levels for Superfund Sites. </w:t>
      </w:r>
      <w:r w:rsidRPr="006979E7">
        <w:rPr>
          <w:rFonts w:ascii="Arial" w:hAnsi="Arial" w:cs="Arial"/>
        </w:rPr>
        <w:tab/>
        <w:t>Office of Emergency and Remedial Response, Washington, DC.</w:t>
      </w:r>
    </w:p>
    <w:p w14:paraId="3BDC293F" w14:textId="77777777" w:rsidR="006979E7" w:rsidRPr="006979E7" w:rsidRDefault="006979E7" w:rsidP="006979E7">
      <w:pPr>
        <w:pStyle w:val="Body"/>
        <w:spacing w:after="0"/>
        <w:rPr>
          <w:rFonts w:ascii="Arial" w:hAnsi="Arial" w:cs="Arial"/>
        </w:rPr>
      </w:pPr>
      <w:r w:rsidRPr="006979E7">
        <w:rPr>
          <w:rFonts w:ascii="Arial" w:hAnsi="Arial" w:cs="Arial"/>
        </w:rPr>
        <w:t>[24]. USEPA (2004). Risk Assessment Guidance for Superfund Volume I: Human Health Evaluation Manual (Part E, Supplemental Guidance for Dermal Risk Assessment). Office of Superfund Remediation and Technology Innovation, Washington, DC.</w:t>
      </w:r>
    </w:p>
    <w:p w14:paraId="08272A42" w14:textId="77777777" w:rsidR="006979E7" w:rsidRPr="006979E7" w:rsidRDefault="006979E7" w:rsidP="006979E7">
      <w:pPr>
        <w:pStyle w:val="Body"/>
        <w:spacing w:after="0"/>
        <w:rPr>
          <w:rFonts w:ascii="Arial" w:hAnsi="Arial" w:cs="Arial"/>
        </w:rPr>
      </w:pPr>
      <w:r w:rsidRPr="006979E7">
        <w:rPr>
          <w:rFonts w:ascii="Arial" w:hAnsi="Arial" w:cs="Arial"/>
        </w:rPr>
        <w:t>[25]. USEPA (2001). Risk Assessment Guidance for Superfund: Volume III - Part A, Process for Conducting Probabilistic Risk Assessment, Office of Emergency and Remedial Response Washington, DC, USA.</w:t>
      </w:r>
    </w:p>
    <w:p w14:paraId="618CEDAE" w14:textId="77777777" w:rsidR="006979E7" w:rsidRPr="006979E7" w:rsidRDefault="006979E7" w:rsidP="006979E7">
      <w:pPr>
        <w:pStyle w:val="Body"/>
        <w:spacing w:after="0"/>
        <w:rPr>
          <w:rFonts w:ascii="Arial" w:hAnsi="Arial" w:cs="Arial"/>
        </w:rPr>
      </w:pPr>
      <w:r w:rsidRPr="006979E7">
        <w:rPr>
          <w:rFonts w:ascii="Arial" w:hAnsi="Arial" w:cs="Arial"/>
        </w:rPr>
        <w:t xml:space="preserve">[26]. </w:t>
      </w:r>
      <w:proofErr w:type="spellStart"/>
      <w:r w:rsidRPr="006979E7">
        <w:rPr>
          <w:rFonts w:ascii="Arial" w:hAnsi="Arial" w:cs="Arial"/>
        </w:rPr>
        <w:t>Morakinyo</w:t>
      </w:r>
      <w:proofErr w:type="spellEnd"/>
      <w:r w:rsidRPr="006979E7">
        <w:rPr>
          <w:rFonts w:ascii="Arial" w:hAnsi="Arial" w:cs="Arial"/>
        </w:rPr>
        <w:t xml:space="preserve"> O. M.; </w:t>
      </w:r>
      <w:proofErr w:type="spellStart"/>
      <w:r w:rsidRPr="006979E7">
        <w:rPr>
          <w:rFonts w:ascii="Arial" w:hAnsi="Arial" w:cs="Arial"/>
        </w:rPr>
        <w:t>Mukhola</w:t>
      </w:r>
      <w:proofErr w:type="spellEnd"/>
      <w:r w:rsidRPr="006979E7">
        <w:rPr>
          <w:rFonts w:ascii="Arial" w:hAnsi="Arial" w:cs="Arial"/>
        </w:rPr>
        <w:t xml:space="preserve">, M. S. and </w:t>
      </w:r>
      <w:proofErr w:type="spellStart"/>
      <w:r w:rsidRPr="006979E7">
        <w:rPr>
          <w:rFonts w:ascii="Arial" w:hAnsi="Arial" w:cs="Arial"/>
        </w:rPr>
        <w:t>Mokgobu</w:t>
      </w:r>
      <w:proofErr w:type="spellEnd"/>
      <w:r w:rsidRPr="006979E7">
        <w:rPr>
          <w:rFonts w:ascii="Arial" w:hAnsi="Arial" w:cs="Arial"/>
        </w:rPr>
        <w:t xml:space="preserve"> M. I. (2021). Health Risk Analysis of Elemental Components of an Industrially Emitted Respirable Particulate Matter in an Urban Area. International Journal of Environmental Research and Public Health, 18, 3653.</w:t>
      </w:r>
    </w:p>
    <w:p w14:paraId="768725E4" w14:textId="77777777" w:rsidR="006979E7" w:rsidRPr="006979E7" w:rsidRDefault="006979E7" w:rsidP="006979E7">
      <w:pPr>
        <w:pStyle w:val="Body"/>
        <w:spacing w:after="0"/>
        <w:rPr>
          <w:rFonts w:ascii="Arial" w:hAnsi="Arial" w:cs="Arial"/>
        </w:rPr>
      </w:pPr>
      <w:r w:rsidRPr="006979E7">
        <w:rPr>
          <w:rFonts w:ascii="Arial" w:hAnsi="Arial" w:cs="Arial"/>
        </w:rPr>
        <w:t>[27]. OEHHA (2021). Chemical Databases. https://oehha.ca.gov/ chemicals. (Accessed on 10 October 2021).</w:t>
      </w:r>
    </w:p>
    <w:p w14:paraId="39C59B6F" w14:textId="77777777" w:rsidR="006979E7" w:rsidRPr="006979E7" w:rsidRDefault="006979E7" w:rsidP="006979E7">
      <w:pPr>
        <w:pStyle w:val="Body"/>
        <w:spacing w:after="0"/>
        <w:rPr>
          <w:rFonts w:ascii="Arial" w:hAnsi="Arial" w:cs="Arial"/>
        </w:rPr>
      </w:pPr>
      <w:r w:rsidRPr="006979E7">
        <w:rPr>
          <w:rFonts w:ascii="Arial" w:hAnsi="Arial" w:cs="Arial"/>
        </w:rPr>
        <w:t>[28]. Sun S.; Zheng N.; Wang S.; Li Y.; Hou S., Song X., Du S., An Q., Li P., Li X., Hua X. and Dong D. (2021). Source Analysis and Human Health Risk Assessment Based on Entropy Weight Method Modification of PM2.5 Heavy Metal in an Industrial Area in the Northeast of China. Atmosphere, 12, 852.</w:t>
      </w:r>
    </w:p>
    <w:p w14:paraId="6CE8B1AF" w14:textId="77777777" w:rsidR="006979E7" w:rsidRPr="006979E7" w:rsidRDefault="006979E7" w:rsidP="001E72C3">
      <w:pPr>
        <w:pStyle w:val="Body"/>
        <w:spacing w:after="0"/>
        <w:rPr>
          <w:rFonts w:ascii="Arial" w:hAnsi="Arial" w:cs="Arial"/>
          <w:bCs/>
        </w:rPr>
      </w:pPr>
      <w:r w:rsidRPr="006979E7">
        <w:rPr>
          <w:rFonts w:ascii="Arial" w:hAnsi="Arial" w:cs="Arial"/>
          <w:bCs/>
        </w:rPr>
        <w:t xml:space="preserve">[29]. </w:t>
      </w:r>
      <w:proofErr w:type="spellStart"/>
      <w:r w:rsidRPr="006979E7">
        <w:rPr>
          <w:rFonts w:ascii="Arial" w:hAnsi="Arial" w:cs="Arial"/>
          <w:bCs/>
        </w:rPr>
        <w:t>Chalvatzaki</w:t>
      </w:r>
      <w:proofErr w:type="spellEnd"/>
      <w:r w:rsidRPr="006979E7">
        <w:rPr>
          <w:rFonts w:ascii="Arial" w:hAnsi="Arial" w:cs="Arial"/>
          <w:bCs/>
        </w:rPr>
        <w:t xml:space="preserve"> E.; </w:t>
      </w:r>
      <w:proofErr w:type="spellStart"/>
      <w:r w:rsidRPr="006979E7">
        <w:rPr>
          <w:rFonts w:ascii="Arial" w:hAnsi="Arial" w:cs="Arial"/>
          <w:bCs/>
        </w:rPr>
        <w:t>Chatoutsidou</w:t>
      </w:r>
      <w:proofErr w:type="spellEnd"/>
      <w:r w:rsidRPr="006979E7">
        <w:rPr>
          <w:rFonts w:ascii="Arial" w:hAnsi="Arial" w:cs="Arial"/>
          <w:bCs/>
        </w:rPr>
        <w:t xml:space="preserve"> S. E.; Lehtomäki H.; Almeida S. M., </w:t>
      </w:r>
      <w:r w:rsidRPr="006979E7">
        <w:rPr>
          <w:rFonts w:ascii="Arial" w:hAnsi="Arial" w:cs="Arial"/>
          <w:bCs/>
        </w:rPr>
        <w:tab/>
        <w:t>Eleftheriadis K.; Hänninen O. and Lazaridis M. (2019). Characterization of Human Health Risks from Particulate Air Pollution in Selected European cities. Atmosphere, 10, 96.</w:t>
      </w:r>
    </w:p>
    <w:p w14:paraId="35F587E7" w14:textId="77777777" w:rsidR="006979E7" w:rsidRPr="006979E7" w:rsidRDefault="006979E7" w:rsidP="006979E7">
      <w:pPr>
        <w:pStyle w:val="Body"/>
        <w:rPr>
          <w:rFonts w:ascii="Arial" w:hAnsi="Arial" w:cs="Arial"/>
          <w:bCs/>
        </w:rPr>
      </w:pPr>
      <w:r w:rsidRPr="006979E7">
        <w:rPr>
          <w:rFonts w:ascii="Arial" w:hAnsi="Arial" w:cs="Arial"/>
          <w:bCs/>
        </w:rPr>
        <w:t>[30]. ATSDR. (2023). Minimal Risk Levels for Hazardous Substances. Agency for Toxic Substances and Dis ease Registry. https://wwwn.cdc.gov/TSP/MRLS/ mrlsListing.aspx</w:t>
      </w:r>
    </w:p>
    <w:sectPr w:rsidR="006979E7" w:rsidRPr="006979E7" w:rsidSect="00FE4E8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26906" w14:textId="77777777" w:rsidR="00004AC9" w:rsidRDefault="00004AC9" w:rsidP="00C37E61">
      <w:r>
        <w:separator/>
      </w:r>
    </w:p>
  </w:endnote>
  <w:endnote w:type="continuationSeparator" w:id="0">
    <w:p w14:paraId="556B4C51" w14:textId="77777777" w:rsidR="00004AC9" w:rsidRDefault="00004A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DBA5" w14:textId="77777777" w:rsidR="00FE4E80" w:rsidRDefault="00FE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DAF2" w14:textId="77777777" w:rsidR="00FE4E80" w:rsidRDefault="00FE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E729" w14:textId="77777777" w:rsidR="009E048A" w:rsidRDefault="009E048A">
    <w:pPr>
      <w:pStyle w:val="Footer"/>
      <w:rPr>
        <w:rFonts w:ascii="Arial" w:hAnsi="Arial" w:cs="Arial"/>
        <w:sz w:val="16"/>
      </w:rPr>
    </w:pPr>
  </w:p>
  <w:p w14:paraId="7BEFFDD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0E90062" w14:textId="77777777" w:rsidR="009E048A" w:rsidRDefault="009E048A">
    <w:pPr>
      <w:pStyle w:val="Footer"/>
      <w:rPr>
        <w:rFonts w:ascii="Arial" w:hAnsi="Arial" w:cs="Arial"/>
        <w:sz w:val="16"/>
      </w:rPr>
    </w:pPr>
  </w:p>
  <w:p w14:paraId="45C0982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67E5A" w14:textId="77777777" w:rsidR="00004AC9" w:rsidRDefault="00004AC9" w:rsidP="00C37E61">
      <w:r>
        <w:separator/>
      </w:r>
    </w:p>
  </w:footnote>
  <w:footnote w:type="continuationSeparator" w:id="0">
    <w:p w14:paraId="4DBDA286" w14:textId="77777777" w:rsidR="00004AC9" w:rsidRDefault="00004A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C422" w14:textId="7C33C9AD" w:rsidR="00FE4E80" w:rsidRDefault="00FE4E80">
    <w:pPr>
      <w:pStyle w:val="Header"/>
    </w:pPr>
    <w:r>
      <w:rPr>
        <w:noProof/>
      </w:rPr>
      <w:pict w14:anchorId="68A42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0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2615" w14:textId="20288921" w:rsidR="00FE4E80" w:rsidRDefault="00FE4E80">
    <w:pPr>
      <w:pStyle w:val="Header"/>
    </w:pPr>
    <w:r>
      <w:rPr>
        <w:noProof/>
      </w:rPr>
      <w:pict w14:anchorId="2142F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0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2A92" w14:textId="279B9B28" w:rsidR="00296529" w:rsidRPr="00296529" w:rsidRDefault="00FE4E80" w:rsidP="00296529">
    <w:pPr>
      <w:ind w:left="2160"/>
      <w:jc w:val="center"/>
      <w:rPr>
        <w:rFonts w:ascii="Times New Roman" w:eastAsia="Calibri" w:hAnsi="Times New Roman"/>
        <w:i/>
        <w:sz w:val="18"/>
        <w:szCs w:val="22"/>
      </w:rPr>
    </w:pPr>
    <w:r>
      <w:rPr>
        <w:noProof/>
      </w:rPr>
      <w:pict w14:anchorId="4C850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10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7BE53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14BE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ED481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68F3E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6270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8DB6D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4AC9"/>
    <w:rsid w:val="0000672D"/>
    <w:rsid w:val="0001423A"/>
    <w:rsid w:val="00030174"/>
    <w:rsid w:val="0004579C"/>
    <w:rsid w:val="00060354"/>
    <w:rsid w:val="000A47FA"/>
    <w:rsid w:val="000A65D3"/>
    <w:rsid w:val="000B1E33"/>
    <w:rsid w:val="000B3229"/>
    <w:rsid w:val="000C533D"/>
    <w:rsid w:val="000D689F"/>
    <w:rsid w:val="000E7B7B"/>
    <w:rsid w:val="000E7D62"/>
    <w:rsid w:val="00103357"/>
    <w:rsid w:val="00123C9F"/>
    <w:rsid w:val="00126190"/>
    <w:rsid w:val="00130F17"/>
    <w:rsid w:val="001320BF"/>
    <w:rsid w:val="0015488A"/>
    <w:rsid w:val="00163BC4"/>
    <w:rsid w:val="00182D04"/>
    <w:rsid w:val="00183A5A"/>
    <w:rsid w:val="00191062"/>
    <w:rsid w:val="00192B72"/>
    <w:rsid w:val="001A29D8"/>
    <w:rsid w:val="001A5CAA"/>
    <w:rsid w:val="001B0427"/>
    <w:rsid w:val="001D3A51"/>
    <w:rsid w:val="001E10D2"/>
    <w:rsid w:val="001E25B4"/>
    <w:rsid w:val="001E44FE"/>
    <w:rsid w:val="001E72C3"/>
    <w:rsid w:val="001F46DB"/>
    <w:rsid w:val="00200595"/>
    <w:rsid w:val="00204835"/>
    <w:rsid w:val="00231920"/>
    <w:rsid w:val="0023195C"/>
    <w:rsid w:val="0024282C"/>
    <w:rsid w:val="002460DC"/>
    <w:rsid w:val="00250985"/>
    <w:rsid w:val="002556F6"/>
    <w:rsid w:val="00283105"/>
    <w:rsid w:val="00284C4C"/>
    <w:rsid w:val="00287E68"/>
    <w:rsid w:val="002913C5"/>
    <w:rsid w:val="00296529"/>
    <w:rsid w:val="002A3438"/>
    <w:rsid w:val="002B27FB"/>
    <w:rsid w:val="002B685A"/>
    <w:rsid w:val="002C57D2"/>
    <w:rsid w:val="002E0D56"/>
    <w:rsid w:val="00315186"/>
    <w:rsid w:val="00332D46"/>
    <w:rsid w:val="0033343E"/>
    <w:rsid w:val="003339A1"/>
    <w:rsid w:val="00340784"/>
    <w:rsid w:val="003512C2"/>
    <w:rsid w:val="00356191"/>
    <w:rsid w:val="00371FB6"/>
    <w:rsid w:val="003763C1"/>
    <w:rsid w:val="00376BBE"/>
    <w:rsid w:val="0039224F"/>
    <w:rsid w:val="003A43A4"/>
    <w:rsid w:val="003A7E18"/>
    <w:rsid w:val="003B1F3E"/>
    <w:rsid w:val="003B5897"/>
    <w:rsid w:val="003C4C86"/>
    <w:rsid w:val="003C6258"/>
    <w:rsid w:val="003E2904"/>
    <w:rsid w:val="00401927"/>
    <w:rsid w:val="0041027F"/>
    <w:rsid w:val="00412475"/>
    <w:rsid w:val="0041621F"/>
    <w:rsid w:val="00423789"/>
    <w:rsid w:val="0042574A"/>
    <w:rsid w:val="00440F43"/>
    <w:rsid w:val="00441B6F"/>
    <w:rsid w:val="00446221"/>
    <w:rsid w:val="00450D61"/>
    <w:rsid w:val="00450E62"/>
    <w:rsid w:val="004539DB"/>
    <w:rsid w:val="00463B05"/>
    <w:rsid w:val="00471A80"/>
    <w:rsid w:val="00493BBD"/>
    <w:rsid w:val="004B60C6"/>
    <w:rsid w:val="004C7D96"/>
    <w:rsid w:val="004D018C"/>
    <w:rsid w:val="004D305E"/>
    <w:rsid w:val="004D4277"/>
    <w:rsid w:val="00502516"/>
    <w:rsid w:val="00505F06"/>
    <w:rsid w:val="00506828"/>
    <w:rsid w:val="0053056E"/>
    <w:rsid w:val="00533F4A"/>
    <w:rsid w:val="00554FDA"/>
    <w:rsid w:val="005578A3"/>
    <w:rsid w:val="00570425"/>
    <w:rsid w:val="005A134F"/>
    <w:rsid w:val="005A5722"/>
    <w:rsid w:val="005C784C"/>
    <w:rsid w:val="005D17F6"/>
    <w:rsid w:val="005E5539"/>
    <w:rsid w:val="00602BF5"/>
    <w:rsid w:val="0060684A"/>
    <w:rsid w:val="00617FDD"/>
    <w:rsid w:val="00633614"/>
    <w:rsid w:val="00633F68"/>
    <w:rsid w:val="00636EB2"/>
    <w:rsid w:val="006375B8"/>
    <w:rsid w:val="0066510A"/>
    <w:rsid w:val="00673F9F"/>
    <w:rsid w:val="0068344B"/>
    <w:rsid w:val="00686953"/>
    <w:rsid w:val="00687DEA"/>
    <w:rsid w:val="00687E67"/>
    <w:rsid w:val="006967F7"/>
    <w:rsid w:val="006979E7"/>
    <w:rsid w:val="006A250C"/>
    <w:rsid w:val="006A26D9"/>
    <w:rsid w:val="006B21D3"/>
    <w:rsid w:val="006B57D0"/>
    <w:rsid w:val="006D0DD7"/>
    <w:rsid w:val="006D30FF"/>
    <w:rsid w:val="006D6940"/>
    <w:rsid w:val="006E5228"/>
    <w:rsid w:val="006F11EC"/>
    <w:rsid w:val="0070082C"/>
    <w:rsid w:val="00726ADB"/>
    <w:rsid w:val="00732FEB"/>
    <w:rsid w:val="007369E6"/>
    <w:rsid w:val="00741424"/>
    <w:rsid w:val="00746E59"/>
    <w:rsid w:val="00754C9A"/>
    <w:rsid w:val="0075599A"/>
    <w:rsid w:val="00761D52"/>
    <w:rsid w:val="0077749E"/>
    <w:rsid w:val="0079097F"/>
    <w:rsid w:val="00790ADA"/>
    <w:rsid w:val="00790EDA"/>
    <w:rsid w:val="007D2288"/>
    <w:rsid w:val="007D2859"/>
    <w:rsid w:val="007E088F"/>
    <w:rsid w:val="007F7B32"/>
    <w:rsid w:val="00804BC2"/>
    <w:rsid w:val="00813B70"/>
    <w:rsid w:val="0081431A"/>
    <w:rsid w:val="0083216F"/>
    <w:rsid w:val="00860000"/>
    <w:rsid w:val="00863BD3"/>
    <w:rsid w:val="008641ED"/>
    <w:rsid w:val="00866D66"/>
    <w:rsid w:val="008671C6"/>
    <w:rsid w:val="00875803"/>
    <w:rsid w:val="008B03D8"/>
    <w:rsid w:val="008B459E"/>
    <w:rsid w:val="008C1D35"/>
    <w:rsid w:val="008E13AE"/>
    <w:rsid w:val="008E1506"/>
    <w:rsid w:val="008E20DC"/>
    <w:rsid w:val="008E710C"/>
    <w:rsid w:val="008F2AAD"/>
    <w:rsid w:val="008F69D6"/>
    <w:rsid w:val="00902823"/>
    <w:rsid w:val="00915CA6"/>
    <w:rsid w:val="00927834"/>
    <w:rsid w:val="00930344"/>
    <w:rsid w:val="00936D15"/>
    <w:rsid w:val="00937A80"/>
    <w:rsid w:val="009500A6"/>
    <w:rsid w:val="00957C18"/>
    <w:rsid w:val="009659BA"/>
    <w:rsid w:val="00983040"/>
    <w:rsid w:val="00991CE7"/>
    <w:rsid w:val="009B3FB9"/>
    <w:rsid w:val="009B79A5"/>
    <w:rsid w:val="009C2465"/>
    <w:rsid w:val="009C7631"/>
    <w:rsid w:val="009D35A0"/>
    <w:rsid w:val="009D7EB7"/>
    <w:rsid w:val="009E048A"/>
    <w:rsid w:val="009E08E9"/>
    <w:rsid w:val="009E22B4"/>
    <w:rsid w:val="009E3DB9"/>
    <w:rsid w:val="009E6E35"/>
    <w:rsid w:val="009F0EDA"/>
    <w:rsid w:val="009F4319"/>
    <w:rsid w:val="00A03B96"/>
    <w:rsid w:val="00A05B19"/>
    <w:rsid w:val="00A1134E"/>
    <w:rsid w:val="00A24E7E"/>
    <w:rsid w:val="00A258C3"/>
    <w:rsid w:val="00A3052A"/>
    <w:rsid w:val="00A327B5"/>
    <w:rsid w:val="00A347C0"/>
    <w:rsid w:val="00A51431"/>
    <w:rsid w:val="00A539AD"/>
    <w:rsid w:val="00A94063"/>
    <w:rsid w:val="00AA6219"/>
    <w:rsid w:val="00AA6BD2"/>
    <w:rsid w:val="00AA74E0"/>
    <w:rsid w:val="00AB132B"/>
    <w:rsid w:val="00AB22A5"/>
    <w:rsid w:val="00AB703F"/>
    <w:rsid w:val="00AC5ABC"/>
    <w:rsid w:val="00AC6BB8"/>
    <w:rsid w:val="00AE008F"/>
    <w:rsid w:val="00AE5495"/>
    <w:rsid w:val="00AF1106"/>
    <w:rsid w:val="00B01FCD"/>
    <w:rsid w:val="00B034CF"/>
    <w:rsid w:val="00B1776C"/>
    <w:rsid w:val="00B24B8C"/>
    <w:rsid w:val="00B2786E"/>
    <w:rsid w:val="00B42D91"/>
    <w:rsid w:val="00B52583"/>
    <w:rsid w:val="00B52896"/>
    <w:rsid w:val="00B8360C"/>
    <w:rsid w:val="00B95236"/>
    <w:rsid w:val="00B96BD9"/>
    <w:rsid w:val="00BA1B01"/>
    <w:rsid w:val="00BA2641"/>
    <w:rsid w:val="00BB37AA"/>
    <w:rsid w:val="00BC53A0"/>
    <w:rsid w:val="00BE62AD"/>
    <w:rsid w:val="00BF121F"/>
    <w:rsid w:val="00BF1F80"/>
    <w:rsid w:val="00C00997"/>
    <w:rsid w:val="00C06D43"/>
    <w:rsid w:val="00C166EF"/>
    <w:rsid w:val="00C17EB0"/>
    <w:rsid w:val="00C20D5F"/>
    <w:rsid w:val="00C27F5F"/>
    <w:rsid w:val="00C30A0F"/>
    <w:rsid w:val="00C37E61"/>
    <w:rsid w:val="00C633BE"/>
    <w:rsid w:val="00C70F1B"/>
    <w:rsid w:val="00C71A47"/>
    <w:rsid w:val="00C7464C"/>
    <w:rsid w:val="00C846D9"/>
    <w:rsid w:val="00C85588"/>
    <w:rsid w:val="00CA1640"/>
    <w:rsid w:val="00CD6755"/>
    <w:rsid w:val="00CD6856"/>
    <w:rsid w:val="00CE0089"/>
    <w:rsid w:val="00CE793C"/>
    <w:rsid w:val="00CF193C"/>
    <w:rsid w:val="00D026B0"/>
    <w:rsid w:val="00D1391C"/>
    <w:rsid w:val="00D173F1"/>
    <w:rsid w:val="00D60420"/>
    <w:rsid w:val="00D65F54"/>
    <w:rsid w:val="00D67FE2"/>
    <w:rsid w:val="00D74CB0"/>
    <w:rsid w:val="00D8295D"/>
    <w:rsid w:val="00D86BDF"/>
    <w:rsid w:val="00DC2A65"/>
    <w:rsid w:val="00DE15F0"/>
    <w:rsid w:val="00DE5663"/>
    <w:rsid w:val="00DE78AA"/>
    <w:rsid w:val="00E053D0"/>
    <w:rsid w:val="00E1519B"/>
    <w:rsid w:val="00E15994"/>
    <w:rsid w:val="00E3114E"/>
    <w:rsid w:val="00E31A70"/>
    <w:rsid w:val="00E35B02"/>
    <w:rsid w:val="00E64BAC"/>
    <w:rsid w:val="00E66496"/>
    <w:rsid w:val="00E66B35"/>
    <w:rsid w:val="00E66E10"/>
    <w:rsid w:val="00E769F6"/>
    <w:rsid w:val="00E8407C"/>
    <w:rsid w:val="00E84F3C"/>
    <w:rsid w:val="00E93B5D"/>
    <w:rsid w:val="00EA012C"/>
    <w:rsid w:val="00EC6A55"/>
    <w:rsid w:val="00ED0288"/>
    <w:rsid w:val="00EE52CB"/>
    <w:rsid w:val="00EE562B"/>
    <w:rsid w:val="00EE62AF"/>
    <w:rsid w:val="00EF09D8"/>
    <w:rsid w:val="00EF581D"/>
    <w:rsid w:val="00EF7FD8"/>
    <w:rsid w:val="00F06F59"/>
    <w:rsid w:val="00F17074"/>
    <w:rsid w:val="00F17988"/>
    <w:rsid w:val="00F23D96"/>
    <w:rsid w:val="00F276C0"/>
    <w:rsid w:val="00F45EAA"/>
    <w:rsid w:val="00F469F0"/>
    <w:rsid w:val="00F53273"/>
    <w:rsid w:val="00F755E4"/>
    <w:rsid w:val="00F77D02"/>
    <w:rsid w:val="00F95DD9"/>
    <w:rsid w:val="00FB3A86"/>
    <w:rsid w:val="00FD36C8"/>
    <w:rsid w:val="00F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B95DF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6D0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7510760">
      <w:bodyDiv w:val="1"/>
      <w:marLeft w:val="0"/>
      <w:marRight w:val="0"/>
      <w:marTop w:val="0"/>
      <w:marBottom w:val="0"/>
      <w:divBdr>
        <w:top w:val="none" w:sz="0" w:space="0" w:color="auto"/>
        <w:left w:val="none" w:sz="0" w:space="0" w:color="auto"/>
        <w:bottom w:val="none" w:sz="0" w:space="0" w:color="auto"/>
        <w:right w:val="none" w:sz="0" w:space="0" w:color="auto"/>
      </w:divBdr>
    </w:div>
    <w:div w:id="26031877">
      <w:bodyDiv w:val="1"/>
      <w:marLeft w:val="0"/>
      <w:marRight w:val="0"/>
      <w:marTop w:val="0"/>
      <w:marBottom w:val="0"/>
      <w:divBdr>
        <w:top w:val="none" w:sz="0" w:space="0" w:color="auto"/>
        <w:left w:val="none" w:sz="0" w:space="0" w:color="auto"/>
        <w:bottom w:val="none" w:sz="0" w:space="0" w:color="auto"/>
        <w:right w:val="none" w:sz="0" w:space="0" w:color="auto"/>
      </w:divBdr>
    </w:div>
    <w:div w:id="1167237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951051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5138335">
      <w:bodyDiv w:val="1"/>
      <w:marLeft w:val="0"/>
      <w:marRight w:val="0"/>
      <w:marTop w:val="0"/>
      <w:marBottom w:val="0"/>
      <w:divBdr>
        <w:top w:val="none" w:sz="0" w:space="0" w:color="auto"/>
        <w:left w:val="none" w:sz="0" w:space="0" w:color="auto"/>
        <w:bottom w:val="none" w:sz="0" w:space="0" w:color="auto"/>
        <w:right w:val="none" w:sz="0" w:space="0" w:color="auto"/>
      </w:divBdr>
    </w:div>
    <w:div w:id="275407079">
      <w:bodyDiv w:val="1"/>
      <w:marLeft w:val="0"/>
      <w:marRight w:val="0"/>
      <w:marTop w:val="0"/>
      <w:marBottom w:val="0"/>
      <w:divBdr>
        <w:top w:val="none" w:sz="0" w:space="0" w:color="auto"/>
        <w:left w:val="none" w:sz="0" w:space="0" w:color="auto"/>
        <w:bottom w:val="none" w:sz="0" w:space="0" w:color="auto"/>
        <w:right w:val="none" w:sz="0" w:space="0" w:color="auto"/>
      </w:divBdr>
    </w:div>
    <w:div w:id="3755903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9888227">
      <w:bodyDiv w:val="1"/>
      <w:marLeft w:val="0"/>
      <w:marRight w:val="0"/>
      <w:marTop w:val="0"/>
      <w:marBottom w:val="0"/>
      <w:divBdr>
        <w:top w:val="none" w:sz="0" w:space="0" w:color="auto"/>
        <w:left w:val="none" w:sz="0" w:space="0" w:color="auto"/>
        <w:bottom w:val="none" w:sz="0" w:space="0" w:color="auto"/>
        <w:right w:val="none" w:sz="0" w:space="0" w:color="auto"/>
      </w:divBdr>
    </w:div>
    <w:div w:id="756246933">
      <w:bodyDiv w:val="1"/>
      <w:marLeft w:val="0"/>
      <w:marRight w:val="0"/>
      <w:marTop w:val="0"/>
      <w:marBottom w:val="0"/>
      <w:divBdr>
        <w:top w:val="none" w:sz="0" w:space="0" w:color="auto"/>
        <w:left w:val="none" w:sz="0" w:space="0" w:color="auto"/>
        <w:bottom w:val="none" w:sz="0" w:space="0" w:color="auto"/>
        <w:right w:val="none" w:sz="0" w:space="0" w:color="auto"/>
      </w:divBdr>
    </w:div>
    <w:div w:id="762871287">
      <w:bodyDiv w:val="1"/>
      <w:marLeft w:val="0"/>
      <w:marRight w:val="0"/>
      <w:marTop w:val="0"/>
      <w:marBottom w:val="0"/>
      <w:divBdr>
        <w:top w:val="none" w:sz="0" w:space="0" w:color="auto"/>
        <w:left w:val="none" w:sz="0" w:space="0" w:color="auto"/>
        <w:bottom w:val="none" w:sz="0" w:space="0" w:color="auto"/>
        <w:right w:val="none" w:sz="0" w:space="0" w:color="auto"/>
      </w:divBdr>
    </w:div>
    <w:div w:id="942030803">
      <w:bodyDiv w:val="1"/>
      <w:marLeft w:val="0"/>
      <w:marRight w:val="0"/>
      <w:marTop w:val="0"/>
      <w:marBottom w:val="0"/>
      <w:divBdr>
        <w:top w:val="none" w:sz="0" w:space="0" w:color="auto"/>
        <w:left w:val="none" w:sz="0" w:space="0" w:color="auto"/>
        <w:bottom w:val="none" w:sz="0" w:space="0" w:color="auto"/>
        <w:right w:val="none" w:sz="0" w:space="0" w:color="auto"/>
      </w:divBdr>
    </w:div>
    <w:div w:id="97931061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1378047">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138656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146140">
      <w:bodyDiv w:val="1"/>
      <w:marLeft w:val="0"/>
      <w:marRight w:val="0"/>
      <w:marTop w:val="0"/>
      <w:marBottom w:val="0"/>
      <w:divBdr>
        <w:top w:val="none" w:sz="0" w:space="0" w:color="auto"/>
        <w:left w:val="none" w:sz="0" w:space="0" w:color="auto"/>
        <w:bottom w:val="none" w:sz="0" w:space="0" w:color="auto"/>
        <w:right w:val="none" w:sz="0" w:space="0" w:color="auto"/>
      </w:divBdr>
    </w:div>
    <w:div w:id="1298298502">
      <w:bodyDiv w:val="1"/>
      <w:marLeft w:val="0"/>
      <w:marRight w:val="0"/>
      <w:marTop w:val="0"/>
      <w:marBottom w:val="0"/>
      <w:divBdr>
        <w:top w:val="none" w:sz="0" w:space="0" w:color="auto"/>
        <w:left w:val="none" w:sz="0" w:space="0" w:color="auto"/>
        <w:bottom w:val="none" w:sz="0" w:space="0" w:color="auto"/>
        <w:right w:val="none" w:sz="0" w:space="0" w:color="auto"/>
      </w:divBdr>
    </w:div>
    <w:div w:id="1679230284">
      <w:bodyDiv w:val="1"/>
      <w:marLeft w:val="0"/>
      <w:marRight w:val="0"/>
      <w:marTop w:val="0"/>
      <w:marBottom w:val="0"/>
      <w:divBdr>
        <w:top w:val="none" w:sz="0" w:space="0" w:color="auto"/>
        <w:left w:val="none" w:sz="0" w:space="0" w:color="auto"/>
        <w:bottom w:val="none" w:sz="0" w:space="0" w:color="auto"/>
        <w:right w:val="none" w:sz="0" w:space="0" w:color="auto"/>
      </w:divBdr>
    </w:div>
    <w:div w:id="16909836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6602187">
      <w:bodyDiv w:val="1"/>
      <w:marLeft w:val="0"/>
      <w:marRight w:val="0"/>
      <w:marTop w:val="0"/>
      <w:marBottom w:val="0"/>
      <w:divBdr>
        <w:top w:val="none" w:sz="0" w:space="0" w:color="auto"/>
        <w:left w:val="none" w:sz="0" w:space="0" w:color="auto"/>
        <w:bottom w:val="none" w:sz="0" w:space="0" w:color="auto"/>
        <w:right w:val="none" w:sz="0" w:space="0" w:color="auto"/>
      </w:divBdr>
    </w:div>
    <w:div w:id="1825664169">
      <w:bodyDiv w:val="1"/>
      <w:marLeft w:val="0"/>
      <w:marRight w:val="0"/>
      <w:marTop w:val="0"/>
      <w:marBottom w:val="0"/>
      <w:divBdr>
        <w:top w:val="none" w:sz="0" w:space="0" w:color="auto"/>
        <w:left w:val="none" w:sz="0" w:space="0" w:color="auto"/>
        <w:bottom w:val="none" w:sz="0" w:space="0" w:color="auto"/>
        <w:right w:val="none" w:sz="0" w:space="0" w:color="auto"/>
      </w:divBdr>
    </w:div>
    <w:div w:id="196557410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7393887">
      <w:bodyDiv w:val="1"/>
      <w:marLeft w:val="0"/>
      <w:marRight w:val="0"/>
      <w:marTop w:val="0"/>
      <w:marBottom w:val="0"/>
      <w:divBdr>
        <w:top w:val="none" w:sz="0" w:space="0" w:color="auto"/>
        <w:left w:val="none" w:sz="0" w:space="0" w:color="auto"/>
        <w:bottom w:val="none" w:sz="0" w:space="0" w:color="auto"/>
        <w:right w:val="none" w:sz="0" w:space="0" w:color="auto"/>
      </w:divBdr>
    </w:div>
    <w:div w:id="2037659188">
      <w:bodyDiv w:val="1"/>
      <w:marLeft w:val="0"/>
      <w:marRight w:val="0"/>
      <w:marTop w:val="0"/>
      <w:marBottom w:val="0"/>
      <w:divBdr>
        <w:top w:val="none" w:sz="0" w:space="0" w:color="auto"/>
        <w:left w:val="none" w:sz="0" w:space="0" w:color="auto"/>
        <w:bottom w:val="none" w:sz="0" w:space="0" w:color="auto"/>
        <w:right w:val="none" w:sz="0" w:space="0" w:color="auto"/>
      </w:divBdr>
    </w:div>
    <w:div w:id="20966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85CD-C61A-45AB-854D-67F6577C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189</TotalTime>
  <Pages>14</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30997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93</cp:revision>
  <cp:lastPrinted>1999-07-06T11:00:00Z</cp:lastPrinted>
  <dcterms:created xsi:type="dcterms:W3CDTF">2025-03-07T03:56:00Z</dcterms:created>
  <dcterms:modified xsi:type="dcterms:W3CDTF">2025-03-19T11:58:00Z</dcterms:modified>
</cp:coreProperties>
</file>