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DCE9" w14:textId="77777777" w:rsidR="001C097D" w:rsidRPr="001C097D" w:rsidRDefault="001C097D" w:rsidP="001C097D">
      <w:pPr>
        <w:pStyle w:val="Title"/>
        <w:jc w:val="both"/>
        <w:rPr>
          <w:rFonts w:ascii="Arial" w:hAnsi="Arial" w:cs="Arial"/>
          <w:bCs/>
          <w:i/>
          <w:iCs/>
          <w:u w:val="single"/>
        </w:rPr>
      </w:pPr>
      <w:r w:rsidRPr="001C097D">
        <w:rPr>
          <w:rFonts w:ascii="Arial" w:hAnsi="Arial" w:cs="Arial"/>
          <w:bCs/>
          <w:i/>
          <w:iCs/>
          <w:u w:val="single"/>
        </w:rPr>
        <w:t>Original Research Article</w:t>
      </w:r>
    </w:p>
    <w:p w14:paraId="10CBEF45" w14:textId="77777777" w:rsidR="00754C9A" w:rsidRDefault="00754C9A" w:rsidP="00441B6F">
      <w:pPr>
        <w:pStyle w:val="Title"/>
        <w:spacing w:after="0"/>
        <w:jc w:val="both"/>
        <w:rPr>
          <w:rFonts w:ascii="Arial" w:hAnsi="Arial" w:cs="Arial"/>
        </w:rPr>
      </w:pPr>
    </w:p>
    <w:p w14:paraId="7AA6DCF1" w14:textId="77777777" w:rsidR="00287ED5" w:rsidRPr="00EE04EB" w:rsidRDefault="00287ED5" w:rsidP="00287ED5">
      <w:pPr>
        <w:spacing w:line="276" w:lineRule="auto"/>
        <w:jc w:val="both"/>
        <w:rPr>
          <w:rFonts w:ascii="Arial" w:eastAsia="Calibri" w:hAnsi="Arial" w:cs="Arial"/>
          <w:b/>
          <w:bCs/>
          <w:kern w:val="2"/>
          <w:sz w:val="22"/>
          <w:szCs w:val="22"/>
          <w14:ligatures w14:val="standardContextual"/>
        </w:rPr>
      </w:pPr>
      <w:r w:rsidRPr="00EE04EB">
        <w:rPr>
          <w:rFonts w:ascii="Arial" w:eastAsia="Calibri" w:hAnsi="Arial" w:cs="Arial"/>
          <w:b/>
          <w:bCs/>
          <w:kern w:val="2"/>
          <w:sz w:val="22"/>
          <w:szCs w:val="22"/>
          <w14:ligatures w14:val="standardContextual"/>
        </w:rPr>
        <w:t>Assessing the adequacy of existing risk management programs for the safety of old dams: The case of Mindu dam in Morogoro Municipality.</w:t>
      </w:r>
    </w:p>
    <w:p w14:paraId="4F3E9886" w14:textId="77777777" w:rsidR="00790ADA" w:rsidRDefault="00790ADA" w:rsidP="00441B6F">
      <w:pPr>
        <w:pStyle w:val="Affiliation"/>
        <w:spacing w:after="0" w:line="240" w:lineRule="auto"/>
        <w:jc w:val="both"/>
        <w:rPr>
          <w:rFonts w:ascii="Arial" w:hAnsi="Arial" w:cs="Arial"/>
          <w:lang w:val="de-DE"/>
        </w:rPr>
      </w:pPr>
    </w:p>
    <w:p w14:paraId="747EAA21" w14:textId="77777777" w:rsidR="000E2D4C" w:rsidRPr="000E2D4C" w:rsidRDefault="000E2D4C" w:rsidP="00441B6F">
      <w:pPr>
        <w:pStyle w:val="Affiliation"/>
        <w:spacing w:after="0" w:line="240" w:lineRule="auto"/>
        <w:jc w:val="both"/>
        <w:rPr>
          <w:rFonts w:ascii="Arial" w:hAnsi="Arial" w:cs="Arial"/>
          <w:lang w:val="de-DE"/>
        </w:rPr>
      </w:pPr>
    </w:p>
    <w:p w14:paraId="2F6E349B" w14:textId="77777777" w:rsidR="00B01FCD" w:rsidRPr="00FB3A86" w:rsidRDefault="00FB3A86" w:rsidP="00441B6F">
      <w:pPr>
        <w:pStyle w:val="Copyright"/>
        <w:spacing w:after="0" w:line="240" w:lineRule="auto"/>
        <w:jc w:val="both"/>
        <w:rPr>
          <w:rFonts w:ascii="Arial" w:hAnsi="Arial" w:cs="Arial"/>
        </w:rPr>
        <w:sectPr w:rsidR="00B01FCD" w:rsidRPr="00FB3A86" w:rsidSect="000E2D4C">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1296" w:gutter="0"/>
          <w:cols w:space="720"/>
          <w:docGrid w:linePitch="272"/>
        </w:sectPr>
      </w:pPr>
      <w:r>
        <w:rPr>
          <w:rFonts w:ascii="Arial" w:hAnsi="Arial" w:cs="Arial"/>
        </w:rPr>
        <w:t>.</w:t>
      </w:r>
    </w:p>
    <w:p w14:paraId="31E4F5A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B1B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54E96" w:rsidRPr="00454E96" w14:paraId="6ADF5EDB" w14:textId="77777777" w:rsidTr="00454E96">
        <w:tc>
          <w:tcPr>
            <w:tcW w:w="9576" w:type="dxa"/>
            <w:shd w:val="clear" w:color="auto" w:fill="F2F2F2"/>
          </w:tcPr>
          <w:p w14:paraId="3915CA52" w14:textId="77777777" w:rsidR="00287ED5" w:rsidRDefault="00287ED5" w:rsidP="00EE04EB">
            <w:pPr>
              <w:spacing w:line="276" w:lineRule="auto"/>
              <w:rPr>
                <w:rFonts w:ascii="Arial" w:eastAsia="Calibri" w:hAnsi="Arial" w:cs="Arial"/>
              </w:rPr>
            </w:pPr>
            <w:r w:rsidRPr="00454E96">
              <w:rPr>
                <w:rFonts w:ascii="Arial" w:eastAsia="Calibri" w:hAnsi="Arial" w:cs="Arial"/>
              </w:rPr>
              <w:t>Governments were generally responsible for constructing and managing the world's largest dams, while private dams fell under the purview of individual owners. Incidents of technical failures in both government-operated and privately-owned dams have resulted in devastating fatalities and extensive harm to the environment and property. These occurrences have prompted significant apprehensions regarding the overall safety of dams worldwide. Although the structural and technical soundness of medium- to large-scale dams in Tanzania have been scrutinized, smaller private dams have been largely overlooked regarding existing and potential issues.</w:t>
            </w:r>
          </w:p>
          <w:p w14:paraId="13FF6DA7" w14:textId="77777777" w:rsidR="00454E96" w:rsidRPr="00454E96" w:rsidRDefault="00454E96" w:rsidP="00EE04EB">
            <w:pPr>
              <w:spacing w:line="276" w:lineRule="auto"/>
              <w:rPr>
                <w:rFonts w:ascii="Arial" w:eastAsia="Calibri" w:hAnsi="Arial" w:cs="Arial"/>
              </w:rPr>
            </w:pPr>
          </w:p>
          <w:p w14:paraId="491E6C8B" w14:textId="77777777" w:rsidR="00287ED5" w:rsidRPr="00454E96" w:rsidRDefault="00287ED5" w:rsidP="00EE04EB">
            <w:pPr>
              <w:spacing w:line="276" w:lineRule="auto"/>
              <w:rPr>
                <w:rFonts w:ascii="Arial" w:eastAsia="Calibri" w:hAnsi="Arial" w:cs="Arial"/>
              </w:rPr>
            </w:pPr>
            <w:r w:rsidRPr="00454E96">
              <w:rPr>
                <w:rFonts w:ascii="Arial" w:eastAsia="Calibri" w:hAnsi="Arial" w:cs="Arial"/>
              </w:rPr>
              <w:t>This study explores global literature to identify policy benchmarks for ensuring dam safety and adapts them for implementation in developing countries. Using a case study of Mindu-Morogoro, the study combines the World Bank's "essential" and "desirable" elements with generic models ranging from "minimum" to "best" practice to create innovative policy criteria. The case study includes an on-site dam survey, revealing micro-level deficiencies in both physical and managerial aspects. The findings indicate that the dam safety management policy in Mindu falls far below the minimal benchmark, highlighting the need to shift towards a "best practice" approach for enhanced security in Morogoro. It is essential to adhere to the minimum practice guidelines initially. To avert the risk of dam failure and subsequent flood disasters, other developing countries can draw insights from the policy analysis and design procedures.</w:t>
            </w:r>
          </w:p>
          <w:p w14:paraId="2F36F846" w14:textId="77777777" w:rsidR="00505F06" w:rsidRPr="00454E96" w:rsidRDefault="00505F06" w:rsidP="00454E96">
            <w:pPr>
              <w:rPr>
                <w:rFonts w:ascii="Arial" w:eastAsia="Calibri" w:hAnsi="Arial" w:cs="Arial"/>
                <w:szCs w:val="22"/>
              </w:rPr>
            </w:pPr>
          </w:p>
        </w:tc>
      </w:tr>
    </w:tbl>
    <w:p w14:paraId="1646F810" w14:textId="77777777" w:rsidR="00636EB2" w:rsidRDefault="00636EB2" w:rsidP="00441B6F">
      <w:pPr>
        <w:pStyle w:val="Body"/>
        <w:spacing w:after="0"/>
        <w:rPr>
          <w:rFonts w:ascii="Arial" w:hAnsi="Arial" w:cs="Arial"/>
          <w:i/>
        </w:rPr>
      </w:pPr>
    </w:p>
    <w:p w14:paraId="3BA74512" w14:textId="77777777" w:rsidR="00287ED5" w:rsidRPr="00D62A3B" w:rsidRDefault="00287ED5" w:rsidP="00287ED5">
      <w:pPr>
        <w:spacing w:line="276" w:lineRule="auto"/>
        <w:rPr>
          <w:rFonts w:ascii="Arial" w:eastAsia="Calibri" w:hAnsi="Arial" w:cs="Arial"/>
          <w:b/>
          <w:bCs/>
          <w:kern w:val="2"/>
          <w14:ligatures w14:val="standardContextual"/>
        </w:rPr>
      </w:pPr>
      <w:r w:rsidRPr="007F4CB2">
        <w:rPr>
          <w:rFonts w:ascii="Arial" w:eastAsia="Calibri" w:hAnsi="Arial" w:cs="Arial"/>
          <w:b/>
          <w:bCs/>
          <w:kern w:val="2"/>
          <w14:ligatures w14:val="standardContextual"/>
        </w:rPr>
        <w:t>Keywords:</w:t>
      </w:r>
      <w:r w:rsidRPr="007F4CB2">
        <w:rPr>
          <w:rFonts w:ascii="Arial" w:eastAsia="Calibri" w:hAnsi="Arial" w:cs="Arial"/>
          <w:kern w:val="2"/>
          <w14:ligatures w14:val="standardContextual"/>
        </w:rPr>
        <w:t xml:space="preserve"> </w:t>
      </w:r>
      <w:r w:rsidRPr="007F4CB2">
        <w:rPr>
          <w:rFonts w:ascii="Arial" w:eastAsia="Calibri" w:hAnsi="Arial" w:cs="Arial"/>
          <w:i/>
          <w:kern w:val="2"/>
          <w14:ligatures w14:val="standardContextual"/>
        </w:rPr>
        <w:t>Policy Benchmarks, Dam Safety, Mindu-Morogoro, RUWA</w:t>
      </w:r>
    </w:p>
    <w:p w14:paraId="1B11936A" w14:textId="77777777" w:rsidR="00505F06" w:rsidRPr="00A24E7E" w:rsidRDefault="00505F06" w:rsidP="00441B6F">
      <w:pPr>
        <w:pStyle w:val="Body"/>
        <w:spacing w:after="0"/>
        <w:rPr>
          <w:rFonts w:ascii="Arial" w:hAnsi="Arial" w:cs="Arial"/>
          <w:i/>
        </w:rPr>
      </w:pPr>
    </w:p>
    <w:p w14:paraId="0C51151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287ED5">
        <w:rPr>
          <w:rFonts w:ascii="Arial" w:hAnsi="Arial" w:cs="Arial"/>
        </w:rPr>
        <w:t xml:space="preserve"> </w:t>
      </w:r>
    </w:p>
    <w:p w14:paraId="1DA3B794" w14:textId="77777777" w:rsidR="00790ADA" w:rsidRPr="00FB3A86" w:rsidRDefault="00790ADA" w:rsidP="00441B6F">
      <w:pPr>
        <w:pStyle w:val="AbstHead"/>
        <w:spacing w:after="0"/>
        <w:jc w:val="both"/>
        <w:rPr>
          <w:rFonts w:ascii="Arial" w:hAnsi="Arial" w:cs="Arial"/>
        </w:rPr>
      </w:pPr>
    </w:p>
    <w:p w14:paraId="2CC66B87" w14:textId="77777777" w:rsidR="00287ED5" w:rsidRDefault="00287ED5" w:rsidP="00EE04EB">
      <w:pPr>
        <w:spacing w:line="276" w:lineRule="auto"/>
        <w:rPr>
          <w:rFonts w:ascii="Arial" w:eastAsia="Calibri" w:hAnsi="Arial" w:cs="Arial"/>
          <w:kern w:val="2"/>
          <w14:ligatures w14:val="standardContextual"/>
        </w:rPr>
      </w:pPr>
      <w:r w:rsidRPr="007F4CB2">
        <w:rPr>
          <w:rFonts w:ascii="Arial" w:eastAsia="Calibri" w:hAnsi="Arial" w:cs="Arial"/>
          <w:kern w:val="2"/>
          <w14:ligatures w14:val="standardContextual"/>
        </w:rPr>
        <w:t xml:space="preserve">Dam safety is a critical global concern as the world continues to rely on dams for various purposes such as water storage, irrigation, hydropower generation, and flood control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{"citationItems":[{"id":"ITEM-1","itemData":{"author":[{"dropping-particle":"","family":"Pisaniello","given":"John D","non-dropping-particle":"","parse-names":false,"suffix":""}],"container-title":"William &amp; Mary Environmental Law &amp; Policy Review","id":"ITEM-1","issue":"2","issued":{"date-parts":[["2011"]]},"title":"A Comparative Review of Environmental Policies and Laws Involving Hazardous Private Dams : ' Appropriate ' Practice Models for Safe Catchments","type":"article-journal","volume":"35"},"uris":["http://www.mendeley.com/documents/?uuid=31768a6d-26a4-4816-8251-e7bdde7539f4","http://www.mendeley.com/documents/?uuid=1d46ba74-2d6b-48cc-ac8e-a3eaa4f1e08e","http://www.mendeley.com/documents/?uuid=88c0a796-0df3-4bcb-8e57-5dc97b04ebc8"]},{"id":"ITEM-2","itemData":{"DOI":"10.1080/20964129.2018.1549510","ISSN":"23328878","abstract":"Introduction: The benefit of wetlands for reducing poverty depends on the effectiveness of governance systems that influence peoples’ behaviour in the wise use of wetlands. Objectives: This article critically analyses the current poverty reduction strategies, agrarian policies and economic investments governing wetland usage, especially in Tanzania, with regard to their impact on sustainable Ramsar wetlands management. Methodology: It analyses the management structure, domestic policies and legal framework relating to the protection of wetlands in Tanzania in accordance to the wise use concept of the Ramsar Convention. Outcomes: Tanzanian legal provisions for wetland protection are uncoordinated and too limited in their coverage and scope to sufficiently address the destruction of wetland ecosystems. There is no comprehensive national legal framework to guide sustainable management of Ramsar wetlands in Tanzania as laid out by the Ramsar Convention, which the country ratified in the year 2000. Conclusion: Without a sound legislative and policy-making framework, Tanzanian wetlands and their diverse ecosystem services will continue to degenerate with current strategies of increasing agribusiness and other developmental projects or economic investments. This paper provides critical baseline information to inform decision makers to develop appropriate policy and laws, which promote the wise use of wetlands in Tanzania.","author":[{"dropping-particle":"","family":"Materu","given":"Silvia Francis","non-dropping-particle":"","parse-names":false,"suffix":""},{"dropping-particle":"","family":"Urban","given":"Brigitte","non-dropping-particle":"","parse-names":false,"suffix":""},{"dropping-particle":"","family":"Heise","given":"Susanne","non-dropping-particle":"","parse-names":false,"suffix":""}],"container-title":"Ecosystem Health and Sustainability","id":"ITEM-2","issue":"12","issued":{"date-parts":[["2018"]]},"page":"310-320","publisher":"Taylor &amp; Francis","title":"A critical review of policies and legislation protecting Tanzanian wetlands","type":"article-journal","volume":"4"},"uris":["http://www.mendeley.com/documents/?uuid=25ce1bd3-b145-41e7-9bc4-5026e3220713","http://www.mendeley.com/documents/?uuid=4a9f4fb6-6de0-4fb3-91b3-244e9087c11f","http://www.mendeley.com/documents/?uuid=33f445c4-621f-41cb-8145-a8da99e0a3cf"]}],"mendeley":{"formattedCitation":"(Materu et al., 2018; Pisaniello, 2011)","plainTextFormattedCitation":"(Materu et al., 2018; Pisaniello, 2011)","previouslyFormattedCitation":"(Materu et al., 2018; Pisaniello,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(Materu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2018; Pisaniello,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 Ensuring the integrity and safety of dams is paramount to prevent catastrophic failures that can lead to loss of lives, property damage, and environmental degradation. Dams play a crucial role in meeting the water and energy needs of many countries worldwide. According to the World Bank, there are over 57,000 large dams (height greater than 15 meters) across the globe, and countless smaller dams, serving a myriad of purposes</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{"citationItems":[{"id":"ITEM-1","itemData":{"ISSN":"1792-9040","abstract":"Dams construction is an old art practiced by man since thousands of years. History of dams shows great innovations in this field, but failure cases, however, indicate gaps in human knowledge of saf ...","author":[{"dropping-particle":"","family":"Adamo","given":"Nasrat","non-dropping-particle":"","parse-names":false,"suffix":""},{"dropping-particle":"","family":"Al-Ansari","given":"Nadhir","non-dropping-particle":"","parse-names":false,"suffix":""},{"dropping-particle":"","family":"Sissakian","given":"Varoujan","non-dropping-particle":"","parse-names":false,"suffix":""},{"dropping-particle":"","family":"Laue","given":"Jan","non-dropping-particle":"","parse-names":false,"suffix":""},{"dropping-particle":"","family":"Knutsson","given":"Sven","non-dropping-particle":"","parse-names":false,"suffix":""}],"container-title":"Journal of Earth Sciences and Geotechnical Engineering","id":"ITEM-1","issue":"6","issued":{"date-parts":[["2020"]]},"page":"1-21","title":"Dam Safety : General Considerations","type":"article-journal","volume":"10"},"uris":["http://www.mendeley.com/documents/?uuid=6cd9284f-68cb-4ba3-b5b1-55afe7d3f635","http://www.mendeley.com/documents/?uuid=3e9558ec-311b-40b9-8717-15b6c9504d38"]}],"mendeley":{"formattedCitation":"(Adamo et al., 2020)","plainTextFormattedCitation":"(Adamo et al., 2020)","previouslyFormattedCitation":"(Adamo et al., 2020)"},"properties":{"noteIndex":0},"schema":"https://github.com/citation-style-language/schema/raw/master/csl-citation.json"}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(Adamo et al., 2020)</w:t>
      </w:r>
      <w:r w:rsidRPr="007F4CB2">
        <w:rPr>
          <w:rFonts w:ascii="Arial" w:eastAsia="Calibri" w:hAnsi="Arial" w:cs="Arial"/>
          <w:kern w:val="2"/>
          <w14:ligatures w14:val="standardContextual"/>
        </w:rPr>
        <w:fldChar w:fldCharType="end"/>
      </w:r>
      <w:r>
        <w:rPr>
          <w:rFonts w:ascii="Arial" w:eastAsia="Calibri" w:hAnsi="Arial" w:cs="Arial"/>
          <w:kern w:val="2"/>
          <w14:ligatures w14:val="standardContextual"/>
        </w:rPr>
        <w:t>.</w:t>
      </w:r>
      <w:r w:rsidRPr="007F4CB2">
        <w:rPr>
          <w:rFonts w:ascii="Arial" w:eastAsia="Calibri" w:hAnsi="Arial" w:cs="Arial"/>
          <w:kern w:val="2"/>
          <w14:ligatures w14:val="standardContextual"/>
        </w:rPr>
        <w:t xml:space="preserve"> A significant challenge in dam safety is the aging infrastructure. Many dams were constructed decades ago, and their structural integrity may be compromised over time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{"citationItems":[{"id":"ITEM-1","itemData":{"author":[{"dropping-particle":"","family":"Thi","given":"Tuyet","non-dropping-particle":"","parse-names":false,"suffix":""},{"dropping-particle":"","family":"Burritt","given":"Roger L","non-dropping-particle":"","parse-names":false,"suffix":""},{"dropping-particle":"","family":"Pisaniello","given":"John D","non-dropping-particle":"","parse-names":false,"suffix":""}],"id":"ITEM-1","issued":{"date-parts":[["2012"]]},"page":"63-74","title":"Adequacy of policy and practices for small agricultural dam safety accountability and assurance in Vietnam","type":"article-journal","volume":"112"},"uris":["http://www.mendeley.com/documents/?uuid=0699a18a-07f0-4757-be92-0fb909d5bfd3","http://www.mendeley.com/documents/?uuid=b0236e87-193d-4758-9dc5-4a1a8b442594","http://www.mendeley.com/documents/?uuid=bfe80217-18ff-47c1-98e5-5d66e137ad1a"]},{"id":"ITEM-2","itemData":{"DOI":"10.1108/14635771111121720","ISSN":"14635771","abstract":"Purpose: Farm dam safety in Australia is being flouted and sustainability of catchments compromised because of the potential and severe consequences of dam failure. Hence, the purpose of this paper is to explore policy issues associated with safety of farm dam water storage through a comparison of developments in two Australian states against an analysis of international benchmarks and to provide an exemplar of best practice. Design/methodology/approach: A strategic review and content analysis is firstly undertaken to establish international dam safety policy benchmarks ranging from minimum to best practice as well as selection guidelines for varying circumstances, and to identify an exemplar best practice model. Longitudinal study over a 12-year period then provides the basis for case analysis in order to reinforce the established minimum level benchmark and to demonstrate the application of the benchmarked model policy selection guidelines. Findings: Research results show that in Australia, South Australia is lagging international benchmarks for on-farm dam safety management in a number of ways whilst a second state, Tasmania, provides leadership in this respect. The paper adds to the existing international benchmarking literature by identifying updated international best practice in private/farm dam safety assurance policy whilst establishing and providing longitudinal case study reinforcement for an acceptable minimum level benchmark in this area. The updated policy guidelines presented can be used to determine appropriate dam safety policy for any jurisdiction. Originality/value: The paper provides an original contribution of analysis, establishment and case study validation of international benchmarks and guidelines on developing appropriate dam safety management and assurance policy for varying jurisdictional circumstances. In addition, it provides an updated exemplar of how policy benchmarks can go towards addressing cumulative threats of smaller dams in catchments not previously addressed. © Emerald Group Publishing Limited.","author":[{"dropping-particle":"","family":"Tingey-Holyoak","given":"Joanne","non-dropping-particle":"","parse-names":false,"suffix":""},{"dropping-particle":"","family":"Pisaniello","given":"John D.","non-dropping-particle":"","parse-names":false,"suffix":""},{"dropping-particle":"","family":"Burritt","given":"Roger L.","non-dropping-particle":"","parse-names":false,"suffix":""}],"container-title":"Benchmarking","id":"ITEM-2","issue":"2","issued":{"date-parts":[["2011"]]},"page":"301-317","title":"Analysis and application of international dam safety policy benchmarks","type":"article-journal","volume":"18"},"uris":["http://www.mendeley.com/documents/?uuid=1751773a-65c1-4bc5-9821-3337ae6dc338","http://www.mendeley.com/documents/?uuid=6d7718d1-c9da-4979-bed5-07746a04dd21","http://www.mendeley.com/documents/?uuid=18b9fddf-693c-4d03-bec8-c057a4f5d646"]}],"mendeley":{"formattedCitation":"(Thi et al., 2012; Tingey-Holyoak et al., 2011)","plainTextFormattedCitation":"(Thi et al., 2012; Tingey-Holyoak et al., 2011)","previouslyFormattedCitation":"(Thi et al., 2012; Tingey-Holyoak et al.,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(Thi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xml:space="preserve">., 2012; Tingey-Holyoak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 xml:space="preserve">. The International Commission on Large Dams (ICOLD) estimates that over 60% of the world's large dams are more than 50 years old. Climate change and extreme weather events contribute to the increasing risk factors for dam safety, the frequency and intensity of storms, floods, and other natural disasters pose threats to the stability of dams, making it essential to reassess and reinforce existing safety measures. Dam failures and incidents have occurred globally, underscoring the urgency of prioritizing dam safety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{"citationItems":[{"id":"ITEM-1","itemData":{"DOI":"10.1080/07900627.2010.489306","ISSN":"07900627","abstract":"The safety of medium- and large-scale dams is addressed in many countries, but limited attention is paid to problems associated with smaller farm dams, particularly potential cumulative threats posed in larger catchments. Farmers in Australia often overlook the common law obligation to review and design dams in line with current standards. The result is downstream communities, property and environment placed at risk. This paper demonstrates the significance of this problem with case studies undertaken in policy-absent South Australia, policy-driven Victoria and policy-strong New South Wales, including empirical evidence on attitudes and responses of landholders and key policy actors. This demonstrates need for supervision of small dams. Tasmania is included as a case study as it represents a policy-model state on how this can be best achieved in line with international best-practice. The four cases provide useful comparative lessons. Policy guidelines applicable to any jurisdiction are included; their application is illustrated with the case studies. The paper considers the policy implications of these lessons for Australia in particular and the world in general. © 2010 Taylor &amp; Francis.","author":[{"dropping-particle":"","family":"Pisaniello","given":"John D.","non-dropping-particle":"","parse-names":false,"suffix":""}],"container-title":"International Journal of Water Resources Development","id":"ITEM-1","issue":"3","issued":{"date-parts":[["2010"]]},"page":"381-402","title":"Attitudes and Policy Responses to Australian farm dam safety threats: Comparative lessons for water resources managers","type":"article-journal","volume":"26"},"uris":["http://www.mendeley.com/documents/?uuid=1c8724b7-25ec-4d70-b869-d9a844243d01","http://www.mendeley.com/documents/?uuid=b57a8500-2eab-4913-8955-1728b03628cb","http://www.mendeley.com/documents/?uuid=80449049-4332-4df0-884e-58df38633fd0"]}],"mendeley":{"formattedCitation":"(Pisaniello, 2010)","plainTextFormattedCitation":"(Pisaniello, 2010)","previouslyFormattedCitation":"(Pisaniello, 2010)"},"properties":{"noteIndex":0},"schema":"https://github.com/citation-style-language/schema/raw/master/csl-citation.json"}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(Pisaniello, 2010)</w:t>
      </w:r>
      <w:r w:rsidRPr="007F4CB2">
        <w:rPr>
          <w:rFonts w:ascii="Arial" w:eastAsia="Calibri" w:hAnsi="Arial" w:cs="Arial"/>
          <w:kern w:val="2"/>
          <w14:ligatures w14:val="standardContextual"/>
        </w:rPr>
        <w:fldChar w:fldCharType="end"/>
      </w:r>
      <w:r w:rsidR="00454E96">
        <w:rPr>
          <w:rFonts w:ascii="Arial" w:eastAsia="Calibri" w:hAnsi="Arial" w:cs="Arial"/>
          <w:kern w:val="2"/>
          <w14:ligatures w14:val="standardContextual"/>
        </w:rPr>
        <w:t>.</w:t>
      </w:r>
      <w:r w:rsidRPr="007F4CB2">
        <w:rPr>
          <w:rFonts w:ascii="Arial" w:eastAsia="Calibri" w:hAnsi="Arial" w:cs="Arial"/>
          <w:kern w:val="2"/>
          <w14:ligatures w14:val="standardContextual"/>
        </w:rPr>
        <w:t xml:space="preserve"> Historical events, such as</w:t>
      </w:r>
      <w:r>
        <w:rPr>
          <w:rFonts w:ascii="Arial" w:eastAsia="Calibri" w:hAnsi="Arial" w:cs="Arial"/>
          <w:kern w:val="2"/>
          <w14:ligatures w14:val="standardContextual"/>
        </w:rPr>
        <w:t xml:space="preserve"> that reported by Xu et al., 2008</w:t>
      </w:r>
      <w:r w:rsidRPr="00E656CF">
        <w:rPr>
          <w:rFonts w:ascii="Arial" w:eastAsia="Calibri" w:hAnsi="Arial" w:cs="Arial"/>
          <w:color w:val="000000" w:themeColor="text1"/>
          <w:kern w:val="2"/>
          <w14:ligatures w14:val="standardContextual"/>
        </w:rPr>
        <w:t xml:space="preserve"> have resulted in </w:t>
      </w:r>
      <w:r>
        <w:rPr>
          <w:rFonts w:ascii="Arial" w:eastAsia="Calibri" w:hAnsi="Arial" w:cs="Arial"/>
          <w:color w:val="000000" w:themeColor="text1"/>
          <w:kern w:val="2"/>
          <w14:ligatures w14:val="standardContextual"/>
        </w:rPr>
        <w:t xml:space="preserve">significant loss of life and highlighted the potential consequences of inadequate safety measures. Various countries and international organisations have established regulatory </w:t>
      </w:r>
      <w:r>
        <w:rPr>
          <w:rFonts w:ascii="Arial" w:eastAsia="Calibri" w:hAnsi="Arial" w:cs="Arial"/>
          <w:color w:val="000000" w:themeColor="text1"/>
          <w:kern w:val="2"/>
          <w14:ligatures w14:val="standardContextual"/>
        </w:rPr>
        <w:lastRenderedPageBreak/>
        <w:t>frameworks and safety standards for dams</w:t>
      </w:r>
      <w:r w:rsidRPr="00E656CF">
        <w:rPr>
          <w:rFonts w:ascii="Arial" w:eastAsia="Calibri" w:hAnsi="Arial" w:cs="Arial"/>
          <w:color w:val="000000" w:themeColor="text1"/>
          <w:kern w:val="2"/>
          <w14:ligatures w14:val="standardContextual"/>
        </w:rPr>
        <w:t xml:space="preserve">. </w:t>
      </w:r>
      <w:r w:rsidRPr="007F4CB2">
        <w:rPr>
          <w:rFonts w:ascii="Arial" w:eastAsia="Calibri" w:hAnsi="Arial" w:cs="Arial"/>
          <w:kern w:val="2"/>
          <w14:ligatures w14:val="standardContextual"/>
        </w:rPr>
        <w:t xml:space="preserve">However, the level of adherence and enforcement varies globally. The World Bank indicates that strengthening regulatory capacities is crucial for enhancing dam safety on a global scale </w:t>
      </w:r>
      <w:r w:rsidRPr="007F4CB2">
        <w:rPr>
          <w:rFonts w:ascii="Arial" w:eastAsia="Calibri" w:hAnsi="Arial" w:cs="Arial"/>
          <w:kern w:val="2"/>
          <w14:ligatures w14:val="standardContextual"/>
        </w:rPr>
        <w:fldChar w:fldCharType="begin" w:fldLock="1"/>
      </w:r>
      <w:r w:rsidRPr="007F4CB2">
        <w:rPr>
          <w:rFonts w:ascii="Arial" w:eastAsia="Calibri" w:hAnsi="Arial" w:cs="Arial"/>
          <w:kern w:val="2"/>
          <w14:ligatures w14:val="standardContextual"/>
        </w:rPr>
        <w:instrText>ADDIN CSL_CITATION {"citationItems":[{"id":"ITEM-1","itemData":{"abstract":"This study evaluates six different approaches to classifying and mapping fire severity using multi-temporal Landsat Thematic Mapper data. The six approaches tested include: two based on temporal image differencing and ratioing between pre-fire and post-fire images, two based on principal component analysis of pre-and post-fire imagery, and two based on artificial neural networks, one using just post-fire imagery and the other both pre-and post-fire imagery. Our results demonstrated the potential value for any of these methods to provide quantitative fire severity maps, but one of the image differencing methods (ND4/7) provided a flexible, robust, and analytically simple approach that could be applied anywhere in the Continental U.S. Based on the results of this test, the ND4/7 was implemented operationally to classify and map fire severity over","author":[{"dropping-particle":"","family":"Brewer","given":"C Kenneth","non-dropping-particle":"","parse-names":false,"suffix":""},{"dropping-particle":"","family":"Winne","given":"J Chris","non-dropping-particle":"","parse-names":false,"suffix":""},{"dropping-particle":"","family":"Redmond","given":"Roland L","non-dropping-particle":"","parse-names":false,"suffix":""},{"dropping-particle":"","family":"Opitz","given":"David W","non-dropping-particle":"","parse-names":false,"suffix":""},{"dropping-particle":"V","family":"Mangrich","given":"Mark","non-dropping-particle":"","parse-names":false,"suffix":""}],"container-title":"Photogrammetric Engineering and Remote Sensing","id":"ITEM-1","issue":"11","issued":{"date-parts":[["2005"]]},"page":"1311-1320","title":"04-001.Qxd","type":"article-journal","volume":"71"},"uris":["http://www.mendeley.com/documents/?uuid=e9d745d8-a98a-4450-b124-526131c58e28","http://www.mendeley.com/documents/?uuid=43927cbe-49a9-43b7-ad7f-b87cb5b48a62","http://www.mendeley.com/documents/?uuid=1b0e9ebe-523a-4862-900d-75af5e4fb1b4"]},{"id":"ITEM-2","itemData":{"DOI":"10.1016/j.agwat.2010.10.001","ISSN":"03783774","abstract":"In most countries, owner responsibility exists under Common Law to manage and maintain dams according to current standards. However, farm dam safety in Australia is being flouted and the sustainability of farming businesses compromised because of the potential and severe consequences of dam failure. This paper explores management and policy issues associated with safety of farm dam water storage through a comparison of developments in two Australian states against international benchmarks. Historical review and a longitudinal study over a 12-year period provides the basis for case analysis and demonstrates the application of the benchmarked model policy selection guidelines. Research results show South Australia is lagging international best practice in a number of ways whilst Tasmania provides leadership. The contribution of this paper is a regulatory mix analysis approach, incorporating a cost-effective spillway safety engineering/accounting tool, developed and demonstrated through Australian case studies, that can be applied by any jurisdiction wanting to check and/or improve its farm dam safety management and provide a clearer analysis of the social and environmental costs and threats associated with on-farm dam safety issues. © 2010.","author":[{"dropping-particle":"","family":"Pisaniello","given":"John D.","non-dropping-particle":"","parse-names":false,"suffix":""},{"dropping-particle":"","family":"Burritt","given":"Roger L.","non-dropping-particle":"","parse-names":false,"suffix":""},{"dropping-particle":"","family":"Tingey-Holyoak","given":"Joanne","non-dropping-particle":"","parse-names":false,"suffix":""}],"container-title":"Agricultural Water Management","id":"ITEM-2","issue":"4","issued":{"date-parts":[["2011"]]},"page":"507-516","publisher":"Elsevier B.V.","title":"Dam safety management for sustainable farming businesses and catchments","type":"article-journal","volume":"98"},"uris":["http://www.mendeley.com/documents/?uuid=46f985a8-d79f-441f-a488-cfd4ff1364b4","http://www.mendeley.com/documents/?uuid=1b1aac02-56cb-4710-811b-935d20a20d33","http://www.mendeley.com/documents/?uuid=8e61fb34-7a12-4b2d-b2f2-d3acf0fe2087"]}],"mendeley":{"formattedCitation":"(Brewer et al., 2005; Pisaniello et al., 2011)","plainTextFormattedCitation":"(Brewer et al., 2005; Pisaniello et al., 2011)","previouslyFormattedCitation":"(Brewer et al., 2005; Pisaniello et al., 2011)"},"properties":{"noteIndex":0},"schema":"https://github.com/citation-style-language/schema/raw/master/csl-citation.json"}</w:instrText>
      </w:r>
      <w:r w:rsidRPr="007F4CB2">
        <w:rPr>
          <w:rFonts w:ascii="Arial" w:eastAsia="Calibri" w:hAnsi="Arial" w:cs="Arial"/>
          <w:kern w:val="2"/>
          <w14:ligatures w14:val="standardContextual"/>
        </w:rPr>
        <w:fldChar w:fldCharType="separate"/>
      </w:r>
      <w:r w:rsidRPr="007F4CB2">
        <w:rPr>
          <w:rFonts w:ascii="Arial" w:eastAsia="Calibri" w:hAnsi="Arial" w:cs="Arial"/>
          <w:noProof/>
          <w:kern w:val="2"/>
          <w14:ligatures w14:val="standardContextual"/>
        </w:rPr>
        <w:t xml:space="preserve">(Brewer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xml:space="preserve">., 2005; Pisaniello </w:t>
      </w:r>
      <w:r w:rsidRPr="007F4CB2">
        <w:rPr>
          <w:rFonts w:ascii="Arial" w:eastAsia="Calibri" w:hAnsi="Arial" w:cs="Arial"/>
          <w:i/>
          <w:iCs/>
          <w:noProof/>
          <w:kern w:val="2"/>
          <w14:ligatures w14:val="standardContextual"/>
        </w:rPr>
        <w:t>et al</w:t>
      </w:r>
      <w:r w:rsidRPr="007F4CB2">
        <w:rPr>
          <w:rFonts w:ascii="Arial" w:eastAsia="Calibri" w:hAnsi="Arial" w:cs="Arial"/>
          <w:noProof/>
          <w:kern w:val="2"/>
          <w14:ligatures w14:val="standardContextual"/>
        </w:rPr>
        <w:t>., 2011)</w:t>
      </w:r>
      <w:r w:rsidRPr="007F4CB2">
        <w:rPr>
          <w:rFonts w:ascii="Arial" w:eastAsia="Calibri" w:hAnsi="Arial" w:cs="Arial"/>
          <w:kern w:val="2"/>
          <w14:ligatures w14:val="standardContextual"/>
        </w:rPr>
        <w:fldChar w:fldCharType="end"/>
      </w:r>
      <w:r w:rsidRPr="007F4CB2">
        <w:rPr>
          <w:rFonts w:ascii="Arial" w:eastAsia="Calibri" w:hAnsi="Arial" w:cs="Arial"/>
          <w:kern w:val="2"/>
          <w14:ligatures w14:val="standardContextual"/>
        </w:rPr>
        <w:t>.</w:t>
      </w:r>
    </w:p>
    <w:p w14:paraId="5317EDD0" w14:textId="77777777" w:rsidR="00454E96" w:rsidRPr="007F4CB2" w:rsidRDefault="00454E96" w:rsidP="00EE04EB">
      <w:pPr>
        <w:spacing w:line="276" w:lineRule="auto"/>
        <w:rPr>
          <w:rFonts w:ascii="Arial" w:eastAsia="Calibri" w:hAnsi="Arial" w:cs="Arial"/>
          <w:kern w:val="2"/>
          <w14:ligatures w14:val="standardContextual"/>
        </w:rPr>
      </w:pPr>
    </w:p>
    <w:p w14:paraId="580B213F" w14:textId="77777777" w:rsidR="00287ED5" w:rsidRDefault="00287ED5" w:rsidP="00EE04EB">
      <w:pPr>
        <w:spacing w:line="276" w:lineRule="auto"/>
        <w:rPr>
          <w:rFonts w:ascii="Arial" w:hAnsi="Arial" w:cs="Arial"/>
        </w:rPr>
      </w:pPr>
      <w:r w:rsidRPr="00720FBE">
        <w:rPr>
          <w:rFonts w:ascii="Arial" w:hAnsi="Arial" w:cs="Arial"/>
        </w:rPr>
        <w:t xml:space="preserve">In Africa, dam safety is a critical concern, given the continent's increasing reliance on dams for various purposes. However, the region faces several challenges related to dam safety, ranging from inadequate infrastructure and maintenance practices to the impact of climate change. A significant number of dams in Africa are aging and may not meet modern safety standards. The lack of proper maintenance and surveillance can lead to potential risks, threatening both human lives and the environment (Perera et al., 2021). According to the World Bank, a substantial percentage of dams in Africa are classified as having high or significant hazard potential, signifying the potential for severe consequences in case of failure. Climate change exacerbates these concerns, as extreme weather events, such as heavy rainfall and floods, become more frequent, inadequate funding and limited technical expertise contribute to the challenges in ensuring dam safety across the continent. Efforts are being made to address these issues, including capacity-building initiatives, collaboration with international organizations, and the development of regional guidelines for dam safety. However, the statistics underscore the urgent need for comprehensive strategies and investments to enhance dam safety in Africa and mitigate potential risks associated with aging infrastructure and the changing climate </w:t>
      </w:r>
      <w:r w:rsidRPr="00720FBE">
        <w:rPr>
          <w:rFonts w:ascii="Arial" w:hAnsi="Arial" w:cs="Arial"/>
        </w:rPr>
        <w:fldChar w:fldCharType="begin" w:fldLock="1"/>
      </w:r>
      <w:r w:rsidRPr="00720FBE">
        <w:rPr>
          <w:rFonts w:ascii="Arial" w:hAnsi="Arial" w:cs="Arial"/>
        </w:rPr>
        <w:instrText xml:space="preserve">ADDIN CSL_CITATION {"citationItems":[{"id":"ITEM-1","itemData":{"author":[{"dropping-particle":"","family":"Arslan et al","given":"","non-dropping-particle":"","parse-names":false,"suffix":""}],"container-title":"AgEcon Search","id":"ITEM-1","issued":{"date-parts":[["2016"]]},"page":"18","title":"This document is discoverable and free to researchers across the globe due to the work of AgEcon Search . Help ensure our sustainability .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ｓＩ</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ｆ</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ｅ</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ｇＰ</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ｅｏ</w:instrText>
      </w:r>
      <w:r w:rsidRPr="00720FBE">
        <w:rPr>
          <w:rFonts w:ascii="Arial" w:hAnsi="Arial" w:cs="Arial"/>
        </w:rPr>
        <w:instrText xml:space="preserve"> </w:instrText>
      </w:r>
      <w:r w:rsidRPr="00720FBE">
        <w:rPr>
          <w:rFonts w:ascii="Arial" w:eastAsia="MS Gothic" w:hAnsi="Arial" w:cs="Arial"/>
        </w:rPr>
        <w:instrText>ｆＡ</w:instrText>
      </w:r>
      <w:r w:rsidRPr="00720FBE">
        <w:rPr>
          <w:rFonts w:ascii="Arial" w:hAnsi="Arial" w:cs="Arial"/>
        </w:rPr>
        <w:instrText xml:space="preserve"> </w:instrText>
      </w:r>
      <w:r w:rsidRPr="00720FBE">
        <w:rPr>
          <w:rFonts w:ascii="Arial" w:eastAsia="MS Gothic" w:hAnsi="Arial" w:cs="Arial"/>
        </w:rPr>
        <w:instrText>ｇ</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ｌＰ</w:instrText>
      </w:r>
      <w:r w:rsidRPr="00720FBE">
        <w:rPr>
          <w:rFonts w:ascii="Arial" w:hAnsi="Arial" w:cs="Arial"/>
        </w:rPr>
        <w:instrText xml:space="preserve"> </w:instrText>
      </w:r>
      <w:r w:rsidRPr="00720FBE">
        <w:rPr>
          <w:rFonts w:ascii="Arial" w:eastAsia="MS Gothic" w:hAnsi="Arial" w:cs="Arial"/>
        </w:rPr>
        <w:instrText>ｒ</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ｄ</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ｃ</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ｓ</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ｄＳ</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ａ</w:instrText>
      </w:r>
      <w:r w:rsidRPr="00720FBE">
        <w:rPr>
          <w:rFonts w:ascii="Arial" w:hAnsi="Arial" w:cs="Arial"/>
        </w:rPr>
        <w:instrText xml:space="preserve"> </w:instrText>
      </w:r>
      <w:r w:rsidRPr="00720FBE">
        <w:rPr>
          <w:rFonts w:ascii="Arial" w:eastAsia="MS Gothic" w:hAnsi="Arial" w:cs="Arial"/>
        </w:rPr>
        <w:instrText>ｂ</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ｌ</w:instrText>
      </w:r>
      <w:r w:rsidRPr="00720FBE">
        <w:rPr>
          <w:rFonts w:ascii="Arial" w:hAnsi="Arial" w:cs="Arial"/>
        </w:rPr>
        <w:instrText xml:space="preserve"> </w:instrText>
      </w:r>
      <w:r w:rsidRPr="00720FBE">
        <w:rPr>
          <w:rFonts w:ascii="Arial" w:eastAsia="MS Gothic" w:hAnsi="Arial" w:cs="Arial"/>
        </w:rPr>
        <w:instrText>ｉ</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ｙＣ</w:instrText>
      </w:r>
      <w:r w:rsidRPr="00720FBE">
        <w:rPr>
          <w:rFonts w:ascii="Arial" w:hAnsi="Arial" w:cs="Arial"/>
        </w:rPr>
        <w:instrText xml:space="preserve"> </w:instrText>
      </w:r>
      <w:r w:rsidRPr="00720FBE">
        <w:rPr>
          <w:rFonts w:ascii="Arial" w:eastAsia="MS Gothic" w:hAnsi="Arial" w:cs="Arial"/>
        </w:rPr>
        <w:instrText>ｏ</w:instrText>
      </w:r>
      <w:r w:rsidRPr="00720FBE">
        <w:rPr>
          <w:rFonts w:ascii="Arial" w:hAnsi="Arial" w:cs="Arial"/>
        </w:rPr>
        <w:instrText xml:space="preserve"> </w:instrText>
      </w:r>
      <w:r w:rsidRPr="00720FBE">
        <w:rPr>
          <w:rFonts w:ascii="Arial" w:eastAsia="MS Gothic" w:hAnsi="Arial" w:cs="Arial"/>
        </w:rPr>
        <w:instrText>ｕ</w:instrText>
      </w:r>
      <w:r w:rsidRPr="00720FBE">
        <w:rPr>
          <w:rFonts w:ascii="Arial" w:hAnsi="Arial" w:cs="Arial"/>
        </w:rPr>
        <w:instrText xml:space="preserve"> </w:instrText>
      </w:r>
      <w:r w:rsidRPr="00720FBE">
        <w:rPr>
          <w:rFonts w:ascii="Arial" w:eastAsia="MS Gothic" w:hAnsi="Arial" w:cs="Arial"/>
        </w:rPr>
        <w:instrText>ｎ</w:instrText>
      </w:r>
      <w:r w:rsidRPr="00720FBE">
        <w:rPr>
          <w:rFonts w:ascii="Arial" w:hAnsi="Arial" w:cs="Arial"/>
        </w:rPr>
        <w:instrText xml:space="preserve"> </w:instrText>
      </w:r>
      <w:r w:rsidRPr="00720FBE">
        <w:rPr>
          <w:rFonts w:ascii="Arial" w:eastAsia="MS Gothic" w:hAnsi="Arial" w:cs="Arial"/>
        </w:rPr>
        <w:instrText>ｔ</w:instrText>
      </w:r>
      <w:r w:rsidRPr="00720FBE">
        <w:rPr>
          <w:rFonts w:ascii="Arial" w:hAnsi="Arial" w:cs="Arial"/>
        </w:rPr>
        <w:instrText xml:space="preserve"> </w:instrText>
      </w:r>
      <w:r w:rsidRPr="00720FBE">
        <w:rPr>
          <w:rFonts w:ascii="Arial" w:eastAsia="MS Gothic" w:hAnsi="Arial" w:cs="Arial"/>
        </w:rPr>
        <w:instrText>ｅ</w:instrText>
      </w:r>
      <w:r w:rsidRPr="00720FBE">
        <w:rPr>
          <w:rFonts w:ascii="Arial" w:hAnsi="Arial" w:cs="Arial"/>
        </w:rPr>
        <w:instrText>","type":"article-journal"},"uris":["http://www.mendeley.com/documents/?uuid=06e0691d-f8e1-42af-9ef5-12d18bc55701","http://www.mendeley.com/documents/?uuid=7daab7b6-5985-4870-9b1e-9d60c0549431"]}],"mendeley":{"formattedCitation":"(Arslan et al, 2016)","plainTextFormattedCitation":"(Arslan et al, 2016)","previouslyFormattedCitation":"(Arslan et al, 2016)"},"properties":{"noteIndex":0},"schema":"https://github.com/citation-style-language/schema/raw/master/csl-citation.json"}</w:instrText>
      </w:r>
      <w:r w:rsidRPr="00720FBE">
        <w:rPr>
          <w:rFonts w:ascii="Arial" w:hAnsi="Arial" w:cs="Arial"/>
        </w:rPr>
        <w:fldChar w:fldCharType="separate"/>
      </w:r>
      <w:r w:rsidRPr="00720FBE">
        <w:rPr>
          <w:rFonts w:ascii="Arial" w:hAnsi="Arial" w:cs="Arial"/>
          <w:noProof/>
        </w:rPr>
        <w:t>(Arslan et al, 2016)</w:t>
      </w:r>
      <w:r w:rsidRPr="00720FBE">
        <w:rPr>
          <w:rFonts w:ascii="Arial" w:hAnsi="Arial" w:cs="Arial"/>
        </w:rPr>
        <w:fldChar w:fldCharType="end"/>
      </w:r>
      <w:r w:rsidRPr="00720FBE">
        <w:rPr>
          <w:rFonts w:ascii="Arial" w:hAnsi="Arial" w:cs="Arial"/>
        </w:rPr>
        <w:t>.</w:t>
      </w:r>
    </w:p>
    <w:p w14:paraId="3E07622D" w14:textId="77777777" w:rsidR="00454E96" w:rsidRPr="00720FBE" w:rsidRDefault="00454E96" w:rsidP="00EE04EB">
      <w:pPr>
        <w:spacing w:line="276" w:lineRule="auto"/>
        <w:rPr>
          <w:rFonts w:ascii="Arial" w:hAnsi="Arial" w:cs="Arial"/>
        </w:rPr>
      </w:pPr>
    </w:p>
    <w:p w14:paraId="3C4E2E97" w14:textId="77777777" w:rsidR="00287ED5" w:rsidRDefault="00287ED5" w:rsidP="00EE04EB">
      <w:pPr>
        <w:spacing w:line="276" w:lineRule="auto"/>
        <w:rPr>
          <w:rFonts w:ascii="Arial" w:eastAsia="Calibri" w:hAnsi="Arial" w:cs="Arial"/>
          <w:kern w:val="2"/>
          <w14:ligatures w14:val="standardContextual"/>
        </w:rPr>
      </w:pPr>
      <w:r w:rsidRPr="007F4CB2">
        <w:rPr>
          <w:rFonts w:ascii="Arial" w:eastAsia="Calibri" w:hAnsi="Arial" w:cs="Arial"/>
          <w:kern w:val="2"/>
          <w14:ligatures w14:val="standardContextual"/>
        </w:rPr>
        <w:t xml:space="preserve">Tanzania has experienced a growing demand for water resources and energy, leading to an increased number of dams and reservoirs. However, the aging infrastructure and inadequate maintenance have raised concerns about the overall safety of these structures. To address these challenges, Tanzania has been working on improving its dam safety policies and practices. The government has implemented regulations and guidelines to ensure that dams adhere to international </w:t>
      </w:r>
      <w:r w:rsidRPr="006B40FA">
        <w:t>safety</w:t>
      </w:r>
      <w:r>
        <w:t xml:space="preserve"> standards (</w:t>
      </w:r>
      <w:proofErr w:type="spellStart"/>
      <w:r>
        <w:t>Isomaki</w:t>
      </w:r>
      <w:proofErr w:type="spellEnd"/>
      <w:r>
        <w:t xml:space="preserve"> et al., 2012)</w:t>
      </w:r>
      <w:r w:rsidRPr="007F4CB2">
        <w:rPr>
          <w:rFonts w:ascii="Arial" w:eastAsia="Calibri" w:hAnsi="Arial" w:cs="Arial"/>
          <w:kern w:val="2"/>
          <w14:ligatures w14:val="standardContextual"/>
        </w:rPr>
        <w:t>. Collaborative efforts with stakeholders, including local communities, engineers, and environmentalists, play a crucial role in monitoring and managing dam safety (Pisaniello, 2010).</w:t>
      </w:r>
      <w:r>
        <w:rPr>
          <w:rFonts w:ascii="Arial" w:eastAsia="Calibri" w:hAnsi="Arial" w:cs="Arial"/>
          <w:kern w:val="2"/>
          <w14:ligatures w14:val="standardContextual"/>
        </w:rPr>
        <w:t xml:space="preserve"> However, there are limited evidence to whether the</w:t>
      </w:r>
      <w:r w:rsidRPr="00DC29E4">
        <w:rPr>
          <w:rFonts w:ascii="Arial" w:eastAsia="Calibri" w:hAnsi="Arial" w:cs="Arial"/>
          <w:kern w:val="2"/>
          <w14:ligatures w14:val="standardContextual"/>
        </w:rPr>
        <w:t xml:space="preserve"> current risk management programs</w:t>
      </w:r>
      <w:r>
        <w:rPr>
          <w:rFonts w:ascii="Arial" w:eastAsia="Calibri" w:hAnsi="Arial" w:cs="Arial"/>
          <w:kern w:val="2"/>
          <w14:ligatures w14:val="standardContextual"/>
        </w:rPr>
        <w:t xml:space="preserve"> are adequate to make Dams in Tanzania risk free.</w:t>
      </w:r>
    </w:p>
    <w:p w14:paraId="1E5E3352" w14:textId="77777777" w:rsidR="00454E96" w:rsidRPr="007F4CB2" w:rsidRDefault="00454E96" w:rsidP="00EE04EB">
      <w:pPr>
        <w:spacing w:line="276" w:lineRule="auto"/>
        <w:rPr>
          <w:rFonts w:ascii="Arial" w:eastAsia="Calibri" w:hAnsi="Arial" w:cs="Arial"/>
          <w:kern w:val="2"/>
          <w14:ligatures w14:val="standardContextual"/>
        </w:rPr>
      </w:pPr>
    </w:p>
    <w:p w14:paraId="1EE389D0" w14:textId="77777777" w:rsidR="00287ED5" w:rsidRPr="00D62A3B" w:rsidRDefault="00287ED5" w:rsidP="00EE04EB">
      <w:pPr>
        <w:spacing w:line="276" w:lineRule="auto"/>
        <w:rPr>
          <w:rFonts w:ascii="Arial" w:eastAsia="Calibri" w:hAnsi="Arial" w:cs="Arial"/>
          <w:b/>
          <w:iCs/>
          <w:kern w:val="2"/>
          <w:lang w:val="en-GB"/>
          <w14:ligatures w14:val="standardContextual"/>
        </w:rPr>
      </w:pPr>
      <w:r w:rsidRPr="007F4CB2">
        <w:rPr>
          <w:rFonts w:ascii="Arial" w:eastAsia="Calibri" w:hAnsi="Arial" w:cs="Arial"/>
          <w:kern w:val="2"/>
          <w14:ligatures w14:val="standardContextual"/>
        </w:rPr>
        <w:t xml:space="preserve"> This research aimed to evaluate the effectiveness and sufficiency of the current risk management programs, which are carried out in the old Mindu dam located in Morogoro municipality, Tanzania. The assessment covered a comprehensive examination of the existing strategies, policies, and </w:t>
      </w:r>
      <w:r w:rsidRPr="007C6149">
        <w:rPr>
          <w:rFonts w:ascii="Arial" w:eastAsia="Calibri" w:hAnsi="Arial" w:cs="Arial"/>
          <w:kern w:val="2"/>
          <w14:ligatures w14:val="standardContextual"/>
        </w:rPr>
        <w:t>practices in place to identify, mitigate, and manage various risks within the region's standards. Specifically, the study aimed to establish</w:t>
      </w:r>
      <w:r w:rsidRPr="00AF4765">
        <w:rPr>
          <w:rFonts w:ascii="Arial" w:eastAsia="Calibri" w:hAnsi="Arial" w:cs="Arial"/>
          <w:iCs/>
          <w:kern w:val="2"/>
          <w:lang w:val="en-GB"/>
          <w14:ligatures w14:val="standardContextual"/>
        </w:rPr>
        <w:t xml:space="preserve"> a dam safety policy benchmark for Tanzania, assess the rules and policies in place that control Tanzania's dam safety management </w:t>
      </w:r>
      <w:r w:rsidRPr="007C6149">
        <w:rPr>
          <w:rFonts w:ascii="Arial" w:eastAsia="Calibri" w:hAnsi="Arial" w:cs="Arial"/>
          <w:iCs/>
          <w:kern w:val="2"/>
          <w:lang w:val="en-GB"/>
          <w14:ligatures w14:val="standardContextual"/>
        </w:rPr>
        <w:t>and examine</w:t>
      </w:r>
      <w:r w:rsidRPr="00AF4765">
        <w:rPr>
          <w:rFonts w:ascii="Arial" w:eastAsia="Calibri" w:hAnsi="Arial" w:cs="Arial"/>
          <w:iCs/>
          <w:kern w:val="2"/>
          <w:lang w:val="en-GB"/>
          <w14:ligatures w14:val="standardContextual"/>
        </w:rPr>
        <w:t xml:space="preserve"> the variables that influence Mindu Dam Safety Issues.</w:t>
      </w:r>
    </w:p>
    <w:p w14:paraId="1A2AACCF" w14:textId="77777777" w:rsidR="00790ADA" w:rsidRPr="00287ED5" w:rsidRDefault="00790ADA" w:rsidP="00441B6F">
      <w:pPr>
        <w:pStyle w:val="Body"/>
        <w:spacing w:after="0"/>
        <w:rPr>
          <w:rFonts w:ascii="Arial" w:hAnsi="Arial" w:cs="Arial"/>
          <w:lang w:val="en-GB"/>
        </w:rPr>
      </w:pPr>
    </w:p>
    <w:p w14:paraId="7234362C"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80F1FEF" w14:textId="77777777" w:rsidR="00454E96" w:rsidRPr="00FB3A86" w:rsidRDefault="00454E96" w:rsidP="00441B6F">
      <w:pPr>
        <w:pStyle w:val="AbstHead"/>
        <w:spacing w:after="0"/>
        <w:jc w:val="both"/>
        <w:rPr>
          <w:rFonts w:ascii="Arial" w:hAnsi="Arial" w:cs="Arial"/>
        </w:rPr>
      </w:pPr>
    </w:p>
    <w:p w14:paraId="5748E7AB" w14:textId="77777777" w:rsidR="00287ED5" w:rsidRPr="00454E96" w:rsidRDefault="00287ED5" w:rsidP="00287ED5">
      <w:pPr>
        <w:spacing w:after="160" w:line="276" w:lineRule="auto"/>
        <w:ind w:left="360"/>
        <w:contextualSpacing/>
        <w:jc w:val="both"/>
        <w:rPr>
          <w:rFonts w:ascii="Arial" w:eastAsia="Calibri" w:hAnsi="Arial" w:cs="Arial"/>
          <w:b/>
          <w:kern w:val="2"/>
          <w14:ligatures w14:val="standardContextual"/>
        </w:rPr>
      </w:pPr>
      <w:r w:rsidRPr="00454E96">
        <w:rPr>
          <w:rFonts w:ascii="Arial" w:eastAsia="Calibri" w:hAnsi="Arial" w:cs="Arial"/>
          <w:b/>
          <w:kern w:val="2"/>
          <w14:ligatures w14:val="standardContextual"/>
        </w:rPr>
        <w:t>2.1. Description of the study area</w:t>
      </w:r>
    </w:p>
    <w:p w14:paraId="22EC6EC7" w14:textId="77777777" w:rsidR="00287ED5" w:rsidRPr="00D62A3B" w:rsidRDefault="00287ED5" w:rsidP="00EE04EB">
      <w:pPr>
        <w:spacing w:line="276" w:lineRule="auto"/>
        <w:rPr>
          <w:rFonts w:ascii="Arial" w:hAnsi="Arial" w:cs="Arial"/>
        </w:rPr>
      </w:pPr>
      <w:r w:rsidRPr="00D62A3B">
        <w:rPr>
          <w:rFonts w:ascii="Arial" w:hAnsi="Arial" w:cs="Arial"/>
        </w:rPr>
        <w:t xml:space="preserve">This study was conducted at the Mindu dam, located in the Morogoro region's, Morogoro Municipality. Situated in the </w:t>
      </w:r>
      <w:proofErr w:type="spellStart"/>
      <w:r w:rsidRPr="00D62A3B">
        <w:rPr>
          <w:rFonts w:ascii="Arial" w:hAnsi="Arial" w:cs="Arial"/>
        </w:rPr>
        <w:t>Ngerengere</w:t>
      </w:r>
      <w:proofErr w:type="spellEnd"/>
      <w:r w:rsidRPr="00D62A3B">
        <w:rPr>
          <w:rFonts w:ascii="Arial" w:hAnsi="Arial" w:cs="Arial"/>
        </w:rPr>
        <w:t xml:space="preserve"> River Valley, the Mindu dam is roughly 3.8 kilometers southwest of Morogoro town </w:t>
      </w:r>
      <w:r w:rsidRPr="00D62A3B">
        <w:rPr>
          <w:rFonts w:ascii="Arial" w:hAnsi="Arial" w:cs="Arial"/>
        </w:rPr>
        <w:fldChar w:fldCharType="begin" w:fldLock="1"/>
      </w:r>
      <w:r w:rsidRPr="00D62A3B">
        <w:rPr>
          <w:rFonts w:ascii="Arial" w:hAnsi="Arial" w:cs="Arial"/>
        </w:rPr>
        <w:instrText>ADDIN CSL_CITATION {"citationItems":[{"id":"ITEM-1","itemData":{"DOI":"10.1016/j.heliyon.2019.e02834","ISSN":"24058440","abstract":"The measurement of Chlorophyll-a in aquatic systems has usually correlated to harmful algae in water bodies. Harmful algal blooms (HABs) are as a result of massive proliferation of blue-green algae (Cyanobacteria). Harmful algal blooms (HABs) pose threats to both the environment as well as human health, and despite this well-known fact, their monitoring and management are still challenging. Climate change, extreme weather events, and hydrological changes are the main drivers and predicted to benefits HABs dynamics in most parts of the world. In Tanzania, studies of HABs proliferation and their possible correlation with variability in climate and hydrology still lag behind despite high demand for developing predicting tools and prevention of HABs proliferation. The present study reports on the retrospective analysis of HABs variation in Mindu Dam located in Morogoro, Tanzania using remote sensing techniques. In the present study comparison between in situ measurement and ocean color (OC2) Chlorophyll-a with the surface reflectance's (band and band combinations) of Landsat 7 and Landsat 8 Operational Land Imager (OLI), was performed. Another approach involved searching for patterns and trends, and teleconnection between Chlorophyll-a index (best band ration) and the climate and hydrological variations in the catchment. The findings demonstrated that minimum and maximum temperatures, solar radiation, Chlorophyll-a concentration registered significant increasing trends. Wind speed and directions, water levels for Mindu Dam showed a significant decreasing trend. On the other hand, rainfall showed no trend. The patterns suggest that there are link and causality between the HABs variations and meteorological parameters such as temperatures, solar radiations, and water levels. The study, therefore, contributes to the application of recent advances in remote sensing and retrospectively analysis of bloom dynamics and search for their link with climate and hydrological changes.","author":[{"dropping-particle":"","family":"Kimambo","given":"Offoro N.","non-dropping-particle":"","parse-names":false,"suffix":""},{"dropping-particle":"","family":"Chikoore","given":"Hector","non-dropping-particle":"","parse-names":false,"suffix":""},{"dropping-particle":"","family":"Gumbo","given":"Jabulani R.","non-dropping-particle":"","parse-names":false,"suffix":""},{"dropping-particle":"","family":"Msagati","given":"Titus A.M.","non-dropping-particle":"","parse-names":false,"suffix":""}],"container-title":"Heliyon","id":"ITEM-1","issue":"11","issued":{"date-parts":[["2019"]]},"page":"e02834","publisher":"Elsevier Ltd","title":"Retrospective analysis of Chlorophyll-a and its correlation with climate and hydrological variations in Mindu Dam, Morogoro, Tanzania","type":"article-journal","volume":"5"},"uris":["http://www.mendeley.com/documents/?uuid=dc8a1c12-cfeb-4bec-b6a8-8b903f3fafed","http://www.mendeley.com/documents/?uuid=4815537b-d8d4-42bf-8d04-61dffc691472"]}],"mendeley":{"formattedCitation":"(Kimambo et al., 2019)","plainTextFormattedCitation":"(Kimambo et al., 2019)","previouslyFormattedCitation":"(Kimambo et al., 2019)"},"properties":{"noteIndex":0},"schema":"https://github.com/citation-style-language/schema/raw/master/csl-citation.json"}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(Kimambo et al., 2019)</w:t>
      </w:r>
      <w:r w:rsidRPr="00D62A3B">
        <w:rPr>
          <w:rFonts w:ascii="Arial" w:hAnsi="Arial" w:cs="Arial"/>
        </w:rPr>
        <w:fldChar w:fldCharType="end"/>
      </w:r>
      <w:r w:rsidRPr="00D62A3B">
        <w:rPr>
          <w:rFonts w:ascii="Arial" w:hAnsi="Arial" w:cs="Arial"/>
        </w:rPr>
        <w:t xml:space="preserve">. It is located at latitude 6.82°S and longitude 37.66°E (Figure 1). The area has a bimodal rainfall regime with short rains occurring between October and December (OND) and long rains from March to May (MAM) </w:t>
      </w:r>
      <w:r w:rsidRPr="00D62A3B">
        <w:rPr>
          <w:rFonts w:ascii="Arial" w:hAnsi="Arial" w:cs="Arial"/>
        </w:rPr>
        <w:fldChar w:fldCharType="begin" w:fldLock="1"/>
      </w:r>
      <w:r w:rsidRPr="00D62A3B">
        <w:rPr>
          <w:rFonts w:ascii="Arial" w:hAnsi="Arial" w:cs="Arial"/>
        </w:rPr>
        <w:instrText>ADDIN CSL_CITATION {"citationItems":[{"id":"ITEM-1","itemData":{"DOI":"10.2166/wpt.2023.067","ISSN":"1751231X","abstract":"Water pollution caused by land-use/cover change is one of the most pressing problems facing both industrialized and developing countries. Freshwater quality deterioration suggests the collective outcomes of natural courses and alterations in land-use/ cover. Understanding the correlation among land-use/cover and water quality parameters is vital for future water quality management. In this work, land-use/cover pattern and its effect on water quality in the Mindu Dam drainage area were analysed using Remote Sensing (RS) and Geographical Information System (GIS) techniques together with cellular automata–Markov model. The land-use/cover images between 1990 and 2020 were used to assess historical and spatial change of land-use/ cover change, and projected for 2030 and 2040. We discovered that the dynamics of land use and land cover during the study period were significant. A strong correlation was revealed between changes in the land-use/cover and water quality parameters. Furthermore, a strong correlation exists between cultivated land and measured nutrient (nitrate and phosphate) and chlorophyll-a concentration. The natural vegetation buffer around Mindu Dam should be sufficient to prevent long-term water quality degradation from agricultural runoff in order to manage water quality sustainably. Therefore, land-use/cover management practices must be considered for sustainable resource management and water quality monitoring.","author":[{"dropping-particle":"","family":"Gobry","given":"Josephine John","non-dropping-particle":"","parse-names":false,"suffix":""},{"dropping-particle":"","family":"Twisa","given":"Sekela Simon","non-dropping-particle":"","parse-names":false,"suffix":""},{"dropping-particle":"","family":"Ngassapa","given":"Faustin","non-dropping-particle":"","parse-names":false,"suffix":""},{"dropping-particle":"","family":"Kilulya","given":"Kessy F.","non-dropping-particle":"","parse-names":false,"suffix":""}],"container-title":"Water Practice and Technology","id":"ITEM-1","issue":"5","issued":{"date-parts":[["2023"]]},"page":"1086-1098","title":"Impact of land-use/cover change on water quality in the Mindu Dam drainage, Tanzania","type":"article-journal","volume":"18"},"uris":["http://www.mendeley.com/documents/?uuid=b4e264f4-0f38-4bdb-aef6-1419ec30c84e","http://www.mendeley.com/documents/?uuid=2289a532-a27e-4522-af6d-1dfb56ad2c75"]}],"mendeley":{"formattedCitation":"(Gobry et al., 2023)","plainTextFormattedCitation":"(Gobry et al., 2023)","previouslyFormattedCitation":"(Gobry et al., 2023)"},"properties":{"noteIndex":0},"schema":"https://github.com/citation-style-language/schema/raw/master/csl-citation.json"}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 xml:space="preserve">(Gobry </w:t>
      </w:r>
      <w:r w:rsidRPr="00D62A3B">
        <w:rPr>
          <w:rFonts w:ascii="Arial" w:hAnsi="Arial" w:cs="Arial"/>
          <w:i/>
          <w:iCs/>
          <w:noProof/>
        </w:rPr>
        <w:t>et al</w:t>
      </w:r>
      <w:r w:rsidRPr="00D62A3B">
        <w:rPr>
          <w:rFonts w:ascii="Arial" w:hAnsi="Arial" w:cs="Arial"/>
          <w:noProof/>
        </w:rPr>
        <w:t>., 2023)</w:t>
      </w:r>
      <w:r w:rsidRPr="00D62A3B">
        <w:rPr>
          <w:rFonts w:ascii="Arial" w:hAnsi="Arial" w:cs="Arial"/>
        </w:rPr>
        <w:fldChar w:fldCharType="end"/>
      </w:r>
      <w:r w:rsidRPr="00D62A3B">
        <w:rPr>
          <w:rFonts w:ascii="Arial" w:hAnsi="Arial" w:cs="Arial"/>
        </w:rPr>
        <w:t xml:space="preserve">. With an annual rainfall of between 800 and 1500 mm, the </w:t>
      </w:r>
      <w:proofErr w:type="spellStart"/>
      <w:r w:rsidRPr="00D62A3B">
        <w:rPr>
          <w:rFonts w:ascii="Arial" w:hAnsi="Arial" w:cs="Arial"/>
        </w:rPr>
        <w:t>Uluguru</w:t>
      </w:r>
      <w:proofErr w:type="spellEnd"/>
      <w:r w:rsidRPr="00D62A3B">
        <w:rPr>
          <w:rFonts w:ascii="Arial" w:hAnsi="Arial" w:cs="Arial"/>
        </w:rPr>
        <w:t xml:space="preserve"> Mountains receive the most precipitation in the basin. The dam primarily supplies Morogoro town with water </w:t>
      </w:r>
      <w:r w:rsidRPr="00D62A3B">
        <w:rPr>
          <w:rFonts w:ascii="Arial" w:hAnsi="Arial" w:cs="Arial"/>
        </w:rPr>
        <w:fldChar w:fldCharType="begin" w:fldLock="1"/>
      </w:r>
      <w:r w:rsidRPr="00D62A3B">
        <w:rPr>
          <w:rFonts w:ascii="Arial" w:hAnsi="Arial" w:cs="Arial"/>
        </w:rPr>
        <w:instrText>ADDIN CSL_CITATION {"citationItems":[{"id":"ITEM-1","itemData":{"DOI":"10.1016/j.heliyon.2019.e02834","ISSN":"24058440","abstract":"The measurement of Chlorophyll-a in aquatic systems has usually correlated to harmful algae in water bodies. Harmful algal blooms (HABs) are as a result of massive proliferation of blue-green algae (Cyanobacteria). Harmful algal blooms (HABs) pose threats to both the environment as well as human health, and despite this well-known fact, their monitoring and management are still challenging. Climate change, extreme weather events, and hydrological changes are the main drivers and predicted to benefits HABs dynamics in most parts of the world. In Tanzania, studies of HABs proliferation and their possible correlation with variability in climate and hydrology still lag behind despite high demand for developing predicting tools and prevention of HABs proliferation. The present study reports on the retrospective analysis of HABs variation in Mindu Dam located in Morogoro, Tanzania using remote sensing techniques. In the present study comparison between in situ measurement and ocean color (OC2) Chlorophyll-a with the surface reflectance's (band and band combinations) of Landsat 7 and Landsat 8 Operational Land Imager (OLI), was performed. Another approach involved searching for patterns and trends, and teleconnection between Chlorophyll-a index (best band ration) and the climate and hydrological variations in the catchment. The findings demonstrated that minimum and maximum temperatures, solar radiation, Chlorophyll-a concentration registered significant increasing trends. Wind speed and directions, water levels for Mindu Dam showed a significant decreasing trend. On the other hand, rainfall showed no trend. The patterns suggest that there are link and causality between the HABs variations and meteorological parameters such as temperatures, solar radiations, and water levels. The study, therefore, contributes to the application of recent advances in remote sensing and retrospectively analysis of bloom dynamics and search for their link with climate and hydrological changes.","author":[{"dropping-particle":"","family":"Kimambo","given":"Offoro N.","non-dropping-particle":"","parse-names":false,"suffix":""},{"dropping-particle":"","family":"Chikoore","given":"Hector","non-dropping-particle":"","parse-names":false,"suffix":""},{"dropping-particle":"","family":"Gumbo","given":"Jabulani R.","non-dropping-particle":"","parse-names":false,"suffix":""},{"dropping-particle":"","family":"Msagati","given":"Titus A.M.","non-dropping-particle":"","parse-names":false,"suffix":""}],"container-title":"Heliyon","id":"ITEM-1","issue":"11","issued":{"date-parts":[["2019"]]},"page":"e02834","publisher":"Elsevier Ltd","title":"Retrospective analysis of Chlorophyll-a and its correlation with climate and hydrological variations in Mindu Dam, Morogoro, Tanzania","type":"article-journal","volume":"5"},"uris":["http://www.mendeley.com/documents/?uuid=4815537b-d8d4-42bf-8d04-61dffc691472","http://www.mendeley.com/documents/?uuid=dc8a1c12-cfeb-4bec-b6a8-8b903f3fafed"]}],"mendeley":{"formattedCitation":"(Kimambo et al., 2019)","plainTextFormattedCitation":"(Kimambo et al., 2019)","previouslyFormattedCitation":"(Kimambo et al., 2019)"},"properties":{"noteIndex":0},"schema":"https://github.com/citation-style-language/schema/raw/master/csl-citation.json"}</w:instrText>
      </w:r>
      <w:r w:rsidRPr="00D62A3B">
        <w:rPr>
          <w:rFonts w:ascii="Arial" w:hAnsi="Arial" w:cs="Arial"/>
        </w:rPr>
        <w:fldChar w:fldCharType="separate"/>
      </w:r>
      <w:r w:rsidRPr="00D62A3B">
        <w:rPr>
          <w:rFonts w:ascii="Arial" w:hAnsi="Arial" w:cs="Arial"/>
          <w:noProof/>
        </w:rPr>
        <w:t xml:space="preserve">(Kimambo </w:t>
      </w:r>
      <w:r w:rsidRPr="00D62A3B">
        <w:rPr>
          <w:rFonts w:ascii="Arial" w:hAnsi="Arial" w:cs="Arial"/>
          <w:i/>
          <w:iCs/>
          <w:noProof/>
        </w:rPr>
        <w:t>et al</w:t>
      </w:r>
      <w:r w:rsidRPr="00D62A3B">
        <w:rPr>
          <w:rFonts w:ascii="Arial" w:hAnsi="Arial" w:cs="Arial"/>
          <w:noProof/>
        </w:rPr>
        <w:t>., 2019)</w:t>
      </w:r>
      <w:r w:rsidRPr="00D62A3B">
        <w:rPr>
          <w:rFonts w:ascii="Arial" w:hAnsi="Arial" w:cs="Arial"/>
        </w:rPr>
        <w:fldChar w:fldCharType="end"/>
      </w:r>
      <w:r w:rsidRPr="00D62A3B">
        <w:rPr>
          <w:rFonts w:ascii="Arial" w:hAnsi="Arial" w:cs="Arial"/>
        </w:rPr>
        <w:t>. Its construction started in 1983 and was finished in 1985 with a dam design storage capacity of 20 Million m</w:t>
      </w:r>
      <w:r w:rsidRPr="00D62A3B">
        <w:rPr>
          <w:rFonts w:ascii="Arial" w:hAnsi="Arial" w:cs="Arial"/>
          <w:vertAlign w:val="superscript"/>
        </w:rPr>
        <w:t>3</w:t>
      </w:r>
      <w:r w:rsidRPr="00D62A3B">
        <w:rPr>
          <w:rFonts w:ascii="Arial" w:hAnsi="Arial" w:cs="Arial"/>
          <w:vertAlign w:val="superscript"/>
        </w:rPr>
        <w:fldChar w:fldCharType="begin" w:fldLock="1"/>
      </w:r>
      <w:r w:rsidRPr="00D62A3B">
        <w:rPr>
          <w:rFonts w:ascii="Arial" w:hAnsi="Arial" w:cs="Arial"/>
          <w:vertAlign w:val="superscript"/>
        </w:rPr>
        <w:instrText>ADDIN CSL_CITATION {"citationItems":[{"id":"ITEM-1","itemData":{"DOI":"10.1136/bmj.318.7187.822","ISSN":"09598146","PMID":"10092238","author":[{"dropping-particle":"","family":"Stott","given":"R.","non-dropping-particle":"","parse-names":false,"suffix":""}],"container-title":"British Medical Journal","id":"ITEM-1","issue":"7187","issued":{"date-parts":[["1999"]]},"page":"822-823","title":"The World Bank","type":"article-journal","volume":"318"},"uris":["http://www.mendeley.com/documents/?uuid=2aa996a0-1e12-4991-b31a-f4fd28ad75b1","http://www.mendeley.com/documents/?uuid=f1dff638-c742-4e51-90e0-ef7788632f3b"]}],"mendeley":{"formattedCitation":"(Stott, 1999)","plainTextFormattedCitation":"(Stott, 1999)","previouslyFormattedCitation":"(Stott, 1999)"},"properties":{"noteIndex":0},"schema":"https://github.com/citation-style-language/schema/raw/master/csl-citation.json"}</w:instrText>
      </w:r>
      <w:r w:rsidRPr="00D62A3B">
        <w:rPr>
          <w:rFonts w:ascii="Arial" w:hAnsi="Arial" w:cs="Arial"/>
          <w:vertAlign w:val="superscript"/>
        </w:rPr>
        <w:fldChar w:fldCharType="separate"/>
      </w:r>
      <w:r w:rsidRPr="00D62A3B">
        <w:rPr>
          <w:rFonts w:ascii="Arial" w:hAnsi="Arial" w:cs="Arial"/>
          <w:noProof/>
        </w:rPr>
        <w:t>(Stott, 1999)</w:t>
      </w:r>
      <w:r w:rsidRPr="00D62A3B">
        <w:rPr>
          <w:rFonts w:ascii="Arial" w:hAnsi="Arial" w:cs="Arial"/>
          <w:vertAlign w:val="superscript"/>
        </w:rPr>
        <w:fldChar w:fldCharType="end"/>
      </w:r>
    </w:p>
    <w:p w14:paraId="63629218" w14:textId="77777777" w:rsidR="00287ED5" w:rsidRPr="00D62A3B" w:rsidRDefault="00287ED5" w:rsidP="00287ED5">
      <w:pPr>
        <w:spacing w:line="276" w:lineRule="auto"/>
        <w:jc w:val="both"/>
        <w:rPr>
          <w:rFonts w:ascii="Arial" w:eastAsia="Calibri" w:hAnsi="Arial" w:cs="Arial"/>
          <w:kern w:val="2"/>
          <w14:ligatures w14:val="standardContextual"/>
        </w:rPr>
      </w:pPr>
      <w:r w:rsidRPr="00D62A3B">
        <w:rPr>
          <w:rFonts w:ascii="Arial" w:eastAsia="Calibri" w:hAnsi="Arial" w:cs="Arial"/>
          <w:noProof/>
          <w:kern w:val="2"/>
        </w:rPr>
        <w:lastRenderedPageBreak/>
        <w:drawing>
          <wp:inline distT="0" distB="0" distL="0" distR="0" wp14:anchorId="7153F4C4" wp14:editId="3CE1E55C">
            <wp:extent cx="5943600" cy="4645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are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645660"/>
                    </a:xfrm>
                    <a:prstGeom prst="rect">
                      <a:avLst/>
                    </a:prstGeom>
                  </pic:spPr>
                </pic:pic>
              </a:graphicData>
            </a:graphic>
          </wp:inline>
        </w:drawing>
      </w:r>
    </w:p>
    <w:p w14:paraId="578B9FB3" w14:textId="77777777" w:rsidR="00B23916" w:rsidRPr="00D62A3B" w:rsidRDefault="00287ED5" w:rsidP="00287ED5">
      <w:pPr>
        <w:spacing w:after="200" w:line="276" w:lineRule="auto"/>
        <w:jc w:val="both"/>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Figure </w:t>
      </w:r>
      <w:r w:rsidRPr="00D62A3B">
        <w:rPr>
          <w:rFonts w:ascii="Arial" w:eastAsia="Calibri" w:hAnsi="Arial" w:cs="Arial"/>
          <w:kern w:val="2"/>
          <w14:ligatures w14:val="standardContextual"/>
        </w:rPr>
        <w:fldChar w:fldCharType="begin"/>
      </w:r>
      <w:r w:rsidRPr="00D62A3B">
        <w:rPr>
          <w:rFonts w:ascii="Arial" w:eastAsia="Calibri" w:hAnsi="Arial" w:cs="Arial"/>
          <w:kern w:val="2"/>
          <w14:ligatures w14:val="standardContextual"/>
        </w:rPr>
        <w:instrText xml:space="preserve"> SEQ Figure \* ARABIC </w:instrText>
      </w:r>
      <w:r w:rsidRPr="00D62A3B">
        <w:rPr>
          <w:rFonts w:ascii="Arial" w:eastAsia="Calibri" w:hAnsi="Arial" w:cs="Arial"/>
          <w:kern w:val="2"/>
          <w14:ligatures w14:val="standardContextual"/>
        </w:rPr>
        <w:fldChar w:fldCharType="separate"/>
      </w:r>
      <w:r w:rsidRPr="00D62A3B">
        <w:rPr>
          <w:rFonts w:ascii="Arial" w:eastAsia="Calibri" w:hAnsi="Arial" w:cs="Arial"/>
          <w:kern w:val="2"/>
          <w14:ligatures w14:val="standardContextual"/>
        </w:rPr>
        <w:t>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Study area showing the location of Mindu Dam</w:t>
      </w:r>
    </w:p>
    <w:p w14:paraId="227A6EF8" w14:textId="77777777" w:rsidR="00287ED5" w:rsidRDefault="00287ED5" w:rsidP="00287ED5">
      <w:pPr>
        <w:spacing w:after="160" w:line="276" w:lineRule="auto"/>
        <w:ind w:left="360"/>
        <w:contextualSpacing/>
        <w:jc w:val="both"/>
        <w:rPr>
          <w:rFonts w:ascii="Arial" w:eastAsia="Calibri" w:hAnsi="Arial" w:cs="Arial"/>
          <w:b/>
          <w:kern w:val="2"/>
          <w14:ligatures w14:val="standardContextual"/>
        </w:rPr>
      </w:pPr>
      <w:r>
        <w:rPr>
          <w:rFonts w:ascii="Arial" w:eastAsia="Calibri" w:hAnsi="Arial" w:cs="Arial"/>
          <w:b/>
          <w:kern w:val="2"/>
          <w14:ligatures w14:val="standardContextual"/>
        </w:rPr>
        <w:t>2.2</w:t>
      </w:r>
      <w:r w:rsidR="00B23916">
        <w:rPr>
          <w:rFonts w:ascii="Arial" w:eastAsia="Calibri" w:hAnsi="Arial" w:cs="Arial"/>
          <w:b/>
          <w:kern w:val="2"/>
          <w14:ligatures w14:val="standardContextual"/>
        </w:rPr>
        <w:t>.</w:t>
      </w:r>
      <w:r w:rsidR="00B23916" w:rsidRPr="00D62A3B">
        <w:rPr>
          <w:rFonts w:ascii="Arial" w:eastAsia="Calibri" w:hAnsi="Arial" w:cs="Arial"/>
          <w:b/>
          <w:kern w:val="2"/>
          <w14:ligatures w14:val="standardContextual"/>
        </w:rPr>
        <w:t xml:space="preserve"> Research</w:t>
      </w:r>
      <w:r w:rsidRPr="00D62A3B">
        <w:rPr>
          <w:rFonts w:ascii="Arial" w:eastAsia="Calibri" w:hAnsi="Arial" w:cs="Arial"/>
          <w:b/>
          <w:kern w:val="2"/>
          <w14:ligatures w14:val="standardContextual"/>
        </w:rPr>
        <w:t xml:space="preserve"> Design</w:t>
      </w:r>
    </w:p>
    <w:p w14:paraId="4DFFEADF" w14:textId="77777777" w:rsidR="00B23916" w:rsidRPr="00D62A3B" w:rsidRDefault="00B23916" w:rsidP="00EE04EB">
      <w:pPr>
        <w:spacing w:after="160" w:line="276" w:lineRule="auto"/>
        <w:ind w:left="360"/>
        <w:contextualSpacing/>
        <w:rPr>
          <w:rFonts w:ascii="Arial" w:eastAsia="Calibri" w:hAnsi="Arial" w:cs="Arial"/>
          <w:b/>
          <w:kern w:val="2"/>
          <w14:ligatures w14:val="standardContextual"/>
        </w:rPr>
      </w:pPr>
    </w:p>
    <w:p w14:paraId="6DE2517D" w14:textId="77777777" w:rsidR="00287ED5" w:rsidRDefault="00287ED5" w:rsidP="00EE04EB">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The study adopted the cross-sectional research design whereby data were collected once from the six wards surrounding Mindu dam, namely </w:t>
      </w:r>
      <w:proofErr w:type="spellStart"/>
      <w:r w:rsidRPr="00D62A3B">
        <w:rPr>
          <w:rFonts w:ascii="Arial" w:eastAsia="Calibri" w:hAnsi="Arial" w:cs="Arial"/>
          <w:kern w:val="2"/>
          <w14:ligatures w14:val="standardContextual"/>
        </w:rPr>
        <w:t>Kauzeni</w:t>
      </w:r>
      <w:proofErr w:type="spellEnd"/>
      <w:r w:rsidRPr="00D62A3B">
        <w:rPr>
          <w:rFonts w:ascii="Arial" w:eastAsia="Calibri" w:hAnsi="Arial" w:cs="Arial"/>
          <w:kern w:val="2"/>
          <w14:ligatures w14:val="standardContextual"/>
        </w:rPr>
        <w:t xml:space="preserve">, Mindu, </w:t>
      </w:r>
      <w:proofErr w:type="spellStart"/>
      <w:r w:rsidRPr="00D62A3B">
        <w:rPr>
          <w:rFonts w:ascii="Arial" w:eastAsia="Calibri" w:hAnsi="Arial" w:cs="Arial"/>
          <w:kern w:val="2"/>
          <w14:ligatures w14:val="standardContextual"/>
        </w:rPr>
        <w:t>Magadu</w:t>
      </w:r>
      <w:proofErr w:type="spellEnd"/>
      <w:r w:rsidRPr="00D62A3B">
        <w:rPr>
          <w:rFonts w:ascii="Arial" w:eastAsia="Calibri" w:hAnsi="Arial" w:cs="Arial"/>
          <w:kern w:val="2"/>
          <w14:ligatures w14:val="standardContextual"/>
        </w:rPr>
        <w:t xml:space="preserve">, </w:t>
      </w:r>
      <w:proofErr w:type="spellStart"/>
      <w:r w:rsidRPr="00D62A3B">
        <w:rPr>
          <w:rFonts w:ascii="Arial" w:eastAsia="Calibri" w:hAnsi="Arial" w:cs="Arial"/>
          <w:kern w:val="2"/>
          <w14:ligatures w14:val="standardContextual"/>
        </w:rPr>
        <w:t>Mlimani</w:t>
      </w:r>
      <w:proofErr w:type="spellEnd"/>
      <w:r w:rsidRPr="00D62A3B">
        <w:rPr>
          <w:rFonts w:ascii="Arial" w:eastAsia="Calibri" w:hAnsi="Arial" w:cs="Arial"/>
          <w:kern w:val="2"/>
          <w14:ligatures w14:val="standardContextual"/>
        </w:rPr>
        <w:t xml:space="preserve">, </w:t>
      </w:r>
      <w:proofErr w:type="spellStart"/>
      <w:r w:rsidRPr="00D62A3B">
        <w:rPr>
          <w:rFonts w:ascii="Arial" w:eastAsia="Calibri" w:hAnsi="Arial" w:cs="Arial"/>
          <w:kern w:val="2"/>
          <w14:ligatures w14:val="standardContextual"/>
        </w:rPr>
        <w:t>Luhungo</w:t>
      </w:r>
      <w:proofErr w:type="spellEnd"/>
      <w:r w:rsidRPr="00D62A3B">
        <w:rPr>
          <w:rFonts w:ascii="Arial" w:eastAsia="Calibri" w:hAnsi="Arial" w:cs="Arial"/>
          <w:kern w:val="2"/>
          <w14:ligatures w14:val="standardContextual"/>
        </w:rPr>
        <w:t xml:space="preserve">, and </w:t>
      </w:r>
      <w:proofErr w:type="spellStart"/>
      <w:r w:rsidRPr="00D62A3B">
        <w:rPr>
          <w:rFonts w:ascii="Arial" w:eastAsia="Calibri" w:hAnsi="Arial" w:cs="Arial"/>
          <w:kern w:val="2"/>
          <w14:ligatures w14:val="standardContextual"/>
        </w:rPr>
        <w:t>Mzinga</w:t>
      </w:r>
      <w:proofErr w:type="spellEnd"/>
      <w:r w:rsidRPr="00D62A3B">
        <w:rPr>
          <w:rFonts w:ascii="Arial" w:eastAsia="Calibri" w:hAnsi="Arial" w:cs="Arial"/>
          <w:kern w:val="2"/>
          <w14:ligatures w14:val="standardContextual"/>
        </w:rPr>
        <w:t>.</w:t>
      </w:r>
      <w:r w:rsidRPr="00D62A3B" w:rsidDel="0007591A">
        <w:rPr>
          <w:rFonts w:ascii="Arial" w:eastAsia="Calibri" w:hAnsi="Arial" w:cs="Arial"/>
          <w:kern w:val="2"/>
          <w14:ligatures w14:val="standardContextual"/>
        </w:rPr>
        <w:t xml:space="preserve"> </w:t>
      </w:r>
      <w:r w:rsidRPr="00D62A3B">
        <w:rPr>
          <w:rFonts w:ascii="Arial" w:eastAsia="Calibri" w:hAnsi="Arial" w:cs="Arial"/>
          <w:kern w:val="2"/>
          <w14:ligatures w14:val="standardContextual"/>
        </w:rPr>
        <w:t xml:space="preserve">The design allowed the collection of both quantitative and qualitative data within a short period by visiting the experts for more information based on the study subject. In addition, the design allows for cost, human and time effectiveness when it comes to data collection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{"citationItems":[{"id":"ITEM-1","itemData":{"DOI":"10.1177/0340035220958022","ISSN":"17452651","abstract":"The purpose of this study was to investigate the status of district-level public libraries in West Bengal, India. The study focused on staff as well as services against the backdrop of collection development policy. It also investigated the problems faced by librarians and suggested measures to overcome these difficulties. The researchers used a mixed-methods approach – quantitative and qualitative methods – to obtain the data. However, the primary means of data collection was a survey method using a structured questionnaire. Additionally, interviews were carried out with librarians in order to bring more subjectivity to the results. The findings suggest that no selection committees have taken place to recruit new staff in different public libraries; hence, libraries have been suffering from a shortage of staff. Due to severe shortage of library staff, book database has not been completed in Libsys library management software in any surveyed library. Public libraries are established to provide a variety of services to their users. Thus, services are the main product of the public library system. The findings reveal that different kinds of services – such as children’s, career guidance and community information services – are provided by the surveyed libraries to benefit their user communities.","author":[{"dropping-particle":"","family":"Munshi","given":"Shamim Aktar","non-dropping-particle":"","parse-names":false,"suffix":""},{"dropping-particle":"","family":"Ansari","given":"Mehtab Alam","non-dropping-particle":"","parse-names":false,"suffix":""}],"container-title":"IFLA Journal","id":"ITEM-1","issue":"2","issued":{"date-parts":[["2021"]]},"page":"250-262","title":"Collections and services of public libraries in West Bengal, India: An evaluative study against the backdrop of the IFLA guidelines","type":"article-journal","volume":"47"},"uris":["http://www.mendeley.com/documents/?uuid=a648ac78-2e48-4d0b-ac7c-a4070b395589","http://www.mendeley.com/documents/?uuid=11559df8-925e-492c-86e8-15d6bfd0b8dd","http://www.mendeley.com/documents/?uuid=5e098d2c-e33e-4732-bdca-1fa5c41bfac2"]}],"mendeley":{"formattedCitation":"(Munshi &amp; Ansari, 2021)","plainTextFormattedCitation":"(Munshi &amp; Ansari, 2021)","previouslyFormattedCitation":"(Munshi &amp; Ansari,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(Munshi &amp; Ansari,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xml:space="preserve">. Furthermore, the collected information is used in a variety of ways including to determine the association between variables as well as to approve and disapprove assumptions/hypotheses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{"citationItems":[{"id":"ITEM-1","itemData":{"DOI":"10.1177/0340035220958022","ISSN":"17452651","abstract":"The purpose of this study was to investigate the status of district-level public libraries in West Bengal, India. The study focused on staff as well as services against the backdrop of collection development policy. It also investigated the problems faced by librarians and suggested measures to overcome these difficulties. The researchers used a mixed-methods approach – quantitative and qualitative methods – to obtain the data. However, the primary means of data collection was a survey method using a structured questionnaire. Additionally, interviews were carried out with librarians in order to bring more subjectivity to the results. The findings suggest that no selection committees have taken place to recruit new staff in different public libraries; hence, libraries have been suffering from a shortage of staff. Due to severe shortage of library staff, book database has not been completed in Libsys library management software in any surveyed library. Public libraries are established to provide a variety of services to their users. Thus, services are the main product of the public library system. The findings reveal that different kinds of services – such as children’s, career guidance and community information services – are provided by the surveyed libraries to benefit their user communities.","author":[{"dropping-particle":"","family":"Munshi","given":"Shamim Aktar","non-dropping-particle":"","parse-names":false,"suffix":""},{"dropping-particle":"","family":"Ansari","given":"Mehtab Alam","non-dropping-particle":"","parse-names":false,"suffix":""}],"container-title":"IFLA Journal","id":"ITEM-1","issue":"2","issued":{"date-parts":[["2021"]]},"page":"250-262","title":"Collections and services of public libraries in West Bengal, India: An evaluative study against the backdrop of the IFLA guidelines","type":"article-journal","volume":"47"},"uris":["http://www.mendeley.com/documents/?uuid=5e098d2c-e33e-4732-bdca-1fa5c41bfac2","http://www.mendeley.com/documents/?uuid=11559df8-925e-492c-86e8-15d6bfd0b8dd","http://www.mendeley.com/documents/?uuid=a648ac78-2e48-4d0b-ac7c-a4070b395589"]}],"mendeley":{"formattedCitation":"(Munshi &amp; Ansari, 2021)","manualFormatting":"(Munshi &amp; Ansari, 2021","plainTextFormattedCitation":"(Munshi &amp; Ansari, 2021)","previouslyFormattedCitation":"(Munshi &amp; Ansari,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(Munshi &amp; Ansari,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 xml:space="preserve">; </w:t>
      </w:r>
      <w:r w:rsidRPr="00D62A3B">
        <w:rPr>
          <w:rFonts w:ascii="Arial" w:eastAsia="Calibri" w:hAnsi="Arial" w:cs="Arial"/>
          <w:kern w:val="2"/>
          <w14:ligatures w14:val="standardContextual"/>
        </w:rPr>
        <w:fldChar w:fldCharType="begin" w:fldLock="1"/>
      </w:r>
      <w:r w:rsidRPr="00D62A3B">
        <w:rPr>
          <w:rFonts w:ascii="Arial" w:eastAsia="Calibri" w:hAnsi="Arial" w:cs="Arial"/>
          <w:kern w:val="2"/>
          <w14:ligatures w14:val="standardContextual"/>
        </w:rPr>
        <w:instrText>ADDIN CSL_CITATION {"citationItems":[{"id":"ITEM-1","itemData":{"DOI":"10.1056/nejmoa2102214","ISSN":"0028-4793","PMID":"33725432","abstract":"BACKGROUND Assessment of the safety and efficacy of vaccines against the severe acute respiratory syndrome coronavirus 2 (SARS-CoV-2) in different populations is essential, as is investigation of the efficacy of the vaccines against emerging SARS-CoV-2 variants of concern, including the B.1.351 (501Y.V2) variant first identified in South Africa. METHODS We conducted a multicenter, double-blind, randomized, controlled trial to assess the safety and efficacy of the ChAdOx1 nCoV-19 vaccine (AZD1222) in people not infected with the human immunodeficiency virus (HIV) in South Africa. Participants 18 to less than 65 years of age were assigned in a 1:1 ratio to receive two doses of vaccine containing 5×1010 viral particles or placebo (0.9% sodium chloride solution) 21 to 35 days apart. Serum samples obtained from 25 participants after the second dose were tested by pseudovirus and live-virus neutralization assays against the original D614G virus and the B.1.351 variant. The primary end points were safety and efficacy of the vaccine against laboratory-confirmed symptomatic coronavirus 2019 illness (Covid-19) more than 14 days after the second dose. RESULTS Between June 24 and November 9, 2020, we enrolled 2026 HIV-negative adults (median age, 30 years); 1010 and 1011 participants received at least one dose of placebo or vaccine, respectively. Both the pseudovirus and the live-virus neutralization assays showed greater resistance to the B.1.351 variant in serum samples obtained from vaccine recipients than in samples from placebo recipients. In the primary end-point analysis, mild-to-moderate Covid-19 developed in 23 of 717 placebo recipients (3.2%) and in 19 of 750 vaccine recipients (2.5%), for an efficacy of 21.9% (95% confidence interval [CI], -49.9 to 59.8). Among the 42 participants with Covid-19, 39 cases (92.9%) were caused by the B.1.351 variant; vaccine efficacy against this variant, analyzed as a secondary end point, was 10.4% (95% CI, -76.8 to 54.8). The incidence of serious adverse events was balanced between the vaccine and placebo groups. CONCLUSIONS A two-dose regimen of the ChAdOx1 nCoV-19 vaccine did not show protection against mild-to-moderate Covid-19 due to the B.1.351 variant. (Funded by the Bill and Melinda Gates Foundation and others; ClinicalTrials.gov number, NCT04444674; Pan African Clinical Trials Registry number, PACTR202006922165132).","author":[{"dropping-particle":"","family":"Madhi","given":"Shabir A.","non-dropping-particle":"","parse-names":false,"suffix":""},{"dropping-particle":"","family":"Baillie","given":"Vicky","non-dropping-particle":"","parse-names":false,"suffix":""},{"dropping-particle":"","family":"Cutland","given":"Clare L.","non-dropping-particle":"","parse-names":false,"suffix":""},{"dropping-particle":"","family":"Voysey","given":"Merryn","non-dropping-particle":"","parse-names":false,"suffix":""},{"dropping-particle":"","family":"Koen","given":"Anthonet L.","non-dropping-particle":"","parse-names":false,"suffix":""},{"dropping-particle":"","family":"Fairlie","given":"Lee","non-dropping-particle":"","parse-names":false,"suffix":""},{"dropping-particle":"","family":"Padayachee","given":"Sherman D.","non-dropping-particle":"","parse-names":false,"suffix":""},{"dropping-particle":"","family":"Dheda","given":"Keertan","non-dropping-particle":"","parse-names":false,"suffix":""},{"dropping-particle":"","family":"Barnabas","given":"Shaun L.","non-dropping-particle":"","parse-names":false,"suffix":""},{"dropping-particle":"","family":"Bhorat","given":"Qasim E.","non-dropping-particle":"","parse-names":false,"suffix":""},{"dropping-particle":"","family":"Briner","given":"Carmen","non-dropping-particle":"","parse-names":false,"suffix":""},{"dropping-particle":"","family":"Kwatra","given":"Gaurav","non-dropping-particle":"","parse-names":false,"suffix":""},{"dropping-particle":"","family":"Ahmed","given":"Khatija","non-dropping-particle":"","parse-names":false,"suffix":""},{"dropping-particle":"","family":"Aley","given":"Parvinder","non-dropping-particle":"","parse-names":false,"suffix":""},{"dropping-particle":"","family":"Bhikha","given":"Sutika","non-dropping-particle":"","parse-names":false,"suffix":""},{"dropping-particle":"","family":"Bhiman","given":"Jinal N.","non-dropping-particle":"","parse-names":false,"suffix":""},{"dropping-particle":"","family":"Bhorat","given":"As’ad E.","non-dropping-particle":"","parse-names":false,"suffix":""},{"dropping-particle":"","family":"Plessis","given":"Jeanine","non-dropping-particle":"du","parse-names":false,"suffix":""},{"dropping-particle":"","family":"Esmail","given":"Aliasgar","non-dropping-particle":"","parse-names":false,"suffix":""},{"dropping-particle":"","family":"Groenewald","given":"Marisa","non-dropping-particle":"","parse-names":false,"suffix":""},{"dropping-particle":"","family":"Horne","given":"Elizea","non-dropping-particle":"","parse-names":false,"suffix":""},{"dropping-particle":"","family":"Hwa","given":"Shi-Hsia","non-dropping-particle":"","parse-names":false,"suffix":""},{"dropping-particle":"","family":"Jose","given":"Aylin","non-dropping-particle":"","parse-names":false,"suffix":""},{"dropping-particle":"","family":"Lambe","given":"Teresa","non-dropping-particle":"","parse-names":false,"suffix":""},{"dropping-particle":"","family":"Laubscher","given":"Matt","non-dropping-particle":"","parse-names":false,"suffix":""},{"dropping-particle":"","family":"Malahleha","given":"Mookho","non-dropping-particle":"","parse-names":false,"suffix":""},{"dropping-particle":"","family":"Masenya","given":"Masebole","non-dropping-particle":"","parse-names":false,"suffix":""},{"dropping-particle":"","family":"Masilela","given":"Mduduzi","non-dropping-particle":"","parse-names":false,"suffix":""},{"dropping-particle":"","family":"McKenzie","given":"Shakeel","non-dropping-particle":"","parse-names":false,"suffix":""},{"dropping-particle":"","family":"Molapo","given":"Kgaogelo","non-dropping-particle":"","parse-names":false,"suffix":""},{"dropping-particle":"","family":"Moultrie","given":"Andrew","non-dropping-particle":"","parse-names":false,"suffix":""},{"dropping-particle":"","family":"Oelofse","given":"Suzette","non-dropping-particle":"","parse-names":false,"suffix":""},{"dropping-particle":"","family":"Patel","given":"Faeezah","non-dropping-particle":"","parse-names":false,"suffix":""},{"dropping-particle":"","family":"Pillay","given":"Sureshnee","non-dropping-particle":"","parse-names":false,"suffix":""},{"dropping-particle":"","family":"Rhead","given":"Sarah","non-dropping-particle":"","parse-names":false,"suffix":""},{"dropping-particle":"","family":"Rodel","given":"Hylton","non-dropping-particle":"","parse-names":false,"suffix":""},{"dropping-particle":"","family":"Rossouw","given":"Lindie","non-dropping-particle":"","parse-names":false,"suffix":""},{"dropping-particle":"","family":"Taoushanis","given":"Carol","non-dropping-particle":"","parse-names":false,"suffix":""},{"dropping-particle":"","family":"Tegally","given":"Houriiyah","non-dropping-particle":"","parse-names":false,"suffix":""},{"dropping-particle":"","family":"Thombrayil","given":"Asha","non-dropping-particle":"","parse-names":false,"suffix":""},{"dropping-particle":"","family":"Eck","given":"Samuel","non-dropping-particle":"van","parse-names":false,"suffix":""},{"dropping-particle":"","family":"Wibmer","given":"Constantinos K.","non-dropping-particle":"","parse-names":false,"suffix":""},{"dropping-particle":"","family":"Durham","given":"Nicholas M.","non-dropping-particle":"","parse-names":false,"suffix":""},{"dropping-particle":"","family":"Kelly","given":"Elizabeth J.","non-dropping-particle":"","parse-names":false,"suffix":""},{"dropping-particle":"","family":"Villafana","given":"Tonya L.","non-dropping-particle":"","parse-names":false,"suffix":""},{"dropping-particle":"","family":"Gilbert","given":"Sarah","non-dropping-particle":"","parse-names":false,"suffix":""},{"dropping-particle":"","family":"Pollard","given":"Andrew J.","non-dropping-particle":"","parse-names":false,"suffix":""},{"dropping-particle":"","family":"Oliveira","given":"Tulio","non-dropping-particle":"de","parse-names":false,"suffix":""},{"dropping-particle":"","family":"Moore","given":"Penny L.","non-dropping-particle":"","parse-names":false,"suffix":""},{"dropping-particle":"","family":"Sigal","given":"Alex","non-dropping-particle":"","parse-names":false,"suffix":""},{"dropping-particle":"","family":"Izu","given":"Alane","non-dropping-particle":"","parse-names":false,"suffix":""}],"container-title":"New England Journal of Medicine","id":"ITEM-1","issue":"20","issued":{"date-parts":[["2021"]]},"page":"1885-1898","title":"Efficacy of the ChAdOx1 nCoV-19 Covid-19 Vaccine against the B.1.351 Variant","type":"article-journal","volume":"384"},"uris":["http://www.mendeley.com/documents/?uuid=95a565c5-f2c0-4bb7-8f05-04988b40cbe0","http://www.mendeley.com/documents/?uuid=166eb960-bd8d-49d2-9a1a-e235b04e46c7","http://www.mendeley.com/documents/?uuid=3df14442-2712-4432-8158-e5a29c450005"]}],"mendeley":{"formattedCitation":"(Madhi et al., 2021)","manualFormatting":"Madhi et al., 2021)","plainTextFormattedCitation":"(Madhi et al., 2021)","previouslyFormattedCitation":"(Madhi et al., 2021)"},"properties":{"noteIndex":0},"schema":"https://github.com/citation-style-language/schema/raw/master/csl-citation.json"}</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 xml:space="preserve">Madhi </w:t>
      </w:r>
      <w:r w:rsidRPr="00D62A3B">
        <w:rPr>
          <w:rFonts w:ascii="Arial" w:eastAsia="Calibri" w:hAnsi="Arial" w:cs="Arial"/>
          <w:i/>
          <w:iCs/>
          <w:noProof/>
          <w:kern w:val="2"/>
          <w14:ligatures w14:val="standardContextual"/>
        </w:rPr>
        <w:t>et al</w:t>
      </w:r>
      <w:r w:rsidRPr="00D62A3B">
        <w:rPr>
          <w:rFonts w:ascii="Arial" w:eastAsia="Calibri" w:hAnsi="Arial" w:cs="Arial"/>
          <w:noProof/>
          <w:kern w:val="2"/>
          <w14:ligatures w14:val="standardContextual"/>
        </w:rPr>
        <w:t>., 2021)</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w:t>
      </w:r>
    </w:p>
    <w:p w14:paraId="1E5D1881" w14:textId="77777777" w:rsidR="00287ED5" w:rsidRPr="00D62A3B" w:rsidRDefault="00287ED5" w:rsidP="00287ED5">
      <w:pPr>
        <w:spacing w:line="276" w:lineRule="auto"/>
        <w:jc w:val="both"/>
        <w:rPr>
          <w:rFonts w:ascii="Arial" w:eastAsia="Calibri" w:hAnsi="Arial" w:cs="Arial"/>
          <w:kern w:val="2"/>
          <w14:ligatures w14:val="standardContextual"/>
        </w:rPr>
      </w:pPr>
    </w:p>
    <w:p w14:paraId="7481DC82" w14:textId="77777777" w:rsidR="00287ED5" w:rsidRDefault="00287ED5" w:rsidP="00287ED5">
      <w:pPr>
        <w:spacing w:after="160" w:line="276" w:lineRule="auto"/>
        <w:ind w:left="360"/>
        <w:contextualSpacing/>
        <w:jc w:val="both"/>
        <w:rPr>
          <w:rFonts w:ascii="Arial" w:eastAsia="DengXian" w:hAnsi="Arial" w:cs="Arial"/>
          <w:b/>
          <w:kern w:val="2"/>
          <w:lang w:val="en-GB"/>
          <w14:ligatures w14:val="standardContextual"/>
        </w:rPr>
      </w:pPr>
      <w:r>
        <w:rPr>
          <w:rFonts w:ascii="Arial" w:eastAsia="DengXian" w:hAnsi="Arial" w:cs="Arial"/>
          <w:b/>
          <w:kern w:val="2"/>
          <w:lang w:val="en-GB"/>
          <w14:ligatures w14:val="standardContextual"/>
        </w:rPr>
        <w:t>2.3</w:t>
      </w:r>
      <w:r w:rsidR="00B23916">
        <w:rPr>
          <w:rFonts w:ascii="Arial" w:eastAsia="DengXian" w:hAnsi="Arial" w:cs="Arial"/>
          <w:b/>
          <w:kern w:val="2"/>
          <w:lang w:val="en-GB"/>
          <w14:ligatures w14:val="standardContextual"/>
        </w:rPr>
        <w:t>.</w:t>
      </w:r>
      <w:r w:rsidR="00B23916" w:rsidRPr="00D62A3B">
        <w:rPr>
          <w:rFonts w:ascii="Arial" w:eastAsia="DengXian" w:hAnsi="Arial" w:cs="Arial"/>
          <w:b/>
          <w:kern w:val="2"/>
          <w:lang w:val="en-GB"/>
          <w14:ligatures w14:val="standardContextual"/>
        </w:rPr>
        <w:t xml:space="preserve"> Data</w:t>
      </w:r>
      <w:r w:rsidRPr="00D62A3B">
        <w:rPr>
          <w:rFonts w:ascii="Arial" w:eastAsia="DengXian" w:hAnsi="Arial" w:cs="Arial"/>
          <w:b/>
          <w:kern w:val="2"/>
          <w:lang w:val="en-GB"/>
          <w14:ligatures w14:val="standardContextual"/>
        </w:rPr>
        <w:t xml:space="preserve"> Collection </w:t>
      </w:r>
    </w:p>
    <w:p w14:paraId="34F56AA7" w14:textId="77777777" w:rsidR="00B23916" w:rsidRPr="00D62A3B" w:rsidRDefault="00B23916" w:rsidP="00287ED5">
      <w:pPr>
        <w:spacing w:after="160" w:line="276" w:lineRule="auto"/>
        <w:ind w:left="360"/>
        <w:contextualSpacing/>
        <w:jc w:val="both"/>
        <w:rPr>
          <w:rFonts w:ascii="Arial" w:eastAsia="DengXian" w:hAnsi="Arial" w:cs="Arial"/>
          <w:b/>
          <w:kern w:val="2"/>
          <w:lang w:val="en-GB"/>
          <w14:ligatures w14:val="standardContextual"/>
        </w:rPr>
      </w:pPr>
    </w:p>
    <w:p w14:paraId="46095339" w14:textId="77777777" w:rsidR="00287ED5" w:rsidRPr="00D62A3B" w:rsidRDefault="00287ED5" w:rsidP="00EE04EB">
      <w:pPr>
        <w:spacing w:line="276" w:lineRule="auto"/>
        <w:rPr>
          <w:rFonts w:ascii="Arial" w:eastAsia="DengXian" w:hAnsi="Arial" w:cs="Arial"/>
          <w:kern w:val="2"/>
          <w:lang w:val="en-GB"/>
          <w14:ligatures w14:val="standardContextual"/>
        </w:rPr>
      </w:pPr>
      <w:r w:rsidRPr="00D62A3B">
        <w:rPr>
          <w:rFonts w:ascii="Arial" w:eastAsia="DengXian" w:hAnsi="Arial" w:cs="Arial"/>
          <w:kern w:val="2"/>
          <w:lang w:val="en-GB"/>
          <w14:ligatures w14:val="standardContextual"/>
        </w:rPr>
        <w:t>This study was conducted in various phases as described below:</w:t>
      </w:r>
    </w:p>
    <w:p w14:paraId="6ECA8147" w14:textId="77777777" w:rsidR="00287ED5" w:rsidRPr="00D62A3B" w:rsidRDefault="00287ED5" w:rsidP="00EE04EB">
      <w:pPr>
        <w:spacing w:line="276" w:lineRule="auto"/>
        <w:rPr>
          <w:rFonts w:ascii="Arial" w:eastAsia="DengXian" w:hAnsi="Arial" w:cs="Arial"/>
          <w:kern w:val="2"/>
          <w:lang w:val="en-GB"/>
          <w14:ligatures w14:val="standardContextual"/>
        </w:rPr>
      </w:pPr>
      <w:r w:rsidRPr="00D62A3B">
        <w:rPr>
          <w:rFonts w:ascii="Arial" w:eastAsia="DengXian" w:hAnsi="Arial" w:cs="Arial"/>
          <w:b/>
          <w:kern w:val="2"/>
          <w:lang w:val="en-GB"/>
          <w14:ligatures w14:val="standardContextual"/>
        </w:rPr>
        <w:t>Phase One:</w:t>
      </w:r>
      <w:r w:rsidRPr="00D62A3B">
        <w:rPr>
          <w:rFonts w:ascii="Arial" w:eastAsia="DengXian" w:hAnsi="Arial" w:cs="Arial"/>
          <w:kern w:val="2"/>
          <w:lang w:val="en-GB"/>
          <w14:ligatures w14:val="standardContextual"/>
        </w:rPr>
        <w:t xml:space="preserve"> To establish relevant benchmarks for comparing the sampled dams, a literature review was undertaken to explore global practices in benchmarking for dam safety.</w:t>
      </w:r>
    </w:p>
    <w:p w14:paraId="69CE7D3F" w14:textId="77777777" w:rsidR="00287ED5" w:rsidRPr="00D62A3B" w:rsidRDefault="00287ED5" w:rsidP="00EE04EB">
      <w:pPr>
        <w:spacing w:line="276" w:lineRule="auto"/>
        <w:rPr>
          <w:rFonts w:ascii="Arial" w:eastAsia="DengXian" w:hAnsi="Arial" w:cs="Arial"/>
          <w:kern w:val="2"/>
          <w:lang w:val="en-GB"/>
          <w14:ligatures w14:val="standardContextual"/>
        </w:rPr>
      </w:pPr>
      <w:r w:rsidRPr="00D62A3B">
        <w:rPr>
          <w:rFonts w:ascii="Arial" w:eastAsia="DengXian" w:hAnsi="Arial" w:cs="Arial"/>
          <w:b/>
          <w:kern w:val="2"/>
          <w:lang w:val="en-GB"/>
          <w14:ligatures w14:val="standardContextual"/>
        </w:rPr>
        <w:t>Phase Two:</w:t>
      </w:r>
      <w:r w:rsidRPr="00D62A3B">
        <w:rPr>
          <w:rFonts w:ascii="Arial" w:eastAsia="DengXian" w:hAnsi="Arial" w:cs="Arial"/>
          <w:kern w:val="2"/>
          <w:lang w:val="en-GB"/>
          <w14:ligatures w14:val="standardContextual"/>
        </w:rPr>
        <w:t xml:space="preserve"> Conducting ten on-site  surveys as part of an embedded case study focusing on deliberately selected Mindu dam in Morogoro  Municipality, Morogoro Region, Tanzania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{"citationItems":[{"id":"ITEM-1","itemData":{"DOI":"10.1016/j.agwat.2012.12.003","ISSN":"03783774","abstract":"Farm dams in catchments create cumulative threats to downstream farmers, communities, and environments and if not managed individually, the problem will aggregate at the catchment level creating \"dual-extreme cumulative impacts and threats\". The aim is to explore the concept of dual-extreme cumulative impacts and threats to downstream communities and environments arising from inappropriate on-farm water storage within the Australian setting: a setting comprising high inter-annual rainfall variation creating dual hydrologic extremes of floods and droughts. The problem is explored through comparative case studies undertaken with ground-based photographic interpretation providing supporting empirical evidence. We find farmers storing more water than they are entitled to, with downstream users and the environment potentially suffering and at threat because of unsafe dams. Results indicate a need for integrated safe and equitable farm dam management accountability and assurance policy, and its effective implementation. We add to existing international dam policy literature by introducing the dual-extreme concept and demonstrating the critical need for effective integrated policy. Guidance is provided for jurisdictions seeking improved farm dams management for sustainable and safe catchments. © 2012.","author":[{"dropping-particle":"","family":"Pisaniello","given":"John D.","non-dropping-particle":"","parse-names":false,"suffix":""},{"dropping-particle":"","family":"Tingey-Holyoak","given":"Joanne L.","non-dropping-particle":"","parse-names":false,"suffix":""},{"dropping-particle":"","family":"Burritt","given":"Roger L.","non-dropping-particle":"","parse-names":false,"suffix":""}],"container-title":"Agricultural Water Management","id":"ITEM-1","issue":"2013","issued":{"date-parts":[["2013"]]},"page":"103-112","publisher":"Elsevier B.V.","title":"Dual-extreme cumulative impacts and threats in agricultural catchments: The need for effective integrated policy","type":"article-journal","volume":"118"},"uris":["http://www.mendeley.com/documents/?uuid=bda4af63-4c08-42f2-864c-8152c7d5330a","http://www.mendeley.com/documents/?uuid=73b5a447-1691-4d78-9da0-040b31003a24","http://www.mendeley.com/documents/?uuid=ce5c24e2-6c6a-466a-bb3f-13ffd01d71c9"]}],"mendeley":{"formattedCitation":"(Pisaniello et al., 2013)","plainTextFormattedCitation":"(Pisaniello et al., 2013)","previouslyFormattedCitation":"(Pisaniello et al., 2013)"},"properties":{"noteIndex":0},"schema":"https://github.com/citation-style-language/schema/raw/master/csl-citation.json"}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 xml:space="preserve">(Pisaniello </w:t>
      </w:r>
      <w:r w:rsidRPr="00D62A3B">
        <w:rPr>
          <w:rFonts w:ascii="Arial" w:eastAsia="DengXian" w:hAnsi="Arial" w:cs="Arial"/>
          <w:i/>
          <w:iCs/>
          <w:noProof/>
          <w:kern w:val="2"/>
          <w:lang w:val="en-GB"/>
          <w14:ligatures w14:val="standardContextual"/>
        </w:rPr>
        <w:t>et a</w:t>
      </w:r>
      <w:r w:rsidRPr="00D62A3B">
        <w:rPr>
          <w:rFonts w:ascii="Arial" w:eastAsia="DengXian" w:hAnsi="Arial" w:cs="Arial"/>
          <w:noProof/>
          <w:kern w:val="2"/>
          <w:lang w:val="en-GB"/>
          <w14:ligatures w14:val="standardContextual"/>
        </w:rPr>
        <w:t>l., 2013)</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Mindu dam was selected because it fulfilled the following two criteria: (1) being classified as "Significant" or "High" hazard based on an initial assessment of factors such as dam size, human habitation, and economic development in the </w:t>
      </w:r>
      <w:r w:rsidRPr="00D62A3B">
        <w:rPr>
          <w:rFonts w:ascii="Arial" w:eastAsia="DengXian" w:hAnsi="Arial" w:cs="Arial"/>
          <w:kern w:val="2"/>
          <w:lang w:val="en-GB"/>
          <w14:ligatures w14:val="standardContextual"/>
        </w:rPr>
        <w:lastRenderedPageBreak/>
        <w:t xml:space="preserve">downstream inundation area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{"citationItems":[{"id":"ITEM-1","itemData":{"DOI":"10.1080/02508060308691668","ISSN":"02508060","abstract":"The largest dams are generally built and managed by Governments; individual owners build small dams. Over time, many dam safety aspects have changed, such as population distributions, meteorological information, engineering methods and design standards, together with the condition of the dams, raising serious doubts about dam adequacy. For the larger dams response has been to spend vast amounts on remedial works. Unfortunately, only a few countries have developed mature safety assurance schemes for smaller dams: these are comparatively reviewed here identifying elements of “minimum” and “best” practice, and providing policy models and guidelines of “appropriate” practice for varying circumstances. Farmers often overlook common law obligation to review/design dams in line with current standards because of high engineering consulting costs. A cost-effective spillway design/review procedure that is applicable to South Eastern Australia, but is transferable to any other region world-wide, is also reported here: this procedure is integrated with the policy models and guidelines, aiming to minimize cost burdens to dam owners, encourage better dam safety management, and provide an acceptable level of safety assurance to downstream communities. © 2003 Taylor &amp; Francis Group, LLC.","author":[{"dropping-particle":"","family":"Pisaniello","given":"John D.","non-dropping-particle":"","parse-names":false,"suffix":""},{"dropping-particle":"","family":"McKay","given":"Jennifer M.","non-dropping-particle":"","parse-names":false,"suffix":""}],"container-title":"Water International","id":"ITEM-1","issue":"1","issued":{"date-parts":[["2003"]]},"page":"90-102","title":"A Farmer-Friendly Dam Safety Evaluation Procedure As A Key Part of Modern Australian Water Laws","type":"article-journal","volume":"28"},"uris":["http://www.mendeley.com/documents/?uuid=91937363-99e6-4b51-83b5-d8406f5d62fd","http://www.mendeley.com/documents/?uuid=901f5d27-e903-4bf3-a23d-358ecdbaae59","http://www.mendeley.com/documents/?uuid=6d6ab1ec-0ca2-43e8-82e1-ff359ecfc3d8"]},{"id":"ITEM-2","itemData":{"DOI":"10.1023/a:1008291411492","ISSN":"09246460","abstract":"Disclosure strategies, which involve public and/or private attempts to increase the availability of information on pollution, form the basis for what some have called the third wave in pollution control policy (after legal regulation - the first wave - and market-based instruments the second wave). While these strategies have become common in natural resource settings (forest certification and organic farming, for example), they are less familiar in a pollution control context. Yet the number of applications in that context is now growing in both OECD and developing countries. This survey will review what we know and don't know about the use of disclosure strategies to control pollution and conclude with the author's sense of where further research would be particularly helpful.","author":[{"dropping-particle":"","family":"Tietenberg","given":"Tom","non-dropping-particle":"","parse-names":false,"suffix":""}],"container-title":"Environmental and Resource Economics","id":"ITEM-2","issue":"3-4","issued":{"date-parts":[["1998"]]},"page":"587-602","title":"Disclosure strategies for pollution control","type":"article-journal","volume":"11"},"uris":["http://www.mendeley.com/documents/?uuid=be99acd2-9115-4d5e-ab93-39e5e66bc627","http://www.mendeley.com/documents/?uuid=9c97f50a-7197-4505-8fa4-50b798db7d25","http://www.mendeley.com/documents/?uuid=72d57c32-98f5-43a4-ae75-7a23a00ec978"]}],"mendeley":{"formattedCitation":"(Pisaniello &amp; McKay, 2003; Tietenberg, 1998)","plainTextFormattedCitation":"(Pisaniello &amp; McKay, 2003; Tietenberg, 1998)","previouslyFormattedCitation":"(Pisaniello &amp; McKay, 2003; Tietenberg, 1998)"},"properties":{"noteIndex":0},"schema":"https://github.com/citation-style-language/schema/raw/master/csl-citation.json"}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(Pisaniello &amp; McKay, 2003; Tietenberg, 1998)</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and (2) qualifying as small dams</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{"citationItems":[{"id":"ITEM-1","itemData":{"DOI":"10.24840/2183-6493_009-003_001968","ISBN":"0000000322102","ISSN":"21836493","abstract":"The Brazilian National Policy on Dam Safety (PNSB) was enacted in 2010 and there are still many actions to be carried out, especially the classification of dams as to associated hazard potential (PHA) and risk category (RC). The analysis conducted based on the Dam Safety Report 2020 informsthat there are 21953 dams distributed throughout the Brazilian territory registered in National Dam Information System (SNISB). However, 14849 (67.64%) of the dams were not classified as RC and 13475 (61.38%) of the dams were not classified as PHA. There are 3724 dams classified as high PHA, 2407 (64.64%) of which are considered small in terms of reservoir capacity. Considering this scenario, bibliographic research was conducted on dam classification criteria used in Brazil, Portugal, International Commission on Large (ICOLD) and United States. In addition, bibliographic research was conducted on two studies that used artificial intelligence-based tools to forecast PHA classification. As a result, this study recommends future research with indicated classification criteria and with applications based on artificial intelligence to forecast PHA classification in Brazil.","author":[{"dropping-particle":"","family":"Salgado","given":"Sérgio Ricardo Toledo","non-dropping-particle":"","parse-names":false,"suffix":""},{"dropping-particle":"da","family":"Silva Carvalho","given":"Elsa Maria","non-dropping-particle":"","parse-names":false,"suffix":""}],"container-title":"U.Porto Journal of Engineering","id":"ITEM-1","issue":"3","issued":{"date-parts":[["2023"]]},"page":"223-239","title":"Recommendations for the process of classification of dams in Brazil","type":"article-journal","volume":"9"},"uris":["http://www.mendeley.com/documents/?uuid=598d50ed-477b-46bb-bf48-e6f92eddb21a","http://www.mendeley.com/documents/?uuid=a8a45a64-a1cc-4ff5-a47d-65ff7eb268e2"]}],"mendeley":{"formattedCitation":"(Salgado &amp; Silva Carvalho, 2023)","plainTextFormattedCitation":"(Salgado &amp; Silva Carvalho, 2023)","previouslyFormattedCitation":"(Salgado &amp; Silva Carvalho, 2023)"},"properties":{"noteIndex":0},"schema":"https://github.com/citation-style-language/schema/raw/master/csl-citation.json"}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(Salgado &amp; Silva Carvalho, 2023)</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The on-site dam examination involved utilizing a dam inspection checklist sourced from the following periodicals: (1) "Your dam your responsibility: a guide to managing the safety of farm dams" released by the Department of Sustainability and Environment (DSE, 2007) in Victoria, (2) "Dam safety guidelines: inspection and maintenance of dams" published by the Water Management Branch of the Ministry of Environment, Lands and Parks, British Columbia </w:t>
      </w:r>
      <w:r w:rsidRPr="00D62A3B">
        <w:rPr>
          <w:rFonts w:ascii="Arial" w:eastAsia="DengXian" w:hAnsi="Arial" w:cs="Arial"/>
          <w:kern w:val="2"/>
          <w:lang w:val="en-GB"/>
          <w14:ligatures w14:val="standardContextual"/>
        </w:rPr>
        <w:fldChar w:fldCharType="begin" w:fldLock="1"/>
      </w:r>
      <w:r w:rsidRPr="00D62A3B">
        <w:rPr>
          <w:rFonts w:ascii="Arial" w:eastAsia="DengXian" w:hAnsi="Arial" w:cs="Arial"/>
          <w:kern w:val="2"/>
          <w:lang w:val="en-GB"/>
          <w14:ligatures w14:val="standardContextual"/>
        </w:rPr>
        <w:instrText>ADDIN CSL_CITATION {"citationItems":[{"id":"ITEM-1","itemData":{"DOI":"10.1016/j.jenvman.2006.11.009","ISSN":"03014797","PMID":"17208349","abstract":"A variety of tools can be employed in support of environmental policy objectives, but achieving preferred outcomes also requires the cooperation of private landholders and others with vested interests in the land. The Land Stewardship project in the state of Victoria, Australia, is an initiative devoted to exploring the ways in which private landholders could be encouraged towards more sustainable land management. Following the view that the success of policy initiatives is contingent on effective stakeholder engagement, a component of the Land Stewardship project involved a dialogue with landholders about policy tools (e.g., regulation, economic instruments) that might be deployed to encourage improved land management practices. This paper provides an account of the views and attitudes of landholders, as revealed in a series of three workshops, which consisted of discussions about the factors influencing agriculture, participants' interpretations of sustainability, and policy methods. The focus of the paper is on what landholders believe to be the strengths and limitations of standard policy tools, and the essential requirements for these tools to deliver the best land management outcomes. One of the main findings of the project was a 'preference hierarchy' in respect of policy methods, according to which the strongest support was expressed for voluntary and education-based tools, followed by market-based instruments, with command-and-control regulation identified as a measure of 'last resort'. In the paper we reflect also on how the views and outlook of landholders should be positioned relative to other inputs in the design of policy interventions. © 2006 Elsevier Ltd. All rights reserved.","author":[{"dropping-particle":"","family":"Cocklin","given":"Chris","non-dropping-particle":"","parse-names":false,"suffix":""},{"dropping-particle":"","family":"Mautner","given":"Naomi","non-dropping-particle":"","parse-names":false,"suffix":""},{"dropping-particle":"","family":"Dibden","given":"Jacqui","non-dropping-particle":"","parse-names":false,"suffix":""}],"container-title":"Journal of Environmental Management","id":"ITEM-1","issue":"4","issued":{"date-parts":[["2007"]]},"page":"986-998","title":"Public policy, private landholders: Perspectives on policy mechanisms for sustainable land management","type":"article-journal","volume":"85"},"uris":["http://www.mendeley.com/documents/?uuid=6f66a906-680b-494e-be1b-6e3fff1ab408","http://www.mendeley.com/documents/?uuid=8b9e043a-9454-4624-b917-54aaa8853eff","http://www.mendeley.com/documents/?uuid=cca252bc-1b57-41db-8bc8-b1a35fe9b3f1"]},{"id":"ITEM-2","itemData":{"DOI":"10.13140/2.1.3606.8806","abstract":"Recognizing a need to provide a consistent approach for the design, construction, inspection and maintenance of the 255 dams that Parks Canada Agency owns and operates in every province in Canada (with the exception of Prince Edward Island) a decision was …","author":[{"dropping-particle":"","family":"Donnelly","given":"C. Richard","non-dropping-particle":"","parse-names":false,"suffix":""},{"dropping-particle":"","family":"Bechai","given":"Mona","non-dropping-particle":"","parse-names":false,"suffix":""},{"dropping-particle":"","family":"Trias","given":"Margaret","non-dropping-particle":"","parse-names":false,"suffix":""},{"dropping-particle":"","family":"Vaillancourt","given":"Jacques","non-dropping-particle":"","parse-names":false,"suffix":""},{"dropping-particle":"","family":"Roy","given":"Andre","non-dropping-particle":"","parse-names":false,"suffix":""}],"container-title":"CDA 2009 Annual Conference","id":"ITEM-2","issue":"October 2009","issued":{"date-parts":[["2009"]]},"page":"21","title":"The Development of A National Dam Safety Standard for Parks Canada","type":"article-journal"},"uris":["http://www.mendeley.com/documents/?uuid=4f704bb9-fb5f-4c4d-bd16-b204968aa34a","http://www.mendeley.com/documents/?uuid=a99376ba-75a4-494e-a10c-5050463f6ae3","http://www.mendeley.com/documents/?uuid=a4f28974-cde1-4830-b183-854aef30da7a"]}],"mendeley":{"formattedCitation":"(Cocklin et al., 2007; Donnelly et al., 2009)","plainTextFormattedCitation":"(Cocklin et al., 2007; Donnelly et al., 2009)","previouslyFormattedCitation":"(Cocklin et al., 2007; Donnelly et al., 2009)"},"properties":{"noteIndex":0},"schema":"https://github.com/citation-style-language/schema/raw/master/csl-citation.json"}</w:instrText>
      </w:r>
      <w:r w:rsidRPr="00D62A3B">
        <w:rPr>
          <w:rFonts w:ascii="Arial" w:eastAsia="DengXian" w:hAnsi="Arial" w:cs="Arial"/>
          <w:kern w:val="2"/>
          <w:lang w:val="en-GB"/>
          <w14:ligatures w14:val="standardContextual"/>
        </w:rPr>
        <w:fldChar w:fldCharType="separate"/>
      </w:r>
      <w:r w:rsidRPr="00D62A3B">
        <w:rPr>
          <w:rFonts w:ascii="Arial" w:eastAsia="DengXian" w:hAnsi="Arial" w:cs="Arial"/>
          <w:noProof/>
          <w:kern w:val="2"/>
          <w:lang w:val="en-GB"/>
          <w14:ligatures w14:val="standardContextual"/>
        </w:rPr>
        <w:t xml:space="preserve">(Cocklin </w:t>
      </w:r>
      <w:r w:rsidRPr="00D62A3B">
        <w:rPr>
          <w:rFonts w:ascii="Arial" w:eastAsia="DengXian" w:hAnsi="Arial" w:cs="Arial"/>
          <w:i/>
          <w:iCs/>
          <w:noProof/>
          <w:kern w:val="2"/>
          <w:lang w:val="en-GB"/>
          <w14:ligatures w14:val="standardContextual"/>
        </w:rPr>
        <w:t>et al</w:t>
      </w:r>
      <w:r w:rsidRPr="00D62A3B">
        <w:rPr>
          <w:rFonts w:ascii="Arial" w:eastAsia="DengXian" w:hAnsi="Arial" w:cs="Arial"/>
          <w:noProof/>
          <w:kern w:val="2"/>
          <w:lang w:val="en-GB"/>
          <w14:ligatures w14:val="standardContextual"/>
        </w:rPr>
        <w:t xml:space="preserve">., 2007; Donnelly </w:t>
      </w:r>
      <w:r w:rsidRPr="00D62A3B">
        <w:rPr>
          <w:rFonts w:ascii="Arial" w:eastAsia="DengXian" w:hAnsi="Arial" w:cs="Arial"/>
          <w:i/>
          <w:iCs/>
          <w:noProof/>
          <w:kern w:val="2"/>
          <w:lang w:val="en-GB"/>
          <w14:ligatures w14:val="standardContextual"/>
        </w:rPr>
        <w:t>et al</w:t>
      </w:r>
      <w:r w:rsidRPr="00D62A3B">
        <w:rPr>
          <w:rFonts w:ascii="Arial" w:eastAsia="DengXian" w:hAnsi="Arial" w:cs="Arial"/>
          <w:noProof/>
          <w:kern w:val="2"/>
          <w:lang w:val="en-GB"/>
          <w14:ligatures w14:val="standardContextual"/>
        </w:rPr>
        <w:t>., 2009)</w:t>
      </w:r>
      <w:r w:rsidRPr="00D62A3B">
        <w:rPr>
          <w:rFonts w:ascii="Arial" w:eastAsia="DengXian" w:hAnsi="Arial" w:cs="Arial"/>
          <w:kern w:val="2"/>
          <w:lang w:val="en-GB"/>
          <w14:ligatures w14:val="standardContextual"/>
        </w:rPr>
        <w:fldChar w:fldCharType="end"/>
      </w:r>
      <w:r w:rsidRPr="00D62A3B">
        <w:rPr>
          <w:rFonts w:ascii="Arial" w:eastAsia="DengXian" w:hAnsi="Arial" w:cs="Arial"/>
          <w:kern w:val="2"/>
          <w:lang w:val="en-GB"/>
          <w14:ligatures w14:val="standardContextual"/>
        </w:rPr>
        <w:t xml:space="preserve"> and (3) The global recommendations for the evaluation and examination of small earthen dams as outlined in the publications by Pisaniello, 2010a, b; Pisaniello and McCay, 2006.</w:t>
      </w:r>
    </w:p>
    <w:p w14:paraId="31A7CEDA" w14:textId="77777777" w:rsidR="00287ED5" w:rsidRPr="00D62A3B" w:rsidRDefault="00287ED5" w:rsidP="00EE04EB">
      <w:pPr>
        <w:spacing w:line="276" w:lineRule="auto"/>
        <w:rPr>
          <w:rFonts w:ascii="Arial" w:eastAsia="DengXian" w:hAnsi="Arial" w:cs="Arial"/>
          <w:kern w:val="2"/>
          <w:lang w:val="en-GB"/>
          <w14:ligatures w14:val="standardContextual"/>
        </w:rPr>
      </w:pPr>
      <w:r w:rsidRPr="00D62A3B">
        <w:rPr>
          <w:rFonts w:ascii="Arial" w:eastAsia="DengXian" w:hAnsi="Arial" w:cs="Arial"/>
          <w:b/>
          <w:kern w:val="2"/>
          <w:lang w:val="en-GB"/>
          <w14:ligatures w14:val="standardContextual"/>
        </w:rPr>
        <w:t>Phase Three:</w:t>
      </w:r>
      <w:r w:rsidRPr="00D62A3B">
        <w:rPr>
          <w:rFonts w:ascii="Arial" w:eastAsia="DengXian" w:hAnsi="Arial" w:cs="Arial"/>
          <w:kern w:val="2"/>
          <w:lang w:val="en-GB"/>
          <w14:ligatures w14:val="standardContextual"/>
        </w:rPr>
        <w:t xml:space="preserve"> The qualitative semi-structured interviews were conducted with representatives from thirty significant stakeholder groups. The in-person interviews took place between September 10 and October 21, 2023. </w:t>
      </w:r>
    </w:p>
    <w:p w14:paraId="0DB7496E" w14:textId="77777777" w:rsidR="00287ED5" w:rsidRDefault="00287ED5" w:rsidP="00EE04EB">
      <w:pPr>
        <w:spacing w:line="276" w:lineRule="auto"/>
        <w:rPr>
          <w:rFonts w:ascii="Arial" w:eastAsia="DengXian" w:hAnsi="Arial" w:cs="Arial"/>
          <w:kern w:val="2"/>
          <w:lang w:val="en-GB"/>
          <w14:ligatures w14:val="standardContextual"/>
        </w:rPr>
      </w:pPr>
      <w:r w:rsidRPr="00D62A3B">
        <w:rPr>
          <w:rFonts w:ascii="Arial" w:eastAsia="DengXian" w:hAnsi="Arial" w:cs="Arial"/>
          <w:kern w:val="2"/>
          <w:lang w:val="en-GB"/>
          <w14:ligatures w14:val="standardContextual"/>
        </w:rPr>
        <w:t>The study employed the mixed methods approach in data collection whereby quantitative and qualitative data were collected concurrently to get more information to help answer the research questions. Primary data were collected using a structured questionnaire; key informant interviews (KIIs) and focus group discussions (FGDs). The KIIs and the FGDs were guided by a checklist and an FGD guide respectively. A total of 10 key informants occupying different positions including engineers and policymakers were interviewed. Moreover, ten FGDs, each involving 20 participants, were conducted.</w:t>
      </w:r>
    </w:p>
    <w:p w14:paraId="4B88B855" w14:textId="77777777" w:rsidR="00287ED5" w:rsidRDefault="00287ED5" w:rsidP="00287ED5">
      <w:pPr>
        <w:spacing w:line="276" w:lineRule="auto"/>
        <w:jc w:val="both"/>
        <w:rPr>
          <w:rFonts w:ascii="Arial" w:eastAsia="DengXian" w:hAnsi="Arial" w:cs="Arial"/>
          <w:kern w:val="2"/>
          <w:lang w:val="en-GB"/>
          <w14:ligatures w14:val="standardContextual"/>
        </w:rPr>
      </w:pPr>
    </w:p>
    <w:p w14:paraId="571477A2" w14:textId="77777777" w:rsidR="00287ED5" w:rsidRDefault="00287ED5" w:rsidP="00B23916">
      <w:pPr>
        <w:spacing w:after="160" w:line="276" w:lineRule="auto"/>
        <w:ind w:left="360"/>
        <w:contextualSpacing/>
        <w:jc w:val="both"/>
        <w:rPr>
          <w:rFonts w:ascii="Arial" w:eastAsia="DengXian" w:hAnsi="Arial" w:cs="Arial"/>
          <w:b/>
          <w:kern w:val="2"/>
          <w:lang w:val="en-GB"/>
          <w14:ligatures w14:val="standardContextual"/>
        </w:rPr>
      </w:pPr>
      <w:r>
        <w:rPr>
          <w:rFonts w:ascii="Arial" w:eastAsia="DengXian" w:hAnsi="Arial" w:cs="Arial"/>
          <w:b/>
          <w:kern w:val="2"/>
          <w:lang w:val="en-GB"/>
          <w14:ligatures w14:val="standardContextual"/>
        </w:rPr>
        <w:t>2.4</w:t>
      </w:r>
      <w:r w:rsidR="00B23916">
        <w:rPr>
          <w:rFonts w:ascii="Arial" w:eastAsia="DengXian" w:hAnsi="Arial" w:cs="Arial"/>
          <w:b/>
          <w:kern w:val="2"/>
          <w:lang w:val="en-GB"/>
          <w14:ligatures w14:val="standardContextual"/>
        </w:rPr>
        <w:t>.</w:t>
      </w:r>
      <w:r w:rsidR="00B23916" w:rsidRPr="006B40FA">
        <w:rPr>
          <w:rFonts w:ascii="Arial" w:eastAsia="DengXian" w:hAnsi="Arial" w:cs="Arial"/>
          <w:b/>
          <w:kern w:val="2"/>
          <w:lang w:val="en-GB"/>
          <w14:ligatures w14:val="standardContextual"/>
        </w:rPr>
        <w:t xml:space="preserve"> Data</w:t>
      </w:r>
      <w:r w:rsidRPr="006B40FA">
        <w:rPr>
          <w:rFonts w:ascii="Arial" w:eastAsia="DengXian" w:hAnsi="Arial" w:cs="Arial"/>
          <w:b/>
          <w:kern w:val="2"/>
          <w:lang w:val="en-GB"/>
          <w14:ligatures w14:val="standardContextual"/>
        </w:rPr>
        <w:t xml:space="preserve"> analysis</w:t>
      </w:r>
    </w:p>
    <w:p w14:paraId="473E6B20" w14:textId="77777777" w:rsidR="00454E96" w:rsidRPr="00B23916" w:rsidRDefault="00454E96" w:rsidP="00B23916">
      <w:pPr>
        <w:spacing w:after="160" w:line="276" w:lineRule="auto"/>
        <w:ind w:left="360"/>
        <w:contextualSpacing/>
        <w:jc w:val="both"/>
        <w:rPr>
          <w:rFonts w:ascii="Arial" w:eastAsia="DengXian" w:hAnsi="Arial" w:cs="Arial"/>
          <w:b/>
          <w:kern w:val="2"/>
          <w:lang w:val="en-GB"/>
          <w14:ligatures w14:val="standardContextual"/>
        </w:rPr>
      </w:pPr>
    </w:p>
    <w:p w14:paraId="40A08C55" w14:textId="77777777" w:rsidR="00287ED5" w:rsidRDefault="00287ED5" w:rsidP="00EE04EB">
      <w:pPr>
        <w:rPr>
          <w:rFonts w:ascii="Arial" w:eastAsia="DengXian" w:hAnsi="Arial" w:cs="Arial"/>
          <w:kern w:val="2"/>
          <w14:ligatures w14:val="standardContextual"/>
        </w:rPr>
      </w:pPr>
      <w:r w:rsidRPr="000A4E58">
        <w:rPr>
          <w:rFonts w:ascii="Arial" w:hAnsi="Arial" w:cs="Arial"/>
        </w:rPr>
        <w:t>Data collected from literature review, observations (on site surveys),</w:t>
      </w:r>
      <w:r w:rsidRPr="000A4E58">
        <w:rPr>
          <w:rFonts w:ascii="Arial" w:eastAsia="DengXian" w:hAnsi="Arial" w:cs="Arial"/>
          <w:kern w:val="2"/>
          <w:lang w:val="en-GB"/>
          <w14:ligatures w14:val="standardContextual"/>
        </w:rPr>
        <w:t xml:space="preserve"> semi-structured interviews </w:t>
      </w:r>
      <w:r w:rsidRPr="000A4E58">
        <w:rPr>
          <w:rFonts w:ascii="Arial" w:hAnsi="Arial" w:cs="Arial"/>
        </w:rPr>
        <w:t xml:space="preserve">regarding different applied coping strategies in farmers’ fields and observable risk of </w:t>
      </w:r>
      <w:proofErr w:type="spellStart"/>
      <w:r w:rsidRPr="000A4E58">
        <w:rPr>
          <w:rFonts w:ascii="Arial" w:hAnsi="Arial" w:cs="Arial"/>
        </w:rPr>
        <w:t>mindu</w:t>
      </w:r>
      <w:proofErr w:type="spellEnd"/>
      <w:r w:rsidRPr="000A4E58">
        <w:rPr>
          <w:rFonts w:ascii="Arial" w:hAnsi="Arial" w:cs="Arial"/>
        </w:rPr>
        <w:t xml:space="preserve"> dam in </w:t>
      </w:r>
      <w:proofErr w:type="spellStart"/>
      <w:r w:rsidRPr="000A4E58">
        <w:rPr>
          <w:rFonts w:ascii="Arial" w:hAnsi="Arial" w:cs="Arial"/>
        </w:rPr>
        <w:t>morogoro</w:t>
      </w:r>
      <w:proofErr w:type="spellEnd"/>
      <w:r w:rsidRPr="000A4E58">
        <w:rPr>
          <w:rFonts w:ascii="Arial" w:hAnsi="Arial" w:cs="Arial"/>
        </w:rPr>
        <w:t xml:space="preserve"> , plus information collected from the household survey were </w:t>
      </w:r>
      <w:proofErr w:type="spellStart"/>
      <w:r w:rsidRPr="000A4E58">
        <w:rPr>
          <w:rFonts w:ascii="Arial" w:hAnsi="Arial" w:cs="Arial"/>
        </w:rPr>
        <w:t>analysed</w:t>
      </w:r>
      <w:proofErr w:type="spellEnd"/>
      <w:r w:rsidRPr="000A4E58">
        <w:rPr>
          <w:rFonts w:ascii="Arial" w:hAnsi="Arial" w:cs="Arial"/>
        </w:rPr>
        <w:t xml:space="preserve"> using descriptive statistics. Stata 14 and Excel were used to generate frequency tables, percentages, charts and graphs to summarize, present and interpret survey</w:t>
      </w:r>
      <w:r>
        <w:rPr>
          <w:rFonts w:ascii="Arial" w:hAnsi="Arial" w:cs="Arial"/>
        </w:rPr>
        <w:t>.</w:t>
      </w:r>
    </w:p>
    <w:p w14:paraId="6A346D52" w14:textId="77777777" w:rsidR="00790ADA" w:rsidRPr="00FB3A86" w:rsidRDefault="00790ADA" w:rsidP="00441B6F">
      <w:pPr>
        <w:pStyle w:val="Body"/>
        <w:spacing w:after="0"/>
        <w:rPr>
          <w:rFonts w:ascii="Arial" w:hAnsi="Arial" w:cs="Arial"/>
        </w:rPr>
      </w:pPr>
    </w:p>
    <w:p w14:paraId="7852D7D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2EAF38" w14:textId="77777777" w:rsidR="00790ADA" w:rsidRPr="00FB3A86" w:rsidRDefault="00790ADA" w:rsidP="00441B6F">
      <w:pPr>
        <w:pStyle w:val="Head1"/>
        <w:spacing w:after="0"/>
        <w:jc w:val="both"/>
        <w:rPr>
          <w:rFonts w:ascii="Arial" w:hAnsi="Arial" w:cs="Arial"/>
        </w:rPr>
      </w:pPr>
    </w:p>
    <w:p w14:paraId="2304AAAC" w14:textId="77777777" w:rsidR="003941BF" w:rsidRDefault="003941BF" w:rsidP="003941BF">
      <w:pPr>
        <w:spacing w:after="160" w:line="276" w:lineRule="auto"/>
        <w:ind w:left="360"/>
        <w:contextualSpacing/>
        <w:jc w:val="both"/>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t>3.1.</w:t>
      </w:r>
      <w:r w:rsidRPr="00D62A3B">
        <w:rPr>
          <w:rFonts w:ascii="Arial" w:eastAsia="Calibri" w:hAnsi="Arial" w:cs="Arial"/>
          <w:b/>
          <w:iCs/>
          <w:kern w:val="2"/>
          <w:lang w:val="en-GB"/>
          <w14:ligatures w14:val="standardContextual"/>
        </w:rPr>
        <w:t xml:space="preserve"> Establishment of a global dam safety policy benchmark</w:t>
      </w:r>
    </w:p>
    <w:p w14:paraId="05144C39" w14:textId="77777777" w:rsidR="003941BF" w:rsidRPr="00D62A3B" w:rsidRDefault="003941BF" w:rsidP="003941BF">
      <w:pPr>
        <w:spacing w:after="160" w:line="276" w:lineRule="auto"/>
        <w:ind w:left="360"/>
        <w:contextualSpacing/>
        <w:jc w:val="both"/>
        <w:rPr>
          <w:rFonts w:ascii="Arial" w:eastAsia="Calibri" w:hAnsi="Arial" w:cs="Arial"/>
          <w:b/>
          <w:iCs/>
          <w:kern w:val="2"/>
          <w:lang w:val="en-GB"/>
          <w14:ligatures w14:val="standardContextual"/>
        </w:rPr>
      </w:pPr>
    </w:p>
    <w:p w14:paraId="76BCE1F9" w14:textId="77777777" w:rsidR="003941BF"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The assessment of adequate policy required a benchmark, which would be used for comparison purposes for the Tanzania reservoir in Morogoro.  This global analysis demonstrates how different countries have different management plans for managing dam safety. Nonetheless, it is possible to identify essential elements of some techniques. Common law, command and control procedures, management, reservoir registration and categorization, monitoring, bookkeeping, and reporting, rules and/or standards of behaviour, readiness and education for residents, punitive enforcement, and owner instruction and direction are some of these. According to an analysis of the aforementioned international evaluation criteria, there are three primary independent ways to give the public more comfort about dam safety:</w:t>
      </w:r>
    </w:p>
    <w:p w14:paraId="4736014C" w14:textId="77777777" w:rsidR="00B23916" w:rsidRPr="00D62A3B" w:rsidRDefault="00B23916" w:rsidP="00EE04EB">
      <w:pPr>
        <w:spacing w:line="276" w:lineRule="auto"/>
        <w:rPr>
          <w:rFonts w:ascii="Arial" w:eastAsia="Calibri" w:hAnsi="Arial" w:cs="Arial"/>
          <w:kern w:val="2"/>
          <w:lang w:val="en-GB"/>
          <w14:ligatures w14:val="standardContextual"/>
        </w:rPr>
      </w:pPr>
    </w:p>
    <w:p w14:paraId="7DDC938D" w14:textId="77777777" w:rsidR="003941BF" w:rsidRPr="00D62A3B"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t>Approach 1:</w:t>
      </w:r>
      <w:r w:rsidRPr="00D62A3B">
        <w:rPr>
          <w:rFonts w:ascii="Arial" w:eastAsia="Calibri" w:hAnsi="Arial" w:cs="Arial"/>
          <w:kern w:val="2"/>
          <w:lang w:val="en-GB"/>
          <w14:ligatures w14:val="standardContextual"/>
        </w:rPr>
        <w:t xml:space="preserve"> Owner instruction, support, and direction. Supplying dam owners with informational documents and guidelines in the hopes that they will behave responsibly and according to common law requirements (Gunningham and Sinclair, 1999, 2002;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{"citationItems":[{"id":"ITEM-1","itemData":{"ISBN":"0801439620","ISSN":"0029-5582","abstract":"We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evaluation.","author":[{"dropping-particle":"","family":"Zivie-Cohce","given":"C","non-dropping-particle":"","parse-names":false,"suffix":""}],"container-title":"Nucl. Phys.","id":"ITEM-1","issue":"1","issued":{"date-parts":[["1997"]]},"page":"1-122","title":"No Titleیلیب","type":"article-journal","volume":"13"},"uris":["http://www.mendeley.com/documents/?uuid=c7fdbbf4-1c0a-460d-b0dd-59d338be3894","http://www.mendeley.com/documents/?uuid=7cdae122-49d2-44da-9eb9-374ad79fc810","http://www.mendeley.com/documents/?uuid=1fba983e-e583-4409-bca3-ed533a8a3554"]}],"mendeley":{"formattedCitation":"(Zivie-Cohce, 1997)","manualFormatting":"Zivie-Cohce, 1997)","plainTextFormattedCitation":"(Zivie-Cohce, 1997)","previouslyFormattedCitation":"(Zivie-Cohce, 1997)"},"properties":{"noteIndex":0},"schema":"https://github.com/citation-style-language/schema/raw/master/csl-citation.json"}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Zivie-Cohce, 1997)</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12158B5A" w14:textId="77777777" w:rsidR="003941BF" w:rsidRPr="00D62A3B"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t>Approach 2:</w:t>
      </w:r>
      <w:r w:rsidRPr="00D62A3B">
        <w:rPr>
          <w:rFonts w:ascii="Arial" w:eastAsia="Calibri" w:hAnsi="Arial" w:cs="Arial"/>
          <w:kern w:val="2"/>
          <w:lang w:val="en-GB"/>
          <w14:ligatures w14:val="standardContextual"/>
        </w:rPr>
        <w:t xml:space="preserve"> Using emergency action plans (EAPs) to organize the community. Making EAPs a requirement for all dam owners may be necessary under legislation (Pisaniello and McKay, 2007). To mandate the creation and upkeep of increasingly sophisticated plans for increasing hazard potential and to monitor the overall state of reservoir safety management, it is also necessary for the government to establish and maintain a reservoir registration (Pisaniello and McKay, 2007). Because downstream populations are informed of the dangers and hazards they face and are given the option to evacuate in the event of a dam failure, this law respects the principle of the "Community Right to Know" (Gunningham and Grabosky, 1998).</w:t>
      </w:r>
    </w:p>
    <w:p w14:paraId="5F8FAA60" w14:textId="77777777" w:rsidR="003941BF" w:rsidRPr="00D62A3B"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b/>
          <w:kern w:val="2"/>
          <w:lang w:val="en-GB"/>
          <w14:ligatures w14:val="standardContextual"/>
        </w:rPr>
        <w:t>Approach 3:</w:t>
      </w:r>
      <w:r w:rsidRPr="00D62A3B">
        <w:rPr>
          <w:rFonts w:ascii="Arial" w:eastAsia="Calibri" w:hAnsi="Arial" w:cs="Arial"/>
          <w:kern w:val="2"/>
          <w:lang w:val="en-GB"/>
          <w14:ligatures w14:val="standardContextual"/>
        </w:rPr>
        <w:t xml:space="preserve"> Command and Control - stringent oversight and regulation through the application of dam safety laws. Gunningham and Grabosky (1998) and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{"citationItems":[{"id":"ITEM-1","itemData":{"DOI":"10.4324/9780203019078-25","ISSN":"15298094","abstract":"My subject is what the practice of education can learn from the arts. I describe the forms of thinking the arts evoke and their relevance for re-framing conceptions of what education can accomplish.","author":[{"dropping-particle":"","family":"Eisner","given":"Elliot W.","non-dropping-particle":"","parse-names":false,"suffix":""}],"container-title":"International Journal of Education and the Arts","id":"ITEM-1","issue":"4","issued":{"date-parts":[["2004"]]},"page":"1-13","title":"What can education learn from the arts about the practice of education?","type":"article-journal","volume":"5"},"uris":["http://www.mendeley.com/documents/?uuid=c14d5cf6-356a-4422-97dc-e5a7145e31af","http://www.mendeley.com/documents/?uuid=8befecf0-1c8e-4e13-bcaf-0a43addb7f16","http://www.mendeley.com/documents/?uuid=71c37b29-121f-462f-b632-5f4fea499276"]}],"mendeley":{"formattedCitation":"(Eisner, 2004)","manualFormatting":"Eisner (2004)","plainTextFormattedCitation":"(Eisner, 2004)","previouslyFormattedCitation":"(Eisner, 2004)"},"properties":{"noteIndex":0},"schema":"https://github.com/citation-style-language/schema/raw/master/csl-citation.json"}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Eisner (2004)</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discussed the establishment of legal requirements for </w:t>
      </w:r>
      <w:r w:rsidRPr="00D62A3B">
        <w:rPr>
          <w:rFonts w:ascii="Arial" w:eastAsia="Calibri" w:hAnsi="Arial" w:cs="Arial"/>
          <w:kern w:val="2"/>
          <w:lang w:val="en-GB"/>
          <w14:ligatures w14:val="standardContextual"/>
        </w:rPr>
        <w:lastRenderedPageBreak/>
        <w:t xml:space="preserve">reservoir owners to adhere to specific rules, de facto standards, codes, and regulations on dam safety management, as well as the provision of supervision to guarantee compliance and provide a degree of regulatory certainty. All of these studies (Bradlow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2002; </w:t>
      </w:r>
      <w:proofErr w:type="spellStart"/>
      <w:r w:rsidRPr="00D62A3B">
        <w:rPr>
          <w:rFonts w:ascii="Arial" w:eastAsia="Calibri" w:hAnsi="Arial" w:cs="Arial"/>
          <w:kern w:val="2"/>
          <w:lang w:val="en-GB"/>
          <w14:ligatures w14:val="standardContextual"/>
        </w:rPr>
        <w:t>Tigey</w:t>
      </w:r>
      <w:proofErr w:type="spellEnd"/>
      <w:r w:rsidRPr="00D62A3B">
        <w:rPr>
          <w:rFonts w:ascii="Arial" w:eastAsia="Calibri" w:hAnsi="Arial" w:cs="Arial"/>
          <w:kern w:val="2"/>
          <w:lang w:val="en-GB"/>
          <w14:ligatures w14:val="standardContextual"/>
        </w:rPr>
        <w:t xml:space="preserve">-Holyoak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2011; Pisaniello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2011; Pisaniello, 2010; Pisaniello and Burritt, 2010; Pisaniello and McKay, 2003) </w:t>
      </w:r>
      <w:r w:rsidRPr="00D62A3B">
        <w:rPr>
          <w:rFonts w:ascii="Arial" w:eastAsia="Calibri" w:hAnsi="Arial" w:cs="Arial"/>
          <w:kern w:val="2"/>
          <w14:ligatures w14:val="standardContextual"/>
        </w:rPr>
        <w:t>have a primary focus on ensuring newly built dams are appropriately conceived and constructed, while also promoting proper maintenance and collecting information on risk assessment of existing dams. </w:t>
      </w:r>
      <w:r w:rsidRPr="00D62A3B">
        <w:rPr>
          <w:rFonts w:ascii="Arial" w:eastAsia="Calibri" w:hAnsi="Arial" w:cs="Arial"/>
          <w:kern w:val="2"/>
          <w:lang w:val="en-GB"/>
          <w14:ligatures w14:val="standardContextual"/>
        </w:rPr>
        <w:t xml:space="preserve">These studies have led to the establishment of international dam safety benchmarks. It is advised to use three general models of dam safety management policy, which range from "minimum practice" to "best practice," to give the public greater confidence regarding dam safety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{"citationItems":[{"id":"ITEM-1","itemData":{"DOI":"10.1080/07900627.2010.489306","ISSN":"07900627","abstract":"The safety of medium- and large-scale dams is addressed in many countries, but limited attention is paid to problems associated with smaller farm dams, particularly potential cumulative threats posed in larger catchments. Farmers in Australia often overlook the common law obligation to review and design dams in line with current standards. The result is downstream communities, property and environment placed at risk. This paper demonstrates the significance of this problem with case studies undertaken in policy-absent South Australia, policy-driven Victoria and policy-strong New South Wales, including empirical evidence on attitudes and responses of landholders and key policy actors. This demonstrates need for supervision of small dams. Tasmania is included as a case study as it represents a policy-model state on how this can be best achieved in line with international best-practice. The four cases provide useful comparative lessons. Policy guidelines applicable to any jurisdiction are included; their application is illustrated with the case studies. The paper considers the policy implications of these lessons for Australia in particular and the world in general. © 2010 Taylor &amp; Francis.","author":[{"dropping-particle":"","family":"Pisaniello","given":"John D.","non-dropping-particle":"","parse-names":false,"suffix":""}],"container-title":"International Journal of Water Resources Development","id":"ITEM-1","issue":"3","issued":{"date-parts":[["2010"]]},"page":"381-402","title":"Attitudes and Policy Responses to Australian farm dam safety threats: Comparative lessons for water resources managers","type":"article-journal","volume":"26"},"uris":["http://www.mendeley.com/documents/?uuid=80449049-4332-4df0-884e-58df38633fd0","http://www.mendeley.com/documents/?uuid=b57a8500-2eab-4913-8955-1728b03628cb","http://www.mendeley.com/documents/?uuid=1c8724b7-25ec-4d70-b869-d9a844243d01"]}],"mendeley":{"formattedCitation":"(Pisaniello, 2010)","plainTextFormattedCitation":"(Pisaniello, 2010)","previouslyFormattedCitation":"(Pisaniello, 2010)"},"properties":{"noteIndex":0},"schema":"https://github.com/citation-style-language/schema/raw/master/csl-citation.json"}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(Pisaniello, 2010)</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These models are known as the global models. </w:t>
      </w:r>
    </w:p>
    <w:p w14:paraId="258804EF" w14:textId="77777777" w:rsidR="003941BF" w:rsidRPr="00D62A3B" w:rsidRDefault="003941BF" w:rsidP="00EE04EB">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The models consist of the following: </w:t>
      </w:r>
    </w:p>
    <w:p w14:paraId="6E32196A" w14:textId="77777777" w:rsidR="003941BF" w:rsidRPr="00D62A3B" w:rsidRDefault="003941BF" w:rsidP="00EE04EB">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Minimum practice = approach 1 + approach 2 (i.e., the minimum level benchmark).  </w:t>
      </w:r>
    </w:p>
    <w:p w14:paraId="1305FA7C" w14:textId="77777777" w:rsidR="003941BF" w:rsidRPr="00D62A3B" w:rsidRDefault="003941BF" w:rsidP="00EE04EB">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Average practice = approach 1 + approach 2 + some element(s) of 3.</w:t>
      </w:r>
    </w:p>
    <w:p w14:paraId="67672E00" w14:textId="77777777" w:rsidR="003941BF" w:rsidRDefault="003941BF" w:rsidP="00EE04EB">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Best practice = approach 1+ approach 2 + approach 3 (i.e., the best practice benchmark).</w:t>
      </w:r>
    </w:p>
    <w:p w14:paraId="7C5CB6B9" w14:textId="77777777" w:rsidR="00B23916" w:rsidRPr="00D62A3B" w:rsidRDefault="00B23916" w:rsidP="00EE04EB">
      <w:pPr>
        <w:spacing w:line="276" w:lineRule="auto"/>
        <w:rPr>
          <w:rFonts w:ascii="Arial" w:eastAsia="Calibri" w:hAnsi="Arial" w:cs="Arial"/>
          <w:kern w:val="2"/>
          <w14:ligatures w14:val="standardContextual"/>
        </w:rPr>
      </w:pPr>
    </w:p>
    <w:p w14:paraId="0BDAD9A9" w14:textId="77777777" w:rsidR="003941BF"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Together with the three global models, Bradlow </w:t>
      </w:r>
      <w:r w:rsidRPr="00D62A3B">
        <w:rPr>
          <w:rFonts w:ascii="Arial" w:eastAsia="Calibri" w:hAnsi="Arial" w:cs="Arial"/>
          <w:i/>
          <w:iCs/>
          <w:kern w:val="2"/>
          <w:lang w:val="en-GB"/>
          <w14:ligatures w14:val="standardContextual"/>
        </w:rPr>
        <w:t>et al</w:t>
      </w:r>
      <w:r w:rsidRPr="00D62A3B">
        <w:rPr>
          <w:rFonts w:ascii="Arial" w:eastAsia="Calibri" w:hAnsi="Arial" w:cs="Arial"/>
          <w:kern w:val="2"/>
          <w:lang w:val="en-GB"/>
          <w14:ligatures w14:val="standardContextual"/>
        </w:rPr>
        <w:t xml:space="preserve">. (2002) developed by the "World Bank frameworks," which are guidelines for dam safety regulations sponsored by the World Bank and also referred to as regulatory standards. As proposed by Gunningham and Grabosky (1998), a suitable regulatory mix that incorporates multiple mechanisms is meant to create a global standard or benchmark. This benchmark is essential for evaluating the effectiveness of on-farm water storage safety management in various legal contexts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{"citationItems":[{"id":"ITEM-1","itemData":{"DOI":"10.9774/GLEAF.3062.2003.wi.00003","ISSN":"09669671","abstract":"In summary, this special issue of Greener Management International hopefully provides a concise overview of the current status and an insight into recent new work on the debate and practice of the relationship between sustainability performance, business competitiveness, with a particular focus on empirical evidence and on a wide geographical and industrial scope. In particular the geographical spread of the research, from, America to Asia and from northern via western to Southern Europe, and into developing and emerging economies, impressively reflects the truly global nature of the issues at the heart of sustainability and the topic of this special issue.","author":[{"dropping-particle":"","family":"Wagner","given":"Marcus","non-dropping-particle":"","parse-names":false,"suffix":""},{"dropping-particle":"","family":"Schaltegger","given":"Stefan","non-dropping-particle":"","parse-names":false,"suffix":""}],"container-title":"Greener Management International","id":"ITEM-1","issue":"44","issued":{"date-parts":[["2003"]]},"page":"5-16","title":"How does sustainability performance relate to business competitiveness?","type":"article-journal"},"uris":["http://www.mendeley.com/documents/?uuid=c7da5b0b-8c55-48b8-9e26-35c076786448","http://www.mendeley.com/documents/?uuid=64902017-5676-4b3f-994b-247bce5aab90","http://www.mendeley.com/documents/?uuid=b3ffcf1c-1754-4967-a6ab-07cb6d1a6982"]}],"mendeley":{"formattedCitation":"(Wagner &amp; Schaltegger, 2003)","plainTextFormattedCitation":"(Wagner &amp; Schaltegger, 2003)","previouslyFormattedCitation":"(Wagner &amp; Schaltegger, 2003)"},"properties":{"noteIndex":0},"schema":"https://github.com/citation-style-language/schema/raw/master/csl-citation.json"}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(Wagner &amp; Schaltegger, 2003)</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In the event of a crisis, the public would be most assured and best practices would be established by a dam safety assurance policy that incorporates all three models. That being said,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{"citationItems":[{"id":"ITEM-1","itemData":{"DOI":"10.1111/j.1747-4469.1999.tb00407.x","ISSN":"08976546","abstract":"This article builds on recent field research to articulate a principle-based approach to environmental regulatory design that is applicable to a wide variety of circumstances, irrespective of political and social particularities. At its core, this approach recognizes that an excessive reliance on \"single-instrument\" policies is misguided, because all instruments have strengths and weaknesses, and none is sufficiently flexible and resilient to successfully address all environmental problems in all contexts. A better strategy is to harness the strengths of individual mechanisms while compensating for their weaknesses by the use of additional instruments. That is, in the large majority of circumstances, a mix of regulatory instruments is required, tailored to specific policy goals. The article identifies a series of regulatory design principles that sequentially address the problems and opportunities arising from the application of multi-instrument mixes and engaging a variety of first-, second-, and third-party participants in the regulatory process. The importance of choosing inherently complementary instrument combinations is also highlighted, with practical guidance provided to policymakers. Although the focus of the article is on environmental regulation, the general principles articulated should also be applicable to other areas of social regulation.","author":[{"dropping-particle":"","family":"Gunningham","given":"Neil","non-dropping-particle":"","parse-names":false,"suffix":""},{"dropping-particle":"","family":"Sinclair","given":"Darren","non-dropping-particle":"","parse-names":false,"suffix":""}],"container-title":"Law and Social Inquiry","id":"ITEM-1","issue":"4","issued":{"date-parts":[["1999"]]},"page":"853-896","title":"Integrative regulation: A principle-based approach to environmental policy","type":"article-journal","volume":"24"},"uris":["http://www.mendeley.com/documents/?uuid=e4fe8541-36ea-419c-a602-1339ff81502b","http://www.mendeley.com/documents/?uuid=8ae1c0c5-1742-4842-9e40-354e765eda4b","http://www.mendeley.com/documents/?uuid=09938012-d0fd-4ee1-b539-d1a96385aacd"]}],"mendeley":{"formattedCitation":"(Gunningham &amp; Sinclair, 1999)","manualFormatting":"Gunningham and Sinclai (1999)","plainTextFormattedCitation":"(Gunningham &amp; Sinclair, 1999)","previouslyFormattedCitation":"(Gunningham &amp; Sinclair, 1999)"},"properties":{"noteIndex":0},"schema":"https://github.com/citation-style-language/schema/raw/master/csl-citation.json"}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Gunningham and Sinclai (1999)</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suggest that it could theoretically be feasible to start and continue operations only using model 1's lowest benchmark. </w:t>
      </w:r>
      <w:r w:rsidRPr="00D62A3B">
        <w:rPr>
          <w:rFonts w:ascii="Arial" w:eastAsia="Calibri" w:hAnsi="Arial" w:cs="Arial"/>
          <w:kern w:val="2"/>
          <w14:ligatures w14:val="standardContextual"/>
        </w:rPr>
        <w:t xml:space="preserve">According to Pisaniello </w:t>
      </w:r>
      <w:r w:rsidRPr="00D62A3B">
        <w:rPr>
          <w:rFonts w:ascii="Arial" w:eastAsia="Calibri" w:hAnsi="Arial" w:cs="Arial"/>
          <w:i/>
          <w:iCs/>
          <w:kern w:val="2"/>
          <w14:ligatures w14:val="standardContextual"/>
        </w:rPr>
        <w:t>et al</w:t>
      </w:r>
      <w:r w:rsidRPr="00D62A3B">
        <w:rPr>
          <w:rFonts w:ascii="Arial" w:eastAsia="Calibri" w:hAnsi="Arial" w:cs="Arial"/>
          <w:kern w:val="2"/>
          <w14:ligatures w14:val="standardContextual"/>
        </w:rPr>
        <w:t xml:space="preserve">. </w:t>
      </w:r>
      <w:r w:rsidRPr="00D62A3B">
        <w:rPr>
          <w:rFonts w:ascii="Arial" w:eastAsia="Calibri" w:hAnsi="Arial" w:cs="Arial"/>
          <w:kern w:val="2"/>
          <w:lang w:val="en-GB"/>
          <w14:ligatures w14:val="standardContextual"/>
        </w:rPr>
        <w:t>(2011) and Pisaniello and McKay (2007), benchmark models are complementary to one another and can be used in concert to create thorough guidelines and crucial elements for establishing successful dam safety management policies in any jurisdiction. Table 1 integrates insights from the three international models and the World Bank frameworks to present key elements derived from international benchmarks. The international benchmarks mentioned earlier serve as the foundational standards for this paper's objective assessment of the suitability of the dam safety policy in Tanzania. The evaluation covers both central and local elements, including the overall policy enacted through laws and regulations, as well as practices and policy application on-site.</w:t>
      </w:r>
    </w:p>
    <w:p w14:paraId="65DCE502" w14:textId="77777777" w:rsidR="00B23916" w:rsidRPr="00D62A3B" w:rsidRDefault="00B23916" w:rsidP="00EE04EB">
      <w:pPr>
        <w:spacing w:line="276" w:lineRule="auto"/>
        <w:rPr>
          <w:rFonts w:ascii="Arial" w:eastAsia="Calibri" w:hAnsi="Arial" w:cs="Arial"/>
          <w:kern w:val="2"/>
          <w:lang w:val="en-GB"/>
          <w14:ligatures w14:val="standardContextual"/>
        </w:rPr>
      </w:pPr>
    </w:p>
    <w:p w14:paraId="664A7BE7" w14:textId="77777777" w:rsidR="003941BF" w:rsidRDefault="003941BF" w:rsidP="00EE04EB">
      <w:pPr>
        <w:spacing w:after="160" w:line="276" w:lineRule="auto"/>
        <w:ind w:left="360"/>
        <w:contextualSpacing/>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t>3.2.</w:t>
      </w:r>
      <w:r w:rsidRPr="00D62A3B">
        <w:rPr>
          <w:rFonts w:ascii="Arial" w:eastAsia="Calibri" w:hAnsi="Arial" w:cs="Arial"/>
          <w:b/>
          <w:iCs/>
          <w:kern w:val="2"/>
          <w:lang w:val="en-GB"/>
          <w14:ligatures w14:val="standardContextual"/>
        </w:rPr>
        <w:t xml:space="preserve"> An assessment of the rules and policies in place that control Tanzania's dam safety management</w:t>
      </w:r>
    </w:p>
    <w:p w14:paraId="528048A0" w14:textId="77777777" w:rsidR="00B23916" w:rsidRPr="00D62A3B" w:rsidRDefault="00B23916" w:rsidP="00EE04EB">
      <w:pPr>
        <w:spacing w:after="160" w:line="276" w:lineRule="auto"/>
        <w:ind w:left="360"/>
        <w:contextualSpacing/>
        <w:rPr>
          <w:rFonts w:ascii="Arial" w:eastAsia="Calibri" w:hAnsi="Arial" w:cs="Arial"/>
          <w:b/>
          <w:iCs/>
          <w:kern w:val="2"/>
          <w:lang w:val="en-GB"/>
          <w14:ligatures w14:val="standardContextual"/>
        </w:rPr>
      </w:pPr>
    </w:p>
    <w:p w14:paraId="1E6EF7B2" w14:textId="77777777" w:rsidR="003941BF" w:rsidRPr="00D62A3B"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In this section, we seek to lay the foundation for a comparative analysis of current laws and regulations against globally accepted standards (Table 4). The National Water Policy of 1991 was thoroughly revised after a protracted consultation process resulting in the new National Water Policy (NAWAPO), which was approved by the Cabinet in July 2002, marking the end of this process. It is thought that the NAWAPO addressed and fixed the flaws in the prior policy. In addition, it instituted the decentralization of water supply management, by Agenda 21 from the 1992 United Nations Environment Meeting in Rio de Janeiro. The "subsidiarity principle," which promotes managing water supplies at the most suitable local level, was highlighted in this agenda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{"citationItems":[{"id":"ITEM-1","itemData":{"DOI":"10.2166/wp.2009.024","ISSN":"13667017","abstract":"The paper presents and discusses different approaches to water management, termed \"state centred\", \"market-ased\" and \"community-based\". Each provides different answers to how and by whom limited water resources best could and should be managed. They are based on different development ideologies and advocated by different professions. The article elaborates on the strengths, limitations and compatibility of the three models. These models provide a basis for discussing national water policy and water management reforms in Tanzania as well as the more practical implications of this in one of the main river basins in the country: the Pangani River Basin. Central to the water management problem in this basin are conflicts between communities and the water bureaucracy over what constitutes \"proper\" management of water. The policy and the activities of the river basin authorities continue to reflect a traditional top-down bureaucratic approach to water management, with colonial roots. The water legislation and the formal water management system seem neither to be set up to facilitate the active participation of local communities in water management, nor to facilitate the development of a water market. © IWA Publishing 2009.","author":[{"dropping-particle":"","family":"Lein","given":"Haakon","non-dropping-particle":"","parse-names":false,"suffix":""},{"dropping-particle":"","family":"Tagseth","given":"Mattias","non-dropping-particle":"","parse-names":false,"suffix":""}],"container-title":"Water Policy","id":"ITEM-1","issue":"2","issued":{"date-parts":[["2009"]]},"page":"203-220","title":"Tanzanian water policy reforms - Between principles and practical applications","type":"article-journal","volume":"11"},"uris":["http://www.mendeley.com/documents/?uuid=f4e1b5ad-b446-420e-be3c-af6525546878","http://www.mendeley.com/documents/?uuid=7b35cfb7-0e48-4373-9c9f-7cec977f34f5","http://www.mendeley.com/documents/?uuid=de98c625-67d9-4c5c-930f-ab1c59860c9f"]},{"id":"ITEM-2","itemData":{"DOI":"10.1080/20964129.2018.1549510","ISSN":"23328878","abstract":"Introduction: The benefit of wetlands for reducing poverty depends on the effectiveness of governance systems that influence peoples’ behaviour in the wise use of wetlands. Objectives: This article critically analyses the current poverty reduction strategies, agrarian policies and economic investments governing wetland usage, especially in Tanzania, with regard to their impact on sustainable Ramsar wetlands management. Methodology: It analyses the management structure, domestic policies and legal framework relating to the protection of wetlands in Tanzania in accordance to the wise use concept of the Ramsar Convention. Outcomes: Tanzanian legal provisions for wetland protection are uncoordinated and too limited in their coverage and scope to sufficiently address the destruction of wetland ecosystems. There is no comprehensive national legal framework to guide sustainable management of Ramsar wetlands in Tanzania as laid out by the Ramsar Convention, which the country ratified in the year 2000. Conclusion: Without a sound legislative and policy-making framework, Tanzanian wetlands and their diverse ecosystem services will continue to degenerate with current strategies of increasing agribusiness and other developmental projects or economic investments. This paper provides critical baseline information to inform decision makers to develop appropriate policy and laws, which promote the wise use of wetlands in Tanzania.","author":[{"dropping-particle":"","family":"Materu","given":"Silvia Francis","non-dropping-particle":"","parse-names":false,"suffix":""},{"dropping-particle":"","family":"Urban","given":"Brigitte","non-dropping-particle":"","parse-names":false,"suffix":""},{"dropping-particle":"","family":"Heise","given":"Susanne","non-dropping-particle":"","parse-names":false,"suffix":""}],"container-title":"Ecosystem Health and Sustainability","id":"ITEM-2","issue":"12","issued":{"date-parts":[["2018"]]},"page":"310-320","publisher":"Taylor &amp; Francis","title":"A critical review of policies and legislation protecting Tanzanian wetlands","type":"article-journal","volume":"4"},"uris":["http://www.mendeley.com/documents/?uuid=33f445c4-621f-41cb-8145-a8da99e0a3cf","http://www.mendeley.com/documents/?uuid=4a9f4fb6-6de0-4fb3-91b3-244e9087c11f","http://www.mendeley.com/documents/?uuid=25ce1bd3-b145-41e7-9bc4-5026e3220713"]}],"mendeley":{"formattedCitation":"(Lein &amp; Tagseth, 2009; Materu et al., 2018)","plainTextFormattedCitation":"(Lein &amp; Tagseth, 2009; Materu et al., 2018)","previouslyFormattedCitation":"(Lein &amp; Tagseth, 2009; Materu et al., 2018)"},"properties":{"noteIndex":0},"schema":"https://github.com/citation-style-language/schema/raw/master/csl-citation.json"}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 xml:space="preserve">(Lein &amp; Tagseth, 2009; Materu </w:t>
      </w:r>
      <w:r w:rsidRPr="00D62A3B">
        <w:rPr>
          <w:rFonts w:ascii="Arial" w:eastAsia="Calibri" w:hAnsi="Arial" w:cs="Arial"/>
          <w:i/>
          <w:iCs/>
          <w:noProof/>
          <w:kern w:val="2"/>
          <w:lang w:val="en-GB"/>
          <w14:ligatures w14:val="standardContextual"/>
        </w:rPr>
        <w:t>et al</w:t>
      </w:r>
      <w:r w:rsidRPr="00D62A3B">
        <w:rPr>
          <w:rFonts w:ascii="Arial" w:eastAsia="Calibri" w:hAnsi="Arial" w:cs="Arial"/>
          <w:noProof/>
          <w:kern w:val="2"/>
          <w:lang w:val="en-GB"/>
          <w14:ligatures w14:val="standardContextual"/>
        </w:rPr>
        <w:t>., 2018)</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22212BC7" w14:textId="77777777" w:rsidR="003941BF" w:rsidRPr="00D62A3B"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The current initiatives of the Ministry of Water and Irrigation as well as the projects of its sub-sector have not followed the traditional rational order of policy, strategy, and planning. These include the development of the National Strategy for Improvement of Urban Water Supply and Sewerage, the National Rural Water Supply and Sanitation Programme, and the evaluation of laws about water resources, urban water supply, rural water supply, and sewerage. Due to this deviation from the typical order, possible problems like duplications or omissions may arise. Addressing the requirements of small towns, defining "sanitation," explaining the differing roles of the Ministry of Water and Irrigation and the Ministry of Health, and establishing institutional and legal frameworks are a few particular challenges</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author":[{"dropping-particle":"","family":"Phiri","given":"I.M.G","non-dropping-particle":"","parse-names":false,"suffix":""},{"dropping-particle":"","family":"Phiri","given":"S.K","non-dropping-particle":"","parse-names":false,"suffix":""},{"dropping-particle":"","family":"Saka","given":"A.R","non-dropping-particle":"","parse-names":false,"suffix":""}],"id":"ITEM-1","issued":{"date-parts":[["2007"]]},"title":"Rapid Appraisal of Policies &amp; Institutional Frameworks for Agricultural Water Management","type":"article-journal"},"uris":["http://www.mendeley.com/documents/?uuid=4a86a064-a31e-4a8c-9044-efeb6337c874","http://www.mendeley.com/documents/?uuid=644a9b4a-9731-4ed4-9f83-90da64bdd5b4"]},{"id":"ITEM-2","itemData":{"author":[{"dropping-particle":"","family":"Thi","given":"Tuyet","non-dropping-particle":"","parse-names":false,"suffix":""},{"dropping-particle":"","family":"Burritt","given":"Roger L","non-dropping-particle":"","parse-names":false,"suffix":""},{"dropping-particle":"","family":"Pisaniello","given":"John D","non-dropping-particle":"","parse-names":false,"suffix":""}],"id":"ITEM-2","issued":{"date-parts":[["2012"]]},"page":"63-74","title":"Adequacy of policy and practices for small agricultural dam safety accountability and assurance in Vietnam","type":"article-journal","volume":"112"},"uris":["http://www.mendeley.com/documents/?uuid=bfe80217-18ff-47c1-98e5-5d66e137ad1a","http://www.mendeley.com/documents/?uuid=b0236e87-193d-4758-9dc5-4a1a8b442594"]}],"mendeley":{"formattedCitation":"(Phiri et al., 2007; Thi et al., 2012)","plainTextFormattedCitation":"(Phiri et al., 2007; Thi et al., 2012)","previouslyFormattedCitation":"(Phiri et al., 2007; Thi et al., 2012)"},"properties":{"noteIndex":0},"schema":"https://github.com/citation-style-language/schema/raw/master/csl-citation.json"}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(Phiri et al., 2007; Thi et al., 2012)</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6D99290A" w14:textId="77777777" w:rsidR="00E8111D" w:rsidRDefault="003941BF" w:rsidP="00EE04EB">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lastRenderedPageBreak/>
        <w:t xml:space="preserve">The Morogoro Water Supply and Sanitation Authority (MORUWASA) and other organizations have passed laws that form the basis for the country's dam safety management systems. Circulars, Instructions, Directives, and Decisions from pertinent Ministries or Provincial People's Committees are examples of by-law documents that are also available. In particular, (1) the Law on Water Resources Management (also known as the LWRM, Water Utilization (Control and Regulation) Act No. 42 of 1974, as amended by Acts No. 10 of 1981 and No.17 of 1989, </w:t>
      </w:r>
      <w:r w:rsidRPr="00D62A3B">
        <w:rPr>
          <w:rFonts w:ascii="Arial" w:eastAsia="Calibri" w:hAnsi="Arial" w:cs="Arial"/>
          <w:kern w:val="2"/>
          <w14:ligatures w14:val="standardContextual"/>
        </w:rPr>
        <w:t>Water Laws (Miscellaneous Amendments) Act No.8 of 1997, and Water Laws (Miscellaneous Amendments) Act of 1999</w:t>
      </w:r>
      <w:r w:rsidRPr="00D62A3B">
        <w:rPr>
          <w:rFonts w:ascii="Arial" w:eastAsia="Calibri" w:hAnsi="Arial" w:cs="Arial"/>
          <w:kern w:val="2"/>
          <w:lang w:val="en-GB"/>
          <w14:ligatures w14:val="standardContextual"/>
        </w:rPr>
        <w:t xml:space="preserve">), (2) </w:t>
      </w:r>
      <w:r w:rsidRPr="00D62A3B">
        <w:rPr>
          <w:rFonts w:ascii="Arial" w:eastAsia="Calibri" w:hAnsi="Arial" w:cs="Arial"/>
          <w:kern w:val="2"/>
          <w14:ligatures w14:val="standardContextual"/>
        </w:rPr>
        <w:t>Water Supply Aspects are governed by</w:t>
      </w:r>
      <w:r w:rsidRPr="00D62A3B">
        <w:rPr>
          <w:rFonts w:ascii="Arial" w:eastAsia="Calibri" w:hAnsi="Arial" w:cs="Arial"/>
          <w:kern w:val="2"/>
          <w:lang w:val="en-GB"/>
          <w14:ligatures w14:val="standardContextual"/>
        </w:rPr>
        <w:t xml:space="preserve"> Urban Water Act No. 7 of 1981, Water Laws (Miscellaneous Amendments) Act No. 8 of 1997 and Water Laws (Miscellaneous Amendments) Act of 1999 </w:t>
      </w:r>
      <w:r w:rsidRPr="00D62A3B">
        <w:rPr>
          <w:rFonts w:ascii="Arial" w:eastAsia="Calibri" w:hAnsi="Arial" w:cs="Arial"/>
          <w:kern w:val="2"/>
          <w:lang w:val="en-GB"/>
          <w14:ligatures w14:val="standardContextual"/>
        </w:rPr>
        <w:fldChar w:fldCharType="begin" w:fldLock="1"/>
      </w:r>
      <w:r w:rsidRPr="00D62A3B">
        <w:rPr>
          <w:rFonts w:ascii="Arial" w:eastAsia="Calibri" w:hAnsi="Arial" w:cs="Arial"/>
          <w:kern w:val="2"/>
          <w:lang w:val="en-GB"/>
          <w14:ligatures w14:val="standardContextual"/>
        </w:rPr>
        <w:instrText>ADDIN CSL_CITATION {"citationItems":[{"id":"ITEM-1","itemData":{"abstract":"This paper examines how water is perceived and managed according to the two major sources of water law in Ghana. From the perspectives of statutory and customary law, the paper deals with various issues relating to the nature of water, its management, its conservation and its regulation. There is a close relationship between sanitation and water management. Consequently, the paper also deals with the management of sanitation, in particular with the impact that water law has on ensuring that clean water and sanitation is available to poor people in rural and urban areas of Ghana. The paper discusses the statutory legal framework for providing water and sanitation to urban and rural communities in Ghana and the institutions set up to provide water for domestic purposes. It also discusses the regulatory institutions established to regulate the water sector and the nature and status of the customary regime for providing water. An assessment follows of the various regimes according to how they deal with the problems enumerated above. The enabling conditions and the constraints that face the provision of clean water to poor people in Ghana are discussed and the paper concludes by making recommendations about how water and sanitation provision can be improved in Ghana. \\n","author":[{"dropping-particle":"","family":"Mwaka","given":"Ismail","non-dropping-particle":"","parse-names":false,"suffix":""}],"container-title":"Dfid","id":"ITEM-1","issue":"August","issued":{"date-parts":[["1999"]]},"title":"Water Law , Water Rights and Water Supply ( Africa ) Tanzania - study country report","type":"article-journal"},"uris":["http://www.mendeley.com/documents/?uuid=2c94fcbd-b06a-4981-b360-c32898ee7978","http://www.mendeley.com/documents/?uuid=8d2ddedc-5d6e-4cdc-b670-d65114ea093a","http://www.mendeley.com/documents/?uuid=f6517b60-7756-4648-89f5-5bc6247a6d67"]},{"id":"ITEM-2","itemData":{"ISBN":"9180236014","abstract":"Change detection is the measure of the distinct data framework and thematic change information that can guide to more tangible insights into underlying process involving land cover and land use changes than the information obtained from continuous change. Digital change detection is the process that helps in determining the changes associated with landuse and land cover properties with reference to geo-registered multitemporal remote sensing data. It helps in identifying change between two (or more) dates that is uncharacterised of normal variation. Change detection is useful in many applications such as landuse changes, habitat fragmentation, rate of deforestation, coastal change, urban sprawl, and other cumulative changes through spatial and temporal analysis techniques such as GIS (Geographic Information System) and Remote Sensing along with digital image processing techniques. GIS is the systematic introduction of numerous different disciplinary spatial and statistical data, that can be used in inventorying the environment, observation of change and constituent processes and prediction based on current practices and management plans. Remote Sensing helps in acquiring multi spectral spatial and temporal data through space borne remote sensors. Image processing technique helps in analyzing the dynamic changes associated with the earth resources such as land and water using remote sensing data. Thus, spatial and temporal analysis technologies are very useful in generating scientifically based statistical spatial data for understanding the land ecosystem dynamics. Successful utilization of remotely sensed data for land cover and landuse change detection requires careful selection of appropriate data set. This paper discusses the land use/land cover analysis and change detection techniques using GRDSS (Geographic Resources Decision Support System) for Kolar district considering temporal multispectral data (1998 and 2002) of the IRS 1C / 1D (Indian Remote Sensing Satellites). GRDSS is a freeware GIS Graphic user interface (GUI) developed in Tcl/Tk is based on command line arguments of GRASS (Geographic Resources Analysis Support System). It has the capabilities to capture, store, process, display, organize, and prioritize spatial and temporal data. GRDSS serves as a decision support system for decision making and resource planning. It has functionality for raster analysis, vector analysis, site analysis, image processing, modeling and graphics visualisati…","author":[{"dropping-particle":"V","family":"Ramachandra","given":"T","non-dropping-particle":"","parse-names":false,"suffix":""},{"dropping-particle":"","family":"Kumar","given":"U","non-dropping-particle":"","parse-names":false,"suffix":""}],"container-title":"Proceedings of the FOSS/GRASS Users Conference","id":"ITEM-2","issue":"September","issued":{"date-parts":[["2004"]]},"page":"15","title":"Geographic Resources Decision Support System for land use, land cover dynamics analysis","type":"article-journal"},"uris":["http://www.mendeley.com/documents/?uuid=5b7dfcfb-63ff-4d68-bda6-cf8d5938ee5e","http://www.mendeley.com/documents/?uuid=4265cea5-a541-40e3-bb0e-2543e826b22e","http://www.mendeley.com/documents/?uuid=2317f957-52a3-41ea-914f-db6b05f73e53"]}],"mendeley":{"formattedCitation":"(Mwaka, 1999; Ramachandra &amp; Kumar, 2004)","plainTextFormattedCitation":"(Mwaka, 1999; Ramachandra &amp; Kumar, 2004)","previouslyFormattedCitation":"(Mwaka, 1999; Ramachandra &amp; Kumar, 2004)"},"properties":{"noteIndex":0},"schema":"https://github.com/citation-style-language/schema/raw/master/csl-citation.json"}</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(Mwaka, 1999; Ramachandra &amp; Kumar, 2004)</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w:t>
      </w:r>
    </w:p>
    <w:p w14:paraId="27C843DE" w14:textId="77777777" w:rsidR="00E8111D" w:rsidRDefault="00E8111D" w:rsidP="003941BF">
      <w:pPr>
        <w:spacing w:line="276" w:lineRule="auto"/>
        <w:jc w:val="both"/>
        <w:rPr>
          <w:rFonts w:ascii="Arial" w:eastAsia="Calibri" w:hAnsi="Arial" w:cs="Arial"/>
          <w:kern w:val="2"/>
          <w:lang w:val="en-GB"/>
          <w14:ligatures w14:val="standardContextual"/>
        </w:rPr>
      </w:pPr>
    </w:p>
    <w:p w14:paraId="48E07064" w14:textId="77777777" w:rsidR="003941BF" w:rsidRDefault="003941BF" w:rsidP="003941BF">
      <w:pPr>
        <w:spacing w:line="276" w:lineRule="auto"/>
        <w:jc w:val="both"/>
        <w:rPr>
          <w:rFonts w:ascii="Arial" w:eastAsia="Calibri" w:hAnsi="Arial" w:cs="Arial"/>
          <w:b/>
          <w:iCs/>
          <w:kern w:val="2"/>
          <w:lang w:val="en-GB"/>
          <w14:ligatures w14:val="standardContextual"/>
        </w:rPr>
      </w:pPr>
      <w:r w:rsidRPr="00D62A3B">
        <w:rPr>
          <w:rFonts w:ascii="Arial" w:eastAsia="Calibri" w:hAnsi="Arial" w:cs="Arial"/>
          <w:b/>
          <w:iCs/>
          <w:kern w:val="2"/>
          <w:lang w:val="en-GB"/>
          <w14:ligatures w14:val="standardContextual"/>
        </w:rPr>
        <w:t>3.2.1 Registration and classification of dams</w:t>
      </w:r>
    </w:p>
    <w:p w14:paraId="654496E0" w14:textId="77777777" w:rsidR="003941BF" w:rsidRPr="00D62A3B" w:rsidRDefault="003941BF" w:rsidP="003941BF">
      <w:pPr>
        <w:spacing w:line="276" w:lineRule="auto"/>
        <w:contextualSpacing/>
        <w:jc w:val="both"/>
        <w:rPr>
          <w:rFonts w:ascii="Arial" w:eastAsia="Calibri" w:hAnsi="Arial" w:cs="Arial"/>
          <w:b/>
          <w:iCs/>
          <w:kern w:val="2"/>
          <w:lang w:val="en-GB"/>
          <w14:ligatures w14:val="standardContextual"/>
        </w:rPr>
      </w:pPr>
    </w:p>
    <w:p w14:paraId="135CF475" w14:textId="77777777" w:rsidR="003941BF" w:rsidRPr="00D62A3B"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For dam registration it’s a Mandates of the local government such as municipal council or Responsible authority do the following:(</w:t>
      </w:r>
      <w:proofErr w:type="spellStart"/>
      <w:r w:rsidRPr="00D62A3B">
        <w:rPr>
          <w:rFonts w:ascii="Arial" w:eastAsia="Calibri" w:hAnsi="Arial" w:cs="Arial"/>
          <w:kern w:val="2"/>
          <w:lang w:val="en-GB"/>
          <w14:ligatures w14:val="standardContextual"/>
        </w:rPr>
        <w:t>i</w:t>
      </w:r>
      <w:proofErr w:type="spellEnd"/>
      <w:r w:rsidRPr="00D62A3B">
        <w:rPr>
          <w:rFonts w:ascii="Arial" w:eastAsia="Calibri" w:hAnsi="Arial" w:cs="Arial"/>
          <w:kern w:val="2"/>
          <w:lang w:val="en-GB"/>
          <w14:ligatures w14:val="standardContextual"/>
        </w:rPr>
        <w:t>) keep a record of major dams (i.e., Tanzania's "prescribed" classification system) inside their jurisdictions; and (ii) assign subjective hazard ratings based on the state's three-tiered hazard rating system. For the government to monitor the density of potentially dangerous dams and, consequently, the severity of the dam safety issue</w:t>
      </w:r>
    </w:p>
    <w:p w14:paraId="701AE140" w14:textId="77777777" w:rsidR="003941BF"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 Second Schedule of the International Commission on Large Dams (ICOLD) guideline specifies the criteria that must be followed when categorizing dams and tailings dams. The following levels of external risks are to be used for categorization: (a) very high-risk (b) high risk (c) low risk and (d) very low risk. </w:t>
      </w:r>
    </w:p>
    <w:p w14:paraId="52404FA8"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083CC02B" w14:textId="77777777" w:rsidR="00454E96"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sidRPr="00D62A3B">
        <w:rPr>
          <w:rFonts w:ascii="Arial" w:eastAsia="Calibri" w:hAnsi="Arial" w:cs="Arial"/>
          <w:kern w:val="2"/>
          <w:lang w:val="en-GB"/>
          <w14:ligatures w14:val="standardContextual"/>
        </w:rPr>
        <w:fldChar w:fldCharType="begin"/>
      </w:r>
      <w:r w:rsidRPr="00D62A3B">
        <w:rPr>
          <w:rFonts w:ascii="Arial" w:eastAsia="Calibri" w:hAnsi="Arial" w:cs="Arial"/>
          <w:kern w:val="2"/>
          <w:lang w:val="en-GB"/>
          <w14:ligatures w14:val="standardContextual"/>
        </w:rPr>
        <w:instrText xml:space="preserve"> SEQ Table \* ARABIC </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1</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.Criteria for classifying dam</w:t>
      </w:r>
    </w:p>
    <w:p w14:paraId="1DA4E6D3" w14:textId="77777777" w:rsidR="00454E96" w:rsidRPr="00D62A3B" w:rsidRDefault="00454E96" w:rsidP="003941BF">
      <w:pPr>
        <w:spacing w:line="276" w:lineRule="auto"/>
        <w:jc w:val="both"/>
        <w:rPr>
          <w:rFonts w:ascii="Arial" w:eastAsia="Calibri" w:hAnsi="Arial" w:cs="Arial"/>
          <w:kern w:val="2"/>
          <w:lang w:val="en-GB"/>
          <w14:ligatures w14:val="standardContextual"/>
        </w:rPr>
      </w:pPr>
    </w:p>
    <w:tbl>
      <w:tblPr>
        <w:tblW w:w="0" w:type="auto"/>
        <w:tblLook w:val="04A0" w:firstRow="1" w:lastRow="0" w:firstColumn="1" w:lastColumn="0" w:noHBand="0" w:noVBand="1"/>
      </w:tblPr>
      <w:tblGrid>
        <w:gridCol w:w="1543"/>
        <w:gridCol w:w="3468"/>
        <w:gridCol w:w="2358"/>
        <w:gridCol w:w="2362"/>
      </w:tblGrid>
      <w:tr w:rsidR="003941BF" w:rsidRPr="00D62A3B" w14:paraId="11159680" w14:textId="77777777" w:rsidTr="008E567A">
        <w:trPr>
          <w:trHeight w:val="1044"/>
        </w:trPr>
        <w:tc>
          <w:tcPr>
            <w:tcW w:w="1543" w:type="dxa"/>
          </w:tcPr>
          <w:p w14:paraId="5A37DEC7"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Rating Category</w:t>
            </w:r>
            <w:r w:rsidRPr="00D62A3B">
              <w:rPr>
                <w:rFonts w:ascii="Arial" w:eastAsia="Calibri" w:hAnsi="Arial" w:cs="Arial"/>
                <w:kern w:val="2"/>
                <w:vertAlign w:val="superscript"/>
                <w:lang w:val="en-GB"/>
                <w14:ligatures w14:val="standardContextual"/>
              </w:rPr>
              <w:t>4</w:t>
            </w:r>
          </w:p>
        </w:tc>
        <w:tc>
          <w:tcPr>
            <w:tcW w:w="3468" w:type="dxa"/>
          </w:tcPr>
          <w:p w14:paraId="2C6A65FD"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Loss of life</w:t>
            </w:r>
          </w:p>
        </w:tc>
        <w:tc>
          <w:tcPr>
            <w:tcW w:w="2358" w:type="dxa"/>
          </w:tcPr>
          <w:p w14:paraId="08D771C1" w14:textId="77777777" w:rsidR="003941BF"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Economic and social loss</w:t>
            </w:r>
          </w:p>
          <w:p w14:paraId="4C33C098" w14:textId="77777777" w:rsidR="00454E96" w:rsidRPr="00D62A3B" w:rsidRDefault="00454E96" w:rsidP="00FD1193">
            <w:pPr>
              <w:spacing w:line="276" w:lineRule="auto"/>
              <w:jc w:val="both"/>
              <w:rPr>
                <w:rFonts w:ascii="Arial" w:eastAsia="Calibri" w:hAnsi="Arial" w:cs="Arial"/>
                <w:kern w:val="2"/>
                <w:lang w:val="en-GB"/>
                <w14:ligatures w14:val="standardContextual"/>
              </w:rPr>
            </w:pPr>
          </w:p>
          <w:p w14:paraId="78706BFF"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62" w:type="dxa"/>
          </w:tcPr>
          <w:p w14:paraId="0BEBFB3E" w14:textId="77777777" w:rsidR="003941BF"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Environmental and cultural loss</w:t>
            </w:r>
          </w:p>
          <w:p w14:paraId="771238AF" w14:textId="77777777" w:rsidR="00454E96" w:rsidRPr="00D62A3B" w:rsidRDefault="00454E96" w:rsidP="00FD1193">
            <w:pPr>
              <w:spacing w:line="276" w:lineRule="auto"/>
              <w:jc w:val="both"/>
              <w:rPr>
                <w:rFonts w:ascii="Arial" w:eastAsia="Calibri" w:hAnsi="Arial" w:cs="Arial"/>
                <w:kern w:val="2"/>
                <w:lang w:val="en-GB"/>
                <w14:ligatures w14:val="standardContextual"/>
              </w:rPr>
            </w:pPr>
          </w:p>
        </w:tc>
      </w:tr>
      <w:tr w:rsidR="003941BF" w:rsidRPr="00D62A3B" w14:paraId="520F56D5" w14:textId="77777777" w:rsidTr="008E567A">
        <w:trPr>
          <w:trHeight w:val="4065"/>
        </w:trPr>
        <w:tc>
          <w:tcPr>
            <w:tcW w:w="1543" w:type="dxa"/>
          </w:tcPr>
          <w:p w14:paraId="043B68F9"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Very high</w:t>
            </w:r>
          </w:p>
          <w:p w14:paraId="7636BBF8"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“A “</w:t>
            </w:r>
          </w:p>
        </w:tc>
        <w:tc>
          <w:tcPr>
            <w:tcW w:w="3468" w:type="dxa"/>
          </w:tcPr>
          <w:p w14:paraId="2CD61D0B"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There is a big chance that residents and the working, travelling, and/or recreational public will die in multiple ways.</w:t>
            </w:r>
          </w:p>
          <w:p w14:paraId="2D2503E4"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Development often included towns, sizable business and industrial zones, major thoroughfares, railroads, and areas with high concentrations of recreational activity within inundation areas (the region that could be submerged in the event of a dam failure).</w:t>
            </w:r>
          </w:p>
          <w:p w14:paraId="001313F4"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Over a hundred deaths are estimated.</w:t>
            </w:r>
          </w:p>
          <w:p w14:paraId="76F12E1C"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58" w:type="dxa"/>
          </w:tcPr>
          <w:p w14:paraId="1D82EA67"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Significant financial loss affecting public, commercial, and infrastructure assets both inside and outside the flooded area. </w:t>
            </w:r>
          </w:p>
          <w:p w14:paraId="426726D8"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62" w:type="dxa"/>
          </w:tcPr>
          <w:p w14:paraId="0A49F381"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Significant loss or degradation of habitat for wildlife, rare and/or endangered species, distinctive landscapes, or sites with cultural significance.</w:t>
            </w:r>
          </w:p>
        </w:tc>
      </w:tr>
      <w:tr w:rsidR="003941BF" w:rsidRPr="00D62A3B" w14:paraId="3B4D14DA" w14:textId="77777777" w:rsidTr="008E567A">
        <w:trPr>
          <w:trHeight w:val="3384"/>
        </w:trPr>
        <w:tc>
          <w:tcPr>
            <w:tcW w:w="1543" w:type="dxa"/>
          </w:tcPr>
          <w:p w14:paraId="31830159"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lastRenderedPageBreak/>
              <w:t>High “B”</w:t>
            </w:r>
          </w:p>
        </w:tc>
        <w:tc>
          <w:tcPr>
            <w:tcW w:w="3468" w:type="dxa"/>
          </w:tcPr>
          <w:p w14:paraId="09D77041"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There is a chance that residents who work, travel, or engage in public recreation might forfeit several lives. Development in areas prone to flooding usually consists of roads and railroads, business and industrial zones, </w:t>
            </w:r>
          </w:p>
        </w:tc>
        <w:tc>
          <w:tcPr>
            <w:tcW w:w="2358" w:type="dxa"/>
          </w:tcPr>
          <w:p w14:paraId="28FA1494"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Severe financial losses impact public, private, and infrastructure properties both inside and outside the flooded area. </w:t>
            </w:r>
          </w:p>
          <w:p w14:paraId="1CF436A1"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w:t>
            </w:r>
          </w:p>
          <w:p w14:paraId="5FE06F31"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62" w:type="dxa"/>
          </w:tcPr>
          <w:p w14:paraId="40168730" w14:textId="77777777" w:rsidR="003941BF" w:rsidRPr="008E567A"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Habitat loss or significant degradation for rare and/or endangered species, wildlife, unique landscapes, culturally significant locations, and important national or provincial fisheries (including water quality).</w:t>
            </w:r>
          </w:p>
        </w:tc>
      </w:tr>
      <w:tr w:rsidR="003941BF" w:rsidRPr="00D62A3B" w14:paraId="1CCCA23F" w14:textId="77777777" w:rsidTr="008E567A">
        <w:trPr>
          <w:trHeight w:val="2883"/>
        </w:trPr>
        <w:tc>
          <w:tcPr>
            <w:tcW w:w="1543" w:type="dxa"/>
          </w:tcPr>
          <w:p w14:paraId="1725D5ED"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Low “C”</w:t>
            </w:r>
          </w:p>
        </w:tc>
        <w:tc>
          <w:tcPr>
            <w:tcW w:w="3468" w:type="dxa"/>
          </w:tcPr>
          <w:p w14:paraId="218C99B3"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Reduced possibility of multiple fatalities; inundation area is usually undeveloped, aside from small roads, briefly inhabited areas, non-residential farms, and rural activities. If a larger development is present, there needs to be a trustworthy component of natural warning.</w:t>
            </w:r>
          </w:p>
          <w:p w14:paraId="29F12F23"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58" w:type="dxa"/>
          </w:tcPr>
          <w:p w14:paraId="24AA13A7"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Minimal financial losses as a result of fewer public, private, and commercial activities. The estimates expenses whether  direct or indirect are minimal under this category  </w:t>
            </w:r>
          </w:p>
        </w:tc>
        <w:tc>
          <w:tcPr>
            <w:tcW w:w="2362" w:type="dxa"/>
          </w:tcPr>
          <w:p w14:paraId="2BC0C184"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The disappearance or serious degradation of habitats supporting rare and/or endangered species, distinctive landscapes, places of cultural significance, wildlife habitat, and regionally significant fisheries.</w:t>
            </w:r>
          </w:p>
        </w:tc>
      </w:tr>
      <w:tr w:rsidR="003941BF" w:rsidRPr="00D62A3B" w14:paraId="61617302" w14:textId="77777777" w:rsidTr="008E567A">
        <w:trPr>
          <w:trHeight w:val="1044"/>
        </w:trPr>
        <w:tc>
          <w:tcPr>
            <w:tcW w:w="1543" w:type="dxa"/>
          </w:tcPr>
          <w:p w14:paraId="717914B0"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Very low</w:t>
            </w:r>
          </w:p>
          <w:p w14:paraId="4D1BA0EB"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“D”</w:t>
            </w:r>
          </w:p>
        </w:tc>
        <w:tc>
          <w:tcPr>
            <w:tcW w:w="3468" w:type="dxa"/>
          </w:tcPr>
          <w:p w14:paraId="37F93050"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Very little chance of a catastrophe. An area that is flooded is usually underdeveloped.</w:t>
            </w:r>
          </w:p>
          <w:p w14:paraId="6DBF37D7" w14:textId="77777777" w:rsidR="003941BF" w:rsidRPr="00D62A3B" w:rsidRDefault="003941BF" w:rsidP="00FD1193">
            <w:pPr>
              <w:spacing w:line="276" w:lineRule="auto"/>
              <w:jc w:val="both"/>
              <w:rPr>
                <w:rFonts w:ascii="Arial" w:eastAsia="Calibri" w:hAnsi="Arial" w:cs="Arial"/>
                <w:kern w:val="2"/>
                <w:lang w:val="en-GB"/>
                <w14:ligatures w14:val="standardContextual"/>
              </w:rPr>
            </w:pPr>
          </w:p>
        </w:tc>
        <w:tc>
          <w:tcPr>
            <w:tcW w:w="2358" w:type="dxa"/>
          </w:tcPr>
          <w:p w14:paraId="5BCE1795"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Little financial losses that are normally contained on the property of the owners </w:t>
            </w:r>
          </w:p>
        </w:tc>
        <w:tc>
          <w:tcPr>
            <w:tcW w:w="2362" w:type="dxa"/>
          </w:tcPr>
          <w:p w14:paraId="0C6B9F4D" w14:textId="77777777" w:rsidR="008E567A"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There is not a noticeable decline in the number of fisheries inhabitants, </w:t>
            </w:r>
            <w:r w:rsidR="008E567A" w:rsidRPr="00D62A3B">
              <w:rPr>
                <w:rFonts w:ascii="Arial" w:eastAsia="Calibri" w:hAnsi="Arial" w:cs="Arial"/>
                <w:kern w:val="2"/>
                <w:lang w:val="en-GB"/>
                <w14:ligatures w14:val="standardContextual"/>
              </w:rPr>
              <w:t>wildlife.</w:t>
            </w:r>
          </w:p>
          <w:p w14:paraId="17CAFD3B" w14:textId="77777777" w:rsidR="008E567A" w:rsidRPr="00D62A3B" w:rsidRDefault="008E567A" w:rsidP="00FD1193">
            <w:pPr>
              <w:spacing w:line="276" w:lineRule="auto"/>
              <w:jc w:val="both"/>
              <w:rPr>
                <w:rFonts w:ascii="Arial" w:eastAsia="Calibri" w:hAnsi="Arial" w:cs="Arial"/>
                <w:kern w:val="2"/>
                <w:lang w:val="en-GB"/>
                <w14:ligatures w14:val="standardContextual"/>
              </w:rPr>
            </w:pPr>
          </w:p>
        </w:tc>
      </w:tr>
    </w:tbl>
    <w:p w14:paraId="728604DE" w14:textId="77777777" w:rsidR="003941BF"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vertAlign w:val="superscript"/>
          <w:lang w:val="en-GB"/>
          <w14:ligatures w14:val="standardContextual"/>
        </w:rPr>
        <w:t>4</w:t>
      </w:r>
      <w:r w:rsidRPr="00D62A3B">
        <w:rPr>
          <w:rFonts w:ascii="Arial" w:eastAsia="Calibri" w:hAnsi="Arial" w:cs="Arial"/>
          <w:kern w:val="2"/>
          <w14:ligatures w14:val="standardContextual"/>
        </w:rPr>
        <w:t xml:space="preserve"> </w:t>
      </w:r>
      <w:r w:rsidRPr="00D62A3B">
        <w:rPr>
          <w:rFonts w:ascii="Arial" w:eastAsia="Calibri" w:hAnsi="Arial" w:cs="Arial"/>
          <w:kern w:val="2"/>
          <w:lang w:val="en-GB"/>
          <w14:ligatures w14:val="standardContextual"/>
        </w:rPr>
        <w:t>The classification of the rating category is established based on external risks that could occur downstream in the event of dam failure.</w:t>
      </w:r>
    </w:p>
    <w:p w14:paraId="1A759D21"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2D19C4CB" w14:textId="77777777" w:rsidR="003941BF" w:rsidRDefault="003941BF" w:rsidP="003941BF">
      <w:pPr>
        <w:spacing w:after="160" w:line="276" w:lineRule="auto"/>
        <w:ind w:left="360"/>
        <w:contextualSpacing/>
        <w:jc w:val="both"/>
        <w:rPr>
          <w:rFonts w:ascii="Arial" w:eastAsia="Calibri" w:hAnsi="Arial" w:cs="Arial"/>
          <w:b/>
          <w:iCs/>
          <w:kern w:val="2"/>
          <w:lang w:val="en-GB"/>
          <w14:ligatures w14:val="standardContextual"/>
        </w:rPr>
      </w:pPr>
      <w:r>
        <w:rPr>
          <w:rFonts w:ascii="Arial" w:eastAsia="Calibri" w:hAnsi="Arial" w:cs="Arial"/>
          <w:b/>
          <w:iCs/>
          <w:kern w:val="2"/>
          <w:lang w:val="en-GB"/>
          <w14:ligatures w14:val="standardContextual"/>
        </w:rPr>
        <w:t>3.3.</w:t>
      </w:r>
      <w:r w:rsidRPr="00D62A3B">
        <w:rPr>
          <w:rFonts w:ascii="Arial" w:eastAsia="Calibri" w:hAnsi="Arial" w:cs="Arial"/>
          <w:b/>
          <w:iCs/>
          <w:kern w:val="2"/>
          <w:lang w:val="en-GB"/>
          <w14:ligatures w14:val="standardContextual"/>
        </w:rPr>
        <w:t xml:space="preserve"> The Variables Influencing Mindu Dam Safety Issues</w:t>
      </w:r>
    </w:p>
    <w:p w14:paraId="509F765D" w14:textId="77777777" w:rsidR="003941BF" w:rsidRPr="00D62A3B" w:rsidRDefault="003941BF" w:rsidP="003941BF">
      <w:pPr>
        <w:spacing w:after="160" w:line="276" w:lineRule="auto"/>
        <w:ind w:left="360"/>
        <w:contextualSpacing/>
        <w:jc w:val="both"/>
        <w:rPr>
          <w:rFonts w:ascii="Arial" w:eastAsia="Calibri" w:hAnsi="Arial" w:cs="Arial"/>
          <w:b/>
          <w:iCs/>
          <w:kern w:val="2"/>
          <w:lang w:val="en-GB"/>
          <w14:ligatures w14:val="standardContextual"/>
        </w:rPr>
      </w:pPr>
    </w:p>
    <w:p w14:paraId="108CA6BA" w14:textId="77777777" w:rsidR="003941BF" w:rsidRPr="00D62A3B"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Given the Natural factors i.e. flooding, erosion, structural i.e. Spillway capacity and other human factors such as vandalism associated with dam safety</w:t>
      </w:r>
      <w:r>
        <w:rPr>
          <w:rFonts w:ascii="Arial" w:eastAsia="Calibri" w:hAnsi="Arial" w:cs="Arial"/>
          <w:kern w:val="2"/>
          <w:lang w:val="en-GB"/>
          <w14:ligatures w14:val="standardContextual"/>
        </w:rPr>
        <w:t>,</w:t>
      </w:r>
      <w:r w:rsidRPr="00D62A3B">
        <w:rPr>
          <w:rFonts w:ascii="Arial" w:eastAsia="Calibri" w:hAnsi="Arial" w:cs="Arial"/>
          <w:kern w:val="2"/>
          <w:lang w:val="en-GB"/>
          <w14:ligatures w14:val="standardContextual"/>
        </w:rPr>
        <w:t xml:space="preserve"> this study explores the factors contributing to the identification of safety issues with dams in Morogoro. According to feedback from and household interviews of various stakeholders, a significant number of dam failures occur during extreme weather events, notably floods and heavy rainfall, often coinciding with each other (refer to Table 4. The majority of respondents expressed the belief that floods and heavy rains were prominent contributors to dam failures. Additionally, landslides were identified as another factor leading to dam failures, particularly in areas with mountainous terrain, such as the </w:t>
      </w:r>
      <w:proofErr w:type="spellStart"/>
      <w:r w:rsidRPr="00D62A3B">
        <w:rPr>
          <w:rFonts w:ascii="Arial" w:eastAsia="Calibri" w:hAnsi="Arial" w:cs="Arial"/>
          <w:kern w:val="2"/>
          <w:lang w:val="en-GB"/>
          <w14:ligatures w14:val="standardContextual"/>
        </w:rPr>
        <w:t>Uluguru</w:t>
      </w:r>
      <w:proofErr w:type="spellEnd"/>
      <w:r w:rsidRPr="00D62A3B">
        <w:rPr>
          <w:rFonts w:ascii="Arial" w:eastAsia="Calibri" w:hAnsi="Arial" w:cs="Arial"/>
          <w:kern w:val="2"/>
          <w:lang w:val="en-GB"/>
          <w14:ligatures w14:val="standardContextual"/>
        </w:rPr>
        <w:t xml:space="preserve"> Mountains. The age of dams was highlighted as a crucial determinant of their stability, with dams constructed over 40 years ago being more susceptible to failures. These insights were gleaned from both the questionnaires and interviews conducted as part of the study. The compromised safety resulted from inadequate design and construction, posing a threat to the inherent safety of these dams.</w:t>
      </w:r>
    </w:p>
    <w:p w14:paraId="7EE4F858" w14:textId="77777777" w:rsidR="003941BF" w:rsidRPr="00D62A3B"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Stakeholders have conveyed the viewpoint that the main reason behind the present inadequate level of dam safety and instances of dam failures predominantly stems from subjective (human) factors. These key stakeholders emphasize that human factors are deemed as equally, if not more, significant than natural disasters and the age of dams in the context of ensuring dam safety (refer to Table 5).</w:t>
      </w:r>
    </w:p>
    <w:p w14:paraId="311852D0" w14:textId="77777777" w:rsidR="003941BF"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lastRenderedPageBreak/>
        <w:t xml:space="preserve">The frequently cited factor contributing to dam safety issues is the lack of a risk-based assessment for dam safety. </w:t>
      </w:r>
    </w:p>
    <w:p w14:paraId="0D2DBF5F" w14:textId="77777777" w:rsidR="003941BF" w:rsidRPr="00D62A3B" w:rsidRDefault="003941BF" w:rsidP="003941BF">
      <w:pPr>
        <w:spacing w:line="276" w:lineRule="auto"/>
        <w:jc w:val="both"/>
        <w:rPr>
          <w:rFonts w:ascii="Arial" w:eastAsia="Calibri" w:hAnsi="Arial" w:cs="Arial"/>
          <w:kern w:val="2"/>
          <w14:ligatures w14:val="standardContextual"/>
        </w:rPr>
      </w:pPr>
    </w:p>
    <w:p w14:paraId="2F134FC4" w14:textId="77777777" w:rsidR="003941BF" w:rsidRPr="00D62A3B"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sidRPr="00D62A3B">
        <w:rPr>
          <w:rFonts w:ascii="Arial" w:eastAsia="Calibri" w:hAnsi="Arial" w:cs="Arial"/>
          <w:kern w:val="2"/>
          <w:lang w:val="en-GB"/>
          <w14:ligatures w14:val="standardContextual"/>
        </w:rPr>
        <w:fldChar w:fldCharType="begin"/>
      </w:r>
      <w:r w:rsidRPr="00D62A3B">
        <w:rPr>
          <w:rFonts w:ascii="Arial" w:eastAsia="Calibri" w:hAnsi="Arial" w:cs="Arial"/>
          <w:kern w:val="2"/>
          <w:lang w:val="en-GB"/>
          <w14:ligatures w14:val="standardContextual"/>
        </w:rPr>
        <w:instrText xml:space="preserve"> SEQ Table \* ARABIC </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2</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xml:space="preserve"> Common problems facing the Mindu dam in Morogoro.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3941BF" w:rsidRPr="00D62A3B" w14:paraId="4E9AAD62" w14:textId="77777777" w:rsidTr="00FD1193">
        <w:trPr>
          <w:jc w:val="center"/>
        </w:trPr>
        <w:tc>
          <w:tcPr>
            <w:tcW w:w="3081" w:type="dxa"/>
          </w:tcPr>
          <w:p w14:paraId="12E7EB25" w14:textId="77777777" w:rsidR="003941BF" w:rsidRPr="00D62A3B" w:rsidRDefault="003941BF" w:rsidP="00FD1193">
            <w:pPr>
              <w:spacing w:line="276" w:lineRule="auto"/>
              <w:jc w:val="both"/>
              <w:rPr>
                <w:rFonts w:ascii="Arial" w:hAnsi="Arial" w:cs="Arial"/>
                <w:b/>
                <w:kern w:val="2"/>
                <w:lang w:val="en-GB"/>
                <w14:ligatures w14:val="standardContextual"/>
              </w:rPr>
            </w:pPr>
            <w:r w:rsidRPr="00D62A3B">
              <w:rPr>
                <w:rFonts w:ascii="Arial" w:hAnsi="Arial" w:cs="Arial"/>
                <w:b/>
                <w:kern w:val="2"/>
                <w:lang w:val="en-GB"/>
                <w14:ligatures w14:val="standardContextual"/>
              </w:rPr>
              <w:t>Frequency(Key Participants)</w:t>
            </w:r>
          </w:p>
        </w:tc>
        <w:tc>
          <w:tcPr>
            <w:tcW w:w="3081" w:type="dxa"/>
          </w:tcPr>
          <w:p w14:paraId="6634B538" w14:textId="77777777" w:rsidR="003941BF" w:rsidRPr="00D62A3B" w:rsidRDefault="003941BF" w:rsidP="00FD1193">
            <w:pPr>
              <w:spacing w:line="276" w:lineRule="auto"/>
              <w:jc w:val="both"/>
              <w:rPr>
                <w:rFonts w:ascii="Arial" w:hAnsi="Arial" w:cs="Arial"/>
                <w:b/>
                <w:kern w:val="2"/>
                <w:lang w:val="en-GB"/>
                <w14:ligatures w14:val="standardContextual"/>
              </w:rPr>
            </w:pPr>
            <w:r w:rsidRPr="00D62A3B">
              <w:rPr>
                <w:rFonts w:ascii="Arial" w:hAnsi="Arial" w:cs="Arial"/>
                <w:b/>
                <w:kern w:val="2"/>
                <w:lang w:val="en-GB"/>
                <w14:ligatures w14:val="standardContextual"/>
              </w:rPr>
              <w:t>Percentile (%)</w:t>
            </w:r>
          </w:p>
        </w:tc>
        <w:tc>
          <w:tcPr>
            <w:tcW w:w="3081" w:type="dxa"/>
          </w:tcPr>
          <w:p w14:paraId="0F1909D3" w14:textId="77777777" w:rsidR="003941BF" w:rsidRPr="00D62A3B" w:rsidRDefault="003941BF" w:rsidP="00FD1193">
            <w:pPr>
              <w:spacing w:line="276" w:lineRule="auto"/>
              <w:jc w:val="both"/>
              <w:rPr>
                <w:rFonts w:ascii="Arial" w:hAnsi="Arial" w:cs="Arial"/>
                <w:b/>
                <w:kern w:val="2"/>
                <w:lang w:val="en-GB"/>
                <w14:ligatures w14:val="standardContextual"/>
              </w:rPr>
            </w:pPr>
            <w:r w:rsidRPr="00D62A3B">
              <w:rPr>
                <w:rFonts w:ascii="Arial" w:hAnsi="Arial" w:cs="Arial"/>
                <w:b/>
                <w:kern w:val="2"/>
                <w:lang w:val="en-GB"/>
                <w14:ligatures w14:val="standardContextual"/>
              </w:rPr>
              <w:t>Principal issues relating to dam safety</w:t>
            </w:r>
          </w:p>
        </w:tc>
      </w:tr>
      <w:tr w:rsidR="003941BF" w:rsidRPr="00D62A3B" w14:paraId="3C91D43B" w14:textId="77777777" w:rsidTr="00FD1193">
        <w:trPr>
          <w:jc w:val="center"/>
        </w:trPr>
        <w:tc>
          <w:tcPr>
            <w:tcW w:w="3081" w:type="dxa"/>
            <w:vAlign w:val="center"/>
          </w:tcPr>
          <w:p w14:paraId="1EFA5841"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25</w:t>
            </w:r>
          </w:p>
        </w:tc>
        <w:tc>
          <w:tcPr>
            <w:tcW w:w="3081" w:type="dxa"/>
            <w:shd w:val="clear" w:color="auto" w:fill="auto"/>
            <w:vAlign w:val="bottom"/>
          </w:tcPr>
          <w:p w14:paraId="05186C51"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83.3</w:t>
            </w:r>
          </w:p>
        </w:tc>
        <w:tc>
          <w:tcPr>
            <w:tcW w:w="3081" w:type="dxa"/>
          </w:tcPr>
          <w:p w14:paraId="15000378"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Significant erosion is evident on both the upstream and downstream faces.</w:t>
            </w:r>
          </w:p>
        </w:tc>
      </w:tr>
      <w:tr w:rsidR="003941BF" w:rsidRPr="00D62A3B" w14:paraId="1A074223" w14:textId="77777777" w:rsidTr="00FD1193">
        <w:trPr>
          <w:jc w:val="center"/>
        </w:trPr>
        <w:tc>
          <w:tcPr>
            <w:tcW w:w="3081" w:type="dxa"/>
            <w:vAlign w:val="center"/>
          </w:tcPr>
          <w:p w14:paraId="4187B9C5"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26</w:t>
            </w:r>
          </w:p>
        </w:tc>
        <w:tc>
          <w:tcPr>
            <w:tcW w:w="3081" w:type="dxa"/>
            <w:shd w:val="clear" w:color="auto" w:fill="auto"/>
            <w:vAlign w:val="bottom"/>
          </w:tcPr>
          <w:p w14:paraId="0EEE8858"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86.7</w:t>
            </w:r>
          </w:p>
        </w:tc>
        <w:tc>
          <w:tcPr>
            <w:tcW w:w="3081" w:type="dxa"/>
          </w:tcPr>
          <w:p w14:paraId="6FF16046"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The top has been affected by traffic, resulting in an uneven summit with depressions.</w:t>
            </w:r>
          </w:p>
        </w:tc>
      </w:tr>
      <w:tr w:rsidR="003941BF" w:rsidRPr="00D62A3B" w14:paraId="0BAF2D8A" w14:textId="77777777" w:rsidTr="00FD1193">
        <w:trPr>
          <w:jc w:val="center"/>
        </w:trPr>
        <w:tc>
          <w:tcPr>
            <w:tcW w:w="3081" w:type="dxa"/>
            <w:vAlign w:val="center"/>
          </w:tcPr>
          <w:p w14:paraId="2380F0FD"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30</w:t>
            </w:r>
          </w:p>
        </w:tc>
        <w:tc>
          <w:tcPr>
            <w:tcW w:w="3081" w:type="dxa"/>
            <w:shd w:val="clear" w:color="auto" w:fill="auto"/>
            <w:vAlign w:val="bottom"/>
          </w:tcPr>
          <w:p w14:paraId="24A9DD33"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100</w:t>
            </w:r>
          </w:p>
        </w:tc>
        <w:tc>
          <w:tcPr>
            <w:tcW w:w="3081" w:type="dxa"/>
          </w:tcPr>
          <w:p w14:paraId="2397A55A"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The outlet is aged, damaged, and cracked.</w:t>
            </w:r>
          </w:p>
        </w:tc>
      </w:tr>
      <w:tr w:rsidR="003941BF" w:rsidRPr="00D62A3B" w14:paraId="41D1E794" w14:textId="77777777" w:rsidTr="00FD1193">
        <w:trPr>
          <w:jc w:val="center"/>
        </w:trPr>
        <w:tc>
          <w:tcPr>
            <w:tcW w:w="3081" w:type="dxa"/>
            <w:vAlign w:val="center"/>
          </w:tcPr>
          <w:p w14:paraId="5A72B151"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18</w:t>
            </w:r>
          </w:p>
        </w:tc>
        <w:tc>
          <w:tcPr>
            <w:tcW w:w="3081" w:type="dxa"/>
            <w:shd w:val="clear" w:color="auto" w:fill="auto"/>
            <w:vAlign w:val="bottom"/>
          </w:tcPr>
          <w:p w14:paraId="7D095460"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60</w:t>
            </w:r>
          </w:p>
        </w:tc>
        <w:tc>
          <w:tcPr>
            <w:tcW w:w="3081" w:type="dxa"/>
          </w:tcPr>
          <w:p w14:paraId="69F6F2EA"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 xml:space="preserve">Landslide occurrences in downstream </w:t>
            </w:r>
          </w:p>
        </w:tc>
      </w:tr>
      <w:tr w:rsidR="003941BF" w:rsidRPr="00D62A3B" w14:paraId="21F8B51C" w14:textId="77777777" w:rsidTr="00FD1193">
        <w:trPr>
          <w:jc w:val="center"/>
        </w:trPr>
        <w:tc>
          <w:tcPr>
            <w:tcW w:w="3081" w:type="dxa"/>
            <w:vAlign w:val="center"/>
          </w:tcPr>
          <w:p w14:paraId="2CADFA2D"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30</w:t>
            </w:r>
          </w:p>
        </w:tc>
        <w:tc>
          <w:tcPr>
            <w:tcW w:w="3081" w:type="dxa"/>
            <w:shd w:val="clear" w:color="auto" w:fill="auto"/>
            <w:vAlign w:val="bottom"/>
          </w:tcPr>
          <w:p w14:paraId="296348EC"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100</w:t>
            </w:r>
          </w:p>
        </w:tc>
        <w:tc>
          <w:tcPr>
            <w:tcW w:w="3081" w:type="dxa"/>
          </w:tcPr>
          <w:p w14:paraId="60F13E87"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Vegetation on both the upstream and downstream sides of the dam.</w:t>
            </w:r>
          </w:p>
        </w:tc>
      </w:tr>
      <w:tr w:rsidR="003941BF" w:rsidRPr="00D62A3B" w14:paraId="6FC2225A" w14:textId="77777777" w:rsidTr="00FD1193">
        <w:trPr>
          <w:jc w:val="center"/>
        </w:trPr>
        <w:tc>
          <w:tcPr>
            <w:tcW w:w="3081" w:type="dxa"/>
            <w:vAlign w:val="center"/>
          </w:tcPr>
          <w:p w14:paraId="5D48B482"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30</w:t>
            </w:r>
          </w:p>
        </w:tc>
        <w:tc>
          <w:tcPr>
            <w:tcW w:w="3081" w:type="dxa"/>
            <w:shd w:val="clear" w:color="auto" w:fill="auto"/>
            <w:vAlign w:val="bottom"/>
          </w:tcPr>
          <w:p w14:paraId="4941C80D"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100</w:t>
            </w:r>
          </w:p>
        </w:tc>
        <w:tc>
          <w:tcPr>
            <w:tcW w:w="3081" w:type="dxa"/>
          </w:tcPr>
          <w:p w14:paraId="7BA478FB"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The spillway is obstructed and insufficiently sized.</w:t>
            </w:r>
          </w:p>
        </w:tc>
      </w:tr>
    </w:tbl>
    <w:p w14:paraId="05ACC990" w14:textId="77777777" w:rsidR="003941BF" w:rsidRDefault="003941BF" w:rsidP="003941BF">
      <w:pPr>
        <w:spacing w:line="276" w:lineRule="auto"/>
        <w:jc w:val="both"/>
        <w:rPr>
          <w:rFonts w:ascii="Arial" w:eastAsia="Calibri" w:hAnsi="Arial" w:cs="Arial"/>
          <w:b/>
          <w:bCs/>
          <w:kern w:val="2"/>
          <w:lang w:val="en-GB"/>
          <w14:ligatures w14:val="standardContextual"/>
        </w:rPr>
      </w:pPr>
    </w:p>
    <w:p w14:paraId="50BD5E52" w14:textId="77777777" w:rsidR="003941BF" w:rsidRPr="00D62A3B"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b/>
          <w:bCs/>
          <w:kern w:val="2"/>
          <w:lang w:val="en-GB"/>
          <w14:ligatures w14:val="standardContextual"/>
        </w:rPr>
        <w:t>N.B:</w:t>
      </w:r>
      <w:r w:rsidRPr="00D62A3B">
        <w:rPr>
          <w:rFonts w:ascii="Arial" w:eastAsia="Calibri" w:hAnsi="Arial" w:cs="Arial"/>
          <w:kern w:val="2"/>
          <w:lang w:val="en-GB"/>
          <w14:ligatures w14:val="standardContextual"/>
        </w:rPr>
        <w:t xml:space="preserve"> Due to the proximity of numerous residences downstream and adjacent to the dam, the dam carries a significant risk rating.</w:t>
      </w:r>
    </w:p>
    <w:p w14:paraId="0BD854CC" w14:textId="77777777" w:rsidR="003941BF"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Several common problems facing the Mindu dam were identified from a field survey conducted through this study using 30 respondents from the field. 100% of all households interviewed agreed that the aging of the outlet of the dam, dense vegetation cover upstream and downstream of the dam and insufficient capacity and damage to the spillway are the leading problems facing the dam. Another leading problem facing Mindu dam is that it was observed with 86.7% agreement from household interviews that the dam top has been affected by human activities such as settlement which is attracted by the passage of trunk road it was also observed that the surrounding area of the dam has a lot of pit holes and depression caused by human activities encroachment. Not only that but also erosion was observed upstream and downstream of the dam and 83.3% percentage of the respondents agreed that this is the problem facing the dam and 60% of the respondents identified that the landside occurrences downstream are another problem facing the dam. </w:t>
      </w:r>
    </w:p>
    <w:p w14:paraId="0539C3E5"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141CDAFF" w14:textId="77777777" w:rsidR="003941BF" w:rsidRPr="00D62A3B"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sidRPr="00D62A3B">
        <w:rPr>
          <w:rFonts w:ascii="Arial" w:eastAsia="Calibri" w:hAnsi="Arial" w:cs="Arial"/>
          <w:kern w:val="2"/>
          <w:lang w:val="en-GB"/>
          <w14:ligatures w14:val="standardContextual"/>
        </w:rPr>
        <w:fldChar w:fldCharType="begin"/>
      </w:r>
      <w:r w:rsidRPr="00D62A3B">
        <w:rPr>
          <w:rFonts w:ascii="Arial" w:eastAsia="Calibri" w:hAnsi="Arial" w:cs="Arial"/>
          <w:kern w:val="2"/>
          <w:lang w:val="en-GB"/>
          <w14:ligatures w14:val="standardContextual"/>
        </w:rPr>
        <w:instrText xml:space="preserve"> SEQ Table \* ARABIC </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kern w:val="2"/>
          <w:lang w:val="en-GB"/>
          <w14:ligatures w14:val="standardContextual"/>
        </w:rPr>
        <w:t>3</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 Expertise Opinions on the Dam Conditions.</w:t>
      </w:r>
    </w:p>
    <w:tbl>
      <w:tblPr>
        <w:tblW w:w="7600" w:type="dxa"/>
        <w:jc w:val="center"/>
        <w:tblLook w:val="04A0" w:firstRow="1" w:lastRow="0" w:firstColumn="1" w:lastColumn="0" w:noHBand="0" w:noVBand="1"/>
      </w:tblPr>
      <w:tblGrid>
        <w:gridCol w:w="960"/>
        <w:gridCol w:w="4100"/>
        <w:gridCol w:w="1240"/>
        <w:gridCol w:w="1300"/>
      </w:tblGrid>
      <w:tr w:rsidR="003941BF" w:rsidRPr="00D62A3B" w14:paraId="5B068C27" w14:textId="77777777" w:rsidTr="00FD1193">
        <w:trPr>
          <w:trHeight w:val="288"/>
          <w:jc w:val="center"/>
        </w:trPr>
        <w:tc>
          <w:tcPr>
            <w:tcW w:w="960" w:type="dxa"/>
            <w:shd w:val="clear" w:color="auto" w:fill="auto"/>
            <w:noWrap/>
            <w:vAlign w:val="bottom"/>
            <w:hideMark/>
          </w:tcPr>
          <w:p w14:paraId="320A21F5" w14:textId="77777777" w:rsidR="003941BF" w:rsidRPr="00D62A3B" w:rsidRDefault="003941BF" w:rsidP="00FD1193">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Sn</w:t>
            </w:r>
          </w:p>
        </w:tc>
        <w:tc>
          <w:tcPr>
            <w:tcW w:w="4100" w:type="dxa"/>
            <w:shd w:val="clear" w:color="auto" w:fill="auto"/>
            <w:noWrap/>
            <w:vAlign w:val="bottom"/>
            <w:hideMark/>
          </w:tcPr>
          <w:p w14:paraId="49C58C1F" w14:textId="77777777" w:rsidR="003941BF" w:rsidRPr="00D62A3B" w:rsidRDefault="003941BF" w:rsidP="00FD1193">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Issue</w:t>
            </w:r>
          </w:p>
        </w:tc>
        <w:tc>
          <w:tcPr>
            <w:tcW w:w="1240" w:type="dxa"/>
            <w:shd w:val="clear" w:color="auto" w:fill="auto"/>
            <w:noWrap/>
            <w:vAlign w:val="bottom"/>
            <w:hideMark/>
          </w:tcPr>
          <w:p w14:paraId="3A9D4C1E" w14:textId="77777777" w:rsidR="003941BF" w:rsidRPr="00D62A3B" w:rsidRDefault="003941BF" w:rsidP="00FD1193">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No of Expert</w:t>
            </w:r>
          </w:p>
        </w:tc>
        <w:tc>
          <w:tcPr>
            <w:tcW w:w="1300" w:type="dxa"/>
            <w:shd w:val="clear" w:color="auto" w:fill="auto"/>
            <w:noWrap/>
            <w:vAlign w:val="bottom"/>
            <w:hideMark/>
          </w:tcPr>
          <w:p w14:paraId="3F7DDFFC" w14:textId="77777777" w:rsidR="003941BF" w:rsidRPr="00D62A3B" w:rsidRDefault="003941BF" w:rsidP="00FD1193">
            <w:pPr>
              <w:spacing w:line="276" w:lineRule="auto"/>
              <w:jc w:val="both"/>
              <w:rPr>
                <w:rFonts w:ascii="Arial" w:eastAsia="Calibri" w:hAnsi="Arial" w:cs="Arial"/>
                <w:b/>
                <w:kern w:val="2"/>
                <w:lang w:val="en-GB"/>
                <w14:ligatures w14:val="standardContextual"/>
              </w:rPr>
            </w:pPr>
            <w:r w:rsidRPr="00D62A3B">
              <w:rPr>
                <w:rFonts w:ascii="Arial" w:eastAsia="Calibri" w:hAnsi="Arial" w:cs="Arial"/>
                <w:b/>
                <w:kern w:val="2"/>
                <w:lang w:val="en-GB"/>
                <w14:ligatures w14:val="standardContextual"/>
              </w:rPr>
              <w:t>Percentile (%)</w:t>
            </w:r>
          </w:p>
        </w:tc>
      </w:tr>
      <w:tr w:rsidR="003941BF" w:rsidRPr="00D62A3B" w14:paraId="4ABC53A9" w14:textId="77777777" w:rsidTr="00FD1193">
        <w:trPr>
          <w:trHeight w:val="288"/>
          <w:jc w:val="center"/>
        </w:trPr>
        <w:tc>
          <w:tcPr>
            <w:tcW w:w="960" w:type="dxa"/>
            <w:shd w:val="clear" w:color="auto" w:fill="auto"/>
            <w:noWrap/>
            <w:vAlign w:val="bottom"/>
            <w:hideMark/>
          </w:tcPr>
          <w:p w14:paraId="253BAA8E"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w:t>
            </w:r>
          </w:p>
        </w:tc>
        <w:tc>
          <w:tcPr>
            <w:tcW w:w="4100" w:type="dxa"/>
            <w:shd w:val="clear" w:color="auto" w:fill="auto"/>
            <w:noWrap/>
            <w:vAlign w:val="bottom"/>
            <w:hideMark/>
          </w:tcPr>
          <w:p w14:paraId="7D0AE31F"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Visible Holes/Cracks</w:t>
            </w:r>
          </w:p>
        </w:tc>
        <w:tc>
          <w:tcPr>
            <w:tcW w:w="1240" w:type="dxa"/>
            <w:shd w:val="clear" w:color="auto" w:fill="auto"/>
            <w:noWrap/>
            <w:vAlign w:val="bottom"/>
            <w:hideMark/>
          </w:tcPr>
          <w:p w14:paraId="25B81ECA"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2381EF0C"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1A62AD18" w14:textId="77777777" w:rsidTr="00FD1193">
        <w:trPr>
          <w:trHeight w:val="288"/>
          <w:jc w:val="center"/>
        </w:trPr>
        <w:tc>
          <w:tcPr>
            <w:tcW w:w="960" w:type="dxa"/>
            <w:shd w:val="clear" w:color="auto" w:fill="auto"/>
            <w:noWrap/>
            <w:vAlign w:val="bottom"/>
            <w:hideMark/>
          </w:tcPr>
          <w:p w14:paraId="35E24BFE"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2</w:t>
            </w:r>
          </w:p>
        </w:tc>
        <w:tc>
          <w:tcPr>
            <w:tcW w:w="4100" w:type="dxa"/>
            <w:shd w:val="clear" w:color="auto" w:fill="auto"/>
            <w:noWrap/>
            <w:vAlign w:val="bottom"/>
            <w:hideMark/>
          </w:tcPr>
          <w:p w14:paraId="458A21B2"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Sign for erosion occurrences </w:t>
            </w:r>
          </w:p>
        </w:tc>
        <w:tc>
          <w:tcPr>
            <w:tcW w:w="1240" w:type="dxa"/>
            <w:shd w:val="clear" w:color="auto" w:fill="auto"/>
            <w:noWrap/>
            <w:vAlign w:val="bottom"/>
            <w:hideMark/>
          </w:tcPr>
          <w:p w14:paraId="5F3B7C02"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08114A79"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1EC739AE" w14:textId="77777777" w:rsidTr="00FD1193">
        <w:trPr>
          <w:trHeight w:val="288"/>
          <w:jc w:val="center"/>
        </w:trPr>
        <w:tc>
          <w:tcPr>
            <w:tcW w:w="960" w:type="dxa"/>
            <w:shd w:val="clear" w:color="auto" w:fill="auto"/>
            <w:noWrap/>
            <w:vAlign w:val="bottom"/>
            <w:hideMark/>
          </w:tcPr>
          <w:p w14:paraId="569740D8"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3</w:t>
            </w:r>
          </w:p>
        </w:tc>
        <w:tc>
          <w:tcPr>
            <w:tcW w:w="4100" w:type="dxa"/>
            <w:shd w:val="clear" w:color="auto" w:fill="auto"/>
            <w:noWrap/>
            <w:vAlign w:val="bottom"/>
            <w:hideMark/>
          </w:tcPr>
          <w:p w14:paraId="039F711E"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water seepage </w:t>
            </w:r>
          </w:p>
        </w:tc>
        <w:tc>
          <w:tcPr>
            <w:tcW w:w="1240" w:type="dxa"/>
            <w:shd w:val="clear" w:color="auto" w:fill="auto"/>
            <w:noWrap/>
            <w:vAlign w:val="bottom"/>
            <w:hideMark/>
          </w:tcPr>
          <w:p w14:paraId="16C34CCA"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w:t>
            </w:r>
          </w:p>
        </w:tc>
        <w:tc>
          <w:tcPr>
            <w:tcW w:w="1300" w:type="dxa"/>
            <w:shd w:val="clear" w:color="auto" w:fill="auto"/>
            <w:noWrap/>
            <w:vAlign w:val="bottom"/>
            <w:hideMark/>
          </w:tcPr>
          <w:p w14:paraId="5D65A065"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70</w:t>
            </w:r>
          </w:p>
        </w:tc>
      </w:tr>
      <w:tr w:rsidR="003941BF" w:rsidRPr="00D62A3B" w14:paraId="04790086" w14:textId="77777777" w:rsidTr="00FD1193">
        <w:trPr>
          <w:trHeight w:val="288"/>
          <w:jc w:val="center"/>
        </w:trPr>
        <w:tc>
          <w:tcPr>
            <w:tcW w:w="960" w:type="dxa"/>
            <w:shd w:val="clear" w:color="auto" w:fill="auto"/>
            <w:noWrap/>
            <w:vAlign w:val="bottom"/>
            <w:hideMark/>
          </w:tcPr>
          <w:p w14:paraId="5BFC8CC5"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4</w:t>
            </w:r>
          </w:p>
        </w:tc>
        <w:tc>
          <w:tcPr>
            <w:tcW w:w="4100" w:type="dxa"/>
            <w:shd w:val="clear" w:color="auto" w:fill="auto"/>
            <w:noWrap/>
            <w:vAlign w:val="bottom"/>
            <w:hideMark/>
          </w:tcPr>
          <w:p w14:paraId="02B14321"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outlet pipe damage </w:t>
            </w:r>
          </w:p>
        </w:tc>
        <w:tc>
          <w:tcPr>
            <w:tcW w:w="1240" w:type="dxa"/>
            <w:shd w:val="clear" w:color="auto" w:fill="auto"/>
            <w:noWrap/>
            <w:vAlign w:val="bottom"/>
            <w:hideMark/>
          </w:tcPr>
          <w:p w14:paraId="6568E921"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04C49446"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08CB924A" w14:textId="77777777" w:rsidTr="00FD1193">
        <w:trPr>
          <w:trHeight w:val="288"/>
          <w:jc w:val="center"/>
        </w:trPr>
        <w:tc>
          <w:tcPr>
            <w:tcW w:w="960" w:type="dxa"/>
            <w:shd w:val="clear" w:color="auto" w:fill="auto"/>
            <w:noWrap/>
            <w:vAlign w:val="bottom"/>
            <w:hideMark/>
          </w:tcPr>
          <w:p w14:paraId="3115C5E9"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w:t>
            </w:r>
          </w:p>
        </w:tc>
        <w:tc>
          <w:tcPr>
            <w:tcW w:w="4100" w:type="dxa"/>
            <w:shd w:val="clear" w:color="auto" w:fill="auto"/>
            <w:noWrap/>
            <w:vAlign w:val="bottom"/>
            <w:hideMark/>
          </w:tcPr>
          <w:p w14:paraId="2B563C16"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vegetation blockage </w:t>
            </w:r>
          </w:p>
        </w:tc>
        <w:tc>
          <w:tcPr>
            <w:tcW w:w="1240" w:type="dxa"/>
            <w:shd w:val="clear" w:color="auto" w:fill="auto"/>
            <w:noWrap/>
            <w:vAlign w:val="bottom"/>
            <w:hideMark/>
          </w:tcPr>
          <w:p w14:paraId="264BD390"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45FFFE4C"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008ED9F3" w14:textId="77777777" w:rsidTr="00FD1193">
        <w:trPr>
          <w:trHeight w:val="288"/>
          <w:jc w:val="center"/>
        </w:trPr>
        <w:tc>
          <w:tcPr>
            <w:tcW w:w="960" w:type="dxa"/>
            <w:shd w:val="clear" w:color="auto" w:fill="auto"/>
            <w:noWrap/>
            <w:vAlign w:val="bottom"/>
            <w:hideMark/>
          </w:tcPr>
          <w:p w14:paraId="04B7CAD9"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6</w:t>
            </w:r>
          </w:p>
        </w:tc>
        <w:tc>
          <w:tcPr>
            <w:tcW w:w="4100" w:type="dxa"/>
            <w:shd w:val="clear" w:color="auto" w:fill="auto"/>
            <w:noWrap/>
            <w:vAlign w:val="bottom"/>
            <w:hideMark/>
          </w:tcPr>
          <w:p w14:paraId="19ED8F85"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animal damage </w:t>
            </w:r>
          </w:p>
        </w:tc>
        <w:tc>
          <w:tcPr>
            <w:tcW w:w="1240" w:type="dxa"/>
            <w:shd w:val="clear" w:color="auto" w:fill="auto"/>
            <w:noWrap/>
            <w:vAlign w:val="bottom"/>
            <w:hideMark/>
          </w:tcPr>
          <w:p w14:paraId="49A7ACFE"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1300" w:type="dxa"/>
            <w:shd w:val="clear" w:color="auto" w:fill="auto"/>
            <w:noWrap/>
            <w:vAlign w:val="bottom"/>
            <w:hideMark/>
          </w:tcPr>
          <w:p w14:paraId="40A477A5"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80</w:t>
            </w:r>
          </w:p>
        </w:tc>
      </w:tr>
      <w:tr w:rsidR="003941BF" w:rsidRPr="00D62A3B" w14:paraId="54A73B24" w14:textId="77777777" w:rsidTr="00FD1193">
        <w:trPr>
          <w:trHeight w:val="288"/>
          <w:jc w:val="center"/>
        </w:trPr>
        <w:tc>
          <w:tcPr>
            <w:tcW w:w="960" w:type="dxa"/>
            <w:shd w:val="clear" w:color="auto" w:fill="auto"/>
            <w:noWrap/>
            <w:vAlign w:val="bottom"/>
            <w:hideMark/>
          </w:tcPr>
          <w:p w14:paraId="034BED10"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7</w:t>
            </w:r>
          </w:p>
        </w:tc>
        <w:tc>
          <w:tcPr>
            <w:tcW w:w="4100" w:type="dxa"/>
            <w:shd w:val="clear" w:color="auto" w:fill="auto"/>
            <w:noWrap/>
            <w:vAlign w:val="bottom"/>
            <w:hideMark/>
          </w:tcPr>
          <w:p w14:paraId="12D2319E"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Flood occurrence </w:t>
            </w:r>
          </w:p>
        </w:tc>
        <w:tc>
          <w:tcPr>
            <w:tcW w:w="1240" w:type="dxa"/>
            <w:shd w:val="clear" w:color="auto" w:fill="auto"/>
            <w:noWrap/>
            <w:vAlign w:val="bottom"/>
            <w:hideMark/>
          </w:tcPr>
          <w:p w14:paraId="24C63F38"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w:t>
            </w:r>
          </w:p>
        </w:tc>
        <w:tc>
          <w:tcPr>
            <w:tcW w:w="1300" w:type="dxa"/>
            <w:shd w:val="clear" w:color="auto" w:fill="auto"/>
            <w:noWrap/>
            <w:vAlign w:val="bottom"/>
            <w:hideMark/>
          </w:tcPr>
          <w:p w14:paraId="6474171A"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100</w:t>
            </w:r>
          </w:p>
        </w:tc>
      </w:tr>
      <w:tr w:rsidR="003941BF" w:rsidRPr="00D62A3B" w14:paraId="59D41560" w14:textId="77777777" w:rsidTr="00FD1193">
        <w:trPr>
          <w:trHeight w:val="288"/>
          <w:jc w:val="center"/>
        </w:trPr>
        <w:tc>
          <w:tcPr>
            <w:tcW w:w="960" w:type="dxa"/>
            <w:shd w:val="clear" w:color="auto" w:fill="auto"/>
            <w:noWrap/>
            <w:vAlign w:val="bottom"/>
            <w:hideMark/>
          </w:tcPr>
          <w:p w14:paraId="2E94AB72"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8</w:t>
            </w:r>
          </w:p>
        </w:tc>
        <w:tc>
          <w:tcPr>
            <w:tcW w:w="4100" w:type="dxa"/>
            <w:shd w:val="clear" w:color="auto" w:fill="auto"/>
            <w:noWrap/>
            <w:vAlign w:val="bottom"/>
            <w:hideMark/>
          </w:tcPr>
          <w:p w14:paraId="18820650"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Compliance with the dam safety procedures </w:t>
            </w:r>
          </w:p>
        </w:tc>
        <w:tc>
          <w:tcPr>
            <w:tcW w:w="1240" w:type="dxa"/>
            <w:shd w:val="clear" w:color="auto" w:fill="auto"/>
            <w:noWrap/>
            <w:vAlign w:val="bottom"/>
            <w:hideMark/>
          </w:tcPr>
          <w:p w14:paraId="4F38F2FE"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w:t>
            </w:r>
          </w:p>
        </w:tc>
        <w:tc>
          <w:tcPr>
            <w:tcW w:w="1300" w:type="dxa"/>
            <w:shd w:val="clear" w:color="auto" w:fill="auto"/>
            <w:noWrap/>
            <w:vAlign w:val="bottom"/>
            <w:hideMark/>
          </w:tcPr>
          <w:p w14:paraId="56CEE27F" w14:textId="77777777" w:rsidR="003941BF" w:rsidRPr="00D62A3B" w:rsidRDefault="003941BF" w:rsidP="00FD1193">
            <w:pPr>
              <w:spacing w:line="276" w:lineRule="auto"/>
              <w:jc w:val="center"/>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50</w:t>
            </w:r>
          </w:p>
        </w:tc>
      </w:tr>
      <w:tr w:rsidR="003941BF" w:rsidRPr="00D62A3B" w14:paraId="50FE6CE2" w14:textId="77777777" w:rsidTr="00FD1193">
        <w:trPr>
          <w:trHeight w:val="300"/>
          <w:jc w:val="center"/>
        </w:trPr>
        <w:tc>
          <w:tcPr>
            <w:tcW w:w="960" w:type="dxa"/>
            <w:shd w:val="clear" w:color="auto" w:fill="auto"/>
            <w:noWrap/>
            <w:vAlign w:val="bottom"/>
            <w:hideMark/>
          </w:tcPr>
          <w:p w14:paraId="3844EBA7"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4100" w:type="dxa"/>
            <w:shd w:val="clear" w:color="auto" w:fill="auto"/>
            <w:noWrap/>
            <w:vAlign w:val="bottom"/>
            <w:hideMark/>
          </w:tcPr>
          <w:p w14:paraId="47112F19"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1240" w:type="dxa"/>
            <w:shd w:val="clear" w:color="auto" w:fill="auto"/>
            <w:noWrap/>
            <w:vAlign w:val="bottom"/>
            <w:hideMark/>
          </w:tcPr>
          <w:p w14:paraId="7948AC38"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c>
          <w:tcPr>
            <w:tcW w:w="1300" w:type="dxa"/>
            <w:shd w:val="clear" w:color="auto" w:fill="auto"/>
            <w:noWrap/>
            <w:vAlign w:val="bottom"/>
            <w:hideMark/>
          </w:tcPr>
          <w:p w14:paraId="7403CDE3" w14:textId="77777777" w:rsidR="003941BF" w:rsidRPr="00D62A3B" w:rsidRDefault="003941BF" w:rsidP="00FD1193">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w:t>
            </w:r>
          </w:p>
        </w:tc>
      </w:tr>
    </w:tbl>
    <w:p w14:paraId="4BA3F7D6"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6C67AF7F" w14:textId="77777777" w:rsidR="003941BF" w:rsidRPr="00D62A3B"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A comprehensive assessment of key issues affecting dam safety, through expertise from the responsible authority in managing the Mindu dam (MORUWASA) was conducted to highlight several critical factors affecting the safety of the dam like erosion, vegetation blockage, and flood occurrence. From the findings, it was observed that erosion, vegetation blockage and flood occurrence are the key factors affecting the dam. </w:t>
      </w:r>
    </w:p>
    <w:p w14:paraId="60C48469"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6E1891EC" w14:textId="77777777" w:rsidR="003941BF" w:rsidRPr="00D62A3B" w:rsidRDefault="003941BF" w:rsidP="003941BF">
      <w:pPr>
        <w:spacing w:line="276" w:lineRule="auto"/>
        <w:jc w:val="both"/>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Table </w:t>
      </w:r>
      <w:r w:rsidRPr="00D62A3B">
        <w:rPr>
          <w:rFonts w:ascii="Arial" w:eastAsia="Calibri" w:hAnsi="Arial" w:cs="Arial"/>
          <w:kern w:val="2"/>
          <w:lang w:val="en-GB"/>
          <w14:ligatures w14:val="standardContextual"/>
        </w:rPr>
        <w:fldChar w:fldCharType="begin"/>
      </w:r>
      <w:r w:rsidRPr="00D62A3B">
        <w:rPr>
          <w:rFonts w:ascii="Arial" w:eastAsia="Calibri" w:hAnsi="Arial" w:cs="Arial"/>
          <w:kern w:val="2"/>
          <w:lang w:val="en-GB"/>
          <w14:ligatures w14:val="standardContextual"/>
        </w:rPr>
        <w:instrText xml:space="preserve"> SEQ Table \* ARABIC </w:instrText>
      </w:r>
      <w:r w:rsidRPr="00D62A3B">
        <w:rPr>
          <w:rFonts w:ascii="Arial" w:eastAsia="Calibri" w:hAnsi="Arial" w:cs="Arial"/>
          <w:kern w:val="2"/>
          <w:lang w:val="en-GB"/>
          <w14:ligatures w14:val="standardContextual"/>
        </w:rPr>
        <w:fldChar w:fldCharType="separate"/>
      </w:r>
      <w:r w:rsidRPr="00D62A3B">
        <w:rPr>
          <w:rFonts w:ascii="Arial" w:eastAsia="Calibri" w:hAnsi="Arial" w:cs="Arial"/>
          <w:noProof/>
          <w:kern w:val="2"/>
          <w:lang w:val="en-GB"/>
          <w14:ligatures w14:val="standardContextual"/>
        </w:rPr>
        <w:t>4</w:t>
      </w:r>
      <w:r w:rsidRPr="00D62A3B">
        <w:rPr>
          <w:rFonts w:ascii="Arial" w:eastAsia="Calibri" w:hAnsi="Arial" w:cs="Arial"/>
          <w:kern w:val="2"/>
          <w:lang w:val="en-GB"/>
          <w14:ligatures w14:val="standardContextual"/>
        </w:rPr>
        <w:fldChar w:fldCharType="end"/>
      </w:r>
      <w:r w:rsidRPr="00D62A3B">
        <w:rPr>
          <w:rFonts w:ascii="Arial" w:eastAsia="Calibri" w:hAnsi="Arial" w:cs="Arial"/>
          <w:kern w:val="2"/>
          <w:lang w:val="en-GB"/>
          <w14:ligatures w14:val="standardContextual"/>
        </w:rPr>
        <w:t>.Physical elements that are thought to be causing the present dam safety issues</w:t>
      </w:r>
    </w:p>
    <w:tbl>
      <w:tblPr>
        <w:tblStyle w:val="TableGrid"/>
        <w:tblpPr w:leftFromText="180" w:rightFromText="180" w:vertAnchor="text" w:horzAnchor="margin" w:tblpXSpec="center"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3941BF" w:rsidRPr="00D62A3B" w14:paraId="7DFA86B1" w14:textId="77777777" w:rsidTr="00FD1193">
        <w:tc>
          <w:tcPr>
            <w:tcW w:w="3081" w:type="dxa"/>
            <w:tcBorders>
              <w:top w:val="single" w:sz="12" w:space="0" w:color="auto"/>
              <w:bottom w:val="single" w:sz="12" w:space="0" w:color="auto"/>
            </w:tcBorders>
          </w:tcPr>
          <w:p w14:paraId="3FA30C83"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Element</w:t>
            </w:r>
          </w:p>
        </w:tc>
        <w:tc>
          <w:tcPr>
            <w:tcW w:w="3081" w:type="dxa"/>
            <w:tcBorders>
              <w:top w:val="single" w:sz="12" w:space="0" w:color="auto"/>
              <w:bottom w:val="single" w:sz="12" w:space="0" w:color="auto"/>
            </w:tcBorders>
          </w:tcPr>
          <w:p w14:paraId="6D23C824" w14:textId="77777777" w:rsidR="003941BF" w:rsidRPr="00D62A3B" w:rsidRDefault="003941BF" w:rsidP="00FD1193">
            <w:pPr>
              <w:spacing w:line="276" w:lineRule="auto"/>
              <w:jc w:val="both"/>
              <w:rPr>
                <w:rFonts w:ascii="Arial" w:hAnsi="Arial" w:cs="Arial"/>
                <w:kern w:val="2"/>
                <w:lang w:val="en-GB"/>
                <w14:ligatures w14:val="standardContextual"/>
              </w:rPr>
            </w:pPr>
            <w:proofErr w:type="spellStart"/>
            <w:r w:rsidRPr="00D62A3B">
              <w:rPr>
                <w:rFonts w:ascii="Arial" w:hAnsi="Arial" w:cs="Arial"/>
                <w:kern w:val="2"/>
                <w:lang w:val="en-GB"/>
                <w14:ligatures w14:val="standardContextual"/>
              </w:rPr>
              <w:t>No.of</w:t>
            </w:r>
            <w:proofErr w:type="spellEnd"/>
            <w:r w:rsidRPr="00D62A3B">
              <w:rPr>
                <w:rFonts w:ascii="Arial" w:hAnsi="Arial" w:cs="Arial"/>
                <w:kern w:val="2"/>
                <w:lang w:val="en-GB"/>
                <w14:ligatures w14:val="standardContextual"/>
              </w:rPr>
              <w:t xml:space="preserve"> key participants(n=30)</w:t>
            </w:r>
          </w:p>
        </w:tc>
        <w:tc>
          <w:tcPr>
            <w:tcW w:w="3081" w:type="dxa"/>
            <w:tcBorders>
              <w:top w:val="single" w:sz="12" w:space="0" w:color="auto"/>
              <w:bottom w:val="single" w:sz="12" w:space="0" w:color="auto"/>
            </w:tcBorders>
          </w:tcPr>
          <w:p w14:paraId="10C20305"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Percentile (%)</w:t>
            </w:r>
          </w:p>
        </w:tc>
      </w:tr>
      <w:tr w:rsidR="003941BF" w:rsidRPr="00D62A3B" w14:paraId="5CC7D4FF" w14:textId="77777777" w:rsidTr="00FD1193">
        <w:tc>
          <w:tcPr>
            <w:tcW w:w="3081" w:type="dxa"/>
            <w:tcBorders>
              <w:top w:val="single" w:sz="12" w:space="0" w:color="auto"/>
            </w:tcBorders>
          </w:tcPr>
          <w:p w14:paraId="0F0E3721"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Flooding occurrences</w:t>
            </w:r>
          </w:p>
        </w:tc>
        <w:tc>
          <w:tcPr>
            <w:tcW w:w="3081" w:type="dxa"/>
            <w:tcBorders>
              <w:top w:val="single" w:sz="12" w:space="0" w:color="auto"/>
            </w:tcBorders>
          </w:tcPr>
          <w:p w14:paraId="2F65A629"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26</w:t>
            </w:r>
          </w:p>
        </w:tc>
        <w:tc>
          <w:tcPr>
            <w:tcW w:w="3081" w:type="dxa"/>
            <w:tcBorders>
              <w:top w:val="nil"/>
              <w:left w:val="nil"/>
              <w:bottom w:val="nil"/>
              <w:right w:val="nil"/>
            </w:tcBorders>
            <w:shd w:val="clear" w:color="auto" w:fill="auto"/>
            <w:vAlign w:val="bottom"/>
          </w:tcPr>
          <w:p w14:paraId="69A43D12"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86.7</w:t>
            </w:r>
          </w:p>
        </w:tc>
      </w:tr>
      <w:tr w:rsidR="003941BF" w:rsidRPr="00D62A3B" w14:paraId="1B1F4F7B" w14:textId="77777777" w:rsidTr="00FD1193">
        <w:tc>
          <w:tcPr>
            <w:tcW w:w="3081" w:type="dxa"/>
          </w:tcPr>
          <w:p w14:paraId="79432555"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Intense rainfall</w:t>
            </w:r>
          </w:p>
        </w:tc>
        <w:tc>
          <w:tcPr>
            <w:tcW w:w="3081" w:type="dxa"/>
          </w:tcPr>
          <w:p w14:paraId="1FFC20E5"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28</w:t>
            </w:r>
          </w:p>
        </w:tc>
        <w:tc>
          <w:tcPr>
            <w:tcW w:w="3081" w:type="dxa"/>
            <w:tcBorders>
              <w:top w:val="nil"/>
              <w:left w:val="nil"/>
              <w:bottom w:val="nil"/>
              <w:right w:val="nil"/>
            </w:tcBorders>
            <w:shd w:val="clear" w:color="auto" w:fill="auto"/>
            <w:vAlign w:val="bottom"/>
          </w:tcPr>
          <w:p w14:paraId="2686C424"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93.3</w:t>
            </w:r>
          </w:p>
        </w:tc>
      </w:tr>
      <w:tr w:rsidR="003941BF" w:rsidRPr="00D62A3B" w14:paraId="07EFC019" w14:textId="77777777" w:rsidTr="00FD1193">
        <w:tc>
          <w:tcPr>
            <w:tcW w:w="3081" w:type="dxa"/>
          </w:tcPr>
          <w:p w14:paraId="1B38D037"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Dam impairment</w:t>
            </w:r>
          </w:p>
        </w:tc>
        <w:tc>
          <w:tcPr>
            <w:tcW w:w="3081" w:type="dxa"/>
          </w:tcPr>
          <w:p w14:paraId="6D98A019"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30</w:t>
            </w:r>
          </w:p>
        </w:tc>
        <w:tc>
          <w:tcPr>
            <w:tcW w:w="3081" w:type="dxa"/>
            <w:tcBorders>
              <w:top w:val="nil"/>
              <w:left w:val="nil"/>
              <w:bottom w:val="nil"/>
              <w:right w:val="nil"/>
            </w:tcBorders>
            <w:shd w:val="clear" w:color="auto" w:fill="auto"/>
            <w:vAlign w:val="bottom"/>
          </w:tcPr>
          <w:p w14:paraId="1342E249"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color w:val="000000"/>
              </w:rPr>
              <w:t>100.0</w:t>
            </w:r>
          </w:p>
        </w:tc>
      </w:tr>
      <w:tr w:rsidR="003941BF" w:rsidRPr="00D62A3B" w14:paraId="71779336" w14:textId="77777777" w:rsidTr="00FD1193">
        <w:tc>
          <w:tcPr>
            <w:tcW w:w="3081" w:type="dxa"/>
          </w:tcPr>
          <w:p w14:paraId="13A92DB1"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Landslide incidents</w:t>
            </w:r>
          </w:p>
        </w:tc>
        <w:tc>
          <w:tcPr>
            <w:tcW w:w="3081" w:type="dxa"/>
          </w:tcPr>
          <w:p w14:paraId="5C4A9207" w14:textId="77777777" w:rsidR="003941BF" w:rsidRPr="00D62A3B" w:rsidRDefault="003941BF" w:rsidP="00FD1193">
            <w:pPr>
              <w:spacing w:line="276" w:lineRule="auto"/>
              <w:jc w:val="both"/>
              <w:rPr>
                <w:rFonts w:ascii="Arial" w:hAnsi="Arial" w:cs="Arial"/>
                <w:kern w:val="2"/>
                <w:lang w:val="en-GB"/>
                <w14:ligatures w14:val="standardContextual"/>
              </w:rPr>
            </w:pPr>
            <w:r w:rsidRPr="00D62A3B">
              <w:rPr>
                <w:rFonts w:ascii="Arial" w:hAnsi="Arial" w:cs="Arial"/>
                <w:kern w:val="2"/>
                <w:lang w:val="en-GB"/>
                <w14:ligatures w14:val="standardContextual"/>
              </w:rPr>
              <w:t>20</w:t>
            </w:r>
          </w:p>
        </w:tc>
        <w:tc>
          <w:tcPr>
            <w:tcW w:w="3081" w:type="dxa"/>
            <w:tcBorders>
              <w:top w:val="nil"/>
              <w:left w:val="nil"/>
              <w:bottom w:val="nil"/>
              <w:right w:val="nil"/>
            </w:tcBorders>
            <w:shd w:val="clear" w:color="auto" w:fill="auto"/>
            <w:vAlign w:val="bottom"/>
          </w:tcPr>
          <w:p w14:paraId="33D0EF42" w14:textId="77777777" w:rsidR="003941BF" w:rsidRPr="00D62A3B" w:rsidRDefault="003941BF" w:rsidP="00FD1193">
            <w:pPr>
              <w:spacing w:line="276" w:lineRule="auto"/>
              <w:jc w:val="both"/>
              <w:rPr>
                <w:rFonts w:ascii="Arial" w:hAnsi="Arial" w:cs="Arial"/>
                <w:color w:val="000000"/>
              </w:rPr>
            </w:pPr>
            <w:r w:rsidRPr="00D62A3B">
              <w:rPr>
                <w:rFonts w:ascii="Arial" w:hAnsi="Arial" w:cs="Arial"/>
                <w:color w:val="000000"/>
              </w:rPr>
              <w:t>66.7</w:t>
            </w:r>
          </w:p>
        </w:tc>
      </w:tr>
    </w:tbl>
    <w:p w14:paraId="13576F76"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1C5BCAA0" w14:textId="77777777" w:rsidR="003941BF" w:rsidRDefault="003941BF" w:rsidP="001B34AF">
      <w:pPr>
        <w:spacing w:line="276" w:lineRule="auto"/>
        <w:rPr>
          <w:rFonts w:ascii="Arial" w:eastAsia="Calibri" w:hAnsi="Arial" w:cs="Arial"/>
          <w:kern w:val="2"/>
          <w:lang w:val="en-GB"/>
          <w14:ligatures w14:val="standardContextual"/>
        </w:rPr>
      </w:pPr>
      <w:r w:rsidRPr="00D62A3B">
        <w:rPr>
          <w:rFonts w:ascii="Arial" w:eastAsia="Calibri" w:hAnsi="Arial" w:cs="Arial"/>
          <w:kern w:val="2"/>
          <w:lang w:val="en-GB"/>
          <w14:ligatures w14:val="standardContextual"/>
        </w:rPr>
        <w:t xml:space="preserve">From the field interview of the experience of the respondents, it was observed that dam impairment downstream 100% agreed is the major causing present dam issues today due to poor maintenance and repairing of the downstream infrastructure, while 93.3% of dam safety issues are caused by high rainfall occurrence due to climate change, 86.7% of the damage were noticed to be caused by flooding caused by the occurrences of high rainfall in upstream along the mount </w:t>
      </w:r>
      <w:proofErr w:type="spellStart"/>
      <w:r w:rsidRPr="00D62A3B">
        <w:rPr>
          <w:rFonts w:ascii="Arial" w:eastAsia="Calibri" w:hAnsi="Arial" w:cs="Arial"/>
          <w:kern w:val="2"/>
          <w:lang w:val="en-GB"/>
          <w14:ligatures w14:val="standardContextual"/>
        </w:rPr>
        <w:t>Uluguru</w:t>
      </w:r>
      <w:proofErr w:type="spellEnd"/>
      <w:r w:rsidRPr="00D62A3B">
        <w:rPr>
          <w:rFonts w:ascii="Arial" w:eastAsia="Calibri" w:hAnsi="Arial" w:cs="Arial"/>
          <w:kern w:val="2"/>
          <w:lang w:val="en-GB"/>
          <w14:ligatures w14:val="standardContextual"/>
        </w:rPr>
        <w:t>. Soil and landslide occurrence along the upstream was agreed by 66.7% of the respondents to another cause of dam damage.</w:t>
      </w:r>
    </w:p>
    <w:p w14:paraId="08791DEA"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p w14:paraId="297D5FEB" w14:textId="77777777" w:rsidR="003941BF" w:rsidRPr="00D62A3B" w:rsidRDefault="003941BF" w:rsidP="003941BF">
      <w:pPr>
        <w:spacing w:line="276" w:lineRule="auto"/>
        <w:jc w:val="both"/>
        <w:rPr>
          <w:rFonts w:ascii="Arial" w:eastAsia="Calibri" w:hAnsi="Arial" w:cs="Arial"/>
          <w:kern w:val="2"/>
          <w:lang w:val="en-GB"/>
          <w14:ligatures w14:val="standardContextu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3459"/>
        <w:gridCol w:w="2915"/>
      </w:tblGrid>
      <w:tr w:rsidR="003941BF" w:rsidRPr="00D62A3B" w14:paraId="55DC69B4" w14:textId="77777777" w:rsidTr="00BB60DB">
        <w:trPr>
          <w:jc w:val="center"/>
        </w:trPr>
        <w:tc>
          <w:tcPr>
            <w:tcW w:w="1838" w:type="pct"/>
            <w:tcBorders>
              <w:top w:val="single" w:sz="12" w:space="0" w:color="auto"/>
              <w:bottom w:val="single" w:sz="12" w:space="0" w:color="auto"/>
            </w:tcBorders>
          </w:tcPr>
          <w:p w14:paraId="49D57FE7"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Element</w:t>
            </w:r>
          </w:p>
        </w:tc>
        <w:tc>
          <w:tcPr>
            <w:tcW w:w="1716" w:type="pct"/>
            <w:tcBorders>
              <w:top w:val="single" w:sz="12" w:space="0" w:color="auto"/>
              <w:bottom w:val="single" w:sz="12" w:space="0" w:color="auto"/>
            </w:tcBorders>
          </w:tcPr>
          <w:p w14:paraId="1E98B057" w14:textId="77777777" w:rsidR="003941BF" w:rsidRPr="00D62A3B" w:rsidRDefault="003941BF" w:rsidP="00BB60DB">
            <w:pPr>
              <w:spacing w:line="276" w:lineRule="auto"/>
              <w:jc w:val="both"/>
              <w:rPr>
                <w:rFonts w:ascii="Arial" w:hAnsi="Arial" w:cs="Arial"/>
                <w:kern w:val="2"/>
                <w14:ligatures w14:val="standardContextual"/>
              </w:rPr>
            </w:pPr>
            <w:proofErr w:type="spellStart"/>
            <w:r w:rsidRPr="00D62A3B">
              <w:rPr>
                <w:rFonts w:ascii="Arial" w:hAnsi="Arial" w:cs="Arial"/>
                <w:kern w:val="2"/>
                <w:lang w:val="en-GB"/>
                <w14:ligatures w14:val="standardContextual"/>
              </w:rPr>
              <w:t>No.of</w:t>
            </w:r>
            <w:proofErr w:type="spellEnd"/>
            <w:r w:rsidRPr="00D62A3B">
              <w:rPr>
                <w:rFonts w:ascii="Arial" w:hAnsi="Arial" w:cs="Arial"/>
                <w:kern w:val="2"/>
                <w:lang w:val="en-GB"/>
                <w14:ligatures w14:val="standardContextual"/>
              </w:rPr>
              <w:t xml:space="preserve"> key participants(n=30)</w:t>
            </w:r>
          </w:p>
        </w:tc>
        <w:tc>
          <w:tcPr>
            <w:tcW w:w="1446" w:type="pct"/>
            <w:tcBorders>
              <w:top w:val="single" w:sz="12" w:space="0" w:color="auto"/>
              <w:bottom w:val="single" w:sz="12" w:space="0" w:color="auto"/>
            </w:tcBorders>
          </w:tcPr>
          <w:p w14:paraId="62B1B0E7"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Percentile (%)</w:t>
            </w:r>
          </w:p>
        </w:tc>
      </w:tr>
      <w:tr w:rsidR="003941BF" w:rsidRPr="00D62A3B" w14:paraId="1C99F1AD" w14:textId="77777777" w:rsidTr="00BB60DB">
        <w:trPr>
          <w:jc w:val="center"/>
        </w:trPr>
        <w:tc>
          <w:tcPr>
            <w:tcW w:w="1838" w:type="pct"/>
            <w:tcBorders>
              <w:top w:val="single" w:sz="12" w:space="0" w:color="auto"/>
            </w:tcBorders>
          </w:tcPr>
          <w:p w14:paraId="03D00BCA" w14:textId="77777777" w:rsidR="003941BF" w:rsidRPr="001A37E7" w:rsidRDefault="003941BF" w:rsidP="00BB60DB">
            <w:pPr>
              <w:pStyle w:val="NoSpacing"/>
              <w:rPr>
                <w:rFonts w:ascii="Arial" w:hAnsi="Arial" w:cs="Arial"/>
              </w:rPr>
            </w:pPr>
            <w:r w:rsidRPr="001A37E7">
              <w:rPr>
                <w:rFonts w:ascii="Arial" w:hAnsi="Arial" w:cs="Arial"/>
              </w:rPr>
              <w:t>insufficient, risk-based assessment of dam safety</w:t>
            </w:r>
          </w:p>
        </w:tc>
        <w:tc>
          <w:tcPr>
            <w:tcW w:w="1716" w:type="pct"/>
            <w:tcBorders>
              <w:top w:val="single" w:sz="12" w:space="0" w:color="auto"/>
            </w:tcBorders>
          </w:tcPr>
          <w:p w14:paraId="5F60FF5A"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25</w:t>
            </w:r>
          </w:p>
        </w:tc>
        <w:tc>
          <w:tcPr>
            <w:tcW w:w="1446" w:type="pct"/>
            <w:tcBorders>
              <w:top w:val="single" w:sz="12" w:space="0" w:color="auto"/>
            </w:tcBorders>
          </w:tcPr>
          <w:p w14:paraId="2730F7AA"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83.3</w:t>
            </w:r>
          </w:p>
        </w:tc>
      </w:tr>
      <w:tr w:rsidR="003941BF" w:rsidRPr="00D62A3B" w14:paraId="6F150C2C" w14:textId="77777777" w:rsidTr="00BB60DB">
        <w:trPr>
          <w:jc w:val="center"/>
        </w:trPr>
        <w:tc>
          <w:tcPr>
            <w:tcW w:w="1838" w:type="pct"/>
          </w:tcPr>
          <w:p w14:paraId="58D9472C"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Local management of dam safety is deficient</w:t>
            </w:r>
          </w:p>
        </w:tc>
        <w:tc>
          <w:tcPr>
            <w:tcW w:w="1716" w:type="pct"/>
          </w:tcPr>
          <w:p w14:paraId="228C4E35"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30</w:t>
            </w:r>
          </w:p>
        </w:tc>
        <w:tc>
          <w:tcPr>
            <w:tcW w:w="1446" w:type="pct"/>
          </w:tcPr>
          <w:p w14:paraId="7BA11E51"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100.0</w:t>
            </w:r>
          </w:p>
        </w:tc>
      </w:tr>
      <w:tr w:rsidR="003941BF" w:rsidRPr="00D62A3B" w14:paraId="36F046C8" w14:textId="77777777" w:rsidTr="00BB60DB">
        <w:trPr>
          <w:jc w:val="center"/>
        </w:trPr>
        <w:tc>
          <w:tcPr>
            <w:tcW w:w="1838" w:type="pct"/>
          </w:tcPr>
          <w:p w14:paraId="1580F2D7"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Absence of centrally located dam governance</w:t>
            </w:r>
          </w:p>
        </w:tc>
        <w:tc>
          <w:tcPr>
            <w:tcW w:w="1716" w:type="pct"/>
          </w:tcPr>
          <w:p w14:paraId="0EF0E984"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20</w:t>
            </w:r>
          </w:p>
        </w:tc>
        <w:tc>
          <w:tcPr>
            <w:tcW w:w="1446" w:type="pct"/>
          </w:tcPr>
          <w:p w14:paraId="4B3B2466"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66.7</w:t>
            </w:r>
          </w:p>
        </w:tc>
      </w:tr>
      <w:tr w:rsidR="003941BF" w:rsidRPr="00D62A3B" w14:paraId="64D99CE1" w14:textId="77777777" w:rsidTr="00BB60DB">
        <w:trPr>
          <w:jc w:val="center"/>
        </w:trPr>
        <w:tc>
          <w:tcPr>
            <w:tcW w:w="1838" w:type="pct"/>
          </w:tcPr>
          <w:p w14:paraId="3AD82572"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Lack of accountability</w:t>
            </w:r>
          </w:p>
        </w:tc>
        <w:tc>
          <w:tcPr>
            <w:tcW w:w="1716" w:type="pct"/>
          </w:tcPr>
          <w:p w14:paraId="11216880"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24</w:t>
            </w:r>
          </w:p>
        </w:tc>
        <w:tc>
          <w:tcPr>
            <w:tcW w:w="1446" w:type="pct"/>
          </w:tcPr>
          <w:p w14:paraId="49B2A10F"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80.0</w:t>
            </w:r>
          </w:p>
        </w:tc>
      </w:tr>
      <w:tr w:rsidR="003941BF" w:rsidRPr="00D62A3B" w14:paraId="26F9CF96" w14:textId="77777777" w:rsidTr="00BB60DB">
        <w:trPr>
          <w:jc w:val="center"/>
        </w:trPr>
        <w:tc>
          <w:tcPr>
            <w:tcW w:w="1838" w:type="pct"/>
          </w:tcPr>
          <w:p w14:paraId="0B645B2D"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The value of life is deemed low</w:t>
            </w:r>
          </w:p>
        </w:tc>
        <w:tc>
          <w:tcPr>
            <w:tcW w:w="1716" w:type="pct"/>
          </w:tcPr>
          <w:p w14:paraId="240A955B"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18</w:t>
            </w:r>
          </w:p>
        </w:tc>
        <w:tc>
          <w:tcPr>
            <w:tcW w:w="1446" w:type="pct"/>
          </w:tcPr>
          <w:p w14:paraId="45108CE4" w14:textId="77777777" w:rsidR="003941BF" w:rsidRPr="00D62A3B" w:rsidRDefault="003941BF" w:rsidP="00BB60DB">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18.0</w:t>
            </w:r>
          </w:p>
        </w:tc>
      </w:tr>
    </w:tbl>
    <w:p w14:paraId="589D6F47" w14:textId="77777777" w:rsidR="003941BF" w:rsidRPr="00D62A3B" w:rsidRDefault="003941BF" w:rsidP="003941BF">
      <w:pPr>
        <w:spacing w:after="200" w:line="276" w:lineRule="auto"/>
        <w:jc w:val="both"/>
        <w:rPr>
          <w:rFonts w:ascii="Arial" w:eastAsia="Calibri" w:hAnsi="Arial" w:cs="Arial"/>
          <w:kern w:val="2"/>
          <w14:ligatures w14:val="standardContextual"/>
        </w:rPr>
      </w:pPr>
      <w:r w:rsidRPr="00D62A3B">
        <w:rPr>
          <w:rFonts w:ascii="Arial" w:eastAsia="Calibri" w:hAnsi="Arial" w:cs="Arial"/>
          <w:kern w:val="2"/>
          <w14:ligatures w14:val="standardContextual"/>
        </w:rPr>
        <w:t xml:space="preserve">Table </w:t>
      </w:r>
      <w:r w:rsidRPr="00D62A3B">
        <w:rPr>
          <w:rFonts w:ascii="Arial" w:eastAsia="Calibri" w:hAnsi="Arial" w:cs="Arial"/>
          <w:kern w:val="2"/>
          <w14:ligatures w14:val="standardContextual"/>
        </w:rPr>
        <w:fldChar w:fldCharType="begin"/>
      </w:r>
      <w:r w:rsidRPr="00D62A3B">
        <w:rPr>
          <w:rFonts w:ascii="Arial" w:eastAsia="Calibri" w:hAnsi="Arial" w:cs="Arial"/>
          <w:kern w:val="2"/>
          <w14:ligatures w14:val="standardContextual"/>
        </w:rPr>
        <w:instrText xml:space="preserve"> SEQ Table \* ARABIC </w:instrText>
      </w:r>
      <w:r w:rsidRPr="00D62A3B">
        <w:rPr>
          <w:rFonts w:ascii="Arial" w:eastAsia="Calibri" w:hAnsi="Arial" w:cs="Arial"/>
          <w:kern w:val="2"/>
          <w14:ligatures w14:val="standardContextual"/>
        </w:rPr>
        <w:fldChar w:fldCharType="separate"/>
      </w:r>
      <w:r w:rsidRPr="00D62A3B">
        <w:rPr>
          <w:rFonts w:ascii="Arial" w:eastAsia="Calibri" w:hAnsi="Arial" w:cs="Arial"/>
          <w:noProof/>
          <w:kern w:val="2"/>
          <w14:ligatures w14:val="standardContextual"/>
        </w:rPr>
        <w:t>5</w:t>
      </w:r>
      <w:r w:rsidRPr="00D62A3B">
        <w:rPr>
          <w:rFonts w:ascii="Arial" w:eastAsia="Calibri" w:hAnsi="Arial" w:cs="Arial"/>
          <w:kern w:val="2"/>
          <w14:ligatures w14:val="standardContextual"/>
        </w:rPr>
        <w:fldChar w:fldCharType="end"/>
      </w:r>
      <w:r w:rsidRPr="00D62A3B">
        <w:rPr>
          <w:rFonts w:ascii="Arial" w:eastAsia="Calibri" w:hAnsi="Arial" w:cs="Arial"/>
          <w:kern w:val="2"/>
          <w14:ligatures w14:val="standardContextual"/>
        </w:rPr>
        <w:t>.Examined human elements contributing to the current challenges in dam safety</w:t>
      </w:r>
    </w:p>
    <w:p w14:paraId="2AC2E311" w14:textId="77777777" w:rsidR="003941BF" w:rsidRPr="00D62A3B" w:rsidRDefault="003941BF" w:rsidP="003941BF">
      <w:pPr>
        <w:spacing w:after="200" w:line="276" w:lineRule="auto"/>
        <w:jc w:val="both"/>
        <w:rPr>
          <w:rFonts w:ascii="Arial" w:eastAsia="Calibri" w:hAnsi="Arial" w:cs="Arial"/>
          <w:kern w:val="2"/>
          <w14:ligatures w14:val="standardContextual"/>
        </w:rPr>
      </w:pPr>
    </w:p>
    <w:p w14:paraId="118DC8B6" w14:textId="77777777" w:rsidR="003941BF" w:rsidRDefault="003941BF" w:rsidP="001B34AF">
      <w:pPr>
        <w:spacing w:after="200"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All 30 participants unanimously agreed that the local management of dam safety is deficient.</w:t>
      </w:r>
      <w:r w:rsidRPr="00D62A3B">
        <w:rPr>
          <w:rFonts w:ascii="Arial" w:hAnsi="Arial" w:cs="Arial"/>
        </w:rPr>
        <w:t xml:space="preserve"> </w:t>
      </w:r>
      <w:r w:rsidRPr="00D62A3B">
        <w:rPr>
          <w:rFonts w:ascii="Arial" w:eastAsia="Calibri" w:hAnsi="Arial" w:cs="Arial"/>
          <w:kern w:val="2"/>
          <w14:ligatures w14:val="standardContextual"/>
        </w:rPr>
        <w:t>This represents 100% agreement among participants, showing a unanimous concern about the competence and effectiveness of local management in ensuring dam safety by the concerned authority. 83.3% of the participants believe that the current methods used to evaluate the safety risks of dams are inadequate.</w:t>
      </w:r>
      <w:r w:rsidRPr="00D62A3B">
        <w:rPr>
          <w:rFonts w:ascii="Arial" w:hAnsi="Arial" w:cs="Arial"/>
        </w:rPr>
        <w:t xml:space="preserve"> While </w:t>
      </w:r>
      <w:r w:rsidRPr="00D62A3B">
        <w:rPr>
          <w:rFonts w:ascii="Arial" w:eastAsia="Calibri" w:hAnsi="Arial" w:cs="Arial"/>
          <w:kern w:val="2"/>
          <w14:ligatures w14:val="standardContextual"/>
        </w:rPr>
        <w:t>66.7% of the participants see the lack of a central authority as a significant issue in managing dam safety effectively. In addition, 18% agreement among participants, suggests that a minority perceives a disregard for human life in dam safety considerations.</w:t>
      </w:r>
    </w:p>
    <w:p w14:paraId="0759B72D" w14:textId="77777777" w:rsidR="00E8111D" w:rsidRDefault="00E8111D" w:rsidP="003941BF">
      <w:pPr>
        <w:spacing w:after="200" w:line="276" w:lineRule="auto"/>
        <w:jc w:val="both"/>
        <w:rPr>
          <w:rFonts w:ascii="Arial" w:eastAsia="Calibri" w:hAnsi="Arial" w:cs="Arial"/>
          <w:kern w:val="2"/>
          <w14:ligatures w14:val="standardContextual"/>
        </w:rPr>
      </w:pPr>
    </w:p>
    <w:p w14:paraId="17D4F0A6" w14:textId="77777777" w:rsidR="008E567A" w:rsidRDefault="008E567A" w:rsidP="003941BF">
      <w:pPr>
        <w:spacing w:after="200" w:line="276" w:lineRule="auto"/>
        <w:jc w:val="both"/>
        <w:rPr>
          <w:rFonts w:ascii="Arial" w:eastAsia="Calibri" w:hAnsi="Arial" w:cs="Arial"/>
          <w:kern w:val="2"/>
          <w14:ligatures w14:val="standardContextual"/>
        </w:rPr>
      </w:pPr>
    </w:p>
    <w:p w14:paraId="5F20C5BA" w14:textId="77777777" w:rsidR="008E567A" w:rsidRDefault="008E567A" w:rsidP="003941BF">
      <w:pPr>
        <w:spacing w:after="200" w:line="276" w:lineRule="auto"/>
        <w:jc w:val="both"/>
        <w:rPr>
          <w:rFonts w:ascii="Arial" w:eastAsia="Calibri" w:hAnsi="Arial" w:cs="Arial"/>
          <w:kern w:val="2"/>
          <w14:ligatures w14:val="standardContextual"/>
        </w:rPr>
      </w:pPr>
    </w:p>
    <w:p w14:paraId="074E5DF8" w14:textId="77777777" w:rsidR="008E567A" w:rsidRPr="00D62A3B" w:rsidRDefault="008E567A" w:rsidP="003941BF">
      <w:pPr>
        <w:spacing w:after="200" w:line="276" w:lineRule="auto"/>
        <w:jc w:val="both"/>
        <w:rPr>
          <w:rFonts w:ascii="Arial" w:eastAsia="Calibri" w:hAnsi="Arial" w:cs="Arial"/>
          <w:kern w:val="2"/>
          <w14:ligatures w14:val="standardContextual"/>
        </w:rPr>
      </w:pPr>
    </w:p>
    <w:p w14:paraId="6477AE0F" w14:textId="77777777" w:rsidR="003941BF" w:rsidRPr="00D62A3B" w:rsidRDefault="003941BF" w:rsidP="003941BF">
      <w:pPr>
        <w:spacing w:after="200" w:line="276" w:lineRule="auto"/>
        <w:jc w:val="both"/>
        <w:rPr>
          <w:rFonts w:ascii="Arial" w:eastAsia="Calibri" w:hAnsi="Arial" w:cs="Arial"/>
          <w:kern w:val="2"/>
          <w14:ligatures w14:val="standardContextual"/>
        </w:rPr>
      </w:pPr>
      <w:r w:rsidRPr="00D62A3B">
        <w:rPr>
          <w:rFonts w:ascii="Arial" w:eastAsia="Calibri" w:hAnsi="Arial" w:cs="Arial"/>
          <w:kern w:val="2"/>
          <w14:ligatures w14:val="standardContextual"/>
        </w:rPr>
        <w:t>Table6. Key stakeholders’ shared concerns about the Mindu dam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794"/>
        <w:gridCol w:w="1463"/>
      </w:tblGrid>
      <w:tr w:rsidR="003941BF" w:rsidRPr="00D62A3B" w14:paraId="2C1C2ACB" w14:textId="77777777" w:rsidTr="00FD1193">
        <w:tc>
          <w:tcPr>
            <w:tcW w:w="5103" w:type="dxa"/>
            <w:tcBorders>
              <w:top w:val="single" w:sz="12" w:space="0" w:color="auto"/>
            </w:tcBorders>
          </w:tcPr>
          <w:p w14:paraId="5E5D73C7"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Problems associated with the dam</w:t>
            </w:r>
          </w:p>
        </w:tc>
        <w:tc>
          <w:tcPr>
            <w:tcW w:w="2794" w:type="dxa"/>
            <w:tcBorders>
              <w:top w:val="single" w:sz="12" w:space="0" w:color="auto"/>
            </w:tcBorders>
          </w:tcPr>
          <w:p w14:paraId="422F7C93" w14:textId="77777777" w:rsidR="003941BF" w:rsidRPr="00D62A3B" w:rsidRDefault="003941BF" w:rsidP="00FD1193">
            <w:pPr>
              <w:spacing w:line="276" w:lineRule="auto"/>
              <w:jc w:val="both"/>
              <w:rPr>
                <w:rFonts w:ascii="Arial" w:hAnsi="Arial" w:cs="Arial"/>
                <w:kern w:val="2"/>
                <w14:ligatures w14:val="standardContextual"/>
              </w:rPr>
            </w:pPr>
            <w:proofErr w:type="spellStart"/>
            <w:r w:rsidRPr="00D62A3B">
              <w:rPr>
                <w:rFonts w:ascii="Arial" w:hAnsi="Arial" w:cs="Arial"/>
                <w:kern w:val="2"/>
                <w14:ligatures w14:val="standardContextual"/>
              </w:rPr>
              <w:t>No.of</w:t>
            </w:r>
            <w:proofErr w:type="spellEnd"/>
            <w:r w:rsidRPr="00D62A3B">
              <w:rPr>
                <w:rFonts w:ascii="Arial" w:hAnsi="Arial" w:cs="Arial"/>
                <w:kern w:val="2"/>
                <w14:ligatures w14:val="standardContextual"/>
              </w:rPr>
              <w:t xml:space="preserve"> key participants (n=30)</w:t>
            </w:r>
          </w:p>
        </w:tc>
        <w:tc>
          <w:tcPr>
            <w:tcW w:w="1463" w:type="dxa"/>
            <w:tcBorders>
              <w:top w:val="single" w:sz="12" w:space="0" w:color="auto"/>
            </w:tcBorders>
          </w:tcPr>
          <w:p w14:paraId="32CAE0BB" w14:textId="77777777" w:rsidR="003941BF" w:rsidRPr="00D62A3B" w:rsidRDefault="003941BF" w:rsidP="00FD1193">
            <w:pPr>
              <w:spacing w:line="276" w:lineRule="auto"/>
              <w:jc w:val="both"/>
              <w:rPr>
                <w:rFonts w:ascii="Arial" w:hAnsi="Arial" w:cs="Arial"/>
                <w:b/>
                <w:kern w:val="2"/>
                <w14:ligatures w14:val="standardContextual"/>
              </w:rPr>
            </w:pPr>
            <w:r w:rsidRPr="00D62A3B">
              <w:rPr>
                <w:rFonts w:ascii="Arial" w:hAnsi="Arial" w:cs="Arial"/>
                <w:b/>
                <w:kern w:val="2"/>
                <w14:ligatures w14:val="standardContextual"/>
              </w:rPr>
              <w:t>Percentile (%)</w:t>
            </w:r>
          </w:p>
        </w:tc>
      </w:tr>
      <w:tr w:rsidR="003941BF" w:rsidRPr="00D62A3B" w14:paraId="2CE17A07" w14:textId="77777777" w:rsidTr="00FD1193">
        <w:tc>
          <w:tcPr>
            <w:tcW w:w="5103" w:type="dxa"/>
            <w:tcBorders>
              <w:top w:val="single" w:sz="12" w:space="0" w:color="auto"/>
            </w:tcBorders>
          </w:tcPr>
          <w:p w14:paraId="4FA284D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Water seepage</w:t>
            </w:r>
          </w:p>
        </w:tc>
        <w:tc>
          <w:tcPr>
            <w:tcW w:w="2794" w:type="dxa"/>
            <w:tcBorders>
              <w:top w:val="single" w:sz="12" w:space="0" w:color="auto"/>
            </w:tcBorders>
          </w:tcPr>
          <w:p w14:paraId="28CDFBF3"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15</w:t>
            </w:r>
          </w:p>
        </w:tc>
        <w:tc>
          <w:tcPr>
            <w:tcW w:w="1463" w:type="dxa"/>
            <w:tcBorders>
              <w:top w:val="single" w:sz="12" w:space="0" w:color="auto"/>
            </w:tcBorders>
          </w:tcPr>
          <w:p w14:paraId="014771B2"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50.0</w:t>
            </w:r>
          </w:p>
        </w:tc>
      </w:tr>
      <w:tr w:rsidR="003941BF" w:rsidRPr="00D62A3B" w14:paraId="211286B6" w14:textId="77777777" w:rsidTr="00FD1193">
        <w:tc>
          <w:tcPr>
            <w:tcW w:w="5103" w:type="dxa"/>
          </w:tcPr>
          <w:p w14:paraId="61133981"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Soil Erosion</w:t>
            </w:r>
          </w:p>
        </w:tc>
        <w:tc>
          <w:tcPr>
            <w:tcW w:w="2794" w:type="dxa"/>
          </w:tcPr>
          <w:p w14:paraId="399202D6"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28</w:t>
            </w:r>
          </w:p>
        </w:tc>
        <w:tc>
          <w:tcPr>
            <w:tcW w:w="1463" w:type="dxa"/>
          </w:tcPr>
          <w:p w14:paraId="31839C5E"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93.3</w:t>
            </w:r>
          </w:p>
        </w:tc>
      </w:tr>
      <w:tr w:rsidR="003941BF" w:rsidRPr="00D62A3B" w14:paraId="78F98673" w14:textId="77777777" w:rsidTr="00FD1193">
        <w:tc>
          <w:tcPr>
            <w:tcW w:w="5103" w:type="dxa"/>
          </w:tcPr>
          <w:p w14:paraId="5EC6AF4F"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Breaking</w:t>
            </w:r>
          </w:p>
        </w:tc>
        <w:tc>
          <w:tcPr>
            <w:tcW w:w="2794" w:type="dxa"/>
          </w:tcPr>
          <w:p w14:paraId="07405693"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20</w:t>
            </w:r>
          </w:p>
        </w:tc>
        <w:tc>
          <w:tcPr>
            <w:tcW w:w="1463" w:type="dxa"/>
          </w:tcPr>
          <w:p w14:paraId="4A45F5F5"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66.7</w:t>
            </w:r>
          </w:p>
        </w:tc>
      </w:tr>
      <w:tr w:rsidR="003941BF" w:rsidRPr="00D62A3B" w14:paraId="21CF3BBD" w14:textId="77777777" w:rsidTr="00FD1193">
        <w:tc>
          <w:tcPr>
            <w:tcW w:w="5103" w:type="dxa"/>
          </w:tcPr>
          <w:p w14:paraId="17A7F0CD"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 xml:space="preserve">Incapacity due to sedimentation and/or losses </w:t>
            </w:r>
          </w:p>
        </w:tc>
        <w:tc>
          <w:tcPr>
            <w:tcW w:w="2794" w:type="dxa"/>
          </w:tcPr>
          <w:p w14:paraId="20CDA83D"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30</w:t>
            </w:r>
          </w:p>
        </w:tc>
        <w:tc>
          <w:tcPr>
            <w:tcW w:w="1463" w:type="dxa"/>
          </w:tcPr>
          <w:p w14:paraId="0CBBF5BE"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100.0</w:t>
            </w:r>
          </w:p>
        </w:tc>
      </w:tr>
      <w:tr w:rsidR="003941BF" w:rsidRPr="00D62A3B" w14:paraId="7126CC4E" w14:textId="77777777" w:rsidTr="00FD1193">
        <w:tc>
          <w:tcPr>
            <w:tcW w:w="5103" w:type="dxa"/>
          </w:tcPr>
          <w:p w14:paraId="2633809A"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blocked exit</w:t>
            </w:r>
          </w:p>
        </w:tc>
        <w:tc>
          <w:tcPr>
            <w:tcW w:w="2794" w:type="dxa"/>
          </w:tcPr>
          <w:p w14:paraId="20D95D9A"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15</w:t>
            </w:r>
          </w:p>
        </w:tc>
        <w:tc>
          <w:tcPr>
            <w:tcW w:w="1463" w:type="dxa"/>
          </w:tcPr>
          <w:p w14:paraId="4DE8A5A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50.0</w:t>
            </w:r>
          </w:p>
        </w:tc>
      </w:tr>
      <w:tr w:rsidR="003941BF" w:rsidRPr="00D62A3B" w14:paraId="662FCF61" w14:textId="77777777" w:rsidTr="00FD1193">
        <w:tc>
          <w:tcPr>
            <w:tcW w:w="5103" w:type="dxa"/>
          </w:tcPr>
          <w:p w14:paraId="7878BCBA"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An improperly constructed spillway</w:t>
            </w:r>
          </w:p>
        </w:tc>
        <w:tc>
          <w:tcPr>
            <w:tcW w:w="2794" w:type="dxa"/>
          </w:tcPr>
          <w:p w14:paraId="4AED1718"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20</w:t>
            </w:r>
          </w:p>
        </w:tc>
        <w:tc>
          <w:tcPr>
            <w:tcW w:w="1463" w:type="dxa"/>
          </w:tcPr>
          <w:p w14:paraId="049BC06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66.7</w:t>
            </w:r>
          </w:p>
        </w:tc>
      </w:tr>
      <w:tr w:rsidR="003941BF" w:rsidRPr="00D62A3B" w14:paraId="4C7246DC" w14:textId="77777777" w:rsidTr="00FD1193">
        <w:tc>
          <w:tcPr>
            <w:tcW w:w="5103" w:type="dxa"/>
          </w:tcPr>
          <w:p w14:paraId="5333B865"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Unlawful activity (sabotage or vandalism)</w:t>
            </w:r>
          </w:p>
        </w:tc>
        <w:tc>
          <w:tcPr>
            <w:tcW w:w="2794" w:type="dxa"/>
          </w:tcPr>
          <w:p w14:paraId="0235D3B6"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19</w:t>
            </w:r>
          </w:p>
        </w:tc>
        <w:tc>
          <w:tcPr>
            <w:tcW w:w="1463" w:type="dxa"/>
          </w:tcPr>
          <w:p w14:paraId="6607988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63.3</w:t>
            </w:r>
          </w:p>
        </w:tc>
      </w:tr>
      <w:tr w:rsidR="003941BF" w:rsidRPr="00D62A3B" w14:paraId="150B3614" w14:textId="77777777" w:rsidTr="00FD1193">
        <w:tc>
          <w:tcPr>
            <w:tcW w:w="5103" w:type="dxa"/>
          </w:tcPr>
          <w:p w14:paraId="57154707"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 xml:space="preserve">Excessing growing of vegetation/ trees </w:t>
            </w:r>
          </w:p>
        </w:tc>
        <w:tc>
          <w:tcPr>
            <w:tcW w:w="2794" w:type="dxa"/>
          </w:tcPr>
          <w:p w14:paraId="6652C0F7"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29</w:t>
            </w:r>
          </w:p>
        </w:tc>
        <w:tc>
          <w:tcPr>
            <w:tcW w:w="1463" w:type="dxa"/>
          </w:tcPr>
          <w:p w14:paraId="0FC1B36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96.7</w:t>
            </w:r>
          </w:p>
        </w:tc>
      </w:tr>
      <w:tr w:rsidR="003941BF" w:rsidRPr="00D62A3B" w14:paraId="1ACC1AF2" w14:textId="77777777" w:rsidTr="00FD1193">
        <w:tc>
          <w:tcPr>
            <w:tcW w:w="5103" w:type="dxa"/>
          </w:tcPr>
          <w:p w14:paraId="6A266CB0"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A sinkhole</w:t>
            </w:r>
          </w:p>
        </w:tc>
        <w:tc>
          <w:tcPr>
            <w:tcW w:w="2794" w:type="dxa"/>
          </w:tcPr>
          <w:p w14:paraId="5F248A75"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20</w:t>
            </w:r>
          </w:p>
        </w:tc>
        <w:tc>
          <w:tcPr>
            <w:tcW w:w="1463" w:type="dxa"/>
          </w:tcPr>
          <w:p w14:paraId="17E08146"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66.7</w:t>
            </w:r>
          </w:p>
        </w:tc>
      </w:tr>
      <w:tr w:rsidR="003941BF" w:rsidRPr="00D62A3B" w14:paraId="0CD66350" w14:textId="77777777" w:rsidTr="00FD1193">
        <w:tc>
          <w:tcPr>
            <w:tcW w:w="5103" w:type="dxa"/>
          </w:tcPr>
          <w:p w14:paraId="23327874"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Land/Soil slides</w:t>
            </w:r>
          </w:p>
        </w:tc>
        <w:tc>
          <w:tcPr>
            <w:tcW w:w="2794" w:type="dxa"/>
          </w:tcPr>
          <w:p w14:paraId="6243B901"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30</w:t>
            </w:r>
          </w:p>
        </w:tc>
        <w:tc>
          <w:tcPr>
            <w:tcW w:w="1463" w:type="dxa"/>
          </w:tcPr>
          <w:p w14:paraId="5B1D4469" w14:textId="77777777" w:rsidR="003941BF" w:rsidRPr="00D62A3B" w:rsidRDefault="003941BF" w:rsidP="00FD1193">
            <w:pPr>
              <w:spacing w:line="276" w:lineRule="auto"/>
              <w:jc w:val="both"/>
              <w:rPr>
                <w:rFonts w:ascii="Arial" w:hAnsi="Arial" w:cs="Arial"/>
                <w:kern w:val="2"/>
                <w14:ligatures w14:val="standardContextual"/>
              </w:rPr>
            </w:pPr>
            <w:r w:rsidRPr="00D62A3B">
              <w:rPr>
                <w:rFonts w:ascii="Arial" w:hAnsi="Arial" w:cs="Arial"/>
                <w:kern w:val="2"/>
                <w14:ligatures w14:val="standardContextual"/>
              </w:rPr>
              <w:t>100.0</w:t>
            </w:r>
          </w:p>
        </w:tc>
      </w:tr>
    </w:tbl>
    <w:p w14:paraId="17ACAE82" w14:textId="77777777" w:rsidR="003941BF" w:rsidRPr="00D62A3B" w:rsidRDefault="003941BF" w:rsidP="003941BF">
      <w:pPr>
        <w:spacing w:line="276" w:lineRule="auto"/>
        <w:jc w:val="both"/>
        <w:rPr>
          <w:rFonts w:ascii="Arial" w:eastAsia="Calibri" w:hAnsi="Arial" w:cs="Arial"/>
          <w:kern w:val="2"/>
          <w14:ligatures w14:val="standardContextual"/>
        </w:rPr>
      </w:pPr>
    </w:p>
    <w:p w14:paraId="56AF7EC7" w14:textId="77777777" w:rsidR="003941BF" w:rsidRPr="00D62A3B" w:rsidRDefault="003941BF" w:rsidP="001B34AF">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100% of all stakeholders agree that sedimentation and material losses reduce the dam's capacity to hold water, affecting its efficiency and longevity. (93.3%) of the household are worried about soil erosion around the dam area. 93.3% of the respondents agreed that</w:t>
      </w:r>
      <w:r w:rsidRPr="00D62A3B">
        <w:rPr>
          <w:rFonts w:ascii="Arial" w:hAnsi="Arial" w:cs="Arial"/>
        </w:rPr>
        <w:t xml:space="preserve"> </w:t>
      </w:r>
      <w:r w:rsidRPr="00D62A3B">
        <w:rPr>
          <w:rFonts w:ascii="Arial" w:eastAsia="Calibri" w:hAnsi="Arial" w:cs="Arial"/>
          <w:kern w:val="2"/>
          <w14:ligatures w14:val="standardContextual"/>
        </w:rPr>
        <w:t>Erosion can undermine the dam’s foundation, leading to structural instability.50% of the households interviewed are concerned about water seeping through the dam, which can weaken the structure and lead to potential failures.66.7%</w:t>
      </w:r>
      <w:r w:rsidRPr="00D62A3B">
        <w:rPr>
          <w:rFonts w:ascii="Arial" w:hAnsi="Arial" w:cs="Arial"/>
        </w:rPr>
        <w:t xml:space="preserve"> </w:t>
      </w:r>
      <w:r w:rsidRPr="00D62A3B">
        <w:rPr>
          <w:rFonts w:ascii="Arial" w:eastAsia="Calibri" w:hAnsi="Arial" w:cs="Arial"/>
          <w:kern w:val="2"/>
          <w14:ligatures w14:val="standardContextual"/>
        </w:rPr>
        <w:t>of the participants are concerned about the dam breaking. This reflects fears of catastrophic failure resulting in flooding and extensive damage downstream.</w:t>
      </w:r>
    </w:p>
    <w:p w14:paraId="259F720F" w14:textId="77777777" w:rsidR="00E053D0" w:rsidRDefault="00E053D0" w:rsidP="00441B6F">
      <w:pPr>
        <w:pStyle w:val="Body"/>
        <w:spacing w:after="0"/>
        <w:rPr>
          <w:rFonts w:ascii="Arial" w:hAnsi="Arial" w:cs="Arial"/>
        </w:rPr>
      </w:pPr>
    </w:p>
    <w:p w14:paraId="70E77426" w14:textId="77777777" w:rsidR="00790ADA" w:rsidRPr="00FB3A86" w:rsidRDefault="00790ADA" w:rsidP="00441B6F">
      <w:pPr>
        <w:pStyle w:val="Body"/>
        <w:spacing w:after="0"/>
        <w:rPr>
          <w:rFonts w:ascii="Arial" w:hAnsi="Arial" w:cs="Arial"/>
        </w:rPr>
      </w:pPr>
    </w:p>
    <w:p w14:paraId="7A5FD9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A2EB610" w14:textId="77777777" w:rsidR="00790ADA" w:rsidRPr="00FB3A86" w:rsidRDefault="00790ADA" w:rsidP="00441B6F">
      <w:pPr>
        <w:pStyle w:val="ConcHead"/>
        <w:spacing w:after="0"/>
        <w:jc w:val="both"/>
        <w:rPr>
          <w:rFonts w:ascii="Arial" w:hAnsi="Arial" w:cs="Arial"/>
        </w:rPr>
      </w:pPr>
    </w:p>
    <w:p w14:paraId="7D0B5328" w14:textId="77777777" w:rsidR="003941BF" w:rsidRPr="00D62A3B" w:rsidRDefault="003941BF" w:rsidP="001B34AF">
      <w:pPr>
        <w:spacing w:line="276" w:lineRule="auto"/>
        <w:rPr>
          <w:rFonts w:ascii="Arial" w:eastAsia="Calibri" w:hAnsi="Arial" w:cs="Arial"/>
          <w:kern w:val="2"/>
          <w14:ligatures w14:val="standardContextual"/>
        </w:rPr>
      </w:pPr>
      <w:r w:rsidRPr="00D62A3B">
        <w:rPr>
          <w:rFonts w:ascii="Arial" w:eastAsia="Calibri" w:hAnsi="Arial" w:cs="Arial"/>
          <w:kern w:val="2"/>
          <w14:ligatures w14:val="standardContextual"/>
        </w:rPr>
        <w:t>Dam safety policies and practices, both at the local and national levels, show that currently Mindu dam safety does not meet the minimum and best standards</w:t>
      </w:r>
      <w:r>
        <w:rPr>
          <w:rFonts w:ascii="Arial" w:eastAsia="Calibri" w:hAnsi="Arial" w:cs="Arial"/>
          <w:kern w:val="2"/>
          <w14:ligatures w14:val="standardContextual"/>
        </w:rPr>
        <w:t>.</w:t>
      </w:r>
      <w:r w:rsidRPr="00D62A3B">
        <w:rPr>
          <w:rFonts w:ascii="Arial" w:eastAsia="Calibri" w:hAnsi="Arial" w:cs="Arial"/>
          <w:kern w:val="2"/>
          <w14:ligatures w14:val="standardContextual"/>
        </w:rPr>
        <w:t xml:space="preserve"> While achieving the minimum practice benchmark is a fundamental anticipation for all countries irrespective of their socio-economic development, reaching the best practice benchmark may be considered an ambitious goal for developing nations such as Tanzania.</w:t>
      </w:r>
      <w:r>
        <w:rPr>
          <w:rFonts w:ascii="Arial" w:eastAsia="Calibri" w:hAnsi="Arial" w:cs="Arial"/>
          <w:kern w:val="2"/>
          <w14:ligatures w14:val="standardContextual"/>
        </w:rPr>
        <w:t xml:space="preserve"> </w:t>
      </w:r>
    </w:p>
    <w:p w14:paraId="36823372" w14:textId="77777777" w:rsidR="00790ADA" w:rsidRDefault="003941BF" w:rsidP="001B34AF">
      <w:pPr>
        <w:pStyle w:val="Body"/>
        <w:spacing w:after="0"/>
        <w:jc w:val="left"/>
        <w:rPr>
          <w:rFonts w:ascii="Arial" w:eastAsia="Calibri" w:hAnsi="Arial" w:cs="Arial"/>
          <w:kern w:val="2"/>
          <w14:ligatures w14:val="standardContextual"/>
        </w:rPr>
      </w:pPr>
      <w:r w:rsidRPr="00D62A3B">
        <w:rPr>
          <w:rFonts w:ascii="Arial" w:eastAsia="Calibri" w:hAnsi="Arial" w:cs="Arial"/>
          <w:kern w:val="2"/>
          <w14:ligatures w14:val="standardContextual"/>
        </w:rPr>
        <w:t>To establish a suitable management policy for the safety of Mindu dam, the government can effectively adopt globally recognized guidelines as benchmarks. The focus on the Mindu-Morogoro case study reveals significant deficiencies in dam safety management that require immediate policy intervention. The Morogoro Water Supply and Sanitation Authority (MORUWASA) should implement various initiatives based on the study findings to address the situation of the Mindu dam</w:t>
      </w:r>
      <w:r w:rsidRPr="00AF4765">
        <w:rPr>
          <w:rFonts w:ascii="Arial" w:eastAsia="Calibri" w:hAnsi="Arial" w:cs="Arial"/>
          <w:kern w:val="2"/>
          <w14:ligatures w14:val="standardContextual"/>
        </w:rPr>
        <w:t xml:space="preserve"> such as</w:t>
      </w:r>
      <w:r>
        <w:t xml:space="preserve"> m</w:t>
      </w:r>
      <w:r w:rsidRPr="00232A21">
        <w:rPr>
          <w:rFonts w:ascii="Arial" w:eastAsia="Calibri" w:hAnsi="Arial" w:cs="Arial"/>
          <w:kern w:val="2"/>
          <w14:ligatures w14:val="standardContextual"/>
        </w:rPr>
        <w:t>andatory regular inspections and maintenance</w:t>
      </w:r>
      <w:r>
        <w:rPr>
          <w:rFonts w:ascii="Arial" w:eastAsia="Calibri" w:hAnsi="Arial" w:cs="Arial"/>
          <w:kern w:val="2"/>
          <w14:ligatures w14:val="standardContextual"/>
        </w:rPr>
        <w:t>,</w:t>
      </w:r>
      <w:r w:rsidRPr="00232A21">
        <w:rPr>
          <w:rFonts w:ascii="Arial" w:eastAsia="Calibri" w:hAnsi="Arial" w:cs="Arial"/>
          <w:kern w:val="2"/>
          <w14:ligatures w14:val="standardContextual"/>
        </w:rPr>
        <w:t xml:space="preserve"> training and capacity-building programs for dam operators and local communities to enhance their understanding of dam safety protocols and procedures</w:t>
      </w:r>
      <w:r>
        <w:rPr>
          <w:rFonts w:ascii="Arial" w:eastAsia="Calibri" w:hAnsi="Arial" w:cs="Arial"/>
          <w:kern w:val="2"/>
          <w14:ligatures w14:val="standardContextual"/>
        </w:rPr>
        <w:t>,</w:t>
      </w:r>
      <w:r w:rsidRPr="00232A21">
        <w:rPr>
          <w:rFonts w:ascii="Arial" w:eastAsia="Calibri" w:hAnsi="Arial" w:cs="Arial"/>
          <w:kern w:val="2"/>
          <w14:ligatures w14:val="standardContextual"/>
        </w:rPr>
        <w:t xml:space="preserve"> implementing a monitoring system to track the condition and performance of dams over time for the early detection of potential issues and ensuring timely interventions</w:t>
      </w:r>
      <w:r>
        <w:rPr>
          <w:rFonts w:ascii="Arial" w:eastAsia="Calibri" w:hAnsi="Arial" w:cs="Arial"/>
          <w:kern w:val="2"/>
          <w14:ligatures w14:val="standardContextual"/>
        </w:rPr>
        <w:t>, i</w:t>
      </w:r>
      <w:r w:rsidRPr="00232A21">
        <w:rPr>
          <w:rFonts w:ascii="Arial" w:eastAsia="Calibri" w:hAnsi="Arial" w:cs="Arial"/>
          <w:kern w:val="2"/>
          <w14:ligatures w14:val="standardContextual"/>
        </w:rPr>
        <w:t>ncorporat</w:t>
      </w:r>
      <w:r>
        <w:rPr>
          <w:rFonts w:ascii="Arial" w:eastAsia="Calibri" w:hAnsi="Arial" w:cs="Arial"/>
          <w:kern w:val="2"/>
          <w14:ligatures w14:val="standardContextual"/>
        </w:rPr>
        <w:t>e</w:t>
      </w:r>
      <w:r w:rsidRPr="00232A21">
        <w:rPr>
          <w:rFonts w:ascii="Arial" w:eastAsia="Calibri" w:hAnsi="Arial" w:cs="Arial"/>
          <w:kern w:val="2"/>
          <w14:ligatures w14:val="standardContextual"/>
        </w:rPr>
        <w:t xml:space="preserve"> advanced technologies like sensors for real-time monitoring </w:t>
      </w:r>
      <w:r>
        <w:rPr>
          <w:rFonts w:ascii="Arial" w:eastAsia="Calibri" w:hAnsi="Arial" w:cs="Arial"/>
          <w:kern w:val="2"/>
          <w14:ligatures w14:val="standardContextual"/>
        </w:rPr>
        <w:t>to</w:t>
      </w:r>
      <w:r w:rsidRPr="00232A21">
        <w:rPr>
          <w:rFonts w:ascii="Arial" w:eastAsia="Calibri" w:hAnsi="Arial" w:cs="Arial"/>
          <w:kern w:val="2"/>
          <w14:ligatures w14:val="standardContextual"/>
        </w:rPr>
        <w:t xml:space="preserve"> aid in the early detection of potential failures</w:t>
      </w:r>
      <w:r>
        <w:rPr>
          <w:rFonts w:ascii="Arial" w:eastAsia="Calibri" w:hAnsi="Arial" w:cs="Arial"/>
          <w:kern w:val="2"/>
          <w14:ligatures w14:val="standardContextual"/>
        </w:rPr>
        <w:t xml:space="preserve"> and e</w:t>
      </w:r>
      <w:r w:rsidRPr="00232A21">
        <w:rPr>
          <w:rFonts w:ascii="Arial" w:eastAsia="Calibri" w:hAnsi="Arial" w:cs="Arial"/>
          <w:kern w:val="2"/>
          <w14:ligatures w14:val="standardContextual"/>
        </w:rPr>
        <w:t>nhancing the physical infrastructure by reinforcing dam structures, upgrading spillways, and improving drainage systems.</w:t>
      </w:r>
    </w:p>
    <w:p w14:paraId="3BFC7774" w14:textId="77777777" w:rsidR="000C56B0" w:rsidRPr="000C56B0" w:rsidRDefault="000C56B0" w:rsidP="003941BF">
      <w:pPr>
        <w:pStyle w:val="Body"/>
        <w:spacing w:after="0"/>
        <w:rPr>
          <w:rFonts w:ascii="Arial" w:eastAsia="Calibri" w:hAnsi="Arial" w:cs="Arial"/>
          <w:kern w:val="2"/>
          <w14:ligatures w14:val="standardContextual"/>
        </w:rPr>
      </w:pPr>
    </w:p>
    <w:p w14:paraId="5F7F6B37" w14:textId="77777777" w:rsidR="003941BF" w:rsidRPr="00FB3A86" w:rsidRDefault="003941BF" w:rsidP="003941BF">
      <w:pPr>
        <w:pStyle w:val="Body"/>
        <w:spacing w:after="0"/>
        <w:rPr>
          <w:rFonts w:ascii="Arial" w:hAnsi="Arial" w:cs="Arial"/>
        </w:rPr>
      </w:pPr>
    </w:p>
    <w:p w14:paraId="347F59C2" w14:textId="77777777" w:rsidR="00315186" w:rsidRDefault="00315186" w:rsidP="00441B6F"/>
    <w:p w14:paraId="6783DB46" w14:textId="77777777" w:rsidR="000E2D4C" w:rsidRDefault="000E2D4C" w:rsidP="00441B6F"/>
    <w:p w14:paraId="6F4144C2" w14:textId="77777777" w:rsidR="000E2D4C" w:rsidRPr="00315186" w:rsidRDefault="000E2D4C" w:rsidP="00441B6F"/>
    <w:p w14:paraId="14A346F0" w14:textId="77777777" w:rsidR="00315186" w:rsidRPr="00315186" w:rsidRDefault="00315186" w:rsidP="00441B6F"/>
    <w:p w14:paraId="56E52866" w14:textId="77777777" w:rsidR="00E8111D" w:rsidRPr="00F469F0" w:rsidRDefault="00E8111D" w:rsidP="00441B6F">
      <w:pPr>
        <w:pStyle w:val="ReferHead"/>
        <w:spacing w:after="0"/>
        <w:jc w:val="both"/>
        <w:rPr>
          <w:rFonts w:ascii="Arial" w:hAnsi="Arial" w:cs="Arial"/>
          <w:b w:val="0"/>
          <w:caps w:val="0"/>
          <w:sz w:val="20"/>
          <w:u w:val="single"/>
        </w:rPr>
      </w:pPr>
    </w:p>
    <w:p w14:paraId="304BA846" w14:textId="77777777" w:rsidR="00860000" w:rsidRDefault="00860000" w:rsidP="00441B6F">
      <w:pPr>
        <w:pStyle w:val="ReferHead"/>
        <w:spacing w:after="0"/>
        <w:jc w:val="both"/>
        <w:rPr>
          <w:rFonts w:ascii="Arial" w:hAnsi="Arial" w:cs="Arial"/>
        </w:rPr>
      </w:pPr>
    </w:p>
    <w:p w14:paraId="61834963" w14:textId="77777777" w:rsidR="00B01FCD" w:rsidRDefault="001731B8" w:rsidP="00441B6F">
      <w:pPr>
        <w:pStyle w:val="ReferHead"/>
        <w:spacing w:after="0"/>
        <w:jc w:val="both"/>
        <w:rPr>
          <w:rFonts w:ascii="Arial" w:hAnsi="Arial" w:cs="Arial"/>
        </w:rPr>
      </w:pPr>
      <w:r>
        <w:rPr>
          <w:rFonts w:ascii="Arial" w:hAnsi="Arial" w:cs="Arial"/>
        </w:rPr>
        <w:t xml:space="preserve">6. </w:t>
      </w:r>
      <w:r w:rsidR="00B01FCD" w:rsidRPr="00FB3A86">
        <w:rPr>
          <w:rFonts w:ascii="Arial" w:hAnsi="Arial" w:cs="Arial"/>
        </w:rPr>
        <w:t>References</w:t>
      </w:r>
    </w:p>
    <w:p w14:paraId="04A35181" w14:textId="77777777" w:rsidR="00790ADA" w:rsidRPr="00FB3A86" w:rsidRDefault="00790ADA" w:rsidP="00441B6F">
      <w:pPr>
        <w:pStyle w:val="ReferHead"/>
        <w:spacing w:after="0"/>
        <w:jc w:val="both"/>
        <w:rPr>
          <w:rFonts w:ascii="Arial" w:hAnsi="Arial" w:cs="Arial"/>
        </w:rPr>
      </w:pPr>
    </w:p>
    <w:p w14:paraId="087A82FB"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62A3B">
        <w:rPr>
          <w:rFonts w:ascii="Arial" w:eastAsia="Calibri" w:hAnsi="Arial" w:cs="Arial"/>
          <w:kern w:val="2"/>
          <w14:ligatures w14:val="standardContextual"/>
        </w:rPr>
        <w:fldChar w:fldCharType="begin" w:fldLock="1"/>
      </w:r>
      <w:r w:rsidRPr="00D62A3B">
        <w:rPr>
          <w:rFonts w:ascii="Arial" w:eastAsia="Calibri" w:hAnsi="Arial" w:cs="Arial"/>
          <w:kern w:val="2"/>
          <w:lang w:val="it-IT"/>
          <w14:ligatures w14:val="standardContextual"/>
        </w:rPr>
        <w:instrText xml:space="preserve">ADDIN Mendeley Bibliography CSL_BIBLIOGRAPHY </w:instrText>
      </w:r>
      <w:r w:rsidRPr="00D62A3B">
        <w:rPr>
          <w:rFonts w:ascii="Arial" w:eastAsia="Calibri" w:hAnsi="Arial" w:cs="Arial"/>
          <w:kern w:val="2"/>
          <w14:ligatures w14:val="standardContextual"/>
        </w:rPr>
        <w:fldChar w:fldCharType="separate"/>
      </w:r>
      <w:r w:rsidRPr="00DB423C">
        <w:rPr>
          <w:rFonts w:ascii="Arial" w:hAnsi="Arial" w:cs="Arial"/>
          <w:noProof/>
          <w:szCs w:val="24"/>
        </w:rPr>
        <w:t xml:space="preserve">Adamo, N., Al-Ansari, N., Sissakian, V., Laue, J., &amp; Knutsson, S. (2020). Dam Safety : General Considerations. </w:t>
      </w:r>
      <w:r w:rsidRPr="00DB423C">
        <w:rPr>
          <w:rFonts w:ascii="Arial" w:hAnsi="Arial" w:cs="Arial"/>
          <w:i/>
          <w:iCs/>
          <w:noProof/>
          <w:szCs w:val="24"/>
        </w:rPr>
        <w:t>Journal of Earth Sciences and Geotechnical Engineering</w:t>
      </w:r>
      <w:r w:rsidRPr="00DB423C">
        <w:rPr>
          <w:rFonts w:ascii="Arial" w:hAnsi="Arial" w:cs="Arial"/>
          <w:noProof/>
          <w:szCs w:val="24"/>
        </w:rPr>
        <w:t xml:space="preserve">, </w:t>
      </w:r>
      <w:r w:rsidRPr="00DB423C">
        <w:rPr>
          <w:rFonts w:ascii="Arial" w:hAnsi="Arial" w:cs="Arial"/>
          <w:i/>
          <w:iCs/>
          <w:noProof/>
          <w:szCs w:val="24"/>
        </w:rPr>
        <w:t>10</w:t>
      </w:r>
      <w:r w:rsidRPr="00DB423C">
        <w:rPr>
          <w:rFonts w:ascii="Arial" w:hAnsi="Arial" w:cs="Arial"/>
          <w:noProof/>
          <w:szCs w:val="24"/>
        </w:rPr>
        <w:t>(6), 1–21.</w:t>
      </w:r>
    </w:p>
    <w:p w14:paraId="5EFF84BD"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Arslan et al. (2016). This document is discoverable and free to researchers across the globe due to the work of AgEcon Search . Help ensure our sustainability . </w:t>
      </w:r>
      <w:r w:rsidRPr="00DB423C">
        <w:rPr>
          <w:rFonts w:ascii="MS Gothic" w:hAnsi="MS Gothic" w:cs="MS Gothic"/>
          <w:noProof/>
          <w:szCs w:val="24"/>
        </w:rPr>
        <w:t>ａ</w:t>
      </w:r>
      <w:r w:rsidRPr="00DB423C">
        <w:rPr>
          <w:rFonts w:ascii="Arial" w:hAnsi="Arial" w:cs="Arial"/>
          <w:noProof/>
          <w:szCs w:val="24"/>
        </w:rPr>
        <w:t xml:space="preserve"> </w:t>
      </w:r>
      <w:r w:rsidRPr="00DB423C">
        <w:rPr>
          <w:rFonts w:ascii="MS Gothic" w:hAnsi="MS Gothic" w:cs="MS Gothic"/>
          <w:noProof/>
          <w:szCs w:val="24"/>
        </w:rPr>
        <w:t>ｃ</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ｏ</w:t>
      </w:r>
      <w:r w:rsidRPr="00DB423C">
        <w:rPr>
          <w:rFonts w:ascii="Arial" w:hAnsi="Arial" w:cs="Arial"/>
          <w:noProof/>
          <w:szCs w:val="24"/>
        </w:rPr>
        <w:t xml:space="preserve"> </w:t>
      </w:r>
      <w:r w:rsidRPr="00DB423C">
        <w:rPr>
          <w:rFonts w:ascii="MS Gothic" w:hAnsi="MS Gothic" w:cs="MS Gothic"/>
          <w:noProof/>
          <w:szCs w:val="24"/>
        </w:rPr>
        <w:t>ｒ</w:t>
      </w:r>
      <w:r w:rsidRPr="00DB423C">
        <w:rPr>
          <w:rFonts w:ascii="Arial" w:hAnsi="Arial" w:cs="Arial"/>
          <w:noProof/>
          <w:szCs w:val="24"/>
        </w:rPr>
        <w:t xml:space="preserve"> </w:t>
      </w:r>
      <w:r w:rsidRPr="00DB423C">
        <w:rPr>
          <w:rFonts w:ascii="MS Gothic" w:hAnsi="MS Gothic" w:cs="MS Gothic"/>
          <w:noProof/>
          <w:szCs w:val="24"/>
        </w:rPr>
        <w:t>ｓＩ</w:t>
      </w:r>
      <w:r w:rsidRPr="00DB423C">
        <w:rPr>
          <w:rFonts w:ascii="Arial" w:hAnsi="Arial" w:cs="Arial"/>
          <w:noProof/>
          <w:szCs w:val="24"/>
        </w:rPr>
        <w:t xml:space="preserve"> </w:t>
      </w:r>
      <w:r w:rsidRPr="00DB423C">
        <w:rPr>
          <w:rFonts w:ascii="MS Gothic" w:hAnsi="MS Gothic" w:cs="MS Gothic"/>
          <w:noProof/>
          <w:szCs w:val="24"/>
        </w:rPr>
        <w:t>ｎ</w:t>
      </w:r>
      <w:r w:rsidRPr="00DB423C">
        <w:rPr>
          <w:rFonts w:ascii="Arial" w:hAnsi="Arial" w:cs="Arial"/>
          <w:noProof/>
          <w:szCs w:val="24"/>
        </w:rPr>
        <w:t xml:space="preserve"> </w:t>
      </w:r>
      <w:r w:rsidRPr="00DB423C">
        <w:rPr>
          <w:rFonts w:ascii="MS Gothic" w:hAnsi="MS Gothic" w:cs="MS Gothic"/>
          <w:noProof/>
          <w:szCs w:val="24"/>
        </w:rPr>
        <w:t>ｆ</w:t>
      </w:r>
      <w:r w:rsidRPr="00DB423C">
        <w:rPr>
          <w:rFonts w:ascii="Arial" w:hAnsi="Arial" w:cs="Arial"/>
          <w:noProof/>
          <w:szCs w:val="24"/>
        </w:rPr>
        <w:t xml:space="preserve"> </w:t>
      </w:r>
      <w:r w:rsidRPr="00DB423C">
        <w:rPr>
          <w:rFonts w:ascii="MS Gothic" w:hAnsi="MS Gothic" w:cs="MS Gothic"/>
          <w:noProof/>
          <w:szCs w:val="24"/>
        </w:rPr>
        <w:t>ｌ</w:t>
      </w:r>
      <w:r w:rsidRPr="00DB423C">
        <w:rPr>
          <w:rFonts w:ascii="Arial" w:hAnsi="Arial" w:cs="Arial"/>
          <w:noProof/>
          <w:szCs w:val="24"/>
        </w:rPr>
        <w:t xml:space="preserve"> </w:t>
      </w:r>
      <w:r w:rsidRPr="00DB423C">
        <w:rPr>
          <w:rFonts w:ascii="MS Gothic" w:hAnsi="MS Gothic" w:cs="MS Gothic"/>
          <w:noProof/>
          <w:szCs w:val="24"/>
        </w:rPr>
        <w:t>ｕ</w:t>
      </w:r>
      <w:r w:rsidRPr="00DB423C">
        <w:rPr>
          <w:rFonts w:ascii="Arial" w:hAnsi="Arial" w:cs="Arial"/>
          <w:noProof/>
          <w:szCs w:val="24"/>
        </w:rPr>
        <w:t xml:space="preserve"> </w:t>
      </w:r>
      <w:r w:rsidRPr="00DB423C">
        <w:rPr>
          <w:rFonts w:ascii="MS Gothic" w:hAnsi="MS Gothic" w:cs="MS Gothic"/>
          <w:noProof/>
          <w:szCs w:val="24"/>
        </w:rPr>
        <w:t>ｅ</w:t>
      </w:r>
      <w:r w:rsidRPr="00DB423C">
        <w:rPr>
          <w:rFonts w:ascii="Arial" w:hAnsi="Arial" w:cs="Arial"/>
          <w:noProof/>
          <w:szCs w:val="24"/>
        </w:rPr>
        <w:t xml:space="preserve"> </w:t>
      </w:r>
      <w:r w:rsidRPr="00DB423C">
        <w:rPr>
          <w:rFonts w:ascii="MS Gothic" w:hAnsi="MS Gothic" w:cs="MS Gothic"/>
          <w:noProof/>
          <w:szCs w:val="24"/>
        </w:rPr>
        <w:t>ｎ</w:t>
      </w:r>
      <w:r w:rsidRPr="00DB423C">
        <w:rPr>
          <w:rFonts w:ascii="Arial" w:hAnsi="Arial" w:cs="Arial"/>
          <w:noProof/>
          <w:szCs w:val="24"/>
        </w:rPr>
        <w:t xml:space="preserve"> </w:t>
      </w:r>
      <w:r w:rsidRPr="00DB423C">
        <w:rPr>
          <w:rFonts w:ascii="MS Gothic" w:hAnsi="MS Gothic" w:cs="MS Gothic"/>
          <w:noProof/>
          <w:szCs w:val="24"/>
        </w:rPr>
        <w:t>ｃ</w:t>
      </w:r>
      <w:r w:rsidRPr="00DB423C">
        <w:rPr>
          <w:rFonts w:ascii="Arial" w:hAnsi="Arial" w:cs="Arial"/>
          <w:noProof/>
          <w:szCs w:val="24"/>
        </w:rPr>
        <w:t xml:space="preserve"> </w:t>
      </w:r>
      <w:r w:rsidRPr="00DB423C">
        <w:rPr>
          <w:rFonts w:ascii="MS Gothic" w:hAnsi="MS Gothic" w:cs="MS Gothic"/>
          <w:noProof/>
          <w:szCs w:val="24"/>
        </w:rPr>
        <w:t>ｉ</w:t>
      </w:r>
      <w:r w:rsidRPr="00DB423C">
        <w:rPr>
          <w:rFonts w:ascii="Arial" w:hAnsi="Arial" w:cs="Arial"/>
          <w:noProof/>
          <w:szCs w:val="24"/>
        </w:rPr>
        <w:t xml:space="preserve"> </w:t>
      </w:r>
      <w:r w:rsidRPr="00DB423C">
        <w:rPr>
          <w:rFonts w:ascii="MS Gothic" w:hAnsi="MS Gothic" w:cs="MS Gothic"/>
          <w:noProof/>
          <w:szCs w:val="24"/>
        </w:rPr>
        <w:t>ｎ</w:t>
      </w:r>
      <w:r w:rsidRPr="00DB423C">
        <w:rPr>
          <w:rFonts w:ascii="Arial" w:hAnsi="Arial" w:cs="Arial"/>
          <w:noProof/>
          <w:szCs w:val="24"/>
        </w:rPr>
        <w:t xml:space="preserve"> </w:t>
      </w:r>
      <w:r w:rsidRPr="00DB423C">
        <w:rPr>
          <w:rFonts w:ascii="MS Gothic" w:hAnsi="MS Gothic" w:cs="MS Gothic"/>
          <w:noProof/>
          <w:szCs w:val="24"/>
        </w:rPr>
        <w:t>ｇＰ</w:t>
      </w:r>
      <w:r w:rsidRPr="00DB423C">
        <w:rPr>
          <w:rFonts w:ascii="Arial" w:hAnsi="Arial" w:cs="Arial"/>
          <w:noProof/>
          <w:szCs w:val="24"/>
        </w:rPr>
        <w:t xml:space="preserve"> </w:t>
      </w:r>
      <w:r w:rsidRPr="00DB423C">
        <w:rPr>
          <w:rFonts w:ascii="MS Gothic" w:hAnsi="MS Gothic" w:cs="MS Gothic"/>
          <w:noProof/>
          <w:szCs w:val="24"/>
        </w:rPr>
        <w:t>ｒ</w:t>
      </w:r>
      <w:r w:rsidRPr="00DB423C">
        <w:rPr>
          <w:rFonts w:ascii="Arial" w:hAnsi="Arial" w:cs="Arial"/>
          <w:noProof/>
          <w:szCs w:val="24"/>
        </w:rPr>
        <w:t xml:space="preserve"> </w:t>
      </w:r>
      <w:r w:rsidRPr="00DB423C">
        <w:rPr>
          <w:rFonts w:ascii="MS Gothic" w:hAnsi="MS Gothic" w:cs="MS Gothic"/>
          <w:noProof/>
          <w:szCs w:val="24"/>
        </w:rPr>
        <w:t>ｉ</w:t>
      </w:r>
      <w:r w:rsidRPr="00DB423C">
        <w:rPr>
          <w:rFonts w:ascii="Arial" w:hAnsi="Arial" w:cs="Arial"/>
          <w:noProof/>
          <w:szCs w:val="24"/>
        </w:rPr>
        <w:t xml:space="preserve"> </w:t>
      </w:r>
      <w:r w:rsidRPr="00DB423C">
        <w:rPr>
          <w:rFonts w:ascii="MS Gothic" w:hAnsi="MS Gothic" w:cs="MS Gothic"/>
          <w:noProof/>
          <w:szCs w:val="24"/>
        </w:rPr>
        <w:t>ｃ</w:t>
      </w:r>
      <w:r w:rsidRPr="00DB423C">
        <w:rPr>
          <w:rFonts w:ascii="Arial" w:hAnsi="Arial" w:cs="Arial"/>
          <w:noProof/>
          <w:szCs w:val="24"/>
        </w:rPr>
        <w:t xml:space="preserve"> </w:t>
      </w:r>
      <w:r w:rsidRPr="00DB423C">
        <w:rPr>
          <w:rFonts w:ascii="MS Gothic" w:hAnsi="MS Gothic" w:cs="MS Gothic"/>
          <w:noProof/>
          <w:szCs w:val="24"/>
        </w:rPr>
        <w:t>ｅｏ</w:t>
      </w:r>
      <w:r w:rsidRPr="00DB423C">
        <w:rPr>
          <w:rFonts w:ascii="Arial" w:hAnsi="Arial" w:cs="Arial"/>
          <w:noProof/>
          <w:szCs w:val="24"/>
        </w:rPr>
        <w:t xml:space="preserve"> </w:t>
      </w:r>
      <w:r w:rsidRPr="00DB423C">
        <w:rPr>
          <w:rFonts w:ascii="MS Gothic" w:hAnsi="MS Gothic" w:cs="MS Gothic"/>
          <w:noProof/>
          <w:szCs w:val="24"/>
        </w:rPr>
        <w:t>ｆＡ</w:t>
      </w:r>
      <w:r w:rsidRPr="00DB423C">
        <w:rPr>
          <w:rFonts w:ascii="Arial" w:hAnsi="Arial" w:cs="Arial"/>
          <w:noProof/>
          <w:szCs w:val="24"/>
        </w:rPr>
        <w:t xml:space="preserve"> </w:t>
      </w:r>
      <w:r w:rsidRPr="00DB423C">
        <w:rPr>
          <w:rFonts w:ascii="MS Gothic" w:hAnsi="MS Gothic" w:cs="MS Gothic"/>
          <w:noProof/>
          <w:szCs w:val="24"/>
        </w:rPr>
        <w:t>ｇ</w:t>
      </w:r>
      <w:r w:rsidRPr="00DB423C">
        <w:rPr>
          <w:rFonts w:ascii="Arial" w:hAnsi="Arial" w:cs="Arial"/>
          <w:noProof/>
          <w:szCs w:val="24"/>
        </w:rPr>
        <w:t xml:space="preserve"> </w:t>
      </w:r>
      <w:r w:rsidRPr="00DB423C">
        <w:rPr>
          <w:rFonts w:ascii="MS Gothic" w:hAnsi="MS Gothic" w:cs="MS Gothic"/>
          <w:noProof/>
          <w:szCs w:val="24"/>
        </w:rPr>
        <w:t>ｒ</w:t>
      </w:r>
      <w:r w:rsidRPr="00DB423C">
        <w:rPr>
          <w:rFonts w:ascii="Arial" w:hAnsi="Arial" w:cs="Arial"/>
          <w:noProof/>
          <w:szCs w:val="24"/>
        </w:rPr>
        <w:t xml:space="preserve"> </w:t>
      </w:r>
      <w:r w:rsidRPr="00DB423C">
        <w:rPr>
          <w:rFonts w:ascii="MS Gothic" w:hAnsi="MS Gothic" w:cs="MS Gothic"/>
          <w:noProof/>
          <w:szCs w:val="24"/>
        </w:rPr>
        <w:t>ｉ</w:t>
      </w:r>
      <w:r w:rsidRPr="00DB423C">
        <w:rPr>
          <w:rFonts w:ascii="Arial" w:hAnsi="Arial" w:cs="Arial"/>
          <w:noProof/>
          <w:szCs w:val="24"/>
        </w:rPr>
        <w:t xml:space="preserve"> </w:t>
      </w:r>
      <w:r w:rsidRPr="00DB423C">
        <w:rPr>
          <w:rFonts w:ascii="MS Gothic" w:hAnsi="MS Gothic" w:cs="MS Gothic"/>
          <w:noProof/>
          <w:szCs w:val="24"/>
        </w:rPr>
        <w:t>ｃ</w:t>
      </w:r>
      <w:r w:rsidRPr="00DB423C">
        <w:rPr>
          <w:rFonts w:ascii="Arial" w:hAnsi="Arial" w:cs="Arial"/>
          <w:noProof/>
          <w:szCs w:val="24"/>
        </w:rPr>
        <w:t xml:space="preserve"> </w:t>
      </w:r>
      <w:r w:rsidRPr="00DB423C">
        <w:rPr>
          <w:rFonts w:ascii="MS Gothic" w:hAnsi="MS Gothic" w:cs="MS Gothic"/>
          <w:noProof/>
          <w:szCs w:val="24"/>
        </w:rPr>
        <w:t>ｕ</w:t>
      </w:r>
      <w:r w:rsidRPr="00DB423C">
        <w:rPr>
          <w:rFonts w:ascii="Arial" w:hAnsi="Arial" w:cs="Arial"/>
          <w:noProof/>
          <w:szCs w:val="24"/>
        </w:rPr>
        <w:t xml:space="preserve"> </w:t>
      </w:r>
      <w:r w:rsidRPr="00DB423C">
        <w:rPr>
          <w:rFonts w:ascii="MS Gothic" w:hAnsi="MS Gothic" w:cs="MS Gothic"/>
          <w:noProof/>
          <w:szCs w:val="24"/>
        </w:rPr>
        <w:t>ｌ</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ｕ</w:t>
      </w:r>
      <w:r w:rsidRPr="00DB423C">
        <w:rPr>
          <w:rFonts w:ascii="Arial" w:hAnsi="Arial" w:cs="Arial"/>
          <w:noProof/>
          <w:szCs w:val="24"/>
        </w:rPr>
        <w:t xml:space="preserve"> </w:t>
      </w:r>
      <w:r w:rsidRPr="00DB423C">
        <w:rPr>
          <w:rFonts w:ascii="MS Gothic" w:hAnsi="MS Gothic" w:cs="MS Gothic"/>
          <w:noProof/>
          <w:szCs w:val="24"/>
        </w:rPr>
        <w:t>ｒ</w:t>
      </w:r>
      <w:r w:rsidRPr="00DB423C">
        <w:rPr>
          <w:rFonts w:ascii="Arial" w:hAnsi="Arial" w:cs="Arial"/>
          <w:noProof/>
          <w:szCs w:val="24"/>
        </w:rPr>
        <w:t xml:space="preserve"> </w:t>
      </w:r>
      <w:r w:rsidRPr="00DB423C">
        <w:rPr>
          <w:rFonts w:ascii="MS Gothic" w:hAnsi="MS Gothic" w:cs="MS Gothic"/>
          <w:noProof/>
          <w:szCs w:val="24"/>
        </w:rPr>
        <w:t>ａ</w:t>
      </w:r>
      <w:r w:rsidRPr="00DB423C">
        <w:rPr>
          <w:rFonts w:ascii="Arial" w:hAnsi="Arial" w:cs="Arial"/>
          <w:noProof/>
          <w:szCs w:val="24"/>
        </w:rPr>
        <w:t xml:space="preserve"> </w:t>
      </w:r>
      <w:r w:rsidRPr="00DB423C">
        <w:rPr>
          <w:rFonts w:ascii="MS Gothic" w:hAnsi="MS Gothic" w:cs="MS Gothic"/>
          <w:noProof/>
          <w:szCs w:val="24"/>
        </w:rPr>
        <w:t>ｌＰ</w:t>
      </w:r>
      <w:r w:rsidRPr="00DB423C">
        <w:rPr>
          <w:rFonts w:ascii="Arial" w:hAnsi="Arial" w:cs="Arial"/>
          <w:noProof/>
          <w:szCs w:val="24"/>
        </w:rPr>
        <w:t xml:space="preserve"> </w:t>
      </w:r>
      <w:r w:rsidRPr="00DB423C">
        <w:rPr>
          <w:rFonts w:ascii="MS Gothic" w:hAnsi="MS Gothic" w:cs="MS Gothic"/>
          <w:noProof/>
          <w:szCs w:val="24"/>
        </w:rPr>
        <w:t>ｒ</w:t>
      </w:r>
      <w:r w:rsidRPr="00DB423C">
        <w:rPr>
          <w:rFonts w:ascii="Arial" w:hAnsi="Arial" w:cs="Arial"/>
          <w:noProof/>
          <w:szCs w:val="24"/>
        </w:rPr>
        <w:t xml:space="preserve"> </w:t>
      </w:r>
      <w:r w:rsidRPr="00DB423C">
        <w:rPr>
          <w:rFonts w:ascii="MS Gothic" w:hAnsi="MS Gothic" w:cs="MS Gothic"/>
          <w:noProof/>
          <w:szCs w:val="24"/>
        </w:rPr>
        <w:t>ｏ</w:t>
      </w:r>
      <w:r w:rsidRPr="00DB423C">
        <w:rPr>
          <w:rFonts w:ascii="Arial" w:hAnsi="Arial" w:cs="Arial"/>
          <w:noProof/>
          <w:szCs w:val="24"/>
        </w:rPr>
        <w:t xml:space="preserve"> </w:t>
      </w:r>
      <w:r w:rsidRPr="00DB423C">
        <w:rPr>
          <w:rFonts w:ascii="MS Gothic" w:hAnsi="MS Gothic" w:cs="MS Gothic"/>
          <w:noProof/>
          <w:szCs w:val="24"/>
        </w:rPr>
        <w:t>ｄ</w:t>
      </w:r>
      <w:r w:rsidRPr="00DB423C">
        <w:rPr>
          <w:rFonts w:ascii="Arial" w:hAnsi="Arial" w:cs="Arial"/>
          <w:noProof/>
          <w:szCs w:val="24"/>
        </w:rPr>
        <w:t xml:space="preserve"> </w:t>
      </w:r>
      <w:r w:rsidRPr="00DB423C">
        <w:rPr>
          <w:rFonts w:ascii="MS Gothic" w:hAnsi="MS Gothic" w:cs="MS Gothic"/>
          <w:noProof/>
          <w:szCs w:val="24"/>
        </w:rPr>
        <w:t>ｕ</w:t>
      </w:r>
      <w:r w:rsidRPr="00DB423C">
        <w:rPr>
          <w:rFonts w:ascii="Arial" w:hAnsi="Arial" w:cs="Arial"/>
          <w:noProof/>
          <w:szCs w:val="24"/>
        </w:rPr>
        <w:t xml:space="preserve"> </w:t>
      </w:r>
      <w:r w:rsidRPr="00DB423C">
        <w:rPr>
          <w:rFonts w:ascii="MS Gothic" w:hAnsi="MS Gothic" w:cs="MS Gothic"/>
          <w:noProof/>
          <w:szCs w:val="24"/>
        </w:rPr>
        <w:t>ｃ</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ｓ</w:t>
      </w:r>
      <w:r w:rsidRPr="00DB423C">
        <w:rPr>
          <w:rFonts w:ascii="Arial" w:hAnsi="Arial" w:cs="Arial"/>
          <w:noProof/>
          <w:szCs w:val="24"/>
        </w:rPr>
        <w:t xml:space="preserve"> </w:t>
      </w:r>
      <w:r w:rsidRPr="00DB423C">
        <w:rPr>
          <w:rFonts w:ascii="MS Gothic" w:hAnsi="MS Gothic" w:cs="MS Gothic"/>
          <w:noProof/>
          <w:szCs w:val="24"/>
        </w:rPr>
        <w:t>ａ</w:t>
      </w:r>
      <w:r w:rsidRPr="00DB423C">
        <w:rPr>
          <w:rFonts w:ascii="Arial" w:hAnsi="Arial" w:cs="Arial"/>
          <w:noProof/>
          <w:szCs w:val="24"/>
        </w:rPr>
        <w:t xml:space="preserve"> </w:t>
      </w:r>
      <w:r w:rsidRPr="00DB423C">
        <w:rPr>
          <w:rFonts w:ascii="MS Gothic" w:hAnsi="MS Gothic" w:cs="MS Gothic"/>
          <w:noProof/>
          <w:szCs w:val="24"/>
        </w:rPr>
        <w:t>ｎ</w:t>
      </w:r>
      <w:r w:rsidRPr="00DB423C">
        <w:rPr>
          <w:rFonts w:ascii="Arial" w:hAnsi="Arial" w:cs="Arial"/>
          <w:noProof/>
          <w:szCs w:val="24"/>
        </w:rPr>
        <w:t xml:space="preserve"> </w:t>
      </w:r>
      <w:r w:rsidRPr="00DB423C">
        <w:rPr>
          <w:rFonts w:ascii="MS Gothic" w:hAnsi="MS Gothic" w:cs="MS Gothic"/>
          <w:noProof/>
          <w:szCs w:val="24"/>
        </w:rPr>
        <w:t>ｄＳ</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ａ</w:t>
      </w:r>
      <w:r w:rsidRPr="00DB423C">
        <w:rPr>
          <w:rFonts w:ascii="Arial" w:hAnsi="Arial" w:cs="Arial"/>
          <w:noProof/>
          <w:szCs w:val="24"/>
        </w:rPr>
        <w:t xml:space="preserve"> </w:t>
      </w:r>
      <w:r w:rsidRPr="00DB423C">
        <w:rPr>
          <w:rFonts w:ascii="MS Gothic" w:hAnsi="MS Gothic" w:cs="MS Gothic"/>
          <w:noProof/>
          <w:szCs w:val="24"/>
        </w:rPr>
        <w:t>ｂ</w:t>
      </w:r>
      <w:r w:rsidRPr="00DB423C">
        <w:rPr>
          <w:rFonts w:ascii="Arial" w:hAnsi="Arial" w:cs="Arial"/>
          <w:noProof/>
          <w:szCs w:val="24"/>
        </w:rPr>
        <w:t xml:space="preserve"> </w:t>
      </w:r>
      <w:r w:rsidRPr="00DB423C">
        <w:rPr>
          <w:rFonts w:ascii="MS Gothic" w:hAnsi="MS Gothic" w:cs="MS Gothic"/>
          <w:noProof/>
          <w:szCs w:val="24"/>
        </w:rPr>
        <w:t>ｉ</w:t>
      </w:r>
      <w:r w:rsidRPr="00DB423C">
        <w:rPr>
          <w:rFonts w:ascii="Arial" w:hAnsi="Arial" w:cs="Arial"/>
          <w:noProof/>
          <w:szCs w:val="24"/>
        </w:rPr>
        <w:t xml:space="preserve"> </w:t>
      </w:r>
      <w:r w:rsidRPr="00DB423C">
        <w:rPr>
          <w:rFonts w:ascii="MS Gothic" w:hAnsi="MS Gothic" w:cs="MS Gothic"/>
          <w:noProof/>
          <w:szCs w:val="24"/>
        </w:rPr>
        <w:t>ｌ</w:t>
      </w:r>
      <w:r w:rsidRPr="00DB423C">
        <w:rPr>
          <w:rFonts w:ascii="Arial" w:hAnsi="Arial" w:cs="Arial"/>
          <w:noProof/>
          <w:szCs w:val="24"/>
        </w:rPr>
        <w:t xml:space="preserve"> </w:t>
      </w:r>
      <w:r w:rsidRPr="00DB423C">
        <w:rPr>
          <w:rFonts w:ascii="MS Gothic" w:hAnsi="MS Gothic" w:cs="MS Gothic"/>
          <w:noProof/>
          <w:szCs w:val="24"/>
        </w:rPr>
        <w:t>ｉ</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ｙＣ</w:t>
      </w:r>
      <w:r w:rsidRPr="00DB423C">
        <w:rPr>
          <w:rFonts w:ascii="Arial" w:hAnsi="Arial" w:cs="Arial"/>
          <w:noProof/>
          <w:szCs w:val="24"/>
        </w:rPr>
        <w:t xml:space="preserve"> </w:t>
      </w:r>
      <w:r w:rsidRPr="00DB423C">
        <w:rPr>
          <w:rFonts w:ascii="MS Gothic" w:hAnsi="MS Gothic" w:cs="MS Gothic"/>
          <w:noProof/>
          <w:szCs w:val="24"/>
        </w:rPr>
        <w:t>ｏ</w:t>
      </w:r>
      <w:r w:rsidRPr="00DB423C">
        <w:rPr>
          <w:rFonts w:ascii="Arial" w:hAnsi="Arial" w:cs="Arial"/>
          <w:noProof/>
          <w:szCs w:val="24"/>
        </w:rPr>
        <w:t xml:space="preserve"> </w:t>
      </w:r>
      <w:r w:rsidRPr="00DB423C">
        <w:rPr>
          <w:rFonts w:ascii="MS Gothic" w:hAnsi="MS Gothic" w:cs="MS Gothic"/>
          <w:noProof/>
          <w:szCs w:val="24"/>
        </w:rPr>
        <w:t>ｕ</w:t>
      </w:r>
      <w:r w:rsidRPr="00DB423C">
        <w:rPr>
          <w:rFonts w:ascii="Arial" w:hAnsi="Arial" w:cs="Arial"/>
          <w:noProof/>
          <w:szCs w:val="24"/>
        </w:rPr>
        <w:t xml:space="preserve"> </w:t>
      </w:r>
      <w:r w:rsidRPr="00DB423C">
        <w:rPr>
          <w:rFonts w:ascii="MS Gothic" w:hAnsi="MS Gothic" w:cs="MS Gothic"/>
          <w:noProof/>
          <w:szCs w:val="24"/>
        </w:rPr>
        <w:t>ｎ</w:t>
      </w:r>
      <w:r w:rsidRPr="00DB423C">
        <w:rPr>
          <w:rFonts w:ascii="Arial" w:hAnsi="Arial" w:cs="Arial"/>
          <w:noProof/>
          <w:szCs w:val="24"/>
        </w:rPr>
        <w:t xml:space="preserve"> </w:t>
      </w:r>
      <w:r w:rsidRPr="00DB423C">
        <w:rPr>
          <w:rFonts w:ascii="MS Gothic" w:hAnsi="MS Gothic" w:cs="MS Gothic"/>
          <w:noProof/>
          <w:szCs w:val="24"/>
        </w:rPr>
        <w:t>ｔ</w:t>
      </w:r>
      <w:r w:rsidRPr="00DB423C">
        <w:rPr>
          <w:rFonts w:ascii="Arial" w:hAnsi="Arial" w:cs="Arial"/>
          <w:noProof/>
          <w:szCs w:val="24"/>
        </w:rPr>
        <w:t xml:space="preserve"> </w:t>
      </w:r>
      <w:r w:rsidRPr="00DB423C">
        <w:rPr>
          <w:rFonts w:ascii="MS Gothic" w:hAnsi="MS Gothic" w:cs="MS Gothic"/>
          <w:noProof/>
          <w:szCs w:val="24"/>
        </w:rPr>
        <w:t>ｅ</w:t>
      </w:r>
      <w:r w:rsidRPr="00DB423C">
        <w:rPr>
          <w:rFonts w:ascii="Arial" w:hAnsi="Arial" w:cs="Arial"/>
          <w:noProof/>
          <w:szCs w:val="24"/>
        </w:rPr>
        <w:t xml:space="preserve">. </w:t>
      </w:r>
      <w:r w:rsidRPr="00DB423C">
        <w:rPr>
          <w:rFonts w:ascii="Arial" w:hAnsi="Arial" w:cs="Arial"/>
          <w:i/>
          <w:iCs/>
          <w:noProof/>
          <w:szCs w:val="24"/>
        </w:rPr>
        <w:t>AgEcon Search</w:t>
      </w:r>
      <w:r w:rsidRPr="00DB423C">
        <w:rPr>
          <w:rFonts w:ascii="Arial" w:hAnsi="Arial" w:cs="Arial"/>
          <w:noProof/>
          <w:szCs w:val="24"/>
        </w:rPr>
        <w:t>, 18.</w:t>
      </w:r>
    </w:p>
    <w:p w14:paraId="0B943149"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0E2D4C">
        <w:rPr>
          <w:rFonts w:ascii="Arial" w:hAnsi="Arial" w:cs="Arial"/>
          <w:noProof/>
          <w:szCs w:val="24"/>
          <w:lang w:val="de-DE"/>
        </w:rPr>
        <w:t xml:space="preserve">Brewer, C. K., Winne, J. C., Redmond, R. L., Opitz, D. W., &amp; Mangrich, M. V. (2005). </w:t>
      </w:r>
      <w:r w:rsidRPr="00DB423C">
        <w:rPr>
          <w:rFonts w:ascii="Arial" w:hAnsi="Arial" w:cs="Arial"/>
          <w:noProof/>
          <w:szCs w:val="24"/>
        </w:rPr>
        <w:t xml:space="preserve">04-001.Qxd. </w:t>
      </w:r>
      <w:r w:rsidRPr="00DB423C">
        <w:rPr>
          <w:rFonts w:ascii="Arial" w:hAnsi="Arial" w:cs="Arial"/>
          <w:i/>
          <w:iCs/>
          <w:noProof/>
          <w:szCs w:val="24"/>
        </w:rPr>
        <w:t>Photogrammetric Engineering and Remote Sensing</w:t>
      </w:r>
      <w:r w:rsidRPr="00DB423C">
        <w:rPr>
          <w:rFonts w:ascii="Arial" w:hAnsi="Arial" w:cs="Arial"/>
          <w:noProof/>
          <w:szCs w:val="24"/>
        </w:rPr>
        <w:t xml:space="preserve">, </w:t>
      </w:r>
      <w:r w:rsidRPr="00DB423C">
        <w:rPr>
          <w:rFonts w:ascii="Arial" w:hAnsi="Arial" w:cs="Arial"/>
          <w:i/>
          <w:iCs/>
          <w:noProof/>
          <w:szCs w:val="24"/>
        </w:rPr>
        <w:t>71</w:t>
      </w:r>
      <w:r w:rsidRPr="00DB423C">
        <w:rPr>
          <w:rFonts w:ascii="Arial" w:hAnsi="Arial" w:cs="Arial"/>
          <w:noProof/>
          <w:szCs w:val="24"/>
        </w:rPr>
        <w:t>(11), 1311–1320.</w:t>
      </w:r>
    </w:p>
    <w:p w14:paraId="4F338334"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Cocklin, C., Mautner, N., &amp; Dibden, J. (2007). Public policy, private landholders: Perspectives on policy mechanisms for sustainable land management. </w:t>
      </w:r>
      <w:r w:rsidRPr="00DB423C">
        <w:rPr>
          <w:rFonts w:ascii="Arial" w:hAnsi="Arial" w:cs="Arial"/>
          <w:i/>
          <w:iCs/>
          <w:noProof/>
          <w:szCs w:val="24"/>
        </w:rPr>
        <w:t>Journal of Environmental Management</w:t>
      </w:r>
      <w:r w:rsidRPr="00DB423C">
        <w:rPr>
          <w:rFonts w:ascii="Arial" w:hAnsi="Arial" w:cs="Arial"/>
          <w:noProof/>
          <w:szCs w:val="24"/>
        </w:rPr>
        <w:t xml:space="preserve">, </w:t>
      </w:r>
      <w:r w:rsidRPr="00DB423C">
        <w:rPr>
          <w:rFonts w:ascii="Arial" w:hAnsi="Arial" w:cs="Arial"/>
          <w:i/>
          <w:iCs/>
          <w:noProof/>
          <w:szCs w:val="24"/>
        </w:rPr>
        <w:t>85</w:t>
      </w:r>
      <w:r w:rsidRPr="00DB423C">
        <w:rPr>
          <w:rFonts w:ascii="Arial" w:hAnsi="Arial" w:cs="Arial"/>
          <w:noProof/>
          <w:szCs w:val="24"/>
        </w:rPr>
        <w:t>(4), 986–998. https://doi.org/10.1016/j.jenvman.2006.11.009</w:t>
      </w:r>
    </w:p>
    <w:p w14:paraId="063D38E3"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Donnelly, C. R., Bechai, M., Trias, M., Vaillancourt, J., &amp; Roy, A. (2009). The Development of A National Dam Safety Standard for Parks Canada. </w:t>
      </w:r>
      <w:r w:rsidRPr="00DB423C">
        <w:rPr>
          <w:rFonts w:ascii="Arial" w:hAnsi="Arial" w:cs="Arial"/>
          <w:i/>
          <w:iCs/>
          <w:noProof/>
          <w:szCs w:val="24"/>
        </w:rPr>
        <w:t>CDA 2009 Annual Conference</w:t>
      </w:r>
      <w:r w:rsidRPr="00DB423C">
        <w:rPr>
          <w:rFonts w:ascii="Arial" w:hAnsi="Arial" w:cs="Arial"/>
          <w:noProof/>
          <w:szCs w:val="24"/>
        </w:rPr>
        <w:t xml:space="preserve">, </w:t>
      </w:r>
      <w:r w:rsidRPr="00DB423C">
        <w:rPr>
          <w:rFonts w:ascii="Arial" w:hAnsi="Arial" w:cs="Arial"/>
          <w:i/>
          <w:iCs/>
          <w:noProof/>
          <w:szCs w:val="24"/>
        </w:rPr>
        <w:t>October 2009</w:t>
      </w:r>
      <w:r w:rsidRPr="00DB423C">
        <w:rPr>
          <w:rFonts w:ascii="Arial" w:hAnsi="Arial" w:cs="Arial"/>
          <w:noProof/>
          <w:szCs w:val="24"/>
        </w:rPr>
        <w:t>, 21. https://doi.org/10.13140/2.1.3606.8806</w:t>
      </w:r>
    </w:p>
    <w:p w14:paraId="75BC0B84"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Eisner, E. W. (2004). What can education learn from the arts about the practice of education? </w:t>
      </w:r>
      <w:r w:rsidRPr="00DB423C">
        <w:rPr>
          <w:rFonts w:ascii="Arial" w:hAnsi="Arial" w:cs="Arial"/>
          <w:i/>
          <w:iCs/>
          <w:noProof/>
          <w:szCs w:val="24"/>
        </w:rPr>
        <w:t>International Journal of Education and the Arts</w:t>
      </w:r>
      <w:r w:rsidRPr="00DB423C">
        <w:rPr>
          <w:rFonts w:ascii="Arial" w:hAnsi="Arial" w:cs="Arial"/>
          <w:noProof/>
          <w:szCs w:val="24"/>
        </w:rPr>
        <w:t xml:space="preserve">, </w:t>
      </w:r>
      <w:r w:rsidRPr="00DB423C">
        <w:rPr>
          <w:rFonts w:ascii="Arial" w:hAnsi="Arial" w:cs="Arial"/>
          <w:i/>
          <w:iCs/>
          <w:noProof/>
          <w:szCs w:val="24"/>
        </w:rPr>
        <w:t>5</w:t>
      </w:r>
      <w:r w:rsidRPr="00DB423C">
        <w:rPr>
          <w:rFonts w:ascii="Arial" w:hAnsi="Arial" w:cs="Arial"/>
          <w:noProof/>
          <w:szCs w:val="24"/>
        </w:rPr>
        <w:t>(4), 1–13. https://doi.org/10.4324/9780203019078-25</w:t>
      </w:r>
    </w:p>
    <w:p w14:paraId="4A12C9DA"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Gobry, J. J., Twisa, S. S., Ngassapa, F., &amp; Kilulya, K. F. (2023). Impact of land-use/cover change on water quality in the Mindu Dam drainage, Tanzania. </w:t>
      </w:r>
      <w:r w:rsidRPr="00DB423C">
        <w:rPr>
          <w:rFonts w:ascii="Arial" w:hAnsi="Arial" w:cs="Arial"/>
          <w:i/>
          <w:iCs/>
          <w:noProof/>
          <w:szCs w:val="24"/>
        </w:rPr>
        <w:t>Water Practice and Technology</w:t>
      </w:r>
      <w:r w:rsidRPr="00DB423C">
        <w:rPr>
          <w:rFonts w:ascii="Arial" w:hAnsi="Arial" w:cs="Arial"/>
          <w:noProof/>
          <w:szCs w:val="24"/>
        </w:rPr>
        <w:t xml:space="preserve">, </w:t>
      </w:r>
      <w:r w:rsidRPr="00DB423C">
        <w:rPr>
          <w:rFonts w:ascii="Arial" w:hAnsi="Arial" w:cs="Arial"/>
          <w:i/>
          <w:iCs/>
          <w:noProof/>
          <w:szCs w:val="24"/>
        </w:rPr>
        <w:t>18</w:t>
      </w:r>
      <w:r w:rsidRPr="00DB423C">
        <w:rPr>
          <w:rFonts w:ascii="Arial" w:hAnsi="Arial" w:cs="Arial"/>
          <w:noProof/>
          <w:szCs w:val="24"/>
        </w:rPr>
        <w:t>(5), 1086–1098. https://doi.org/10.2166/wpt.2023.067</w:t>
      </w:r>
    </w:p>
    <w:p w14:paraId="4DD6969F"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Gunningham, N., &amp; Sinclair, D. (1999). Integrative regulation: A principle-based approach to environmental policy. </w:t>
      </w:r>
      <w:r w:rsidRPr="00DB423C">
        <w:rPr>
          <w:rFonts w:ascii="Arial" w:hAnsi="Arial" w:cs="Arial"/>
          <w:i/>
          <w:iCs/>
          <w:noProof/>
          <w:szCs w:val="24"/>
        </w:rPr>
        <w:t>Law and Social Inquiry</w:t>
      </w:r>
      <w:r w:rsidRPr="00DB423C">
        <w:rPr>
          <w:rFonts w:ascii="Arial" w:hAnsi="Arial" w:cs="Arial"/>
          <w:noProof/>
          <w:szCs w:val="24"/>
        </w:rPr>
        <w:t xml:space="preserve">, </w:t>
      </w:r>
      <w:r w:rsidRPr="00DB423C">
        <w:rPr>
          <w:rFonts w:ascii="Arial" w:hAnsi="Arial" w:cs="Arial"/>
          <w:i/>
          <w:iCs/>
          <w:noProof/>
          <w:szCs w:val="24"/>
        </w:rPr>
        <w:t>24</w:t>
      </w:r>
      <w:r w:rsidRPr="00DB423C">
        <w:rPr>
          <w:rFonts w:ascii="Arial" w:hAnsi="Arial" w:cs="Arial"/>
          <w:noProof/>
          <w:szCs w:val="24"/>
        </w:rPr>
        <w:t>(4), 853–896. https://doi.org/10.1111/j.1747-4469.1999.tb00407.x</w:t>
      </w:r>
    </w:p>
    <w:p w14:paraId="3C5D3737"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Isomäki, E., Maijala, T., Sulkakoski, M., &amp; Torkkel, M. (2012). Dam safety guide. In </w:t>
      </w:r>
      <w:r w:rsidRPr="00DB423C">
        <w:rPr>
          <w:rFonts w:ascii="Arial" w:hAnsi="Arial" w:cs="Arial"/>
          <w:i/>
          <w:iCs/>
          <w:noProof/>
          <w:szCs w:val="24"/>
        </w:rPr>
        <w:t>Ely</w:t>
      </w:r>
      <w:r w:rsidRPr="00DB423C">
        <w:rPr>
          <w:rFonts w:ascii="Arial" w:hAnsi="Arial" w:cs="Arial"/>
          <w:noProof/>
          <w:szCs w:val="24"/>
        </w:rPr>
        <w:t>. http://www.doria.fi/handle/10024/98859</w:t>
      </w:r>
    </w:p>
    <w:p w14:paraId="5F1C1092" w14:textId="77777777" w:rsidR="00E8111D" w:rsidRPr="000E2D4C" w:rsidRDefault="00E8111D" w:rsidP="00E8111D">
      <w:pPr>
        <w:widowControl w:val="0"/>
        <w:autoSpaceDE w:val="0"/>
        <w:autoSpaceDN w:val="0"/>
        <w:adjustRightInd w:val="0"/>
        <w:ind w:left="480" w:hanging="480"/>
        <w:rPr>
          <w:rFonts w:ascii="Arial" w:hAnsi="Arial" w:cs="Arial"/>
          <w:noProof/>
          <w:szCs w:val="24"/>
          <w:lang w:val="de-DE"/>
        </w:rPr>
      </w:pPr>
      <w:r w:rsidRPr="00DB423C">
        <w:rPr>
          <w:rFonts w:ascii="Arial" w:hAnsi="Arial" w:cs="Arial"/>
          <w:noProof/>
          <w:szCs w:val="24"/>
        </w:rPr>
        <w:t xml:space="preserve">Kimambo, O. N., Chikoore, H., Gumbo, J. R., &amp; Msagati, T. A. M. (2019). Retrospective analysis of Chlorophyll-a and its correlation with climate and hydrological variations in Mindu Dam, Morogoro, Tanzania. </w:t>
      </w:r>
      <w:r w:rsidRPr="000E2D4C">
        <w:rPr>
          <w:rFonts w:ascii="Arial" w:hAnsi="Arial" w:cs="Arial"/>
          <w:i/>
          <w:iCs/>
          <w:noProof/>
          <w:szCs w:val="24"/>
          <w:lang w:val="de-DE"/>
        </w:rPr>
        <w:t>Heliyon</w:t>
      </w:r>
      <w:r w:rsidRPr="000E2D4C">
        <w:rPr>
          <w:rFonts w:ascii="Arial" w:hAnsi="Arial" w:cs="Arial"/>
          <w:noProof/>
          <w:szCs w:val="24"/>
          <w:lang w:val="de-DE"/>
        </w:rPr>
        <w:t xml:space="preserve">, </w:t>
      </w:r>
      <w:r w:rsidRPr="000E2D4C">
        <w:rPr>
          <w:rFonts w:ascii="Arial" w:hAnsi="Arial" w:cs="Arial"/>
          <w:i/>
          <w:iCs/>
          <w:noProof/>
          <w:szCs w:val="24"/>
          <w:lang w:val="de-DE"/>
        </w:rPr>
        <w:t>5</w:t>
      </w:r>
      <w:r w:rsidRPr="000E2D4C">
        <w:rPr>
          <w:rFonts w:ascii="Arial" w:hAnsi="Arial" w:cs="Arial"/>
          <w:noProof/>
          <w:szCs w:val="24"/>
          <w:lang w:val="de-DE"/>
        </w:rPr>
        <w:t>(11), e02834. https://doi.org/10.1016/j.heliyon.2019.e02834</w:t>
      </w:r>
    </w:p>
    <w:p w14:paraId="52B497D7"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0E2D4C">
        <w:rPr>
          <w:rFonts w:ascii="Arial" w:hAnsi="Arial" w:cs="Arial"/>
          <w:noProof/>
          <w:szCs w:val="24"/>
          <w:lang w:val="de-DE"/>
        </w:rPr>
        <w:t xml:space="preserve">Lein, H., &amp; Tagseth, M. (2009). </w:t>
      </w:r>
      <w:r w:rsidRPr="00DB423C">
        <w:rPr>
          <w:rFonts w:ascii="Arial" w:hAnsi="Arial" w:cs="Arial"/>
          <w:noProof/>
          <w:szCs w:val="24"/>
        </w:rPr>
        <w:t xml:space="preserve">Tanzanian water policy reforms - Between principles and practical applications. </w:t>
      </w:r>
      <w:r w:rsidRPr="00DB423C">
        <w:rPr>
          <w:rFonts w:ascii="Arial" w:hAnsi="Arial" w:cs="Arial"/>
          <w:i/>
          <w:iCs/>
          <w:noProof/>
          <w:szCs w:val="24"/>
        </w:rPr>
        <w:t>Water Policy</w:t>
      </w:r>
      <w:r w:rsidRPr="00DB423C">
        <w:rPr>
          <w:rFonts w:ascii="Arial" w:hAnsi="Arial" w:cs="Arial"/>
          <w:noProof/>
          <w:szCs w:val="24"/>
        </w:rPr>
        <w:t xml:space="preserve">, </w:t>
      </w:r>
      <w:r w:rsidRPr="00DB423C">
        <w:rPr>
          <w:rFonts w:ascii="Arial" w:hAnsi="Arial" w:cs="Arial"/>
          <w:i/>
          <w:iCs/>
          <w:noProof/>
          <w:szCs w:val="24"/>
        </w:rPr>
        <w:t>11</w:t>
      </w:r>
      <w:r w:rsidRPr="00DB423C">
        <w:rPr>
          <w:rFonts w:ascii="Arial" w:hAnsi="Arial" w:cs="Arial"/>
          <w:noProof/>
          <w:szCs w:val="24"/>
        </w:rPr>
        <w:t>(2), 203–220. https://doi.org/10.2166/wp.2009.024</w:t>
      </w:r>
    </w:p>
    <w:p w14:paraId="7531F509"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Madhi, S. A., Baillie, V., Cutland, C. L., Voysey, M., Koen, A. L., Fairlie, L., Padayachee, S. D., Dheda, K., Barnabas, S. L., Bhorat, Q. E., Briner, C., Kwatra, G., Ahmed, K., Aley, P., Bhikha, S., Bhiman, J. N., Bhorat, A. E., du Plessis, J., Esmail, A., … Izu, A. (2021). Efficacy of the ChAdOx1 nCoV-19 Covid-19 Vaccine against the B.1.351 Variant. </w:t>
      </w:r>
      <w:r w:rsidRPr="00DB423C">
        <w:rPr>
          <w:rFonts w:ascii="Arial" w:hAnsi="Arial" w:cs="Arial"/>
          <w:i/>
          <w:iCs/>
          <w:noProof/>
          <w:szCs w:val="24"/>
        </w:rPr>
        <w:t>New England Journal of Medicine</w:t>
      </w:r>
      <w:r w:rsidRPr="00DB423C">
        <w:rPr>
          <w:rFonts w:ascii="Arial" w:hAnsi="Arial" w:cs="Arial"/>
          <w:noProof/>
          <w:szCs w:val="24"/>
        </w:rPr>
        <w:t xml:space="preserve">, </w:t>
      </w:r>
      <w:r w:rsidRPr="00DB423C">
        <w:rPr>
          <w:rFonts w:ascii="Arial" w:hAnsi="Arial" w:cs="Arial"/>
          <w:i/>
          <w:iCs/>
          <w:noProof/>
          <w:szCs w:val="24"/>
        </w:rPr>
        <w:t>384</w:t>
      </w:r>
      <w:r w:rsidRPr="00DB423C">
        <w:rPr>
          <w:rFonts w:ascii="Arial" w:hAnsi="Arial" w:cs="Arial"/>
          <w:noProof/>
          <w:szCs w:val="24"/>
        </w:rPr>
        <w:t>(20), 1885–1898. https://doi.org/10.1056/nejmoa2102214</w:t>
      </w:r>
    </w:p>
    <w:p w14:paraId="1892439F"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Materu, S. F., Urban, B., &amp; Heise, S. (2018). A critical review of policies and legislation protecting Tanzanian wetlands. </w:t>
      </w:r>
      <w:r w:rsidRPr="00DB423C">
        <w:rPr>
          <w:rFonts w:ascii="Arial" w:hAnsi="Arial" w:cs="Arial"/>
          <w:i/>
          <w:iCs/>
          <w:noProof/>
          <w:szCs w:val="24"/>
        </w:rPr>
        <w:t>Ecosystem Health and Sustainability</w:t>
      </w:r>
      <w:r w:rsidRPr="00DB423C">
        <w:rPr>
          <w:rFonts w:ascii="Arial" w:hAnsi="Arial" w:cs="Arial"/>
          <w:noProof/>
          <w:szCs w:val="24"/>
        </w:rPr>
        <w:t xml:space="preserve">, </w:t>
      </w:r>
      <w:r w:rsidRPr="00DB423C">
        <w:rPr>
          <w:rFonts w:ascii="Arial" w:hAnsi="Arial" w:cs="Arial"/>
          <w:i/>
          <w:iCs/>
          <w:noProof/>
          <w:szCs w:val="24"/>
        </w:rPr>
        <w:t>4</w:t>
      </w:r>
      <w:r w:rsidRPr="00DB423C">
        <w:rPr>
          <w:rFonts w:ascii="Arial" w:hAnsi="Arial" w:cs="Arial"/>
          <w:noProof/>
          <w:szCs w:val="24"/>
        </w:rPr>
        <w:t>(12), 310–320. https://doi.org/10.1080/20964129.2018.1549510</w:t>
      </w:r>
    </w:p>
    <w:p w14:paraId="3E38ED39"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Munshi, S. A., &amp; Ansari, M. A. (2021). Collections and services of public libraries in West Bengal, India: An evaluative study against the backdrop of the IFLA guidelines. </w:t>
      </w:r>
      <w:r w:rsidRPr="00DB423C">
        <w:rPr>
          <w:rFonts w:ascii="Arial" w:hAnsi="Arial" w:cs="Arial"/>
          <w:i/>
          <w:iCs/>
          <w:noProof/>
          <w:szCs w:val="24"/>
        </w:rPr>
        <w:t>IFLA Journal</w:t>
      </w:r>
      <w:r w:rsidRPr="00DB423C">
        <w:rPr>
          <w:rFonts w:ascii="Arial" w:hAnsi="Arial" w:cs="Arial"/>
          <w:noProof/>
          <w:szCs w:val="24"/>
        </w:rPr>
        <w:t xml:space="preserve">, </w:t>
      </w:r>
      <w:r w:rsidRPr="00DB423C">
        <w:rPr>
          <w:rFonts w:ascii="Arial" w:hAnsi="Arial" w:cs="Arial"/>
          <w:i/>
          <w:iCs/>
          <w:noProof/>
          <w:szCs w:val="24"/>
        </w:rPr>
        <w:t>47</w:t>
      </w:r>
      <w:r w:rsidRPr="00DB423C">
        <w:rPr>
          <w:rFonts w:ascii="Arial" w:hAnsi="Arial" w:cs="Arial"/>
          <w:noProof/>
          <w:szCs w:val="24"/>
        </w:rPr>
        <w:t>(2), 250–262. https://doi.org/10.1177/0340035220958022</w:t>
      </w:r>
    </w:p>
    <w:p w14:paraId="28F181F8"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Mwaka, I. (1999). Water Law , Water Rights and Water Supply ( Africa ) Tanzania - study country report. </w:t>
      </w:r>
      <w:r w:rsidRPr="00DB423C">
        <w:rPr>
          <w:rFonts w:ascii="Arial" w:hAnsi="Arial" w:cs="Arial"/>
          <w:i/>
          <w:iCs/>
          <w:noProof/>
          <w:szCs w:val="24"/>
        </w:rPr>
        <w:t>Dfid</w:t>
      </w:r>
      <w:r w:rsidRPr="00DB423C">
        <w:rPr>
          <w:rFonts w:ascii="Arial" w:hAnsi="Arial" w:cs="Arial"/>
          <w:noProof/>
          <w:szCs w:val="24"/>
        </w:rPr>
        <w:t xml:space="preserve">, </w:t>
      </w:r>
      <w:r w:rsidRPr="00DB423C">
        <w:rPr>
          <w:rFonts w:ascii="Arial" w:hAnsi="Arial" w:cs="Arial"/>
          <w:i/>
          <w:iCs/>
          <w:noProof/>
          <w:szCs w:val="24"/>
        </w:rPr>
        <w:t>August</w:t>
      </w:r>
      <w:r w:rsidRPr="00DB423C">
        <w:rPr>
          <w:rFonts w:ascii="Arial" w:hAnsi="Arial" w:cs="Arial"/>
          <w:noProof/>
          <w:szCs w:val="24"/>
        </w:rPr>
        <w:t>.</w:t>
      </w:r>
    </w:p>
    <w:p w14:paraId="5413CDE6"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Phiri, I. M. ., Phiri, S. ., &amp; Saka, A. . (2007). </w:t>
      </w:r>
      <w:r w:rsidRPr="00DB423C">
        <w:rPr>
          <w:rFonts w:ascii="Arial" w:hAnsi="Arial" w:cs="Arial"/>
          <w:i/>
          <w:iCs/>
          <w:noProof/>
          <w:szCs w:val="24"/>
        </w:rPr>
        <w:t>Rapid Appraisal of Policies &amp; Institutional Frameworks for Agricultural Water Management</w:t>
      </w:r>
      <w:r w:rsidRPr="00DB423C">
        <w:rPr>
          <w:rFonts w:ascii="Arial" w:hAnsi="Arial" w:cs="Arial"/>
          <w:noProof/>
          <w:szCs w:val="24"/>
        </w:rPr>
        <w:t>.</w:t>
      </w:r>
    </w:p>
    <w:p w14:paraId="16CEE359"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(2010). Attitudes and Policy Responses to Australian farm dam safety threats: Comparative lessons for water resources managers. </w:t>
      </w:r>
      <w:r w:rsidRPr="00DB423C">
        <w:rPr>
          <w:rFonts w:ascii="Arial" w:hAnsi="Arial" w:cs="Arial"/>
          <w:i/>
          <w:iCs/>
          <w:noProof/>
          <w:szCs w:val="24"/>
        </w:rPr>
        <w:t>International Journal of Water Resources Development</w:t>
      </w:r>
      <w:r w:rsidRPr="00DB423C">
        <w:rPr>
          <w:rFonts w:ascii="Arial" w:hAnsi="Arial" w:cs="Arial"/>
          <w:noProof/>
          <w:szCs w:val="24"/>
        </w:rPr>
        <w:t xml:space="preserve">, </w:t>
      </w:r>
      <w:r w:rsidRPr="00DB423C">
        <w:rPr>
          <w:rFonts w:ascii="Arial" w:hAnsi="Arial" w:cs="Arial"/>
          <w:i/>
          <w:iCs/>
          <w:noProof/>
          <w:szCs w:val="24"/>
        </w:rPr>
        <w:t>26</w:t>
      </w:r>
      <w:r w:rsidRPr="00DB423C">
        <w:rPr>
          <w:rFonts w:ascii="Arial" w:hAnsi="Arial" w:cs="Arial"/>
          <w:noProof/>
          <w:szCs w:val="24"/>
        </w:rPr>
        <w:t>(3), 381–402. https://doi.org/10.1080/07900627.2010.489306</w:t>
      </w:r>
    </w:p>
    <w:p w14:paraId="19F48B4D"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(2011). A Comparative Review of Environmental Policies and Laws Involving Hazardous Private Dams : ’ Appropriate ’ Practice Models for Safe Catchments. </w:t>
      </w:r>
      <w:r w:rsidRPr="00DB423C">
        <w:rPr>
          <w:rFonts w:ascii="Arial" w:hAnsi="Arial" w:cs="Arial"/>
          <w:i/>
          <w:iCs/>
          <w:noProof/>
          <w:szCs w:val="24"/>
        </w:rPr>
        <w:t>William &amp; Mary Environmental Law &amp; Policy Review</w:t>
      </w:r>
      <w:r w:rsidRPr="00DB423C">
        <w:rPr>
          <w:rFonts w:ascii="Arial" w:hAnsi="Arial" w:cs="Arial"/>
          <w:noProof/>
          <w:szCs w:val="24"/>
        </w:rPr>
        <w:t xml:space="preserve">, </w:t>
      </w:r>
      <w:r w:rsidRPr="00DB423C">
        <w:rPr>
          <w:rFonts w:ascii="Arial" w:hAnsi="Arial" w:cs="Arial"/>
          <w:i/>
          <w:iCs/>
          <w:noProof/>
          <w:szCs w:val="24"/>
        </w:rPr>
        <w:t>35</w:t>
      </w:r>
      <w:r w:rsidRPr="00DB423C">
        <w:rPr>
          <w:rFonts w:ascii="Arial" w:hAnsi="Arial" w:cs="Arial"/>
          <w:noProof/>
          <w:szCs w:val="24"/>
        </w:rPr>
        <w:t>(2).</w:t>
      </w:r>
    </w:p>
    <w:p w14:paraId="5590C4C4"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Burritt, R. L., &amp; Tingey-Holyoak, J. (2011). Dam safety management for sustainable farming businesses and catchments. </w:t>
      </w:r>
      <w:r w:rsidRPr="00DB423C">
        <w:rPr>
          <w:rFonts w:ascii="Arial" w:hAnsi="Arial" w:cs="Arial"/>
          <w:i/>
          <w:iCs/>
          <w:noProof/>
          <w:szCs w:val="24"/>
        </w:rPr>
        <w:t>Agricultural Water Management</w:t>
      </w:r>
      <w:r w:rsidRPr="00DB423C">
        <w:rPr>
          <w:rFonts w:ascii="Arial" w:hAnsi="Arial" w:cs="Arial"/>
          <w:noProof/>
          <w:szCs w:val="24"/>
        </w:rPr>
        <w:t xml:space="preserve">, </w:t>
      </w:r>
      <w:r w:rsidRPr="00DB423C">
        <w:rPr>
          <w:rFonts w:ascii="Arial" w:hAnsi="Arial" w:cs="Arial"/>
          <w:i/>
          <w:iCs/>
          <w:noProof/>
          <w:szCs w:val="24"/>
        </w:rPr>
        <w:t>98</w:t>
      </w:r>
      <w:r w:rsidRPr="00DB423C">
        <w:rPr>
          <w:rFonts w:ascii="Arial" w:hAnsi="Arial" w:cs="Arial"/>
          <w:noProof/>
          <w:szCs w:val="24"/>
        </w:rPr>
        <w:t xml:space="preserve">(4), 507–516. </w:t>
      </w:r>
      <w:r w:rsidRPr="00DB423C">
        <w:rPr>
          <w:rFonts w:ascii="Arial" w:hAnsi="Arial" w:cs="Arial"/>
          <w:noProof/>
          <w:szCs w:val="24"/>
        </w:rPr>
        <w:lastRenderedPageBreak/>
        <w:t>https://doi.org/10.1016/j.agwat.2010.10.001</w:t>
      </w:r>
    </w:p>
    <w:p w14:paraId="2DD96B18"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&amp; McKay, J. M. (2003). A Farmer-Friendly Dam Safety Evaluation Procedure As A Key Part of Modern Australian Water Laws. </w:t>
      </w:r>
      <w:r w:rsidRPr="00DB423C">
        <w:rPr>
          <w:rFonts w:ascii="Arial" w:hAnsi="Arial" w:cs="Arial"/>
          <w:i/>
          <w:iCs/>
          <w:noProof/>
          <w:szCs w:val="24"/>
        </w:rPr>
        <w:t>Water International</w:t>
      </w:r>
      <w:r w:rsidRPr="00DB423C">
        <w:rPr>
          <w:rFonts w:ascii="Arial" w:hAnsi="Arial" w:cs="Arial"/>
          <w:noProof/>
          <w:szCs w:val="24"/>
        </w:rPr>
        <w:t xml:space="preserve">, </w:t>
      </w:r>
      <w:r w:rsidRPr="00DB423C">
        <w:rPr>
          <w:rFonts w:ascii="Arial" w:hAnsi="Arial" w:cs="Arial"/>
          <w:i/>
          <w:iCs/>
          <w:noProof/>
          <w:szCs w:val="24"/>
        </w:rPr>
        <w:t>28</w:t>
      </w:r>
      <w:r w:rsidRPr="00DB423C">
        <w:rPr>
          <w:rFonts w:ascii="Arial" w:hAnsi="Arial" w:cs="Arial"/>
          <w:noProof/>
          <w:szCs w:val="24"/>
        </w:rPr>
        <w:t>(1), 90–102. https://doi.org/10.1080/02508060308691668</w:t>
      </w:r>
    </w:p>
    <w:p w14:paraId="08EE5409"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Pisaniello, J. D., Tingey-Holyoak, J. L., &amp; Burritt, R. L. (2013). Dual-extreme cumulative impacts and threats in agricultural catchments: The need for effective integrated policy. </w:t>
      </w:r>
      <w:r w:rsidRPr="00DB423C">
        <w:rPr>
          <w:rFonts w:ascii="Arial" w:hAnsi="Arial" w:cs="Arial"/>
          <w:i/>
          <w:iCs/>
          <w:noProof/>
          <w:szCs w:val="24"/>
        </w:rPr>
        <w:t>Agricultural Water Management</w:t>
      </w:r>
      <w:r w:rsidRPr="00DB423C">
        <w:rPr>
          <w:rFonts w:ascii="Arial" w:hAnsi="Arial" w:cs="Arial"/>
          <w:noProof/>
          <w:szCs w:val="24"/>
        </w:rPr>
        <w:t xml:space="preserve">, </w:t>
      </w:r>
      <w:r w:rsidRPr="00DB423C">
        <w:rPr>
          <w:rFonts w:ascii="Arial" w:hAnsi="Arial" w:cs="Arial"/>
          <w:i/>
          <w:iCs/>
          <w:noProof/>
          <w:szCs w:val="24"/>
        </w:rPr>
        <w:t>118</w:t>
      </w:r>
      <w:r w:rsidRPr="00DB423C">
        <w:rPr>
          <w:rFonts w:ascii="Arial" w:hAnsi="Arial" w:cs="Arial"/>
          <w:noProof/>
          <w:szCs w:val="24"/>
        </w:rPr>
        <w:t>(2013), 103–112. https://doi.org/10.1016/j.agwat.2012.12.003</w:t>
      </w:r>
    </w:p>
    <w:p w14:paraId="3A1A885B"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Ramachandra, T. V, &amp; Kumar, U. (2004). Geographic Resources Decision Support System for land use, land cover dynamics analysis. </w:t>
      </w:r>
      <w:r w:rsidRPr="00DB423C">
        <w:rPr>
          <w:rFonts w:ascii="Arial" w:hAnsi="Arial" w:cs="Arial"/>
          <w:i/>
          <w:iCs/>
          <w:noProof/>
          <w:szCs w:val="24"/>
        </w:rPr>
        <w:t>Proceedings of the FOSS/GRASS Users Conference</w:t>
      </w:r>
      <w:r w:rsidRPr="00DB423C">
        <w:rPr>
          <w:rFonts w:ascii="Arial" w:hAnsi="Arial" w:cs="Arial"/>
          <w:noProof/>
          <w:szCs w:val="24"/>
        </w:rPr>
        <w:t xml:space="preserve">, </w:t>
      </w:r>
      <w:r w:rsidRPr="00DB423C">
        <w:rPr>
          <w:rFonts w:ascii="Arial" w:hAnsi="Arial" w:cs="Arial"/>
          <w:i/>
          <w:iCs/>
          <w:noProof/>
          <w:szCs w:val="24"/>
        </w:rPr>
        <w:t>September</w:t>
      </w:r>
      <w:r w:rsidRPr="00DB423C">
        <w:rPr>
          <w:rFonts w:ascii="Arial" w:hAnsi="Arial" w:cs="Arial"/>
          <w:noProof/>
          <w:szCs w:val="24"/>
        </w:rPr>
        <w:t>, 15.</w:t>
      </w:r>
    </w:p>
    <w:p w14:paraId="26EDCF8B"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Salgado, S. R. T., &amp; Silva Carvalho, E. M. da. (2023). Recommendations for the process of classification of dams in Brazil. </w:t>
      </w:r>
      <w:r w:rsidRPr="00DB423C">
        <w:rPr>
          <w:rFonts w:ascii="Arial" w:hAnsi="Arial" w:cs="Arial"/>
          <w:i/>
          <w:iCs/>
          <w:noProof/>
          <w:szCs w:val="24"/>
        </w:rPr>
        <w:t>U.Porto Journal of Engineering</w:t>
      </w:r>
      <w:r w:rsidRPr="00DB423C">
        <w:rPr>
          <w:rFonts w:ascii="Arial" w:hAnsi="Arial" w:cs="Arial"/>
          <w:noProof/>
          <w:szCs w:val="24"/>
        </w:rPr>
        <w:t xml:space="preserve">, </w:t>
      </w:r>
      <w:r w:rsidRPr="00DB423C">
        <w:rPr>
          <w:rFonts w:ascii="Arial" w:hAnsi="Arial" w:cs="Arial"/>
          <w:i/>
          <w:iCs/>
          <w:noProof/>
          <w:szCs w:val="24"/>
        </w:rPr>
        <w:t>9</w:t>
      </w:r>
      <w:r w:rsidRPr="00DB423C">
        <w:rPr>
          <w:rFonts w:ascii="Arial" w:hAnsi="Arial" w:cs="Arial"/>
          <w:noProof/>
          <w:szCs w:val="24"/>
        </w:rPr>
        <w:t>(3), 223–239. https://doi.org/10.24840/2183-6493_009-003_001968</w:t>
      </w:r>
    </w:p>
    <w:p w14:paraId="0C3FE216"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Stott, R. (1999). The World Bank. </w:t>
      </w:r>
      <w:r w:rsidRPr="00DB423C">
        <w:rPr>
          <w:rFonts w:ascii="Arial" w:hAnsi="Arial" w:cs="Arial"/>
          <w:i/>
          <w:iCs/>
          <w:noProof/>
          <w:szCs w:val="24"/>
        </w:rPr>
        <w:t>British Medical Journal</w:t>
      </w:r>
      <w:r w:rsidRPr="00DB423C">
        <w:rPr>
          <w:rFonts w:ascii="Arial" w:hAnsi="Arial" w:cs="Arial"/>
          <w:noProof/>
          <w:szCs w:val="24"/>
        </w:rPr>
        <w:t xml:space="preserve">, </w:t>
      </w:r>
      <w:r w:rsidRPr="00DB423C">
        <w:rPr>
          <w:rFonts w:ascii="Arial" w:hAnsi="Arial" w:cs="Arial"/>
          <w:i/>
          <w:iCs/>
          <w:noProof/>
          <w:szCs w:val="24"/>
        </w:rPr>
        <w:t>318</w:t>
      </w:r>
      <w:r w:rsidRPr="00DB423C">
        <w:rPr>
          <w:rFonts w:ascii="Arial" w:hAnsi="Arial" w:cs="Arial"/>
          <w:noProof/>
          <w:szCs w:val="24"/>
        </w:rPr>
        <w:t>(7187), 822–823. https://doi.org/10.1136/bmj.318.7187.822</w:t>
      </w:r>
    </w:p>
    <w:p w14:paraId="09D130A0"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6B40FA">
        <w:rPr>
          <w:rFonts w:ascii="Arial" w:hAnsi="Arial" w:cs="Arial"/>
          <w:noProof/>
          <w:szCs w:val="24"/>
          <w:lang w:val="fr-FR"/>
        </w:rPr>
        <w:t xml:space="preserve">Thi, T., Burritt, R. L., &amp; Pisaniello, J. D. (2012). </w:t>
      </w:r>
      <w:r w:rsidRPr="00DB423C">
        <w:rPr>
          <w:rFonts w:ascii="Arial" w:hAnsi="Arial" w:cs="Arial"/>
          <w:i/>
          <w:iCs/>
          <w:noProof/>
          <w:szCs w:val="24"/>
        </w:rPr>
        <w:t>Adequacy of policy and practices for small agricultural dam safety accountability and assurance in Vietnam</w:t>
      </w:r>
      <w:r w:rsidRPr="00DB423C">
        <w:rPr>
          <w:rFonts w:ascii="Arial" w:hAnsi="Arial" w:cs="Arial"/>
          <w:noProof/>
          <w:szCs w:val="24"/>
        </w:rPr>
        <w:t xml:space="preserve">. </w:t>
      </w:r>
      <w:r w:rsidRPr="00DB423C">
        <w:rPr>
          <w:rFonts w:ascii="Arial" w:hAnsi="Arial" w:cs="Arial"/>
          <w:i/>
          <w:iCs/>
          <w:noProof/>
          <w:szCs w:val="24"/>
        </w:rPr>
        <w:t>112</w:t>
      </w:r>
      <w:r w:rsidRPr="00DB423C">
        <w:rPr>
          <w:rFonts w:ascii="Arial" w:hAnsi="Arial" w:cs="Arial"/>
          <w:noProof/>
          <w:szCs w:val="24"/>
        </w:rPr>
        <w:t>, 63–74.</w:t>
      </w:r>
    </w:p>
    <w:p w14:paraId="39431A4E"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Tietenberg, T. (1998). Disclosure strategies for pollution control. </w:t>
      </w:r>
      <w:r w:rsidRPr="00DB423C">
        <w:rPr>
          <w:rFonts w:ascii="Arial" w:hAnsi="Arial" w:cs="Arial"/>
          <w:i/>
          <w:iCs/>
          <w:noProof/>
          <w:szCs w:val="24"/>
        </w:rPr>
        <w:t>Environmental and Resource Economics</w:t>
      </w:r>
      <w:r w:rsidRPr="00DB423C">
        <w:rPr>
          <w:rFonts w:ascii="Arial" w:hAnsi="Arial" w:cs="Arial"/>
          <w:noProof/>
          <w:szCs w:val="24"/>
        </w:rPr>
        <w:t xml:space="preserve">, </w:t>
      </w:r>
      <w:r w:rsidRPr="00DB423C">
        <w:rPr>
          <w:rFonts w:ascii="Arial" w:hAnsi="Arial" w:cs="Arial"/>
          <w:i/>
          <w:iCs/>
          <w:noProof/>
          <w:szCs w:val="24"/>
        </w:rPr>
        <w:t>11</w:t>
      </w:r>
      <w:r w:rsidRPr="00DB423C">
        <w:rPr>
          <w:rFonts w:ascii="Arial" w:hAnsi="Arial" w:cs="Arial"/>
          <w:noProof/>
          <w:szCs w:val="24"/>
        </w:rPr>
        <w:t>(3–4), 587–602. https://doi.org/10.1023/a:1008291411492</w:t>
      </w:r>
    </w:p>
    <w:p w14:paraId="5E54F44E"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Tingey-Holyoak, J., Pisaniello, J. D., &amp; Burritt, R. L. (2011). Analysis and application of international dam safety policy benchmarks. </w:t>
      </w:r>
      <w:r w:rsidRPr="00DB423C">
        <w:rPr>
          <w:rFonts w:ascii="Arial" w:hAnsi="Arial" w:cs="Arial"/>
          <w:i/>
          <w:iCs/>
          <w:noProof/>
          <w:szCs w:val="24"/>
        </w:rPr>
        <w:t>Benchmarking</w:t>
      </w:r>
      <w:r w:rsidRPr="00DB423C">
        <w:rPr>
          <w:rFonts w:ascii="Arial" w:hAnsi="Arial" w:cs="Arial"/>
          <w:noProof/>
          <w:szCs w:val="24"/>
        </w:rPr>
        <w:t xml:space="preserve">, </w:t>
      </w:r>
      <w:r w:rsidRPr="00DB423C">
        <w:rPr>
          <w:rFonts w:ascii="Arial" w:hAnsi="Arial" w:cs="Arial"/>
          <w:i/>
          <w:iCs/>
          <w:noProof/>
          <w:szCs w:val="24"/>
        </w:rPr>
        <w:t>18</w:t>
      </w:r>
      <w:r w:rsidRPr="00DB423C">
        <w:rPr>
          <w:rFonts w:ascii="Arial" w:hAnsi="Arial" w:cs="Arial"/>
          <w:noProof/>
          <w:szCs w:val="24"/>
        </w:rPr>
        <w:t>(2), 301–317. https://doi.org/10.1108/14635771111121720</w:t>
      </w:r>
    </w:p>
    <w:p w14:paraId="7C2D4998" w14:textId="77777777" w:rsidR="00E8111D" w:rsidRPr="00DB423C" w:rsidRDefault="00E8111D" w:rsidP="00E8111D">
      <w:pPr>
        <w:widowControl w:val="0"/>
        <w:autoSpaceDE w:val="0"/>
        <w:autoSpaceDN w:val="0"/>
        <w:adjustRightInd w:val="0"/>
        <w:ind w:left="480" w:hanging="480"/>
        <w:rPr>
          <w:rFonts w:ascii="Arial" w:hAnsi="Arial" w:cs="Arial"/>
          <w:noProof/>
          <w:szCs w:val="24"/>
        </w:rPr>
      </w:pPr>
      <w:r w:rsidRPr="00DB423C">
        <w:rPr>
          <w:rFonts w:ascii="Arial" w:hAnsi="Arial" w:cs="Arial"/>
          <w:noProof/>
          <w:szCs w:val="24"/>
        </w:rPr>
        <w:t xml:space="preserve">Wagner, M., &amp; Schaltegger, S. (2003). How does sustainability performance relate to business competitiveness? </w:t>
      </w:r>
      <w:r w:rsidRPr="00DB423C">
        <w:rPr>
          <w:rFonts w:ascii="Arial" w:hAnsi="Arial" w:cs="Arial"/>
          <w:i/>
          <w:iCs/>
          <w:noProof/>
          <w:szCs w:val="24"/>
        </w:rPr>
        <w:t>Greener Management International</w:t>
      </w:r>
      <w:r w:rsidRPr="00DB423C">
        <w:rPr>
          <w:rFonts w:ascii="Arial" w:hAnsi="Arial" w:cs="Arial"/>
          <w:noProof/>
          <w:szCs w:val="24"/>
        </w:rPr>
        <w:t xml:space="preserve">, </w:t>
      </w:r>
      <w:r w:rsidRPr="00DB423C">
        <w:rPr>
          <w:rFonts w:ascii="Arial" w:hAnsi="Arial" w:cs="Arial"/>
          <w:i/>
          <w:iCs/>
          <w:noProof/>
          <w:szCs w:val="24"/>
        </w:rPr>
        <w:t>44</w:t>
      </w:r>
      <w:r w:rsidRPr="00DB423C">
        <w:rPr>
          <w:rFonts w:ascii="Arial" w:hAnsi="Arial" w:cs="Arial"/>
          <w:noProof/>
          <w:szCs w:val="24"/>
        </w:rPr>
        <w:t>, 5–16. https://doi.org/10.9774/GLEAF.3062.2003.wi.00003</w:t>
      </w:r>
    </w:p>
    <w:p w14:paraId="706D56AF" w14:textId="77777777" w:rsidR="00E8111D" w:rsidRPr="00DB423C" w:rsidRDefault="00E8111D" w:rsidP="00E8111D">
      <w:pPr>
        <w:widowControl w:val="0"/>
        <w:autoSpaceDE w:val="0"/>
        <w:autoSpaceDN w:val="0"/>
        <w:adjustRightInd w:val="0"/>
        <w:ind w:left="480" w:hanging="480"/>
        <w:rPr>
          <w:rFonts w:ascii="Arial" w:hAnsi="Arial" w:cs="Arial"/>
          <w:noProof/>
        </w:rPr>
      </w:pPr>
      <w:r w:rsidRPr="00DB423C">
        <w:rPr>
          <w:rFonts w:ascii="Arial" w:hAnsi="Arial" w:cs="Arial"/>
          <w:noProof/>
          <w:szCs w:val="24"/>
        </w:rPr>
        <w:t xml:space="preserve">Zivie-Cohce, C. (1997). No Titleیلیب. </w:t>
      </w:r>
      <w:r w:rsidRPr="00DB423C">
        <w:rPr>
          <w:rFonts w:ascii="Arial" w:hAnsi="Arial" w:cs="Arial"/>
          <w:i/>
          <w:iCs/>
          <w:noProof/>
          <w:szCs w:val="24"/>
        </w:rPr>
        <w:t>Nucl. Phys.</w:t>
      </w:r>
      <w:r w:rsidRPr="00DB423C">
        <w:rPr>
          <w:rFonts w:ascii="Arial" w:hAnsi="Arial" w:cs="Arial"/>
          <w:noProof/>
          <w:szCs w:val="24"/>
        </w:rPr>
        <w:t xml:space="preserve">, </w:t>
      </w:r>
      <w:r w:rsidRPr="00DB423C">
        <w:rPr>
          <w:rFonts w:ascii="Arial" w:hAnsi="Arial" w:cs="Arial"/>
          <w:i/>
          <w:iCs/>
          <w:noProof/>
          <w:szCs w:val="24"/>
        </w:rPr>
        <w:t>13</w:t>
      </w:r>
      <w:r w:rsidRPr="00DB423C">
        <w:rPr>
          <w:rFonts w:ascii="Arial" w:hAnsi="Arial" w:cs="Arial"/>
          <w:noProof/>
          <w:szCs w:val="24"/>
        </w:rPr>
        <w:t>(1), 1–122.</w:t>
      </w:r>
    </w:p>
    <w:p w14:paraId="2DA36B31" w14:textId="77777777" w:rsidR="00B01FCD" w:rsidRPr="00FB3A86" w:rsidRDefault="00E8111D" w:rsidP="00E8111D">
      <w:pPr>
        <w:pStyle w:val="Appendix"/>
        <w:spacing w:after="0"/>
        <w:jc w:val="both"/>
        <w:rPr>
          <w:rFonts w:ascii="Arial" w:hAnsi="Arial" w:cs="Arial"/>
          <w:b w:val="0"/>
        </w:rPr>
      </w:pPr>
      <w:r w:rsidRPr="00D62A3B">
        <w:rPr>
          <w:rFonts w:ascii="Arial" w:eastAsia="Calibri" w:hAnsi="Arial" w:cs="Arial"/>
          <w:kern w:val="2"/>
          <w14:ligatures w14:val="standardContextual"/>
        </w:rPr>
        <w:fldChar w:fldCharType="end"/>
      </w:r>
    </w:p>
    <w:sectPr w:rsidR="00B01FCD" w:rsidRPr="00FB3A86" w:rsidSect="000E2D4C">
      <w:headerReference w:type="even" r:id="rId15"/>
      <w:headerReference w:type="default" r:id="rId16"/>
      <w:footerReference w:type="default" r:id="rId17"/>
      <w:headerReference w:type="first" r:id="rId18"/>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A9B88" w14:textId="77777777" w:rsidR="0076207D" w:rsidRDefault="0076207D" w:rsidP="00C37E61">
      <w:r>
        <w:separator/>
      </w:r>
    </w:p>
  </w:endnote>
  <w:endnote w:type="continuationSeparator" w:id="0">
    <w:p w14:paraId="10EF8C11" w14:textId="77777777" w:rsidR="0076207D" w:rsidRDefault="007620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AE65" w14:textId="77777777" w:rsidR="000E2D4C" w:rsidRDefault="000E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AF3F" w14:textId="77777777" w:rsidR="000E2D4C" w:rsidRDefault="000E2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0FE3" w14:textId="77777777" w:rsidR="009E048A" w:rsidRDefault="009E048A">
    <w:pPr>
      <w:pStyle w:val="Footer"/>
      <w:rPr>
        <w:rFonts w:ascii="Arial" w:hAnsi="Arial" w:cs="Arial"/>
        <w:sz w:val="16"/>
      </w:rPr>
    </w:pPr>
  </w:p>
  <w:p w14:paraId="3018324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4DE48D" w14:textId="77777777" w:rsidR="009E048A" w:rsidRDefault="009E048A">
    <w:pPr>
      <w:pStyle w:val="Footer"/>
      <w:rPr>
        <w:rFonts w:ascii="Arial" w:hAnsi="Arial" w:cs="Arial"/>
        <w:sz w:val="16"/>
      </w:rPr>
    </w:pPr>
  </w:p>
  <w:p w14:paraId="6645BA6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C69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07BD" w14:textId="77777777" w:rsidR="0076207D" w:rsidRDefault="0076207D" w:rsidP="00C37E61">
      <w:r>
        <w:separator/>
      </w:r>
    </w:p>
  </w:footnote>
  <w:footnote w:type="continuationSeparator" w:id="0">
    <w:p w14:paraId="0A6971C0" w14:textId="77777777" w:rsidR="0076207D" w:rsidRDefault="007620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325E" w14:textId="606A8635" w:rsidR="000E2D4C" w:rsidRDefault="000E2D4C">
    <w:pPr>
      <w:pStyle w:val="Header"/>
    </w:pPr>
    <w:r>
      <w:rPr>
        <w:noProof/>
      </w:rPr>
      <w:pict w14:anchorId="3062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2" o:spid="_x0000_s1026"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4FF5" w14:textId="0D076410" w:rsidR="000E2D4C" w:rsidRDefault="000E2D4C">
    <w:pPr>
      <w:pStyle w:val="Header"/>
    </w:pPr>
    <w:r>
      <w:rPr>
        <w:noProof/>
      </w:rPr>
      <w:pict w14:anchorId="2CCB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3" o:spid="_x0000_s1027"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95FC" w14:textId="40E1FCAE" w:rsidR="00296529" w:rsidRPr="00296529" w:rsidRDefault="000E2D4C" w:rsidP="00296529">
    <w:pPr>
      <w:ind w:left="2160"/>
      <w:jc w:val="center"/>
      <w:rPr>
        <w:rFonts w:ascii="Times New Roman" w:eastAsia="Calibri" w:hAnsi="Times New Roman"/>
        <w:i/>
        <w:sz w:val="18"/>
        <w:szCs w:val="22"/>
      </w:rPr>
    </w:pPr>
    <w:r>
      <w:rPr>
        <w:noProof/>
      </w:rPr>
      <w:pict w14:anchorId="0B010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1" o:spid="_x0000_s1025"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D59B5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B46A2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598A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DACB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47B9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AC045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1348" w14:textId="72BC700B" w:rsidR="000E2D4C" w:rsidRDefault="000E2D4C">
    <w:pPr>
      <w:pStyle w:val="Header"/>
    </w:pPr>
    <w:r>
      <w:rPr>
        <w:noProof/>
      </w:rPr>
      <w:pict w14:anchorId="26E9C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5" o:spid="_x0000_s1029"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2631" w14:textId="21F210C1" w:rsidR="000E2D4C" w:rsidRDefault="000E2D4C">
    <w:pPr>
      <w:pStyle w:val="Header"/>
    </w:pPr>
    <w:r>
      <w:rPr>
        <w:noProof/>
      </w:rPr>
      <w:pict w14:anchorId="30F4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6" o:spid="_x0000_s1030"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7F7B" w14:textId="240264CF" w:rsidR="000E2D4C" w:rsidRDefault="000E2D4C">
    <w:pPr>
      <w:pStyle w:val="Header"/>
    </w:pPr>
    <w:r>
      <w:rPr>
        <w:noProof/>
      </w:rPr>
      <w:pict w14:anchorId="6E14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567284" o:spid="_x0000_s1028"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702A7"/>
    <w:multiLevelType w:val="multilevel"/>
    <w:tmpl w:val="57E702A7"/>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12028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3566822">
    <w:abstractNumId w:val="15"/>
  </w:num>
  <w:num w:numId="3" w16cid:durableId="1857694184">
    <w:abstractNumId w:val="24"/>
  </w:num>
  <w:num w:numId="4" w16cid:durableId="16440395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57071503">
    <w:abstractNumId w:val="7"/>
  </w:num>
  <w:num w:numId="6" w16cid:durableId="972563233">
    <w:abstractNumId w:val="6"/>
  </w:num>
  <w:num w:numId="7" w16cid:durableId="1175420318">
    <w:abstractNumId w:val="1"/>
  </w:num>
  <w:num w:numId="8" w16cid:durableId="1138572876">
    <w:abstractNumId w:val="12"/>
  </w:num>
  <w:num w:numId="9" w16cid:durableId="295837797">
    <w:abstractNumId w:val="26"/>
  </w:num>
  <w:num w:numId="10" w16cid:durableId="119233053">
    <w:abstractNumId w:val="2"/>
  </w:num>
  <w:num w:numId="11" w16cid:durableId="695153641">
    <w:abstractNumId w:val="19"/>
  </w:num>
  <w:num w:numId="12" w16cid:durableId="647128213">
    <w:abstractNumId w:val="3"/>
  </w:num>
  <w:num w:numId="13" w16cid:durableId="632246981">
    <w:abstractNumId w:val="18"/>
  </w:num>
  <w:num w:numId="14" w16cid:durableId="1863208502">
    <w:abstractNumId w:val="8"/>
  </w:num>
  <w:num w:numId="15" w16cid:durableId="1614631214">
    <w:abstractNumId w:val="22"/>
  </w:num>
  <w:num w:numId="16" w16cid:durableId="1422796889">
    <w:abstractNumId w:val="5"/>
  </w:num>
  <w:num w:numId="17" w16cid:durableId="167643857">
    <w:abstractNumId w:val="23"/>
  </w:num>
  <w:num w:numId="18" w16cid:durableId="1149982516">
    <w:abstractNumId w:val="14"/>
  </w:num>
  <w:num w:numId="19" w16cid:durableId="1610620455">
    <w:abstractNumId w:val="29"/>
  </w:num>
  <w:num w:numId="20" w16cid:durableId="1030573528">
    <w:abstractNumId w:val="11"/>
  </w:num>
  <w:num w:numId="21" w16cid:durableId="1666470223">
    <w:abstractNumId w:val="9"/>
  </w:num>
  <w:num w:numId="22" w16cid:durableId="1620409191">
    <w:abstractNumId w:val="13"/>
  </w:num>
  <w:num w:numId="23" w16cid:durableId="2131047479">
    <w:abstractNumId w:val="20"/>
  </w:num>
  <w:num w:numId="24" w16cid:durableId="157769323">
    <w:abstractNumId w:val="27"/>
  </w:num>
  <w:num w:numId="25" w16cid:durableId="615138248">
    <w:abstractNumId w:val="4"/>
  </w:num>
  <w:num w:numId="26" w16cid:durableId="1715303540">
    <w:abstractNumId w:val="16"/>
  </w:num>
  <w:num w:numId="27" w16cid:durableId="968319586">
    <w:abstractNumId w:val="21"/>
  </w:num>
  <w:num w:numId="28" w16cid:durableId="1160803964">
    <w:abstractNumId w:val="28"/>
  </w:num>
  <w:num w:numId="29" w16cid:durableId="1936131809">
    <w:abstractNumId w:val="25"/>
  </w:num>
  <w:num w:numId="30" w16cid:durableId="1985044965">
    <w:abstractNumId w:val="10"/>
  </w:num>
  <w:num w:numId="31" w16cid:durableId="2058504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2C4F"/>
    <w:rsid w:val="000A47FA"/>
    <w:rsid w:val="000A65D3"/>
    <w:rsid w:val="000B1E33"/>
    <w:rsid w:val="000C56B0"/>
    <w:rsid w:val="000D689F"/>
    <w:rsid w:val="000E2D4C"/>
    <w:rsid w:val="000E7B7B"/>
    <w:rsid w:val="000E7D62"/>
    <w:rsid w:val="00103357"/>
    <w:rsid w:val="001234D1"/>
    <w:rsid w:val="00123C9F"/>
    <w:rsid w:val="00126190"/>
    <w:rsid w:val="00130F17"/>
    <w:rsid w:val="001320BF"/>
    <w:rsid w:val="00163BC4"/>
    <w:rsid w:val="001731B8"/>
    <w:rsid w:val="00191062"/>
    <w:rsid w:val="00192B72"/>
    <w:rsid w:val="001A29D8"/>
    <w:rsid w:val="001A5CAA"/>
    <w:rsid w:val="001B0427"/>
    <w:rsid w:val="001B34AF"/>
    <w:rsid w:val="001C097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87ED5"/>
    <w:rsid w:val="00296529"/>
    <w:rsid w:val="002B27FB"/>
    <w:rsid w:val="002B685A"/>
    <w:rsid w:val="002C57D2"/>
    <w:rsid w:val="002E0D56"/>
    <w:rsid w:val="00315186"/>
    <w:rsid w:val="003223C1"/>
    <w:rsid w:val="0033343E"/>
    <w:rsid w:val="003512C2"/>
    <w:rsid w:val="00371FB6"/>
    <w:rsid w:val="003763C1"/>
    <w:rsid w:val="00376BBE"/>
    <w:rsid w:val="0039224F"/>
    <w:rsid w:val="003941B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4E96"/>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4E8C"/>
    <w:rsid w:val="006B21D3"/>
    <w:rsid w:val="006B57D0"/>
    <w:rsid w:val="006D30FF"/>
    <w:rsid w:val="006D6940"/>
    <w:rsid w:val="006F11EC"/>
    <w:rsid w:val="0070082C"/>
    <w:rsid w:val="007369E6"/>
    <w:rsid w:val="00746E59"/>
    <w:rsid w:val="00754C9A"/>
    <w:rsid w:val="0075599A"/>
    <w:rsid w:val="00761D52"/>
    <w:rsid w:val="0076207D"/>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20B5"/>
    <w:rsid w:val="008E13AE"/>
    <w:rsid w:val="008E1506"/>
    <w:rsid w:val="008E567A"/>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3916"/>
    <w:rsid w:val="00B52583"/>
    <w:rsid w:val="00B52896"/>
    <w:rsid w:val="00B95236"/>
    <w:rsid w:val="00B96BD9"/>
    <w:rsid w:val="00BA1B01"/>
    <w:rsid w:val="00BA2641"/>
    <w:rsid w:val="00BB37AA"/>
    <w:rsid w:val="00BB60DB"/>
    <w:rsid w:val="00BC53A0"/>
    <w:rsid w:val="00BE4482"/>
    <w:rsid w:val="00BE62AD"/>
    <w:rsid w:val="00BF121F"/>
    <w:rsid w:val="00BF1D15"/>
    <w:rsid w:val="00BF1F80"/>
    <w:rsid w:val="00C15D52"/>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2A91"/>
    <w:rsid w:val="00DC2A65"/>
    <w:rsid w:val="00DE15F0"/>
    <w:rsid w:val="00DE5663"/>
    <w:rsid w:val="00DE78AA"/>
    <w:rsid w:val="00E053D0"/>
    <w:rsid w:val="00E15994"/>
    <w:rsid w:val="00E3114E"/>
    <w:rsid w:val="00E31A70"/>
    <w:rsid w:val="00E35B02"/>
    <w:rsid w:val="00E655E6"/>
    <w:rsid w:val="00E66496"/>
    <w:rsid w:val="00E66B35"/>
    <w:rsid w:val="00E66E10"/>
    <w:rsid w:val="00E769F6"/>
    <w:rsid w:val="00E8111D"/>
    <w:rsid w:val="00E8407C"/>
    <w:rsid w:val="00E84F3C"/>
    <w:rsid w:val="00EA012C"/>
    <w:rsid w:val="00EB0E30"/>
    <w:rsid w:val="00EC6A55"/>
    <w:rsid w:val="00ED0288"/>
    <w:rsid w:val="00EE04EB"/>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216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941B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417A-5E84-42EF-989C-92A8994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12</Pages>
  <Words>17206</Words>
  <Characters>98075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115051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7</cp:revision>
  <cp:lastPrinted>1999-07-06T11:00:00Z</cp:lastPrinted>
  <dcterms:created xsi:type="dcterms:W3CDTF">2024-12-04T12:51:00Z</dcterms:created>
  <dcterms:modified xsi:type="dcterms:W3CDTF">2024-12-07T13:07:00Z</dcterms:modified>
</cp:coreProperties>
</file>