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E1F6B" w14:textId="1F5A0222" w:rsidR="0054107F" w:rsidRPr="000B1E5B" w:rsidRDefault="0054107F" w:rsidP="00A418BC">
      <w:pPr>
        <w:tabs>
          <w:tab w:val="left" w:pos="5320"/>
        </w:tabs>
        <w:spacing w:line="240" w:lineRule="auto"/>
        <w:jc w:val="both"/>
        <w:rPr>
          <w:rFonts w:ascii="Arial" w:hAnsi="Arial" w:cs="Arial"/>
          <w:sz w:val="24"/>
          <w:szCs w:val="24"/>
        </w:rPr>
      </w:pPr>
    </w:p>
    <w:p w14:paraId="7E076060" w14:textId="77777777" w:rsidR="00534786" w:rsidRDefault="00534786" w:rsidP="00534786">
      <w:pPr>
        <w:spacing w:after="0" w:line="276" w:lineRule="auto"/>
        <w:jc w:val="center"/>
        <w:rPr>
          <w:rFonts w:ascii="Arial" w:hAnsi="Arial" w:cs="Arial"/>
          <w:b/>
          <w:bCs/>
          <w:i/>
          <w:iCs/>
          <w:sz w:val="36"/>
          <w:szCs w:val="36"/>
          <w:u w:val="single"/>
          <w:lang w:val="en-US"/>
        </w:rPr>
      </w:pPr>
      <w:r w:rsidRPr="00534786">
        <w:rPr>
          <w:rFonts w:ascii="Arial" w:hAnsi="Arial" w:cs="Arial"/>
          <w:b/>
          <w:bCs/>
          <w:i/>
          <w:iCs/>
          <w:sz w:val="36"/>
          <w:szCs w:val="36"/>
          <w:u w:val="single"/>
          <w:lang w:val="en-US"/>
        </w:rPr>
        <w:t>Original Research Article</w:t>
      </w:r>
    </w:p>
    <w:p w14:paraId="06569124" w14:textId="77777777" w:rsidR="00534786" w:rsidRPr="00534786" w:rsidRDefault="00534786" w:rsidP="00534786">
      <w:pPr>
        <w:spacing w:after="0" w:line="276" w:lineRule="auto"/>
        <w:jc w:val="center"/>
        <w:rPr>
          <w:rFonts w:ascii="Arial" w:hAnsi="Arial" w:cs="Arial"/>
          <w:b/>
          <w:bCs/>
          <w:i/>
          <w:iCs/>
          <w:sz w:val="36"/>
          <w:szCs w:val="36"/>
          <w:u w:val="single"/>
          <w:lang w:val="en-US"/>
        </w:rPr>
      </w:pPr>
    </w:p>
    <w:p w14:paraId="73449D69" w14:textId="77777777" w:rsidR="00BD6802" w:rsidRDefault="00BD6802" w:rsidP="00BD6802">
      <w:pPr>
        <w:spacing w:after="0" w:line="276" w:lineRule="auto"/>
        <w:jc w:val="center"/>
        <w:rPr>
          <w:rFonts w:ascii="Arial" w:hAnsi="Arial" w:cs="Arial"/>
          <w:b/>
          <w:bCs/>
          <w:sz w:val="36"/>
          <w:szCs w:val="36"/>
        </w:rPr>
      </w:pPr>
      <w:r w:rsidRPr="00BD6802">
        <w:rPr>
          <w:rFonts w:ascii="Arial" w:hAnsi="Arial" w:cs="Arial"/>
          <w:b/>
          <w:bCs/>
          <w:sz w:val="36"/>
          <w:szCs w:val="36"/>
        </w:rPr>
        <w:t>Predictors of Food Insecurity in the Sundarbans: Multinomial Logit Approach Apropos the Food Insecurity Experience Scale</w:t>
      </w:r>
    </w:p>
    <w:p w14:paraId="0ABF0E40" w14:textId="77777777" w:rsidR="00E63070" w:rsidRDefault="00E63070" w:rsidP="00A418BC">
      <w:pPr>
        <w:jc w:val="center"/>
        <w:rPr>
          <w:rFonts w:ascii="Arial" w:hAnsi="Arial" w:cs="Arial"/>
          <w:b/>
          <w:bCs/>
        </w:rPr>
      </w:pPr>
    </w:p>
    <w:p w14:paraId="3BFC557B" w14:textId="52A7CF0D" w:rsidR="00CA0367" w:rsidRPr="000B1E5B" w:rsidRDefault="00CA0367" w:rsidP="00A418BC">
      <w:pPr>
        <w:jc w:val="center"/>
        <w:rPr>
          <w:rFonts w:ascii="Arial" w:hAnsi="Arial" w:cs="Arial"/>
          <w:b/>
          <w:bCs/>
        </w:rPr>
      </w:pPr>
      <w:r w:rsidRPr="000B1E5B">
        <w:rPr>
          <w:rFonts w:ascii="Arial" w:hAnsi="Arial" w:cs="Arial"/>
          <w:b/>
          <w:bCs/>
        </w:rPr>
        <w:t>ABSTRACT</w:t>
      </w:r>
    </w:p>
    <w:p w14:paraId="6FA7B68B" w14:textId="77777777" w:rsidR="006A5C82" w:rsidRPr="006A5C82" w:rsidRDefault="006A5C82" w:rsidP="006A5C82">
      <w:pPr>
        <w:spacing w:after="0"/>
        <w:jc w:val="both"/>
        <w:rPr>
          <w:rFonts w:ascii="Arial" w:hAnsi="Arial" w:cs="Arial"/>
          <w:sz w:val="20"/>
          <w:szCs w:val="20"/>
        </w:rPr>
      </w:pPr>
      <w:r w:rsidRPr="006A5C82">
        <w:rPr>
          <w:rFonts w:ascii="Arial" w:hAnsi="Arial" w:cs="Arial"/>
          <w:sz w:val="20"/>
          <w:szCs w:val="20"/>
        </w:rPr>
        <w:t>Aims: This study examines socio-economic and demographic determinants of food insecurity in the Sundarbans region using a multinomial logistic regression model, aiming to identify key predictors of food insecurity levels and provide evidence-based recommendations for resilience and food security improvement in this ecologically fragile area.</w:t>
      </w:r>
    </w:p>
    <w:p w14:paraId="1012E25E" w14:textId="77777777" w:rsidR="006A5C82" w:rsidRPr="006A5C82" w:rsidRDefault="006A5C82" w:rsidP="006A5C82">
      <w:pPr>
        <w:spacing w:after="0"/>
        <w:jc w:val="both"/>
        <w:rPr>
          <w:rFonts w:ascii="Arial" w:hAnsi="Arial" w:cs="Arial"/>
          <w:sz w:val="20"/>
          <w:szCs w:val="20"/>
        </w:rPr>
      </w:pPr>
      <w:r w:rsidRPr="006A5C82">
        <w:rPr>
          <w:rFonts w:ascii="Arial" w:hAnsi="Arial" w:cs="Arial"/>
          <w:sz w:val="20"/>
          <w:szCs w:val="20"/>
        </w:rPr>
        <w:t>Study Design: A cross-sectional analytical study employing multinomial logistic regression to assess categorical predictors of food insecurity.</w:t>
      </w:r>
    </w:p>
    <w:p w14:paraId="3F82EAF8" w14:textId="77777777" w:rsidR="006A5C82" w:rsidRPr="006A5C82" w:rsidRDefault="006A5C82" w:rsidP="006A5C82">
      <w:pPr>
        <w:spacing w:after="0"/>
        <w:jc w:val="both"/>
        <w:rPr>
          <w:rFonts w:ascii="Arial" w:hAnsi="Arial" w:cs="Arial"/>
          <w:sz w:val="20"/>
          <w:szCs w:val="20"/>
        </w:rPr>
      </w:pPr>
      <w:r w:rsidRPr="006A5C82">
        <w:rPr>
          <w:rFonts w:ascii="Arial" w:hAnsi="Arial" w:cs="Arial"/>
          <w:sz w:val="20"/>
          <w:szCs w:val="20"/>
        </w:rPr>
        <w:t xml:space="preserve">Place and Duration of Study: Data were collected over six months (January 2024–December 2024 at regular time interval) across 11 blocks in South and North 24 Parganas, such as </w:t>
      </w:r>
      <w:proofErr w:type="spellStart"/>
      <w:r w:rsidRPr="006A5C82">
        <w:rPr>
          <w:rFonts w:ascii="Arial" w:hAnsi="Arial" w:cs="Arial"/>
          <w:sz w:val="20"/>
          <w:szCs w:val="20"/>
        </w:rPr>
        <w:t>Gosaba</w:t>
      </w:r>
      <w:proofErr w:type="spellEnd"/>
      <w:r w:rsidRPr="006A5C82">
        <w:rPr>
          <w:rFonts w:ascii="Arial" w:hAnsi="Arial" w:cs="Arial"/>
          <w:sz w:val="20"/>
          <w:szCs w:val="20"/>
        </w:rPr>
        <w:t xml:space="preserve">, </w:t>
      </w:r>
      <w:proofErr w:type="spellStart"/>
      <w:r w:rsidRPr="006A5C82">
        <w:rPr>
          <w:rFonts w:ascii="Arial" w:hAnsi="Arial" w:cs="Arial"/>
          <w:sz w:val="20"/>
          <w:szCs w:val="20"/>
        </w:rPr>
        <w:t>Basanti</w:t>
      </w:r>
      <w:proofErr w:type="spellEnd"/>
      <w:r w:rsidRPr="006A5C82">
        <w:rPr>
          <w:rFonts w:ascii="Arial" w:hAnsi="Arial" w:cs="Arial"/>
          <w:sz w:val="20"/>
          <w:szCs w:val="20"/>
        </w:rPr>
        <w:t xml:space="preserve">, </w:t>
      </w:r>
      <w:proofErr w:type="spellStart"/>
      <w:r w:rsidRPr="006A5C82">
        <w:rPr>
          <w:rFonts w:ascii="Arial" w:hAnsi="Arial" w:cs="Arial"/>
          <w:sz w:val="20"/>
          <w:szCs w:val="20"/>
        </w:rPr>
        <w:t>Kakdwip</w:t>
      </w:r>
      <w:proofErr w:type="spellEnd"/>
      <w:r w:rsidRPr="006A5C82">
        <w:rPr>
          <w:rFonts w:ascii="Arial" w:hAnsi="Arial" w:cs="Arial"/>
          <w:sz w:val="20"/>
          <w:szCs w:val="20"/>
        </w:rPr>
        <w:t>, and Sagar.</w:t>
      </w:r>
    </w:p>
    <w:p w14:paraId="1C7CF620" w14:textId="77777777" w:rsidR="006A5C82" w:rsidRPr="006A5C82" w:rsidRDefault="006A5C82" w:rsidP="006A5C82">
      <w:pPr>
        <w:spacing w:after="0"/>
        <w:jc w:val="both"/>
        <w:rPr>
          <w:rFonts w:ascii="Arial" w:hAnsi="Arial" w:cs="Arial"/>
          <w:sz w:val="20"/>
          <w:szCs w:val="20"/>
        </w:rPr>
      </w:pPr>
      <w:r w:rsidRPr="006A5C82">
        <w:rPr>
          <w:rFonts w:ascii="Arial" w:hAnsi="Arial" w:cs="Arial"/>
          <w:sz w:val="20"/>
          <w:szCs w:val="20"/>
        </w:rPr>
        <w:t xml:space="preserve">Methodology: Structured interviews were conducted with 300 randomly selected respondents from a pool of individuals representing diverse livelihood groups. Socio-economic and environmental data were collected, including household income, cultivated land, education, indebtedness, and extension services participation. Food insecurity was categorized as food secure, moderately food insecure, and severely food insecure, and </w:t>
      </w:r>
      <w:proofErr w:type="spellStart"/>
      <w:r w:rsidRPr="006A5C82">
        <w:rPr>
          <w:rFonts w:ascii="Arial" w:hAnsi="Arial" w:cs="Arial"/>
          <w:sz w:val="20"/>
          <w:szCs w:val="20"/>
        </w:rPr>
        <w:t>analyzed</w:t>
      </w:r>
      <w:proofErr w:type="spellEnd"/>
      <w:r w:rsidRPr="006A5C82">
        <w:rPr>
          <w:rFonts w:ascii="Arial" w:hAnsi="Arial" w:cs="Arial"/>
          <w:sz w:val="20"/>
          <w:szCs w:val="20"/>
        </w:rPr>
        <w:t xml:space="preserve"> through multinomial logistic regression.</w:t>
      </w:r>
    </w:p>
    <w:p w14:paraId="00FAEECA" w14:textId="77777777" w:rsidR="006A5C82" w:rsidRPr="006A5C82" w:rsidRDefault="006A5C82" w:rsidP="006A5C82">
      <w:pPr>
        <w:spacing w:after="0"/>
        <w:jc w:val="both"/>
        <w:rPr>
          <w:rFonts w:ascii="Arial" w:hAnsi="Arial" w:cs="Arial"/>
          <w:sz w:val="20"/>
          <w:szCs w:val="20"/>
        </w:rPr>
      </w:pPr>
      <w:r w:rsidRPr="006A5C82">
        <w:rPr>
          <w:rFonts w:ascii="Arial" w:hAnsi="Arial" w:cs="Arial"/>
          <w:sz w:val="20"/>
          <w:szCs w:val="20"/>
        </w:rPr>
        <w:t>Results: The model demonstrated 80.9% overall predictive accuracy, correctly classifying 78.9% of food-secure households, 91.7% of moderately food-insecure households, and 39.5% of severely food-insecure households. Key protective factors included access to cultivated land, household education, and social capital, which mitigated food insecurity. In contrast, indebtedness and number of skipped meals increased food vulnerability. Agricultural extension services and formal in-kind transfers were effective interventions, particularly for severe food insecurity. Pseudo R-squared values (Nagelkerke: 0.663) confirmed the model’s explanatory strength. The odds ratio ([OR], 0.087; 95% CI 0.020 to 0.384 for ‘total cultivated land’ suggested a significant protective effect against food insecurity at the 1% significance level (p&lt;0.001). One unit increase in cultivated land reduces the odds of food insecurity by approximately 91.3%, underscoring the importance of agricultural land access in enhancing food security.</w:t>
      </w:r>
    </w:p>
    <w:p w14:paraId="5DD752A1" w14:textId="35A76199" w:rsidR="00AA3BD3" w:rsidRPr="00AA3BD3" w:rsidRDefault="006A5C82" w:rsidP="006A5C82">
      <w:pPr>
        <w:spacing w:after="0"/>
        <w:jc w:val="both"/>
        <w:rPr>
          <w:rFonts w:ascii="Arial" w:hAnsi="Arial" w:cs="Arial"/>
          <w:sz w:val="20"/>
          <w:szCs w:val="20"/>
        </w:rPr>
      </w:pPr>
      <w:r w:rsidRPr="006A5C82">
        <w:rPr>
          <w:rFonts w:ascii="Arial" w:hAnsi="Arial" w:cs="Arial"/>
          <w:sz w:val="20"/>
          <w:szCs w:val="20"/>
        </w:rPr>
        <w:t>Conclusion: Combating food insecurity in the Sundarbans requires integrated strategies enhancing land access, debt alleviation, education, social networks, and food assistance programs, offering actionable insights for equitable, sustainable food systems in vulnerable regions.</w:t>
      </w:r>
      <w:r w:rsidR="00AA3BD3" w:rsidRPr="00AA3BD3">
        <w:rPr>
          <w:rFonts w:ascii="Arial" w:hAnsi="Arial" w:cs="Arial"/>
          <w:sz w:val="20"/>
          <w:szCs w:val="20"/>
        </w:rPr>
        <w:t xml:space="preserve"> </w:t>
      </w:r>
    </w:p>
    <w:p w14:paraId="278737CF" w14:textId="77777777" w:rsidR="00AA3BD3" w:rsidRPr="00AA3BD3" w:rsidRDefault="000B1E5B" w:rsidP="00AA3BD3">
      <w:pPr>
        <w:spacing w:after="0"/>
        <w:jc w:val="both"/>
        <w:rPr>
          <w:rFonts w:ascii="Arial" w:hAnsi="Arial" w:cs="Arial"/>
          <w:sz w:val="20"/>
          <w:szCs w:val="20"/>
        </w:rPr>
      </w:pPr>
      <w:r w:rsidRPr="000B1E5B">
        <w:rPr>
          <w:rFonts w:ascii="Arial" w:hAnsi="Arial" w:cs="Arial"/>
          <w:b/>
          <w:bCs/>
          <w:sz w:val="20"/>
          <w:szCs w:val="20"/>
        </w:rPr>
        <w:t>KEYWORDS:</w:t>
      </w:r>
      <w:r w:rsidRPr="000B1E5B">
        <w:rPr>
          <w:rFonts w:ascii="Arial" w:hAnsi="Arial" w:cs="Arial"/>
          <w:sz w:val="20"/>
          <w:szCs w:val="20"/>
        </w:rPr>
        <w:t xml:space="preserve"> </w:t>
      </w:r>
      <w:r w:rsidR="00AA3BD3" w:rsidRPr="00AA3BD3">
        <w:rPr>
          <w:rFonts w:ascii="Arial" w:hAnsi="Arial" w:cs="Arial"/>
          <w:sz w:val="20"/>
          <w:szCs w:val="20"/>
        </w:rPr>
        <w:t>Cultivated Land, Food Insecurity, Multinomial Logistic Regression, Odds Ratio, Socio-Economic Determinants, Sundarbans, Vulnerability Assessment</w:t>
      </w:r>
    </w:p>
    <w:p w14:paraId="0C4927D0" w14:textId="0974B9AC" w:rsidR="00CA0367" w:rsidRDefault="00CA0367" w:rsidP="00AA3BD3">
      <w:pPr>
        <w:spacing w:after="0"/>
        <w:jc w:val="both"/>
        <w:rPr>
          <w:rFonts w:ascii="Arial" w:hAnsi="Arial" w:cs="Arial"/>
          <w:sz w:val="20"/>
          <w:szCs w:val="20"/>
        </w:rPr>
      </w:pPr>
    </w:p>
    <w:p w14:paraId="4FFD4EBB" w14:textId="77777777" w:rsidR="00AA3BD3" w:rsidRPr="00AA3BD3" w:rsidRDefault="00AA3BD3" w:rsidP="00AA3BD3">
      <w:pPr>
        <w:spacing w:after="0"/>
        <w:jc w:val="both"/>
        <w:rPr>
          <w:rFonts w:ascii="Arial" w:hAnsi="Arial" w:cs="Arial"/>
          <w:sz w:val="20"/>
          <w:szCs w:val="20"/>
        </w:rPr>
      </w:pPr>
    </w:p>
    <w:p w14:paraId="4D9580F4" w14:textId="77777777" w:rsidR="00A418BC" w:rsidRPr="000B1E5B" w:rsidRDefault="00A418BC" w:rsidP="00A418BC">
      <w:pPr>
        <w:jc w:val="both"/>
        <w:rPr>
          <w:rFonts w:ascii="Arial" w:hAnsi="Arial" w:cs="Arial"/>
          <w:b/>
          <w:bCs/>
        </w:rPr>
      </w:pPr>
      <w:r w:rsidRPr="000B1E5B">
        <w:rPr>
          <w:rFonts w:ascii="Arial" w:hAnsi="Arial" w:cs="Arial"/>
          <w:b/>
          <w:bCs/>
        </w:rPr>
        <w:t>INTRODUCTION</w:t>
      </w:r>
    </w:p>
    <w:p w14:paraId="4BB4C4CB" w14:textId="66261E9A" w:rsidR="00763ABF" w:rsidRPr="00763ABF" w:rsidRDefault="00763ABF" w:rsidP="00763ABF">
      <w:pPr>
        <w:jc w:val="both"/>
        <w:rPr>
          <w:rFonts w:ascii="Arial" w:hAnsi="Arial" w:cs="Arial"/>
          <w:sz w:val="20"/>
          <w:szCs w:val="20"/>
        </w:rPr>
      </w:pPr>
      <w:r w:rsidRPr="00763ABF">
        <w:rPr>
          <w:rFonts w:ascii="Arial" w:hAnsi="Arial" w:cs="Arial"/>
          <w:sz w:val="20"/>
          <w:szCs w:val="20"/>
        </w:rPr>
        <w:t xml:space="preserve">One of the most important issues facing the world today is food insecurity, which is characterised by irregular access to enough wholesome food that is safe and sufficient for an active and healthy life (FAO, 2023). Leading agencies including the World Food Programme (WFP), UNICEF, and the Food and Agriculture Organisation (FAO) recognise the four main components of food security—access, availability, utilisation, and stability—which together determine how well people are nourished and healthy (WFP, 2022). There are two categories of food insecurity: moderate and severe. Moderate insecurity is characterised by a decrease in the quantity and quality of food, whereas severe insecurity </w:t>
      </w:r>
      <w:r w:rsidRPr="00763ABF">
        <w:rPr>
          <w:rFonts w:ascii="Arial" w:hAnsi="Arial" w:cs="Arial"/>
          <w:sz w:val="20"/>
          <w:szCs w:val="20"/>
        </w:rPr>
        <w:lastRenderedPageBreak/>
        <w:t xml:space="preserve">is characterised by circumstances in which people completely run out of food (FAO </w:t>
      </w:r>
      <w:r w:rsidRPr="00B85C78">
        <w:rPr>
          <w:rFonts w:ascii="Arial" w:hAnsi="Arial" w:cs="Arial"/>
          <w:i/>
          <w:iCs/>
          <w:sz w:val="20"/>
          <w:szCs w:val="20"/>
        </w:rPr>
        <w:t>et al.</w:t>
      </w:r>
      <w:r w:rsidRPr="00763ABF">
        <w:rPr>
          <w:rFonts w:ascii="Arial" w:hAnsi="Arial" w:cs="Arial"/>
          <w:sz w:val="20"/>
          <w:szCs w:val="20"/>
        </w:rPr>
        <w:t>, 2022).</w:t>
      </w:r>
      <w:r>
        <w:rPr>
          <w:rFonts w:ascii="Arial" w:hAnsi="Arial" w:cs="Arial"/>
          <w:sz w:val="20"/>
          <w:szCs w:val="20"/>
        </w:rPr>
        <w:t xml:space="preserve"> </w:t>
      </w:r>
      <w:r w:rsidRPr="00763ABF">
        <w:rPr>
          <w:rFonts w:ascii="Arial" w:hAnsi="Arial" w:cs="Arial"/>
          <w:sz w:val="20"/>
          <w:szCs w:val="20"/>
        </w:rPr>
        <w:t>A number of methods are used around the world to quantify food insecurity, such as the Prevalence of Undernourishment (</w:t>
      </w:r>
      <w:proofErr w:type="spellStart"/>
      <w:r w:rsidRPr="00763ABF">
        <w:rPr>
          <w:rFonts w:ascii="Arial" w:hAnsi="Arial" w:cs="Arial"/>
          <w:sz w:val="20"/>
          <w:szCs w:val="20"/>
        </w:rPr>
        <w:t>PoU</w:t>
      </w:r>
      <w:proofErr w:type="spellEnd"/>
      <w:r w:rsidRPr="00763ABF">
        <w:rPr>
          <w:rFonts w:ascii="Arial" w:hAnsi="Arial" w:cs="Arial"/>
          <w:sz w:val="20"/>
          <w:szCs w:val="20"/>
        </w:rPr>
        <w:t>), which assesses dietary energy deprivation, and the Food Insecurity Experience Scale (FIES), which records personal experiences of food-related hardships (FAO, 2023). Comparative evaluations of food security across countries are offered by composite indexes such as the Global Hunger Index (GHI) and Global Food Security Index (GFSI) (</w:t>
      </w:r>
      <w:r>
        <w:rPr>
          <w:rFonts w:ascii="Arial" w:hAnsi="Arial" w:cs="Arial"/>
          <w:sz w:val="20"/>
          <w:szCs w:val="20"/>
        </w:rPr>
        <w:t>V</w:t>
      </w:r>
      <w:r w:rsidRPr="00763ABF">
        <w:rPr>
          <w:rFonts w:ascii="Arial" w:hAnsi="Arial" w:cs="Arial"/>
          <w:sz w:val="20"/>
          <w:szCs w:val="20"/>
        </w:rPr>
        <w:t xml:space="preserve">on </w:t>
      </w:r>
      <w:proofErr w:type="spellStart"/>
      <w:r w:rsidRPr="00763ABF">
        <w:rPr>
          <w:rFonts w:ascii="Arial" w:hAnsi="Arial" w:cs="Arial"/>
          <w:sz w:val="20"/>
          <w:szCs w:val="20"/>
        </w:rPr>
        <w:t>Grebmer</w:t>
      </w:r>
      <w:proofErr w:type="spellEnd"/>
      <w:r w:rsidRPr="00763ABF">
        <w:rPr>
          <w:rFonts w:ascii="Arial" w:hAnsi="Arial" w:cs="Arial"/>
          <w:sz w:val="20"/>
          <w:szCs w:val="20"/>
        </w:rPr>
        <w:t xml:space="preserve"> </w:t>
      </w:r>
      <w:r w:rsidRPr="00B85C78">
        <w:rPr>
          <w:rFonts w:ascii="Arial" w:hAnsi="Arial" w:cs="Arial"/>
          <w:i/>
          <w:iCs/>
          <w:sz w:val="20"/>
          <w:szCs w:val="20"/>
        </w:rPr>
        <w:t>et al.</w:t>
      </w:r>
      <w:r w:rsidRPr="00763ABF">
        <w:rPr>
          <w:rFonts w:ascii="Arial" w:hAnsi="Arial" w:cs="Arial"/>
          <w:sz w:val="20"/>
          <w:szCs w:val="20"/>
        </w:rPr>
        <w:t>, 2023). Child mortality, stunting, wasting, and undernourishment are all assessed by the Global Hunger Index.</w:t>
      </w:r>
      <w:r>
        <w:rPr>
          <w:rFonts w:ascii="Arial" w:hAnsi="Arial" w:cs="Arial"/>
          <w:sz w:val="20"/>
          <w:szCs w:val="20"/>
        </w:rPr>
        <w:t xml:space="preserve"> </w:t>
      </w:r>
      <w:r w:rsidRPr="00763ABF">
        <w:rPr>
          <w:rFonts w:ascii="Arial" w:hAnsi="Arial" w:cs="Arial"/>
          <w:sz w:val="20"/>
          <w:szCs w:val="20"/>
        </w:rPr>
        <w:t xml:space="preserve">India's GHI 2024 ranking of 105th out of 127 countries with a score of 27.3 for "serious hunger" reflects ongoing issues such as the country's 13.7% undernourished population, 35.5% stunting rate for children under five, and the highest rate of wasting in the world, 18.7% of children under five (von </w:t>
      </w:r>
      <w:proofErr w:type="spellStart"/>
      <w:r w:rsidRPr="00B85C78">
        <w:rPr>
          <w:rFonts w:ascii="Arial" w:hAnsi="Arial" w:cs="Arial"/>
          <w:i/>
          <w:iCs/>
          <w:sz w:val="20"/>
          <w:szCs w:val="20"/>
        </w:rPr>
        <w:t>Grebmer</w:t>
      </w:r>
      <w:proofErr w:type="spellEnd"/>
      <w:r w:rsidRPr="00B85C78">
        <w:rPr>
          <w:rFonts w:ascii="Arial" w:hAnsi="Arial" w:cs="Arial"/>
          <w:i/>
          <w:iCs/>
          <w:sz w:val="20"/>
          <w:szCs w:val="20"/>
        </w:rPr>
        <w:t xml:space="preserve"> et al</w:t>
      </w:r>
      <w:r w:rsidRPr="00763ABF">
        <w:rPr>
          <w:rFonts w:ascii="Arial" w:hAnsi="Arial" w:cs="Arial"/>
          <w:sz w:val="20"/>
          <w:szCs w:val="20"/>
        </w:rPr>
        <w:t xml:space="preserve">., 2023). Similarly, in the Global Food Security Index (GFSI), India ranks 68th out of 113 countries, highlighting critical issues such as poverty, unequal distribution, and agricultural inefficiencies (EIU, 2023). By contrast, countries like Finland and Ireland rank highest in food security, while nations such as Sierra Leone and Haiti face severe challenges (EIU, 2023). India’s food insecurity is driven by rapid population growth, socio-economic disparities, climate change impacts, and water scarcity (Swaminathan, 2023). These national challenges are further intensified in the Sundarbans, an ecologically fragile yet densely populated coastal region of India (Danda, 2021). The Sundarbans exemplify the vulnerabilities faced by marginalized communities reliant on agriculture, fisheries, and forest-based livelihoods (Hazra </w:t>
      </w:r>
      <w:r w:rsidRPr="00B85C78">
        <w:rPr>
          <w:rFonts w:ascii="Arial" w:hAnsi="Arial" w:cs="Arial"/>
          <w:i/>
          <w:iCs/>
          <w:sz w:val="20"/>
          <w:szCs w:val="20"/>
        </w:rPr>
        <w:t>et al.</w:t>
      </w:r>
      <w:r w:rsidRPr="00763ABF">
        <w:rPr>
          <w:rFonts w:ascii="Arial" w:hAnsi="Arial" w:cs="Arial"/>
          <w:sz w:val="20"/>
          <w:szCs w:val="20"/>
        </w:rPr>
        <w:t xml:space="preserve">, 2022). Frequent extreme weather events, increasing sea levels, and soil salinity have significantly lowered agricultural output and harmed livelihoods, leading to recurring dangers of food shortages and instability in the region (Mukherjee </w:t>
      </w:r>
      <w:r w:rsidRPr="00B85C78">
        <w:rPr>
          <w:rFonts w:ascii="Arial" w:hAnsi="Arial" w:cs="Arial"/>
          <w:i/>
          <w:iCs/>
          <w:sz w:val="20"/>
          <w:szCs w:val="20"/>
        </w:rPr>
        <w:t>et al.</w:t>
      </w:r>
      <w:r w:rsidRPr="00763ABF">
        <w:rPr>
          <w:rFonts w:ascii="Arial" w:hAnsi="Arial" w:cs="Arial"/>
          <w:sz w:val="20"/>
          <w:szCs w:val="20"/>
        </w:rPr>
        <w:t>, 2023).</w:t>
      </w:r>
      <w:r>
        <w:rPr>
          <w:rFonts w:ascii="Arial" w:hAnsi="Arial" w:cs="Arial"/>
          <w:sz w:val="20"/>
          <w:szCs w:val="20"/>
        </w:rPr>
        <w:t xml:space="preserve"> </w:t>
      </w:r>
      <w:r w:rsidRPr="00763ABF">
        <w:rPr>
          <w:rFonts w:ascii="Arial" w:hAnsi="Arial" w:cs="Arial"/>
          <w:sz w:val="20"/>
          <w:szCs w:val="20"/>
        </w:rPr>
        <w:t xml:space="preserve">Addressing food insecurity in the Sundarbans requires a nuanced understanding of its socio-economic determinants. Household income, education, landholding size, access to markets, and social capital are globally recognized as major contributors to food security (Sen &amp; Dutta, 2020). Nevertheless, there are currently few region-specific assessments that are adapted to the particular ecological and socioeconomic vulnerabilities of the Sundarbans (Chowdhury &amp; Ghosh, 2022). This study aims to bridge this gap by employing a multinomial logit model to </w:t>
      </w:r>
      <w:proofErr w:type="spellStart"/>
      <w:r w:rsidRPr="00763ABF">
        <w:rPr>
          <w:rFonts w:ascii="Arial" w:hAnsi="Arial" w:cs="Arial"/>
          <w:sz w:val="20"/>
          <w:szCs w:val="20"/>
        </w:rPr>
        <w:t>analyze</w:t>
      </w:r>
      <w:proofErr w:type="spellEnd"/>
      <w:r w:rsidRPr="00763ABF">
        <w:rPr>
          <w:rFonts w:ascii="Arial" w:hAnsi="Arial" w:cs="Arial"/>
          <w:sz w:val="20"/>
          <w:szCs w:val="20"/>
        </w:rPr>
        <w:t xml:space="preserve"> the socio-economic drivers of food insecurity in the Sundarbans. By examining a variety of socioeconomic factors, the study aims to give policymakers evidence-based suggestions that would enable focused interventions that improve resilience and lessen food insecurity among the agricultural and fishing communities in the area (Bera &amp; Saha, 2021).</w:t>
      </w:r>
    </w:p>
    <w:p w14:paraId="1CC715D0" w14:textId="77777777" w:rsidR="00A418BC" w:rsidRPr="000B1E5B" w:rsidRDefault="00A418BC" w:rsidP="00A418BC">
      <w:pPr>
        <w:jc w:val="both"/>
        <w:rPr>
          <w:rFonts w:ascii="Arial" w:hAnsi="Arial" w:cs="Arial"/>
          <w:b/>
          <w:bCs/>
        </w:rPr>
      </w:pPr>
      <w:r w:rsidRPr="000B1E5B">
        <w:rPr>
          <w:rFonts w:ascii="Arial" w:hAnsi="Arial" w:cs="Arial"/>
          <w:b/>
          <w:bCs/>
        </w:rPr>
        <w:t>METHODOLOGY</w:t>
      </w:r>
    </w:p>
    <w:p w14:paraId="34638110" w14:textId="754AFBFA" w:rsidR="005C5CDB" w:rsidRDefault="005C5CDB" w:rsidP="005C5CDB">
      <w:pPr>
        <w:jc w:val="both"/>
        <w:rPr>
          <w:rFonts w:ascii="Arial" w:hAnsi="Arial" w:cs="Arial"/>
          <w:sz w:val="20"/>
          <w:szCs w:val="20"/>
        </w:rPr>
      </w:pPr>
      <w:r w:rsidRPr="005C5CDB">
        <w:rPr>
          <w:rFonts w:ascii="Arial" w:hAnsi="Arial" w:cs="Arial"/>
          <w:sz w:val="20"/>
          <w:szCs w:val="20"/>
        </w:rPr>
        <w:t xml:space="preserve">The Sundarbans region was chosen as the research area due to its unparalleled ecological significance and pronounced socio-economic vulnerabilities, making it an ideal site for studying the dynamics of coastal resilience and food insecurity (Danda, 2021). Data for this study were collected across 11 administrative blocks in South and North 24 Parganas, covering key villages such as </w:t>
      </w:r>
      <w:proofErr w:type="spellStart"/>
      <w:r w:rsidRPr="005C5CDB">
        <w:rPr>
          <w:rFonts w:ascii="Arial" w:hAnsi="Arial" w:cs="Arial"/>
          <w:sz w:val="20"/>
          <w:szCs w:val="20"/>
        </w:rPr>
        <w:t>Gosaba</w:t>
      </w:r>
      <w:proofErr w:type="spellEnd"/>
      <w:r w:rsidRPr="005C5CDB">
        <w:rPr>
          <w:rFonts w:ascii="Arial" w:hAnsi="Arial" w:cs="Arial"/>
          <w:sz w:val="20"/>
          <w:szCs w:val="20"/>
        </w:rPr>
        <w:t xml:space="preserve">, </w:t>
      </w:r>
      <w:proofErr w:type="spellStart"/>
      <w:r w:rsidRPr="005C5CDB">
        <w:rPr>
          <w:rFonts w:ascii="Arial" w:hAnsi="Arial" w:cs="Arial"/>
          <w:sz w:val="20"/>
          <w:szCs w:val="20"/>
        </w:rPr>
        <w:t>Basanti</w:t>
      </w:r>
      <w:proofErr w:type="spellEnd"/>
      <w:r w:rsidRPr="005C5CDB">
        <w:rPr>
          <w:rFonts w:ascii="Arial" w:hAnsi="Arial" w:cs="Arial"/>
          <w:sz w:val="20"/>
          <w:szCs w:val="20"/>
        </w:rPr>
        <w:t xml:space="preserve">, Sagar, </w:t>
      </w:r>
      <w:proofErr w:type="spellStart"/>
      <w:r w:rsidRPr="005C5CDB">
        <w:rPr>
          <w:rFonts w:ascii="Arial" w:hAnsi="Arial" w:cs="Arial"/>
          <w:sz w:val="20"/>
          <w:szCs w:val="20"/>
        </w:rPr>
        <w:t>Kakdwip</w:t>
      </w:r>
      <w:proofErr w:type="spellEnd"/>
      <w:r w:rsidRPr="005C5CDB">
        <w:rPr>
          <w:rFonts w:ascii="Arial" w:hAnsi="Arial" w:cs="Arial"/>
          <w:sz w:val="20"/>
          <w:szCs w:val="20"/>
        </w:rPr>
        <w:t xml:space="preserve">, </w:t>
      </w:r>
      <w:proofErr w:type="spellStart"/>
      <w:r w:rsidRPr="005C5CDB">
        <w:rPr>
          <w:rFonts w:ascii="Arial" w:hAnsi="Arial" w:cs="Arial"/>
          <w:sz w:val="20"/>
          <w:szCs w:val="20"/>
        </w:rPr>
        <w:t>Namkhana</w:t>
      </w:r>
      <w:proofErr w:type="spellEnd"/>
      <w:r w:rsidRPr="005C5CDB">
        <w:rPr>
          <w:rFonts w:ascii="Arial" w:hAnsi="Arial" w:cs="Arial"/>
          <w:sz w:val="20"/>
          <w:szCs w:val="20"/>
        </w:rPr>
        <w:t xml:space="preserve">, </w:t>
      </w:r>
      <w:proofErr w:type="spellStart"/>
      <w:r w:rsidRPr="005C5CDB">
        <w:rPr>
          <w:rFonts w:ascii="Arial" w:hAnsi="Arial" w:cs="Arial"/>
          <w:sz w:val="20"/>
          <w:szCs w:val="20"/>
        </w:rPr>
        <w:t>Kultali</w:t>
      </w:r>
      <w:proofErr w:type="spellEnd"/>
      <w:r w:rsidRPr="005C5CDB">
        <w:rPr>
          <w:rFonts w:ascii="Arial" w:hAnsi="Arial" w:cs="Arial"/>
          <w:sz w:val="20"/>
          <w:szCs w:val="20"/>
        </w:rPr>
        <w:t xml:space="preserve">, </w:t>
      </w:r>
      <w:proofErr w:type="spellStart"/>
      <w:r w:rsidRPr="005C5CDB">
        <w:rPr>
          <w:rFonts w:ascii="Arial" w:hAnsi="Arial" w:cs="Arial"/>
          <w:sz w:val="20"/>
          <w:szCs w:val="20"/>
        </w:rPr>
        <w:t>Patharpratima</w:t>
      </w:r>
      <w:proofErr w:type="spellEnd"/>
      <w:r w:rsidRPr="005C5CDB">
        <w:rPr>
          <w:rFonts w:ascii="Arial" w:hAnsi="Arial" w:cs="Arial"/>
          <w:sz w:val="20"/>
          <w:szCs w:val="20"/>
        </w:rPr>
        <w:t xml:space="preserve">, </w:t>
      </w:r>
      <w:proofErr w:type="spellStart"/>
      <w:r w:rsidRPr="005C5CDB">
        <w:rPr>
          <w:rFonts w:ascii="Arial" w:hAnsi="Arial" w:cs="Arial"/>
          <w:sz w:val="20"/>
          <w:szCs w:val="20"/>
        </w:rPr>
        <w:t>Sandeshkhali</w:t>
      </w:r>
      <w:proofErr w:type="spellEnd"/>
      <w:r w:rsidRPr="005C5CDB">
        <w:rPr>
          <w:rFonts w:ascii="Arial" w:hAnsi="Arial" w:cs="Arial"/>
          <w:sz w:val="20"/>
          <w:szCs w:val="20"/>
        </w:rPr>
        <w:t xml:space="preserve">, </w:t>
      </w:r>
      <w:proofErr w:type="spellStart"/>
      <w:r w:rsidRPr="005C5CDB">
        <w:rPr>
          <w:rFonts w:ascii="Arial" w:hAnsi="Arial" w:cs="Arial"/>
          <w:sz w:val="20"/>
          <w:szCs w:val="20"/>
        </w:rPr>
        <w:t>Minakhan</w:t>
      </w:r>
      <w:proofErr w:type="spellEnd"/>
      <w:r w:rsidRPr="005C5CDB">
        <w:rPr>
          <w:rFonts w:ascii="Arial" w:hAnsi="Arial" w:cs="Arial"/>
          <w:sz w:val="20"/>
          <w:szCs w:val="20"/>
        </w:rPr>
        <w:t xml:space="preserve">, and </w:t>
      </w:r>
      <w:proofErr w:type="spellStart"/>
      <w:r w:rsidRPr="005C5CDB">
        <w:rPr>
          <w:rFonts w:ascii="Arial" w:hAnsi="Arial" w:cs="Arial"/>
          <w:sz w:val="20"/>
          <w:szCs w:val="20"/>
        </w:rPr>
        <w:t>Hijalganj</w:t>
      </w:r>
      <w:proofErr w:type="spellEnd"/>
      <w:r w:rsidRPr="005C5CDB">
        <w:rPr>
          <w:rFonts w:ascii="Arial" w:hAnsi="Arial" w:cs="Arial"/>
          <w:sz w:val="20"/>
          <w:szCs w:val="20"/>
        </w:rPr>
        <w:t xml:space="preserve"> (Mukherjee </w:t>
      </w:r>
      <w:r w:rsidRPr="00B85C78">
        <w:rPr>
          <w:rFonts w:ascii="Arial" w:hAnsi="Arial" w:cs="Arial"/>
          <w:i/>
          <w:iCs/>
          <w:sz w:val="20"/>
          <w:szCs w:val="20"/>
        </w:rPr>
        <w:t>et al.</w:t>
      </w:r>
      <w:r w:rsidRPr="005C5CDB">
        <w:rPr>
          <w:rFonts w:ascii="Arial" w:hAnsi="Arial" w:cs="Arial"/>
          <w:sz w:val="20"/>
          <w:szCs w:val="20"/>
        </w:rPr>
        <w:t>, 2023). From this dataset, a random sample of 300 respondents was finalized for detailed analysis (Chowdhury &amp; Ghosh, 2022).</w:t>
      </w:r>
      <w:r>
        <w:rPr>
          <w:rFonts w:ascii="Arial" w:hAnsi="Arial" w:cs="Arial"/>
          <w:sz w:val="20"/>
          <w:szCs w:val="20"/>
        </w:rPr>
        <w:t xml:space="preserve"> </w:t>
      </w:r>
      <w:r w:rsidRPr="005C5CDB">
        <w:rPr>
          <w:rFonts w:ascii="Arial" w:hAnsi="Arial" w:cs="Arial"/>
          <w:sz w:val="20"/>
          <w:szCs w:val="20"/>
        </w:rPr>
        <w:t xml:space="preserve">To rigorously examine the factors influencing food insecurity, the multinomial logit model was employed, as it is particularly adept at </w:t>
      </w:r>
      <w:proofErr w:type="spellStart"/>
      <w:r w:rsidRPr="005C5CDB">
        <w:rPr>
          <w:rFonts w:ascii="Arial" w:hAnsi="Arial" w:cs="Arial"/>
          <w:sz w:val="20"/>
          <w:szCs w:val="20"/>
        </w:rPr>
        <w:t>analyzing</w:t>
      </w:r>
      <w:proofErr w:type="spellEnd"/>
      <w:r w:rsidRPr="005C5CDB">
        <w:rPr>
          <w:rFonts w:ascii="Arial" w:hAnsi="Arial" w:cs="Arial"/>
          <w:sz w:val="20"/>
          <w:szCs w:val="20"/>
        </w:rPr>
        <w:t xml:space="preserve"> categorical dependent variables with multiple possible outcomes (Train, 2009). This analytical approach allowed the exploration of key predictors contributing to varying levels of household food insecurity in the Sundarbans (Bera &amp; Saha, 2021). The multinomial logit model calculates the probability of a household falling into specific food insecurity categories based on a range of socio-economic and environmental factors, including income, educational attainment, type of livelihood, landholding size, and exposure to climate shocks (Hazra </w:t>
      </w:r>
      <w:r w:rsidRPr="00B85C78">
        <w:rPr>
          <w:rFonts w:ascii="Arial" w:hAnsi="Arial" w:cs="Arial"/>
          <w:i/>
          <w:iCs/>
          <w:sz w:val="20"/>
          <w:szCs w:val="20"/>
        </w:rPr>
        <w:t>et al.</w:t>
      </w:r>
      <w:r w:rsidRPr="005C5CDB">
        <w:rPr>
          <w:rFonts w:ascii="Arial" w:hAnsi="Arial" w:cs="Arial"/>
          <w:sz w:val="20"/>
          <w:szCs w:val="20"/>
        </w:rPr>
        <w:t>, 2022)</w:t>
      </w:r>
      <w:r>
        <w:rPr>
          <w:rFonts w:ascii="Arial" w:hAnsi="Arial" w:cs="Arial"/>
          <w:sz w:val="20"/>
          <w:szCs w:val="20"/>
        </w:rPr>
        <w:t xml:space="preserve">. </w:t>
      </w:r>
      <w:r w:rsidRPr="005C5CDB">
        <w:rPr>
          <w:rFonts w:ascii="Arial" w:hAnsi="Arial" w:cs="Arial"/>
          <w:sz w:val="20"/>
          <w:szCs w:val="20"/>
        </w:rPr>
        <w:t>The multinomial logit model (MNL)</w:t>
      </w:r>
      <w:r w:rsidR="00B85C78">
        <w:rPr>
          <w:rFonts w:ascii="Arial" w:hAnsi="Arial" w:cs="Arial"/>
          <w:sz w:val="20"/>
          <w:szCs w:val="20"/>
        </w:rPr>
        <w:t xml:space="preserve"> </w:t>
      </w:r>
      <w:r w:rsidR="00B85C78" w:rsidRPr="00B85C78">
        <w:rPr>
          <w:rFonts w:ascii="Arial" w:hAnsi="Arial" w:cs="Arial"/>
          <w:sz w:val="20"/>
          <w:szCs w:val="20"/>
        </w:rPr>
        <w:t xml:space="preserve">Lal </w:t>
      </w:r>
      <w:r w:rsidR="00B85C78" w:rsidRPr="00B85C78">
        <w:rPr>
          <w:rFonts w:ascii="Arial" w:hAnsi="Arial" w:cs="Arial"/>
          <w:i/>
          <w:iCs/>
          <w:sz w:val="20"/>
          <w:szCs w:val="20"/>
        </w:rPr>
        <w:t>et al</w:t>
      </w:r>
      <w:r w:rsidR="00B85C78" w:rsidRPr="00B85C78">
        <w:rPr>
          <w:rFonts w:ascii="Arial" w:hAnsi="Arial" w:cs="Arial"/>
          <w:sz w:val="20"/>
          <w:szCs w:val="20"/>
        </w:rPr>
        <w:t>. (2025)</w:t>
      </w:r>
      <w:r w:rsidRPr="005C5CDB">
        <w:rPr>
          <w:rFonts w:ascii="Arial" w:hAnsi="Arial" w:cs="Arial"/>
          <w:sz w:val="20"/>
          <w:szCs w:val="20"/>
        </w:rPr>
        <w:t xml:space="preserve"> extends the binomial logit model by allowing for multiple categorical outcomes instead of a binary dependent variable (Greene, 2018). In this study, the model </w:t>
      </w:r>
      <w:proofErr w:type="spellStart"/>
      <w:r w:rsidRPr="005C5CDB">
        <w:rPr>
          <w:rFonts w:ascii="Arial" w:hAnsi="Arial" w:cs="Arial"/>
          <w:sz w:val="20"/>
          <w:szCs w:val="20"/>
        </w:rPr>
        <w:t>analyzes</w:t>
      </w:r>
      <w:proofErr w:type="spellEnd"/>
      <w:r w:rsidRPr="005C5CDB">
        <w:rPr>
          <w:rFonts w:ascii="Arial" w:hAnsi="Arial" w:cs="Arial"/>
          <w:sz w:val="20"/>
          <w:szCs w:val="20"/>
        </w:rPr>
        <w:t xml:space="preserve"> the determinants of different livelihood strategies in the Sundarbans, where the dependent variable (e.g., food secure, moderately food insecure, and severely food insecure) represents different livelihood categories (e.g., agriculture, fishery, honey collection, or a </w:t>
      </w:r>
      <w:proofErr w:type="spellStart"/>
      <w:r w:rsidR="00B85C78">
        <w:rPr>
          <w:rFonts w:ascii="Arial" w:hAnsi="Arial" w:cs="Arial"/>
          <w:sz w:val="20"/>
          <w:szCs w:val="20"/>
        </w:rPr>
        <w:t>co</w:t>
      </w:r>
      <w:r w:rsidRPr="005C5CDB">
        <w:rPr>
          <w:rFonts w:ascii="Arial" w:hAnsi="Arial" w:cs="Arial"/>
          <w:sz w:val="20"/>
          <w:szCs w:val="20"/>
        </w:rPr>
        <w:t>combination</w:t>
      </w:r>
      <w:proofErr w:type="spellEnd"/>
      <w:r w:rsidRPr="005C5CDB">
        <w:rPr>
          <w:rFonts w:ascii="Arial" w:hAnsi="Arial" w:cs="Arial"/>
          <w:sz w:val="20"/>
          <w:szCs w:val="20"/>
        </w:rPr>
        <w:t xml:space="preserve"> of these) (Sen &amp; Dutta, 2020). The reference category is typically agriculture, and all comparisons are made relative to this group (Gujarati &amp; Porter, 2020).</w:t>
      </w:r>
      <w:r>
        <w:rPr>
          <w:rFonts w:ascii="Arial" w:hAnsi="Arial" w:cs="Arial"/>
          <w:sz w:val="20"/>
          <w:szCs w:val="20"/>
        </w:rPr>
        <w:t xml:space="preserve"> </w:t>
      </w:r>
      <w:r w:rsidRPr="005C5CDB">
        <w:rPr>
          <w:rFonts w:ascii="Arial" w:hAnsi="Arial" w:cs="Arial"/>
          <w:sz w:val="20"/>
          <w:szCs w:val="20"/>
        </w:rPr>
        <w:t xml:space="preserve">Mathematically, the MNL model estimates the probability of a household engaging in a particular livelihood strategy based on socio-economic and environmental predictors such as income, landholding </w:t>
      </w:r>
      <w:r w:rsidRPr="005C5CDB">
        <w:rPr>
          <w:rFonts w:ascii="Arial" w:hAnsi="Arial" w:cs="Arial"/>
          <w:sz w:val="20"/>
          <w:szCs w:val="20"/>
        </w:rPr>
        <w:lastRenderedPageBreak/>
        <w:t>size, education, social participation, indebtedness, and access to formal support systems (Maddala, 1983):</w:t>
      </w:r>
    </w:p>
    <w:p w14:paraId="005D829F" w14:textId="44005BB6" w:rsidR="006247CE" w:rsidRPr="006247CE" w:rsidRDefault="003333F3" w:rsidP="006247CE">
      <w:pPr>
        <w:jc w:val="center"/>
        <w:rPr>
          <w:rFonts w:ascii="Arial" w:hAnsi="Arial" w:cs="Arial"/>
          <w:lang w:val="sv-SE"/>
        </w:rPr>
      </w:pPr>
      <m:oMath>
        <m:r>
          <w:rPr>
            <w:rFonts w:ascii="Cambria Math" w:hAnsi="Cambria Math" w:cs="Arial"/>
          </w:rPr>
          <m:t>P</m:t>
        </m:r>
        <m:d>
          <m:dPr>
            <m:ctrlPr>
              <w:rPr>
                <w:rFonts w:ascii="Cambria Math" w:hAnsi="Cambria Math" w:cs="Arial"/>
                <w:i/>
              </w:rPr>
            </m:ctrlPr>
          </m:dPr>
          <m:e>
            <m:r>
              <w:rPr>
                <w:rFonts w:ascii="Cambria Math" w:hAnsi="Cambria Math" w:cs="Arial"/>
              </w:rPr>
              <m:t>Y</m:t>
            </m:r>
            <m:r>
              <w:rPr>
                <w:rFonts w:ascii="Cambria Math" w:hAnsi="Cambria Math" w:cs="Arial"/>
                <w:lang w:val="sv-SE"/>
              </w:rPr>
              <m:t>=</m:t>
            </m:r>
            <m:r>
              <w:rPr>
                <w:rFonts w:ascii="Cambria Math" w:hAnsi="Cambria Math" w:cs="Arial"/>
              </w:rPr>
              <m:t>j</m:t>
            </m:r>
            <m:ctrlPr>
              <w:rPr>
                <w:rFonts w:ascii="Cambria Math" w:hAnsi="Cambria Math" w:cs="Arial"/>
              </w:rPr>
            </m:ctrlPr>
          </m:e>
          <m:e>
            <m:r>
              <m:rPr>
                <m:sty m:val="p"/>
              </m:rPr>
              <w:rPr>
                <w:rFonts w:ascii="Cambria Math" w:hAnsi="Cambria Math" w:cs="Arial"/>
                <w:lang w:val="sv-SE"/>
              </w:rPr>
              <m:t>X</m:t>
            </m:r>
            <m:ctrlPr>
              <w:rPr>
                <w:rFonts w:ascii="Cambria Math" w:hAnsi="Cambria Math" w:cs="Arial"/>
              </w:rPr>
            </m:ctrlPr>
          </m:e>
        </m:d>
        <m:r>
          <w:rPr>
            <w:rFonts w:ascii="Cambria Math" w:eastAsiaTheme="minorEastAsia" w:hAnsi="Cambria Math" w:cs="Arial"/>
            <w:lang w:val="sv-SE"/>
          </w:rPr>
          <m:t xml:space="preserve">= </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X</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j</m:t>
                    </m:r>
                  </m:sub>
                </m:sSub>
              </m:sup>
            </m:sSup>
          </m:num>
          <m:den>
            <m:nary>
              <m:naryPr>
                <m:chr m:val="∑"/>
                <m:limLoc m:val="subSup"/>
                <m:ctrlPr>
                  <w:rPr>
                    <w:rFonts w:ascii="Cambria Math" w:eastAsiaTheme="minorEastAsia" w:hAnsi="Cambria Math" w:cs="Arial"/>
                    <w:i/>
                  </w:rPr>
                </m:ctrlPr>
              </m:naryPr>
              <m:sub>
                <m:r>
                  <w:rPr>
                    <w:rFonts w:ascii="Cambria Math" w:eastAsiaTheme="minorEastAsia" w:hAnsi="Cambria Math" w:cs="Arial"/>
                  </w:rPr>
                  <m:t>k</m:t>
                </m:r>
                <m:r>
                  <w:rPr>
                    <w:rFonts w:ascii="Cambria Math" w:eastAsiaTheme="minorEastAsia" w:hAnsi="Cambria Math" w:cs="Arial"/>
                    <w:lang w:val="sv-SE"/>
                  </w:rPr>
                  <m:t>=0</m:t>
                </m:r>
              </m:sub>
              <m:sup>
                <m:r>
                  <w:rPr>
                    <w:rFonts w:ascii="Cambria Math" w:eastAsiaTheme="minorEastAsia" w:hAnsi="Cambria Math" w:cs="Arial"/>
                  </w:rPr>
                  <m:t>J</m:t>
                </m:r>
              </m:sup>
              <m:e>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X</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k</m:t>
                        </m:r>
                      </m:sub>
                    </m:sSub>
                  </m:sup>
                </m:sSup>
              </m:e>
            </m:nary>
          </m:den>
        </m:f>
        <m:r>
          <w:rPr>
            <w:rFonts w:ascii="Cambria Math" w:eastAsiaTheme="minorEastAsia" w:hAnsi="Cambria Math" w:cs="Arial"/>
            <w:lang w:val="sv-SE"/>
          </w:rPr>
          <m:t xml:space="preserve">, </m:t>
        </m:r>
        <m:r>
          <w:rPr>
            <w:rFonts w:ascii="Cambria Math" w:hAnsi="Cambria Math" w:cs="Arial"/>
          </w:rPr>
          <m:t>j</m:t>
        </m:r>
      </m:oMath>
      <w:r w:rsidR="006247CE" w:rsidRPr="006247CE">
        <w:rPr>
          <w:rFonts w:ascii="Arial" w:hAnsi="Arial" w:cs="Arial"/>
          <w:lang w:val="sv-SE"/>
        </w:rPr>
        <w:t xml:space="preserve"> =1,2,….,J</w:t>
      </w:r>
    </w:p>
    <w:p w14:paraId="3E302B8B" w14:textId="1E68C117" w:rsidR="00A418BC" w:rsidRPr="006247CE" w:rsidRDefault="006247CE" w:rsidP="005C5CDB">
      <w:pPr>
        <w:jc w:val="center"/>
        <w:rPr>
          <w:rFonts w:ascii="Arial" w:hAnsi="Arial" w:cs="Arial"/>
          <w:lang w:val="sv-SE"/>
        </w:rPr>
      </w:pPr>
      <w:r w:rsidRPr="006247CE">
        <w:rPr>
          <w:rFonts w:ascii="Arial" w:eastAsiaTheme="minorEastAsia" w:hAnsi="Arial" w:cs="Arial"/>
          <w:lang w:val="sv-SE"/>
        </w:rPr>
        <w:t xml:space="preserve"> </w:t>
      </w:r>
    </w:p>
    <w:p w14:paraId="59033ECC" w14:textId="68944ECB" w:rsidR="00A418BC" w:rsidRPr="00B803AB" w:rsidRDefault="00A418BC" w:rsidP="00A418BC">
      <w:pPr>
        <w:jc w:val="both"/>
        <w:rPr>
          <w:rFonts w:ascii="Arial" w:hAnsi="Arial" w:cs="Arial"/>
          <w:sz w:val="20"/>
          <w:szCs w:val="20"/>
        </w:rPr>
      </w:pPr>
      <w:r w:rsidRPr="00B803AB">
        <w:rPr>
          <w:rFonts w:ascii="Arial" w:hAnsi="Arial" w:cs="Arial"/>
          <w:sz w:val="20"/>
          <w:szCs w:val="20"/>
        </w:rPr>
        <w:t>where:</w:t>
      </w:r>
    </w:p>
    <w:p w14:paraId="6C8D0700" w14:textId="2368856D" w:rsidR="00A418BC" w:rsidRPr="00B803AB" w:rsidRDefault="003333F3" w:rsidP="000B1E5B">
      <w:pPr>
        <w:ind w:left="360"/>
        <w:jc w:val="both"/>
        <w:rPr>
          <w:rFonts w:ascii="Arial" w:hAnsi="Arial" w:cs="Arial"/>
          <w:sz w:val="20"/>
          <w:szCs w:val="20"/>
        </w:rPr>
      </w:pP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Y=j</m:t>
            </m:r>
            <m:ctrlPr>
              <w:rPr>
                <w:rFonts w:ascii="Cambria Math" w:hAnsi="Cambria Math" w:cs="Arial"/>
                <w:sz w:val="20"/>
                <w:szCs w:val="20"/>
              </w:rPr>
            </m:ctrlPr>
          </m:e>
          <m:e>
            <m:r>
              <m:rPr>
                <m:sty m:val="p"/>
              </m:rPr>
              <w:rPr>
                <w:rFonts w:ascii="Cambria Math" w:hAnsi="Cambria Math" w:cs="Arial"/>
                <w:sz w:val="20"/>
                <w:szCs w:val="20"/>
              </w:rPr>
              <m:t>X</m:t>
            </m:r>
            <m:ctrlPr>
              <w:rPr>
                <w:rFonts w:ascii="Cambria Math" w:hAnsi="Cambria Math" w:cs="Arial"/>
                <w:sz w:val="20"/>
                <w:szCs w:val="20"/>
              </w:rPr>
            </m:ctrlPr>
          </m:e>
        </m:d>
      </m:oMath>
      <w:r w:rsidR="00A418BC" w:rsidRPr="00B803AB">
        <w:rPr>
          <w:rFonts w:ascii="Arial" w:hAnsi="Arial" w:cs="Arial"/>
          <w:sz w:val="20"/>
          <w:szCs w:val="20"/>
        </w:rPr>
        <w:t xml:space="preserve">represents the probability of a household </w:t>
      </w:r>
      <w:r w:rsidR="009801DD" w:rsidRPr="000B1E5B">
        <w:rPr>
          <w:rFonts w:ascii="Arial" w:hAnsi="Arial" w:cs="Arial"/>
          <w:sz w:val="20"/>
          <w:szCs w:val="20"/>
        </w:rPr>
        <w:t xml:space="preserve">represents the probability of a household being in food insecurity category </w:t>
      </w:r>
      <m:oMath>
        <m:r>
          <w:rPr>
            <w:rFonts w:ascii="Cambria Math" w:hAnsi="Cambria Math" w:cs="Arial"/>
            <w:sz w:val="20"/>
            <w:szCs w:val="20"/>
          </w:rPr>
          <m:t>j</m:t>
        </m:r>
      </m:oMath>
    </w:p>
    <w:p w14:paraId="6DB62704" w14:textId="63C89151" w:rsidR="00A418BC" w:rsidRPr="000B1E5B" w:rsidRDefault="009801DD" w:rsidP="000B1E5B">
      <w:pPr>
        <w:ind w:left="360"/>
        <w:jc w:val="both"/>
        <w:rPr>
          <w:rFonts w:ascii="Arial" w:hAnsi="Arial" w:cs="Arial"/>
          <w:sz w:val="20"/>
          <w:szCs w:val="20"/>
        </w:rPr>
      </w:pPr>
      <w:r w:rsidRPr="000B1E5B">
        <w:rPr>
          <w:rFonts w:ascii="Arial" w:hAnsi="Arial" w:cs="Arial"/>
          <w:sz w:val="20"/>
          <w:szCs w:val="20"/>
        </w:rPr>
        <w:t xml:space="preserve">X denotes the vector of independent variables </w:t>
      </w:r>
      <w:r w:rsidR="006247CE">
        <w:rPr>
          <w:rFonts w:ascii="Arial" w:hAnsi="Arial" w:cs="Arial"/>
          <w:sz w:val="20"/>
          <w:szCs w:val="20"/>
        </w:rPr>
        <w:t xml:space="preserve">  </w:t>
      </w:r>
    </w:p>
    <w:p w14:paraId="544B5707" w14:textId="2A0677A3" w:rsidR="009801DD" w:rsidRPr="000B1E5B" w:rsidRDefault="00A97FD8" w:rsidP="000B1E5B">
      <w:pPr>
        <w:ind w:left="360"/>
        <w:jc w:val="both"/>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j</m:t>
            </m:r>
          </m:sub>
        </m:sSub>
      </m:oMath>
      <w:r w:rsidR="009801DD" w:rsidRPr="000B1E5B">
        <w:rPr>
          <w:rFonts w:ascii="Arial" w:eastAsiaTheme="minorEastAsia" w:hAnsi="Arial" w:cs="Arial"/>
          <w:sz w:val="20"/>
          <w:szCs w:val="20"/>
        </w:rPr>
        <w:t xml:space="preserve"> are the estimated coefficients, and</w:t>
      </w:r>
    </w:p>
    <w:p w14:paraId="1692FA43" w14:textId="35C19149" w:rsidR="009801DD" w:rsidRPr="000B1E5B" w:rsidRDefault="009801DD" w:rsidP="000B1E5B">
      <w:pPr>
        <w:ind w:left="360"/>
        <w:jc w:val="both"/>
        <w:rPr>
          <w:rFonts w:ascii="Arial" w:hAnsi="Arial" w:cs="Arial"/>
          <w:sz w:val="20"/>
          <w:szCs w:val="20"/>
        </w:rPr>
      </w:pPr>
      <w:r w:rsidRPr="000B1E5B">
        <w:rPr>
          <w:rFonts w:ascii="Arial" w:hAnsi="Arial" w:cs="Arial"/>
          <w:sz w:val="20"/>
          <w:szCs w:val="20"/>
        </w:rPr>
        <w:t>The base category (typically food-secure households) serves as the comparison group.</w:t>
      </w:r>
    </w:p>
    <w:p w14:paraId="6E94AD2A" w14:textId="77777777" w:rsidR="009801DD" w:rsidRPr="009801DD" w:rsidRDefault="009801DD" w:rsidP="009801DD">
      <w:pPr>
        <w:jc w:val="both"/>
        <w:rPr>
          <w:rFonts w:ascii="Arial" w:hAnsi="Arial" w:cs="Arial"/>
          <w:sz w:val="20"/>
          <w:szCs w:val="20"/>
        </w:rPr>
      </w:pPr>
      <w:r w:rsidRPr="009801DD">
        <w:rPr>
          <w:rFonts w:ascii="Arial" w:hAnsi="Arial" w:cs="Arial"/>
          <w:sz w:val="20"/>
          <w:szCs w:val="20"/>
        </w:rPr>
        <w:t xml:space="preserve">The model outputs </w:t>
      </w:r>
      <w:r w:rsidRPr="009801DD">
        <w:rPr>
          <w:rFonts w:ascii="Arial" w:hAnsi="Arial" w:cs="Arial"/>
          <w:b/>
          <w:bCs/>
          <w:sz w:val="20"/>
          <w:szCs w:val="20"/>
        </w:rPr>
        <w:t>odds ratios (OR)</w:t>
      </w:r>
      <w:r w:rsidRPr="009801DD">
        <w:rPr>
          <w:rFonts w:ascii="Arial" w:hAnsi="Arial" w:cs="Arial"/>
          <w:sz w:val="20"/>
          <w:szCs w:val="20"/>
        </w:rPr>
        <w:t xml:space="preserve"> for each category relative to the base category.</w:t>
      </w:r>
    </w:p>
    <w:p w14:paraId="58C411BA" w14:textId="77777777" w:rsidR="009801DD" w:rsidRPr="009801DD" w:rsidRDefault="009801DD" w:rsidP="000B1E5B">
      <w:pPr>
        <w:ind w:left="360"/>
        <w:jc w:val="both"/>
        <w:rPr>
          <w:rFonts w:ascii="Arial" w:hAnsi="Arial" w:cs="Arial"/>
          <w:sz w:val="20"/>
          <w:szCs w:val="20"/>
        </w:rPr>
      </w:pPr>
      <w:r w:rsidRPr="009801DD">
        <w:rPr>
          <w:rFonts w:ascii="Arial" w:hAnsi="Arial" w:cs="Arial"/>
          <w:b/>
          <w:bCs/>
          <w:sz w:val="20"/>
          <w:szCs w:val="20"/>
        </w:rPr>
        <w:t>OR &gt; 1</w:t>
      </w:r>
      <w:r w:rsidRPr="009801DD">
        <w:rPr>
          <w:rFonts w:ascii="Arial" w:hAnsi="Arial" w:cs="Arial"/>
          <w:sz w:val="20"/>
          <w:szCs w:val="20"/>
        </w:rPr>
        <w:t xml:space="preserve"> suggests a positive association (e.g., higher education increases food security).</w:t>
      </w:r>
    </w:p>
    <w:p w14:paraId="74E8F4F1" w14:textId="77777777" w:rsidR="009801DD" w:rsidRPr="009801DD" w:rsidRDefault="009801DD" w:rsidP="000B1E5B">
      <w:pPr>
        <w:ind w:left="360"/>
        <w:jc w:val="both"/>
        <w:rPr>
          <w:rFonts w:ascii="Arial" w:hAnsi="Arial" w:cs="Arial"/>
          <w:sz w:val="20"/>
          <w:szCs w:val="20"/>
        </w:rPr>
      </w:pPr>
      <w:r w:rsidRPr="009801DD">
        <w:rPr>
          <w:rFonts w:ascii="Arial" w:hAnsi="Arial" w:cs="Arial"/>
          <w:b/>
          <w:bCs/>
          <w:sz w:val="20"/>
          <w:szCs w:val="20"/>
        </w:rPr>
        <w:t>OR &lt; 1</w:t>
      </w:r>
      <w:r w:rsidRPr="009801DD">
        <w:rPr>
          <w:rFonts w:ascii="Arial" w:hAnsi="Arial" w:cs="Arial"/>
          <w:sz w:val="20"/>
          <w:szCs w:val="20"/>
        </w:rPr>
        <w:t xml:space="preserve"> indicates a negative impact (e.g., indebtedness increases food insecurity).</w:t>
      </w:r>
    </w:p>
    <w:p w14:paraId="42986613" w14:textId="1A000071" w:rsidR="009801DD" w:rsidRPr="00B803AB" w:rsidRDefault="009801DD" w:rsidP="000B1E5B">
      <w:pPr>
        <w:ind w:left="360"/>
        <w:jc w:val="both"/>
        <w:rPr>
          <w:rFonts w:ascii="Arial" w:hAnsi="Arial" w:cs="Arial"/>
          <w:sz w:val="20"/>
          <w:szCs w:val="20"/>
        </w:rPr>
      </w:pPr>
      <w:r w:rsidRPr="009801DD">
        <w:rPr>
          <w:rFonts w:ascii="Arial" w:hAnsi="Arial" w:cs="Arial"/>
          <w:b/>
          <w:bCs/>
          <w:sz w:val="20"/>
          <w:szCs w:val="20"/>
        </w:rPr>
        <w:t>OR = 1</w:t>
      </w:r>
      <w:r w:rsidRPr="009801DD">
        <w:rPr>
          <w:rFonts w:ascii="Arial" w:hAnsi="Arial" w:cs="Arial"/>
          <w:sz w:val="20"/>
          <w:szCs w:val="20"/>
        </w:rPr>
        <w:t xml:space="preserve"> implies no effect.</w:t>
      </w:r>
    </w:p>
    <w:p w14:paraId="2B23CEA2" w14:textId="4483ABA1" w:rsidR="00A418BC" w:rsidRPr="000B1E5B" w:rsidRDefault="00A418BC" w:rsidP="00A418BC">
      <w:pPr>
        <w:jc w:val="both"/>
        <w:rPr>
          <w:rFonts w:ascii="Arial" w:hAnsi="Arial" w:cs="Arial"/>
          <w:sz w:val="20"/>
          <w:szCs w:val="20"/>
        </w:rPr>
      </w:pPr>
      <w:r w:rsidRPr="00B803AB">
        <w:rPr>
          <w:rFonts w:ascii="Arial" w:hAnsi="Arial" w:cs="Arial"/>
          <w:sz w:val="20"/>
          <w:szCs w:val="20"/>
        </w:rPr>
        <w:t>Statistical significance is assessed using p-values (&lt; 0.05 indicates a meaningful effect) and Wald statistics. Model fit is evaluated through the Likelihood Ratio (LR) Test, Pseudo R² (Nagelkerke R²</w:t>
      </w:r>
      <w:r w:rsidR="009801DD" w:rsidRPr="000B1E5B">
        <w:rPr>
          <w:rFonts w:ascii="Arial" w:hAnsi="Arial" w:cs="Arial"/>
          <w:sz w:val="20"/>
          <w:szCs w:val="20"/>
        </w:rPr>
        <w:t>).</w:t>
      </w:r>
      <w:r w:rsidRPr="00B803AB">
        <w:rPr>
          <w:rFonts w:ascii="Arial" w:hAnsi="Arial" w:cs="Arial"/>
          <w:sz w:val="20"/>
          <w:szCs w:val="20"/>
        </w:rPr>
        <w:t xml:space="preserve"> A well-fitting model should have a classification accuracy of &gt;70%, correctly predicting livelihood choices.</w:t>
      </w:r>
      <w:r w:rsidRPr="000B1E5B">
        <w:rPr>
          <w:rFonts w:ascii="Arial" w:hAnsi="Arial" w:cs="Arial"/>
          <w:sz w:val="20"/>
          <w:szCs w:val="20"/>
        </w:rPr>
        <w:t xml:space="preserve"> </w:t>
      </w:r>
      <w:r w:rsidRPr="00B803AB">
        <w:rPr>
          <w:rFonts w:ascii="Arial" w:hAnsi="Arial" w:cs="Arial"/>
          <w:sz w:val="20"/>
          <w:szCs w:val="20"/>
        </w:rPr>
        <w:t xml:space="preserve">The multinomial logit model thus provides crucial insights into the socio-economic and </w:t>
      </w:r>
      <w:proofErr w:type="spellStart"/>
      <w:r w:rsidRPr="00B803AB">
        <w:rPr>
          <w:rFonts w:ascii="Arial" w:hAnsi="Arial" w:cs="Arial"/>
          <w:sz w:val="20"/>
          <w:szCs w:val="20"/>
        </w:rPr>
        <w:t>behavioral</w:t>
      </w:r>
      <w:proofErr w:type="spellEnd"/>
      <w:r w:rsidRPr="00B803AB">
        <w:rPr>
          <w:rFonts w:ascii="Arial" w:hAnsi="Arial" w:cs="Arial"/>
          <w:sz w:val="20"/>
          <w:szCs w:val="20"/>
        </w:rPr>
        <w:t xml:space="preserve"> determinants of livelihood strategies in the Sundarbans, guiding policymakers in designing targeted interventions to support sustainable income diversification and resilience among rural households.</w:t>
      </w:r>
    </w:p>
    <w:p w14:paraId="17BAE443" w14:textId="00DAFE99" w:rsidR="00A418BC" w:rsidRPr="000B1E5B" w:rsidRDefault="00A418BC" w:rsidP="00A418BC">
      <w:pPr>
        <w:jc w:val="both"/>
        <w:rPr>
          <w:rFonts w:ascii="Arial" w:hAnsi="Arial" w:cs="Arial"/>
          <w:b/>
          <w:bCs/>
        </w:rPr>
      </w:pPr>
      <w:r w:rsidRPr="000B1E5B">
        <w:rPr>
          <w:rFonts w:ascii="Arial" w:hAnsi="Arial" w:cs="Arial"/>
          <w:b/>
          <w:bCs/>
        </w:rPr>
        <w:t>RESULT</w:t>
      </w:r>
      <w:r w:rsidR="00473962" w:rsidRPr="000B1E5B">
        <w:rPr>
          <w:rFonts w:ascii="Arial" w:hAnsi="Arial" w:cs="Arial"/>
          <w:b/>
          <w:bCs/>
        </w:rPr>
        <w:t>S</w:t>
      </w:r>
      <w:r w:rsidRPr="000B1E5B">
        <w:rPr>
          <w:rFonts w:ascii="Arial" w:hAnsi="Arial" w:cs="Arial"/>
          <w:b/>
          <w:bCs/>
        </w:rPr>
        <w:t xml:space="preserve"> AND DISCUSSION</w:t>
      </w:r>
    </w:p>
    <w:p w14:paraId="77D395C9" w14:textId="77777777" w:rsidR="00A418BC" w:rsidRPr="000B1E5B" w:rsidRDefault="00A418BC" w:rsidP="00A418BC">
      <w:pPr>
        <w:spacing w:line="240" w:lineRule="auto"/>
        <w:jc w:val="both"/>
        <w:rPr>
          <w:rFonts w:ascii="Arial" w:hAnsi="Arial" w:cs="Arial"/>
          <w:sz w:val="20"/>
          <w:szCs w:val="20"/>
        </w:rPr>
      </w:pPr>
      <w:r w:rsidRPr="000B1E5B">
        <w:rPr>
          <w:rFonts w:ascii="Arial" w:hAnsi="Arial" w:cs="Arial"/>
          <w:sz w:val="20"/>
          <w:szCs w:val="20"/>
        </w:rPr>
        <w:t>The findings of this study provide empirical insights into the fact socio-economic determinants of food insecurity in the Sundarbans.</w:t>
      </w:r>
    </w:p>
    <w:p w14:paraId="4C0C80CF" w14:textId="257C7E4B" w:rsidR="00A418BC" w:rsidRPr="000B1E5B" w:rsidRDefault="00A418BC" w:rsidP="00A418BC">
      <w:pPr>
        <w:spacing w:line="240" w:lineRule="auto"/>
        <w:jc w:val="both"/>
        <w:rPr>
          <w:rFonts w:ascii="Arial" w:hAnsi="Arial" w:cs="Arial"/>
          <w:b/>
          <w:bCs/>
        </w:rPr>
      </w:pPr>
      <w:bookmarkStart w:id="0" w:name="_Hlk194432199"/>
      <w:r w:rsidRPr="000B1E5B">
        <w:rPr>
          <w:rFonts w:ascii="Arial" w:hAnsi="Arial" w:cs="Arial"/>
          <w:b/>
          <w:bCs/>
          <w:spacing w:val="-4"/>
        </w:rPr>
        <w:t>Table</w:t>
      </w:r>
      <w:r w:rsidRPr="000B1E5B">
        <w:rPr>
          <w:rFonts w:ascii="Arial" w:hAnsi="Arial" w:cs="Arial"/>
          <w:b/>
          <w:bCs/>
          <w:spacing w:val="-9"/>
        </w:rPr>
        <w:t xml:space="preserve"> </w:t>
      </w:r>
      <w:r w:rsidR="00C94CCE" w:rsidRPr="000B1E5B">
        <w:rPr>
          <w:rFonts w:ascii="Arial" w:hAnsi="Arial" w:cs="Arial"/>
          <w:b/>
          <w:bCs/>
          <w:spacing w:val="-4"/>
        </w:rPr>
        <w:t>1</w:t>
      </w:r>
      <w:r w:rsidRPr="000B1E5B">
        <w:rPr>
          <w:rFonts w:ascii="Arial" w:hAnsi="Arial" w:cs="Arial"/>
          <w:b/>
          <w:bCs/>
          <w:spacing w:val="-4"/>
        </w:rPr>
        <w:t>:</w:t>
      </w:r>
      <w:r w:rsidRPr="000B1E5B">
        <w:rPr>
          <w:rFonts w:ascii="Arial" w:hAnsi="Arial" w:cs="Arial"/>
          <w:b/>
          <w:bCs/>
          <w:spacing w:val="-9"/>
        </w:rPr>
        <w:t xml:space="preserve"> </w:t>
      </w:r>
      <w:r w:rsidRPr="000B1E5B">
        <w:rPr>
          <w:rFonts w:ascii="Arial" w:hAnsi="Arial" w:cs="Arial"/>
          <w:b/>
          <w:bCs/>
          <w:spacing w:val="-4"/>
        </w:rPr>
        <w:t>Model</w:t>
      </w:r>
      <w:r w:rsidRPr="000B1E5B">
        <w:rPr>
          <w:rFonts w:ascii="Arial" w:hAnsi="Arial" w:cs="Arial"/>
          <w:b/>
          <w:bCs/>
          <w:spacing w:val="-9"/>
        </w:rPr>
        <w:t xml:space="preserve"> </w:t>
      </w:r>
      <w:r w:rsidRPr="000B1E5B">
        <w:rPr>
          <w:rFonts w:ascii="Arial" w:hAnsi="Arial" w:cs="Arial"/>
          <w:b/>
          <w:bCs/>
          <w:spacing w:val="-4"/>
        </w:rPr>
        <w:t>Fit</w:t>
      </w:r>
      <w:r w:rsidRPr="000B1E5B">
        <w:rPr>
          <w:rFonts w:ascii="Arial" w:hAnsi="Arial" w:cs="Arial"/>
          <w:b/>
          <w:bCs/>
          <w:spacing w:val="-9"/>
        </w:rPr>
        <w:t xml:space="preserve"> </w:t>
      </w:r>
      <w:r w:rsidRPr="000B1E5B">
        <w:rPr>
          <w:rFonts w:ascii="Arial" w:hAnsi="Arial" w:cs="Arial"/>
          <w:b/>
          <w:bCs/>
          <w:spacing w:val="-4"/>
        </w:rPr>
        <w:t>Statistics</w:t>
      </w:r>
      <w:r w:rsidRPr="000B1E5B">
        <w:rPr>
          <w:rFonts w:ascii="Arial" w:hAnsi="Arial" w:cs="Arial"/>
          <w:b/>
          <w:bCs/>
          <w:spacing w:val="-8"/>
        </w:rPr>
        <w:t xml:space="preserve"> </w:t>
      </w:r>
      <w:r w:rsidRPr="000B1E5B">
        <w:rPr>
          <w:rFonts w:ascii="Arial" w:hAnsi="Arial" w:cs="Arial"/>
          <w:b/>
          <w:bCs/>
          <w:spacing w:val="-4"/>
        </w:rPr>
        <w:t>for</w:t>
      </w:r>
      <w:r w:rsidRPr="000B1E5B">
        <w:rPr>
          <w:rFonts w:ascii="Arial" w:hAnsi="Arial" w:cs="Arial"/>
          <w:b/>
          <w:bCs/>
          <w:spacing w:val="-9"/>
        </w:rPr>
        <w:t xml:space="preserve"> </w:t>
      </w:r>
      <w:r w:rsidRPr="000B1E5B">
        <w:rPr>
          <w:rFonts w:ascii="Arial" w:hAnsi="Arial" w:cs="Arial"/>
          <w:b/>
          <w:bCs/>
          <w:spacing w:val="-4"/>
        </w:rPr>
        <w:t>Multinomial</w:t>
      </w:r>
      <w:r w:rsidRPr="000B1E5B">
        <w:rPr>
          <w:rFonts w:ascii="Arial" w:hAnsi="Arial" w:cs="Arial"/>
          <w:b/>
          <w:bCs/>
          <w:spacing w:val="-9"/>
        </w:rPr>
        <w:t xml:space="preserve"> </w:t>
      </w:r>
      <w:r w:rsidRPr="000B1E5B">
        <w:rPr>
          <w:rFonts w:ascii="Arial" w:hAnsi="Arial" w:cs="Arial"/>
          <w:b/>
          <w:bCs/>
          <w:spacing w:val="-4"/>
        </w:rPr>
        <w:t>Logistic</w:t>
      </w:r>
      <w:r w:rsidRPr="000B1E5B">
        <w:rPr>
          <w:rFonts w:ascii="Arial" w:hAnsi="Arial" w:cs="Arial"/>
          <w:b/>
          <w:bCs/>
          <w:spacing w:val="-9"/>
        </w:rPr>
        <w:t xml:space="preserve"> </w:t>
      </w:r>
      <w:r w:rsidRPr="000B1E5B">
        <w:rPr>
          <w:rFonts w:ascii="Arial" w:hAnsi="Arial" w:cs="Arial"/>
          <w:b/>
          <w:bCs/>
          <w:spacing w:val="-4"/>
        </w:rPr>
        <w:t>Regression</w:t>
      </w:r>
      <w:r w:rsidRPr="000B1E5B">
        <w:rPr>
          <w:rFonts w:ascii="Arial" w:hAnsi="Arial" w:cs="Arial"/>
          <w:b/>
          <w:bCs/>
          <w:spacing w:val="-8"/>
        </w:rPr>
        <w:t xml:space="preserve"> </w:t>
      </w:r>
      <w:r w:rsidRPr="000B1E5B">
        <w:rPr>
          <w:rFonts w:ascii="Arial" w:hAnsi="Arial" w:cs="Arial"/>
          <w:b/>
          <w:bCs/>
          <w:spacing w:val="-4"/>
        </w:rPr>
        <w:t>Analysis</w:t>
      </w:r>
      <w:bookmarkEnd w:id="0"/>
    </w:p>
    <w:tbl>
      <w:tblPr>
        <w:tblStyle w:val="TableGrid"/>
        <w:tblpPr w:leftFromText="180" w:rightFromText="180" w:vertAnchor="text" w:horzAnchor="margin" w:tblpY="257"/>
        <w:tblW w:w="9067" w:type="dxa"/>
        <w:tblLayout w:type="fixed"/>
        <w:tblLook w:val="01E0" w:firstRow="1" w:lastRow="1" w:firstColumn="1" w:lastColumn="1" w:noHBand="0" w:noVBand="0"/>
      </w:tblPr>
      <w:tblGrid>
        <w:gridCol w:w="1823"/>
        <w:gridCol w:w="1135"/>
        <w:gridCol w:w="1148"/>
        <w:gridCol w:w="1418"/>
        <w:gridCol w:w="1134"/>
        <w:gridCol w:w="850"/>
        <w:gridCol w:w="1559"/>
      </w:tblGrid>
      <w:tr w:rsidR="00A418BC" w:rsidRPr="000B1E5B" w14:paraId="52103548" w14:textId="77777777" w:rsidTr="006B3B12">
        <w:trPr>
          <w:trHeight w:val="410"/>
        </w:trPr>
        <w:tc>
          <w:tcPr>
            <w:tcW w:w="1823" w:type="dxa"/>
          </w:tcPr>
          <w:p w14:paraId="587655BF" w14:textId="77777777" w:rsidR="00A418BC" w:rsidRPr="000B1E5B" w:rsidRDefault="00A418BC" w:rsidP="00A418BC">
            <w:pPr>
              <w:pStyle w:val="TableParagraph"/>
              <w:spacing w:before="0"/>
              <w:rPr>
                <w:rFonts w:ascii="Arial" w:hAnsi="Arial" w:cs="Arial"/>
                <w:b/>
              </w:rPr>
            </w:pPr>
            <w:r w:rsidRPr="000B1E5B">
              <w:rPr>
                <w:rFonts w:ascii="Arial" w:hAnsi="Arial" w:cs="Arial"/>
                <w:b/>
                <w:spacing w:val="-2"/>
              </w:rPr>
              <w:t>Model</w:t>
            </w:r>
          </w:p>
        </w:tc>
        <w:tc>
          <w:tcPr>
            <w:tcW w:w="1135" w:type="dxa"/>
          </w:tcPr>
          <w:p w14:paraId="4EC458F4" w14:textId="77777777" w:rsidR="00A418BC" w:rsidRPr="000B1E5B" w:rsidRDefault="00A418BC" w:rsidP="00A418BC">
            <w:pPr>
              <w:pStyle w:val="TableParagraph"/>
              <w:spacing w:before="0"/>
              <w:ind w:left="114"/>
              <w:rPr>
                <w:rFonts w:ascii="Arial" w:hAnsi="Arial" w:cs="Arial"/>
                <w:b/>
              </w:rPr>
            </w:pPr>
            <w:r w:rsidRPr="000B1E5B">
              <w:rPr>
                <w:rFonts w:ascii="Arial" w:hAnsi="Arial" w:cs="Arial"/>
                <w:b/>
                <w:spacing w:val="-5"/>
              </w:rPr>
              <w:t>AIC</w:t>
            </w:r>
          </w:p>
        </w:tc>
        <w:tc>
          <w:tcPr>
            <w:tcW w:w="1148" w:type="dxa"/>
          </w:tcPr>
          <w:p w14:paraId="5D9556F0" w14:textId="77777777" w:rsidR="00A418BC" w:rsidRPr="000B1E5B" w:rsidRDefault="00A418BC" w:rsidP="00A418BC">
            <w:pPr>
              <w:pStyle w:val="TableParagraph"/>
              <w:spacing w:before="0"/>
              <w:ind w:left="127"/>
              <w:rPr>
                <w:rFonts w:ascii="Arial" w:hAnsi="Arial" w:cs="Arial"/>
                <w:b/>
              </w:rPr>
            </w:pPr>
            <w:r w:rsidRPr="000B1E5B">
              <w:rPr>
                <w:rFonts w:ascii="Arial" w:hAnsi="Arial" w:cs="Arial"/>
                <w:b/>
                <w:spacing w:val="-5"/>
              </w:rPr>
              <w:t>BIC</w:t>
            </w:r>
          </w:p>
        </w:tc>
        <w:tc>
          <w:tcPr>
            <w:tcW w:w="1418" w:type="dxa"/>
          </w:tcPr>
          <w:p w14:paraId="45352E46" w14:textId="37D6DC63" w:rsidR="00A418BC" w:rsidRPr="000B1E5B" w:rsidRDefault="0058587D" w:rsidP="00A418BC">
            <w:pPr>
              <w:pStyle w:val="TableParagraph"/>
              <w:spacing w:before="0"/>
              <w:ind w:left="125"/>
              <w:rPr>
                <w:rFonts w:ascii="Arial" w:hAnsi="Arial" w:cs="Arial"/>
                <w:b/>
              </w:rPr>
            </w:pPr>
            <w:r>
              <w:rPr>
                <w:rFonts w:ascii="Arial" w:hAnsi="Arial" w:cs="Arial"/>
                <w:b/>
              </w:rPr>
              <w:t>LL</w:t>
            </w:r>
          </w:p>
        </w:tc>
        <w:tc>
          <w:tcPr>
            <w:tcW w:w="1134" w:type="dxa"/>
          </w:tcPr>
          <w:p w14:paraId="243CFB4A" w14:textId="0B1FCAD3" w:rsidR="00A418BC" w:rsidRPr="000B1E5B" w:rsidRDefault="006B3B12" w:rsidP="00A418BC">
            <w:pPr>
              <w:pStyle w:val="TableParagraph"/>
              <w:spacing w:before="0"/>
              <w:ind w:left="121"/>
              <w:rPr>
                <w:rFonts w:ascii="Arial" w:hAnsi="Arial" w:cs="Arial"/>
                <w:b/>
              </w:rPr>
            </w:pPr>
            <w:r w:rsidRPr="006B3B12">
              <w:rPr>
                <w:rFonts w:ascii="Arial" w:hAnsi="Arial" w:cs="Arial"/>
                <w:b/>
                <w:lang w:val="en-IN"/>
              </w:rPr>
              <w:t>χ2</w:t>
            </w:r>
          </w:p>
        </w:tc>
        <w:tc>
          <w:tcPr>
            <w:tcW w:w="850" w:type="dxa"/>
          </w:tcPr>
          <w:p w14:paraId="528100C7" w14:textId="77777777" w:rsidR="00A418BC" w:rsidRPr="000B1E5B" w:rsidRDefault="00A418BC" w:rsidP="00A418BC">
            <w:pPr>
              <w:pStyle w:val="TableParagraph"/>
              <w:spacing w:before="0"/>
              <w:ind w:left="112"/>
              <w:rPr>
                <w:rFonts w:ascii="Arial" w:hAnsi="Arial" w:cs="Arial"/>
                <w:b/>
              </w:rPr>
            </w:pPr>
            <w:r w:rsidRPr="000B1E5B">
              <w:rPr>
                <w:rFonts w:ascii="Arial" w:hAnsi="Arial" w:cs="Arial"/>
                <w:b/>
                <w:spacing w:val="-5"/>
              </w:rPr>
              <w:t>df</w:t>
            </w:r>
          </w:p>
        </w:tc>
        <w:tc>
          <w:tcPr>
            <w:tcW w:w="1559" w:type="dxa"/>
          </w:tcPr>
          <w:p w14:paraId="3A07A34B" w14:textId="77777777" w:rsidR="00A418BC" w:rsidRPr="000B1E5B" w:rsidRDefault="00A418BC" w:rsidP="00A418BC">
            <w:pPr>
              <w:pStyle w:val="TableParagraph"/>
              <w:spacing w:before="0"/>
              <w:ind w:left="123"/>
              <w:rPr>
                <w:rFonts w:ascii="Arial" w:hAnsi="Arial" w:cs="Arial"/>
                <w:b/>
              </w:rPr>
            </w:pPr>
            <w:r w:rsidRPr="000B1E5B">
              <w:rPr>
                <w:rFonts w:ascii="Arial" w:hAnsi="Arial" w:cs="Arial"/>
                <w:b/>
                <w:spacing w:val="-4"/>
              </w:rPr>
              <w:t>Sig.</w:t>
            </w:r>
          </w:p>
        </w:tc>
      </w:tr>
      <w:tr w:rsidR="00A418BC" w:rsidRPr="000B1E5B" w14:paraId="09FDBB13" w14:textId="77777777" w:rsidTr="006B3B12">
        <w:trPr>
          <w:trHeight w:val="425"/>
        </w:trPr>
        <w:tc>
          <w:tcPr>
            <w:tcW w:w="1823" w:type="dxa"/>
          </w:tcPr>
          <w:p w14:paraId="52D8FE78" w14:textId="77777777" w:rsidR="00A418BC" w:rsidRPr="000B1E5B" w:rsidRDefault="00A418BC" w:rsidP="00A418BC">
            <w:pPr>
              <w:pStyle w:val="TableParagraph"/>
              <w:spacing w:before="0"/>
              <w:rPr>
                <w:rFonts w:ascii="Arial" w:hAnsi="Arial" w:cs="Arial"/>
                <w:sz w:val="20"/>
                <w:szCs w:val="20"/>
              </w:rPr>
            </w:pPr>
            <w:r w:rsidRPr="000B1E5B">
              <w:rPr>
                <w:rFonts w:ascii="Arial" w:hAnsi="Arial" w:cs="Arial"/>
                <w:spacing w:val="-4"/>
                <w:sz w:val="20"/>
                <w:szCs w:val="20"/>
              </w:rPr>
              <w:t>Intercept Only</w:t>
            </w:r>
          </w:p>
        </w:tc>
        <w:tc>
          <w:tcPr>
            <w:tcW w:w="1135" w:type="dxa"/>
          </w:tcPr>
          <w:p w14:paraId="69A73056" w14:textId="77777777" w:rsidR="00A418BC" w:rsidRPr="000B1E5B" w:rsidRDefault="00A418BC" w:rsidP="00A418BC">
            <w:pPr>
              <w:pStyle w:val="TableParagraph"/>
              <w:spacing w:before="0"/>
              <w:ind w:left="114"/>
              <w:rPr>
                <w:rFonts w:ascii="Arial" w:hAnsi="Arial" w:cs="Arial"/>
                <w:sz w:val="20"/>
                <w:szCs w:val="20"/>
              </w:rPr>
            </w:pPr>
            <w:r w:rsidRPr="000B1E5B">
              <w:rPr>
                <w:rFonts w:ascii="Arial" w:hAnsi="Arial" w:cs="Arial"/>
                <w:spacing w:val="-2"/>
                <w:sz w:val="20"/>
                <w:szCs w:val="20"/>
              </w:rPr>
              <w:t>561.666</w:t>
            </w:r>
          </w:p>
        </w:tc>
        <w:tc>
          <w:tcPr>
            <w:tcW w:w="1148" w:type="dxa"/>
          </w:tcPr>
          <w:p w14:paraId="4DF63EEA" w14:textId="77777777" w:rsidR="00A418BC" w:rsidRPr="000B1E5B" w:rsidRDefault="00A418BC" w:rsidP="00A418BC">
            <w:pPr>
              <w:pStyle w:val="TableParagraph"/>
              <w:spacing w:before="0"/>
              <w:ind w:left="127"/>
              <w:rPr>
                <w:rFonts w:ascii="Arial" w:hAnsi="Arial" w:cs="Arial"/>
                <w:sz w:val="20"/>
                <w:szCs w:val="20"/>
              </w:rPr>
            </w:pPr>
            <w:r w:rsidRPr="000B1E5B">
              <w:rPr>
                <w:rFonts w:ascii="Arial" w:hAnsi="Arial" w:cs="Arial"/>
                <w:spacing w:val="-2"/>
                <w:sz w:val="20"/>
                <w:szCs w:val="20"/>
              </w:rPr>
              <w:t>569.067</w:t>
            </w:r>
          </w:p>
        </w:tc>
        <w:tc>
          <w:tcPr>
            <w:tcW w:w="1418" w:type="dxa"/>
          </w:tcPr>
          <w:p w14:paraId="7AD87185" w14:textId="77777777" w:rsidR="00A418BC" w:rsidRPr="000B1E5B" w:rsidRDefault="00A418BC" w:rsidP="00A418BC">
            <w:pPr>
              <w:pStyle w:val="TableParagraph"/>
              <w:spacing w:before="0"/>
              <w:ind w:left="125"/>
              <w:rPr>
                <w:rFonts w:ascii="Arial" w:hAnsi="Arial" w:cs="Arial"/>
                <w:sz w:val="20"/>
                <w:szCs w:val="20"/>
              </w:rPr>
            </w:pPr>
            <w:r w:rsidRPr="000B1E5B">
              <w:rPr>
                <w:rFonts w:ascii="Arial" w:hAnsi="Arial" w:cs="Arial"/>
                <w:spacing w:val="-2"/>
                <w:sz w:val="20"/>
                <w:szCs w:val="20"/>
              </w:rPr>
              <w:t>557.666</w:t>
            </w:r>
          </w:p>
        </w:tc>
        <w:tc>
          <w:tcPr>
            <w:tcW w:w="1134" w:type="dxa"/>
          </w:tcPr>
          <w:p w14:paraId="5C87E557" w14:textId="77777777" w:rsidR="00A418BC" w:rsidRPr="000B1E5B" w:rsidRDefault="00A418BC" w:rsidP="00A418BC">
            <w:pPr>
              <w:pStyle w:val="TableParagraph"/>
              <w:spacing w:before="0"/>
              <w:ind w:left="121"/>
              <w:rPr>
                <w:rFonts w:ascii="Arial" w:hAnsi="Arial" w:cs="Arial"/>
                <w:sz w:val="20"/>
                <w:szCs w:val="20"/>
              </w:rPr>
            </w:pPr>
            <w:r w:rsidRPr="000B1E5B">
              <w:rPr>
                <w:rFonts w:ascii="Arial" w:hAnsi="Arial" w:cs="Arial"/>
                <w:spacing w:val="-10"/>
                <w:sz w:val="20"/>
                <w:szCs w:val="20"/>
              </w:rPr>
              <w:t>-</w:t>
            </w:r>
          </w:p>
        </w:tc>
        <w:tc>
          <w:tcPr>
            <w:tcW w:w="850" w:type="dxa"/>
          </w:tcPr>
          <w:p w14:paraId="64761557" w14:textId="77777777" w:rsidR="00A418BC" w:rsidRPr="000B1E5B" w:rsidRDefault="00A418BC" w:rsidP="00A418BC">
            <w:pPr>
              <w:pStyle w:val="TableParagraph"/>
              <w:spacing w:before="0"/>
              <w:ind w:left="112"/>
              <w:rPr>
                <w:rFonts w:ascii="Arial" w:hAnsi="Arial" w:cs="Arial"/>
                <w:sz w:val="20"/>
                <w:szCs w:val="20"/>
              </w:rPr>
            </w:pPr>
            <w:r w:rsidRPr="000B1E5B">
              <w:rPr>
                <w:rFonts w:ascii="Arial" w:hAnsi="Arial" w:cs="Arial"/>
                <w:spacing w:val="-10"/>
                <w:sz w:val="20"/>
                <w:szCs w:val="20"/>
              </w:rPr>
              <w:t>-</w:t>
            </w:r>
          </w:p>
        </w:tc>
        <w:tc>
          <w:tcPr>
            <w:tcW w:w="1559" w:type="dxa"/>
          </w:tcPr>
          <w:p w14:paraId="211DA989" w14:textId="77777777" w:rsidR="00A418BC" w:rsidRPr="000B1E5B" w:rsidRDefault="00A418BC" w:rsidP="00A418BC">
            <w:pPr>
              <w:pStyle w:val="TableParagraph"/>
              <w:spacing w:before="0"/>
              <w:ind w:left="123"/>
              <w:rPr>
                <w:rFonts w:ascii="Arial" w:hAnsi="Arial" w:cs="Arial"/>
                <w:sz w:val="20"/>
                <w:szCs w:val="20"/>
              </w:rPr>
            </w:pPr>
            <w:r w:rsidRPr="000B1E5B">
              <w:rPr>
                <w:rFonts w:ascii="Arial" w:hAnsi="Arial" w:cs="Arial"/>
                <w:spacing w:val="-10"/>
                <w:sz w:val="20"/>
                <w:szCs w:val="20"/>
              </w:rPr>
              <w:t>-</w:t>
            </w:r>
          </w:p>
        </w:tc>
      </w:tr>
      <w:tr w:rsidR="00A418BC" w:rsidRPr="000B1E5B" w14:paraId="2BD3BE68" w14:textId="77777777" w:rsidTr="006B3B12">
        <w:trPr>
          <w:trHeight w:val="410"/>
        </w:trPr>
        <w:tc>
          <w:tcPr>
            <w:tcW w:w="1823" w:type="dxa"/>
          </w:tcPr>
          <w:p w14:paraId="65FE7442" w14:textId="77777777" w:rsidR="00A418BC" w:rsidRPr="000B1E5B" w:rsidRDefault="00A418BC" w:rsidP="00A418BC">
            <w:pPr>
              <w:pStyle w:val="TableParagraph"/>
              <w:spacing w:before="0"/>
              <w:rPr>
                <w:rFonts w:ascii="Arial" w:hAnsi="Arial" w:cs="Arial"/>
                <w:sz w:val="20"/>
                <w:szCs w:val="20"/>
              </w:rPr>
            </w:pPr>
            <w:r w:rsidRPr="000B1E5B">
              <w:rPr>
                <w:rFonts w:ascii="Arial" w:hAnsi="Arial" w:cs="Arial"/>
                <w:spacing w:val="-2"/>
                <w:sz w:val="20"/>
                <w:szCs w:val="20"/>
              </w:rPr>
              <w:t>Final</w:t>
            </w:r>
          </w:p>
        </w:tc>
        <w:tc>
          <w:tcPr>
            <w:tcW w:w="1135" w:type="dxa"/>
          </w:tcPr>
          <w:p w14:paraId="6DBEF632" w14:textId="77777777" w:rsidR="00A418BC" w:rsidRPr="000B1E5B" w:rsidRDefault="00A418BC" w:rsidP="00A418BC">
            <w:pPr>
              <w:pStyle w:val="TableParagraph"/>
              <w:spacing w:before="0"/>
              <w:ind w:left="114"/>
              <w:rPr>
                <w:rFonts w:ascii="Arial" w:hAnsi="Arial" w:cs="Arial"/>
                <w:sz w:val="20"/>
                <w:szCs w:val="20"/>
              </w:rPr>
            </w:pPr>
            <w:r w:rsidRPr="000B1E5B">
              <w:rPr>
                <w:rFonts w:ascii="Arial" w:hAnsi="Arial" w:cs="Arial"/>
                <w:spacing w:val="-2"/>
                <w:sz w:val="20"/>
                <w:szCs w:val="20"/>
              </w:rPr>
              <w:t>376.053</w:t>
            </w:r>
          </w:p>
        </w:tc>
        <w:tc>
          <w:tcPr>
            <w:tcW w:w="1148" w:type="dxa"/>
          </w:tcPr>
          <w:p w14:paraId="51F7BD6C" w14:textId="77777777" w:rsidR="00A418BC" w:rsidRPr="000B1E5B" w:rsidRDefault="00A418BC" w:rsidP="00A418BC">
            <w:pPr>
              <w:pStyle w:val="TableParagraph"/>
              <w:spacing w:before="0"/>
              <w:ind w:left="127"/>
              <w:rPr>
                <w:rFonts w:ascii="Arial" w:hAnsi="Arial" w:cs="Arial"/>
                <w:sz w:val="20"/>
                <w:szCs w:val="20"/>
              </w:rPr>
            </w:pPr>
            <w:r w:rsidRPr="000B1E5B">
              <w:rPr>
                <w:rFonts w:ascii="Arial" w:hAnsi="Arial" w:cs="Arial"/>
                <w:spacing w:val="-2"/>
                <w:sz w:val="20"/>
                <w:szCs w:val="20"/>
              </w:rPr>
              <w:t>494.467</w:t>
            </w:r>
          </w:p>
        </w:tc>
        <w:tc>
          <w:tcPr>
            <w:tcW w:w="1418" w:type="dxa"/>
          </w:tcPr>
          <w:p w14:paraId="282AA962" w14:textId="77777777" w:rsidR="00A418BC" w:rsidRPr="000B1E5B" w:rsidRDefault="00A418BC" w:rsidP="00A418BC">
            <w:pPr>
              <w:pStyle w:val="TableParagraph"/>
              <w:spacing w:before="0"/>
              <w:ind w:left="125"/>
              <w:rPr>
                <w:rFonts w:ascii="Arial" w:hAnsi="Arial" w:cs="Arial"/>
                <w:sz w:val="20"/>
                <w:szCs w:val="20"/>
              </w:rPr>
            </w:pPr>
            <w:r w:rsidRPr="000B1E5B">
              <w:rPr>
                <w:rFonts w:ascii="Arial" w:hAnsi="Arial" w:cs="Arial"/>
                <w:spacing w:val="-2"/>
                <w:sz w:val="20"/>
                <w:szCs w:val="20"/>
              </w:rPr>
              <w:t>312.053</w:t>
            </w:r>
          </w:p>
        </w:tc>
        <w:tc>
          <w:tcPr>
            <w:tcW w:w="1134" w:type="dxa"/>
          </w:tcPr>
          <w:p w14:paraId="07B0E394" w14:textId="77777777" w:rsidR="00A418BC" w:rsidRPr="000B1E5B" w:rsidRDefault="00A418BC" w:rsidP="00A418BC">
            <w:pPr>
              <w:pStyle w:val="TableParagraph"/>
              <w:spacing w:before="0"/>
              <w:ind w:left="121"/>
              <w:rPr>
                <w:rFonts w:ascii="Arial" w:hAnsi="Arial" w:cs="Arial"/>
                <w:sz w:val="20"/>
                <w:szCs w:val="20"/>
              </w:rPr>
            </w:pPr>
            <w:r w:rsidRPr="000B1E5B">
              <w:rPr>
                <w:rFonts w:ascii="Arial" w:hAnsi="Arial" w:cs="Arial"/>
                <w:spacing w:val="-2"/>
                <w:sz w:val="20"/>
                <w:szCs w:val="20"/>
              </w:rPr>
              <w:t>245.614</w:t>
            </w:r>
          </w:p>
        </w:tc>
        <w:tc>
          <w:tcPr>
            <w:tcW w:w="850" w:type="dxa"/>
          </w:tcPr>
          <w:p w14:paraId="2817697A" w14:textId="77777777" w:rsidR="00A418BC" w:rsidRPr="000B1E5B" w:rsidRDefault="00A418BC" w:rsidP="00A418BC">
            <w:pPr>
              <w:pStyle w:val="TableParagraph"/>
              <w:spacing w:before="0"/>
              <w:ind w:left="112"/>
              <w:rPr>
                <w:rFonts w:ascii="Arial" w:hAnsi="Arial" w:cs="Arial"/>
                <w:sz w:val="20"/>
                <w:szCs w:val="20"/>
              </w:rPr>
            </w:pPr>
            <w:r w:rsidRPr="000B1E5B">
              <w:rPr>
                <w:rFonts w:ascii="Arial" w:hAnsi="Arial" w:cs="Arial"/>
                <w:spacing w:val="-5"/>
                <w:sz w:val="20"/>
                <w:szCs w:val="20"/>
              </w:rPr>
              <w:t>30</w:t>
            </w:r>
          </w:p>
        </w:tc>
        <w:tc>
          <w:tcPr>
            <w:tcW w:w="1559" w:type="dxa"/>
          </w:tcPr>
          <w:p w14:paraId="25363674" w14:textId="77777777" w:rsidR="00A418BC" w:rsidRPr="000B1E5B" w:rsidRDefault="00A418BC" w:rsidP="00A418BC">
            <w:pPr>
              <w:pStyle w:val="TableParagraph"/>
              <w:spacing w:before="0"/>
              <w:ind w:left="123"/>
              <w:rPr>
                <w:rFonts w:ascii="Arial" w:hAnsi="Arial" w:cs="Arial"/>
                <w:sz w:val="20"/>
                <w:szCs w:val="20"/>
              </w:rPr>
            </w:pPr>
            <w:r w:rsidRPr="000B1E5B">
              <w:rPr>
                <w:rFonts w:ascii="Arial" w:hAnsi="Arial" w:cs="Arial"/>
                <w:spacing w:val="-2"/>
                <w:sz w:val="20"/>
                <w:szCs w:val="20"/>
              </w:rPr>
              <w:t>&lt;0.001</w:t>
            </w:r>
          </w:p>
        </w:tc>
      </w:tr>
    </w:tbl>
    <w:p w14:paraId="198D0D1F" w14:textId="77777777" w:rsidR="00A418BC" w:rsidRPr="000B1E5B" w:rsidRDefault="00A418BC" w:rsidP="00A418BC">
      <w:pPr>
        <w:tabs>
          <w:tab w:val="left" w:pos="5320"/>
        </w:tabs>
        <w:spacing w:line="240" w:lineRule="auto"/>
        <w:jc w:val="both"/>
        <w:rPr>
          <w:rFonts w:ascii="Arial" w:hAnsi="Arial" w:cs="Arial"/>
        </w:rPr>
      </w:pPr>
    </w:p>
    <w:p w14:paraId="762C4753" w14:textId="77777777" w:rsidR="00A418BC" w:rsidRPr="000B1E5B" w:rsidRDefault="00A418BC" w:rsidP="00A418BC">
      <w:pPr>
        <w:jc w:val="both"/>
        <w:rPr>
          <w:rFonts w:ascii="Arial" w:hAnsi="Arial" w:cs="Arial"/>
          <w:sz w:val="20"/>
          <w:szCs w:val="20"/>
        </w:rPr>
      </w:pPr>
      <w:r w:rsidRPr="00A418BC">
        <w:rPr>
          <w:rFonts w:ascii="Arial" w:hAnsi="Arial" w:cs="Arial"/>
          <w:sz w:val="20"/>
          <w:szCs w:val="20"/>
        </w:rPr>
        <w:t xml:space="preserve">The statistics used in model fitting, such as AIC (Akaike Information Criterion), BIC (Bayesian Information Criterion), -2 Log Likelihood (-2LL), Chi-Square statistic, degrees of freedom (df), and p-value, serve as vital tools for assessing model quality and fit. Both AIC and BIC are measures of the relative quality of statistical models, estimating the information lost when a specific model represents the data-generating process. Lower AIC and BIC values indicate a better balance between model complexity and goodness of fit, with the model exhibiting the smallest values being generally preferred. The -2 Log Likelihood (-2LL) quantifies how well the model fits the data, where a lower value reflects a stronger fit, and it is often utilized in the calculation of the Chi-Square statistic for comparing nested models. The Chi-Square statistic, in this context, refers to a Likelihood Ratio Test that compares the full model to a simpler, nested model (such as an intercept-only model). A significant Chi-Square value, indicated by a low p-value (typically less than 0.05), suggests that the full model significantly outperforms the simpler model. The degrees of freedom (df) represent the number of independent pieces of information used in calculating the Chi-Square statistic, typically equal to the difference in the number of parameters between the two models. Finally, the p-value indicates the probability of obtaining </w:t>
      </w:r>
      <w:r w:rsidRPr="00A418BC">
        <w:rPr>
          <w:rFonts w:ascii="Arial" w:hAnsi="Arial" w:cs="Arial"/>
          <w:sz w:val="20"/>
          <w:szCs w:val="20"/>
        </w:rPr>
        <w:lastRenderedPageBreak/>
        <w:t>a Chi-Square statistic as extreme as the one observed, assuming the simpler model is correct. A low p-value provides strong evidence against the simpler model, affirming that the full model offers a significantly better representation of the data. Together, these metrics collectively provide a robust framework for evaluating and comparing statistical models.</w:t>
      </w:r>
    </w:p>
    <w:p w14:paraId="3A77ADD6" w14:textId="2CA0A2C6" w:rsidR="00C94CCE" w:rsidRPr="00A418BC" w:rsidRDefault="00C94CCE" w:rsidP="00A418BC">
      <w:pPr>
        <w:jc w:val="both"/>
        <w:rPr>
          <w:rFonts w:ascii="Arial" w:hAnsi="Arial" w:cs="Arial"/>
        </w:rPr>
      </w:pPr>
      <w:r w:rsidRPr="000B1E5B">
        <w:rPr>
          <w:rFonts w:ascii="Arial" w:hAnsi="Arial" w:cs="Arial"/>
          <w:b/>
          <w:bCs/>
        </w:rPr>
        <w:t xml:space="preserve">Table </w:t>
      </w:r>
      <w:r w:rsidR="009357BA">
        <w:rPr>
          <w:rFonts w:ascii="Arial" w:hAnsi="Arial" w:cs="Arial"/>
          <w:b/>
          <w:bCs/>
        </w:rPr>
        <w:t>2</w:t>
      </w:r>
      <w:r w:rsidRPr="000B1E5B">
        <w:rPr>
          <w:rFonts w:ascii="Arial" w:hAnsi="Arial" w:cs="Arial"/>
          <w:b/>
          <w:bCs/>
        </w:rPr>
        <w:t>.</w:t>
      </w:r>
      <w:r w:rsidRPr="000B1E5B">
        <w:rPr>
          <w:rFonts w:ascii="Arial" w:hAnsi="Arial" w:cs="Arial"/>
        </w:rPr>
        <w:t xml:space="preserve"> </w:t>
      </w:r>
      <w:r w:rsidR="00BD6802" w:rsidRPr="00BD6802">
        <w:rPr>
          <w:rFonts w:ascii="Arial" w:hAnsi="Arial" w:cs="Arial"/>
          <w:b/>
          <w:bCs/>
        </w:rPr>
        <w:t>Evaluating Model Fit for Food Insecurity Determinants</w:t>
      </w:r>
    </w:p>
    <w:tbl>
      <w:tblPr>
        <w:tblStyle w:val="TableGrid"/>
        <w:tblW w:w="9067" w:type="dxa"/>
        <w:tblLayout w:type="fixed"/>
        <w:tblLook w:val="01E0" w:firstRow="1" w:lastRow="1" w:firstColumn="1" w:lastColumn="1" w:noHBand="0" w:noVBand="0"/>
      </w:tblPr>
      <w:tblGrid>
        <w:gridCol w:w="1555"/>
        <w:gridCol w:w="2126"/>
        <w:gridCol w:w="2551"/>
        <w:gridCol w:w="2835"/>
      </w:tblGrid>
      <w:tr w:rsidR="000B1E5B" w:rsidRPr="000B1E5B" w14:paraId="694BE5D5" w14:textId="77777777" w:rsidTr="00C94CCE">
        <w:trPr>
          <w:trHeight w:val="405"/>
        </w:trPr>
        <w:tc>
          <w:tcPr>
            <w:tcW w:w="1555" w:type="dxa"/>
          </w:tcPr>
          <w:p w14:paraId="5890D242" w14:textId="244B3655" w:rsidR="00C94CCE" w:rsidRPr="000B1E5B" w:rsidRDefault="00C94CCE" w:rsidP="00C94CCE">
            <w:pPr>
              <w:pStyle w:val="TableParagraph"/>
              <w:jc w:val="center"/>
              <w:rPr>
                <w:rFonts w:ascii="Arial" w:hAnsi="Arial" w:cs="Arial"/>
                <w:b/>
              </w:rPr>
            </w:pPr>
            <w:r w:rsidRPr="000B1E5B">
              <w:rPr>
                <w:rFonts w:ascii="Arial" w:hAnsi="Arial" w:cs="Arial"/>
                <w:b/>
                <w:spacing w:val="-4"/>
              </w:rPr>
              <w:t>Test</w:t>
            </w:r>
          </w:p>
        </w:tc>
        <w:tc>
          <w:tcPr>
            <w:tcW w:w="2126" w:type="dxa"/>
          </w:tcPr>
          <w:p w14:paraId="46DF0BF0" w14:textId="77777777" w:rsidR="00C94CCE" w:rsidRPr="000B1E5B" w:rsidRDefault="00C94CCE" w:rsidP="00C94CCE">
            <w:pPr>
              <w:pStyle w:val="TableParagraph"/>
              <w:ind w:left="127"/>
              <w:jc w:val="center"/>
              <w:rPr>
                <w:rFonts w:ascii="Arial" w:hAnsi="Arial" w:cs="Arial"/>
                <w:b/>
              </w:rPr>
            </w:pPr>
            <w:r w:rsidRPr="000B1E5B">
              <w:rPr>
                <w:rFonts w:ascii="Arial" w:hAnsi="Arial" w:cs="Arial"/>
                <w:b/>
                <w:spacing w:val="-4"/>
              </w:rPr>
              <w:t>Chi-</w:t>
            </w:r>
            <w:r w:rsidRPr="000B1E5B">
              <w:rPr>
                <w:rFonts w:ascii="Arial" w:hAnsi="Arial" w:cs="Arial"/>
                <w:b/>
                <w:spacing w:val="-2"/>
              </w:rPr>
              <w:t>Square</w:t>
            </w:r>
          </w:p>
        </w:tc>
        <w:tc>
          <w:tcPr>
            <w:tcW w:w="2551" w:type="dxa"/>
          </w:tcPr>
          <w:p w14:paraId="75D9C77B" w14:textId="77777777" w:rsidR="00C94CCE" w:rsidRPr="000B1E5B" w:rsidRDefault="00C94CCE" w:rsidP="00C94CCE">
            <w:pPr>
              <w:pStyle w:val="TableParagraph"/>
              <w:ind w:left="126"/>
              <w:jc w:val="center"/>
              <w:rPr>
                <w:rFonts w:ascii="Arial" w:hAnsi="Arial" w:cs="Arial"/>
                <w:b/>
              </w:rPr>
            </w:pPr>
            <w:r w:rsidRPr="000B1E5B">
              <w:rPr>
                <w:rFonts w:ascii="Arial" w:hAnsi="Arial" w:cs="Arial"/>
                <w:b/>
                <w:spacing w:val="-5"/>
              </w:rPr>
              <w:t>df</w:t>
            </w:r>
          </w:p>
        </w:tc>
        <w:tc>
          <w:tcPr>
            <w:tcW w:w="2835" w:type="dxa"/>
          </w:tcPr>
          <w:p w14:paraId="3EC6BCF5" w14:textId="77777777" w:rsidR="00C94CCE" w:rsidRPr="00BD6802" w:rsidRDefault="00C94CCE" w:rsidP="00C94CCE">
            <w:pPr>
              <w:pStyle w:val="TableParagraph"/>
              <w:ind w:left="127"/>
              <w:jc w:val="center"/>
              <w:rPr>
                <w:rFonts w:ascii="Arial" w:hAnsi="Arial" w:cs="Arial"/>
                <w:b/>
              </w:rPr>
            </w:pPr>
            <w:r w:rsidRPr="00BD6802">
              <w:rPr>
                <w:rFonts w:ascii="Arial" w:hAnsi="Arial" w:cs="Arial"/>
                <w:b/>
                <w:spacing w:val="-4"/>
              </w:rPr>
              <w:t>Sig.</w:t>
            </w:r>
          </w:p>
        </w:tc>
      </w:tr>
      <w:tr w:rsidR="000B1E5B" w:rsidRPr="000B1E5B" w14:paraId="718565BE" w14:textId="77777777" w:rsidTr="00C94CCE">
        <w:trPr>
          <w:trHeight w:val="392"/>
        </w:trPr>
        <w:tc>
          <w:tcPr>
            <w:tcW w:w="1555" w:type="dxa"/>
          </w:tcPr>
          <w:p w14:paraId="1FBD0CA0" w14:textId="77777777" w:rsidR="00C94CCE" w:rsidRPr="000B1E5B" w:rsidRDefault="00C94CCE" w:rsidP="00C94CCE">
            <w:pPr>
              <w:pStyle w:val="TableParagraph"/>
              <w:jc w:val="center"/>
              <w:rPr>
                <w:rFonts w:ascii="Arial" w:hAnsi="Arial" w:cs="Arial"/>
                <w:sz w:val="20"/>
                <w:szCs w:val="20"/>
              </w:rPr>
            </w:pPr>
            <w:r w:rsidRPr="000B1E5B">
              <w:rPr>
                <w:rFonts w:ascii="Arial" w:hAnsi="Arial" w:cs="Arial"/>
                <w:spacing w:val="-2"/>
                <w:sz w:val="20"/>
                <w:szCs w:val="20"/>
              </w:rPr>
              <w:t>Pearson</w:t>
            </w:r>
          </w:p>
        </w:tc>
        <w:tc>
          <w:tcPr>
            <w:tcW w:w="2126" w:type="dxa"/>
          </w:tcPr>
          <w:p w14:paraId="329A0D59" w14:textId="77777777" w:rsidR="00C94CCE" w:rsidRPr="000B1E5B" w:rsidRDefault="00C94CCE" w:rsidP="00C94CCE">
            <w:pPr>
              <w:pStyle w:val="TableParagraph"/>
              <w:ind w:left="127"/>
              <w:jc w:val="center"/>
              <w:rPr>
                <w:rFonts w:ascii="Arial" w:hAnsi="Arial" w:cs="Arial"/>
                <w:sz w:val="20"/>
                <w:szCs w:val="20"/>
              </w:rPr>
            </w:pPr>
            <w:r w:rsidRPr="000B1E5B">
              <w:rPr>
                <w:rFonts w:ascii="Arial" w:hAnsi="Arial" w:cs="Arial"/>
                <w:spacing w:val="-2"/>
                <w:sz w:val="20"/>
                <w:szCs w:val="20"/>
              </w:rPr>
              <w:t>580.188</w:t>
            </w:r>
          </w:p>
        </w:tc>
        <w:tc>
          <w:tcPr>
            <w:tcW w:w="2551" w:type="dxa"/>
          </w:tcPr>
          <w:p w14:paraId="5AFEE426" w14:textId="77777777" w:rsidR="00C94CCE" w:rsidRPr="000B1E5B" w:rsidRDefault="00C94CCE" w:rsidP="00C94CCE">
            <w:pPr>
              <w:pStyle w:val="TableParagraph"/>
              <w:ind w:left="126"/>
              <w:jc w:val="center"/>
              <w:rPr>
                <w:rFonts w:ascii="Arial" w:hAnsi="Arial" w:cs="Arial"/>
                <w:sz w:val="20"/>
                <w:szCs w:val="20"/>
              </w:rPr>
            </w:pPr>
            <w:r w:rsidRPr="000B1E5B">
              <w:rPr>
                <w:rFonts w:ascii="Arial" w:hAnsi="Arial" w:cs="Arial"/>
                <w:spacing w:val="-5"/>
                <w:sz w:val="20"/>
                <w:szCs w:val="20"/>
              </w:rPr>
              <w:t>566</w:t>
            </w:r>
          </w:p>
        </w:tc>
        <w:tc>
          <w:tcPr>
            <w:tcW w:w="2835" w:type="dxa"/>
          </w:tcPr>
          <w:p w14:paraId="7F837751" w14:textId="77777777" w:rsidR="00C94CCE" w:rsidRPr="00BD6802" w:rsidRDefault="00C94CCE" w:rsidP="00C94CCE">
            <w:pPr>
              <w:pStyle w:val="TableParagraph"/>
              <w:ind w:left="127"/>
              <w:jc w:val="center"/>
              <w:rPr>
                <w:rFonts w:ascii="Arial" w:hAnsi="Arial" w:cs="Arial"/>
                <w:sz w:val="20"/>
                <w:szCs w:val="20"/>
              </w:rPr>
            </w:pPr>
            <w:r w:rsidRPr="00BD6802">
              <w:rPr>
                <w:rFonts w:ascii="Arial" w:hAnsi="Arial" w:cs="Arial"/>
                <w:spacing w:val="-2"/>
                <w:sz w:val="20"/>
                <w:szCs w:val="20"/>
              </w:rPr>
              <w:t>0.331</w:t>
            </w:r>
          </w:p>
        </w:tc>
      </w:tr>
      <w:tr w:rsidR="000B1E5B" w:rsidRPr="000B1E5B" w14:paraId="08419F1D" w14:textId="77777777" w:rsidTr="00C94CCE">
        <w:trPr>
          <w:trHeight w:val="406"/>
        </w:trPr>
        <w:tc>
          <w:tcPr>
            <w:tcW w:w="1555" w:type="dxa"/>
          </w:tcPr>
          <w:p w14:paraId="259D2C07" w14:textId="77777777" w:rsidR="00C94CCE" w:rsidRPr="000B1E5B" w:rsidRDefault="00C94CCE" w:rsidP="00C94CCE">
            <w:pPr>
              <w:pStyle w:val="TableParagraph"/>
              <w:jc w:val="center"/>
              <w:rPr>
                <w:rFonts w:ascii="Arial" w:hAnsi="Arial" w:cs="Arial"/>
                <w:sz w:val="20"/>
                <w:szCs w:val="20"/>
              </w:rPr>
            </w:pPr>
            <w:r w:rsidRPr="000B1E5B">
              <w:rPr>
                <w:rFonts w:ascii="Arial" w:hAnsi="Arial" w:cs="Arial"/>
                <w:spacing w:val="-2"/>
                <w:sz w:val="20"/>
                <w:szCs w:val="20"/>
              </w:rPr>
              <w:t>Deviance</w:t>
            </w:r>
          </w:p>
        </w:tc>
        <w:tc>
          <w:tcPr>
            <w:tcW w:w="2126" w:type="dxa"/>
          </w:tcPr>
          <w:p w14:paraId="19AEC1B7" w14:textId="77777777" w:rsidR="00C94CCE" w:rsidRPr="000B1E5B" w:rsidRDefault="00C94CCE" w:rsidP="00C94CCE">
            <w:pPr>
              <w:pStyle w:val="TableParagraph"/>
              <w:ind w:left="127"/>
              <w:jc w:val="center"/>
              <w:rPr>
                <w:rFonts w:ascii="Arial" w:hAnsi="Arial" w:cs="Arial"/>
                <w:sz w:val="20"/>
                <w:szCs w:val="20"/>
              </w:rPr>
            </w:pPr>
            <w:r w:rsidRPr="000B1E5B">
              <w:rPr>
                <w:rFonts w:ascii="Arial" w:hAnsi="Arial" w:cs="Arial"/>
                <w:spacing w:val="-2"/>
                <w:sz w:val="20"/>
                <w:szCs w:val="20"/>
              </w:rPr>
              <w:t>312.053</w:t>
            </w:r>
          </w:p>
        </w:tc>
        <w:tc>
          <w:tcPr>
            <w:tcW w:w="2551" w:type="dxa"/>
          </w:tcPr>
          <w:p w14:paraId="604A53A8" w14:textId="77777777" w:rsidR="00C94CCE" w:rsidRPr="000B1E5B" w:rsidRDefault="00C94CCE" w:rsidP="00C94CCE">
            <w:pPr>
              <w:pStyle w:val="TableParagraph"/>
              <w:ind w:left="126"/>
              <w:jc w:val="center"/>
              <w:rPr>
                <w:rFonts w:ascii="Arial" w:hAnsi="Arial" w:cs="Arial"/>
                <w:sz w:val="20"/>
                <w:szCs w:val="20"/>
              </w:rPr>
            </w:pPr>
            <w:r w:rsidRPr="000B1E5B">
              <w:rPr>
                <w:rFonts w:ascii="Arial" w:hAnsi="Arial" w:cs="Arial"/>
                <w:spacing w:val="-5"/>
                <w:sz w:val="20"/>
                <w:szCs w:val="20"/>
              </w:rPr>
              <w:t>566</w:t>
            </w:r>
          </w:p>
        </w:tc>
        <w:tc>
          <w:tcPr>
            <w:tcW w:w="2835" w:type="dxa"/>
          </w:tcPr>
          <w:p w14:paraId="1E784D7E" w14:textId="77777777" w:rsidR="00C94CCE" w:rsidRPr="00BD6802" w:rsidRDefault="00C94CCE" w:rsidP="00C94CCE">
            <w:pPr>
              <w:pStyle w:val="TableParagraph"/>
              <w:ind w:left="127"/>
              <w:jc w:val="center"/>
              <w:rPr>
                <w:rFonts w:ascii="Arial" w:hAnsi="Arial" w:cs="Arial"/>
                <w:sz w:val="20"/>
                <w:szCs w:val="20"/>
              </w:rPr>
            </w:pPr>
            <w:r w:rsidRPr="00BD6802">
              <w:rPr>
                <w:rFonts w:ascii="Arial" w:hAnsi="Arial" w:cs="Arial"/>
                <w:spacing w:val="-2"/>
                <w:sz w:val="20"/>
                <w:szCs w:val="20"/>
              </w:rPr>
              <w:t>1.000</w:t>
            </w:r>
          </w:p>
        </w:tc>
      </w:tr>
    </w:tbl>
    <w:p w14:paraId="74DC3593" w14:textId="77777777" w:rsidR="009801DD" w:rsidRPr="000B1E5B" w:rsidRDefault="009801DD" w:rsidP="00805AC6">
      <w:pPr>
        <w:jc w:val="both"/>
        <w:rPr>
          <w:rFonts w:ascii="Arial" w:hAnsi="Arial" w:cs="Arial"/>
        </w:rPr>
      </w:pPr>
    </w:p>
    <w:p w14:paraId="731D95E5" w14:textId="46003DAC" w:rsidR="00BD6802" w:rsidRDefault="00BD6802" w:rsidP="00801FF5">
      <w:pPr>
        <w:jc w:val="both"/>
        <w:rPr>
          <w:rFonts w:ascii="Arial" w:hAnsi="Arial" w:cs="Arial"/>
          <w:sz w:val="20"/>
          <w:szCs w:val="20"/>
        </w:rPr>
      </w:pPr>
      <w:r w:rsidRPr="00BD6802">
        <w:rPr>
          <w:rFonts w:ascii="Arial" w:hAnsi="Arial" w:cs="Arial"/>
          <w:sz w:val="20"/>
          <w:szCs w:val="20"/>
        </w:rPr>
        <w:t>The goodness-of-fit test results</w:t>
      </w:r>
      <w:r>
        <w:rPr>
          <w:rFonts w:ascii="Arial" w:hAnsi="Arial" w:cs="Arial"/>
          <w:sz w:val="20"/>
          <w:szCs w:val="20"/>
        </w:rPr>
        <w:t xml:space="preserve"> in table </w:t>
      </w:r>
      <w:r w:rsidR="009357BA">
        <w:rPr>
          <w:rFonts w:ascii="Arial" w:hAnsi="Arial" w:cs="Arial"/>
          <w:sz w:val="20"/>
          <w:szCs w:val="20"/>
        </w:rPr>
        <w:t>2</w:t>
      </w:r>
      <w:r>
        <w:rPr>
          <w:rFonts w:ascii="Arial" w:hAnsi="Arial" w:cs="Arial"/>
          <w:sz w:val="20"/>
          <w:szCs w:val="20"/>
        </w:rPr>
        <w:t>.</w:t>
      </w:r>
      <w:r w:rsidRPr="00BD6802">
        <w:rPr>
          <w:rFonts w:ascii="Arial" w:hAnsi="Arial" w:cs="Arial"/>
          <w:sz w:val="20"/>
          <w:szCs w:val="20"/>
        </w:rPr>
        <w:t xml:space="preserve"> presented in the table assess the adequacy of the multinomial logistic regression model in explaining food insecurity. The Pearson Chi-Square test (χ² = 580.188, df = 566, p = 0.331) and Deviance test (χ² = 312.053, df = 566, p = 1.000) indicate that the model's predicted probabilities align well with the observed data, as both tests yielded non-significant p-values (p &gt; 0.05). These results suggest the model fits well and does not significantly deviate from the actual data distribution, validating its suitability for the analysis.</w:t>
      </w:r>
    </w:p>
    <w:p w14:paraId="53E184D2" w14:textId="5C872AE3" w:rsidR="00805AC6" w:rsidRPr="000B1E5B" w:rsidRDefault="0055322A" w:rsidP="00801FF5">
      <w:pPr>
        <w:jc w:val="both"/>
        <w:rPr>
          <w:rFonts w:ascii="Arial" w:hAnsi="Arial" w:cs="Arial"/>
          <w:b/>
          <w:spacing w:val="-4"/>
        </w:rPr>
      </w:pPr>
      <w:r w:rsidRPr="000B1E5B">
        <w:rPr>
          <w:rFonts w:ascii="Arial" w:hAnsi="Arial" w:cs="Arial"/>
          <w:b/>
          <w:spacing w:val="-4"/>
        </w:rPr>
        <w:t xml:space="preserve">Table </w:t>
      </w:r>
      <w:r w:rsidR="009357BA">
        <w:rPr>
          <w:rFonts w:ascii="Arial" w:hAnsi="Arial" w:cs="Arial"/>
          <w:b/>
          <w:spacing w:val="-4"/>
        </w:rPr>
        <w:t>3</w:t>
      </w:r>
      <w:r w:rsidR="009801DD" w:rsidRPr="000B1E5B">
        <w:rPr>
          <w:rFonts w:ascii="Arial" w:hAnsi="Arial" w:cs="Arial"/>
          <w:b/>
          <w:spacing w:val="-4"/>
        </w:rPr>
        <w:t xml:space="preserve">. </w:t>
      </w:r>
      <w:r w:rsidR="00BD6802" w:rsidRPr="00BD6802">
        <w:rPr>
          <w:rFonts w:ascii="Arial" w:hAnsi="Arial" w:cs="Arial"/>
          <w:b/>
          <w:spacing w:val="-4"/>
        </w:rPr>
        <w:t>Pseudo R-Square Insights into Food Insecurity Predictors</w:t>
      </w:r>
    </w:p>
    <w:tbl>
      <w:tblPr>
        <w:tblStyle w:val="TableGrid"/>
        <w:tblW w:w="8926" w:type="dxa"/>
        <w:tblLayout w:type="fixed"/>
        <w:tblLook w:val="01E0" w:firstRow="1" w:lastRow="1" w:firstColumn="1" w:lastColumn="1" w:noHBand="0" w:noVBand="0"/>
      </w:tblPr>
      <w:tblGrid>
        <w:gridCol w:w="4390"/>
        <w:gridCol w:w="4536"/>
      </w:tblGrid>
      <w:tr w:rsidR="0055322A" w:rsidRPr="000B1E5B" w14:paraId="5426C9B5" w14:textId="4613D734" w:rsidTr="0055322A">
        <w:trPr>
          <w:trHeight w:val="298"/>
        </w:trPr>
        <w:tc>
          <w:tcPr>
            <w:tcW w:w="4390" w:type="dxa"/>
          </w:tcPr>
          <w:p w14:paraId="06D27D8A" w14:textId="5CCFA6D8" w:rsidR="0055322A" w:rsidRPr="000B1E5B" w:rsidRDefault="0055322A" w:rsidP="00631402">
            <w:pPr>
              <w:pStyle w:val="TableParagraph"/>
              <w:tabs>
                <w:tab w:val="left" w:pos="7152"/>
              </w:tabs>
              <w:spacing w:before="0"/>
              <w:rPr>
                <w:rFonts w:ascii="Arial" w:hAnsi="Arial" w:cs="Arial"/>
                <w:b/>
              </w:rPr>
            </w:pPr>
            <w:r w:rsidRPr="000B1E5B">
              <w:rPr>
                <w:rFonts w:ascii="Arial" w:hAnsi="Arial" w:cs="Arial"/>
                <w:b/>
                <w:spacing w:val="-2"/>
              </w:rPr>
              <w:t>Measure</w:t>
            </w:r>
          </w:p>
        </w:tc>
        <w:tc>
          <w:tcPr>
            <w:tcW w:w="4536" w:type="dxa"/>
          </w:tcPr>
          <w:p w14:paraId="0233C5CE" w14:textId="74E4AC44" w:rsidR="0055322A" w:rsidRPr="000B1E5B" w:rsidRDefault="0055322A" w:rsidP="0055322A">
            <w:pPr>
              <w:pStyle w:val="TableParagraph"/>
              <w:tabs>
                <w:tab w:val="left" w:pos="7152"/>
              </w:tabs>
              <w:spacing w:before="0"/>
              <w:ind w:left="0"/>
              <w:rPr>
                <w:rFonts w:ascii="Arial" w:hAnsi="Arial" w:cs="Arial"/>
                <w:b/>
              </w:rPr>
            </w:pPr>
            <w:r w:rsidRPr="000B1E5B">
              <w:rPr>
                <w:rFonts w:ascii="Arial" w:hAnsi="Arial" w:cs="Arial"/>
                <w:b/>
                <w:spacing w:val="-2"/>
              </w:rPr>
              <w:t xml:space="preserve">  Value</w:t>
            </w:r>
          </w:p>
        </w:tc>
      </w:tr>
      <w:tr w:rsidR="009801DD" w:rsidRPr="000B1E5B" w14:paraId="70394E49" w14:textId="77777777" w:rsidTr="009801DD">
        <w:trPr>
          <w:trHeight w:val="358"/>
        </w:trPr>
        <w:tc>
          <w:tcPr>
            <w:tcW w:w="4390" w:type="dxa"/>
          </w:tcPr>
          <w:p w14:paraId="6F1515E5" w14:textId="77777777" w:rsidR="009801DD" w:rsidRPr="000B1E5B" w:rsidRDefault="009801DD" w:rsidP="00631402">
            <w:pPr>
              <w:pStyle w:val="TableParagraph"/>
              <w:rPr>
                <w:rFonts w:ascii="Arial" w:hAnsi="Arial" w:cs="Arial"/>
                <w:sz w:val="20"/>
                <w:szCs w:val="20"/>
              </w:rPr>
            </w:pPr>
            <w:r w:rsidRPr="000B1E5B">
              <w:rPr>
                <w:rFonts w:ascii="Arial" w:hAnsi="Arial" w:cs="Arial"/>
                <w:spacing w:val="-2"/>
                <w:sz w:val="20"/>
                <w:szCs w:val="20"/>
              </w:rPr>
              <w:t>Cox</w:t>
            </w:r>
            <w:r w:rsidRPr="000B1E5B">
              <w:rPr>
                <w:rFonts w:ascii="Arial" w:hAnsi="Arial" w:cs="Arial"/>
                <w:spacing w:val="-10"/>
                <w:sz w:val="20"/>
                <w:szCs w:val="20"/>
              </w:rPr>
              <w:t xml:space="preserve"> </w:t>
            </w:r>
            <w:r w:rsidRPr="000B1E5B">
              <w:rPr>
                <w:rFonts w:ascii="Arial" w:hAnsi="Arial" w:cs="Arial"/>
                <w:spacing w:val="-2"/>
                <w:sz w:val="20"/>
                <w:szCs w:val="20"/>
              </w:rPr>
              <w:t>and</w:t>
            </w:r>
            <w:r w:rsidRPr="000B1E5B">
              <w:rPr>
                <w:rFonts w:ascii="Arial" w:hAnsi="Arial" w:cs="Arial"/>
                <w:spacing w:val="-10"/>
                <w:sz w:val="20"/>
                <w:szCs w:val="20"/>
              </w:rPr>
              <w:t xml:space="preserve"> </w:t>
            </w:r>
            <w:r w:rsidRPr="000B1E5B">
              <w:rPr>
                <w:rFonts w:ascii="Arial" w:hAnsi="Arial" w:cs="Arial"/>
                <w:spacing w:val="-2"/>
                <w:sz w:val="20"/>
                <w:szCs w:val="20"/>
              </w:rPr>
              <w:t>Snell</w:t>
            </w:r>
          </w:p>
        </w:tc>
        <w:tc>
          <w:tcPr>
            <w:tcW w:w="4536" w:type="dxa"/>
          </w:tcPr>
          <w:p w14:paraId="16F5D6AC" w14:textId="77777777" w:rsidR="009801DD" w:rsidRPr="000B1E5B" w:rsidRDefault="009801DD" w:rsidP="00631402">
            <w:pPr>
              <w:pStyle w:val="TableParagraph"/>
              <w:ind w:left="118"/>
              <w:rPr>
                <w:rFonts w:ascii="Arial" w:hAnsi="Arial" w:cs="Arial"/>
                <w:sz w:val="20"/>
                <w:szCs w:val="20"/>
              </w:rPr>
            </w:pPr>
            <w:r w:rsidRPr="000B1E5B">
              <w:rPr>
                <w:rFonts w:ascii="Arial" w:hAnsi="Arial" w:cs="Arial"/>
                <w:spacing w:val="-2"/>
                <w:sz w:val="20"/>
                <w:szCs w:val="20"/>
              </w:rPr>
              <w:t>0.560</w:t>
            </w:r>
          </w:p>
        </w:tc>
      </w:tr>
      <w:tr w:rsidR="009801DD" w:rsidRPr="000B1E5B" w14:paraId="399ADFD4" w14:textId="77777777" w:rsidTr="009801DD">
        <w:trPr>
          <w:trHeight w:val="345"/>
        </w:trPr>
        <w:tc>
          <w:tcPr>
            <w:tcW w:w="4390" w:type="dxa"/>
          </w:tcPr>
          <w:p w14:paraId="617D4380" w14:textId="77777777" w:rsidR="009801DD" w:rsidRPr="000B1E5B" w:rsidRDefault="009801DD" w:rsidP="00631402">
            <w:pPr>
              <w:pStyle w:val="TableParagraph"/>
              <w:rPr>
                <w:rFonts w:ascii="Arial" w:hAnsi="Arial" w:cs="Arial"/>
                <w:sz w:val="20"/>
                <w:szCs w:val="20"/>
              </w:rPr>
            </w:pPr>
            <w:r w:rsidRPr="000B1E5B">
              <w:rPr>
                <w:rFonts w:ascii="Arial" w:hAnsi="Arial" w:cs="Arial"/>
                <w:spacing w:val="-2"/>
                <w:sz w:val="20"/>
                <w:szCs w:val="20"/>
              </w:rPr>
              <w:t>Nagelkerke</w:t>
            </w:r>
          </w:p>
        </w:tc>
        <w:tc>
          <w:tcPr>
            <w:tcW w:w="4536" w:type="dxa"/>
          </w:tcPr>
          <w:p w14:paraId="1D935E71" w14:textId="77777777" w:rsidR="009801DD" w:rsidRPr="000B1E5B" w:rsidRDefault="009801DD" w:rsidP="00631402">
            <w:pPr>
              <w:pStyle w:val="TableParagraph"/>
              <w:ind w:left="118"/>
              <w:rPr>
                <w:rFonts w:ascii="Arial" w:hAnsi="Arial" w:cs="Arial"/>
                <w:sz w:val="20"/>
                <w:szCs w:val="20"/>
              </w:rPr>
            </w:pPr>
            <w:r w:rsidRPr="000B1E5B">
              <w:rPr>
                <w:rFonts w:ascii="Arial" w:hAnsi="Arial" w:cs="Arial"/>
                <w:spacing w:val="-2"/>
                <w:sz w:val="20"/>
                <w:szCs w:val="20"/>
              </w:rPr>
              <w:t>0.663</w:t>
            </w:r>
          </w:p>
        </w:tc>
      </w:tr>
      <w:tr w:rsidR="009801DD" w:rsidRPr="000B1E5B" w14:paraId="7FD70D4B" w14:textId="77777777" w:rsidTr="009801DD">
        <w:trPr>
          <w:trHeight w:val="346"/>
        </w:trPr>
        <w:tc>
          <w:tcPr>
            <w:tcW w:w="4390" w:type="dxa"/>
          </w:tcPr>
          <w:p w14:paraId="0589AC80" w14:textId="77777777" w:rsidR="009801DD" w:rsidRPr="000B1E5B" w:rsidRDefault="009801DD" w:rsidP="00631402">
            <w:pPr>
              <w:pStyle w:val="TableParagraph"/>
              <w:rPr>
                <w:rFonts w:ascii="Arial" w:hAnsi="Arial" w:cs="Arial"/>
                <w:sz w:val="20"/>
                <w:szCs w:val="20"/>
              </w:rPr>
            </w:pPr>
            <w:r w:rsidRPr="000B1E5B">
              <w:rPr>
                <w:rFonts w:ascii="Arial" w:hAnsi="Arial" w:cs="Arial"/>
                <w:spacing w:val="-2"/>
                <w:sz w:val="20"/>
                <w:szCs w:val="20"/>
              </w:rPr>
              <w:t>McFadden</w:t>
            </w:r>
          </w:p>
        </w:tc>
        <w:tc>
          <w:tcPr>
            <w:tcW w:w="4536" w:type="dxa"/>
          </w:tcPr>
          <w:p w14:paraId="0DAB4DDF" w14:textId="77777777" w:rsidR="009801DD" w:rsidRPr="000B1E5B" w:rsidRDefault="009801DD" w:rsidP="00631402">
            <w:pPr>
              <w:pStyle w:val="TableParagraph"/>
              <w:ind w:left="118"/>
              <w:rPr>
                <w:rFonts w:ascii="Arial" w:hAnsi="Arial" w:cs="Arial"/>
                <w:sz w:val="20"/>
                <w:szCs w:val="20"/>
              </w:rPr>
            </w:pPr>
            <w:r w:rsidRPr="000B1E5B">
              <w:rPr>
                <w:rFonts w:ascii="Arial" w:hAnsi="Arial" w:cs="Arial"/>
                <w:spacing w:val="-2"/>
                <w:sz w:val="20"/>
                <w:szCs w:val="20"/>
              </w:rPr>
              <w:t>0.440</w:t>
            </w:r>
          </w:p>
        </w:tc>
      </w:tr>
    </w:tbl>
    <w:p w14:paraId="618E6790" w14:textId="77777777" w:rsidR="009801DD" w:rsidRPr="000B1E5B" w:rsidRDefault="009801DD" w:rsidP="00801FF5">
      <w:pPr>
        <w:jc w:val="both"/>
        <w:rPr>
          <w:rFonts w:ascii="Arial" w:hAnsi="Arial" w:cs="Arial"/>
        </w:rPr>
      </w:pPr>
    </w:p>
    <w:p w14:paraId="6FDC8765" w14:textId="3AB8AE05" w:rsidR="009801DD" w:rsidRPr="000B1E5B" w:rsidRDefault="009801DD" w:rsidP="009801DD">
      <w:pPr>
        <w:jc w:val="both"/>
        <w:rPr>
          <w:rFonts w:ascii="Arial" w:hAnsi="Arial" w:cs="Arial"/>
        </w:rPr>
      </w:pPr>
      <w:r w:rsidRPr="009801DD">
        <w:rPr>
          <w:rFonts w:ascii="Arial" w:hAnsi="Arial" w:cs="Arial"/>
          <w:sz w:val="20"/>
          <w:szCs w:val="20"/>
        </w:rPr>
        <w:t>Pseudo-R-squared values—Cox and Snell, Nagelkerke, and McFadden</w:t>
      </w:r>
      <w:r w:rsidR="00FF1BD0">
        <w:rPr>
          <w:rFonts w:ascii="Arial" w:hAnsi="Arial" w:cs="Arial"/>
          <w:sz w:val="20"/>
          <w:szCs w:val="20"/>
        </w:rPr>
        <w:t xml:space="preserve"> (Table </w:t>
      </w:r>
      <w:r w:rsidR="009357BA">
        <w:rPr>
          <w:rFonts w:ascii="Arial" w:hAnsi="Arial" w:cs="Arial"/>
          <w:sz w:val="20"/>
          <w:szCs w:val="20"/>
        </w:rPr>
        <w:t>3</w:t>
      </w:r>
      <w:r w:rsidR="00FF1BD0">
        <w:rPr>
          <w:rFonts w:ascii="Arial" w:hAnsi="Arial" w:cs="Arial"/>
          <w:sz w:val="20"/>
          <w:szCs w:val="20"/>
        </w:rPr>
        <w:t xml:space="preserve">) </w:t>
      </w:r>
      <w:r w:rsidRPr="009801DD">
        <w:rPr>
          <w:rFonts w:ascii="Arial" w:hAnsi="Arial" w:cs="Arial"/>
          <w:sz w:val="20"/>
          <w:szCs w:val="20"/>
        </w:rPr>
        <w:t>offer distinct perspectives on the proportion of variance explained by multinomial logistic regression models. The Cox and Snell R-squared (0.560) adapts the linear regression concept but is limited in its ability to reach a maximum value of 1, indicating that 56.0% of the variance in the dependent variable is explained relative to its theoretical maximum. Nagelkerke R-squared (0.663) adjusts the Cox and Snell measure for interpretability, scaling it to achieve a maximum value of 1, showing that the model explains 66.3% of the variance—providing a more intuitive representation. McFadden R-squared (0.440), based on the likelihood ratio between the intercept-only and full models, is a conservative measure of goodness-of-fit; while its values tend to be lower, a score of 0.440 signifies that the model explains 44.0% of the variance relative to the baseline. Typically, McFadden values ranging from 0.2 to 0.4 are deemed acceptable in logistic regression contexts. Together, these measures reflect varying levels of explanatory power, with Nagelkerke R-squared presenting the most substantial contribution and McFadden R-squared offering a baseline comparison. These metrics underscore the robustness of the model in capturing key determinants of the dependent variable</w:t>
      </w:r>
      <w:r w:rsidRPr="009801DD">
        <w:rPr>
          <w:rFonts w:ascii="Arial" w:hAnsi="Arial" w:cs="Arial"/>
        </w:rPr>
        <w:t>.</w:t>
      </w:r>
    </w:p>
    <w:p w14:paraId="4F6612EE" w14:textId="3823BEA3" w:rsidR="0055322A" w:rsidRPr="00BD6802" w:rsidRDefault="0055322A" w:rsidP="009801DD">
      <w:pPr>
        <w:jc w:val="both"/>
        <w:rPr>
          <w:rFonts w:ascii="Arial" w:hAnsi="Arial" w:cs="Arial"/>
          <w:b/>
          <w:bCs/>
        </w:rPr>
      </w:pPr>
      <w:r w:rsidRPr="000B1E5B">
        <w:rPr>
          <w:rFonts w:ascii="Arial" w:hAnsi="Arial" w:cs="Arial"/>
          <w:b/>
          <w:bCs/>
          <w:lang w:val="en-US"/>
        </w:rPr>
        <w:t xml:space="preserve">Table </w:t>
      </w:r>
      <w:r w:rsidR="009357BA">
        <w:rPr>
          <w:rFonts w:ascii="Arial" w:hAnsi="Arial" w:cs="Arial"/>
          <w:b/>
          <w:bCs/>
          <w:lang w:val="en-US"/>
        </w:rPr>
        <w:t>4</w:t>
      </w:r>
      <w:r w:rsidRPr="000B1E5B">
        <w:rPr>
          <w:rFonts w:ascii="Arial" w:hAnsi="Arial" w:cs="Arial"/>
          <w:b/>
          <w:bCs/>
          <w:lang w:val="en-US"/>
        </w:rPr>
        <w:t>: Parameter Estimates for Multinomial Logistic Regression Predicting Food Insecurity</w:t>
      </w:r>
    </w:p>
    <w:tbl>
      <w:tblPr>
        <w:tblStyle w:val="TableGrid"/>
        <w:tblW w:w="9727" w:type="dxa"/>
        <w:tblLayout w:type="fixed"/>
        <w:tblLook w:val="01E0" w:firstRow="1" w:lastRow="1" w:firstColumn="1" w:lastColumn="1" w:noHBand="0" w:noVBand="0"/>
      </w:tblPr>
      <w:tblGrid>
        <w:gridCol w:w="2972"/>
        <w:gridCol w:w="1134"/>
        <w:gridCol w:w="992"/>
        <w:gridCol w:w="1018"/>
        <w:gridCol w:w="948"/>
        <w:gridCol w:w="840"/>
        <w:gridCol w:w="1823"/>
      </w:tblGrid>
      <w:tr w:rsidR="0055322A" w:rsidRPr="000B1E5B" w14:paraId="4E78C3FF" w14:textId="77777777" w:rsidTr="0055322A">
        <w:trPr>
          <w:trHeight w:val="415"/>
        </w:trPr>
        <w:tc>
          <w:tcPr>
            <w:tcW w:w="2972" w:type="dxa"/>
          </w:tcPr>
          <w:p w14:paraId="532BA248" w14:textId="77777777" w:rsidR="0055322A" w:rsidRPr="000B1E5B" w:rsidRDefault="0055322A" w:rsidP="00631402">
            <w:pPr>
              <w:pStyle w:val="TableParagraph"/>
              <w:rPr>
                <w:rFonts w:ascii="Arial" w:hAnsi="Arial" w:cs="Arial"/>
                <w:b/>
              </w:rPr>
            </w:pPr>
            <w:r w:rsidRPr="000B1E5B">
              <w:rPr>
                <w:rFonts w:ascii="Arial" w:hAnsi="Arial" w:cs="Arial"/>
                <w:b/>
                <w:spacing w:val="-2"/>
              </w:rPr>
              <w:t>Variable</w:t>
            </w:r>
          </w:p>
        </w:tc>
        <w:tc>
          <w:tcPr>
            <w:tcW w:w="1134" w:type="dxa"/>
          </w:tcPr>
          <w:p w14:paraId="4BFD735B" w14:textId="49545698" w:rsidR="0055322A" w:rsidRPr="000B1E5B" w:rsidRDefault="006B3B12" w:rsidP="00631402">
            <w:pPr>
              <w:pStyle w:val="TableParagraph"/>
              <w:ind w:left="124"/>
              <w:rPr>
                <w:rFonts w:ascii="Arial" w:hAnsi="Arial" w:cs="Arial"/>
                <w:b/>
              </w:rPr>
            </w:pPr>
            <w:r w:rsidRPr="000B1E5B">
              <w:rPr>
                <w:rFonts w:ascii="Arial" w:hAnsi="Arial" w:cs="Arial"/>
                <w:b/>
                <w:spacing w:val="-2"/>
              </w:rPr>
              <w:t>β</w:t>
            </w:r>
          </w:p>
        </w:tc>
        <w:tc>
          <w:tcPr>
            <w:tcW w:w="992" w:type="dxa"/>
          </w:tcPr>
          <w:p w14:paraId="553F43AC" w14:textId="77777777" w:rsidR="0055322A" w:rsidRPr="000B1E5B" w:rsidRDefault="0055322A" w:rsidP="00631402">
            <w:pPr>
              <w:pStyle w:val="TableParagraph"/>
              <w:ind w:left="116"/>
              <w:rPr>
                <w:rFonts w:ascii="Arial" w:hAnsi="Arial" w:cs="Arial"/>
                <w:b/>
              </w:rPr>
            </w:pPr>
            <w:r w:rsidRPr="000B1E5B">
              <w:rPr>
                <w:rFonts w:ascii="Arial" w:hAnsi="Arial" w:cs="Arial"/>
                <w:b/>
                <w:spacing w:val="-5"/>
              </w:rPr>
              <w:t>SE</w:t>
            </w:r>
          </w:p>
        </w:tc>
        <w:tc>
          <w:tcPr>
            <w:tcW w:w="1018" w:type="dxa"/>
          </w:tcPr>
          <w:p w14:paraId="7714009D" w14:textId="77777777" w:rsidR="0055322A" w:rsidRPr="000B1E5B" w:rsidRDefault="0055322A" w:rsidP="00631402">
            <w:pPr>
              <w:pStyle w:val="TableParagraph"/>
              <w:ind w:left="123"/>
              <w:rPr>
                <w:rFonts w:ascii="Arial" w:hAnsi="Arial" w:cs="Arial"/>
                <w:b/>
              </w:rPr>
            </w:pPr>
            <w:r w:rsidRPr="000B1E5B">
              <w:rPr>
                <w:rFonts w:ascii="Arial" w:hAnsi="Arial" w:cs="Arial"/>
                <w:b/>
                <w:spacing w:val="-4"/>
              </w:rPr>
              <w:t>Wald</w:t>
            </w:r>
          </w:p>
        </w:tc>
        <w:tc>
          <w:tcPr>
            <w:tcW w:w="948" w:type="dxa"/>
          </w:tcPr>
          <w:p w14:paraId="55686CC9" w14:textId="77777777" w:rsidR="0055322A" w:rsidRPr="000B1E5B" w:rsidRDefault="0055322A" w:rsidP="00631402">
            <w:pPr>
              <w:pStyle w:val="TableParagraph"/>
              <w:ind w:left="127"/>
              <w:rPr>
                <w:rFonts w:ascii="Arial" w:hAnsi="Arial" w:cs="Arial"/>
                <w:b/>
              </w:rPr>
            </w:pPr>
            <w:r w:rsidRPr="000B1E5B">
              <w:rPr>
                <w:rFonts w:ascii="Arial" w:hAnsi="Arial" w:cs="Arial"/>
                <w:b/>
                <w:spacing w:val="-4"/>
              </w:rPr>
              <w:t>Sig.</w:t>
            </w:r>
          </w:p>
        </w:tc>
        <w:tc>
          <w:tcPr>
            <w:tcW w:w="840" w:type="dxa"/>
          </w:tcPr>
          <w:p w14:paraId="22224EA3" w14:textId="267FA2EF" w:rsidR="0055322A" w:rsidRPr="000B1E5B" w:rsidRDefault="0055322A" w:rsidP="00631402">
            <w:pPr>
              <w:pStyle w:val="TableParagraph"/>
              <w:ind w:left="116"/>
              <w:rPr>
                <w:rFonts w:ascii="Arial" w:hAnsi="Arial" w:cs="Arial"/>
                <w:b/>
              </w:rPr>
            </w:pPr>
            <w:r w:rsidRPr="000B1E5B">
              <w:rPr>
                <w:rFonts w:ascii="Arial" w:hAnsi="Arial" w:cs="Arial"/>
                <w:b/>
                <w:spacing w:val="-2"/>
              </w:rPr>
              <w:t>Exp(β)</w:t>
            </w:r>
          </w:p>
        </w:tc>
        <w:tc>
          <w:tcPr>
            <w:tcW w:w="1823" w:type="dxa"/>
          </w:tcPr>
          <w:p w14:paraId="192F811C" w14:textId="68894FCC" w:rsidR="0055322A" w:rsidRPr="000B1E5B" w:rsidRDefault="0055322A" w:rsidP="00631402">
            <w:pPr>
              <w:pStyle w:val="TableParagraph"/>
              <w:ind w:left="114"/>
              <w:rPr>
                <w:rFonts w:ascii="Arial" w:hAnsi="Arial" w:cs="Arial"/>
                <w:b/>
              </w:rPr>
            </w:pPr>
            <w:r w:rsidRPr="000B1E5B">
              <w:rPr>
                <w:rFonts w:ascii="Arial" w:hAnsi="Arial" w:cs="Arial"/>
                <w:b/>
                <w:spacing w:val="-2"/>
              </w:rPr>
              <w:t>95%</w:t>
            </w:r>
            <w:r w:rsidRPr="000B1E5B">
              <w:rPr>
                <w:rFonts w:ascii="Arial" w:hAnsi="Arial" w:cs="Arial"/>
                <w:b/>
                <w:spacing w:val="-10"/>
              </w:rPr>
              <w:t xml:space="preserve"> </w:t>
            </w:r>
            <w:r w:rsidRPr="000B1E5B">
              <w:rPr>
                <w:rFonts w:ascii="Arial" w:hAnsi="Arial" w:cs="Arial"/>
                <w:b/>
                <w:spacing w:val="-2"/>
              </w:rPr>
              <w:t>CI</w:t>
            </w:r>
            <w:r w:rsidRPr="000B1E5B">
              <w:rPr>
                <w:rFonts w:ascii="Arial" w:hAnsi="Arial" w:cs="Arial"/>
                <w:b/>
                <w:spacing w:val="-9"/>
              </w:rPr>
              <w:t xml:space="preserve"> </w:t>
            </w:r>
            <w:r w:rsidRPr="000B1E5B">
              <w:rPr>
                <w:rFonts w:ascii="Arial" w:hAnsi="Arial" w:cs="Arial"/>
                <w:b/>
                <w:spacing w:val="-2"/>
              </w:rPr>
              <w:t>for</w:t>
            </w:r>
            <w:r w:rsidRPr="000B1E5B">
              <w:rPr>
                <w:rFonts w:ascii="Arial" w:hAnsi="Arial" w:cs="Arial"/>
                <w:b/>
                <w:spacing w:val="-9"/>
              </w:rPr>
              <w:t xml:space="preserve"> </w:t>
            </w:r>
            <w:r w:rsidRPr="000B1E5B">
              <w:rPr>
                <w:rFonts w:ascii="Arial" w:hAnsi="Arial" w:cs="Arial"/>
                <w:b/>
                <w:spacing w:val="-2"/>
              </w:rPr>
              <w:t>Exp(</w:t>
            </w:r>
            <w:r w:rsidR="006B3B12" w:rsidRPr="000B1E5B">
              <w:rPr>
                <w:rFonts w:ascii="Arial" w:hAnsi="Arial" w:cs="Arial"/>
                <w:b/>
                <w:spacing w:val="-2"/>
              </w:rPr>
              <w:t>β</w:t>
            </w:r>
            <w:r w:rsidRPr="000B1E5B">
              <w:rPr>
                <w:rFonts w:ascii="Arial" w:hAnsi="Arial" w:cs="Arial"/>
                <w:b/>
                <w:spacing w:val="-2"/>
              </w:rPr>
              <w:t>)</w:t>
            </w:r>
          </w:p>
        </w:tc>
      </w:tr>
      <w:tr w:rsidR="0055322A" w:rsidRPr="000B1E5B" w14:paraId="2877672F" w14:textId="77777777" w:rsidTr="0055322A">
        <w:trPr>
          <w:trHeight w:val="430"/>
        </w:trPr>
        <w:tc>
          <w:tcPr>
            <w:tcW w:w="2972" w:type="dxa"/>
          </w:tcPr>
          <w:p w14:paraId="4C2591B5" w14:textId="77777777" w:rsidR="0055322A" w:rsidRDefault="0058587D" w:rsidP="006B3B12">
            <w:pPr>
              <w:pStyle w:val="TableParagraph"/>
              <w:rPr>
                <w:rFonts w:ascii="Arial" w:hAnsi="Arial" w:cs="Arial"/>
                <w:b/>
                <w:spacing w:val="-2"/>
                <w:sz w:val="20"/>
                <w:szCs w:val="20"/>
              </w:rPr>
            </w:pPr>
            <w:r>
              <w:rPr>
                <w:rFonts w:ascii="Arial" w:hAnsi="Arial" w:cs="Arial"/>
                <w:b/>
                <w:spacing w:val="-2"/>
                <w:sz w:val="20"/>
                <w:szCs w:val="20"/>
              </w:rPr>
              <w:t xml:space="preserve">(Food secure to </w:t>
            </w:r>
            <w:r w:rsidR="006B3B12">
              <w:rPr>
                <w:rFonts w:ascii="Arial" w:hAnsi="Arial" w:cs="Arial"/>
                <w:b/>
                <w:spacing w:val="-2"/>
                <w:sz w:val="20"/>
                <w:szCs w:val="20"/>
              </w:rPr>
              <w:t>Moderately food insecure)</w:t>
            </w:r>
          </w:p>
          <w:p w14:paraId="0A03E9A7" w14:textId="36BAAF2C" w:rsidR="006B3B12" w:rsidRPr="006B3B12" w:rsidRDefault="006B3B12" w:rsidP="006B3B12">
            <w:pPr>
              <w:pStyle w:val="TableParagraph"/>
              <w:tabs>
                <w:tab w:val="left" w:pos="760"/>
              </w:tabs>
              <w:rPr>
                <w:rFonts w:ascii="Arial" w:hAnsi="Arial" w:cs="Arial"/>
                <w:b/>
                <w:spacing w:val="-2"/>
                <w:sz w:val="20"/>
                <w:szCs w:val="20"/>
              </w:rPr>
            </w:pPr>
            <w:r>
              <w:rPr>
                <w:rFonts w:ascii="Arial" w:hAnsi="Arial" w:cs="Arial"/>
                <w:b/>
                <w:noProof/>
                <w:spacing w:val="-2"/>
                <w:sz w:val="20"/>
                <w:szCs w:val="20"/>
                <w14:ligatures w14:val="standardContextual"/>
              </w:rPr>
              <mc:AlternateContent>
                <mc:Choice Requires="wps">
                  <w:drawing>
                    <wp:anchor distT="0" distB="0" distL="114300" distR="114300" simplePos="0" relativeHeight="251659264" behindDoc="0" locked="0" layoutInCell="1" allowOverlap="1" wp14:anchorId="2D0515AB" wp14:editId="790BB0DD">
                      <wp:simplePos x="0" y="0"/>
                      <wp:positionH relativeFrom="column">
                        <wp:posOffset>220345</wp:posOffset>
                      </wp:positionH>
                      <wp:positionV relativeFrom="paragraph">
                        <wp:posOffset>107950</wp:posOffset>
                      </wp:positionV>
                      <wp:extent cx="184150" cy="0"/>
                      <wp:effectExtent l="0" t="76200" r="25400" b="95250"/>
                      <wp:wrapNone/>
                      <wp:docPr id="753947874" name="Straight Arrow Connector 1"/>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53A294" id="_x0000_t32" coordsize="21600,21600" o:spt="32" o:oned="t" path="m,l21600,21600e" filled="f">
                      <v:path arrowok="t" fillok="f" o:connecttype="none"/>
                      <o:lock v:ext="edit" shapetype="t"/>
                    </v:shapetype>
                    <v:shape id="Straight Arrow Connector 1" o:spid="_x0000_s1026" type="#_x0000_t32" style="position:absolute;margin-left:17.35pt;margin-top:8.5pt;width:1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" strokecolor="black [3200]" strokeweight="1.5pt">
                      <v:stroke endarrow="block" joinstyle="miter"/>
                    </v:shape>
                  </w:pict>
                </mc:Fallback>
              </mc:AlternateContent>
            </w:r>
            <w:r>
              <w:rPr>
                <w:rFonts w:ascii="Arial" w:hAnsi="Arial" w:cs="Arial"/>
                <w:b/>
                <w:spacing w:val="-2"/>
                <w:sz w:val="20"/>
                <w:szCs w:val="20"/>
              </w:rPr>
              <w:t xml:space="preserve">(0 </w:t>
            </w:r>
            <w:r>
              <w:rPr>
                <w:rFonts w:ascii="Arial" w:hAnsi="Arial" w:cs="Arial"/>
                <w:b/>
                <w:spacing w:val="-2"/>
                <w:sz w:val="20"/>
                <w:szCs w:val="20"/>
              </w:rPr>
              <w:tab/>
              <w:t>1)</w:t>
            </w:r>
          </w:p>
        </w:tc>
        <w:tc>
          <w:tcPr>
            <w:tcW w:w="1134" w:type="dxa"/>
          </w:tcPr>
          <w:p w14:paraId="5327613E" w14:textId="77777777" w:rsidR="0055322A" w:rsidRPr="000B1E5B" w:rsidRDefault="0055322A" w:rsidP="00631402">
            <w:pPr>
              <w:pStyle w:val="TableParagraph"/>
              <w:spacing w:before="0"/>
              <w:ind w:left="0"/>
              <w:rPr>
                <w:rFonts w:ascii="Arial" w:hAnsi="Arial" w:cs="Arial"/>
                <w:sz w:val="20"/>
                <w:szCs w:val="20"/>
              </w:rPr>
            </w:pPr>
          </w:p>
        </w:tc>
        <w:tc>
          <w:tcPr>
            <w:tcW w:w="992" w:type="dxa"/>
          </w:tcPr>
          <w:p w14:paraId="28CA5C7E" w14:textId="77777777" w:rsidR="0055322A" w:rsidRPr="000B1E5B" w:rsidRDefault="0055322A" w:rsidP="00631402">
            <w:pPr>
              <w:pStyle w:val="TableParagraph"/>
              <w:spacing w:before="0"/>
              <w:ind w:left="0"/>
              <w:rPr>
                <w:rFonts w:ascii="Arial" w:hAnsi="Arial" w:cs="Arial"/>
                <w:sz w:val="20"/>
                <w:szCs w:val="20"/>
              </w:rPr>
            </w:pPr>
          </w:p>
        </w:tc>
        <w:tc>
          <w:tcPr>
            <w:tcW w:w="1018" w:type="dxa"/>
          </w:tcPr>
          <w:p w14:paraId="764B26DC" w14:textId="77777777" w:rsidR="0055322A" w:rsidRPr="000B1E5B" w:rsidRDefault="0055322A" w:rsidP="00631402">
            <w:pPr>
              <w:pStyle w:val="TableParagraph"/>
              <w:spacing w:before="0"/>
              <w:ind w:left="0"/>
              <w:rPr>
                <w:rFonts w:ascii="Arial" w:hAnsi="Arial" w:cs="Arial"/>
                <w:sz w:val="20"/>
                <w:szCs w:val="20"/>
              </w:rPr>
            </w:pPr>
          </w:p>
        </w:tc>
        <w:tc>
          <w:tcPr>
            <w:tcW w:w="948" w:type="dxa"/>
          </w:tcPr>
          <w:p w14:paraId="3C1EC500" w14:textId="77777777" w:rsidR="0055322A" w:rsidRPr="000B1E5B" w:rsidRDefault="0055322A" w:rsidP="00631402">
            <w:pPr>
              <w:pStyle w:val="TableParagraph"/>
              <w:spacing w:before="0"/>
              <w:ind w:left="0"/>
              <w:rPr>
                <w:rFonts w:ascii="Arial" w:hAnsi="Arial" w:cs="Arial"/>
                <w:sz w:val="20"/>
                <w:szCs w:val="20"/>
              </w:rPr>
            </w:pPr>
          </w:p>
        </w:tc>
        <w:tc>
          <w:tcPr>
            <w:tcW w:w="840" w:type="dxa"/>
          </w:tcPr>
          <w:p w14:paraId="03786D3E" w14:textId="77777777" w:rsidR="0055322A" w:rsidRPr="000B1E5B" w:rsidRDefault="0055322A" w:rsidP="00631402">
            <w:pPr>
              <w:pStyle w:val="TableParagraph"/>
              <w:spacing w:before="0"/>
              <w:ind w:left="0"/>
              <w:rPr>
                <w:rFonts w:ascii="Arial" w:hAnsi="Arial" w:cs="Arial"/>
                <w:sz w:val="20"/>
                <w:szCs w:val="20"/>
              </w:rPr>
            </w:pPr>
          </w:p>
        </w:tc>
        <w:tc>
          <w:tcPr>
            <w:tcW w:w="1823" w:type="dxa"/>
          </w:tcPr>
          <w:p w14:paraId="3E0387A4" w14:textId="77777777" w:rsidR="0055322A" w:rsidRPr="000B1E5B" w:rsidRDefault="0055322A" w:rsidP="00631402">
            <w:pPr>
              <w:pStyle w:val="TableParagraph"/>
              <w:spacing w:before="0"/>
              <w:ind w:left="0"/>
              <w:rPr>
                <w:rFonts w:ascii="Arial" w:hAnsi="Arial" w:cs="Arial"/>
                <w:sz w:val="20"/>
                <w:szCs w:val="20"/>
              </w:rPr>
            </w:pPr>
          </w:p>
        </w:tc>
      </w:tr>
      <w:tr w:rsidR="0055322A" w:rsidRPr="000B1E5B" w14:paraId="1D84525E" w14:textId="77777777" w:rsidTr="0055322A">
        <w:trPr>
          <w:trHeight w:val="415"/>
        </w:trPr>
        <w:tc>
          <w:tcPr>
            <w:tcW w:w="2972" w:type="dxa"/>
          </w:tcPr>
          <w:p w14:paraId="07BE504B" w14:textId="77777777" w:rsidR="0055322A" w:rsidRPr="000B1E5B" w:rsidRDefault="0055322A" w:rsidP="00631402">
            <w:pPr>
              <w:pStyle w:val="TableParagraph"/>
              <w:rPr>
                <w:rFonts w:ascii="Arial" w:hAnsi="Arial" w:cs="Arial"/>
                <w:sz w:val="20"/>
                <w:szCs w:val="20"/>
              </w:rPr>
            </w:pPr>
            <w:r w:rsidRPr="000B1E5B">
              <w:rPr>
                <w:rFonts w:ascii="Arial" w:hAnsi="Arial" w:cs="Arial"/>
                <w:spacing w:val="-2"/>
                <w:sz w:val="20"/>
                <w:szCs w:val="20"/>
              </w:rPr>
              <w:t>Intercept</w:t>
            </w:r>
          </w:p>
        </w:tc>
        <w:tc>
          <w:tcPr>
            <w:tcW w:w="1134" w:type="dxa"/>
          </w:tcPr>
          <w:p w14:paraId="2B1AF509"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-1.333</w:t>
            </w:r>
          </w:p>
        </w:tc>
        <w:tc>
          <w:tcPr>
            <w:tcW w:w="992" w:type="dxa"/>
          </w:tcPr>
          <w:p w14:paraId="44371F0E"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4.032</w:t>
            </w:r>
          </w:p>
        </w:tc>
        <w:tc>
          <w:tcPr>
            <w:tcW w:w="1018" w:type="dxa"/>
          </w:tcPr>
          <w:p w14:paraId="11AF2C30"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0.109</w:t>
            </w:r>
          </w:p>
        </w:tc>
        <w:tc>
          <w:tcPr>
            <w:tcW w:w="948" w:type="dxa"/>
          </w:tcPr>
          <w:p w14:paraId="083EE796"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0.741</w:t>
            </w:r>
          </w:p>
        </w:tc>
        <w:tc>
          <w:tcPr>
            <w:tcW w:w="840" w:type="dxa"/>
          </w:tcPr>
          <w:p w14:paraId="7047172B"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10"/>
                <w:sz w:val="20"/>
                <w:szCs w:val="20"/>
              </w:rPr>
              <w:t>-</w:t>
            </w:r>
          </w:p>
        </w:tc>
        <w:tc>
          <w:tcPr>
            <w:tcW w:w="1823" w:type="dxa"/>
          </w:tcPr>
          <w:p w14:paraId="7250B6DE"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10"/>
                <w:sz w:val="20"/>
                <w:szCs w:val="20"/>
              </w:rPr>
              <w:t>-</w:t>
            </w:r>
          </w:p>
        </w:tc>
      </w:tr>
      <w:tr w:rsidR="0055322A" w:rsidRPr="000B1E5B" w14:paraId="68266E1B" w14:textId="77777777" w:rsidTr="0055322A">
        <w:trPr>
          <w:trHeight w:val="430"/>
        </w:trPr>
        <w:tc>
          <w:tcPr>
            <w:tcW w:w="2972" w:type="dxa"/>
          </w:tcPr>
          <w:p w14:paraId="7858B364" w14:textId="77777777" w:rsidR="0055322A" w:rsidRPr="000B1E5B" w:rsidRDefault="0055322A" w:rsidP="00631402">
            <w:pPr>
              <w:pStyle w:val="TableParagraph"/>
              <w:rPr>
                <w:rFonts w:ascii="Arial" w:hAnsi="Arial" w:cs="Arial"/>
                <w:sz w:val="20"/>
                <w:szCs w:val="20"/>
              </w:rPr>
            </w:pPr>
            <w:r w:rsidRPr="000B1E5B">
              <w:rPr>
                <w:rFonts w:ascii="Arial" w:hAnsi="Arial" w:cs="Arial"/>
                <w:spacing w:val="-5"/>
                <w:sz w:val="20"/>
                <w:szCs w:val="20"/>
              </w:rPr>
              <w:t>Age</w:t>
            </w:r>
          </w:p>
        </w:tc>
        <w:tc>
          <w:tcPr>
            <w:tcW w:w="1134" w:type="dxa"/>
          </w:tcPr>
          <w:p w14:paraId="7DE6FBF6"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-0.009</w:t>
            </w:r>
          </w:p>
        </w:tc>
        <w:tc>
          <w:tcPr>
            <w:tcW w:w="992" w:type="dxa"/>
          </w:tcPr>
          <w:p w14:paraId="215CF74B"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0.030</w:t>
            </w:r>
          </w:p>
        </w:tc>
        <w:tc>
          <w:tcPr>
            <w:tcW w:w="1018" w:type="dxa"/>
          </w:tcPr>
          <w:p w14:paraId="0687B385"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0.093</w:t>
            </w:r>
          </w:p>
        </w:tc>
        <w:tc>
          <w:tcPr>
            <w:tcW w:w="948" w:type="dxa"/>
          </w:tcPr>
          <w:p w14:paraId="1EFE9C6E"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0.760</w:t>
            </w:r>
          </w:p>
        </w:tc>
        <w:tc>
          <w:tcPr>
            <w:tcW w:w="840" w:type="dxa"/>
          </w:tcPr>
          <w:p w14:paraId="28C3FAC2"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0.991</w:t>
            </w:r>
          </w:p>
        </w:tc>
        <w:tc>
          <w:tcPr>
            <w:tcW w:w="1823" w:type="dxa"/>
          </w:tcPr>
          <w:p w14:paraId="0177B34E"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(0.935, </w:t>
            </w:r>
            <w:r w:rsidRPr="000B1E5B">
              <w:rPr>
                <w:rFonts w:ascii="Arial" w:hAnsi="Arial" w:cs="Arial"/>
                <w:spacing w:val="-2"/>
                <w:sz w:val="20"/>
                <w:szCs w:val="20"/>
              </w:rPr>
              <w:t>1.051)</w:t>
            </w:r>
          </w:p>
        </w:tc>
      </w:tr>
      <w:tr w:rsidR="0055322A" w:rsidRPr="000B1E5B" w14:paraId="6A01C7F9" w14:textId="77777777" w:rsidTr="0055322A">
        <w:trPr>
          <w:trHeight w:val="415"/>
        </w:trPr>
        <w:tc>
          <w:tcPr>
            <w:tcW w:w="2972" w:type="dxa"/>
          </w:tcPr>
          <w:p w14:paraId="255AF98C" w14:textId="77777777" w:rsidR="0055322A" w:rsidRPr="000B1E5B" w:rsidRDefault="0055322A" w:rsidP="00631402">
            <w:pPr>
              <w:pStyle w:val="TableParagraph"/>
              <w:rPr>
                <w:rFonts w:ascii="Arial" w:hAnsi="Arial" w:cs="Arial"/>
                <w:sz w:val="20"/>
                <w:szCs w:val="20"/>
              </w:rPr>
            </w:pPr>
            <w:r w:rsidRPr="000B1E5B">
              <w:rPr>
                <w:rFonts w:ascii="Arial" w:hAnsi="Arial" w:cs="Arial"/>
                <w:spacing w:val="-5"/>
                <w:sz w:val="20"/>
                <w:szCs w:val="20"/>
              </w:rPr>
              <w:lastRenderedPageBreak/>
              <w:t>Sex</w:t>
            </w:r>
          </w:p>
        </w:tc>
        <w:tc>
          <w:tcPr>
            <w:tcW w:w="1134" w:type="dxa"/>
          </w:tcPr>
          <w:p w14:paraId="2E2438D7"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-0.188</w:t>
            </w:r>
          </w:p>
        </w:tc>
        <w:tc>
          <w:tcPr>
            <w:tcW w:w="992" w:type="dxa"/>
          </w:tcPr>
          <w:p w14:paraId="3EA566CC"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0.672</w:t>
            </w:r>
          </w:p>
        </w:tc>
        <w:tc>
          <w:tcPr>
            <w:tcW w:w="1018" w:type="dxa"/>
          </w:tcPr>
          <w:p w14:paraId="6A658004"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0.078</w:t>
            </w:r>
          </w:p>
        </w:tc>
        <w:tc>
          <w:tcPr>
            <w:tcW w:w="948" w:type="dxa"/>
          </w:tcPr>
          <w:p w14:paraId="52ED0679"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0.780</w:t>
            </w:r>
          </w:p>
        </w:tc>
        <w:tc>
          <w:tcPr>
            <w:tcW w:w="840" w:type="dxa"/>
          </w:tcPr>
          <w:p w14:paraId="6A1E34CF"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0.828</w:t>
            </w:r>
          </w:p>
        </w:tc>
        <w:tc>
          <w:tcPr>
            <w:tcW w:w="1823" w:type="dxa"/>
          </w:tcPr>
          <w:p w14:paraId="23DCD5C6"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(0.222, </w:t>
            </w:r>
            <w:r w:rsidRPr="000B1E5B">
              <w:rPr>
                <w:rFonts w:ascii="Arial" w:hAnsi="Arial" w:cs="Arial"/>
                <w:spacing w:val="-2"/>
                <w:sz w:val="20"/>
                <w:szCs w:val="20"/>
              </w:rPr>
              <w:t>3.093)</w:t>
            </w:r>
          </w:p>
        </w:tc>
      </w:tr>
      <w:tr w:rsidR="0055322A" w:rsidRPr="000B1E5B" w14:paraId="32EC06C8" w14:textId="77777777" w:rsidTr="0055322A">
        <w:trPr>
          <w:trHeight w:val="430"/>
        </w:trPr>
        <w:tc>
          <w:tcPr>
            <w:tcW w:w="2972" w:type="dxa"/>
          </w:tcPr>
          <w:p w14:paraId="61617A64" w14:textId="77777777" w:rsidR="0055322A" w:rsidRPr="000B1E5B" w:rsidRDefault="0055322A" w:rsidP="00631402">
            <w:pPr>
              <w:pStyle w:val="TableParagraph"/>
              <w:rPr>
                <w:rFonts w:ascii="Arial" w:hAnsi="Arial" w:cs="Arial"/>
                <w:sz w:val="20"/>
                <w:szCs w:val="20"/>
              </w:rPr>
            </w:pPr>
            <w:r w:rsidRPr="000B1E5B">
              <w:rPr>
                <w:rFonts w:ascii="Arial" w:hAnsi="Arial" w:cs="Arial"/>
                <w:spacing w:val="-8"/>
                <w:sz w:val="20"/>
                <w:szCs w:val="20"/>
              </w:rPr>
              <w:t>Total</w:t>
            </w:r>
            <w:r w:rsidRPr="000B1E5B">
              <w:rPr>
                <w:rFonts w:ascii="Arial" w:hAnsi="Arial" w:cs="Arial"/>
                <w:spacing w:val="-5"/>
                <w:sz w:val="20"/>
                <w:szCs w:val="20"/>
              </w:rPr>
              <w:t xml:space="preserve"> </w:t>
            </w:r>
            <w:r w:rsidRPr="000B1E5B">
              <w:rPr>
                <w:rFonts w:ascii="Arial" w:hAnsi="Arial" w:cs="Arial"/>
                <w:spacing w:val="-2"/>
                <w:sz w:val="20"/>
                <w:szCs w:val="20"/>
              </w:rPr>
              <w:t>Income</w:t>
            </w:r>
          </w:p>
        </w:tc>
        <w:tc>
          <w:tcPr>
            <w:tcW w:w="1134" w:type="dxa"/>
          </w:tcPr>
          <w:p w14:paraId="73A12D7C"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&lt;0.001</w:t>
            </w:r>
          </w:p>
        </w:tc>
        <w:tc>
          <w:tcPr>
            <w:tcW w:w="992" w:type="dxa"/>
          </w:tcPr>
          <w:p w14:paraId="095AE21D"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&lt;0.001</w:t>
            </w:r>
          </w:p>
        </w:tc>
        <w:tc>
          <w:tcPr>
            <w:tcW w:w="1018" w:type="dxa"/>
          </w:tcPr>
          <w:p w14:paraId="7EA133F2"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4.126</w:t>
            </w:r>
          </w:p>
        </w:tc>
        <w:tc>
          <w:tcPr>
            <w:tcW w:w="948" w:type="dxa"/>
          </w:tcPr>
          <w:p w14:paraId="0952BAB6"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0.042*</w:t>
            </w:r>
          </w:p>
        </w:tc>
        <w:tc>
          <w:tcPr>
            <w:tcW w:w="840" w:type="dxa"/>
          </w:tcPr>
          <w:p w14:paraId="45D18BE5"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1.000</w:t>
            </w:r>
          </w:p>
        </w:tc>
        <w:tc>
          <w:tcPr>
            <w:tcW w:w="1823" w:type="dxa"/>
          </w:tcPr>
          <w:p w14:paraId="12F09760"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(1.000, </w:t>
            </w:r>
            <w:r w:rsidRPr="000B1E5B">
              <w:rPr>
                <w:rFonts w:ascii="Arial" w:hAnsi="Arial" w:cs="Arial"/>
                <w:spacing w:val="-2"/>
                <w:sz w:val="20"/>
                <w:szCs w:val="20"/>
              </w:rPr>
              <w:t>1.000)</w:t>
            </w:r>
          </w:p>
        </w:tc>
      </w:tr>
      <w:tr w:rsidR="0055322A" w:rsidRPr="000B1E5B" w14:paraId="1170887C" w14:textId="77777777" w:rsidTr="0055322A">
        <w:trPr>
          <w:trHeight w:val="415"/>
        </w:trPr>
        <w:tc>
          <w:tcPr>
            <w:tcW w:w="2972" w:type="dxa"/>
          </w:tcPr>
          <w:p w14:paraId="23CCF662" w14:textId="77777777" w:rsidR="0055322A" w:rsidRPr="000B1E5B" w:rsidRDefault="0055322A" w:rsidP="00631402">
            <w:pPr>
              <w:pStyle w:val="TableParagraph"/>
              <w:rPr>
                <w:rFonts w:ascii="Arial" w:hAnsi="Arial" w:cs="Arial"/>
                <w:sz w:val="20"/>
                <w:szCs w:val="20"/>
              </w:rPr>
            </w:pPr>
            <w:r w:rsidRPr="000B1E5B">
              <w:rPr>
                <w:rFonts w:ascii="Arial" w:hAnsi="Arial" w:cs="Arial"/>
                <w:spacing w:val="-6"/>
                <w:sz w:val="20"/>
                <w:szCs w:val="20"/>
              </w:rPr>
              <w:t>Total</w:t>
            </w:r>
            <w:r w:rsidRPr="000B1E5B">
              <w:rPr>
                <w:rFonts w:ascii="Arial" w:hAnsi="Arial" w:cs="Arial"/>
                <w:sz w:val="20"/>
                <w:szCs w:val="20"/>
              </w:rPr>
              <w:t xml:space="preserve"> </w:t>
            </w:r>
            <w:r w:rsidRPr="000B1E5B">
              <w:rPr>
                <w:rFonts w:ascii="Arial" w:hAnsi="Arial" w:cs="Arial"/>
                <w:spacing w:val="-6"/>
                <w:sz w:val="20"/>
                <w:szCs w:val="20"/>
              </w:rPr>
              <w:t>Cultivated</w:t>
            </w:r>
            <w:r w:rsidRPr="000B1E5B">
              <w:rPr>
                <w:rFonts w:ascii="Arial" w:hAnsi="Arial" w:cs="Arial"/>
                <w:spacing w:val="1"/>
                <w:sz w:val="20"/>
                <w:szCs w:val="20"/>
              </w:rPr>
              <w:t xml:space="preserve"> </w:t>
            </w:r>
            <w:r w:rsidRPr="000B1E5B">
              <w:rPr>
                <w:rFonts w:ascii="Arial" w:hAnsi="Arial" w:cs="Arial"/>
                <w:spacing w:val="-6"/>
                <w:sz w:val="20"/>
                <w:szCs w:val="20"/>
              </w:rPr>
              <w:t>Land</w:t>
            </w:r>
          </w:p>
        </w:tc>
        <w:tc>
          <w:tcPr>
            <w:tcW w:w="1134" w:type="dxa"/>
          </w:tcPr>
          <w:p w14:paraId="0914CB45"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-2.441</w:t>
            </w:r>
          </w:p>
        </w:tc>
        <w:tc>
          <w:tcPr>
            <w:tcW w:w="992" w:type="dxa"/>
          </w:tcPr>
          <w:p w14:paraId="7DC6DC58"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0.757</w:t>
            </w:r>
          </w:p>
        </w:tc>
        <w:tc>
          <w:tcPr>
            <w:tcW w:w="1018" w:type="dxa"/>
          </w:tcPr>
          <w:p w14:paraId="51002AB5"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10.386</w:t>
            </w:r>
          </w:p>
        </w:tc>
        <w:tc>
          <w:tcPr>
            <w:tcW w:w="948" w:type="dxa"/>
          </w:tcPr>
          <w:p w14:paraId="0E733CA5"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0.001***</w:t>
            </w:r>
          </w:p>
        </w:tc>
        <w:tc>
          <w:tcPr>
            <w:tcW w:w="840" w:type="dxa"/>
          </w:tcPr>
          <w:p w14:paraId="75EA461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0.087</w:t>
            </w:r>
          </w:p>
        </w:tc>
        <w:tc>
          <w:tcPr>
            <w:tcW w:w="1823" w:type="dxa"/>
          </w:tcPr>
          <w:p w14:paraId="378F59B0"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(0.020, </w:t>
            </w:r>
            <w:r w:rsidRPr="000B1E5B">
              <w:rPr>
                <w:rFonts w:ascii="Arial" w:hAnsi="Arial" w:cs="Arial"/>
                <w:spacing w:val="-2"/>
                <w:sz w:val="20"/>
                <w:szCs w:val="20"/>
              </w:rPr>
              <w:t>0.384)</w:t>
            </w:r>
          </w:p>
        </w:tc>
      </w:tr>
      <w:tr w:rsidR="0055322A" w:rsidRPr="000B1E5B" w14:paraId="1C02F06F" w14:textId="77777777" w:rsidTr="0055322A">
        <w:trPr>
          <w:trHeight w:val="430"/>
        </w:trPr>
        <w:tc>
          <w:tcPr>
            <w:tcW w:w="2972" w:type="dxa"/>
          </w:tcPr>
          <w:p w14:paraId="2530C4D5" w14:textId="77777777" w:rsidR="0055322A" w:rsidRPr="000B1E5B" w:rsidRDefault="0055322A" w:rsidP="00631402">
            <w:pPr>
              <w:pStyle w:val="TableParagraph"/>
              <w:rPr>
                <w:rFonts w:ascii="Arial" w:hAnsi="Arial" w:cs="Arial"/>
                <w:sz w:val="20"/>
                <w:szCs w:val="20"/>
              </w:rPr>
            </w:pPr>
            <w:r w:rsidRPr="000B1E5B">
              <w:rPr>
                <w:rFonts w:ascii="Arial" w:hAnsi="Arial" w:cs="Arial"/>
                <w:spacing w:val="-2"/>
                <w:sz w:val="20"/>
                <w:szCs w:val="20"/>
              </w:rPr>
              <w:t>Indebtedness</w:t>
            </w:r>
          </w:p>
        </w:tc>
        <w:tc>
          <w:tcPr>
            <w:tcW w:w="1134" w:type="dxa"/>
          </w:tcPr>
          <w:p w14:paraId="5AFBD34E"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1.156</w:t>
            </w:r>
          </w:p>
        </w:tc>
        <w:tc>
          <w:tcPr>
            <w:tcW w:w="992" w:type="dxa"/>
          </w:tcPr>
          <w:p w14:paraId="09E62C75"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0.469</w:t>
            </w:r>
          </w:p>
        </w:tc>
        <w:tc>
          <w:tcPr>
            <w:tcW w:w="1018" w:type="dxa"/>
          </w:tcPr>
          <w:p w14:paraId="5E44452A"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6.068</w:t>
            </w:r>
          </w:p>
        </w:tc>
        <w:tc>
          <w:tcPr>
            <w:tcW w:w="948" w:type="dxa"/>
          </w:tcPr>
          <w:p w14:paraId="7C1E5317"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0.014*</w:t>
            </w:r>
          </w:p>
        </w:tc>
        <w:tc>
          <w:tcPr>
            <w:tcW w:w="840" w:type="dxa"/>
          </w:tcPr>
          <w:p w14:paraId="32669CB5"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3.178</w:t>
            </w:r>
          </w:p>
        </w:tc>
        <w:tc>
          <w:tcPr>
            <w:tcW w:w="1823" w:type="dxa"/>
          </w:tcPr>
          <w:p w14:paraId="25968F44"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(1.267, </w:t>
            </w:r>
            <w:r w:rsidRPr="000B1E5B">
              <w:rPr>
                <w:rFonts w:ascii="Arial" w:hAnsi="Arial" w:cs="Arial"/>
                <w:spacing w:val="-2"/>
                <w:sz w:val="20"/>
                <w:szCs w:val="20"/>
              </w:rPr>
              <w:t>7.974)</w:t>
            </w:r>
          </w:p>
        </w:tc>
      </w:tr>
      <w:tr w:rsidR="0055322A" w:rsidRPr="000B1E5B" w14:paraId="64AB6A38" w14:textId="77777777" w:rsidTr="0055322A">
        <w:trPr>
          <w:trHeight w:val="415"/>
        </w:trPr>
        <w:tc>
          <w:tcPr>
            <w:tcW w:w="2972" w:type="dxa"/>
          </w:tcPr>
          <w:p w14:paraId="37CE85CD"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 xml:space="preserve">Social </w:t>
            </w:r>
            <w:r w:rsidRPr="000B1E5B">
              <w:rPr>
                <w:rFonts w:ascii="Arial" w:hAnsi="Arial" w:cs="Arial"/>
                <w:spacing w:val="-2"/>
                <w:sz w:val="20"/>
                <w:szCs w:val="20"/>
              </w:rPr>
              <w:t>Participation</w:t>
            </w:r>
          </w:p>
        </w:tc>
        <w:tc>
          <w:tcPr>
            <w:tcW w:w="1134" w:type="dxa"/>
          </w:tcPr>
          <w:p w14:paraId="08EFDB26"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-0.023</w:t>
            </w:r>
          </w:p>
        </w:tc>
        <w:tc>
          <w:tcPr>
            <w:tcW w:w="992" w:type="dxa"/>
          </w:tcPr>
          <w:p w14:paraId="74B6F3D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0.140</w:t>
            </w:r>
          </w:p>
        </w:tc>
        <w:tc>
          <w:tcPr>
            <w:tcW w:w="1018" w:type="dxa"/>
          </w:tcPr>
          <w:p w14:paraId="29B5009B"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0.026</w:t>
            </w:r>
          </w:p>
        </w:tc>
        <w:tc>
          <w:tcPr>
            <w:tcW w:w="948" w:type="dxa"/>
          </w:tcPr>
          <w:p w14:paraId="1FE50610"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0.871</w:t>
            </w:r>
          </w:p>
        </w:tc>
        <w:tc>
          <w:tcPr>
            <w:tcW w:w="840" w:type="dxa"/>
          </w:tcPr>
          <w:p w14:paraId="30265FCB"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0.978</w:t>
            </w:r>
          </w:p>
        </w:tc>
        <w:tc>
          <w:tcPr>
            <w:tcW w:w="1823" w:type="dxa"/>
          </w:tcPr>
          <w:p w14:paraId="4B35A944"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(0.744, </w:t>
            </w:r>
            <w:r w:rsidRPr="000B1E5B">
              <w:rPr>
                <w:rFonts w:ascii="Arial" w:hAnsi="Arial" w:cs="Arial"/>
                <w:spacing w:val="-2"/>
                <w:sz w:val="20"/>
                <w:szCs w:val="20"/>
              </w:rPr>
              <w:t>1.285)</w:t>
            </w:r>
          </w:p>
        </w:tc>
      </w:tr>
      <w:tr w:rsidR="0055322A" w:rsidRPr="000B1E5B" w14:paraId="3E8E36F0" w14:textId="77777777" w:rsidTr="0055322A">
        <w:trPr>
          <w:trHeight w:val="415"/>
        </w:trPr>
        <w:tc>
          <w:tcPr>
            <w:tcW w:w="2972" w:type="dxa"/>
          </w:tcPr>
          <w:p w14:paraId="1F16E25A"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 xml:space="preserve">Extension </w:t>
            </w:r>
            <w:r w:rsidRPr="000B1E5B">
              <w:rPr>
                <w:rFonts w:ascii="Arial" w:hAnsi="Arial" w:cs="Arial"/>
                <w:spacing w:val="-2"/>
                <w:sz w:val="20"/>
                <w:szCs w:val="20"/>
              </w:rPr>
              <w:t>Participation</w:t>
            </w:r>
          </w:p>
        </w:tc>
        <w:tc>
          <w:tcPr>
            <w:tcW w:w="1134" w:type="dxa"/>
          </w:tcPr>
          <w:p w14:paraId="4BF661C6"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-0.165</w:t>
            </w:r>
          </w:p>
        </w:tc>
        <w:tc>
          <w:tcPr>
            <w:tcW w:w="992" w:type="dxa"/>
          </w:tcPr>
          <w:p w14:paraId="4611C2EB"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0.087</w:t>
            </w:r>
          </w:p>
        </w:tc>
        <w:tc>
          <w:tcPr>
            <w:tcW w:w="1018" w:type="dxa"/>
          </w:tcPr>
          <w:p w14:paraId="326F90FB"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3.588</w:t>
            </w:r>
          </w:p>
        </w:tc>
        <w:tc>
          <w:tcPr>
            <w:tcW w:w="948" w:type="dxa"/>
          </w:tcPr>
          <w:p w14:paraId="7D19BE54" w14:textId="4CBAC7BE"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0.058</w:t>
            </w:r>
            <w:r w:rsidR="00DC3ED6">
              <w:rPr>
                <w:rFonts w:ascii="Arial" w:hAnsi="Arial" w:cs="Arial"/>
                <w:spacing w:val="-2"/>
                <w:sz w:val="20"/>
                <w:szCs w:val="20"/>
              </w:rPr>
              <w:t>*</w:t>
            </w:r>
          </w:p>
        </w:tc>
        <w:tc>
          <w:tcPr>
            <w:tcW w:w="840" w:type="dxa"/>
          </w:tcPr>
          <w:p w14:paraId="5FA791DA"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0.848</w:t>
            </w:r>
          </w:p>
        </w:tc>
        <w:tc>
          <w:tcPr>
            <w:tcW w:w="1823" w:type="dxa"/>
          </w:tcPr>
          <w:p w14:paraId="3A93436B"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(0.715, </w:t>
            </w:r>
            <w:r w:rsidRPr="000B1E5B">
              <w:rPr>
                <w:rFonts w:ascii="Arial" w:hAnsi="Arial" w:cs="Arial"/>
                <w:spacing w:val="-2"/>
                <w:sz w:val="20"/>
                <w:szCs w:val="20"/>
              </w:rPr>
              <w:t>1.006)</w:t>
            </w:r>
          </w:p>
        </w:tc>
      </w:tr>
      <w:tr w:rsidR="0055322A" w:rsidRPr="000B1E5B" w14:paraId="5B07695D" w14:textId="77777777" w:rsidTr="0055322A">
        <w:trPr>
          <w:trHeight w:val="430"/>
        </w:trPr>
        <w:tc>
          <w:tcPr>
            <w:tcW w:w="2972" w:type="dxa"/>
          </w:tcPr>
          <w:p w14:paraId="70DE7192"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Formal</w:t>
            </w:r>
            <w:r w:rsidRPr="000B1E5B">
              <w:rPr>
                <w:rFonts w:ascii="Arial" w:hAnsi="Arial" w:cs="Arial"/>
                <w:spacing w:val="-6"/>
                <w:sz w:val="20"/>
                <w:szCs w:val="20"/>
              </w:rPr>
              <w:t xml:space="preserve"> </w:t>
            </w:r>
            <w:r w:rsidRPr="000B1E5B">
              <w:rPr>
                <w:rFonts w:ascii="Arial" w:hAnsi="Arial" w:cs="Arial"/>
                <w:spacing w:val="-4"/>
                <w:sz w:val="20"/>
                <w:szCs w:val="20"/>
              </w:rPr>
              <w:t>In-kind Transfer</w:t>
            </w:r>
          </w:p>
        </w:tc>
        <w:tc>
          <w:tcPr>
            <w:tcW w:w="1134" w:type="dxa"/>
          </w:tcPr>
          <w:p w14:paraId="20B7ECD2"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&lt;0.001</w:t>
            </w:r>
          </w:p>
        </w:tc>
        <w:tc>
          <w:tcPr>
            <w:tcW w:w="992" w:type="dxa"/>
          </w:tcPr>
          <w:p w14:paraId="4B04F4A7"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&lt;0.001</w:t>
            </w:r>
          </w:p>
        </w:tc>
        <w:tc>
          <w:tcPr>
            <w:tcW w:w="1018" w:type="dxa"/>
          </w:tcPr>
          <w:p w14:paraId="182A85A2"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11.275</w:t>
            </w:r>
          </w:p>
        </w:tc>
        <w:tc>
          <w:tcPr>
            <w:tcW w:w="948" w:type="dxa"/>
          </w:tcPr>
          <w:p w14:paraId="32555EF6"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0.001***</w:t>
            </w:r>
          </w:p>
        </w:tc>
        <w:tc>
          <w:tcPr>
            <w:tcW w:w="840" w:type="dxa"/>
          </w:tcPr>
          <w:p w14:paraId="1028C54F"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1.000</w:t>
            </w:r>
          </w:p>
        </w:tc>
        <w:tc>
          <w:tcPr>
            <w:tcW w:w="1823" w:type="dxa"/>
          </w:tcPr>
          <w:p w14:paraId="0726152F"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(1.000, </w:t>
            </w:r>
            <w:r w:rsidRPr="000B1E5B">
              <w:rPr>
                <w:rFonts w:ascii="Arial" w:hAnsi="Arial" w:cs="Arial"/>
                <w:spacing w:val="-2"/>
                <w:sz w:val="20"/>
                <w:szCs w:val="20"/>
              </w:rPr>
              <w:t>1.000)</w:t>
            </w:r>
          </w:p>
        </w:tc>
      </w:tr>
      <w:tr w:rsidR="0055322A" w:rsidRPr="000B1E5B" w14:paraId="2F740C06" w14:textId="77777777" w:rsidTr="0055322A">
        <w:trPr>
          <w:trHeight w:val="415"/>
        </w:trPr>
        <w:tc>
          <w:tcPr>
            <w:tcW w:w="2972" w:type="dxa"/>
          </w:tcPr>
          <w:p w14:paraId="466204F4"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 xml:space="preserve">Skipped </w:t>
            </w:r>
            <w:r w:rsidRPr="000B1E5B">
              <w:rPr>
                <w:rFonts w:ascii="Arial" w:hAnsi="Arial" w:cs="Arial"/>
                <w:spacing w:val="-2"/>
                <w:sz w:val="20"/>
                <w:szCs w:val="20"/>
              </w:rPr>
              <w:t>Meals/Year</w:t>
            </w:r>
          </w:p>
        </w:tc>
        <w:tc>
          <w:tcPr>
            <w:tcW w:w="1134" w:type="dxa"/>
          </w:tcPr>
          <w:p w14:paraId="3964DB42"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0.062</w:t>
            </w:r>
          </w:p>
        </w:tc>
        <w:tc>
          <w:tcPr>
            <w:tcW w:w="992" w:type="dxa"/>
          </w:tcPr>
          <w:p w14:paraId="6D3C4BEA"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0.019</w:t>
            </w:r>
          </w:p>
        </w:tc>
        <w:tc>
          <w:tcPr>
            <w:tcW w:w="1018" w:type="dxa"/>
          </w:tcPr>
          <w:p w14:paraId="3D394126"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11.298</w:t>
            </w:r>
          </w:p>
        </w:tc>
        <w:tc>
          <w:tcPr>
            <w:tcW w:w="948" w:type="dxa"/>
          </w:tcPr>
          <w:p w14:paraId="5885336F"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0.001***</w:t>
            </w:r>
          </w:p>
        </w:tc>
        <w:tc>
          <w:tcPr>
            <w:tcW w:w="840" w:type="dxa"/>
          </w:tcPr>
          <w:p w14:paraId="091300FE"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1.064</w:t>
            </w:r>
          </w:p>
        </w:tc>
        <w:tc>
          <w:tcPr>
            <w:tcW w:w="1823" w:type="dxa"/>
          </w:tcPr>
          <w:p w14:paraId="3919D7AE"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(1.026, </w:t>
            </w:r>
            <w:r w:rsidRPr="000B1E5B">
              <w:rPr>
                <w:rFonts w:ascii="Arial" w:hAnsi="Arial" w:cs="Arial"/>
                <w:spacing w:val="-2"/>
                <w:sz w:val="20"/>
                <w:szCs w:val="20"/>
              </w:rPr>
              <w:t>1.104)</w:t>
            </w:r>
          </w:p>
        </w:tc>
      </w:tr>
      <w:tr w:rsidR="0055322A" w:rsidRPr="000B1E5B" w14:paraId="178F5FE3" w14:textId="77777777" w:rsidTr="0055322A">
        <w:trPr>
          <w:trHeight w:val="430"/>
        </w:trPr>
        <w:tc>
          <w:tcPr>
            <w:tcW w:w="2972" w:type="dxa"/>
          </w:tcPr>
          <w:p w14:paraId="11FE058B"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Local Group Participation</w:t>
            </w:r>
          </w:p>
        </w:tc>
        <w:tc>
          <w:tcPr>
            <w:tcW w:w="1134" w:type="dxa"/>
          </w:tcPr>
          <w:p w14:paraId="59276449"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0.449</w:t>
            </w:r>
          </w:p>
        </w:tc>
        <w:tc>
          <w:tcPr>
            <w:tcW w:w="992" w:type="dxa"/>
          </w:tcPr>
          <w:p w14:paraId="573F2699"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0.489</w:t>
            </w:r>
          </w:p>
        </w:tc>
        <w:tc>
          <w:tcPr>
            <w:tcW w:w="1018" w:type="dxa"/>
          </w:tcPr>
          <w:p w14:paraId="2CB8B2DF"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0.840</w:t>
            </w:r>
          </w:p>
        </w:tc>
        <w:tc>
          <w:tcPr>
            <w:tcW w:w="948" w:type="dxa"/>
          </w:tcPr>
          <w:p w14:paraId="44B2CF15"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0.359</w:t>
            </w:r>
          </w:p>
        </w:tc>
        <w:tc>
          <w:tcPr>
            <w:tcW w:w="840" w:type="dxa"/>
          </w:tcPr>
          <w:p w14:paraId="1ABF29B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1.566</w:t>
            </w:r>
          </w:p>
        </w:tc>
        <w:tc>
          <w:tcPr>
            <w:tcW w:w="1823" w:type="dxa"/>
          </w:tcPr>
          <w:p w14:paraId="32AFA666"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(0.600, </w:t>
            </w:r>
            <w:r w:rsidRPr="000B1E5B">
              <w:rPr>
                <w:rFonts w:ascii="Arial" w:hAnsi="Arial" w:cs="Arial"/>
                <w:spacing w:val="-2"/>
                <w:sz w:val="20"/>
                <w:szCs w:val="20"/>
              </w:rPr>
              <w:t>4.088)</w:t>
            </w:r>
          </w:p>
        </w:tc>
      </w:tr>
      <w:tr w:rsidR="0055322A" w:rsidRPr="000B1E5B" w14:paraId="378BBE27" w14:textId="77777777" w:rsidTr="0055322A">
        <w:trPr>
          <w:trHeight w:val="415"/>
        </w:trPr>
        <w:tc>
          <w:tcPr>
            <w:tcW w:w="2972" w:type="dxa"/>
          </w:tcPr>
          <w:p w14:paraId="725E5038" w14:textId="77777777" w:rsidR="0055322A" w:rsidRPr="000B1E5B" w:rsidRDefault="0055322A" w:rsidP="00631402">
            <w:pPr>
              <w:pStyle w:val="TableParagraph"/>
              <w:rPr>
                <w:rFonts w:ascii="Arial" w:hAnsi="Arial" w:cs="Arial"/>
                <w:sz w:val="20"/>
                <w:szCs w:val="20"/>
              </w:rPr>
            </w:pPr>
            <w:r w:rsidRPr="000B1E5B">
              <w:rPr>
                <w:rFonts w:ascii="Arial" w:hAnsi="Arial" w:cs="Arial"/>
                <w:spacing w:val="-2"/>
                <w:sz w:val="20"/>
                <w:szCs w:val="20"/>
              </w:rPr>
              <w:t>Help</w:t>
            </w:r>
            <w:r w:rsidRPr="000B1E5B">
              <w:rPr>
                <w:rFonts w:ascii="Arial" w:hAnsi="Arial" w:cs="Arial"/>
                <w:spacing w:val="-12"/>
                <w:sz w:val="20"/>
                <w:szCs w:val="20"/>
              </w:rPr>
              <w:t xml:space="preserve"> </w:t>
            </w:r>
            <w:r w:rsidRPr="000B1E5B">
              <w:rPr>
                <w:rFonts w:ascii="Arial" w:hAnsi="Arial" w:cs="Arial"/>
                <w:spacing w:val="-2"/>
                <w:sz w:val="20"/>
                <w:szCs w:val="20"/>
              </w:rPr>
              <w:t>from</w:t>
            </w:r>
            <w:r w:rsidRPr="000B1E5B">
              <w:rPr>
                <w:rFonts w:ascii="Arial" w:hAnsi="Arial" w:cs="Arial"/>
                <w:spacing w:val="-12"/>
                <w:sz w:val="20"/>
                <w:szCs w:val="20"/>
              </w:rPr>
              <w:t xml:space="preserve"> </w:t>
            </w:r>
            <w:r w:rsidRPr="000B1E5B">
              <w:rPr>
                <w:rFonts w:ascii="Arial" w:hAnsi="Arial" w:cs="Arial"/>
                <w:spacing w:val="-2"/>
                <w:sz w:val="20"/>
                <w:szCs w:val="20"/>
              </w:rPr>
              <w:t>Organizations</w:t>
            </w:r>
          </w:p>
        </w:tc>
        <w:tc>
          <w:tcPr>
            <w:tcW w:w="1134" w:type="dxa"/>
          </w:tcPr>
          <w:p w14:paraId="27385C7F"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-0.513</w:t>
            </w:r>
          </w:p>
        </w:tc>
        <w:tc>
          <w:tcPr>
            <w:tcW w:w="992" w:type="dxa"/>
          </w:tcPr>
          <w:p w14:paraId="38413A32"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0.521</w:t>
            </w:r>
          </w:p>
        </w:tc>
        <w:tc>
          <w:tcPr>
            <w:tcW w:w="1018" w:type="dxa"/>
          </w:tcPr>
          <w:p w14:paraId="396263A3"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0.968</w:t>
            </w:r>
          </w:p>
        </w:tc>
        <w:tc>
          <w:tcPr>
            <w:tcW w:w="948" w:type="dxa"/>
          </w:tcPr>
          <w:p w14:paraId="0E952508"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0.325</w:t>
            </w:r>
          </w:p>
        </w:tc>
        <w:tc>
          <w:tcPr>
            <w:tcW w:w="840" w:type="dxa"/>
          </w:tcPr>
          <w:p w14:paraId="0ABA5BF5"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0.599</w:t>
            </w:r>
          </w:p>
        </w:tc>
        <w:tc>
          <w:tcPr>
            <w:tcW w:w="1823" w:type="dxa"/>
          </w:tcPr>
          <w:p w14:paraId="2A667463"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(0.216, </w:t>
            </w:r>
            <w:r w:rsidRPr="000B1E5B">
              <w:rPr>
                <w:rFonts w:ascii="Arial" w:hAnsi="Arial" w:cs="Arial"/>
                <w:spacing w:val="-2"/>
                <w:sz w:val="20"/>
                <w:szCs w:val="20"/>
              </w:rPr>
              <w:t>1.663)</w:t>
            </w:r>
          </w:p>
        </w:tc>
      </w:tr>
      <w:tr w:rsidR="0055322A" w:rsidRPr="000B1E5B" w14:paraId="59B5DE60" w14:textId="77777777" w:rsidTr="0055322A">
        <w:trPr>
          <w:trHeight w:val="430"/>
        </w:trPr>
        <w:tc>
          <w:tcPr>
            <w:tcW w:w="2972" w:type="dxa"/>
          </w:tcPr>
          <w:p w14:paraId="070A9CE3" w14:textId="77777777" w:rsidR="0055322A" w:rsidRPr="000B1E5B" w:rsidRDefault="0055322A" w:rsidP="00631402">
            <w:pPr>
              <w:pStyle w:val="TableParagraph"/>
              <w:rPr>
                <w:rFonts w:ascii="Arial" w:hAnsi="Arial" w:cs="Arial"/>
                <w:sz w:val="20"/>
                <w:szCs w:val="20"/>
              </w:rPr>
            </w:pPr>
            <w:r w:rsidRPr="000B1E5B">
              <w:rPr>
                <w:rFonts w:ascii="Arial" w:hAnsi="Arial" w:cs="Arial"/>
                <w:spacing w:val="-6"/>
                <w:sz w:val="20"/>
                <w:szCs w:val="20"/>
              </w:rPr>
              <w:t xml:space="preserve">Training </w:t>
            </w:r>
            <w:r w:rsidRPr="000B1E5B">
              <w:rPr>
                <w:rFonts w:ascii="Arial" w:hAnsi="Arial" w:cs="Arial"/>
                <w:spacing w:val="-2"/>
                <w:sz w:val="20"/>
                <w:szCs w:val="20"/>
              </w:rPr>
              <w:t>Participation</w:t>
            </w:r>
          </w:p>
        </w:tc>
        <w:tc>
          <w:tcPr>
            <w:tcW w:w="1134" w:type="dxa"/>
          </w:tcPr>
          <w:p w14:paraId="3D316537"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-0.332</w:t>
            </w:r>
          </w:p>
        </w:tc>
        <w:tc>
          <w:tcPr>
            <w:tcW w:w="992" w:type="dxa"/>
          </w:tcPr>
          <w:p w14:paraId="2B04C407"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0.229</w:t>
            </w:r>
          </w:p>
        </w:tc>
        <w:tc>
          <w:tcPr>
            <w:tcW w:w="1018" w:type="dxa"/>
          </w:tcPr>
          <w:p w14:paraId="70E0FA3C"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2.090</w:t>
            </w:r>
          </w:p>
        </w:tc>
        <w:tc>
          <w:tcPr>
            <w:tcW w:w="948" w:type="dxa"/>
          </w:tcPr>
          <w:p w14:paraId="01ECCAC2"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0.148</w:t>
            </w:r>
          </w:p>
        </w:tc>
        <w:tc>
          <w:tcPr>
            <w:tcW w:w="840" w:type="dxa"/>
          </w:tcPr>
          <w:p w14:paraId="742B2ACC"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0.718</w:t>
            </w:r>
          </w:p>
        </w:tc>
        <w:tc>
          <w:tcPr>
            <w:tcW w:w="1823" w:type="dxa"/>
          </w:tcPr>
          <w:p w14:paraId="3715C867"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(0.458, </w:t>
            </w:r>
            <w:r w:rsidRPr="000B1E5B">
              <w:rPr>
                <w:rFonts w:ascii="Arial" w:hAnsi="Arial" w:cs="Arial"/>
                <w:spacing w:val="-2"/>
                <w:sz w:val="20"/>
                <w:szCs w:val="20"/>
              </w:rPr>
              <w:t>1.125)</w:t>
            </w:r>
          </w:p>
        </w:tc>
      </w:tr>
      <w:tr w:rsidR="0055322A" w:rsidRPr="000B1E5B" w14:paraId="42D35876" w14:textId="77777777" w:rsidTr="0055322A">
        <w:trPr>
          <w:trHeight w:val="415"/>
        </w:trPr>
        <w:tc>
          <w:tcPr>
            <w:tcW w:w="2972" w:type="dxa"/>
          </w:tcPr>
          <w:p w14:paraId="3120E33D" w14:textId="77777777" w:rsidR="0055322A" w:rsidRPr="000B1E5B" w:rsidRDefault="0055322A" w:rsidP="00631402">
            <w:pPr>
              <w:pStyle w:val="TableParagraph"/>
              <w:rPr>
                <w:rFonts w:ascii="Arial" w:hAnsi="Arial" w:cs="Arial"/>
                <w:sz w:val="20"/>
                <w:szCs w:val="20"/>
              </w:rPr>
            </w:pPr>
            <w:r w:rsidRPr="000B1E5B">
              <w:rPr>
                <w:rFonts w:ascii="Arial" w:hAnsi="Arial" w:cs="Arial"/>
                <w:spacing w:val="-5"/>
                <w:sz w:val="20"/>
                <w:szCs w:val="20"/>
              </w:rPr>
              <w:t>Interpersonal</w:t>
            </w:r>
            <w:r w:rsidRPr="000B1E5B">
              <w:rPr>
                <w:rFonts w:ascii="Arial" w:hAnsi="Arial" w:cs="Arial"/>
                <w:spacing w:val="9"/>
                <w:sz w:val="20"/>
                <w:szCs w:val="20"/>
              </w:rPr>
              <w:t xml:space="preserve"> </w:t>
            </w:r>
            <w:r w:rsidRPr="000B1E5B">
              <w:rPr>
                <w:rFonts w:ascii="Arial" w:hAnsi="Arial" w:cs="Arial"/>
                <w:spacing w:val="-2"/>
                <w:sz w:val="20"/>
                <w:szCs w:val="20"/>
              </w:rPr>
              <w:t>Cosmopolite</w:t>
            </w:r>
          </w:p>
        </w:tc>
        <w:tc>
          <w:tcPr>
            <w:tcW w:w="1134" w:type="dxa"/>
          </w:tcPr>
          <w:p w14:paraId="55BA773F"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-0.515</w:t>
            </w:r>
          </w:p>
        </w:tc>
        <w:tc>
          <w:tcPr>
            <w:tcW w:w="992" w:type="dxa"/>
          </w:tcPr>
          <w:p w14:paraId="6D7D8ECA"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0.161</w:t>
            </w:r>
          </w:p>
        </w:tc>
        <w:tc>
          <w:tcPr>
            <w:tcW w:w="1018" w:type="dxa"/>
          </w:tcPr>
          <w:p w14:paraId="04DBD299"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10.254</w:t>
            </w:r>
          </w:p>
        </w:tc>
        <w:tc>
          <w:tcPr>
            <w:tcW w:w="948" w:type="dxa"/>
          </w:tcPr>
          <w:p w14:paraId="002AEAC3"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0.001***</w:t>
            </w:r>
          </w:p>
        </w:tc>
        <w:tc>
          <w:tcPr>
            <w:tcW w:w="840" w:type="dxa"/>
          </w:tcPr>
          <w:p w14:paraId="097CF0A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0.597</w:t>
            </w:r>
          </w:p>
        </w:tc>
        <w:tc>
          <w:tcPr>
            <w:tcW w:w="1823" w:type="dxa"/>
          </w:tcPr>
          <w:p w14:paraId="19288718"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(0.436, </w:t>
            </w:r>
            <w:r w:rsidRPr="000B1E5B">
              <w:rPr>
                <w:rFonts w:ascii="Arial" w:hAnsi="Arial" w:cs="Arial"/>
                <w:spacing w:val="-2"/>
                <w:sz w:val="20"/>
                <w:szCs w:val="20"/>
              </w:rPr>
              <w:t>0.819)</w:t>
            </w:r>
          </w:p>
        </w:tc>
      </w:tr>
      <w:tr w:rsidR="0055322A" w:rsidRPr="000B1E5B" w14:paraId="6278A6A6" w14:textId="77777777" w:rsidTr="0055322A">
        <w:trPr>
          <w:trHeight w:val="415"/>
        </w:trPr>
        <w:tc>
          <w:tcPr>
            <w:tcW w:w="2972" w:type="dxa"/>
          </w:tcPr>
          <w:p w14:paraId="40F56CAA"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Household</w:t>
            </w:r>
            <w:r w:rsidRPr="000B1E5B">
              <w:rPr>
                <w:rFonts w:ascii="Arial" w:hAnsi="Arial" w:cs="Arial"/>
                <w:spacing w:val="-6"/>
                <w:sz w:val="20"/>
                <w:szCs w:val="20"/>
              </w:rPr>
              <w:t xml:space="preserve"> </w:t>
            </w:r>
            <w:r w:rsidRPr="000B1E5B">
              <w:rPr>
                <w:rFonts w:ascii="Arial" w:hAnsi="Arial" w:cs="Arial"/>
                <w:spacing w:val="-4"/>
                <w:sz w:val="20"/>
                <w:szCs w:val="20"/>
              </w:rPr>
              <w:t>Education Years</w:t>
            </w:r>
          </w:p>
        </w:tc>
        <w:tc>
          <w:tcPr>
            <w:tcW w:w="1134" w:type="dxa"/>
          </w:tcPr>
          <w:p w14:paraId="225683FC"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-0.664</w:t>
            </w:r>
          </w:p>
        </w:tc>
        <w:tc>
          <w:tcPr>
            <w:tcW w:w="992" w:type="dxa"/>
          </w:tcPr>
          <w:p w14:paraId="6C12264C"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0.281</w:t>
            </w:r>
          </w:p>
        </w:tc>
        <w:tc>
          <w:tcPr>
            <w:tcW w:w="1018" w:type="dxa"/>
          </w:tcPr>
          <w:p w14:paraId="0F5423F4"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5.585</w:t>
            </w:r>
          </w:p>
        </w:tc>
        <w:tc>
          <w:tcPr>
            <w:tcW w:w="948" w:type="dxa"/>
          </w:tcPr>
          <w:p w14:paraId="29F40250"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0.018*</w:t>
            </w:r>
          </w:p>
        </w:tc>
        <w:tc>
          <w:tcPr>
            <w:tcW w:w="840" w:type="dxa"/>
          </w:tcPr>
          <w:p w14:paraId="11097328"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0.515</w:t>
            </w:r>
          </w:p>
        </w:tc>
        <w:tc>
          <w:tcPr>
            <w:tcW w:w="1823" w:type="dxa"/>
          </w:tcPr>
          <w:p w14:paraId="329392EF"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(0.297, </w:t>
            </w:r>
            <w:r w:rsidRPr="000B1E5B">
              <w:rPr>
                <w:rFonts w:ascii="Arial" w:hAnsi="Arial" w:cs="Arial"/>
                <w:spacing w:val="-2"/>
                <w:sz w:val="20"/>
                <w:szCs w:val="20"/>
              </w:rPr>
              <w:t>0.893)</w:t>
            </w:r>
          </w:p>
        </w:tc>
      </w:tr>
      <w:tr w:rsidR="0055322A" w:rsidRPr="000B1E5B" w14:paraId="4DA1F725" w14:textId="77777777" w:rsidTr="0055322A">
        <w:trPr>
          <w:trHeight w:val="430"/>
        </w:trPr>
        <w:tc>
          <w:tcPr>
            <w:tcW w:w="2972" w:type="dxa"/>
          </w:tcPr>
          <w:p w14:paraId="499E279D"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Crops Last Season</w:t>
            </w:r>
          </w:p>
        </w:tc>
        <w:tc>
          <w:tcPr>
            <w:tcW w:w="1134" w:type="dxa"/>
          </w:tcPr>
          <w:p w14:paraId="53628ECC"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0.237</w:t>
            </w:r>
          </w:p>
        </w:tc>
        <w:tc>
          <w:tcPr>
            <w:tcW w:w="992" w:type="dxa"/>
          </w:tcPr>
          <w:p w14:paraId="070CFD02"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0.197</w:t>
            </w:r>
          </w:p>
        </w:tc>
        <w:tc>
          <w:tcPr>
            <w:tcW w:w="1018" w:type="dxa"/>
          </w:tcPr>
          <w:p w14:paraId="1852E17D"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1.447</w:t>
            </w:r>
          </w:p>
        </w:tc>
        <w:tc>
          <w:tcPr>
            <w:tcW w:w="948" w:type="dxa"/>
          </w:tcPr>
          <w:p w14:paraId="3EA12EE2"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0.229</w:t>
            </w:r>
          </w:p>
        </w:tc>
        <w:tc>
          <w:tcPr>
            <w:tcW w:w="840" w:type="dxa"/>
          </w:tcPr>
          <w:p w14:paraId="48906FF7"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1.267</w:t>
            </w:r>
          </w:p>
        </w:tc>
        <w:tc>
          <w:tcPr>
            <w:tcW w:w="1823" w:type="dxa"/>
          </w:tcPr>
          <w:p w14:paraId="682424BB"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(0.862, </w:t>
            </w:r>
            <w:r w:rsidRPr="000B1E5B">
              <w:rPr>
                <w:rFonts w:ascii="Arial" w:hAnsi="Arial" w:cs="Arial"/>
                <w:spacing w:val="-2"/>
                <w:sz w:val="20"/>
                <w:szCs w:val="20"/>
              </w:rPr>
              <w:t>1.863)</w:t>
            </w:r>
          </w:p>
        </w:tc>
      </w:tr>
      <w:tr w:rsidR="0055322A" w:rsidRPr="000B1E5B" w14:paraId="6F5F6037" w14:textId="77777777" w:rsidTr="0055322A">
        <w:trPr>
          <w:trHeight w:val="415"/>
        </w:trPr>
        <w:tc>
          <w:tcPr>
            <w:tcW w:w="2972" w:type="dxa"/>
          </w:tcPr>
          <w:p w14:paraId="5E49C923" w14:textId="77777777" w:rsidR="0055322A" w:rsidRDefault="00ED2715" w:rsidP="00ED2715">
            <w:pPr>
              <w:pStyle w:val="TableParagraph"/>
              <w:ind w:left="0"/>
              <w:rPr>
                <w:rFonts w:ascii="Arial" w:hAnsi="Arial" w:cs="Arial"/>
                <w:b/>
                <w:sz w:val="20"/>
                <w:szCs w:val="20"/>
              </w:rPr>
            </w:pPr>
            <w:r>
              <w:rPr>
                <w:rFonts w:ascii="Arial" w:hAnsi="Arial" w:cs="Arial"/>
                <w:b/>
                <w:sz w:val="20"/>
                <w:szCs w:val="20"/>
              </w:rPr>
              <w:t>(Food Secure to Food Insecure)</w:t>
            </w:r>
          </w:p>
          <w:p w14:paraId="59931EC8" w14:textId="2772B87D" w:rsidR="00ED2715" w:rsidRPr="000B1E5B" w:rsidRDefault="00ED2715" w:rsidP="00ED2715">
            <w:pPr>
              <w:pStyle w:val="TableParagraph"/>
              <w:ind w:left="0"/>
              <w:rPr>
                <w:rFonts w:ascii="Arial" w:hAnsi="Arial" w:cs="Arial"/>
                <w:b/>
                <w:sz w:val="20"/>
                <w:szCs w:val="20"/>
              </w:rPr>
            </w:pPr>
            <w:r>
              <w:rPr>
                <w:rFonts w:ascii="Arial" w:hAnsi="Arial" w:cs="Arial"/>
                <w:b/>
                <w:noProof/>
                <w:sz w:val="20"/>
                <w:szCs w:val="20"/>
                <w14:ligatures w14:val="standardContextual"/>
              </w:rPr>
              <mc:AlternateContent>
                <mc:Choice Requires="wps">
                  <w:drawing>
                    <wp:anchor distT="0" distB="0" distL="114300" distR="114300" simplePos="0" relativeHeight="251660288" behindDoc="0" locked="0" layoutInCell="1" allowOverlap="1" wp14:anchorId="1AF91800" wp14:editId="778B9C93">
                      <wp:simplePos x="0" y="0"/>
                      <wp:positionH relativeFrom="column">
                        <wp:posOffset>169545</wp:posOffset>
                      </wp:positionH>
                      <wp:positionV relativeFrom="paragraph">
                        <wp:posOffset>111125</wp:posOffset>
                      </wp:positionV>
                      <wp:extent cx="171450" cy="0"/>
                      <wp:effectExtent l="0" t="76200" r="19050" b="95250"/>
                      <wp:wrapNone/>
                      <wp:docPr id="205307239" name="Straight Arrow Connector 2"/>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655EA4" id="Straight Arrow Connector 2" o:spid="_x0000_s1026" type="#_x0000_t32" style="position:absolute;margin-left:13.35pt;margin-top:8.75pt;width:13.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" strokecolor="black [3200]" strokeweight="1.5pt">
                      <v:stroke endarrow="block" joinstyle="miter"/>
                    </v:shape>
                  </w:pict>
                </mc:Fallback>
              </mc:AlternateContent>
            </w:r>
            <w:r>
              <w:rPr>
                <w:rFonts w:ascii="Arial" w:hAnsi="Arial" w:cs="Arial"/>
                <w:b/>
                <w:sz w:val="20"/>
                <w:szCs w:val="20"/>
              </w:rPr>
              <w:t>(0       2)</w:t>
            </w:r>
          </w:p>
        </w:tc>
        <w:tc>
          <w:tcPr>
            <w:tcW w:w="1134" w:type="dxa"/>
          </w:tcPr>
          <w:p w14:paraId="7C10BE69" w14:textId="77777777" w:rsidR="0055322A" w:rsidRPr="000B1E5B" w:rsidRDefault="0055322A" w:rsidP="00631402">
            <w:pPr>
              <w:pStyle w:val="TableParagraph"/>
              <w:spacing w:before="0"/>
              <w:ind w:left="0"/>
              <w:rPr>
                <w:rFonts w:ascii="Arial" w:hAnsi="Arial" w:cs="Arial"/>
                <w:sz w:val="20"/>
                <w:szCs w:val="20"/>
              </w:rPr>
            </w:pPr>
          </w:p>
        </w:tc>
        <w:tc>
          <w:tcPr>
            <w:tcW w:w="992" w:type="dxa"/>
          </w:tcPr>
          <w:p w14:paraId="2965C798" w14:textId="77777777" w:rsidR="0055322A" w:rsidRPr="000B1E5B" w:rsidRDefault="0055322A" w:rsidP="00631402">
            <w:pPr>
              <w:pStyle w:val="TableParagraph"/>
              <w:spacing w:before="0"/>
              <w:ind w:left="0"/>
              <w:rPr>
                <w:rFonts w:ascii="Arial" w:hAnsi="Arial" w:cs="Arial"/>
                <w:sz w:val="20"/>
                <w:szCs w:val="20"/>
              </w:rPr>
            </w:pPr>
          </w:p>
        </w:tc>
        <w:tc>
          <w:tcPr>
            <w:tcW w:w="1018" w:type="dxa"/>
          </w:tcPr>
          <w:p w14:paraId="40A6D907" w14:textId="77777777" w:rsidR="0055322A" w:rsidRPr="000B1E5B" w:rsidRDefault="0055322A" w:rsidP="00631402">
            <w:pPr>
              <w:pStyle w:val="TableParagraph"/>
              <w:spacing w:before="0"/>
              <w:ind w:left="0"/>
              <w:rPr>
                <w:rFonts w:ascii="Arial" w:hAnsi="Arial" w:cs="Arial"/>
                <w:sz w:val="20"/>
                <w:szCs w:val="20"/>
              </w:rPr>
            </w:pPr>
          </w:p>
        </w:tc>
        <w:tc>
          <w:tcPr>
            <w:tcW w:w="948" w:type="dxa"/>
          </w:tcPr>
          <w:p w14:paraId="5BE0ADF8" w14:textId="77777777" w:rsidR="0055322A" w:rsidRPr="000B1E5B" w:rsidRDefault="0055322A" w:rsidP="00631402">
            <w:pPr>
              <w:pStyle w:val="TableParagraph"/>
              <w:spacing w:before="0"/>
              <w:ind w:left="0"/>
              <w:rPr>
                <w:rFonts w:ascii="Arial" w:hAnsi="Arial" w:cs="Arial"/>
                <w:sz w:val="20"/>
                <w:szCs w:val="20"/>
              </w:rPr>
            </w:pPr>
          </w:p>
        </w:tc>
        <w:tc>
          <w:tcPr>
            <w:tcW w:w="840" w:type="dxa"/>
          </w:tcPr>
          <w:p w14:paraId="557EE76C" w14:textId="77777777" w:rsidR="0055322A" w:rsidRPr="000B1E5B" w:rsidRDefault="0055322A" w:rsidP="00631402">
            <w:pPr>
              <w:pStyle w:val="TableParagraph"/>
              <w:spacing w:before="0"/>
              <w:ind w:left="0"/>
              <w:rPr>
                <w:rFonts w:ascii="Arial" w:hAnsi="Arial" w:cs="Arial"/>
                <w:sz w:val="20"/>
                <w:szCs w:val="20"/>
              </w:rPr>
            </w:pPr>
          </w:p>
        </w:tc>
        <w:tc>
          <w:tcPr>
            <w:tcW w:w="1823" w:type="dxa"/>
          </w:tcPr>
          <w:p w14:paraId="0080FC65" w14:textId="77777777" w:rsidR="0055322A" w:rsidRPr="000B1E5B" w:rsidRDefault="0055322A" w:rsidP="00631402">
            <w:pPr>
              <w:pStyle w:val="TableParagraph"/>
              <w:spacing w:before="0"/>
              <w:ind w:left="0"/>
              <w:rPr>
                <w:rFonts w:ascii="Arial" w:hAnsi="Arial" w:cs="Arial"/>
                <w:sz w:val="20"/>
                <w:szCs w:val="20"/>
              </w:rPr>
            </w:pPr>
          </w:p>
        </w:tc>
      </w:tr>
      <w:tr w:rsidR="0055322A" w:rsidRPr="000B1E5B" w14:paraId="3767DE4B" w14:textId="77777777" w:rsidTr="0055322A">
        <w:trPr>
          <w:trHeight w:val="430"/>
        </w:trPr>
        <w:tc>
          <w:tcPr>
            <w:tcW w:w="2972" w:type="dxa"/>
          </w:tcPr>
          <w:p w14:paraId="38FB20A8" w14:textId="77777777" w:rsidR="0055322A" w:rsidRPr="000B1E5B" w:rsidRDefault="0055322A" w:rsidP="00631402">
            <w:pPr>
              <w:pStyle w:val="TableParagraph"/>
              <w:rPr>
                <w:rFonts w:ascii="Arial" w:hAnsi="Arial" w:cs="Arial"/>
                <w:sz w:val="20"/>
                <w:szCs w:val="20"/>
              </w:rPr>
            </w:pPr>
            <w:r w:rsidRPr="000B1E5B">
              <w:rPr>
                <w:rFonts w:ascii="Arial" w:hAnsi="Arial" w:cs="Arial"/>
                <w:spacing w:val="-2"/>
                <w:sz w:val="20"/>
                <w:szCs w:val="20"/>
              </w:rPr>
              <w:t>Intercept</w:t>
            </w:r>
          </w:p>
        </w:tc>
        <w:tc>
          <w:tcPr>
            <w:tcW w:w="1134" w:type="dxa"/>
          </w:tcPr>
          <w:p w14:paraId="1520AA05"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12.463</w:t>
            </w:r>
          </w:p>
        </w:tc>
        <w:tc>
          <w:tcPr>
            <w:tcW w:w="992" w:type="dxa"/>
          </w:tcPr>
          <w:p w14:paraId="21274541"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4.815</w:t>
            </w:r>
          </w:p>
        </w:tc>
        <w:tc>
          <w:tcPr>
            <w:tcW w:w="1018" w:type="dxa"/>
          </w:tcPr>
          <w:p w14:paraId="7A98945E"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6.699</w:t>
            </w:r>
          </w:p>
        </w:tc>
        <w:tc>
          <w:tcPr>
            <w:tcW w:w="948" w:type="dxa"/>
          </w:tcPr>
          <w:p w14:paraId="4A80DE79"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0.010*</w:t>
            </w:r>
          </w:p>
        </w:tc>
        <w:tc>
          <w:tcPr>
            <w:tcW w:w="840" w:type="dxa"/>
          </w:tcPr>
          <w:p w14:paraId="4CE39967"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10"/>
                <w:sz w:val="20"/>
                <w:szCs w:val="20"/>
              </w:rPr>
              <w:t>-</w:t>
            </w:r>
          </w:p>
        </w:tc>
        <w:tc>
          <w:tcPr>
            <w:tcW w:w="1823" w:type="dxa"/>
          </w:tcPr>
          <w:p w14:paraId="5280EF44"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10"/>
                <w:sz w:val="20"/>
                <w:szCs w:val="20"/>
              </w:rPr>
              <w:t>-</w:t>
            </w:r>
          </w:p>
        </w:tc>
      </w:tr>
      <w:tr w:rsidR="0055322A" w:rsidRPr="000B1E5B" w14:paraId="373E5AD2" w14:textId="77777777" w:rsidTr="0055322A">
        <w:trPr>
          <w:trHeight w:val="415"/>
        </w:trPr>
        <w:tc>
          <w:tcPr>
            <w:tcW w:w="2972" w:type="dxa"/>
          </w:tcPr>
          <w:p w14:paraId="26C7ADE0" w14:textId="77777777" w:rsidR="0055322A" w:rsidRPr="000B1E5B" w:rsidRDefault="0055322A" w:rsidP="00631402">
            <w:pPr>
              <w:pStyle w:val="TableParagraph"/>
              <w:rPr>
                <w:rFonts w:ascii="Arial" w:hAnsi="Arial" w:cs="Arial"/>
                <w:sz w:val="20"/>
                <w:szCs w:val="20"/>
              </w:rPr>
            </w:pPr>
            <w:r w:rsidRPr="000B1E5B">
              <w:rPr>
                <w:rFonts w:ascii="Arial" w:hAnsi="Arial" w:cs="Arial"/>
                <w:spacing w:val="-5"/>
                <w:sz w:val="20"/>
                <w:szCs w:val="20"/>
              </w:rPr>
              <w:t>Age</w:t>
            </w:r>
          </w:p>
        </w:tc>
        <w:tc>
          <w:tcPr>
            <w:tcW w:w="1134" w:type="dxa"/>
          </w:tcPr>
          <w:p w14:paraId="556640EB"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-0.032</w:t>
            </w:r>
          </w:p>
        </w:tc>
        <w:tc>
          <w:tcPr>
            <w:tcW w:w="992" w:type="dxa"/>
          </w:tcPr>
          <w:p w14:paraId="4ED54958"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0.039</w:t>
            </w:r>
          </w:p>
        </w:tc>
        <w:tc>
          <w:tcPr>
            <w:tcW w:w="1018" w:type="dxa"/>
          </w:tcPr>
          <w:p w14:paraId="676B83DE"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0.659</w:t>
            </w:r>
          </w:p>
        </w:tc>
        <w:tc>
          <w:tcPr>
            <w:tcW w:w="948" w:type="dxa"/>
          </w:tcPr>
          <w:p w14:paraId="22AEBFC1"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0.417</w:t>
            </w:r>
          </w:p>
        </w:tc>
        <w:tc>
          <w:tcPr>
            <w:tcW w:w="840" w:type="dxa"/>
          </w:tcPr>
          <w:p w14:paraId="24FF1C5E"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0.969</w:t>
            </w:r>
          </w:p>
        </w:tc>
        <w:tc>
          <w:tcPr>
            <w:tcW w:w="1823" w:type="dxa"/>
          </w:tcPr>
          <w:p w14:paraId="69F00009"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(0.897, </w:t>
            </w:r>
            <w:r w:rsidRPr="000B1E5B">
              <w:rPr>
                <w:rFonts w:ascii="Arial" w:hAnsi="Arial" w:cs="Arial"/>
                <w:spacing w:val="-2"/>
                <w:sz w:val="20"/>
                <w:szCs w:val="20"/>
              </w:rPr>
              <w:t>1.046)</w:t>
            </w:r>
          </w:p>
        </w:tc>
      </w:tr>
      <w:tr w:rsidR="0055322A" w:rsidRPr="000B1E5B" w14:paraId="08BE8CCB" w14:textId="77777777" w:rsidTr="0055322A">
        <w:trPr>
          <w:trHeight w:val="430"/>
        </w:trPr>
        <w:tc>
          <w:tcPr>
            <w:tcW w:w="2972" w:type="dxa"/>
          </w:tcPr>
          <w:p w14:paraId="6E2F064C" w14:textId="77777777" w:rsidR="0055322A" w:rsidRPr="000B1E5B" w:rsidRDefault="0055322A" w:rsidP="00631402">
            <w:pPr>
              <w:pStyle w:val="TableParagraph"/>
              <w:rPr>
                <w:rFonts w:ascii="Arial" w:hAnsi="Arial" w:cs="Arial"/>
                <w:sz w:val="20"/>
                <w:szCs w:val="20"/>
              </w:rPr>
            </w:pPr>
            <w:r w:rsidRPr="000B1E5B">
              <w:rPr>
                <w:rFonts w:ascii="Arial" w:hAnsi="Arial" w:cs="Arial"/>
                <w:spacing w:val="-5"/>
                <w:sz w:val="20"/>
                <w:szCs w:val="20"/>
              </w:rPr>
              <w:t>Sex</w:t>
            </w:r>
          </w:p>
        </w:tc>
        <w:tc>
          <w:tcPr>
            <w:tcW w:w="1134" w:type="dxa"/>
          </w:tcPr>
          <w:p w14:paraId="1D1193EA"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0.065</w:t>
            </w:r>
          </w:p>
        </w:tc>
        <w:tc>
          <w:tcPr>
            <w:tcW w:w="992" w:type="dxa"/>
          </w:tcPr>
          <w:p w14:paraId="466426B0"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0.836</w:t>
            </w:r>
          </w:p>
        </w:tc>
        <w:tc>
          <w:tcPr>
            <w:tcW w:w="1018" w:type="dxa"/>
          </w:tcPr>
          <w:p w14:paraId="0B2D0E00"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0.006</w:t>
            </w:r>
          </w:p>
        </w:tc>
        <w:tc>
          <w:tcPr>
            <w:tcW w:w="948" w:type="dxa"/>
          </w:tcPr>
          <w:p w14:paraId="5A7EC43B"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0.938</w:t>
            </w:r>
          </w:p>
        </w:tc>
        <w:tc>
          <w:tcPr>
            <w:tcW w:w="840" w:type="dxa"/>
          </w:tcPr>
          <w:p w14:paraId="4C3AE80B"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1.067</w:t>
            </w:r>
          </w:p>
        </w:tc>
        <w:tc>
          <w:tcPr>
            <w:tcW w:w="1823" w:type="dxa"/>
          </w:tcPr>
          <w:p w14:paraId="0AE4DB52"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(0.207, </w:t>
            </w:r>
            <w:r w:rsidRPr="000B1E5B">
              <w:rPr>
                <w:rFonts w:ascii="Arial" w:hAnsi="Arial" w:cs="Arial"/>
                <w:spacing w:val="-2"/>
                <w:sz w:val="20"/>
                <w:szCs w:val="20"/>
              </w:rPr>
              <w:t>5.492)</w:t>
            </w:r>
          </w:p>
        </w:tc>
      </w:tr>
      <w:tr w:rsidR="0055322A" w:rsidRPr="000B1E5B" w14:paraId="5E68A3C6" w14:textId="77777777" w:rsidTr="0055322A">
        <w:trPr>
          <w:trHeight w:val="415"/>
        </w:trPr>
        <w:tc>
          <w:tcPr>
            <w:tcW w:w="2972" w:type="dxa"/>
          </w:tcPr>
          <w:p w14:paraId="112BFD79" w14:textId="77777777" w:rsidR="0055322A" w:rsidRPr="000B1E5B" w:rsidRDefault="0055322A" w:rsidP="00631402">
            <w:pPr>
              <w:pStyle w:val="TableParagraph"/>
              <w:rPr>
                <w:rFonts w:ascii="Arial" w:hAnsi="Arial" w:cs="Arial"/>
                <w:sz w:val="20"/>
                <w:szCs w:val="20"/>
              </w:rPr>
            </w:pPr>
            <w:r w:rsidRPr="000B1E5B">
              <w:rPr>
                <w:rFonts w:ascii="Arial" w:hAnsi="Arial" w:cs="Arial"/>
                <w:spacing w:val="-8"/>
                <w:sz w:val="20"/>
                <w:szCs w:val="20"/>
              </w:rPr>
              <w:t>Total</w:t>
            </w:r>
            <w:r w:rsidRPr="000B1E5B">
              <w:rPr>
                <w:rFonts w:ascii="Arial" w:hAnsi="Arial" w:cs="Arial"/>
                <w:spacing w:val="-5"/>
                <w:sz w:val="20"/>
                <w:szCs w:val="20"/>
              </w:rPr>
              <w:t xml:space="preserve"> </w:t>
            </w:r>
            <w:r w:rsidRPr="000B1E5B">
              <w:rPr>
                <w:rFonts w:ascii="Arial" w:hAnsi="Arial" w:cs="Arial"/>
                <w:spacing w:val="-2"/>
                <w:sz w:val="20"/>
                <w:szCs w:val="20"/>
              </w:rPr>
              <w:t>Income</w:t>
            </w:r>
          </w:p>
        </w:tc>
        <w:tc>
          <w:tcPr>
            <w:tcW w:w="1134" w:type="dxa"/>
          </w:tcPr>
          <w:p w14:paraId="5FA7C77F"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&lt;0.001</w:t>
            </w:r>
          </w:p>
        </w:tc>
        <w:tc>
          <w:tcPr>
            <w:tcW w:w="992" w:type="dxa"/>
          </w:tcPr>
          <w:p w14:paraId="429D4A59"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&lt;0.001</w:t>
            </w:r>
          </w:p>
        </w:tc>
        <w:tc>
          <w:tcPr>
            <w:tcW w:w="1018" w:type="dxa"/>
          </w:tcPr>
          <w:p w14:paraId="273A11CC"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0.005</w:t>
            </w:r>
          </w:p>
        </w:tc>
        <w:tc>
          <w:tcPr>
            <w:tcW w:w="948" w:type="dxa"/>
          </w:tcPr>
          <w:p w14:paraId="79C9944D"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0.942</w:t>
            </w:r>
          </w:p>
        </w:tc>
        <w:tc>
          <w:tcPr>
            <w:tcW w:w="840" w:type="dxa"/>
          </w:tcPr>
          <w:p w14:paraId="454B3BF8"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1.000</w:t>
            </w:r>
          </w:p>
        </w:tc>
        <w:tc>
          <w:tcPr>
            <w:tcW w:w="1823" w:type="dxa"/>
          </w:tcPr>
          <w:p w14:paraId="72486571"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(1.000, </w:t>
            </w:r>
            <w:r w:rsidRPr="000B1E5B">
              <w:rPr>
                <w:rFonts w:ascii="Arial" w:hAnsi="Arial" w:cs="Arial"/>
                <w:spacing w:val="-2"/>
                <w:sz w:val="20"/>
                <w:szCs w:val="20"/>
              </w:rPr>
              <w:t>1.000)</w:t>
            </w:r>
          </w:p>
        </w:tc>
      </w:tr>
      <w:tr w:rsidR="0055322A" w:rsidRPr="000B1E5B" w14:paraId="4AA17576" w14:textId="77777777" w:rsidTr="0055322A">
        <w:trPr>
          <w:trHeight w:val="430"/>
        </w:trPr>
        <w:tc>
          <w:tcPr>
            <w:tcW w:w="2972" w:type="dxa"/>
          </w:tcPr>
          <w:p w14:paraId="6F5FC95B" w14:textId="77777777" w:rsidR="0055322A" w:rsidRPr="000B1E5B" w:rsidRDefault="0055322A" w:rsidP="00631402">
            <w:pPr>
              <w:pStyle w:val="TableParagraph"/>
              <w:rPr>
                <w:rFonts w:ascii="Arial" w:hAnsi="Arial" w:cs="Arial"/>
                <w:sz w:val="20"/>
                <w:szCs w:val="20"/>
              </w:rPr>
            </w:pPr>
            <w:r w:rsidRPr="000B1E5B">
              <w:rPr>
                <w:rFonts w:ascii="Arial" w:hAnsi="Arial" w:cs="Arial"/>
                <w:spacing w:val="-6"/>
                <w:sz w:val="20"/>
                <w:szCs w:val="20"/>
              </w:rPr>
              <w:t>Total</w:t>
            </w:r>
            <w:r w:rsidRPr="000B1E5B">
              <w:rPr>
                <w:rFonts w:ascii="Arial" w:hAnsi="Arial" w:cs="Arial"/>
                <w:sz w:val="20"/>
                <w:szCs w:val="20"/>
              </w:rPr>
              <w:t xml:space="preserve"> </w:t>
            </w:r>
            <w:r w:rsidRPr="000B1E5B">
              <w:rPr>
                <w:rFonts w:ascii="Arial" w:hAnsi="Arial" w:cs="Arial"/>
                <w:spacing w:val="-6"/>
                <w:sz w:val="20"/>
                <w:szCs w:val="20"/>
              </w:rPr>
              <w:t>Cultivated</w:t>
            </w:r>
            <w:r w:rsidRPr="000B1E5B">
              <w:rPr>
                <w:rFonts w:ascii="Arial" w:hAnsi="Arial" w:cs="Arial"/>
                <w:spacing w:val="1"/>
                <w:sz w:val="20"/>
                <w:szCs w:val="20"/>
              </w:rPr>
              <w:t xml:space="preserve"> </w:t>
            </w:r>
            <w:r w:rsidRPr="000B1E5B">
              <w:rPr>
                <w:rFonts w:ascii="Arial" w:hAnsi="Arial" w:cs="Arial"/>
                <w:spacing w:val="-6"/>
                <w:sz w:val="20"/>
                <w:szCs w:val="20"/>
              </w:rPr>
              <w:t>Land</w:t>
            </w:r>
          </w:p>
        </w:tc>
        <w:tc>
          <w:tcPr>
            <w:tcW w:w="1134" w:type="dxa"/>
          </w:tcPr>
          <w:p w14:paraId="48BC8D83"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-1.078</w:t>
            </w:r>
          </w:p>
        </w:tc>
        <w:tc>
          <w:tcPr>
            <w:tcW w:w="992" w:type="dxa"/>
          </w:tcPr>
          <w:p w14:paraId="048DB256"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0.939</w:t>
            </w:r>
          </w:p>
        </w:tc>
        <w:tc>
          <w:tcPr>
            <w:tcW w:w="1018" w:type="dxa"/>
          </w:tcPr>
          <w:p w14:paraId="4AFF3541"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1.319</w:t>
            </w:r>
          </w:p>
        </w:tc>
        <w:tc>
          <w:tcPr>
            <w:tcW w:w="948" w:type="dxa"/>
          </w:tcPr>
          <w:p w14:paraId="3BAAD84E" w14:textId="3CA3ACCA"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0.251</w:t>
            </w:r>
            <w:r w:rsidR="00DC3ED6">
              <w:rPr>
                <w:rFonts w:ascii="Arial" w:hAnsi="Arial" w:cs="Arial"/>
                <w:spacing w:val="-2"/>
                <w:sz w:val="20"/>
                <w:szCs w:val="20"/>
              </w:rPr>
              <w:t>*</w:t>
            </w:r>
          </w:p>
        </w:tc>
        <w:tc>
          <w:tcPr>
            <w:tcW w:w="840" w:type="dxa"/>
          </w:tcPr>
          <w:p w14:paraId="2438EC13"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0.340</w:t>
            </w:r>
          </w:p>
        </w:tc>
        <w:tc>
          <w:tcPr>
            <w:tcW w:w="1823" w:type="dxa"/>
          </w:tcPr>
          <w:p w14:paraId="36C5502C"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(0.054, </w:t>
            </w:r>
            <w:r w:rsidRPr="000B1E5B">
              <w:rPr>
                <w:rFonts w:ascii="Arial" w:hAnsi="Arial" w:cs="Arial"/>
                <w:spacing w:val="-2"/>
                <w:sz w:val="20"/>
                <w:szCs w:val="20"/>
              </w:rPr>
              <w:t>2.142)</w:t>
            </w:r>
          </w:p>
        </w:tc>
      </w:tr>
      <w:tr w:rsidR="0055322A" w:rsidRPr="000B1E5B" w14:paraId="1EA2558F" w14:textId="77777777" w:rsidTr="0055322A">
        <w:trPr>
          <w:trHeight w:val="415"/>
        </w:trPr>
        <w:tc>
          <w:tcPr>
            <w:tcW w:w="2972" w:type="dxa"/>
          </w:tcPr>
          <w:p w14:paraId="2F2402AA" w14:textId="77777777" w:rsidR="0055322A" w:rsidRPr="000B1E5B" w:rsidRDefault="0055322A" w:rsidP="00631402">
            <w:pPr>
              <w:pStyle w:val="TableParagraph"/>
              <w:rPr>
                <w:rFonts w:ascii="Arial" w:hAnsi="Arial" w:cs="Arial"/>
                <w:sz w:val="20"/>
                <w:szCs w:val="20"/>
              </w:rPr>
            </w:pPr>
            <w:r w:rsidRPr="000B1E5B">
              <w:rPr>
                <w:rFonts w:ascii="Arial" w:hAnsi="Arial" w:cs="Arial"/>
                <w:spacing w:val="-2"/>
                <w:sz w:val="20"/>
                <w:szCs w:val="20"/>
              </w:rPr>
              <w:t>Indebtedness</w:t>
            </w:r>
          </w:p>
        </w:tc>
        <w:tc>
          <w:tcPr>
            <w:tcW w:w="1134" w:type="dxa"/>
          </w:tcPr>
          <w:p w14:paraId="13870296"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1.024</w:t>
            </w:r>
          </w:p>
        </w:tc>
        <w:tc>
          <w:tcPr>
            <w:tcW w:w="992" w:type="dxa"/>
          </w:tcPr>
          <w:p w14:paraId="3D7AEB4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0.589</w:t>
            </w:r>
          </w:p>
        </w:tc>
        <w:tc>
          <w:tcPr>
            <w:tcW w:w="1018" w:type="dxa"/>
          </w:tcPr>
          <w:p w14:paraId="2FA06114"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3.020</w:t>
            </w:r>
          </w:p>
        </w:tc>
        <w:tc>
          <w:tcPr>
            <w:tcW w:w="948" w:type="dxa"/>
          </w:tcPr>
          <w:p w14:paraId="36B8F9C8" w14:textId="73A743D0"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0.082</w:t>
            </w:r>
          </w:p>
        </w:tc>
        <w:tc>
          <w:tcPr>
            <w:tcW w:w="840" w:type="dxa"/>
          </w:tcPr>
          <w:p w14:paraId="71534C5D"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2.786</w:t>
            </w:r>
          </w:p>
        </w:tc>
        <w:tc>
          <w:tcPr>
            <w:tcW w:w="1823" w:type="dxa"/>
          </w:tcPr>
          <w:p w14:paraId="23A57C68"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(0.877, </w:t>
            </w:r>
            <w:r w:rsidRPr="000B1E5B">
              <w:rPr>
                <w:rFonts w:ascii="Arial" w:hAnsi="Arial" w:cs="Arial"/>
                <w:spacing w:val="-2"/>
                <w:sz w:val="20"/>
                <w:szCs w:val="20"/>
              </w:rPr>
              <w:t>8.845)</w:t>
            </w:r>
          </w:p>
        </w:tc>
      </w:tr>
      <w:tr w:rsidR="0055322A" w:rsidRPr="000B1E5B" w14:paraId="2D77AA20" w14:textId="77777777" w:rsidTr="0055322A">
        <w:trPr>
          <w:trHeight w:val="415"/>
        </w:trPr>
        <w:tc>
          <w:tcPr>
            <w:tcW w:w="2972" w:type="dxa"/>
          </w:tcPr>
          <w:p w14:paraId="54B91621"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 xml:space="preserve">Social </w:t>
            </w:r>
            <w:r w:rsidRPr="000B1E5B">
              <w:rPr>
                <w:rFonts w:ascii="Arial" w:hAnsi="Arial" w:cs="Arial"/>
                <w:spacing w:val="-2"/>
                <w:sz w:val="20"/>
                <w:szCs w:val="20"/>
              </w:rPr>
              <w:t>Participation</w:t>
            </w:r>
          </w:p>
        </w:tc>
        <w:tc>
          <w:tcPr>
            <w:tcW w:w="1134" w:type="dxa"/>
          </w:tcPr>
          <w:p w14:paraId="5B92DF41"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0.234</w:t>
            </w:r>
          </w:p>
        </w:tc>
        <w:tc>
          <w:tcPr>
            <w:tcW w:w="992" w:type="dxa"/>
          </w:tcPr>
          <w:p w14:paraId="2C8BB6B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0.172</w:t>
            </w:r>
          </w:p>
        </w:tc>
        <w:tc>
          <w:tcPr>
            <w:tcW w:w="1018" w:type="dxa"/>
          </w:tcPr>
          <w:p w14:paraId="06ECD50F"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1.854</w:t>
            </w:r>
          </w:p>
        </w:tc>
        <w:tc>
          <w:tcPr>
            <w:tcW w:w="948" w:type="dxa"/>
          </w:tcPr>
          <w:p w14:paraId="46B666BB"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0.173</w:t>
            </w:r>
          </w:p>
        </w:tc>
        <w:tc>
          <w:tcPr>
            <w:tcW w:w="840" w:type="dxa"/>
          </w:tcPr>
          <w:p w14:paraId="5E8FFC4F"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1.264</w:t>
            </w:r>
          </w:p>
        </w:tc>
        <w:tc>
          <w:tcPr>
            <w:tcW w:w="1823" w:type="dxa"/>
          </w:tcPr>
          <w:p w14:paraId="54CF3D83"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(0.902, </w:t>
            </w:r>
            <w:r w:rsidRPr="000B1E5B">
              <w:rPr>
                <w:rFonts w:ascii="Arial" w:hAnsi="Arial" w:cs="Arial"/>
                <w:spacing w:val="-2"/>
                <w:sz w:val="20"/>
                <w:szCs w:val="20"/>
              </w:rPr>
              <w:t>1.770)</w:t>
            </w:r>
          </w:p>
        </w:tc>
      </w:tr>
      <w:tr w:rsidR="0055322A" w:rsidRPr="000B1E5B" w14:paraId="0D651590" w14:textId="77777777" w:rsidTr="0055322A">
        <w:trPr>
          <w:trHeight w:val="430"/>
        </w:trPr>
        <w:tc>
          <w:tcPr>
            <w:tcW w:w="2972" w:type="dxa"/>
          </w:tcPr>
          <w:p w14:paraId="62C657CD"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 xml:space="preserve">Extension </w:t>
            </w:r>
            <w:r w:rsidRPr="000B1E5B">
              <w:rPr>
                <w:rFonts w:ascii="Arial" w:hAnsi="Arial" w:cs="Arial"/>
                <w:spacing w:val="-2"/>
                <w:sz w:val="20"/>
                <w:szCs w:val="20"/>
              </w:rPr>
              <w:t>Participation</w:t>
            </w:r>
          </w:p>
        </w:tc>
        <w:tc>
          <w:tcPr>
            <w:tcW w:w="1134" w:type="dxa"/>
          </w:tcPr>
          <w:p w14:paraId="6E234CEE"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-0.322</w:t>
            </w:r>
          </w:p>
        </w:tc>
        <w:tc>
          <w:tcPr>
            <w:tcW w:w="992" w:type="dxa"/>
          </w:tcPr>
          <w:p w14:paraId="5B4B3128"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0.108</w:t>
            </w:r>
          </w:p>
        </w:tc>
        <w:tc>
          <w:tcPr>
            <w:tcW w:w="1018" w:type="dxa"/>
          </w:tcPr>
          <w:p w14:paraId="6EA9BE8B"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8.837</w:t>
            </w:r>
          </w:p>
        </w:tc>
        <w:tc>
          <w:tcPr>
            <w:tcW w:w="948" w:type="dxa"/>
          </w:tcPr>
          <w:p w14:paraId="00FFD3BC"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0.003**</w:t>
            </w:r>
          </w:p>
        </w:tc>
        <w:tc>
          <w:tcPr>
            <w:tcW w:w="840" w:type="dxa"/>
          </w:tcPr>
          <w:p w14:paraId="716A82E0"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0.725</w:t>
            </w:r>
          </w:p>
        </w:tc>
        <w:tc>
          <w:tcPr>
            <w:tcW w:w="1823" w:type="dxa"/>
          </w:tcPr>
          <w:p w14:paraId="1E2BB254"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(0.586, </w:t>
            </w:r>
            <w:r w:rsidRPr="000B1E5B">
              <w:rPr>
                <w:rFonts w:ascii="Arial" w:hAnsi="Arial" w:cs="Arial"/>
                <w:spacing w:val="-2"/>
                <w:sz w:val="20"/>
                <w:szCs w:val="20"/>
              </w:rPr>
              <w:t>0.896)</w:t>
            </w:r>
          </w:p>
        </w:tc>
      </w:tr>
      <w:tr w:rsidR="0055322A" w:rsidRPr="000B1E5B" w14:paraId="08ACEF81" w14:textId="77777777" w:rsidTr="0055322A">
        <w:trPr>
          <w:trHeight w:val="415"/>
        </w:trPr>
        <w:tc>
          <w:tcPr>
            <w:tcW w:w="2972" w:type="dxa"/>
          </w:tcPr>
          <w:p w14:paraId="79F8EF01"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Formal</w:t>
            </w:r>
            <w:r w:rsidRPr="000B1E5B">
              <w:rPr>
                <w:rFonts w:ascii="Arial" w:hAnsi="Arial" w:cs="Arial"/>
                <w:spacing w:val="-6"/>
                <w:sz w:val="20"/>
                <w:szCs w:val="20"/>
              </w:rPr>
              <w:t xml:space="preserve"> </w:t>
            </w:r>
            <w:r w:rsidRPr="000B1E5B">
              <w:rPr>
                <w:rFonts w:ascii="Arial" w:hAnsi="Arial" w:cs="Arial"/>
                <w:spacing w:val="-4"/>
                <w:sz w:val="20"/>
                <w:szCs w:val="20"/>
              </w:rPr>
              <w:t>In-kind Transfer</w:t>
            </w:r>
          </w:p>
        </w:tc>
        <w:tc>
          <w:tcPr>
            <w:tcW w:w="1134" w:type="dxa"/>
          </w:tcPr>
          <w:p w14:paraId="5DF5F452"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&lt;0.001</w:t>
            </w:r>
          </w:p>
        </w:tc>
        <w:tc>
          <w:tcPr>
            <w:tcW w:w="992" w:type="dxa"/>
          </w:tcPr>
          <w:p w14:paraId="3FAACA7A"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&lt;0.001</w:t>
            </w:r>
          </w:p>
        </w:tc>
        <w:tc>
          <w:tcPr>
            <w:tcW w:w="1018" w:type="dxa"/>
          </w:tcPr>
          <w:p w14:paraId="16267840"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7.301</w:t>
            </w:r>
          </w:p>
        </w:tc>
        <w:tc>
          <w:tcPr>
            <w:tcW w:w="948" w:type="dxa"/>
          </w:tcPr>
          <w:p w14:paraId="5CDFDF21"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0.007**</w:t>
            </w:r>
          </w:p>
        </w:tc>
        <w:tc>
          <w:tcPr>
            <w:tcW w:w="840" w:type="dxa"/>
          </w:tcPr>
          <w:p w14:paraId="137FD17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1.000</w:t>
            </w:r>
          </w:p>
        </w:tc>
        <w:tc>
          <w:tcPr>
            <w:tcW w:w="1823" w:type="dxa"/>
          </w:tcPr>
          <w:p w14:paraId="2993082A"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(1.000, </w:t>
            </w:r>
            <w:r w:rsidRPr="000B1E5B">
              <w:rPr>
                <w:rFonts w:ascii="Arial" w:hAnsi="Arial" w:cs="Arial"/>
                <w:spacing w:val="-2"/>
                <w:sz w:val="20"/>
                <w:szCs w:val="20"/>
              </w:rPr>
              <w:t>1.000)</w:t>
            </w:r>
          </w:p>
        </w:tc>
      </w:tr>
      <w:tr w:rsidR="0055322A" w:rsidRPr="000B1E5B" w14:paraId="74140CE4" w14:textId="77777777" w:rsidTr="0055322A">
        <w:trPr>
          <w:trHeight w:val="430"/>
        </w:trPr>
        <w:tc>
          <w:tcPr>
            <w:tcW w:w="2972" w:type="dxa"/>
          </w:tcPr>
          <w:p w14:paraId="6D6CDCD6"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 xml:space="preserve">Skipped </w:t>
            </w:r>
            <w:r w:rsidRPr="000B1E5B">
              <w:rPr>
                <w:rFonts w:ascii="Arial" w:hAnsi="Arial" w:cs="Arial"/>
                <w:spacing w:val="-2"/>
                <w:sz w:val="20"/>
                <w:szCs w:val="20"/>
              </w:rPr>
              <w:t>Meals/Year</w:t>
            </w:r>
          </w:p>
        </w:tc>
        <w:tc>
          <w:tcPr>
            <w:tcW w:w="1134" w:type="dxa"/>
          </w:tcPr>
          <w:p w14:paraId="0460E7B2"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-0.002</w:t>
            </w:r>
          </w:p>
        </w:tc>
        <w:tc>
          <w:tcPr>
            <w:tcW w:w="992" w:type="dxa"/>
          </w:tcPr>
          <w:p w14:paraId="14A54526"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0.023</w:t>
            </w:r>
          </w:p>
        </w:tc>
        <w:tc>
          <w:tcPr>
            <w:tcW w:w="1018" w:type="dxa"/>
          </w:tcPr>
          <w:p w14:paraId="235A8019"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0.009</w:t>
            </w:r>
          </w:p>
        </w:tc>
        <w:tc>
          <w:tcPr>
            <w:tcW w:w="948" w:type="dxa"/>
          </w:tcPr>
          <w:p w14:paraId="61F108E2"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0.925</w:t>
            </w:r>
          </w:p>
        </w:tc>
        <w:tc>
          <w:tcPr>
            <w:tcW w:w="840" w:type="dxa"/>
          </w:tcPr>
          <w:p w14:paraId="76EEC31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0.998</w:t>
            </w:r>
          </w:p>
        </w:tc>
        <w:tc>
          <w:tcPr>
            <w:tcW w:w="1823" w:type="dxa"/>
          </w:tcPr>
          <w:p w14:paraId="40BED592"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(0.954, </w:t>
            </w:r>
            <w:r w:rsidRPr="000B1E5B">
              <w:rPr>
                <w:rFonts w:ascii="Arial" w:hAnsi="Arial" w:cs="Arial"/>
                <w:spacing w:val="-2"/>
                <w:sz w:val="20"/>
                <w:szCs w:val="20"/>
              </w:rPr>
              <w:t>1.043)</w:t>
            </w:r>
          </w:p>
        </w:tc>
      </w:tr>
      <w:tr w:rsidR="0055322A" w:rsidRPr="000B1E5B" w14:paraId="44051DAC" w14:textId="77777777" w:rsidTr="0055322A">
        <w:trPr>
          <w:trHeight w:val="415"/>
        </w:trPr>
        <w:tc>
          <w:tcPr>
            <w:tcW w:w="2972" w:type="dxa"/>
          </w:tcPr>
          <w:p w14:paraId="403F7247"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Local Group Participation</w:t>
            </w:r>
          </w:p>
        </w:tc>
        <w:tc>
          <w:tcPr>
            <w:tcW w:w="1134" w:type="dxa"/>
          </w:tcPr>
          <w:p w14:paraId="5D0FD38D"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0.230</w:t>
            </w:r>
          </w:p>
        </w:tc>
        <w:tc>
          <w:tcPr>
            <w:tcW w:w="992" w:type="dxa"/>
          </w:tcPr>
          <w:p w14:paraId="4333A62F"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0.628</w:t>
            </w:r>
          </w:p>
        </w:tc>
        <w:tc>
          <w:tcPr>
            <w:tcW w:w="1018" w:type="dxa"/>
          </w:tcPr>
          <w:p w14:paraId="2F7B2A5F"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0.134</w:t>
            </w:r>
          </w:p>
        </w:tc>
        <w:tc>
          <w:tcPr>
            <w:tcW w:w="948" w:type="dxa"/>
          </w:tcPr>
          <w:p w14:paraId="23155B6D"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0.714</w:t>
            </w:r>
          </w:p>
        </w:tc>
        <w:tc>
          <w:tcPr>
            <w:tcW w:w="840" w:type="dxa"/>
          </w:tcPr>
          <w:p w14:paraId="05612112"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1.259</w:t>
            </w:r>
          </w:p>
        </w:tc>
        <w:tc>
          <w:tcPr>
            <w:tcW w:w="1823" w:type="dxa"/>
          </w:tcPr>
          <w:p w14:paraId="7A3E530D"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(0.368, </w:t>
            </w:r>
            <w:r w:rsidRPr="000B1E5B">
              <w:rPr>
                <w:rFonts w:ascii="Arial" w:hAnsi="Arial" w:cs="Arial"/>
                <w:spacing w:val="-2"/>
                <w:sz w:val="20"/>
                <w:szCs w:val="20"/>
              </w:rPr>
              <w:t>4.309)</w:t>
            </w:r>
          </w:p>
        </w:tc>
      </w:tr>
      <w:tr w:rsidR="0055322A" w:rsidRPr="000B1E5B" w14:paraId="3500032E" w14:textId="77777777" w:rsidTr="0055322A">
        <w:trPr>
          <w:trHeight w:val="430"/>
        </w:trPr>
        <w:tc>
          <w:tcPr>
            <w:tcW w:w="2972" w:type="dxa"/>
          </w:tcPr>
          <w:p w14:paraId="13502462" w14:textId="77777777" w:rsidR="0055322A" w:rsidRPr="000B1E5B" w:rsidRDefault="0055322A" w:rsidP="00631402">
            <w:pPr>
              <w:pStyle w:val="TableParagraph"/>
              <w:rPr>
                <w:rFonts w:ascii="Arial" w:hAnsi="Arial" w:cs="Arial"/>
                <w:sz w:val="20"/>
                <w:szCs w:val="20"/>
              </w:rPr>
            </w:pPr>
            <w:r w:rsidRPr="000B1E5B">
              <w:rPr>
                <w:rFonts w:ascii="Arial" w:hAnsi="Arial" w:cs="Arial"/>
                <w:spacing w:val="-2"/>
                <w:sz w:val="20"/>
                <w:szCs w:val="20"/>
              </w:rPr>
              <w:t>Help</w:t>
            </w:r>
            <w:r w:rsidRPr="000B1E5B">
              <w:rPr>
                <w:rFonts w:ascii="Arial" w:hAnsi="Arial" w:cs="Arial"/>
                <w:spacing w:val="-12"/>
                <w:sz w:val="20"/>
                <w:szCs w:val="20"/>
              </w:rPr>
              <w:t xml:space="preserve"> </w:t>
            </w:r>
            <w:r w:rsidRPr="000B1E5B">
              <w:rPr>
                <w:rFonts w:ascii="Arial" w:hAnsi="Arial" w:cs="Arial"/>
                <w:spacing w:val="-2"/>
                <w:sz w:val="20"/>
                <w:szCs w:val="20"/>
              </w:rPr>
              <w:t>from</w:t>
            </w:r>
            <w:r w:rsidRPr="000B1E5B">
              <w:rPr>
                <w:rFonts w:ascii="Arial" w:hAnsi="Arial" w:cs="Arial"/>
                <w:spacing w:val="-12"/>
                <w:sz w:val="20"/>
                <w:szCs w:val="20"/>
              </w:rPr>
              <w:t xml:space="preserve"> </w:t>
            </w:r>
            <w:r w:rsidRPr="000B1E5B">
              <w:rPr>
                <w:rFonts w:ascii="Arial" w:hAnsi="Arial" w:cs="Arial"/>
                <w:spacing w:val="-2"/>
                <w:sz w:val="20"/>
                <w:szCs w:val="20"/>
              </w:rPr>
              <w:t>Organizations</w:t>
            </w:r>
          </w:p>
        </w:tc>
        <w:tc>
          <w:tcPr>
            <w:tcW w:w="1134" w:type="dxa"/>
          </w:tcPr>
          <w:p w14:paraId="04906F5D"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-0.128</w:t>
            </w:r>
          </w:p>
        </w:tc>
        <w:tc>
          <w:tcPr>
            <w:tcW w:w="992" w:type="dxa"/>
          </w:tcPr>
          <w:p w14:paraId="340CF942"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0.680</w:t>
            </w:r>
          </w:p>
        </w:tc>
        <w:tc>
          <w:tcPr>
            <w:tcW w:w="1018" w:type="dxa"/>
          </w:tcPr>
          <w:p w14:paraId="70C334D6"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0.035</w:t>
            </w:r>
          </w:p>
        </w:tc>
        <w:tc>
          <w:tcPr>
            <w:tcW w:w="948" w:type="dxa"/>
          </w:tcPr>
          <w:p w14:paraId="0BCEEA1C"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0.851</w:t>
            </w:r>
          </w:p>
        </w:tc>
        <w:tc>
          <w:tcPr>
            <w:tcW w:w="840" w:type="dxa"/>
          </w:tcPr>
          <w:p w14:paraId="1BF7EB19"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0.880</w:t>
            </w:r>
          </w:p>
        </w:tc>
        <w:tc>
          <w:tcPr>
            <w:tcW w:w="1823" w:type="dxa"/>
          </w:tcPr>
          <w:p w14:paraId="1102D708"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(0.232, </w:t>
            </w:r>
            <w:r w:rsidRPr="000B1E5B">
              <w:rPr>
                <w:rFonts w:ascii="Arial" w:hAnsi="Arial" w:cs="Arial"/>
                <w:spacing w:val="-2"/>
                <w:sz w:val="20"/>
                <w:szCs w:val="20"/>
              </w:rPr>
              <w:t>3.338)</w:t>
            </w:r>
          </w:p>
        </w:tc>
      </w:tr>
      <w:tr w:rsidR="0055322A" w:rsidRPr="000B1E5B" w14:paraId="694A2E68" w14:textId="77777777" w:rsidTr="0055322A">
        <w:trPr>
          <w:trHeight w:val="415"/>
        </w:trPr>
        <w:tc>
          <w:tcPr>
            <w:tcW w:w="2972" w:type="dxa"/>
          </w:tcPr>
          <w:p w14:paraId="5C86DB2B" w14:textId="77777777" w:rsidR="0055322A" w:rsidRPr="000B1E5B" w:rsidRDefault="0055322A" w:rsidP="00631402">
            <w:pPr>
              <w:pStyle w:val="TableParagraph"/>
              <w:rPr>
                <w:rFonts w:ascii="Arial" w:hAnsi="Arial" w:cs="Arial"/>
                <w:sz w:val="20"/>
                <w:szCs w:val="20"/>
              </w:rPr>
            </w:pPr>
            <w:r w:rsidRPr="000B1E5B">
              <w:rPr>
                <w:rFonts w:ascii="Arial" w:hAnsi="Arial" w:cs="Arial"/>
                <w:spacing w:val="-6"/>
                <w:sz w:val="20"/>
                <w:szCs w:val="20"/>
              </w:rPr>
              <w:t xml:space="preserve">Training </w:t>
            </w:r>
            <w:r w:rsidRPr="000B1E5B">
              <w:rPr>
                <w:rFonts w:ascii="Arial" w:hAnsi="Arial" w:cs="Arial"/>
                <w:spacing w:val="-2"/>
                <w:sz w:val="20"/>
                <w:szCs w:val="20"/>
              </w:rPr>
              <w:t>Participation</w:t>
            </w:r>
          </w:p>
        </w:tc>
        <w:tc>
          <w:tcPr>
            <w:tcW w:w="1134" w:type="dxa"/>
          </w:tcPr>
          <w:p w14:paraId="3C92EA32"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-0.381</w:t>
            </w:r>
          </w:p>
        </w:tc>
        <w:tc>
          <w:tcPr>
            <w:tcW w:w="992" w:type="dxa"/>
          </w:tcPr>
          <w:p w14:paraId="6B2F5761"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0.291</w:t>
            </w:r>
          </w:p>
        </w:tc>
        <w:tc>
          <w:tcPr>
            <w:tcW w:w="1018" w:type="dxa"/>
          </w:tcPr>
          <w:p w14:paraId="12380E91"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1.710</w:t>
            </w:r>
          </w:p>
        </w:tc>
        <w:tc>
          <w:tcPr>
            <w:tcW w:w="948" w:type="dxa"/>
          </w:tcPr>
          <w:p w14:paraId="0B937A90"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0.191</w:t>
            </w:r>
          </w:p>
        </w:tc>
        <w:tc>
          <w:tcPr>
            <w:tcW w:w="840" w:type="dxa"/>
          </w:tcPr>
          <w:p w14:paraId="33D1AE65"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0.683</w:t>
            </w:r>
          </w:p>
        </w:tc>
        <w:tc>
          <w:tcPr>
            <w:tcW w:w="1823" w:type="dxa"/>
          </w:tcPr>
          <w:p w14:paraId="0E1C287E"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(0.386, </w:t>
            </w:r>
            <w:r w:rsidRPr="000B1E5B">
              <w:rPr>
                <w:rFonts w:ascii="Arial" w:hAnsi="Arial" w:cs="Arial"/>
                <w:spacing w:val="-2"/>
                <w:sz w:val="20"/>
                <w:szCs w:val="20"/>
              </w:rPr>
              <w:t>1.209)</w:t>
            </w:r>
          </w:p>
        </w:tc>
      </w:tr>
      <w:tr w:rsidR="0055322A" w:rsidRPr="000B1E5B" w14:paraId="6B4F90BE" w14:textId="77777777" w:rsidTr="0055322A">
        <w:trPr>
          <w:trHeight w:val="415"/>
        </w:trPr>
        <w:tc>
          <w:tcPr>
            <w:tcW w:w="2972" w:type="dxa"/>
          </w:tcPr>
          <w:p w14:paraId="5DE3344E" w14:textId="77777777" w:rsidR="0055322A" w:rsidRPr="000B1E5B" w:rsidRDefault="0055322A" w:rsidP="00631402">
            <w:pPr>
              <w:pStyle w:val="TableParagraph"/>
              <w:rPr>
                <w:rFonts w:ascii="Arial" w:hAnsi="Arial" w:cs="Arial"/>
                <w:sz w:val="20"/>
                <w:szCs w:val="20"/>
              </w:rPr>
            </w:pPr>
            <w:r w:rsidRPr="000B1E5B">
              <w:rPr>
                <w:rFonts w:ascii="Arial" w:hAnsi="Arial" w:cs="Arial"/>
                <w:spacing w:val="-5"/>
                <w:sz w:val="20"/>
                <w:szCs w:val="20"/>
              </w:rPr>
              <w:t>Interpersonal</w:t>
            </w:r>
            <w:r w:rsidRPr="000B1E5B">
              <w:rPr>
                <w:rFonts w:ascii="Arial" w:hAnsi="Arial" w:cs="Arial"/>
                <w:spacing w:val="9"/>
                <w:sz w:val="20"/>
                <w:szCs w:val="20"/>
              </w:rPr>
              <w:t xml:space="preserve"> </w:t>
            </w:r>
            <w:r w:rsidRPr="000B1E5B">
              <w:rPr>
                <w:rFonts w:ascii="Arial" w:hAnsi="Arial" w:cs="Arial"/>
                <w:spacing w:val="-2"/>
                <w:sz w:val="20"/>
                <w:szCs w:val="20"/>
              </w:rPr>
              <w:t>Cosmopolite</w:t>
            </w:r>
          </w:p>
        </w:tc>
        <w:tc>
          <w:tcPr>
            <w:tcW w:w="1134" w:type="dxa"/>
          </w:tcPr>
          <w:p w14:paraId="705A7D15"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-0.568</w:t>
            </w:r>
          </w:p>
        </w:tc>
        <w:tc>
          <w:tcPr>
            <w:tcW w:w="992" w:type="dxa"/>
          </w:tcPr>
          <w:p w14:paraId="5A7D8C48"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0.203</w:t>
            </w:r>
          </w:p>
        </w:tc>
        <w:tc>
          <w:tcPr>
            <w:tcW w:w="1018" w:type="dxa"/>
          </w:tcPr>
          <w:p w14:paraId="1D7B9786"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7.817</w:t>
            </w:r>
          </w:p>
        </w:tc>
        <w:tc>
          <w:tcPr>
            <w:tcW w:w="948" w:type="dxa"/>
          </w:tcPr>
          <w:p w14:paraId="2970C2B4"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0.005**</w:t>
            </w:r>
          </w:p>
        </w:tc>
        <w:tc>
          <w:tcPr>
            <w:tcW w:w="840" w:type="dxa"/>
          </w:tcPr>
          <w:p w14:paraId="65EA30C1"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0.567</w:t>
            </w:r>
          </w:p>
        </w:tc>
        <w:tc>
          <w:tcPr>
            <w:tcW w:w="1823" w:type="dxa"/>
          </w:tcPr>
          <w:p w14:paraId="645D533F"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(0.381, </w:t>
            </w:r>
            <w:r w:rsidRPr="000B1E5B">
              <w:rPr>
                <w:rFonts w:ascii="Arial" w:hAnsi="Arial" w:cs="Arial"/>
                <w:spacing w:val="-2"/>
                <w:sz w:val="20"/>
                <w:szCs w:val="20"/>
              </w:rPr>
              <w:t>0.844)</w:t>
            </w:r>
          </w:p>
        </w:tc>
      </w:tr>
      <w:tr w:rsidR="0055322A" w:rsidRPr="000B1E5B" w14:paraId="68DBDAB3" w14:textId="77777777" w:rsidTr="0055322A">
        <w:trPr>
          <w:trHeight w:val="430"/>
        </w:trPr>
        <w:tc>
          <w:tcPr>
            <w:tcW w:w="2972" w:type="dxa"/>
          </w:tcPr>
          <w:p w14:paraId="6670C8B3"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lastRenderedPageBreak/>
              <w:t>Household</w:t>
            </w:r>
            <w:r w:rsidRPr="000B1E5B">
              <w:rPr>
                <w:rFonts w:ascii="Arial" w:hAnsi="Arial" w:cs="Arial"/>
                <w:spacing w:val="-6"/>
                <w:sz w:val="20"/>
                <w:szCs w:val="20"/>
              </w:rPr>
              <w:t xml:space="preserve"> </w:t>
            </w:r>
            <w:r w:rsidRPr="000B1E5B">
              <w:rPr>
                <w:rFonts w:ascii="Arial" w:hAnsi="Arial" w:cs="Arial"/>
                <w:spacing w:val="-4"/>
                <w:sz w:val="20"/>
                <w:szCs w:val="20"/>
              </w:rPr>
              <w:t>Education Years</w:t>
            </w:r>
          </w:p>
        </w:tc>
        <w:tc>
          <w:tcPr>
            <w:tcW w:w="1134" w:type="dxa"/>
          </w:tcPr>
          <w:p w14:paraId="0FD068A7"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-0.852</w:t>
            </w:r>
          </w:p>
        </w:tc>
        <w:tc>
          <w:tcPr>
            <w:tcW w:w="992" w:type="dxa"/>
          </w:tcPr>
          <w:p w14:paraId="494B782E"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0.440</w:t>
            </w:r>
          </w:p>
        </w:tc>
        <w:tc>
          <w:tcPr>
            <w:tcW w:w="1018" w:type="dxa"/>
          </w:tcPr>
          <w:p w14:paraId="6F4E4850"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3.738</w:t>
            </w:r>
          </w:p>
        </w:tc>
        <w:tc>
          <w:tcPr>
            <w:tcW w:w="948" w:type="dxa"/>
          </w:tcPr>
          <w:p w14:paraId="29390978" w14:textId="6E288D6F"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0.053</w:t>
            </w:r>
            <w:r w:rsidR="00DC3ED6">
              <w:rPr>
                <w:rFonts w:ascii="Arial" w:hAnsi="Arial" w:cs="Arial"/>
                <w:spacing w:val="-2"/>
                <w:sz w:val="20"/>
                <w:szCs w:val="20"/>
              </w:rPr>
              <w:t>*</w:t>
            </w:r>
          </w:p>
        </w:tc>
        <w:tc>
          <w:tcPr>
            <w:tcW w:w="840" w:type="dxa"/>
          </w:tcPr>
          <w:p w14:paraId="0C2D035C"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0.427</w:t>
            </w:r>
          </w:p>
        </w:tc>
        <w:tc>
          <w:tcPr>
            <w:tcW w:w="1823" w:type="dxa"/>
          </w:tcPr>
          <w:p w14:paraId="35E68DD4"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(0.180, </w:t>
            </w:r>
            <w:r w:rsidRPr="000B1E5B">
              <w:rPr>
                <w:rFonts w:ascii="Arial" w:hAnsi="Arial" w:cs="Arial"/>
                <w:spacing w:val="-2"/>
                <w:sz w:val="20"/>
                <w:szCs w:val="20"/>
              </w:rPr>
              <w:t>1.012)</w:t>
            </w:r>
          </w:p>
        </w:tc>
      </w:tr>
      <w:tr w:rsidR="0055322A" w:rsidRPr="000B1E5B" w14:paraId="0C5E496C" w14:textId="77777777" w:rsidTr="0055322A">
        <w:trPr>
          <w:trHeight w:val="416"/>
        </w:trPr>
        <w:tc>
          <w:tcPr>
            <w:tcW w:w="2972" w:type="dxa"/>
          </w:tcPr>
          <w:p w14:paraId="5561F951"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Crops Last Season</w:t>
            </w:r>
          </w:p>
        </w:tc>
        <w:tc>
          <w:tcPr>
            <w:tcW w:w="1134" w:type="dxa"/>
          </w:tcPr>
          <w:p w14:paraId="2AA66EAB"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0.182</w:t>
            </w:r>
          </w:p>
        </w:tc>
        <w:tc>
          <w:tcPr>
            <w:tcW w:w="992" w:type="dxa"/>
          </w:tcPr>
          <w:p w14:paraId="4DF07295"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0.255</w:t>
            </w:r>
          </w:p>
        </w:tc>
        <w:tc>
          <w:tcPr>
            <w:tcW w:w="1018" w:type="dxa"/>
          </w:tcPr>
          <w:p w14:paraId="1C689D84"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0.512</w:t>
            </w:r>
          </w:p>
        </w:tc>
        <w:tc>
          <w:tcPr>
            <w:tcW w:w="948" w:type="dxa"/>
          </w:tcPr>
          <w:p w14:paraId="746F8D31"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0.474</w:t>
            </w:r>
          </w:p>
        </w:tc>
        <w:tc>
          <w:tcPr>
            <w:tcW w:w="840" w:type="dxa"/>
          </w:tcPr>
          <w:p w14:paraId="76889280"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1.200</w:t>
            </w:r>
          </w:p>
        </w:tc>
        <w:tc>
          <w:tcPr>
            <w:tcW w:w="1823" w:type="dxa"/>
          </w:tcPr>
          <w:p w14:paraId="70692285"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(0.728, </w:t>
            </w:r>
            <w:r w:rsidRPr="000B1E5B">
              <w:rPr>
                <w:rFonts w:ascii="Arial" w:hAnsi="Arial" w:cs="Arial"/>
                <w:spacing w:val="-2"/>
                <w:sz w:val="20"/>
                <w:szCs w:val="20"/>
              </w:rPr>
              <w:t>1.976)</w:t>
            </w:r>
          </w:p>
        </w:tc>
      </w:tr>
    </w:tbl>
    <w:p w14:paraId="4E38F845" w14:textId="46B7E44C" w:rsidR="00041F09" w:rsidRPr="000B1E5B" w:rsidRDefault="00DC3ED6" w:rsidP="00DC3ED6">
      <w:pPr>
        <w:spacing w:before="82"/>
        <w:ind w:left="129"/>
        <w:rPr>
          <w:rFonts w:ascii="Arial" w:hAnsi="Arial" w:cs="Arial"/>
          <w:sz w:val="20"/>
          <w:szCs w:val="20"/>
        </w:rPr>
      </w:pPr>
      <w:r w:rsidRPr="00DC3ED6">
        <w:rPr>
          <w:rFonts w:ascii="Arial" w:hAnsi="Arial" w:cs="Arial"/>
          <w:sz w:val="20"/>
          <w:szCs w:val="20"/>
        </w:rPr>
        <w:t>*** Indicates significant at 1% level of significance, in a two-tailed test, ** Indicates significant at 5% level of significance, in a two</w:t>
      </w:r>
      <w:r>
        <w:rPr>
          <w:rFonts w:ascii="Arial" w:hAnsi="Arial" w:cs="Arial"/>
          <w:sz w:val="20"/>
          <w:szCs w:val="20"/>
        </w:rPr>
        <w:t xml:space="preserve"> </w:t>
      </w:r>
      <w:r w:rsidRPr="00DC3ED6">
        <w:rPr>
          <w:rFonts w:ascii="Arial" w:hAnsi="Arial" w:cs="Arial"/>
          <w:sz w:val="20"/>
          <w:szCs w:val="20"/>
        </w:rPr>
        <w:t>tailed</w:t>
      </w:r>
      <w:r>
        <w:rPr>
          <w:rFonts w:ascii="Arial" w:hAnsi="Arial" w:cs="Arial"/>
          <w:sz w:val="20"/>
          <w:szCs w:val="20"/>
        </w:rPr>
        <w:t xml:space="preserve"> </w:t>
      </w:r>
      <w:r w:rsidRPr="00DC3ED6">
        <w:rPr>
          <w:rFonts w:ascii="Arial" w:hAnsi="Arial" w:cs="Arial"/>
          <w:sz w:val="20"/>
          <w:szCs w:val="20"/>
        </w:rPr>
        <w:t>test, * Indicates significant at 10% level of significance, in a two-tailed test.</w:t>
      </w:r>
    </w:p>
    <w:p w14:paraId="00C0D100" w14:textId="657170E4" w:rsidR="00BA35BF" w:rsidRPr="00BA35BF" w:rsidRDefault="00731A89" w:rsidP="00BA35BF">
      <w:pPr>
        <w:jc w:val="both"/>
        <w:rPr>
          <w:rFonts w:ascii="Arial" w:hAnsi="Arial" w:cs="Arial"/>
          <w:sz w:val="20"/>
          <w:szCs w:val="20"/>
        </w:rPr>
      </w:pPr>
      <w:r w:rsidRPr="000B1E5B">
        <w:rPr>
          <w:rFonts w:ascii="Arial" w:hAnsi="Arial" w:cs="Arial"/>
          <w:sz w:val="20"/>
          <w:szCs w:val="20"/>
        </w:rPr>
        <w:t xml:space="preserve">The multinomial logistic regression analysis highlights significant predictors of food insecurity </w:t>
      </w:r>
      <w:r w:rsidR="00FF1BD0">
        <w:rPr>
          <w:rFonts w:ascii="Arial" w:hAnsi="Arial" w:cs="Arial"/>
          <w:sz w:val="20"/>
          <w:szCs w:val="20"/>
        </w:rPr>
        <w:t xml:space="preserve">(Table </w:t>
      </w:r>
      <w:r w:rsidR="009357BA">
        <w:rPr>
          <w:rFonts w:ascii="Arial" w:hAnsi="Arial" w:cs="Arial"/>
          <w:sz w:val="20"/>
          <w:szCs w:val="20"/>
        </w:rPr>
        <w:t>4</w:t>
      </w:r>
      <w:r w:rsidR="00FF1BD0">
        <w:rPr>
          <w:rFonts w:ascii="Arial" w:hAnsi="Arial" w:cs="Arial"/>
          <w:sz w:val="20"/>
          <w:szCs w:val="20"/>
        </w:rPr>
        <w:t xml:space="preserve">.) </w:t>
      </w:r>
      <w:r w:rsidRPr="000B1E5B">
        <w:rPr>
          <w:rFonts w:ascii="Arial" w:hAnsi="Arial" w:cs="Arial"/>
          <w:sz w:val="20"/>
          <w:szCs w:val="20"/>
        </w:rPr>
        <w:t xml:space="preserve">among households in the Sundarbans, reflecting complex socio-economic and environmental dynamics. Table </w:t>
      </w:r>
      <w:r w:rsidR="009357BA">
        <w:rPr>
          <w:rFonts w:ascii="Arial" w:hAnsi="Arial" w:cs="Arial"/>
          <w:sz w:val="20"/>
          <w:szCs w:val="20"/>
        </w:rPr>
        <w:t>4</w:t>
      </w:r>
      <w:r w:rsidRPr="000B1E5B">
        <w:rPr>
          <w:rFonts w:ascii="Arial" w:hAnsi="Arial" w:cs="Arial"/>
          <w:sz w:val="20"/>
          <w:szCs w:val="20"/>
        </w:rPr>
        <w:t xml:space="preserve"> presents parameter estimates comparing food security categories: food-secure households (Category 0), moderately food insecure households (Category 1), and food insecure households (Category 2). The model demonstrated strong predictive accuracy, correctly classifying 80.9% of cases overall, with high accuracy for moderately food insecure households (91.7%) but lower for severely food insecure households (39.5%). Model fit indicators, including AIC (457.24) and BIC (511.76), underscore its robustness in capturing key determinants of food insecurity.</w:t>
      </w:r>
      <w:r w:rsidR="00BC6431" w:rsidRPr="000B1E5B">
        <w:rPr>
          <w:rFonts w:ascii="Arial" w:hAnsi="Arial" w:cs="Arial"/>
          <w:sz w:val="20"/>
          <w:szCs w:val="20"/>
        </w:rPr>
        <w:t xml:space="preserve"> In </w:t>
      </w:r>
      <w:r w:rsidR="00BC6431" w:rsidRPr="00BC6431">
        <w:rPr>
          <w:rFonts w:ascii="Arial" w:hAnsi="Arial" w:cs="Arial"/>
          <w:sz w:val="20"/>
          <w:szCs w:val="20"/>
        </w:rPr>
        <w:t xml:space="preserve">Category </w:t>
      </w:r>
      <w:r w:rsidR="00A87045">
        <w:rPr>
          <w:rFonts w:ascii="Arial" w:hAnsi="Arial" w:cs="Arial"/>
          <w:sz w:val="20"/>
          <w:szCs w:val="20"/>
        </w:rPr>
        <w:t>0</w:t>
      </w:r>
      <w:r w:rsidR="00BC6431" w:rsidRPr="00BC6431">
        <w:rPr>
          <w:rFonts w:ascii="Arial" w:hAnsi="Arial" w:cs="Arial"/>
          <w:sz w:val="20"/>
          <w:szCs w:val="20"/>
        </w:rPr>
        <w:t xml:space="preserve"> </w:t>
      </w:r>
      <w:r w:rsidR="00A87045">
        <w:rPr>
          <w:rFonts w:ascii="Arial" w:hAnsi="Arial" w:cs="Arial"/>
          <w:sz w:val="20"/>
          <w:szCs w:val="20"/>
        </w:rPr>
        <w:t>to</w:t>
      </w:r>
      <w:r w:rsidR="00BC6431" w:rsidRPr="00BC6431">
        <w:rPr>
          <w:rFonts w:ascii="Arial" w:hAnsi="Arial" w:cs="Arial"/>
          <w:sz w:val="20"/>
          <w:szCs w:val="20"/>
        </w:rPr>
        <w:t xml:space="preserve"> Category </w:t>
      </w:r>
      <w:r w:rsidR="00A87045">
        <w:rPr>
          <w:rFonts w:ascii="Arial" w:hAnsi="Arial" w:cs="Arial"/>
          <w:sz w:val="20"/>
          <w:szCs w:val="20"/>
        </w:rPr>
        <w:t>1</w:t>
      </w:r>
      <w:r w:rsidR="00BC6431" w:rsidRPr="00BC6431">
        <w:rPr>
          <w:rFonts w:ascii="Arial" w:hAnsi="Arial" w:cs="Arial"/>
          <w:sz w:val="20"/>
          <w:szCs w:val="20"/>
        </w:rPr>
        <w:t xml:space="preserve"> (</w:t>
      </w:r>
      <w:r w:rsidR="00A87045">
        <w:rPr>
          <w:rFonts w:ascii="Arial" w:hAnsi="Arial" w:cs="Arial"/>
          <w:spacing w:val="-2"/>
          <w:sz w:val="20"/>
          <w:szCs w:val="20"/>
        </w:rPr>
        <w:t>f</w:t>
      </w:r>
      <w:r w:rsidR="00A87045" w:rsidRPr="000B1E5B">
        <w:rPr>
          <w:rFonts w:ascii="Arial" w:hAnsi="Arial" w:cs="Arial"/>
          <w:spacing w:val="-2"/>
          <w:sz w:val="20"/>
          <w:szCs w:val="20"/>
        </w:rPr>
        <w:t xml:space="preserve">ood secure </w:t>
      </w:r>
      <w:r w:rsidR="00A87045">
        <w:rPr>
          <w:rFonts w:ascii="Arial" w:hAnsi="Arial" w:cs="Arial"/>
          <w:spacing w:val="-2"/>
          <w:sz w:val="20"/>
          <w:szCs w:val="20"/>
        </w:rPr>
        <w:t>to m</w:t>
      </w:r>
      <w:r w:rsidR="00BC6431" w:rsidRPr="000B1E5B">
        <w:rPr>
          <w:rFonts w:ascii="Arial" w:hAnsi="Arial" w:cs="Arial"/>
          <w:spacing w:val="-2"/>
          <w:sz w:val="20"/>
          <w:szCs w:val="20"/>
        </w:rPr>
        <w:t xml:space="preserve">oderately </w:t>
      </w:r>
      <w:r w:rsidR="00A87045">
        <w:rPr>
          <w:rFonts w:ascii="Arial" w:hAnsi="Arial" w:cs="Arial"/>
          <w:spacing w:val="-2"/>
          <w:sz w:val="20"/>
          <w:szCs w:val="20"/>
        </w:rPr>
        <w:t>f</w:t>
      </w:r>
      <w:r w:rsidR="00BC6431" w:rsidRPr="000B1E5B">
        <w:rPr>
          <w:rFonts w:ascii="Arial" w:hAnsi="Arial" w:cs="Arial"/>
          <w:spacing w:val="-2"/>
          <w:sz w:val="20"/>
          <w:szCs w:val="20"/>
        </w:rPr>
        <w:t xml:space="preserve">ood </w:t>
      </w:r>
      <w:r w:rsidR="00A87045" w:rsidRPr="000B1E5B">
        <w:rPr>
          <w:rFonts w:ascii="Arial" w:hAnsi="Arial" w:cs="Arial"/>
          <w:spacing w:val="-2"/>
          <w:sz w:val="20"/>
          <w:szCs w:val="20"/>
        </w:rPr>
        <w:t>insecure)</w:t>
      </w:r>
      <w:r w:rsidR="00B04B12" w:rsidRPr="000B1E5B">
        <w:rPr>
          <w:rFonts w:ascii="Arial" w:hAnsi="Arial" w:cs="Arial"/>
          <w:sz w:val="20"/>
          <w:szCs w:val="20"/>
        </w:rPr>
        <w:t xml:space="preserve">: </w:t>
      </w:r>
      <w:r w:rsidR="00BC6431" w:rsidRPr="00BC6431">
        <w:rPr>
          <w:rFonts w:ascii="Arial" w:hAnsi="Arial" w:cs="Arial"/>
          <w:sz w:val="20"/>
          <w:szCs w:val="20"/>
        </w:rPr>
        <w:t>Total Income: A positive coefficient (&lt;0.001) with a significance of p &lt; 0.05 indicates that higher income slightly increases the likelihood of being in Category 1 compared to Category 0 3.</w:t>
      </w:r>
      <w:r w:rsidR="00BC6431" w:rsidRPr="000B1E5B">
        <w:rPr>
          <w:rFonts w:ascii="Arial" w:hAnsi="Arial" w:cs="Arial"/>
          <w:sz w:val="20"/>
          <w:szCs w:val="20"/>
        </w:rPr>
        <w:t xml:space="preserve"> </w:t>
      </w:r>
      <w:r w:rsidR="00BC6431" w:rsidRPr="00BC6431">
        <w:rPr>
          <w:rFonts w:ascii="Arial" w:hAnsi="Arial" w:cs="Arial"/>
          <w:sz w:val="20"/>
          <w:szCs w:val="20"/>
        </w:rPr>
        <w:t>Total Cultivated Land: A negative coefficient (-2.441) with a high significance (p &lt; 0.001) suggests that more cultivated land significantly reduces the likelihood of moderate food insecurity (Category 1) compared to being food secure (Category 0</w:t>
      </w:r>
      <w:r w:rsidR="00BC6431" w:rsidRPr="000B1E5B">
        <w:rPr>
          <w:rFonts w:ascii="Arial" w:hAnsi="Arial" w:cs="Arial"/>
          <w:sz w:val="20"/>
          <w:szCs w:val="20"/>
        </w:rPr>
        <w:t xml:space="preserve">). </w:t>
      </w:r>
      <w:r w:rsidR="00BC6431" w:rsidRPr="00BC6431">
        <w:rPr>
          <w:rFonts w:ascii="Arial" w:hAnsi="Arial" w:cs="Arial"/>
          <w:sz w:val="20"/>
          <w:szCs w:val="20"/>
        </w:rPr>
        <w:t>Indebtedness: A positive coefficient (1.156) with a significance of p &lt; 0.05 implies that higher indebtedness increases the likelihood of being moderately food insecure (Category 1).</w:t>
      </w:r>
      <w:r w:rsidR="00BC6431" w:rsidRPr="000B1E5B">
        <w:rPr>
          <w:rFonts w:ascii="Arial" w:hAnsi="Arial" w:cs="Arial"/>
          <w:sz w:val="20"/>
          <w:szCs w:val="20"/>
        </w:rPr>
        <w:t xml:space="preserve"> </w:t>
      </w:r>
      <w:r w:rsidR="00BC6431" w:rsidRPr="00BC6431">
        <w:rPr>
          <w:rFonts w:ascii="Arial" w:hAnsi="Arial" w:cs="Arial"/>
          <w:sz w:val="20"/>
          <w:szCs w:val="20"/>
        </w:rPr>
        <w:t>Extension Participation: A negative coefficient (-0.165) with marginal significance (p &lt; 0.10) suggests that participation in extension activities tends to reduce the likelihood of being in Category 1.</w:t>
      </w:r>
      <w:r w:rsidR="00B04B12" w:rsidRPr="000B1E5B">
        <w:rPr>
          <w:rFonts w:ascii="Arial" w:hAnsi="Arial" w:cs="Arial"/>
          <w:sz w:val="20"/>
          <w:szCs w:val="20"/>
        </w:rPr>
        <w:t xml:space="preserve"> </w:t>
      </w:r>
      <w:r w:rsidR="00BC6431" w:rsidRPr="00BC6431">
        <w:rPr>
          <w:rFonts w:ascii="Arial" w:hAnsi="Arial" w:cs="Arial"/>
          <w:sz w:val="20"/>
          <w:szCs w:val="20"/>
        </w:rPr>
        <w:t>Formal In-kind Transfer: A positive coefficient (&lt;0.001) with a high significance (p &lt; 0.001) indicates that receiving formal in-kind transfers increases the likelihood of being in Category 1.</w:t>
      </w:r>
      <w:r w:rsidR="00B04B12" w:rsidRPr="000B1E5B">
        <w:rPr>
          <w:rFonts w:ascii="Arial" w:hAnsi="Arial" w:cs="Arial"/>
          <w:sz w:val="20"/>
          <w:szCs w:val="20"/>
        </w:rPr>
        <w:t xml:space="preserve"> </w:t>
      </w:r>
      <w:r w:rsidR="00BC6431" w:rsidRPr="00BC6431">
        <w:rPr>
          <w:rFonts w:ascii="Arial" w:hAnsi="Arial" w:cs="Arial"/>
          <w:sz w:val="20"/>
          <w:szCs w:val="20"/>
        </w:rPr>
        <w:t>Skipped Meals/Year: A positive coefficient (0.062) with a high significance (p &lt; 0.001) shows that more skipped meals per year significantly increase the likelihood of being moderately food insecure (Category 1).</w:t>
      </w:r>
      <w:r w:rsidR="00B04B12" w:rsidRPr="000B1E5B">
        <w:rPr>
          <w:rFonts w:ascii="Arial" w:hAnsi="Arial" w:cs="Arial"/>
          <w:sz w:val="20"/>
          <w:szCs w:val="20"/>
        </w:rPr>
        <w:t xml:space="preserve"> </w:t>
      </w:r>
      <w:r w:rsidR="00BC6431" w:rsidRPr="00BC6431">
        <w:rPr>
          <w:rFonts w:ascii="Arial" w:hAnsi="Arial" w:cs="Arial"/>
          <w:sz w:val="20"/>
          <w:szCs w:val="20"/>
        </w:rPr>
        <w:t>Interpersonal Cosmopolite: A negative coefficient (-0.515) with a high significance (p &lt; 0.001) indicates that greater interpersonal connections significantly reduce the likelihood of being in Category 1.</w:t>
      </w:r>
      <w:r w:rsidR="00B04B12" w:rsidRPr="000B1E5B">
        <w:rPr>
          <w:rFonts w:ascii="Arial" w:hAnsi="Arial" w:cs="Arial"/>
          <w:sz w:val="20"/>
          <w:szCs w:val="20"/>
        </w:rPr>
        <w:t xml:space="preserve"> </w:t>
      </w:r>
      <w:r w:rsidR="00BC6431" w:rsidRPr="00BC6431">
        <w:rPr>
          <w:rFonts w:ascii="Arial" w:hAnsi="Arial" w:cs="Arial"/>
          <w:sz w:val="20"/>
          <w:szCs w:val="20"/>
        </w:rPr>
        <w:t>Household Education Years: A negative coefficient (-0.664) with a significance of p &lt; 0.05 suggests that more years of household education reduce the likelihood of being moderately food insecure.</w:t>
      </w:r>
      <w:r w:rsidR="00BA35BF">
        <w:rPr>
          <w:rFonts w:ascii="Arial" w:hAnsi="Arial" w:cs="Arial"/>
          <w:sz w:val="20"/>
          <w:szCs w:val="20"/>
        </w:rPr>
        <w:t xml:space="preserve"> </w:t>
      </w:r>
      <w:r w:rsidR="00B04B12" w:rsidRPr="000B1E5B">
        <w:rPr>
          <w:rFonts w:ascii="Arial" w:hAnsi="Arial" w:cs="Arial"/>
          <w:sz w:val="20"/>
          <w:szCs w:val="20"/>
        </w:rPr>
        <w:t xml:space="preserve">In </w:t>
      </w:r>
      <w:r w:rsidR="00BC6431" w:rsidRPr="00BC6431">
        <w:rPr>
          <w:rFonts w:ascii="Arial" w:hAnsi="Arial" w:cs="Arial"/>
          <w:sz w:val="20"/>
          <w:szCs w:val="20"/>
        </w:rPr>
        <w:t xml:space="preserve">Category </w:t>
      </w:r>
      <w:r w:rsidR="00A87045">
        <w:rPr>
          <w:rFonts w:ascii="Arial" w:hAnsi="Arial" w:cs="Arial"/>
          <w:sz w:val="20"/>
          <w:szCs w:val="20"/>
        </w:rPr>
        <w:t>0</w:t>
      </w:r>
      <w:r w:rsidR="00BC6431" w:rsidRPr="00BC6431">
        <w:rPr>
          <w:rFonts w:ascii="Arial" w:hAnsi="Arial" w:cs="Arial"/>
          <w:sz w:val="20"/>
          <w:szCs w:val="20"/>
        </w:rPr>
        <w:t xml:space="preserve"> </w:t>
      </w:r>
      <w:r w:rsidR="00A87045">
        <w:rPr>
          <w:rFonts w:ascii="Arial" w:hAnsi="Arial" w:cs="Arial"/>
          <w:sz w:val="20"/>
          <w:szCs w:val="20"/>
        </w:rPr>
        <w:t>to</w:t>
      </w:r>
      <w:r w:rsidR="00BC6431" w:rsidRPr="00BC6431">
        <w:rPr>
          <w:rFonts w:ascii="Arial" w:hAnsi="Arial" w:cs="Arial"/>
          <w:sz w:val="20"/>
          <w:szCs w:val="20"/>
        </w:rPr>
        <w:t xml:space="preserve"> Category </w:t>
      </w:r>
      <w:r w:rsidR="00A87045">
        <w:rPr>
          <w:rFonts w:ascii="Arial" w:hAnsi="Arial" w:cs="Arial"/>
          <w:sz w:val="20"/>
          <w:szCs w:val="20"/>
        </w:rPr>
        <w:t>2</w:t>
      </w:r>
      <w:r w:rsidR="00BC6431" w:rsidRPr="00BC6431">
        <w:rPr>
          <w:rFonts w:ascii="Arial" w:hAnsi="Arial" w:cs="Arial"/>
          <w:sz w:val="20"/>
          <w:szCs w:val="20"/>
        </w:rPr>
        <w:t xml:space="preserve"> (</w:t>
      </w:r>
      <w:r w:rsidR="00B04B12" w:rsidRPr="000B1E5B">
        <w:rPr>
          <w:rFonts w:ascii="Arial" w:hAnsi="Arial" w:cs="Arial"/>
          <w:spacing w:val="-2"/>
          <w:sz w:val="20"/>
          <w:szCs w:val="20"/>
        </w:rPr>
        <w:t xml:space="preserve">food secure vs. </w:t>
      </w:r>
      <w:r w:rsidR="00473962" w:rsidRPr="000B1E5B">
        <w:rPr>
          <w:rFonts w:ascii="Arial" w:hAnsi="Arial" w:cs="Arial"/>
          <w:spacing w:val="-2"/>
          <w:sz w:val="20"/>
          <w:szCs w:val="20"/>
        </w:rPr>
        <w:t>f</w:t>
      </w:r>
      <w:r w:rsidR="00B04B12" w:rsidRPr="000B1E5B">
        <w:rPr>
          <w:rFonts w:ascii="Arial" w:hAnsi="Arial" w:cs="Arial"/>
          <w:spacing w:val="-2"/>
          <w:sz w:val="20"/>
          <w:szCs w:val="20"/>
        </w:rPr>
        <w:t xml:space="preserve">ood </w:t>
      </w:r>
      <w:r w:rsidR="00A87045">
        <w:rPr>
          <w:rFonts w:ascii="Arial" w:hAnsi="Arial" w:cs="Arial"/>
          <w:spacing w:val="-2"/>
          <w:sz w:val="20"/>
          <w:szCs w:val="20"/>
        </w:rPr>
        <w:t>in</w:t>
      </w:r>
      <w:r w:rsidR="00B04B12" w:rsidRPr="000B1E5B">
        <w:rPr>
          <w:rFonts w:ascii="Arial" w:hAnsi="Arial" w:cs="Arial"/>
          <w:spacing w:val="-2"/>
          <w:sz w:val="20"/>
          <w:szCs w:val="20"/>
        </w:rPr>
        <w:t>secure</w:t>
      </w:r>
      <w:r w:rsidR="00BC6431" w:rsidRPr="00BC6431">
        <w:rPr>
          <w:rFonts w:ascii="Arial" w:hAnsi="Arial" w:cs="Arial"/>
          <w:sz w:val="20"/>
          <w:szCs w:val="20"/>
        </w:rPr>
        <w:t>)</w:t>
      </w:r>
      <w:r w:rsidR="00B04B12" w:rsidRPr="000B1E5B">
        <w:rPr>
          <w:rFonts w:ascii="Arial" w:hAnsi="Arial" w:cs="Arial"/>
          <w:sz w:val="20"/>
          <w:szCs w:val="20"/>
        </w:rPr>
        <w:t xml:space="preserve">: </w:t>
      </w:r>
      <w:r w:rsidR="00BC6431" w:rsidRPr="00BC6431">
        <w:rPr>
          <w:rFonts w:ascii="Arial" w:hAnsi="Arial" w:cs="Arial"/>
          <w:sz w:val="20"/>
          <w:szCs w:val="20"/>
        </w:rPr>
        <w:t>Extension Participation: A negative coefficient (-0.322) with a significance of p &lt; 0.01 indicates that participation in extension activities significantly reduces the likelihood of being in Category 2 compared to Category 0.</w:t>
      </w:r>
      <w:r w:rsidR="00B04B12" w:rsidRPr="000B1E5B">
        <w:rPr>
          <w:rFonts w:ascii="Arial" w:hAnsi="Arial" w:cs="Arial"/>
          <w:sz w:val="20"/>
          <w:szCs w:val="20"/>
        </w:rPr>
        <w:t xml:space="preserve"> </w:t>
      </w:r>
      <w:r w:rsidR="00BC6431" w:rsidRPr="00BC6431">
        <w:rPr>
          <w:rFonts w:ascii="Arial" w:hAnsi="Arial" w:cs="Arial"/>
          <w:sz w:val="20"/>
          <w:szCs w:val="20"/>
        </w:rPr>
        <w:t>Formal In-kind Transfer: A positive coefficient (&lt;0.001) with a significance of p &lt; 0.01 suggests that receiving formal in-kind transfers increases the likelihood of being in Category 2.</w:t>
      </w:r>
      <w:r w:rsidR="00B04B12" w:rsidRPr="000B1E5B">
        <w:rPr>
          <w:rFonts w:ascii="Arial" w:hAnsi="Arial" w:cs="Arial"/>
          <w:sz w:val="20"/>
          <w:szCs w:val="20"/>
        </w:rPr>
        <w:t xml:space="preserve"> </w:t>
      </w:r>
      <w:r w:rsidR="00BC6431" w:rsidRPr="00BC6431">
        <w:rPr>
          <w:rFonts w:ascii="Arial" w:hAnsi="Arial" w:cs="Arial"/>
          <w:sz w:val="20"/>
          <w:szCs w:val="20"/>
        </w:rPr>
        <w:t>Interpersonal Cosmopolite: A negative coefficient (-0.568) with a significance of p &lt; 0.01 indicates that greater interpersonal connections significantly reduce the likelihood of being in Category 2.</w:t>
      </w:r>
      <w:r w:rsidR="00B04B12" w:rsidRPr="000B1E5B">
        <w:rPr>
          <w:rFonts w:ascii="Arial" w:hAnsi="Arial" w:cs="Arial"/>
          <w:sz w:val="20"/>
          <w:szCs w:val="20"/>
        </w:rPr>
        <w:t xml:space="preserve"> </w:t>
      </w:r>
      <w:r w:rsidR="00BC6431" w:rsidRPr="00BC6431">
        <w:rPr>
          <w:rFonts w:ascii="Arial" w:hAnsi="Arial" w:cs="Arial"/>
          <w:sz w:val="20"/>
          <w:szCs w:val="20"/>
        </w:rPr>
        <w:t xml:space="preserve">Household Education Years: A negative coefficient (-0.852) with marginal significance (p &lt; 0.10) suggests that more years of household education tend to reduce the likelihood of being in Category </w:t>
      </w:r>
      <w:r w:rsidR="00B04B12" w:rsidRPr="000B1E5B">
        <w:rPr>
          <w:rFonts w:ascii="Arial" w:hAnsi="Arial" w:cs="Arial"/>
          <w:sz w:val="20"/>
          <w:szCs w:val="20"/>
        </w:rPr>
        <w:t xml:space="preserve">2. </w:t>
      </w:r>
      <w:r w:rsidR="00BC6431" w:rsidRPr="00BC6431">
        <w:rPr>
          <w:rFonts w:ascii="Arial" w:hAnsi="Arial" w:cs="Arial"/>
          <w:sz w:val="20"/>
          <w:szCs w:val="20"/>
        </w:rPr>
        <w:t>Indebtedness: A positive coefficient (1.024) with a significance of p &lt; 0.10 implies that higher indebtedness increases the likelihood of being severely food insecure (Category 2)</w:t>
      </w:r>
      <w:r w:rsidR="00B04B12" w:rsidRPr="000B1E5B">
        <w:rPr>
          <w:rFonts w:ascii="Arial" w:hAnsi="Arial" w:cs="Arial"/>
          <w:sz w:val="20"/>
          <w:szCs w:val="20"/>
        </w:rPr>
        <w:t>.</w:t>
      </w:r>
      <w:r w:rsidR="00BA35BF">
        <w:rPr>
          <w:rFonts w:ascii="Arial" w:hAnsi="Arial" w:cs="Arial"/>
          <w:sz w:val="20"/>
          <w:szCs w:val="20"/>
        </w:rPr>
        <w:t xml:space="preserve"> </w:t>
      </w:r>
      <w:r w:rsidR="00BA35BF" w:rsidRPr="00BA35BF">
        <w:rPr>
          <w:rFonts w:ascii="Arial" w:hAnsi="Arial" w:cs="Arial"/>
          <w:sz w:val="20"/>
          <w:szCs w:val="20"/>
        </w:rPr>
        <w:t>The forest plot</w:t>
      </w:r>
      <w:r w:rsidR="00BA35BF">
        <w:rPr>
          <w:rFonts w:ascii="Arial" w:hAnsi="Arial" w:cs="Arial"/>
          <w:sz w:val="20"/>
          <w:szCs w:val="20"/>
        </w:rPr>
        <w:t xml:space="preserve"> (Fig. 1.)</w:t>
      </w:r>
      <w:r w:rsidR="00BA35BF" w:rsidRPr="00BA35BF">
        <w:rPr>
          <w:rFonts w:ascii="Arial" w:hAnsi="Arial" w:cs="Arial"/>
          <w:sz w:val="20"/>
          <w:szCs w:val="20"/>
        </w:rPr>
        <w:t xml:space="preserve"> succinctly illustrates the odds ratios for variables influencing food insecurity among households, comparing food-secure (Category 0) to moderately food-insecure (Category 1) and severely food-insecure (Category 2).</w:t>
      </w:r>
      <w:r w:rsidR="00BA35BF" w:rsidRPr="00BA35BF">
        <w:rPr>
          <w:rFonts w:ascii="Times New Roman" w:eastAsia="Times New Roman" w:hAnsi="Times New Roman" w:cs="Times New Roman"/>
          <w:kern w:val="0"/>
          <w:sz w:val="24"/>
          <w:szCs w:val="24"/>
          <w:lang w:eastAsia="en-IN"/>
          <w14:ligatures w14:val="none"/>
        </w:rPr>
        <w:t xml:space="preserve"> </w:t>
      </w:r>
      <w:r w:rsidR="00BA35BF" w:rsidRPr="00BA35BF">
        <w:rPr>
          <w:rFonts w:ascii="Arial" w:hAnsi="Arial" w:cs="Arial"/>
          <w:sz w:val="20"/>
          <w:szCs w:val="20"/>
        </w:rPr>
        <w:t xml:space="preserve">The odds ratios from the multinomial logistic regression model provide valuable insights into the likelihood of food insecurity based on various predictors. For instance, higher </w:t>
      </w:r>
      <w:r w:rsidR="00BA35BF" w:rsidRPr="00FF1BD0">
        <w:rPr>
          <w:rFonts w:ascii="Arial" w:hAnsi="Arial" w:cs="Arial"/>
          <w:sz w:val="20"/>
          <w:szCs w:val="20"/>
        </w:rPr>
        <w:t>indebtedness</w:t>
      </w:r>
      <w:r w:rsidR="00BA35BF" w:rsidRPr="00BA35BF">
        <w:rPr>
          <w:rFonts w:ascii="Arial" w:hAnsi="Arial" w:cs="Arial"/>
          <w:sz w:val="20"/>
          <w:szCs w:val="20"/>
        </w:rPr>
        <w:t xml:space="preserve"> significantly increases the probability of both moderate and severe food insecurity, with odds ratios of 3.178 (Category 0 to 1) and 2.786 (Category 0 to 2), respectively. Conversely, Total Cultivated Land (odds ratio: 0.087 for Category 0 to 1) and Interpersonal Cosmopolite (odds ratios: 0.597 for Category 0 to 1 and 0.567 for Category 0 to 2) show a protective effect by reducing the likelihood of food insecurity. These results illustrate how socio-economic and interpersonal factors influence food security, with higher odds ratios highlighting risks and lower values indicating mitigating factors, which can inform targeted interventions.</w:t>
      </w:r>
    </w:p>
    <w:p w14:paraId="1C6ACE22" w14:textId="0B8A11E5" w:rsidR="00BA35BF" w:rsidRPr="00BA35BF" w:rsidRDefault="00BA35BF" w:rsidP="00BA35BF">
      <w:pPr>
        <w:jc w:val="both"/>
        <w:rPr>
          <w:rFonts w:ascii="Arial" w:hAnsi="Arial" w:cs="Arial"/>
          <w:sz w:val="20"/>
          <w:szCs w:val="20"/>
        </w:rPr>
      </w:pPr>
      <w:r w:rsidRPr="00BA35BF">
        <w:rPr>
          <w:rFonts w:ascii="Arial" w:hAnsi="Arial" w:cs="Arial"/>
          <w:sz w:val="20"/>
          <w:szCs w:val="20"/>
        </w:rPr>
        <w:t xml:space="preserve"> Significant predictors, such as Indebtedness, Total Cultivated Land, and Interpersonal Cosmopolite, reveal contrasting effects: while higher indebtedness increases food insecurity likelihood, larger </w:t>
      </w:r>
      <w:r w:rsidRPr="00BA35BF">
        <w:rPr>
          <w:rFonts w:ascii="Arial" w:hAnsi="Arial" w:cs="Arial"/>
          <w:sz w:val="20"/>
          <w:szCs w:val="20"/>
        </w:rPr>
        <w:lastRenderedPageBreak/>
        <w:t>cultivated landholdings and stronger interpersonal connections reduce the risk. Confidence intervals, shown as error bars, offer a sense of the reliability of these estimates, with non-overlapping intervals indicating stronger predictive certainty. This visualization highlights crucial socio-economic drivers of food insecurity, providing valuable insights for targeted interventions and informed policymaking.</w:t>
      </w:r>
    </w:p>
    <w:p w14:paraId="5FBC0834" w14:textId="4ADD2BE6" w:rsidR="00BC6431" w:rsidRDefault="00AA3BD3" w:rsidP="00B04B12">
      <w:pPr>
        <w:jc w:val="both"/>
        <w:rPr>
          <w:rFonts w:ascii="Arial" w:hAnsi="Arial" w:cs="Arial"/>
          <w:sz w:val="20"/>
          <w:szCs w:val="20"/>
        </w:rPr>
      </w:pPr>
      <w:r w:rsidRPr="00BA35BF">
        <w:rPr>
          <w:b/>
          <w:bCs/>
          <w:noProof/>
        </w:rPr>
        <w:drawing>
          <wp:anchor distT="0" distB="0" distL="114300" distR="114300" simplePos="0" relativeHeight="251662336" behindDoc="0" locked="0" layoutInCell="1" allowOverlap="1" wp14:anchorId="49E4C02F" wp14:editId="4061060D">
            <wp:simplePos x="0" y="0"/>
            <wp:positionH relativeFrom="margin">
              <wp:posOffset>-95250</wp:posOffset>
            </wp:positionH>
            <wp:positionV relativeFrom="paragraph">
              <wp:posOffset>114935</wp:posOffset>
            </wp:positionV>
            <wp:extent cx="5943600" cy="2724150"/>
            <wp:effectExtent l="0" t="0" r="0" b="0"/>
            <wp:wrapThrough wrapText="bothSides">
              <wp:wrapPolygon edited="0">
                <wp:start x="0" y="0"/>
                <wp:lineTo x="0" y="21449"/>
                <wp:lineTo x="19385" y="21449"/>
                <wp:lineTo x="19385" y="4834"/>
                <wp:lineTo x="20215" y="4834"/>
                <wp:lineTo x="21531" y="3323"/>
                <wp:lineTo x="21531" y="1359"/>
                <wp:lineTo x="21254" y="1057"/>
                <wp:lineTo x="19385" y="0"/>
                <wp:lineTo x="0" y="0"/>
              </wp:wrapPolygon>
            </wp:wrapThrough>
            <wp:docPr id="13497977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1BB073" w14:textId="77777777" w:rsidR="00AA3BD3" w:rsidRDefault="00AA3BD3" w:rsidP="008C5E74">
      <w:pPr>
        <w:tabs>
          <w:tab w:val="left" w:pos="3310"/>
        </w:tabs>
        <w:jc w:val="center"/>
        <w:rPr>
          <w:rFonts w:ascii="Arial" w:hAnsi="Arial" w:cs="Arial"/>
          <w:b/>
          <w:bCs/>
          <w:sz w:val="20"/>
          <w:szCs w:val="20"/>
        </w:rPr>
      </w:pPr>
    </w:p>
    <w:p w14:paraId="3A275EAB" w14:textId="77777777" w:rsidR="00AA3BD3" w:rsidRDefault="00AA3BD3" w:rsidP="008C5E74">
      <w:pPr>
        <w:tabs>
          <w:tab w:val="left" w:pos="3310"/>
        </w:tabs>
        <w:jc w:val="center"/>
        <w:rPr>
          <w:rFonts w:ascii="Arial" w:hAnsi="Arial" w:cs="Arial"/>
          <w:b/>
          <w:bCs/>
          <w:sz w:val="20"/>
          <w:szCs w:val="20"/>
        </w:rPr>
      </w:pPr>
    </w:p>
    <w:p w14:paraId="092B7526" w14:textId="77777777" w:rsidR="00AA3BD3" w:rsidRDefault="00AA3BD3" w:rsidP="008C5E74">
      <w:pPr>
        <w:tabs>
          <w:tab w:val="left" w:pos="3310"/>
        </w:tabs>
        <w:jc w:val="center"/>
        <w:rPr>
          <w:rFonts w:ascii="Arial" w:hAnsi="Arial" w:cs="Arial"/>
          <w:b/>
          <w:bCs/>
          <w:sz w:val="20"/>
          <w:szCs w:val="20"/>
        </w:rPr>
      </w:pPr>
    </w:p>
    <w:p w14:paraId="3CC6068A" w14:textId="77777777" w:rsidR="00AA3BD3" w:rsidRDefault="00AA3BD3" w:rsidP="008C5E74">
      <w:pPr>
        <w:tabs>
          <w:tab w:val="left" w:pos="3310"/>
        </w:tabs>
        <w:jc w:val="center"/>
        <w:rPr>
          <w:rFonts w:ascii="Arial" w:hAnsi="Arial" w:cs="Arial"/>
          <w:b/>
          <w:bCs/>
          <w:sz w:val="20"/>
          <w:szCs w:val="20"/>
        </w:rPr>
      </w:pPr>
    </w:p>
    <w:p w14:paraId="53616DFE" w14:textId="77777777" w:rsidR="00AA3BD3" w:rsidRDefault="00AA3BD3" w:rsidP="008C5E74">
      <w:pPr>
        <w:tabs>
          <w:tab w:val="left" w:pos="3310"/>
        </w:tabs>
        <w:jc w:val="center"/>
        <w:rPr>
          <w:rFonts w:ascii="Arial" w:hAnsi="Arial" w:cs="Arial"/>
          <w:b/>
          <w:bCs/>
          <w:sz w:val="20"/>
          <w:szCs w:val="20"/>
        </w:rPr>
      </w:pPr>
    </w:p>
    <w:p w14:paraId="4355006E" w14:textId="77777777" w:rsidR="00AA3BD3" w:rsidRDefault="00AA3BD3" w:rsidP="008C5E74">
      <w:pPr>
        <w:tabs>
          <w:tab w:val="left" w:pos="3310"/>
        </w:tabs>
        <w:jc w:val="center"/>
        <w:rPr>
          <w:rFonts w:ascii="Arial" w:hAnsi="Arial" w:cs="Arial"/>
          <w:b/>
          <w:bCs/>
          <w:sz w:val="20"/>
          <w:szCs w:val="20"/>
        </w:rPr>
      </w:pPr>
    </w:p>
    <w:p w14:paraId="70285461" w14:textId="77777777" w:rsidR="00AA3BD3" w:rsidRDefault="00AA3BD3" w:rsidP="008C5E74">
      <w:pPr>
        <w:tabs>
          <w:tab w:val="left" w:pos="3310"/>
        </w:tabs>
        <w:jc w:val="center"/>
        <w:rPr>
          <w:rFonts w:ascii="Arial" w:hAnsi="Arial" w:cs="Arial"/>
          <w:b/>
          <w:bCs/>
          <w:sz w:val="20"/>
          <w:szCs w:val="20"/>
        </w:rPr>
      </w:pPr>
    </w:p>
    <w:p w14:paraId="0C9B345F" w14:textId="77777777" w:rsidR="00AA3BD3" w:rsidRDefault="00AA3BD3" w:rsidP="008C5E74">
      <w:pPr>
        <w:tabs>
          <w:tab w:val="left" w:pos="3310"/>
        </w:tabs>
        <w:jc w:val="center"/>
        <w:rPr>
          <w:rFonts w:ascii="Arial" w:hAnsi="Arial" w:cs="Arial"/>
          <w:b/>
          <w:bCs/>
          <w:sz w:val="20"/>
          <w:szCs w:val="20"/>
        </w:rPr>
      </w:pPr>
    </w:p>
    <w:p w14:paraId="0E2F3410" w14:textId="77777777" w:rsidR="00AA3BD3" w:rsidRDefault="00AA3BD3" w:rsidP="008C5E74">
      <w:pPr>
        <w:tabs>
          <w:tab w:val="left" w:pos="3310"/>
        </w:tabs>
        <w:jc w:val="center"/>
        <w:rPr>
          <w:rFonts w:ascii="Arial" w:hAnsi="Arial" w:cs="Arial"/>
          <w:b/>
          <w:bCs/>
          <w:sz w:val="20"/>
          <w:szCs w:val="20"/>
        </w:rPr>
      </w:pPr>
    </w:p>
    <w:p w14:paraId="69E8B0E8" w14:textId="797164A6" w:rsidR="008C5E74" w:rsidRPr="00BA35BF" w:rsidRDefault="008C5E74" w:rsidP="008C5E74">
      <w:pPr>
        <w:tabs>
          <w:tab w:val="left" w:pos="3310"/>
        </w:tabs>
        <w:jc w:val="center"/>
        <w:rPr>
          <w:rFonts w:ascii="Arial" w:hAnsi="Arial" w:cs="Arial"/>
          <w:b/>
          <w:bCs/>
          <w:sz w:val="20"/>
          <w:szCs w:val="20"/>
        </w:rPr>
      </w:pPr>
      <w:r w:rsidRPr="00BA35BF">
        <w:rPr>
          <w:rFonts w:ascii="Arial" w:hAnsi="Arial" w:cs="Arial"/>
          <w:b/>
          <w:bCs/>
          <w:sz w:val="20"/>
          <w:szCs w:val="20"/>
        </w:rPr>
        <w:t xml:space="preserve">Fig. 1. </w:t>
      </w:r>
      <w:r w:rsidR="00BA35BF" w:rsidRPr="00BA35BF">
        <w:rPr>
          <w:rFonts w:ascii="Arial" w:hAnsi="Arial" w:cs="Arial"/>
          <w:b/>
          <w:bCs/>
          <w:sz w:val="20"/>
          <w:szCs w:val="20"/>
        </w:rPr>
        <w:t>Visualizing the Drivers of Food Insecurity: Odds Ratios at a Glance</w:t>
      </w:r>
    </w:p>
    <w:p w14:paraId="7A2B25E6" w14:textId="6D4E81E0" w:rsidR="00B04B12" w:rsidRPr="000B1E5B" w:rsidRDefault="00B04B12" w:rsidP="00B04B12">
      <w:pPr>
        <w:jc w:val="both"/>
        <w:rPr>
          <w:rFonts w:ascii="Arial" w:hAnsi="Arial" w:cs="Arial"/>
          <w:b/>
          <w:bCs/>
          <w:spacing w:val="-4"/>
        </w:rPr>
      </w:pPr>
      <w:r w:rsidRPr="000B1E5B">
        <w:rPr>
          <w:rFonts w:ascii="Arial" w:hAnsi="Arial" w:cs="Arial"/>
          <w:b/>
          <w:bCs/>
          <w:spacing w:val="-4"/>
        </w:rPr>
        <w:t>Table</w:t>
      </w:r>
      <w:r w:rsidRPr="000B1E5B">
        <w:rPr>
          <w:rFonts w:ascii="Arial" w:hAnsi="Arial" w:cs="Arial"/>
          <w:b/>
          <w:bCs/>
          <w:spacing w:val="-10"/>
        </w:rPr>
        <w:t xml:space="preserve"> </w:t>
      </w:r>
      <w:r w:rsidR="009357BA">
        <w:rPr>
          <w:rFonts w:ascii="Arial" w:hAnsi="Arial" w:cs="Arial"/>
          <w:b/>
          <w:bCs/>
          <w:spacing w:val="-4"/>
        </w:rPr>
        <w:t>5</w:t>
      </w:r>
      <w:r w:rsidRPr="000B1E5B">
        <w:rPr>
          <w:rFonts w:ascii="Arial" w:hAnsi="Arial" w:cs="Arial"/>
          <w:b/>
          <w:bCs/>
          <w:spacing w:val="-4"/>
        </w:rPr>
        <w:t>:</w:t>
      </w:r>
      <w:r w:rsidRPr="000B1E5B">
        <w:rPr>
          <w:rFonts w:ascii="Arial" w:hAnsi="Arial" w:cs="Arial"/>
          <w:b/>
          <w:bCs/>
          <w:spacing w:val="-9"/>
        </w:rPr>
        <w:t xml:space="preserve"> </w:t>
      </w:r>
      <w:r w:rsidR="00A87045" w:rsidRPr="00A87045">
        <w:rPr>
          <w:rFonts w:ascii="Arial" w:hAnsi="Arial" w:cs="Arial"/>
          <w:b/>
          <w:bCs/>
          <w:spacing w:val="-9"/>
        </w:rPr>
        <w:t>Classification Accuracy of the Food Insecurity Predictive Model</w:t>
      </w:r>
    </w:p>
    <w:tbl>
      <w:tblPr>
        <w:tblStyle w:val="TableGrid"/>
        <w:tblW w:w="0" w:type="auto"/>
        <w:tblLayout w:type="fixed"/>
        <w:tblLook w:val="01E0" w:firstRow="1" w:lastRow="1" w:firstColumn="1" w:lastColumn="1" w:noHBand="0" w:noVBand="0"/>
      </w:tblPr>
      <w:tblGrid>
        <w:gridCol w:w="2349"/>
        <w:gridCol w:w="1495"/>
        <w:gridCol w:w="1508"/>
        <w:gridCol w:w="1495"/>
        <w:gridCol w:w="2103"/>
      </w:tblGrid>
      <w:tr w:rsidR="00B851E4" w:rsidRPr="000B1E5B" w14:paraId="37E64DA2" w14:textId="77777777" w:rsidTr="00B851E4">
        <w:trPr>
          <w:trHeight w:val="354"/>
        </w:trPr>
        <w:tc>
          <w:tcPr>
            <w:tcW w:w="2349" w:type="dxa"/>
          </w:tcPr>
          <w:p w14:paraId="63F0825A" w14:textId="78E2BF06" w:rsidR="00B851E4" w:rsidRPr="000B1E5B" w:rsidRDefault="00B851E4" w:rsidP="00631402">
            <w:pPr>
              <w:pStyle w:val="TableParagraph"/>
              <w:rPr>
                <w:rFonts w:ascii="Arial" w:hAnsi="Arial" w:cs="Arial"/>
                <w:b/>
                <w:sz w:val="20"/>
                <w:szCs w:val="20"/>
              </w:rPr>
            </w:pPr>
            <w:r w:rsidRPr="000B1E5B">
              <w:rPr>
                <w:rFonts w:ascii="Arial" w:hAnsi="Arial" w:cs="Arial"/>
                <w:b/>
                <w:spacing w:val="-2"/>
                <w:sz w:val="20"/>
                <w:szCs w:val="20"/>
              </w:rPr>
              <w:t>Observed</w:t>
            </w:r>
          </w:p>
        </w:tc>
        <w:tc>
          <w:tcPr>
            <w:tcW w:w="1495" w:type="dxa"/>
          </w:tcPr>
          <w:p w14:paraId="1CC59BED" w14:textId="77777777" w:rsidR="00B851E4" w:rsidRPr="000B1E5B" w:rsidRDefault="00B851E4" w:rsidP="00631402">
            <w:pPr>
              <w:pStyle w:val="TableParagraph"/>
              <w:ind w:left="113"/>
              <w:rPr>
                <w:rFonts w:ascii="Arial" w:hAnsi="Arial" w:cs="Arial"/>
                <w:b/>
                <w:sz w:val="20"/>
                <w:szCs w:val="20"/>
              </w:rPr>
            </w:pPr>
            <w:r w:rsidRPr="000B1E5B">
              <w:rPr>
                <w:rFonts w:ascii="Arial" w:hAnsi="Arial" w:cs="Arial"/>
                <w:b/>
                <w:spacing w:val="-2"/>
                <w:sz w:val="20"/>
                <w:szCs w:val="20"/>
              </w:rPr>
              <w:t>Predicted</w:t>
            </w:r>
          </w:p>
        </w:tc>
        <w:tc>
          <w:tcPr>
            <w:tcW w:w="1508" w:type="dxa"/>
          </w:tcPr>
          <w:p w14:paraId="63FB95C8" w14:textId="77777777" w:rsidR="00B851E4" w:rsidRPr="000B1E5B" w:rsidRDefault="00B851E4" w:rsidP="00631402">
            <w:pPr>
              <w:pStyle w:val="TableParagraph"/>
              <w:spacing w:before="0"/>
              <w:ind w:left="0"/>
              <w:rPr>
                <w:rFonts w:ascii="Arial" w:hAnsi="Arial" w:cs="Arial"/>
                <w:sz w:val="20"/>
                <w:szCs w:val="20"/>
              </w:rPr>
            </w:pPr>
          </w:p>
        </w:tc>
        <w:tc>
          <w:tcPr>
            <w:tcW w:w="1495" w:type="dxa"/>
          </w:tcPr>
          <w:p w14:paraId="45AE0CD2" w14:textId="77777777" w:rsidR="00B851E4" w:rsidRPr="000B1E5B" w:rsidRDefault="00B851E4" w:rsidP="00631402">
            <w:pPr>
              <w:pStyle w:val="TableParagraph"/>
              <w:spacing w:before="0"/>
              <w:ind w:left="0"/>
              <w:rPr>
                <w:rFonts w:ascii="Arial" w:hAnsi="Arial" w:cs="Arial"/>
                <w:sz w:val="20"/>
                <w:szCs w:val="20"/>
              </w:rPr>
            </w:pPr>
          </w:p>
        </w:tc>
        <w:tc>
          <w:tcPr>
            <w:tcW w:w="2103" w:type="dxa"/>
          </w:tcPr>
          <w:p w14:paraId="412EB519" w14:textId="77777777" w:rsidR="00B851E4" w:rsidRPr="000B1E5B" w:rsidRDefault="00B851E4" w:rsidP="00631402">
            <w:pPr>
              <w:pStyle w:val="TableParagraph"/>
              <w:ind w:left="121"/>
              <w:rPr>
                <w:rFonts w:ascii="Arial" w:hAnsi="Arial" w:cs="Arial"/>
                <w:b/>
                <w:sz w:val="20"/>
                <w:szCs w:val="20"/>
              </w:rPr>
            </w:pPr>
            <w:r w:rsidRPr="000B1E5B">
              <w:rPr>
                <w:rFonts w:ascii="Arial" w:hAnsi="Arial" w:cs="Arial"/>
                <w:b/>
                <w:spacing w:val="-5"/>
                <w:sz w:val="20"/>
                <w:szCs w:val="20"/>
              </w:rPr>
              <w:t>Percent</w:t>
            </w:r>
            <w:r w:rsidRPr="000B1E5B">
              <w:rPr>
                <w:rFonts w:ascii="Arial" w:hAnsi="Arial" w:cs="Arial"/>
                <w:b/>
                <w:spacing w:val="-4"/>
                <w:sz w:val="20"/>
                <w:szCs w:val="20"/>
              </w:rPr>
              <w:t xml:space="preserve"> </w:t>
            </w:r>
            <w:r w:rsidRPr="000B1E5B">
              <w:rPr>
                <w:rFonts w:ascii="Arial" w:hAnsi="Arial" w:cs="Arial"/>
                <w:b/>
                <w:spacing w:val="-2"/>
                <w:sz w:val="20"/>
                <w:szCs w:val="20"/>
              </w:rPr>
              <w:t>Correct</w:t>
            </w:r>
          </w:p>
        </w:tc>
      </w:tr>
      <w:tr w:rsidR="00B851E4" w:rsidRPr="000B1E5B" w14:paraId="38B556D5" w14:textId="77777777" w:rsidTr="00B851E4">
        <w:trPr>
          <w:trHeight w:val="342"/>
        </w:trPr>
        <w:tc>
          <w:tcPr>
            <w:tcW w:w="2349" w:type="dxa"/>
          </w:tcPr>
          <w:p w14:paraId="193D199E" w14:textId="77777777" w:rsidR="00B851E4" w:rsidRPr="000B1E5B" w:rsidRDefault="00B851E4" w:rsidP="00631402">
            <w:pPr>
              <w:pStyle w:val="TableParagraph"/>
              <w:spacing w:before="0"/>
              <w:ind w:left="0"/>
              <w:rPr>
                <w:rFonts w:ascii="Arial" w:hAnsi="Arial" w:cs="Arial"/>
                <w:sz w:val="20"/>
                <w:szCs w:val="20"/>
              </w:rPr>
            </w:pPr>
          </w:p>
        </w:tc>
        <w:tc>
          <w:tcPr>
            <w:tcW w:w="1495" w:type="dxa"/>
          </w:tcPr>
          <w:p w14:paraId="580C8D1A"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4"/>
                <w:sz w:val="20"/>
                <w:szCs w:val="20"/>
              </w:rPr>
              <w:t xml:space="preserve">Category </w:t>
            </w:r>
            <w:r w:rsidRPr="000B1E5B">
              <w:rPr>
                <w:rFonts w:ascii="Arial" w:hAnsi="Arial" w:cs="Arial"/>
                <w:spacing w:val="-10"/>
                <w:sz w:val="20"/>
                <w:szCs w:val="20"/>
              </w:rPr>
              <w:t>0</w:t>
            </w:r>
          </w:p>
        </w:tc>
        <w:tc>
          <w:tcPr>
            <w:tcW w:w="1508" w:type="dxa"/>
          </w:tcPr>
          <w:p w14:paraId="748DFBF4" w14:textId="4E51A2B6" w:rsidR="00B851E4" w:rsidRPr="000B1E5B" w:rsidRDefault="00B851E4" w:rsidP="00631402">
            <w:pPr>
              <w:pStyle w:val="TableParagraph"/>
              <w:ind w:left="121"/>
              <w:rPr>
                <w:rFonts w:ascii="Arial" w:hAnsi="Arial" w:cs="Arial"/>
                <w:sz w:val="20"/>
                <w:szCs w:val="20"/>
              </w:rPr>
            </w:pPr>
            <w:r w:rsidRPr="000B1E5B">
              <w:rPr>
                <w:rFonts w:ascii="Arial" w:hAnsi="Arial" w:cs="Arial"/>
                <w:spacing w:val="-4"/>
                <w:sz w:val="20"/>
                <w:szCs w:val="20"/>
              </w:rPr>
              <w:t xml:space="preserve">Category </w:t>
            </w:r>
            <w:r w:rsidRPr="000B1E5B">
              <w:rPr>
                <w:rFonts w:ascii="Arial" w:hAnsi="Arial" w:cs="Arial"/>
                <w:spacing w:val="-10"/>
                <w:sz w:val="20"/>
                <w:szCs w:val="20"/>
              </w:rPr>
              <w:t>1</w:t>
            </w:r>
          </w:p>
        </w:tc>
        <w:tc>
          <w:tcPr>
            <w:tcW w:w="1495" w:type="dxa"/>
          </w:tcPr>
          <w:p w14:paraId="0607B3DC"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4"/>
                <w:sz w:val="20"/>
                <w:szCs w:val="20"/>
              </w:rPr>
              <w:t xml:space="preserve">Category </w:t>
            </w:r>
            <w:r w:rsidRPr="000B1E5B">
              <w:rPr>
                <w:rFonts w:ascii="Arial" w:hAnsi="Arial" w:cs="Arial"/>
                <w:spacing w:val="-10"/>
                <w:sz w:val="20"/>
                <w:szCs w:val="20"/>
              </w:rPr>
              <w:t>2</w:t>
            </w:r>
          </w:p>
        </w:tc>
        <w:tc>
          <w:tcPr>
            <w:tcW w:w="2103" w:type="dxa"/>
          </w:tcPr>
          <w:p w14:paraId="708BA7E8" w14:textId="77777777" w:rsidR="00B851E4" w:rsidRPr="000B1E5B" w:rsidRDefault="00B851E4" w:rsidP="00631402">
            <w:pPr>
              <w:pStyle w:val="TableParagraph"/>
              <w:spacing w:before="0"/>
              <w:ind w:left="0"/>
              <w:rPr>
                <w:rFonts w:ascii="Arial" w:hAnsi="Arial" w:cs="Arial"/>
                <w:sz w:val="20"/>
                <w:szCs w:val="20"/>
              </w:rPr>
            </w:pPr>
          </w:p>
        </w:tc>
      </w:tr>
      <w:tr w:rsidR="00B851E4" w:rsidRPr="000B1E5B" w14:paraId="3EAD3E5A" w14:textId="77777777" w:rsidTr="00B851E4">
        <w:trPr>
          <w:trHeight w:val="354"/>
        </w:trPr>
        <w:tc>
          <w:tcPr>
            <w:tcW w:w="2349" w:type="dxa"/>
          </w:tcPr>
          <w:p w14:paraId="1FD1046B" w14:textId="77777777" w:rsidR="00B851E4" w:rsidRPr="000B1E5B" w:rsidRDefault="00B851E4" w:rsidP="00631402">
            <w:pPr>
              <w:pStyle w:val="TableParagraph"/>
              <w:rPr>
                <w:rFonts w:ascii="Arial" w:hAnsi="Arial" w:cs="Arial"/>
                <w:sz w:val="20"/>
                <w:szCs w:val="20"/>
              </w:rPr>
            </w:pPr>
            <w:r w:rsidRPr="000B1E5B">
              <w:rPr>
                <w:rFonts w:ascii="Arial" w:hAnsi="Arial" w:cs="Arial"/>
                <w:spacing w:val="-4"/>
                <w:sz w:val="20"/>
                <w:szCs w:val="20"/>
              </w:rPr>
              <w:t xml:space="preserve">Category </w:t>
            </w:r>
            <w:r w:rsidRPr="000B1E5B">
              <w:rPr>
                <w:rFonts w:ascii="Arial" w:hAnsi="Arial" w:cs="Arial"/>
                <w:spacing w:val="-10"/>
                <w:sz w:val="20"/>
                <w:szCs w:val="20"/>
              </w:rPr>
              <w:t>0</w:t>
            </w:r>
          </w:p>
        </w:tc>
        <w:tc>
          <w:tcPr>
            <w:tcW w:w="1495" w:type="dxa"/>
          </w:tcPr>
          <w:p w14:paraId="30A34AF3"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5"/>
                <w:sz w:val="20"/>
                <w:szCs w:val="20"/>
              </w:rPr>
              <w:t>60</w:t>
            </w:r>
          </w:p>
        </w:tc>
        <w:tc>
          <w:tcPr>
            <w:tcW w:w="1508" w:type="dxa"/>
          </w:tcPr>
          <w:p w14:paraId="037F0A19"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5"/>
                <w:sz w:val="20"/>
                <w:szCs w:val="20"/>
              </w:rPr>
              <w:t>14</w:t>
            </w:r>
          </w:p>
        </w:tc>
        <w:tc>
          <w:tcPr>
            <w:tcW w:w="1495" w:type="dxa"/>
          </w:tcPr>
          <w:p w14:paraId="3BB30EF0"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10"/>
                <w:sz w:val="20"/>
                <w:szCs w:val="20"/>
              </w:rPr>
              <w:t>2</w:t>
            </w:r>
          </w:p>
        </w:tc>
        <w:tc>
          <w:tcPr>
            <w:tcW w:w="2103" w:type="dxa"/>
          </w:tcPr>
          <w:p w14:paraId="5F50ED52"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2"/>
                <w:sz w:val="20"/>
                <w:szCs w:val="20"/>
              </w:rPr>
              <w:t>78.9%</w:t>
            </w:r>
          </w:p>
        </w:tc>
      </w:tr>
      <w:tr w:rsidR="00B851E4" w:rsidRPr="000B1E5B" w14:paraId="66830785" w14:textId="77777777" w:rsidTr="00B851E4">
        <w:trPr>
          <w:trHeight w:val="342"/>
        </w:trPr>
        <w:tc>
          <w:tcPr>
            <w:tcW w:w="2349" w:type="dxa"/>
          </w:tcPr>
          <w:p w14:paraId="173DDB30" w14:textId="77777777" w:rsidR="00B851E4" w:rsidRPr="000B1E5B" w:rsidRDefault="00B851E4" w:rsidP="00631402">
            <w:pPr>
              <w:pStyle w:val="TableParagraph"/>
              <w:rPr>
                <w:rFonts w:ascii="Arial" w:hAnsi="Arial" w:cs="Arial"/>
                <w:sz w:val="20"/>
                <w:szCs w:val="20"/>
              </w:rPr>
            </w:pPr>
            <w:r w:rsidRPr="000B1E5B">
              <w:rPr>
                <w:rFonts w:ascii="Arial" w:hAnsi="Arial" w:cs="Arial"/>
                <w:spacing w:val="-4"/>
                <w:sz w:val="20"/>
                <w:szCs w:val="20"/>
              </w:rPr>
              <w:t xml:space="preserve">Category </w:t>
            </w:r>
            <w:r w:rsidRPr="000B1E5B">
              <w:rPr>
                <w:rFonts w:ascii="Arial" w:hAnsi="Arial" w:cs="Arial"/>
                <w:spacing w:val="-10"/>
                <w:sz w:val="20"/>
                <w:szCs w:val="20"/>
              </w:rPr>
              <w:t>1</w:t>
            </w:r>
          </w:p>
        </w:tc>
        <w:tc>
          <w:tcPr>
            <w:tcW w:w="1495" w:type="dxa"/>
          </w:tcPr>
          <w:p w14:paraId="3B0E87C5"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10"/>
                <w:sz w:val="20"/>
                <w:szCs w:val="20"/>
              </w:rPr>
              <w:t>9</w:t>
            </w:r>
          </w:p>
        </w:tc>
        <w:tc>
          <w:tcPr>
            <w:tcW w:w="1508" w:type="dxa"/>
          </w:tcPr>
          <w:p w14:paraId="377B6769"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5"/>
                <w:sz w:val="20"/>
                <w:szCs w:val="20"/>
              </w:rPr>
              <w:t>165</w:t>
            </w:r>
          </w:p>
        </w:tc>
        <w:tc>
          <w:tcPr>
            <w:tcW w:w="1495" w:type="dxa"/>
          </w:tcPr>
          <w:p w14:paraId="143AEEA1"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10"/>
                <w:sz w:val="20"/>
                <w:szCs w:val="20"/>
              </w:rPr>
              <w:t>6</w:t>
            </w:r>
          </w:p>
        </w:tc>
        <w:tc>
          <w:tcPr>
            <w:tcW w:w="2103" w:type="dxa"/>
          </w:tcPr>
          <w:p w14:paraId="33E154E8"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2"/>
                <w:sz w:val="20"/>
                <w:szCs w:val="20"/>
              </w:rPr>
              <w:t>91.7%</w:t>
            </w:r>
          </w:p>
        </w:tc>
      </w:tr>
      <w:tr w:rsidR="00B851E4" w:rsidRPr="000B1E5B" w14:paraId="7AAF1670" w14:textId="77777777" w:rsidTr="00B851E4">
        <w:trPr>
          <w:trHeight w:val="354"/>
        </w:trPr>
        <w:tc>
          <w:tcPr>
            <w:tcW w:w="2349" w:type="dxa"/>
          </w:tcPr>
          <w:p w14:paraId="4BC45ED8" w14:textId="77777777" w:rsidR="00B851E4" w:rsidRPr="000B1E5B" w:rsidRDefault="00B851E4" w:rsidP="00631402">
            <w:pPr>
              <w:pStyle w:val="TableParagraph"/>
              <w:rPr>
                <w:rFonts w:ascii="Arial" w:hAnsi="Arial" w:cs="Arial"/>
                <w:sz w:val="20"/>
                <w:szCs w:val="20"/>
              </w:rPr>
            </w:pPr>
            <w:r w:rsidRPr="000B1E5B">
              <w:rPr>
                <w:rFonts w:ascii="Arial" w:hAnsi="Arial" w:cs="Arial"/>
                <w:spacing w:val="-4"/>
                <w:sz w:val="20"/>
                <w:szCs w:val="20"/>
              </w:rPr>
              <w:t xml:space="preserve">Category </w:t>
            </w:r>
            <w:r w:rsidRPr="000B1E5B">
              <w:rPr>
                <w:rFonts w:ascii="Arial" w:hAnsi="Arial" w:cs="Arial"/>
                <w:spacing w:val="-10"/>
                <w:sz w:val="20"/>
                <w:szCs w:val="20"/>
              </w:rPr>
              <w:t>2</w:t>
            </w:r>
          </w:p>
        </w:tc>
        <w:tc>
          <w:tcPr>
            <w:tcW w:w="1495" w:type="dxa"/>
          </w:tcPr>
          <w:p w14:paraId="47776307"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10"/>
                <w:sz w:val="20"/>
                <w:szCs w:val="20"/>
              </w:rPr>
              <w:t>3</w:t>
            </w:r>
          </w:p>
        </w:tc>
        <w:tc>
          <w:tcPr>
            <w:tcW w:w="1508" w:type="dxa"/>
          </w:tcPr>
          <w:p w14:paraId="4A1EE639"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5"/>
                <w:sz w:val="20"/>
                <w:szCs w:val="20"/>
              </w:rPr>
              <w:t>23</w:t>
            </w:r>
          </w:p>
        </w:tc>
        <w:tc>
          <w:tcPr>
            <w:tcW w:w="1495" w:type="dxa"/>
          </w:tcPr>
          <w:p w14:paraId="1E72FB04"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5"/>
                <w:sz w:val="20"/>
                <w:szCs w:val="20"/>
              </w:rPr>
              <w:t>17</w:t>
            </w:r>
          </w:p>
        </w:tc>
        <w:tc>
          <w:tcPr>
            <w:tcW w:w="2103" w:type="dxa"/>
          </w:tcPr>
          <w:p w14:paraId="3C1487EB"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2"/>
                <w:sz w:val="20"/>
                <w:szCs w:val="20"/>
              </w:rPr>
              <w:t>39.5%</w:t>
            </w:r>
          </w:p>
        </w:tc>
      </w:tr>
      <w:tr w:rsidR="00B851E4" w:rsidRPr="000B1E5B" w14:paraId="1F49B4FF" w14:textId="77777777" w:rsidTr="00B851E4">
        <w:trPr>
          <w:trHeight w:val="343"/>
        </w:trPr>
        <w:tc>
          <w:tcPr>
            <w:tcW w:w="2349" w:type="dxa"/>
          </w:tcPr>
          <w:p w14:paraId="29FCBF40" w14:textId="77777777" w:rsidR="00B851E4" w:rsidRPr="000B1E5B" w:rsidRDefault="00B851E4" w:rsidP="00631402">
            <w:pPr>
              <w:pStyle w:val="TableParagraph"/>
              <w:rPr>
                <w:rFonts w:ascii="Arial" w:hAnsi="Arial" w:cs="Arial"/>
                <w:sz w:val="20"/>
                <w:szCs w:val="20"/>
              </w:rPr>
            </w:pPr>
            <w:r w:rsidRPr="000B1E5B">
              <w:rPr>
                <w:rFonts w:ascii="Arial" w:hAnsi="Arial" w:cs="Arial"/>
                <w:spacing w:val="-4"/>
                <w:sz w:val="20"/>
                <w:szCs w:val="20"/>
              </w:rPr>
              <w:t xml:space="preserve">Overall </w:t>
            </w:r>
            <w:r w:rsidRPr="000B1E5B">
              <w:rPr>
                <w:rFonts w:ascii="Arial" w:hAnsi="Arial" w:cs="Arial"/>
                <w:spacing w:val="-2"/>
                <w:sz w:val="20"/>
                <w:szCs w:val="20"/>
              </w:rPr>
              <w:t>Percentage</w:t>
            </w:r>
          </w:p>
        </w:tc>
        <w:tc>
          <w:tcPr>
            <w:tcW w:w="1495" w:type="dxa"/>
          </w:tcPr>
          <w:p w14:paraId="6041B7C4"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2"/>
                <w:sz w:val="20"/>
                <w:szCs w:val="20"/>
              </w:rPr>
              <w:t>24.1%</w:t>
            </w:r>
          </w:p>
        </w:tc>
        <w:tc>
          <w:tcPr>
            <w:tcW w:w="1508" w:type="dxa"/>
          </w:tcPr>
          <w:p w14:paraId="5433B8E9"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2"/>
                <w:sz w:val="20"/>
                <w:szCs w:val="20"/>
              </w:rPr>
              <w:t>67.6%</w:t>
            </w:r>
          </w:p>
        </w:tc>
        <w:tc>
          <w:tcPr>
            <w:tcW w:w="1495" w:type="dxa"/>
          </w:tcPr>
          <w:p w14:paraId="5F49B343"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4"/>
                <w:sz w:val="20"/>
                <w:szCs w:val="20"/>
              </w:rPr>
              <w:t>8.4%</w:t>
            </w:r>
          </w:p>
        </w:tc>
        <w:tc>
          <w:tcPr>
            <w:tcW w:w="2103" w:type="dxa"/>
          </w:tcPr>
          <w:p w14:paraId="296EEB68"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2"/>
                <w:sz w:val="20"/>
                <w:szCs w:val="20"/>
              </w:rPr>
              <w:t>80.9%</w:t>
            </w:r>
          </w:p>
        </w:tc>
      </w:tr>
    </w:tbl>
    <w:p w14:paraId="71EB1E26" w14:textId="77777777" w:rsidR="00B851E4" w:rsidRPr="00BC6431" w:rsidRDefault="00B851E4" w:rsidP="00B04B12">
      <w:pPr>
        <w:jc w:val="both"/>
        <w:rPr>
          <w:rFonts w:ascii="Arial" w:hAnsi="Arial" w:cs="Arial"/>
          <w:b/>
          <w:bCs/>
        </w:rPr>
      </w:pPr>
    </w:p>
    <w:p w14:paraId="224F0732" w14:textId="68439A3D" w:rsidR="00B851E4" w:rsidRPr="000B1E5B" w:rsidRDefault="00B851E4" w:rsidP="00B851E4">
      <w:pPr>
        <w:jc w:val="both"/>
        <w:rPr>
          <w:rFonts w:ascii="Arial" w:hAnsi="Arial" w:cs="Arial"/>
          <w:sz w:val="20"/>
          <w:szCs w:val="20"/>
        </w:rPr>
      </w:pPr>
      <w:r w:rsidRPr="00B851E4">
        <w:rPr>
          <w:rFonts w:ascii="Arial" w:hAnsi="Arial" w:cs="Arial"/>
          <w:sz w:val="20"/>
          <w:szCs w:val="20"/>
        </w:rPr>
        <w:t xml:space="preserve">The multinomial logistic regression model demonstrated </w:t>
      </w:r>
      <w:r w:rsidR="00FF1BD0">
        <w:rPr>
          <w:rFonts w:ascii="Arial" w:hAnsi="Arial" w:cs="Arial"/>
          <w:sz w:val="20"/>
          <w:szCs w:val="20"/>
        </w:rPr>
        <w:t xml:space="preserve">(Table </w:t>
      </w:r>
      <w:r w:rsidR="009357BA">
        <w:rPr>
          <w:rFonts w:ascii="Arial" w:hAnsi="Arial" w:cs="Arial"/>
          <w:sz w:val="20"/>
          <w:szCs w:val="20"/>
        </w:rPr>
        <w:t>5</w:t>
      </w:r>
      <w:r w:rsidR="00FF1BD0">
        <w:rPr>
          <w:rFonts w:ascii="Arial" w:hAnsi="Arial" w:cs="Arial"/>
          <w:sz w:val="20"/>
          <w:szCs w:val="20"/>
        </w:rPr>
        <w:t xml:space="preserve">.) </w:t>
      </w:r>
      <w:r w:rsidRPr="00B851E4">
        <w:rPr>
          <w:rFonts w:ascii="Arial" w:hAnsi="Arial" w:cs="Arial"/>
          <w:sz w:val="20"/>
          <w:szCs w:val="20"/>
        </w:rPr>
        <w:t>an overall classification accuracy of 80.9%, effectively predicting 78.9% of food-secure households (Category 0), 91.7% of moderately food-insecure households (Category 1), and 39.5% of severely food-insecure households (Category 2). While the model performed well for food-secure and moderately food-insecure households, its lower accuracy for food-insecure households indicates the complexity of predicting this category, likely due to unaccounted factors. These results highlight the model's strong capability in identifying trends in food insecurity, with room for refinement in severe cases to improve predictive precision.</w:t>
      </w:r>
    </w:p>
    <w:p w14:paraId="7E3E11FE" w14:textId="656C54AA" w:rsidR="00415305" w:rsidRPr="00B851E4" w:rsidRDefault="00415305" w:rsidP="009357BA">
      <w:pPr>
        <w:tabs>
          <w:tab w:val="left" w:pos="709"/>
        </w:tabs>
        <w:jc w:val="both"/>
        <w:rPr>
          <w:rFonts w:ascii="Arial" w:hAnsi="Arial" w:cs="Arial"/>
          <w:b/>
          <w:bCs/>
        </w:rPr>
      </w:pPr>
      <w:r w:rsidRPr="000B1E5B">
        <w:rPr>
          <w:rFonts w:ascii="Arial" w:hAnsi="Arial" w:cs="Arial"/>
          <w:b/>
          <w:bCs/>
          <w:spacing w:val="-2"/>
        </w:rPr>
        <w:t>Table</w:t>
      </w:r>
      <w:r w:rsidRPr="000B1E5B">
        <w:rPr>
          <w:rFonts w:ascii="Arial" w:hAnsi="Arial" w:cs="Arial"/>
          <w:b/>
          <w:bCs/>
          <w:spacing w:val="-19"/>
        </w:rPr>
        <w:t xml:space="preserve"> </w:t>
      </w:r>
      <w:r w:rsidR="009357BA">
        <w:rPr>
          <w:rFonts w:ascii="Arial" w:hAnsi="Arial" w:cs="Arial"/>
          <w:b/>
          <w:bCs/>
          <w:spacing w:val="-19"/>
        </w:rPr>
        <w:t>6</w:t>
      </w:r>
      <w:r w:rsidRPr="000B1E5B">
        <w:rPr>
          <w:rFonts w:ascii="Arial" w:hAnsi="Arial" w:cs="Arial"/>
          <w:b/>
          <w:bCs/>
          <w:spacing w:val="-2"/>
        </w:rPr>
        <w:t>:</w:t>
      </w:r>
      <w:r w:rsidRPr="000B1E5B">
        <w:rPr>
          <w:rFonts w:ascii="Arial" w:hAnsi="Arial" w:cs="Arial"/>
          <w:b/>
          <w:bCs/>
          <w:spacing w:val="-18"/>
        </w:rPr>
        <w:t xml:space="preserve"> </w:t>
      </w:r>
      <w:r w:rsidRPr="000B1E5B">
        <w:rPr>
          <w:rFonts w:ascii="Arial" w:hAnsi="Arial" w:cs="Arial"/>
          <w:b/>
          <w:bCs/>
          <w:spacing w:val="-2"/>
        </w:rPr>
        <w:t>Summary</w:t>
      </w:r>
      <w:r w:rsidRPr="000B1E5B">
        <w:rPr>
          <w:rFonts w:ascii="Arial" w:hAnsi="Arial" w:cs="Arial"/>
          <w:b/>
          <w:bCs/>
          <w:spacing w:val="-19"/>
        </w:rPr>
        <w:t xml:space="preserve"> </w:t>
      </w:r>
      <w:r w:rsidRPr="000B1E5B">
        <w:rPr>
          <w:rFonts w:ascii="Arial" w:hAnsi="Arial" w:cs="Arial"/>
          <w:b/>
          <w:bCs/>
          <w:spacing w:val="-2"/>
        </w:rPr>
        <w:t>of</w:t>
      </w:r>
      <w:r w:rsidRPr="000B1E5B">
        <w:rPr>
          <w:rFonts w:ascii="Arial" w:hAnsi="Arial" w:cs="Arial"/>
          <w:b/>
          <w:bCs/>
          <w:spacing w:val="-19"/>
        </w:rPr>
        <w:t xml:space="preserve"> </w:t>
      </w:r>
      <w:r w:rsidRPr="000B1E5B">
        <w:rPr>
          <w:rFonts w:ascii="Arial" w:hAnsi="Arial" w:cs="Arial"/>
          <w:b/>
          <w:bCs/>
          <w:spacing w:val="-2"/>
        </w:rPr>
        <w:t>Significant</w:t>
      </w:r>
      <w:r w:rsidRPr="000B1E5B">
        <w:rPr>
          <w:rFonts w:ascii="Arial" w:hAnsi="Arial" w:cs="Arial"/>
          <w:b/>
          <w:bCs/>
          <w:spacing w:val="-18"/>
        </w:rPr>
        <w:t xml:space="preserve"> </w:t>
      </w:r>
      <w:r w:rsidRPr="000B1E5B">
        <w:rPr>
          <w:rFonts w:ascii="Arial" w:hAnsi="Arial" w:cs="Arial"/>
          <w:b/>
          <w:bCs/>
          <w:spacing w:val="-2"/>
        </w:rPr>
        <w:t>Predictors</w:t>
      </w:r>
      <w:r w:rsidRPr="000B1E5B">
        <w:rPr>
          <w:rFonts w:ascii="Arial" w:hAnsi="Arial" w:cs="Arial"/>
          <w:b/>
          <w:bCs/>
          <w:spacing w:val="-19"/>
        </w:rPr>
        <w:t xml:space="preserve"> </w:t>
      </w:r>
      <w:r w:rsidRPr="000B1E5B">
        <w:rPr>
          <w:rFonts w:ascii="Arial" w:hAnsi="Arial" w:cs="Arial"/>
          <w:b/>
          <w:bCs/>
          <w:spacing w:val="-2"/>
        </w:rPr>
        <w:t>of</w:t>
      </w:r>
      <w:r w:rsidRPr="000B1E5B">
        <w:rPr>
          <w:rFonts w:ascii="Arial" w:hAnsi="Arial" w:cs="Arial"/>
          <w:b/>
          <w:bCs/>
          <w:spacing w:val="-18"/>
        </w:rPr>
        <w:t xml:space="preserve"> </w:t>
      </w:r>
      <w:r w:rsidRPr="000B1E5B">
        <w:rPr>
          <w:rFonts w:ascii="Arial" w:hAnsi="Arial" w:cs="Arial"/>
          <w:b/>
          <w:bCs/>
          <w:spacing w:val="-2"/>
        </w:rPr>
        <w:t>Food</w:t>
      </w:r>
      <w:r w:rsidRPr="000B1E5B">
        <w:rPr>
          <w:rFonts w:ascii="Arial" w:hAnsi="Arial" w:cs="Arial"/>
          <w:b/>
          <w:bCs/>
          <w:spacing w:val="-19"/>
        </w:rPr>
        <w:t xml:space="preserve"> </w:t>
      </w:r>
      <w:r w:rsidRPr="000B1E5B">
        <w:rPr>
          <w:rFonts w:ascii="Arial" w:hAnsi="Arial" w:cs="Arial"/>
          <w:b/>
          <w:bCs/>
          <w:spacing w:val="-2"/>
        </w:rPr>
        <w:t>Insecurity</w:t>
      </w:r>
      <w:r w:rsidRPr="000B1E5B">
        <w:rPr>
          <w:rFonts w:ascii="Arial" w:hAnsi="Arial" w:cs="Arial"/>
          <w:b/>
          <w:bCs/>
          <w:spacing w:val="-19"/>
        </w:rPr>
        <w:t xml:space="preserve"> </w:t>
      </w:r>
      <w:r w:rsidRPr="000B1E5B">
        <w:rPr>
          <w:rFonts w:ascii="Arial" w:hAnsi="Arial" w:cs="Arial"/>
          <w:b/>
          <w:bCs/>
          <w:spacing w:val="-2"/>
        </w:rPr>
        <w:t>in</w:t>
      </w:r>
      <w:r w:rsidRPr="000B1E5B">
        <w:rPr>
          <w:rFonts w:ascii="Arial" w:hAnsi="Arial" w:cs="Arial"/>
          <w:b/>
          <w:bCs/>
          <w:spacing w:val="-18"/>
        </w:rPr>
        <w:t xml:space="preserve"> </w:t>
      </w:r>
      <w:r w:rsidRPr="000B1E5B">
        <w:rPr>
          <w:rFonts w:ascii="Arial" w:hAnsi="Arial" w:cs="Arial"/>
          <w:b/>
          <w:bCs/>
          <w:spacing w:val="-2"/>
        </w:rPr>
        <w:t>the Sundarbans</w:t>
      </w:r>
    </w:p>
    <w:tbl>
      <w:tblPr>
        <w:tblStyle w:val="TableGrid"/>
        <w:tblW w:w="0" w:type="auto"/>
        <w:tblLook w:val="04A0" w:firstRow="1" w:lastRow="0" w:firstColumn="1" w:lastColumn="0" w:noHBand="0" w:noVBand="1"/>
      </w:tblPr>
      <w:tblGrid>
        <w:gridCol w:w="2254"/>
        <w:gridCol w:w="2254"/>
        <w:gridCol w:w="2254"/>
        <w:gridCol w:w="2254"/>
      </w:tblGrid>
      <w:tr w:rsidR="004109F2" w:rsidRPr="000B1E5B" w14:paraId="072EC2F6" w14:textId="77777777" w:rsidTr="004109F2">
        <w:tc>
          <w:tcPr>
            <w:tcW w:w="2254" w:type="dxa"/>
          </w:tcPr>
          <w:p w14:paraId="5DD09627" w14:textId="21E3CA52" w:rsidR="004109F2" w:rsidRPr="000B1E5B" w:rsidRDefault="004109F2" w:rsidP="00801FF5">
            <w:pPr>
              <w:jc w:val="both"/>
              <w:rPr>
                <w:rFonts w:ascii="Arial" w:hAnsi="Arial" w:cs="Arial"/>
                <w:sz w:val="20"/>
                <w:szCs w:val="20"/>
              </w:rPr>
            </w:pPr>
            <w:r w:rsidRPr="000B1E5B">
              <w:rPr>
                <w:rFonts w:ascii="Arial" w:hAnsi="Arial" w:cs="Arial"/>
                <w:b/>
                <w:spacing w:val="-2"/>
                <w:sz w:val="20"/>
                <w:szCs w:val="20"/>
              </w:rPr>
              <w:t>Predictor</w:t>
            </w:r>
          </w:p>
        </w:tc>
        <w:tc>
          <w:tcPr>
            <w:tcW w:w="2254" w:type="dxa"/>
          </w:tcPr>
          <w:p w14:paraId="261D38A0" w14:textId="1A3F24F9" w:rsidR="004109F2" w:rsidRPr="000B1E5B" w:rsidRDefault="004109F2" w:rsidP="004109F2">
            <w:pPr>
              <w:pStyle w:val="TableParagraph"/>
              <w:ind w:left="124"/>
              <w:rPr>
                <w:rFonts w:ascii="Arial" w:hAnsi="Arial" w:cs="Arial"/>
                <w:b/>
                <w:sz w:val="20"/>
                <w:szCs w:val="20"/>
              </w:rPr>
            </w:pPr>
            <w:r w:rsidRPr="000B1E5B">
              <w:rPr>
                <w:rFonts w:ascii="Arial" w:hAnsi="Arial" w:cs="Arial"/>
                <w:b/>
                <w:spacing w:val="-4"/>
                <w:sz w:val="20"/>
                <w:szCs w:val="20"/>
              </w:rPr>
              <w:t xml:space="preserve">Effect </w:t>
            </w:r>
            <w:r w:rsidRPr="000B1E5B">
              <w:rPr>
                <w:rFonts w:ascii="Arial" w:hAnsi="Arial" w:cs="Arial"/>
                <w:b/>
                <w:spacing w:val="-5"/>
                <w:sz w:val="20"/>
                <w:szCs w:val="20"/>
              </w:rPr>
              <w:t xml:space="preserve">on </w:t>
            </w:r>
            <w:r w:rsidRPr="000B1E5B">
              <w:rPr>
                <w:rFonts w:ascii="Arial" w:hAnsi="Arial" w:cs="Arial"/>
                <w:b/>
                <w:spacing w:val="-4"/>
                <w:sz w:val="20"/>
                <w:szCs w:val="20"/>
              </w:rPr>
              <w:t>Category</w:t>
            </w:r>
            <w:r w:rsidRPr="000B1E5B">
              <w:rPr>
                <w:rFonts w:ascii="Arial" w:hAnsi="Arial" w:cs="Arial"/>
                <w:b/>
                <w:spacing w:val="3"/>
                <w:sz w:val="20"/>
                <w:szCs w:val="20"/>
              </w:rPr>
              <w:t xml:space="preserve"> </w:t>
            </w:r>
            <w:r w:rsidRPr="000B1E5B">
              <w:rPr>
                <w:rFonts w:ascii="Arial" w:hAnsi="Arial" w:cs="Arial"/>
                <w:b/>
                <w:spacing w:val="-10"/>
                <w:sz w:val="20"/>
                <w:szCs w:val="20"/>
              </w:rPr>
              <w:t>1</w:t>
            </w:r>
          </w:p>
        </w:tc>
        <w:tc>
          <w:tcPr>
            <w:tcW w:w="2254" w:type="dxa"/>
          </w:tcPr>
          <w:p w14:paraId="4A121F87" w14:textId="6F63D48D" w:rsidR="004109F2" w:rsidRPr="000B1E5B" w:rsidRDefault="004109F2" w:rsidP="004109F2">
            <w:pPr>
              <w:pStyle w:val="TableParagraph"/>
              <w:ind w:left="115"/>
              <w:rPr>
                <w:rFonts w:ascii="Arial" w:hAnsi="Arial" w:cs="Arial"/>
                <w:b/>
                <w:sz w:val="20"/>
                <w:szCs w:val="20"/>
              </w:rPr>
            </w:pPr>
            <w:r w:rsidRPr="000B1E5B">
              <w:rPr>
                <w:rFonts w:ascii="Arial" w:hAnsi="Arial" w:cs="Arial"/>
                <w:b/>
                <w:spacing w:val="-4"/>
                <w:sz w:val="20"/>
                <w:szCs w:val="20"/>
              </w:rPr>
              <w:t xml:space="preserve">Effect </w:t>
            </w:r>
            <w:r w:rsidRPr="000B1E5B">
              <w:rPr>
                <w:rFonts w:ascii="Arial" w:hAnsi="Arial" w:cs="Arial"/>
                <w:b/>
                <w:spacing w:val="-5"/>
                <w:sz w:val="20"/>
                <w:szCs w:val="20"/>
              </w:rPr>
              <w:t xml:space="preserve">on </w:t>
            </w:r>
            <w:r w:rsidRPr="000B1E5B">
              <w:rPr>
                <w:rFonts w:ascii="Arial" w:hAnsi="Arial" w:cs="Arial"/>
                <w:b/>
                <w:spacing w:val="-4"/>
                <w:sz w:val="20"/>
                <w:szCs w:val="20"/>
              </w:rPr>
              <w:t>Category</w:t>
            </w:r>
            <w:r w:rsidRPr="000B1E5B">
              <w:rPr>
                <w:rFonts w:ascii="Arial" w:hAnsi="Arial" w:cs="Arial"/>
                <w:b/>
                <w:spacing w:val="3"/>
                <w:sz w:val="20"/>
                <w:szCs w:val="20"/>
              </w:rPr>
              <w:t xml:space="preserve"> </w:t>
            </w:r>
            <w:r w:rsidRPr="000B1E5B">
              <w:rPr>
                <w:rFonts w:ascii="Arial" w:hAnsi="Arial" w:cs="Arial"/>
                <w:b/>
                <w:spacing w:val="-10"/>
                <w:sz w:val="20"/>
                <w:szCs w:val="20"/>
              </w:rPr>
              <w:t>2</w:t>
            </w:r>
          </w:p>
        </w:tc>
        <w:tc>
          <w:tcPr>
            <w:tcW w:w="2254" w:type="dxa"/>
          </w:tcPr>
          <w:p w14:paraId="345049DF" w14:textId="26DA16BF" w:rsidR="004109F2" w:rsidRPr="000B1E5B" w:rsidRDefault="004109F2" w:rsidP="00801FF5">
            <w:pPr>
              <w:jc w:val="both"/>
              <w:rPr>
                <w:rFonts w:ascii="Arial" w:hAnsi="Arial" w:cs="Arial"/>
                <w:sz w:val="20"/>
                <w:szCs w:val="20"/>
              </w:rPr>
            </w:pPr>
            <w:r w:rsidRPr="000B1E5B">
              <w:rPr>
                <w:rFonts w:ascii="Arial" w:hAnsi="Arial" w:cs="Arial"/>
                <w:b/>
                <w:spacing w:val="-2"/>
                <w:sz w:val="20"/>
                <w:szCs w:val="20"/>
              </w:rPr>
              <w:t>Interpretation</w:t>
            </w:r>
          </w:p>
        </w:tc>
      </w:tr>
      <w:tr w:rsidR="00BA7ABA" w:rsidRPr="000B1E5B" w14:paraId="6754E081" w14:textId="77777777" w:rsidTr="004109F2">
        <w:tc>
          <w:tcPr>
            <w:tcW w:w="2254" w:type="dxa"/>
          </w:tcPr>
          <w:p w14:paraId="27FA0DC4" w14:textId="7008C2A0" w:rsidR="00BA7ABA" w:rsidRPr="000B1E5B" w:rsidRDefault="00BA7ABA" w:rsidP="00BA7ABA">
            <w:pPr>
              <w:jc w:val="both"/>
              <w:rPr>
                <w:rFonts w:ascii="Arial" w:hAnsi="Arial" w:cs="Arial"/>
                <w:sz w:val="20"/>
                <w:szCs w:val="20"/>
              </w:rPr>
            </w:pPr>
            <w:r w:rsidRPr="000B1E5B">
              <w:rPr>
                <w:rFonts w:ascii="Arial" w:hAnsi="Arial" w:cs="Arial"/>
                <w:spacing w:val="-6"/>
                <w:sz w:val="20"/>
                <w:szCs w:val="20"/>
              </w:rPr>
              <w:t>Total</w:t>
            </w:r>
            <w:r w:rsidRPr="000B1E5B">
              <w:rPr>
                <w:rFonts w:ascii="Arial" w:hAnsi="Arial" w:cs="Arial"/>
                <w:sz w:val="20"/>
                <w:szCs w:val="20"/>
              </w:rPr>
              <w:t xml:space="preserve"> </w:t>
            </w:r>
            <w:r w:rsidRPr="000B1E5B">
              <w:rPr>
                <w:rFonts w:ascii="Arial" w:hAnsi="Arial" w:cs="Arial"/>
                <w:spacing w:val="-6"/>
                <w:sz w:val="20"/>
                <w:szCs w:val="20"/>
              </w:rPr>
              <w:t>Cultivated</w:t>
            </w:r>
            <w:r w:rsidRPr="000B1E5B">
              <w:rPr>
                <w:rFonts w:ascii="Arial" w:hAnsi="Arial" w:cs="Arial"/>
                <w:spacing w:val="1"/>
                <w:sz w:val="20"/>
                <w:szCs w:val="20"/>
              </w:rPr>
              <w:t xml:space="preserve"> </w:t>
            </w:r>
            <w:r w:rsidRPr="000B1E5B">
              <w:rPr>
                <w:rFonts w:ascii="Arial" w:hAnsi="Arial" w:cs="Arial"/>
                <w:spacing w:val="-6"/>
                <w:sz w:val="20"/>
                <w:szCs w:val="20"/>
              </w:rPr>
              <w:t>Land</w:t>
            </w:r>
          </w:p>
        </w:tc>
        <w:tc>
          <w:tcPr>
            <w:tcW w:w="2254" w:type="dxa"/>
          </w:tcPr>
          <w:p w14:paraId="3EEEED19" w14:textId="197C8216" w:rsidR="00BA7ABA" w:rsidRPr="000B1E5B" w:rsidRDefault="00BA7ABA" w:rsidP="00BA7ABA">
            <w:pPr>
              <w:jc w:val="both"/>
              <w:rPr>
                <w:rFonts w:ascii="Arial" w:hAnsi="Arial" w:cs="Arial"/>
                <w:sz w:val="20"/>
                <w:szCs w:val="20"/>
              </w:rPr>
            </w:pPr>
            <w:r w:rsidRPr="000B1E5B">
              <w:rPr>
                <w:rFonts w:ascii="Arial" w:hAnsi="Arial" w:cs="Arial"/>
                <w:spacing w:val="-4"/>
                <w:sz w:val="20"/>
                <w:szCs w:val="20"/>
              </w:rPr>
              <w:t xml:space="preserve">Negative </w:t>
            </w:r>
            <w:r w:rsidRPr="000B1E5B">
              <w:rPr>
                <w:rFonts w:ascii="Arial" w:hAnsi="Arial" w:cs="Arial"/>
                <w:spacing w:val="-2"/>
                <w:sz w:val="20"/>
                <w:szCs w:val="20"/>
              </w:rPr>
              <w:t>(***)</w:t>
            </w:r>
          </w:p>
        </w:tc>
        <w:tc>
          <w:tcPr>
            <w:tcW w:w="2254" w:type="dxa"/>
          </w:tcPr>
          <w:p w14:paraId="6F0AAA33" w14:textId="1BDAD93B" w:rsidR="00BA7ABA" w:rsidRPr="000B1E5B" w:rsidRDefault="00BA7ABA" w:rsidP="00BA7ABA">
            <w:pPr>
              <w:jc w:val="both"/>
              <w:rPr>
                <w:rFonts w:ascii="Arial" w:hAnsi="Arial" w:cs="Arial"/>
                <w:sz w:val="20"/>
                <w:szCs w:val="20"/>
              </w:rPr>
            </w:pPr>
            <w:r w:rsidRPr="000B1E5B">
              <w:rPr>
                <w:rFonts w:ascii="Arial" w:hAnsi="Arial" w:cs="Arial"/>
                <w:spacing w:val="-4"/>
                <w:sz w:val="20"/>
                <w:szCs w:val="20"/>
              </w:rPr>
              <w:t>Non-</w:t>
            </w:r>
            <w:r w:rsidRPr="000B1E5B">
              <w:rPr>
                <w:rFonts w:ascii="Arial" w:hAnsi="Arial" w:cs="Arial"/>
                <w:spacing w:val="-2"/>
                <w:sz w:val="20"/>
                <w:szCs w:val="20"/>
              </w:rPr>
              <w:t>significant</w:t>
            </w:r>
          </w:p>
        </w:tc>
        <w:tc>
          <w:tcPr>
            <w:tcW w:w="2254" w:type="dxa"/>
          </w:tcPr>
          <w:p w14:paraId="759F8CCA" w14:textId="654B0734" w:rsidR="00BA7ABA" w:rsidRPr="000B1E5B" w:rsidRDefault="00BA7ABA" w:rsidP="00BA7ABA">
            <w:pPr>
              <w:pStyle w:val="TableParagraph"/>
              <w:ind w:left="120"/>
              <w:jc w:val="both"/>
              <w:rPr>
                <w:rFonts w:ascii="Arial" w:hAnsi="Arial" w:cs="Arial"/>
                <w:sz w:val="20"/>
                <w:szCs w:val="20"/>
              </w:rPr>
            </w:pPr>
            <w:r w:rsidRPr="000B1E5B">
              <w:rPr>
                <w:rFonts w:ascii="Arial" w:hAnsi="Arial" w:cs="Arial"/>
                <w:sz w:val="20"/>
                <w:szCs w:val="20"/>
              </w:rPr>
              <w:t>Access to agricultural land significantly reduces</w:t>
            </w:r>
          </w:p>
          <w:p w14:paraId="5C4E8B1E" w14:textId="04E91DB1" w:rsidR="00BA7ABA" w:rsidRPr="000B1E5B" w:rsidRDefault="00BA7ABA" w:rsidP="00BA7ABA">
            <w:pPr>
              <w:pStyle w:val="TableParagraph"/>
              <w:ind w:left="120"/>
              <w:jc w:val="both"/>
              <w:rPr>
                <w:rFonts w:ascii="Arial" w:hAnsi="Arial" w:cs="Arial"/>
                <w:sz w:val="20"/>
                <w:szCs w:val="20"/>
              </w:rPr>
            </w:pPr>
            <w:r w:rsidRPr="000B1E5B">
              <w:rPr>
                <w:rFonts w:ascii="Arial" w:hAnsi="Arial" w:cs="Arial"/>
                <w:sz w:val="20"/>
                <w:szCs w:val="20"/>
              </w:rPr>
              <w:t>moderate food insecurity</w:t>
            </w:r>
          </w:p>
          <w:p w14:paraId="073069BB" w14:textId="77E5F81D" w:rsidR="00BA7ABA" w:rsidRPr="000B1E5B" w:rsidRDefault="00BA7ABA" w:rsidP="00BA7ABA">
            <w:pPr>
              <w:jc w:val="both"/>
              <w:rPr>
                <w:rFonts w:ascii="Arial" w:hAnsi="Arial" w:cs="Arial"/>
                <w:sz w:val="20"/>
                <w:szCs w:val="20"/>
              </w:rPr>
            </w:pPr>
          </w:p>
        </w:tc>
      </w:tr>
      <w:tr w:rsidR="004C0FB9" w:rsidRPr="000B1E5B" w14:paraId="19D04998" w14:textId="77777777" w:rsidTr="004109F2">
        <w:tc>
          <w:tcPr>
            <w:tcW w:w="2254" w:type="dxa"/>
          </w:tcPr>
          <w:p w14:paraId="3E35B032" w14:textId="1B1F7741" w:rsidR="004C0FB9" w:rsidRPr="000B1E5B" w:rsidRDefault="004C0FB9" w:rsidP="004C0FB9">
            <w:pPr>
              <w:jc w:val="both"/>
              <w:rPr>
                <w:rFonts w:ascii="Arial" w:hAnsi="Arial" w:cs="Arial"/>
                <w:sz w:val="20"/>
                <w:szCs w:val="20"/>
              </w:rPr>
            </w:pPr>
            <w:r w:rsidRPr="000B1E5B">
              <w:rPr>
                <w:rFonts w:ascii="Arial" w:hAnsi="Arial" w:cs="Arial"/>
                <w:spacing w:val="-2"/>
                <w:sz w:val="20"/>
                <w:szCs w:val="20"/>
              </w:rPr>
              <w:lastRenderedPageBreak/>
              <w:t>Indebtedness</w:t>
            </w:r>
          </w:p>
        </w:tc>
        <w:tc>
          <w:tcPr>
            <w:tcW w:w="2254" w:type="dxa"/>
          </w:tcPr>
          <w:p w14:paraId="2CB54741" w14:textId="5897380B" w:rsidR="004C0FB9" w:rsidRPr="000B1E5B" w:rsidRDefault="004C0FB9" w:rsidP="004C0FB9">
            <w:pPr>
              <w:jc w:val="both"/>
              <w:rPr>
                <w:rFonts w:ascii="Arial" w:hAnsi="Arial" w:cs="Arial"/>
                <w:sz w:val="20"/>
                <w:szCs w:val="20"/>
              </w:rPr>
            </w:pPr>
            <w:r w:rsidRPr="000B1E5B">
              <w:rPr>
                <w:rFonts w:ascii="Arial" w:hAnsi="Arial" w:cs="Arial"/>
                <w:spacing w:val="-5"/>
                <w:sz w:val="20"/>
                <w:szCs w:val="20"/>
              </w:rPr>
              <w:t>Positive</w:t>
            </w:r>
            <w:r w:rsidRPr="000B1E5B">
              <w:rPr>
                <w:rFonts w:ascii="Arial" w:hAnsi="Arial" w:cs="Arial"/>
                <w:spacing w:val="-4"/>
                <w:sz w:val="20"/>
                <w:szCs w:val="20"/>
              </w:rPr>
              <w:t xml:space="preserve"> </w:t>
            </w:r>
            <w:r w:rsidRPr="000B1E5B">
              <w:rPr>
                <w:rFonts w:ascii="Arial" w:hAnsi="Arial" w:cs="Arial"/>
                <w:spacing w:val="-5"/>
                <w:sz w:val="20"/>
                <w:szCs w:val="20"/>
              </w:rPr>
              <w:t>(*)</w:t>
            </w:r>
          </w:p>
        </w:tc>
        <w:tc>
          <w:tcPr>
            <w:tcW w:w="2254" w:type="dxa"/>
          </w:tcPr>
          <w:p w14:paraId="417B6154" w14:textId="34D77301" w:rsidR="004C0FB9" w:rsidRPr="000B1E5B" w:rsidRDefault="004C0FB9" w:rsidP="004C0FB9">
            <w:pPr>
              <w:jc w:val="both"/>
              <w:rPr>
                <w:rFonts w:ascii="Arial" w:hAnsi="Arial" w:cs="Arial"/>
                <w:sz w:val="20"/>
                <w:szCs w:val="20"/>
              </w:rPr>
            </w:pPr>
            <w:r w:rsidRPr="000B1E5B">
              <w:rPr>
                <w:rFonts w:ascii="Arial" w:hAnsi="Arial" w:cs="Arial"/>
                <w:spacing w:val="-5"/>
                <w:sz w:val="20"/>
                <w:szCs w:val="20"/>
              </w:rPr>
              <w:t>Positive</w:t>
            </w:r>
            <w:r w:rsidRPr="000B1E5B">
              <w:rPr>
                <w:rFonts w:ascii="Arial" w:hAnsi="Arial" w:cs="Arial"/>
                <w:spacing w:val="-4"/>
                <w:sz w:val="20"/>
                <w:szCs w:val="20"/>
              </w:rPr>
              <w:t xml:space="preserve"> </w:t>
            </w:r>
            <w:r w:rsidRPr="000B1E5B">
              <w:rPr>
                <w:rFonts w:ascii="Arial" w:hAnsi="Arial" w:cs="Arial"/>
                <w:spacing w:val="-5"/>
                <w:sz w:val="20"/>
                <w:szCs w:val="20"/>
              </w:rPr>
              <w:t>(†)</w:t>
            </w:r>
          </w:p>
        </w:tc>
        <w:tc>
          <w:tcPr>
            <w:tcW w:w="2254" w:type="dxa"/>
          </w:tcPr>
          <w:p w14:paraId="3720A7F8" w14:textId="153550CD" w:rsidR="004C0FB9" w:rsidRPr="000B1E5B" w:rsidRDefault="004C0FB9" w:rsidP="004C0FB9">
            <w:pPr>
              <w:pStyle w:val="TableParagraph"/>
              <w:ind w:left="120"/>
              <w:rPr>
                <w:rFonts w:ascii="Arial" w:hAnsi="Arial" w:cs="Arial"/>
                <w:sz w:val="20"/>
                <w:szCs w:val="20"/>
              </w:rPr>
            </w:pPr>
            <w:r w:rsidRPr="000B1E5B">
              <w:rPr>
                <w:rFonts w:ascii="Arial" w:hAnsi="Arial" w:cs="Arial"/>
                <w:spacing w:val="-4"/>
                <w:sz w:val="20"/>
                <w:szCs w:val="20"/>
              </w:rPr>
              <w:t>Financial</w:t>
            </w:r>
            <w:r w:rsidRPr="000B1E5B">
              <w:rPr>
                <w:rFonts w:ascii="Arial" w:hAnsi="Arial" w:cs="Arial"/>
                <w:spacing w:val="-6"/>
                <w:sz w:val="20"/>
                <w:szCs w:val="20"/>
              </w:rPr>
              <w:t xml:space="preserve"> </w:t>
            </w:r>
            <w:r w:rsidRPr="000B1E5B">
              <w:rPr>
                <w:rFonts w:ascii="Arial" w:hAnsi="Arial" w:cs="Arial"/>
                <w:spacing w:val="-4"/>
                <w:sz w:val="20"/>
                <w:szCs w:val="20"/>
              </w:rPr>
              <w:t>debt increases likelihood of food insecurity</w:t>
            </w:r>
          </w:p>
          <w:p w14:paraId="3551AFC1" w14:textId="7AD8A676" w:rsidR="004C0FB9" w:rsidRPr="000B1E5B" w:rsidRDefault="004C0FB9" w:rsidP="004C0FB9">
            <w:pPr>
              <w:jc w:val="both"/>
              <w:rPr>
                <w:rFonts w:ascii="Arial" w:hAnsi="Arial" w:cs="Arial"/>
                <w:sz w:val="20"/>
                <w:szCs w:val="20"/>
              </w:rPr>
            </w:pPr>
            <w:r w:rsidRPr="000B1E5B">
              <w:rPr>
                <w:rFonts w:ascii="Arial" w:hAnsi="Arial" w:cs="Arial"/>
                <w:spacing w:val="-2"/>
                <w:sz w:val="20"/>
                <w:szCs w:val="20"/>
              </w:rPr>
              <w:t>at</w:t>
            </w:r>
            <w:r w:rsidRPr="000B1E5B">
              <w:rPr>
                <w:rFonts w:ascii="Arial" w:hAnsi="Arial" w:cs="Arial"/>
                <w:spacing w:val="-12"/>
                <w:sz w:val="20"/>
                <w:szCs w:val="20"/>
              </w:rPr>
              <w:t xml:space="preserve"> </w:t>
            </w:r>
            <w:r w:rsidRPr="000B1E5B">
              <w:rPr>
                <w:rFonts w:ascii="Arial" w:hAnsi="Arial" w:cs="Arial"/>
                <w:spacing w:val="-2"/>
                <w:sz w:val="20"/>
                <w:szCs w:val="20"/>
              </w:rPr>
              <w:t>both</w:t>
            </w:r>
            <w:r w:rsidRPr="000B1E5B">
              <w:rPr>
                <w:rFonts w:ascii="Arial" w:hAnsi="Arial" w:cs="Arial"/>
                <w:spacing w:val="-10"/>
                <w:sz w:val="20"/>
                <w:szCs w:val="20"/>
              </w:rPr>
              <w:t xml:space="preserve"> </w:t>
            </w:r>
            <w:r w:rsidRPr="000B1E5B">
              <w:rPr>
                <w:rFonts w:ascii="Arial" w:hAnsi="Arial" w:cs="Arial"/>
                <w:spacing w:val="-2"/>
                <w:sz w:val="20"/>
                <w:szCs w:val="20"/>
              </w:rPr>
              <w:t>levels</w:t>
            </w:r>
          </w:p>
        </w:tc>
      </w:tr>
      <w:tr w:rsidR="004C0FB9" w:rsidRPr="000B1E5B" w14:paraId="3485EB13" w14:textId="77777777" w:rsidTr="004109F2">
        <w:tc>
          <w:tcPr>
            <w:tcW w:w="2254" w:type="dxa"/>
          </w:tcPr>
          <w:p w14:paraId="212EA74C" w14:textId="77777777" w:rsidR="004C0FB9" w:rsidRPr="000B1E5B" w:rsidRDefault="004C0FB9" w:rsidP="004C0FB9">
            <w:pPr>
              <w:pStyle w:val="TableParagraph"/>
              <w:jc w:val="both"/>
              <w:rPr>
                <w:rFonts w:ascii="Arial" w:hAnsi="Arial" w:cs="Arial"/>
                <w:sz w:val="20"/>
                <w:szCs w:val="20"/>
              </w:rPr>
            </w:pPr>
            <w:r w:rsidRPr="000B1E5B">
              <w:rPr>
                <w:rFonts w:ascii="Arial" w:hAnsi="Arial" w:cs="Arial"/>
                <w:spacing w:val="-2"/>
                <w:sz w:val="20"/>
                <w:szCs w:val="20"/>
              </w:rPr>
              <w:t>Extension</w:t>
            </w:r>
          </w:p>
          <w:p w14:paraId="66A414D2" w14:textId="15D4C84F" w:rsidR="004C0FB9" w:rsidRPr="000B1E5B" w:rsidRDefault="004C0FB9" w:rsidP="004C0FB9">
            <w:pPr>
              <w:jc w:val="both"/>
              <w:rPr>
                <w:rFonts w:ascii="Arial" w:hAnsi="Arial" w:cs="Arial"/>
                <w:sz w:val="20"/>
                <w:szCs w:val="20"/>
              </w:rPr>
            </w:pPr>
            <w:r w:rsidRPr="000B1E5B">
              <w:rPr>
                <w:rFonts w:ascii="Arial" w:hAnsi="Arial" w:cs="Arial"/>
                <w:spacing w:val="-2"/>
                <w:sz w:val="20"/>
                <w:szCs w:val="20"/>
              </w:rPr>
              <w:t>Participation</w:t>
            </w:r>
          </w:p>
        </w:tc>
        <w:tc>
          <w:tcPr>
            <w:tcW w:w="2254" w:type="dxa"/>
          </w:tcPr>
          <w:p w14:paraId="3FBFBCDE" w14:textId="3C4DE4B9"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 xml:space="preserve">Negative </w:t>
            </w:r>
            <w:r w:rsidRPr="000B1E5B">
              <w:rPr>
                <w:rFonts w:ascii="Arial" w:hAnsi="Arial" w:cs="Arial"/>
                <w:spacing w:val="-5"/>
                <w:sz w:val="20"/>
                <w:szCs w:val="20"/>
              </w:rPr>
              <w:t>(†)</w:t>
            </w:r>
          </w:p>
        </w:tc>
        <w:tc>
          <w:tcPr>
            <w:tcW w:w="2254" w:type="dxa"/>
          </w:tcPr>
          <w:p w14:paraId="39BD5ECD" w14:textId="19818EA2"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Negative (**)</w:t>
            </w:r>
          </w:p>
        </w:tc>
        <w:tc>
          <w:tcPr>
            <w:tcW w:w="2254" w:type="dxa"/>
          </w:tcPr>
          <w:p w14:paraId="6477071C" w14:textId="77777777" w:rsidR="004C0FB9" w:rsidRPr="000B1E5B" w:rsidRDefault="004C0FB9" w:rsidP="004C0FB9">
            <w:pPr>
              <w:pStyle w:val="TableParagraph"/>
              <w:ind w:left="120"/>
              <w:rPr>
                <w:rFonts w:ascii="Arial" w:hAnsi="Arial" w:cs="Arial"/>
                <w:sz w:val="20"/>
                <w:szCs w:val="20"/>
              </w:rPr>
            </w:pPr>
            <w:r w:rsidRPr="000B1E5B">
              <w:rPr>
                <w:rFonts w:ascii="Arial" w:hAnsi="Arial" w:cs="Arial"/>
                <w:spacing w:val="-4"/>
                <w:sz w:val="20"/>
                <w:szCs w:val="20"/>
              </w:rPr>
              <w:t>Agricultural extension services protect against food</w:t>
            </w:r>
          </w:p>
          <w:p w14:paraId="30EAA342" w14:textId="45589BF5"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insecurity, especially severe cases</w:t>
            </w:r>
          </w:p>
        </w:tc>
      </w:tr>
      <w:tr w:rsidR="004C0FB9" w:rsidRPr="000B1E5B" w14:paraId="10491CBC" w14:textId="77777777" w:rsidTr="004109F2">
        <w:tc>
          <w:tcPr>
            <w:tcW w:w="2254" w:type="dxa"/>
          </w:tcPr>
          <w:p w14:paraId="1F152CEF" w14:textId="77777777" w:rsidR="004C0FB9" w:rsidRPr="000B1E5B" w:rsidRDefault="004C0FB9" w:rsidP="004C0FB9">
            <w:pPr>
              <w:pStyle w:val="TableParagraph"/>
              <w:jc w:val="both"/>
              <w:rPr>
                <w:rFonts w:ascii="Arial" w:hAnsi="Arial" w:cs="Arial"/>
                <w:sz w:val="20"/>
                <w:szCs w:val="20"/>
              </w:rPr>
            </w:pPr>
            <w:r w:rsidRPr="000B1E5B">
              <w:rPr>
                <w:rFonts w:ascii="Arial" w:hAnsi="Arial" w:cs="Arial"/>
                <w:spacing w:val="-4"/>
                <w:sz w:val="20"/>
                <w:szCs w:val="20"/>
              </w:rPr>
              <w:t>Formal</w:t>
            </w:r>
            <w:r w:rsidRPr="000B1E5B">
              <w:rPr>
                <w:rFonts w:ascii="Arial" w:hAnsi="Arial" w:cs="Arial"/>
                <w:spacing w:val="-6"/>
                <w:sz w:val="20"/>
                <w:szCs w:val="20"/>
              </w:rPr>
              <w:t xml:space="preserve"> </w:t>
            </w:r>
            <w:r w:rsidRPr="000B1E5B">
              <w:rPr>
                <w:rFonts w:ascii="Arial" w:hAnsi="Arial" w:cs="Arial"/>
                <w:spacing w:val="-4"/>
                <w:sz w:val="20"/>
                <w:szCs w:val="20"/>
              </w:rPr>
              <w:t>In-kind</w:t>
            </w:r>
          </w:p>
          <w:p w14:paraId="1098186A" w14:textId="0A698313" w:rsidR="004C0FB9" w:rsidRPr="000B1E5B" w:rsidRDefault="004C0FB9" w:rsidP="004C0FB9">
            <w:pPr>
              <w:jc w:val="both"/>
              <w:rPr>
                <w:rFonts w:ascii="Arial" w:hAnsi="Arial" w:cs="Arial"/>
                <w:sz w:val="20"/>
                <w:szCs w:val="20"/>
              </w:rPr>
            </w:pPr>
            <w:r w:rsidRPr="000B1E5B">
              <w:rPr>
                <w:rFonts w:ascii="Arial" w:hAnsi="Arial" w:cs="Arial"/>
                <w:spacing w:val="-2"/>
                <w:sz w:val="20"/>
                <w:szCs w:val="20"/>
              </w:rPr>
              <w:t>Transfer</w:t>
            </w:r>
          </w:p>
        </w:tc>
        <w:tc>
          <w:tcPr>
            <w:tcW w:w="2254" w:type="dxa"/>
          </w:tcPr>
          <w:p w14:paraId="35ED4C30" w14:textId="134C682C" w:rsidR="004C0FB9" w:rsidRPr="000B1E5B" w:rsidRDefault="004C0FB9" w:rsidP="004C0FB9">
            <w:pPr>
              <w:jc w:val="both"/>
              <w:rPr>
                <w:rFonts w:ascii="Arial" w:hAnsi="Arial" w:cs="Arial"/>
                <w:sz w:val="20"/>
                <w:szCs w:val="20"/>
              </w:rPr>
            </w:pPr>
            <w:r w:rsidRPr="000B1E5B">
              <w:rPr>
                <w:rFonts w:ascii="Arial" w:hAnsi="Arial" w:cs="Arial"/>
                <w:spacing w:val="-5"/>
                <w:sz w:val="20"/>
                <w:szCs w:val="20"/>
              </w:rPr>
              <w:t>Significant</w:t>
            </w:r>
            <w:r w:rsidRPr="000B1E5B">
              <w:rPr>
                <w:rFonts w:ascii="Arial" w:hAnsi="Arial" w:cs="Arial"/>
                <w:spacing w:val="7"/>
                <w:sz w:val="20"/>
                <w:szCs w:val="20"/>
              </w:rPr>
              <w:t xml:space="preserve"> </w:t>
            </w:r>
            <w:r w:rsidRPr="000B1E5B">
              <w:rPr>
                <w:rFonts w:ascii="Arial" w:hAnsi="Arial" w:cs="Arial"/>
                <w:spacing w:val="-2"/>
                <w:sz w:val="20"/>
                <w:szCs w:val="20"/>
              </w:rPr>
              <w:t>(***)</w:t>
            </w:r>
          </w:p>
        </w:tc>
        <w:tc>
          <w:tcPr>
            <w:tcW w:w="2254" w:type="dxa"/>
          </w:tcPr>
          <w:p w14:paraId="6B909152" w14:textId="53B3C925" w:rsidR="004C0FB9" w:rsidRPr="000B1E5B" w:rsidRDefault="004C0FB9" w:rsidP="004C0FB9">
            <w:pPr>
              <w:jc w:val="both"/>
              <w:rPr>
                <w:rFonts w:ascii="Arial" w:hAnsi="Arial" w:cs="Arial"/>
                <w:sz w:val="20"/>
                <w:szCs w:val="20"/>
              </w:rPr>
            </w:pPr>
            <w:r w:rsidRPr="000B1E5B">
              <w:rPr>
                <w:rFonts w:ascii="Arial" w:hAnsi="Arial" w:cs="Arial"/>
                <w:spacing w:val="-5"/>
                <w:sz w:val="20"/>
                <w:szCs w:val="20"/>
              </w:rPr>
              <w:t>Significant</w:t>
            </w:r>
            <w:r w:rsidRPr="000B1E5B">
              <w:rPr>
                <w:rFonts w:ascii="Arial" w:hAnsi="Arial" w:cs="Arial"/>
                <w:spacing w:val="7"/>
                <w:sz w:val="20"/>
                <w:szCs w:val="20"/>
              </w:rPr>
              <w:t xml:space="preserve"> </w:t>
            </w:r>
            <w:r w:rsidRPr="000B1E5B">
              <w:rPr>
                <w:rFonts w:ascii="Arial" w:hAnsi="Arial" w:cs="Arial"/>
                <w:spacing w:val="-4"/>
                <w:sz w:val="20"/>
                <w:szCs w:val="20"/>
              </w:rPr>
              <w:t>(**)</w:t>
            </w:r>
          </w:p>
        </w:tc>
        <w:tc>
          <w:tcPr>
            <w:tcW w:w="2254" w:type="dxa"/>
          </w:tcPr>
          <w:p w14:paraId="7363D739" w14:textId="77777777" w:rsidR="004C0FB9" w:rsidRPr="000B1E5B" w:rsidRDefault="004C0FB9" w:rsidP="004C0FB9">
            <w:pPr>
              <w:pStyle w:val="TableParagraph"/>
              <w:ind w:left="120"/>
              <w:rPr>
                <w:rFonts w:ascii="Arial" w:hAnsi="Arial" w:cs="Arial"/>
                <w:sz w:val="20"/>
                <w:szCs w:val="20"/>
              </w:rPr>
            </w:pPr>
            <w:r w:rsidRPr="000B1E5B">
              <w:rPr>
                <w:rFonts w:ascii="Arial" w:hAnsi="Arial" w:cs="Arial"/>
                <w:spacing w:val="-4"/>
                <w:sz w:val="20"/>
                <w:szCs w:val="20"/>
              </w:rPr>
              <w:t>Food</w:t>
            </w:r>
            <w:r w:rsidRPr="000B1E5B">
              <w:rPr>
                <w:rFonts w:ascii="Arial" w:hAnsi="Arial" w:cs="Arial"/>
                <w:spacing w:val="-6"/>
                <w:sz w:val="20"/>
                <w:szCs w:val="20"/>
              </w:rPr>
              <w:t xml:space="preserve"> </w:t>
            </w:r>
            <w:r w:rsidRPr="000B1E5B">
              <w:rPr>
                <w:rFonts w:ascii="Arial" w:hAnsi="Arial" w:cs="Arial"/>
                <w:spacing w:val="-4"/>
                <w:sz w:val="20"/>
                <w:szCs w:val="20"/>
              </w:rPr>
              <w:t xml:space="preserve">assistance programs have significant impacts </w:t>
            </w:r>
            <w:r w:rsidRPr="000B1E5B">
              <w:rPr>
                <w:rFonts w:ascii="Arial" w:hAnsi="Arial" w:cs="Arial"/>
                <w:spacing w:val="-7"/>
                <w:sz w:val="20"/>
                <w:szCs w:val="20"/>
              </w:rPr>
              <w:t>on</w:t>
            </w:r>
          </w:p>
          <w:p w14:paraId="2423E65C" w14:textId="5844A203"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food security status</w:t>
            </w:r>
          </w:p>
        </w:tc>
      </w:tr>
      <w:tr w:rsidR="004C0FB9" w:rsidRPr="000B1E5B" w14:paraId="326227AB" w14:textId="77777777" w:rsidTr="004109F2">
        <w:tc>
          <w:tcPr>
            <w:tcW w:w="2254" w:type="dxa"/>
          </w:tcPr>
          <w:p w14:paraId="5FE00C72" w14:textId="0CD636DD"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 xml:space="preserve">Skipped </w:t>
            </w:r>
            <w:r w:rsidRPr="000B1E5B">
              <w:rPr>
                <w:rFonts w:ascii="Arial" w:hAnsi="Arial" w:cs="Arial"/>
                <w:spacing w:val="-2"/>
                <w:sz w:val="20"/>
                <w:szCs w:val="20"/>
              </w:rPr>
              <w:t>Meals/Year</w:t>
            </w:r>
          </w:p>
        </w:tc>
        <w:tc>
          <w:tcPr>
            <w:tcW w:w="2254" w:type="dxa"/>
          </w:tcPr>
          <w:p w14:paraId="314A5B70" w14:textId="75452717" w:rsidR="004C0FB9" w:rsidRPr="000B1E5B" w:rsidRDefault="004C0FB9" w:rsidP="004C0FB9">
            <w:pPr>
              <w:jc w:val="both"/>
              <w:rPr>
                <w:rFonts w:ascii="Arial" w:hAnsi="Arial" w:cs="Arial"/>
                <w:sz w:val="20"/>
                <w:szCs w:val="20"/>
              </w:rPr>
            </w:pPr>
            <w:r w:rsidRPr="000B1E5B">
              <w:rPr>
                <w:rFonts w:ascii="Arial" w:hAnsi="Arial" w:cs="Arial"/>
                <w:spacing w:val="-5"/>
                <w:sz w:val="20"/>
                <w:szCs w:val="20"/>
              </w:rPr>
              <w:t>Positive</w:t>
            </w:r>
            <w:r w:rsidRPr="000B1E5B">
              <w:rPr>
                <w:rFonts w:ascii="Arial" w:hAnsi="Arial" w:cs="Arial"/>
                <w:spacing w:val="-4"/>
                <w:sz w:val="20"/>
                <w:szCs w:val="20"/>
              </w:rPr>
              <w:t xml:space="preserve"> </w:t>
            </w:r>
            <w:r w:rsidRPr="000B1E5B">
              <w:rPr>
                <w:rFonts w:ascii="Arial" w:hAnsi="Arial" w:cs="Arial"/>
                <w:spacing w:val="-2"/>
                <w:sz w:val="20"/>
                <w:szCs w:val="20"/>
              </w:rPr>
              <w:t>(***)</w:t>
            </w:r>
          </w:p>
        </w:tc>
        <w:tc>
          <w:tcPr>
            <w:tcW w:w="2254" w:type="dxa"/>
          </w:tcPr>
          <w:p w14:paraId="0CA2B25B" w14:textId="487A2F73"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Non-</w:t>
            </w:r>
            <w:r w:rsidRPr="000B1E5B">
              <w:rPr>
                <w:rFonts w:ascii="Arial" w:hAnsi="Arial" w:cs="Arial"/>
                <w:spacing w:val="-2"/>
                <w:sz w:val="20"/>
                <w:szCs w:val="20"/>
              </w:rPr>
              <w:t>significant</w:t>
            </w:r>
          </w:p>
        </w:tc>
        <w:tc>
          <w:tcPr>
            <w:tcW w:w="2254" w:type="dxa"/>
          </w:tcPr>
          <w:p w14:paraId="5C08341D" w14:textId="77777777" w:rsidR="004C0FB9" w:rsidRPr="000B1E5B" w:rsidRDefault="004C0FB9" w:rsidP="004C0FB9">
            <w:pPr>
              <w:pStyle w:val="TableParagraph"/>
              <w:ind w:left="120"/>
              <w:rPr>
                <w:rFonts w:ascii="Arial" w:hAnsi="Arial" w:cs="Arial"/>
                <w:sz w:val="20"/>
                <w:szCs w:val="20"/>
              </w:rPr>
            </w:pPr>
            <w:r w:rsidRPr="000B1E5B">
              <w:rPr>
                <w:rFonts w:ascii="Arial" w:hAnsi="Arial" w:cs="Arial"/>
                <w:spacing w:val="-4"/>
                <w:sz w:val="20"/>
                <w:szCs w:val="20"/>
              </w:rPr>
              <w:t>Coping behavior strongly associated with moderate</w:t>
            </w:r>
          </w:p>
          <w:p w14:paraId="58A0F84B" w14:textId="41C4335F" w:rsidR="004C0FB9" w:rsidRPr="000B1E5B" w:rsidRDefault="004C0FB9" w:rsidP="004C0FB9">
            <w:pPr>
              <w:jc w:val="both"/>
              <w:rPr>
                <w:rFonts w:ascii="Arial" w:hAnsi="Arial" w:cs="Arial"/>
                <w:sz w:val="20"/>
                <w:szCs w:val="20"/>
              </w:rPr>
            </w:pPr>
            <w:r w:rsidRPr="000B1E5B">
              <w:rPr>
                <w:rFonts w:ascii="Arial" w:hAnsi="Arial" w:cs="Arial"/>
                <w:spacing w:val="-2"/>
                <w:sz w:val="20"/>
                <w:szCs w:val="20"/>
              </w:rPr>
              <w:t>food</w:t>
            </w:r>
            <w:r w:rsidRPr="000B1E5B">
              <w:rPr>
                <w:rFonts w:ascii="Arial" w:hAnsi="Arial" w:cs="Arial"/>
                <w:spacing w:val="-12"/>
                <w:sz w:val="20"/>
                <w:szCs w:val="20"/>
              </w:rPr>
              <w:t xml:space="preserve"> </w:t>
            </w:r>
            <w:r w:rsidRPr="000B1E5B">
              <w:rPr>
                <w:rFonts w:ascii="Arial" w:hAnsi="Arial" w:cs="Arial"/>
                <w:spacing w:val="-2"/>
                <w:sz w:val="20"/>
                <w:szCs w:val="20"/>
              </w:rPr>
              <w:t>insecurity</w:t>
            </w:r>
          </w:p>
        </w:tc>
      </w:tr>
      <w:tr w:rsidR="004C0FB9" w:rsidRPr="000B1E5B" w14:paraId="3A883332" w14:textId="77777777" w:rsidTr="004109F2">
        <w:tc>
          <w:tcPr>
            <w:tcW w:w="2254" w:type="dxa"/>
          </w:tcPr>
          <w:p w14:paraId="1103704A" w14:textId="77777777" w:rsidR="004C0FB9" w:rsidRPr="000B1E5B" w:rsidRDefault="004C0FB9" w:rsidP="004C0FB9">
            <w:pPr>
              <w:pStyle w:val="TableParagraph"/>
              <w:jc w:val="both"/>
              <w:rPr>
                <w:rFonts w:ascii="Arial" w:hAnsi="Arial" w:cs="Arial"/>
                <w:sz w:val="20"/>
                <w:szCs w:val="20"/>
              </w:rPr>
            </w:pPr>
            <w:r w:rsidRPr="000B1E5B">
              <w:rPr>
                <w:rFonts w:ascii="Arial" w:hAnsi="Arial" w:cs="Arial"/>
                <w:spacing w:val="-2"/>
                <w:sz w:val="20"/>
                <w:szCs w:val="20"/>
              </w:rPr>
              <w:t>Interpersonal</w:t>
            </w:r>
          </w:p>
          <w:p w14:paraId="2146BF07" w14:textId="4BF77C9B" w:rsidR="004C0FB9" w:rsidRPr="000B1E5B" w:rsidRDefault="004C0FB9" w:rsidP="004C0FB9">
            <w:pPr>
              <w:jc w:val="both"/>
              <w:rPr>
                <w:rFonts w:ascii="Arial" w:hAnsi="Arial" w:cs="Arial"/>
                <w:sz w:val="20"/>
                <w:szCs w:val="20"/>
              </w:rPr>
            </w:pPr>
            <w:r w:rsidRPr="000B1E5B">
              <w:rPr>
                <w:rFonts w:ascii="Arial" w:hAnsi="Arial" w:cs="Arial"/>
                <w:spacing w:val="-2"/>
                <w:sz w:val="20"/>
                <w:szCs w:val="20"/>
              </w:rPr>
              <w:t>Cosmopolite</w:t>
            </w:r>
          </w:p>
        </w:tc>
        <w:tc>
          <w:tcPr>
            <w:tcW w:w="2254" w:type="dxa"/>
          </w:tcPr>
          <w:p w14:paraId="321B40C4" w14:textId="78F985A7"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 xml:space="preserve">Negative </w:t>
            </w:r>
            <w:r w:rsidRPr="000B1E5B">
              <w:rPr>
                <w:rFonts w:ascii="Arial" w:hAnsi="Arial" w:cs="Arial"/>
                <w:spacing w:val="-2"/>
                <w:sz w:val="20"/>
                <w:szCs w:val="20"/>
              </w:rPr>
              <w:t>(***)</w:t>
            </w:r>
          </w:p>
        </w:tc>
        <w:tc>
          <w:tcPr>
            <w:tcW w:w="2254" w:type="dxa"/>
          </w:tcPr>
          <w:p w14:paraId="5A907525" w14:textId="127B1EA7"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Negative (**)</w:t>
            </w:r>
          </w:p>
        </w:tc>
        <w:tc>
          <w:tcPr>
            <w:tcW w:w="2254" w:type="dxa"/>
          </w:tcPr>
          <w:p w14:paraId="1EF3A080" w14:textId="77777777" w:rsidR="004C0FB9" w:rsidRPr="000B1E5B" w:rsidRDefault="004C0FB9" w:rsidP="004C0FB9">
            <w:pPr>
              <w:pStyle w:val="TableParagraph"/>
              <w:ind w:left="120"/>
              <w:rPr>
                <w:rFonts w:ascii="Arial" w:hAnsi="Arial" w:cs="Arial"/>
                <w:sz w:val="20"/>
                <w:szCs w:val="20"/>
              </w:rPr>
            </w:pPr>
            <w:r w:rsidRPr="000B1E5B">
              <w:rPr>
                <w:rFonts w:ascii="Arial" w:hAnsi="Arial" w:cs="Arial"/>
                <w:spacing w:val="-4"/>
                <w:sz w:val="20"/>
                <w:szCs w:val="20"/>
              </w:rPr>
              <w:t>External connections and networks strongly protect</w:t>
            </w:r>
          </w:p>
          <w:p w14:paraId="72EAF364" w14:textId="036111F1"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against food insecurity</w:t>
            </w:r>
          </w:p>
        </w:tc>
      </w:tr>
      <w:tr w:rsidR="004C0FB9" w:rsidRPr="000B1E5B" w14:paraId="5B98FE49" w14:textId="77777777" w:rsidTr="004109F2">
        <w:tc>
          <w:tcPr>
            <w:tcW w:w="2254" w:type="dxa"/>
          </w:tcPr>
          <w:p w14:paraId="1760135C" w14:textId="77777777" w:rsidR="004C0FB9" w:rsidRPr="000B1E5B" w:rsidRDefault="004C0FB9" w:rsidP="004C0FB9">
            <w:pPr>
              <w:pStyle w:val="TableParagraph"/>
              <w:jc w:val="both"/>
              <w:rPr>
                <w:rFonts w:ascii="Arial" w:hAnsi="Arial" w:cs="Arial"/>
                <w:sz w:val="20"/>
                <w:szCs w:val="20"/>
              </w:rPr>
            </w:pPr>
            <w:r w:rsidRPr="000B1E5B">
              <w:rPr>
                <w:rFonts w:ascii="Arial" w:hAnsi="Arial" w:cs="Arial"/>
                <w:spacing w:val="-2"/>
                <w:sz w:val="20"/>
                <w:szCs w:val="20"/>
              </w:rPr>
              <w:t>Household</w:t>
            </w:r>
          </w:p>
          <w:p w14:paraId="3C670393" w14:textId="5BD365EB" w:rsidR="004C0FB9" w:rsidRPr="000B1E5B" w:rsidRDefault="004C0FB9" w:rsidP="004C0FB9">
            <w:pPr>
              <w:pStyle w:val="TableParagraph"/>
              <w:jc w:val="both"/>
              <w:rPr>
                <w:rFonts w:ascii="Arial" w:hAnsi="Arial" w:cs="Arial"/>
                <w:spacing w:val="-2"/>
                <w:sz w:val="20"/>
                <w:szCs w:val="20"/>
              </w:rPr>
            </w:pPr>
            <w:r w:rsidRPr="000B1E5B">
              <w:rPr>
                <w:rFonts w:ascii="Arial" w:hAnsi="Arial" w:cs="Arial"/>
                <w:spacing w:val="-4"/>
                <w:sz w:val="20"/>
                <w:szCs w:val="20"/>
              </w:rPr>
              <w:t xml:space="preserve">Education </w:t>
            </w:r>
            <w:r w:rsidRPr="000B1E5B">
              <w:rPr>
                <w:rFonts w:ascii="Arial" w:hAnsi="Arial" w:cs="Arial"/>
                <w:spacing w:val="-2"/>
                <w:sz w:val="20"/>
                <w:szCs w:val="20"/>
              </w:rPr>
              <w:t>Years</w:t>
            </w:r>
          </w:p>
        </w:tc>
        <w:tc>
          <w:tcPr>
            <w:tcW w:w="2254" w:type="dxa"/>
          </w:tcPr>
          <w:p w14:paraId="5700EA01" w14:textId="2E805A7C" w:rsidR="004C0FB9" w:rsidRPr="000B1E5B" w:rsidRDefault="004C0FB9" w:rsidP="004C0FB9">
            <w:pPr>
              <w:jc w:val="both"/>
              <w:rPr>
                <w:rFonts w:ascii="Arial" w:hAnsi="Arial" w:cs="Arial"/>
                <w:spacing w:val="-4"/>
                <w:sz w:val="20"/>
                <w:szCs w:val="20"/>
              </w:rPr>
            </w:pPr>
            <w:r w:rsidRPr="000B1E5B">
              <w:rPr>
                <w:rFonts w:ascii="Arial" w:hAnsi="Arial" w:cs="Arial"/>
                <w:spacing w:val="-4"/>
                <w:sz w:val="20"/>
                <w:szCs w:val="20"/>
              </w:rPr>
              <w:t xml:space="preserve">Negative </w:t>
            </w:r>
            <w:r w:rsidRPr="000B1E5B">
              <w:rPr>
                <w:rFonts w:ascii="Arial" w:hAnsi="Arial" w:cs="Arial"/>
                <w:spacing w:val="-5"/>
                <w:sz w:val="20"/>
                <w:szCs w:val="20"/>
              </w:rPr>
              <w:t>(*)</w:t>
            </w:r>
          </w:p>
        </w:tc>
        <w:tc>
          <w:tcPr>
            <w:tcW w:w="2254" w:type="dxa"/>
          </w:tcPr>
          <w:p w14:paraId="591E0CC4" w14:textId="1853B846"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 xml:space="preserve">Negative </w:t>
            </w:r>
            <w:r w:rsidRPr="000B1E5B">
              <w:rPr>
                <w:rFonts w:ascii="Arial" w:hAnsi="Arial" w:cs="Arial"/>
                <w:spacing w:val="-5"/>
                <w:sz w:val="20"/>
                <w:szCs w:val="20"/>
              </w:rPr>
              <w:t>(†)</w:t>
            </w:r>
          </w:p>
        </w:tc>
        <w:tc>
          <w:tcPr>
            <w:tcW w:w="2254" w:type="dxa"/>
          </w:tcPr>
          <w:p w14:paraId="3DF9E9F2" w14:textId="77777777" w:rsidR="004C0FB9" w:rsidRPr="000B1E5B" w:rsidRDefault="004C0FB9" w:rsidP="004C0FB9">
            <w:pPr>
              <w:pStyle w:val="TableParagraph"/>
              <w:ind w:left="120"/>
              <w:rPr>
                <w:rFonts w:ascii="Arial" w:hAnsi="Arial" w:cs="Arial"/>
                <w:sz w:val="20"/>
                <w:szCs w:val="20"/>
              </w:rPr>
            </w:pPr>
            <w:r w:rsidRPr="000B1E5B">
              <w:rPr>
                <w:rFonts w:ascii="Arial" w:hAnsi="Arial" w:cs="Arial"/>
                <w:spacing w:val="-4"/>
                <w:sz w:val="20"/>
                <w:szCs w:val="20"/>
              </w:rPr>
              <w:t>Education serves as a protective factor against food</w:t>
            </w:r>
          </w:p>
          <w:p w14:paraId="70DCA453" w14:textId="3790C6E0" w:rsidR="004C0FB9" w:rsidRPr="000B1E5B" w:rsidRDefault="004C0FB9" w:rsidP="004C0FB9">
            <w:pPr>
              <w:jc w:val="both"/>
              <w:rPr>
                <w:rFonts w:ascii="Arial" w:hAnsi="Arial" w:cs="Arial"/>
                <w:sz w:val="20"/>
                <w:szCs w:val="20"/>
              </w:rPr>
            </w:pPr>
            <w:r w:rsidRPr="000B1E5B">
              <w:rPr>
                <w:rFonts w:ascii="Arial" w:hAnsi="Arial" w:cs="Arial"/>
                <w:spacing w:val="-2"/>
                <w:sz w:val="20"/>
                <w:szCs w:val="20"/>
              </w:rPr>
              <w:t>insecurity</w:t>
            </w:r>
          </w:p>
        </w:tc>
      </w:tr>
    </w:tbl>
    <w:p w14:paraId="51793E54" w14:textId="07C2F19D" w:rsidR="00DC3ED6" w:rsidRDefault="00DC3ED6" w:rsidP="00DC3ED6">
      <w:pPr>
        <w:jc w:val="both"/>
        <w:rPr>
          <w:rFonts w:ascii="Arial" w:hAnsi="Arial" w:cs="Arial"/>
          <w:sz w:val="20"/>
          <w:szCs w:val="20"/>
        </w:rPr>
      </w:pPr>
      <w:r w:rsidRPr="00DC3ED6">
        <w:rPr>
          <w:rFonts w:ascii="Arial" w:hAnsi="Arial" w:cs="Arial"/>
          <w:sz w:val="20"/>
          <w:szCs w:val="20"/>
        </w:rPr>
        <w:t>*** Indicates significant at 1% level of significance, in a two-tailed test, ** Indicates significant at 5% level of significance, in a two</w:t>
      </w:r>
      <w:r w:rsidR="006B3B12">
        <w:rPr>
          <w:rFonts w:ascii="Arial" w:hAnsi="Arial" w:cs="Arial"/>
          <w:sz w:val="20"/>
          <w:szCs w:val="20"/>
        </w:rPr>
        <w:t xml:space="preserve"> </w:t>
      </w:r>
      <w:r w:rsidRPr="00DC3ED6">
        <w:rPr>
          <w:rFonts w:ascii="Arial" w:hAnsi="Arial" w:cs="Arial"/>
          <w:sz w:val="20"/>
          <w:szCs w:val="20"/>
        </w:rPr>
        <w:t>tailed</w:t>
      </w:r>
      <w:r w:rsidR="00A87045">
        <w:rPr>
          <w:rFonts w:ascii="Arial" w:hAnsi="Arial" w:cs="Arial"/>
          <w:sz w:val="20"/>
          <w:szCs w:val="20"/>
        </w:rPr>
        <w:t xml:space="preserve"> </w:t>
      </w:r>
      <w:r w:rsidRPr="00DC3ED6">
        <w:rPr>
          <w:rFonts w:ascii="Arial" w:hAnsi="Arial" w:cs="Arial"/>
          <w:sz w:val="20"/>
          <w:szCs w:val="20"/>
        </w:rPr>
        <w:t>test, * Indicates significant at 10% level of significance, in a two-tailed test.</w:t>
      </w:r>
    </w:p>
    <w:p w14:paraId="760840E3" w14:textId="73EEF229" w:rsidR="004C0FB9" w:rsidRPr="000B1E5B" w:rsidRDefault="004C0FB9" w:rsidP="004C0FB9">
      <w:pPr>
        <w:jc w:val="both"/>
        <w:rPr>
          <w:rFonts w:ascii="Arial" w:hAnsi="Arial" w:cs="Arial"/>
          <w:sz w:val="20"/>
          <w:szCs w:val="20"/>
        </w:rPr>
      </w:pPr>
      <w:r w:rsidRPr="004C0FB9">
        <w:rPr>
          <w:rFonts w:ascii="Arial" w:hAnsi="Arial" w:cs="Arial"/>
          <w:sz w:val="20"/>
          <w:szCs w:val="20"/>
        </w:rPr>
        <w:t xml:space="preserve">Important factors affecting the degree of food insecurity in the Sundarbans are shown in Table </w:t>
      </w:r>
      <w:r w:rsidR="009357BA">
        <w:rPr>
          <w:rFonts w:ascii="Arial" w:hAnsi="Arial" w:cs="Arial"/>
          <w:sz w:val="20"/>
          <w:szCs w:val="20"/>
        </w:rPr>
        <w:t>6</w:t>
      </w:r>
      <w:r w:rsidRPr="004C0FB9">
        <w:rPr>
          <w:rFonts w:ascii="Arial" w:hAnsi="Arial" w:cs="Arial"/>
          <w:sz w:val="20"/>
          <w:szCs w:val="20"/>
        </w:rPr>
        <w:t>. While access to farmed land has little influence on extreme food hardship, it dramatically lowers moderate food insecurity. While agricultural extension services guard against food insecurity, especially in extreme circumstances, debt raises risk on both fronts. While missing meals is significantly linked to just moderate food insecurity, formal in-kind transfers have a positive influence on food security across all categories. Household education years and social capital, as determined by interpersonal relationships, are important protective factors against moderate and severe food insecurity. To reduce food insecurity in the area, our findings highlight the necessity of focused interventions that address social networks, education, debt management, land access, and food assistance programs.</w:t>
      </w:r>
      <w:r w:rsidR="00473962" w:rsidRPr="000B1E5B">
        <w:rPr>
          <w:rFonts w:ascii="Arial" w:hAnsi="Arial" w:cs="Arial"/>
          <w:sz w:val="20"/>
          <w:szCs w:val="20"/>
        </w:rPr>
        <w:t xml:space="preserve"> The implications for food security span multiple dimensions, emphasizing the need for integrative approaches to ensure equitable access to food. Socio-economic factors like income levels, land access, education, and social networks significantly shape household resilience. Policies addressing poverty, inequality, and livelihood opportunities are crucial to reducing vulnerability. Climate and environmental changes, including extreme weather events and resource depletion, directly threaten agricultural productivity, highlighting the importance of sustainable farming practices and disaster preparedness. </w:t>
      </w:r>
      <w:proofErr w:type="spellStart"/>
      <w:r w:rsidR="00473962" w:rsidRPr="000B1E5B">
        <w:rPr>
          <w:rFonts w:ascii="Arial" w:hAnsi="Arial" w:cs="Arial"/>
          <w:sz w:val="20"/>
          <w:szCs w:val="20"/>
        </w:rPr>
        <w:t>Behavioral</w:t>
      </w:r>
      <w:proofErr w:type="spellEnd"/>
      <w:r w:rsidR="00473962" w:rsidRPr="000B1E5B">
        <w:rPr>
          <w:rFonts w:ascii="Arial" w:hAnsi="Arial" w:cs="Arial"/>
          <w:sz w:val="20"/>
          <w:szCs w:val="20"/>
        </w:rPr>
        <w:t xml:space="preserve"> aspects, such as coping strategies like skipping meals, reflect immediate responses to food insecurity but may result in long-term health consequences, requiring interventions that reduce reliance on such measures. Additionally, effective government policies, including food assistance programs, infrastructural development, and market access initiatives, play a pivotal role in building food systems that are stable and adaptable. Overall, addressing food security requires holistic solutions combining socio-economic development, environmental sustainability, and targeted policy interventions to ensure global food resilience.</w:t>
      </w:r>
    </w:p>
    <w:p w14:paraId="7D9E59FF" w14:textId="43AB6E05" w:rsidR="0097433B" w:rsidRPr="000B1E5B" w:rsidRDefault="0097433B" w:rsidP="004C0FB9">
      <w:pPr>
        <w:jc w:val="both"/>
        <w:rPr>
          <w:rFonts w:ascii="Arial" w:hAnsi="Arial" w:cs="Arial"/>
          <w:b/>
          <w:bCs/>
        </w:rPr>
      </w:pPr>
      <w:r w:rsidRPr="000B1E5B">
        <w:rPr>
          <w:rFonts w:ascii="Arial" w:hAnsi="Arial" w:cs="Arial"/>
          <w:b/>
          <w:bCs/>
        </w:rPr>
        <w:t>CONCLUSION</w:t>
      </w:r>
    </w:p>
    <w:p w14:paraId="24B91C26" w14:textId="77777777" w:rsidR="0097433B" w:rsidRPr="0097433B" w:rsidRDefault="0097433B" w:rsidP="0097433B">
      <w:pPr>
        <w:jc w:val="both"/>
        <w:rPr>
          <w:rFonts w:ascii="Arial" w:hAnsi="Arial" w:cs="Arial"/>
          <w:sz w:val="20"/>
          <w:szCs w:val="20"/>
        </w:rPr>
      </w:pPr>
      <w:r w:rsidRPr="0097433B">
        <w:rPr>
          <w:rFonts w:ascii="Arial" w:hAnsi="Arial" w:cs="Arial"/>
          <w:sz w:val="20"/>
          <w:szCs w:val="20"/>
        </w:rPr>
        <w:t xml:space="preserve">The study provides crucial insights into the socio-economic determinants of food insecurity in the Sundarbans, emphasizing the importance of targeted interventions to enhance food security in this ecologically fragile region. Key findings reveal that factors such as access to cultivated land, household </w:t>
      </w:r>
      <w:r w:rsidRPr="0097433B">
        <w:rPr>
          <w:rFonts w:ascii="Arial" w:hAnsi="Arial" w:cs="Arial"/>
          <w:sz w:val="20"/>
          <w:szCs w:val="20"/>
        </w:rPr>
        <w:lastRenderedPageBreak/>
        <w:t>education, social capital, agricultural extension services, and formal in-kind transfers serve as protective mechanisms against food insecurity, while indebtedness and coping strategies like skipped meals exacerbate vulnerability. The multinomial logistic regression model demonstrates strong predictive accuracy, highlighting the interplay of socio-economic and environmental factors influencing food insecurity. These results underscore the urgent need for comprehensive policies that address systemic issues such as poverty, inequality, and resource management, while promoting sustainable agricultural practices and resilience-building programs. By integrating socio-economic development, climate adaptation strategies, and community-based interventions, policymakers can reduce food insecurity and foster long-term stability for vulnerable populations in the Sundarbans and beyond. This research contributes valuable evidence for designing effective measures to combat food insecurity, ensuring equitable and sustainable food systems in the face of growing environmental and socio-economic challenges.</w:t>
      </w:r>
    </w:p>
    <w:p w14:paraId="12DED234" w14:textId="77777777" w:rsidR="0097433B" w:rsidRPr="000B1E5B" w:rsidRDefault="0097433B" w:rsidP="0097433B">
      <w:pPr>
        <w:jc w:val="both"/>
        <w:rPr>
          <w:rFonts w:ascii="Arial" w:hAnsi="Arial" w:cs="Arial"/>
          <w:b/>
          <w:bCs/>
        </w:rPr>
      </w:pPr>
      <w:bookmarkStart w:id="1" w:name="_GoBack"/>
      <w:bookmarkEnd w:id="1"/>
      <w:r w:rsidRPr="000B1E5B">
        <w:rPr>
          <w:rFonts w:ascii="Arial" w:hAnsi="Arial" w:cs="Arial"/>
          <w:b/>
          <w:bCs/>
        </w:rPr>
        <w:t>CONSENT</w:t>
      </w:r>
    </w:p>
    <w:p w14:paraId="0932D1BC" w14:textId="77777777" w:rsidR="0097433B" w:rsidRPr="000B1E5B" w:rsidRDefault="0097433B" w:rsidP="0097433B">
      <w:pPr>
        <w:jc w:val="both"/>
        <w:rPr>
          <w:rFonts w:ascii="Arial" w:hAnsi="Arial" w:cs="Arial"/>
          <w:sz w:val="20"/>
          <w:szCs w:val="20"/>
        </w:rPr>
      </w:pPr>
      <w:r w:rsidRPr="000B1E5B">
        <w:rPr>
          <w:rFonts w:ascii="Arial" w:hAnsi="Arial" w:cs="Arial"/>
          <w:sz w:val="20"/>
          <w:szCs w:val="20"/>
        </w:rPr>
        <w:t>All participants involved in the study provided informed consent prior to their inclusion. Participation was voluntary, and respondents were assured of their anonymity and confidentiality throughout the research process.</w:t>
      </w:r>
    </w:p>
    <w:p w14:paraId="7DA4DFA7" w14:textId="77777777" w:rsidR="0097433B" w:rsidRPr="000B1E5B" w:rsidRDefault="0097433B" w:rsidP="0097433B">
      <w:pPr>
        <w:jc w:val="both"/>
        <w:rPr>
          <w:rFonts w:ascii="Arial" w:hAnsi="Arial" w:cs="Arial"/>
          <w:b/>
          <w:bCs/>
        </w:rPr>
      </w:pPr>
      <w:r w:rsidRPr="000B1E5B">
        <w:rPr>
          <w:rFonts w:ascii="Arial" w:hAnsi="Arial" w:cs="Arial"/>
          <w:b/>
          <w:bCs/>
        </w:rPr>
        <w:t>ETHICAL APPROVAL</w:t>
      </w:r>
    </w:p>
    <w:p w14:paraId="37FDAD4F" w14:textId="37D8BD3E" w:rsidR="0097433B" w:rsidRPr="000B1E5B" w:rsidRDefault="0097433B" w:rsidP="0097433B">
      <w:pPr>
        <w:jc w:val="both"/>
        <w:rPr>
          <w:rFonts w:ascii="Arial" w:hAnsi="Arial" w:cs="Arial"/>
        </w:rPr>
      </w:pPr>
      <w:r w:rsidRPr="000B1E5B">
        <w:rPr>
          <w:rFonts w:ascii="Arial" w:hAnsi="Arial" w:cs="Arial"/>
          <w:sz w:val="20"/>
          <w:szCs w:val="20"/>
        </w:rPr>
        <w:t>This study was conducted in strict adherence to ethical research principles and received formal ethical clearance from [Name of Ethical Committee/Board]. The approval ensured that the study adhered to guidelines for the protection of human subjects, ensuring respect, safety, and confidentiality for all participants</w:t>
      </w:r>
      <w:r w:rsidRPr="000B1E5B">
        <w:rPr>
          <w:rFonts w:ascii="Arial" w:hAnsi="Arial" w:cs="Arial"/>
        </w:rPr>
        <w:t>.</w:t>
      </w:r>
    </w:p>
    <w:p w14:paraId="47172391" w14:textId="03F2315B" w:rsidR="00851A31" w:rsidRPr="005C5CDB" w:rsidRDefault="00763ABF" w:rsidP="00851A31">
      <w:pPr>
        <w:jc w:val="both"/>
        <w:rPr>
          <w:rFonts w:ascii="Arial" w:hAnsi="Arial" w:cs="Arial"/>
        </w:rPr>
      </w:pPr>
      <w:r>
        <w:rPr>
          <w:rFonts w:ascii="Arial" w:hAnsi="Arial" w:cs="Arial"/>
        </w:rPr>
        <w:t>REFERENCES</w:t>
      </w:r>
    </w:p>
    <w:p w14:paraId="32D42515" w14:textId="77777777" w:rsidR="003A744B" w:rsidRPr="006A5C82" w:rsidRDefault="003A744B" w:rsidP="006A5C82">
      <w:pPr>
        <w:ind w:left="720" w:hanging="720"/>
        <w:jc w:val="both"/>
        <w:rPr>
          <w:rFonts w:ascii="Arial" w:hAnsi="Arial" w:cs="Arial"/>
        </w:rPr>
      </w:pPr>
      <w:r w:rsidRPr="006A5C82">
        <w:rPr>
          <w:rFonts w:ascii="Arial" w:hAnsi="Arial" w:cs="Arial"/>
        </w:rPr>
        <w:t xml:space="preserve">Bera, A., &amp; Saha, R. (2021). Salinity intrusion and its impact on food security in the Indian Sundarbans. Environmental Economics and Policy Studies, 24(3), 287-305. </w:t>
      </w:r>
      <w:hyperlink r:id="rId8" w:history="1">
        <w:r w:rsidRPr="006A5C82">
          <w:rPr>
            <w:rStyle w:val="Hyperlink"/>
            <w:rFonts w:ascii="Arial" w:hAnsi="Arial" w:cs="Arial"/>
          </w:rPr>
          <w:t>https://doi.org/10.1007/s10018-021-00312-5</w:t>
        </w:r>
      </w:hyperlink>
    </w:p>
    <w:p w14:paraId="0F9F57E5" w14:textId="77777777" w:rsidR="003A744B" w:rsidRPr="006A5C82" w:rsidRDefault="003A744B" w:rsidP="006A5C82">
      <w:pPr>
        <w:ind w:left="720" w:hanging="720"/>
        <w:jc w:val="both"/>
        <w:rPr>
          <w:rFonts w:ascii="Arial" w:hAnsi="Arial" w:cs="Arial"/>
        </w:rPr>
      </w:pPr>
      <w:r w:rsidRPr="006A5C82">
        <w:rPr>
          <w:rFonts w:ascii="Arial" w:hAnsi="Arial" w:cs="Arial"/>
        </w:rPr>
        <w:t xml:space="preserve">Chowdhury, A., &amp; Ghosh, T. (2022). Food insecurity and household resilience in the Sundarbans. Journal of Rural Development, 39(2), 78-96. </w:t>
      </w:r>
      <w:hyperlink r:id="rId9" w:history="1">
        <w:r w:rsidRPr="006A5C82">
          <w:rPr>
            <w:rStyle w:val="Hyperlink"/>
            <w:rFonts w:ascii="Arial" w:hAnsi="Arial" w:cs="Arial"/>
          </w:rPr>
          <w:t>https://ruraldevjournal.in/article/view/312</w:t>
        </w:r>
      </w:hyperlink>
    </w:p>
    <w:p w14:paraId="6EFBA7AF" w14:textId="77777777" w:rsidR="003A744B" w:rsidRPr="006A5C82" w:rsidRDefault="003A744B" w:rsidP="006A5C82">
      <w:pPr>
        <w:ind w:left="720" w:hanging="720"/>
        <w:jc w:val="both"/>
        <w:rPr>
          <w:rFonts w:ascii="Arial" w:hAnsi="Arial" w:cs="Arial"/>
        </w:rPr>
      </w:pPr>
      <w:r w:rsidRPr="006A5C82">
        <w:rPr>
          <w:rFonts w:ascii="Arial" w:hAnsi="Arial" w:cs="Arial"/>
        </w:rPr>
        <w:t xml:space="preserve">Danda, A. (2021). Climate vulnerabilities and livelihood adaptations in the Sundarbans. Coastal Management Journal, 49(1), 12-30. https://doi.org/10.1080/08920753.2021.1876442. </w:t>
      </w:r>
      <w:hyperlink r:id="rId10" w:history="1">
        <w:r w:rsidRPr="006A5C82">
          <w:rPr>
            <w:rStyle w:val="Hyperlink"/>
            <w:rFonts w:ascii="Arial" w:hAnsi="Arial" w:cs="Arial"/>
          </w:rPr>
          <w:t>https://doi.org/10.1080/08920753.2021.1876442</w:t>
        </w:r>
      </w:hyperlink>
    </w:p>
    <w:p w14:paraId="475CC6F4" w14:textId="77777777" w:rsidR="003A744B" w:rsidRPr="006A5C82" w:rsidRDefault="003A744B" w:rsidP="006A5C82">
      <w:pPr>
        <w:ind w:left="720" w:hanging="720"/>
        <w:jc w:val="both"/>
        <w:rPr>
          <w:rFonts w:ascii="Arial" w:hAnsi="Arial" w:cs="Arial"/>
        </w:rPr>
      </w:pPr>
      <w:r w:rsidRPr="006A5C82">
        <w:rPr>
          <w:rFonts w:ascii="Arial" w:hAnsi="Arial" w:cs="Arial"/>
        </w:rPr>
        <w:t xml:space="preserve">Economist Intelligence Unit (EIU). (2023). Global Food Security Index 2023. Retrieved from </w:t>
      </w:r>
      <w:hyperlink r:id="rId11" w:history="1">
        <w:r w:rsidRPr="006A5C82">
          <w:rPr>
            <w:rStyle w:val="Hyperlink"/>
            <w:rFonts w:ascii="Arial" w:hAnsi="Arial" w:cs="Arial"/>
          </w:rPr>
          <w:t>https://impact.economist.com/sustainability/project/food-security-index</w:t>
        </w:r>
      </w:hyperlink>
      <w:r w:rsidRPr="006A5C82">
        <w:rPr>
          <w:rFonts w:ascii="Arial" w:hAnsi="Arial" w:cs="Arial"/>
        </w:rPr>
        <w:t>.</w:t>
      </w:r>
    </w:p>
    <w:p w14:paraId="4D496B83" w14:textId="77777777" w:rsidR="003A744B" w:rsidRPr="006A5C82" w:rsidRDefault="003A744B" w:rsidP="006A5C82">
      <w:pPr>
        <w:ind w:left="720" w:hanging="720"/>
        <w:jc w:val="both"/>
        <w:rPr>
          <w:rFonts w:ascii="Arial" w:hAnsi="Arial" w:cs="Arial"/>
        </w:rPr>
      </w:pPr>
      <w:r w:rsidRPr="006A5C82">
        <w:rPr>
          <w:rFonts w:ascii="Arial" w:hAnsi="Arial" w:cs="Arial"/>
        </w:rPr>
        <w:t xml:space="preserve">FAO, IFAD, UNICEF, WFP, &amp; WHO. (2022). The state of food security and nutrition in the world 2022. Food and Agriculture Organization. </w:t>
      </w:r>
      <w:hyperlink r:id="rId12" w:history="1">
        <w:r w:rsidRPr="006A5C82">
          <w:rPr>
            <w:rStyle w:val="Hyperlink"/>
            <w:rFonts w:ascii="Arial" w:hAnsi="Arial" w:cs="Arial"/>
          </w:rPr>
          <w:t>https://www.fao.org/documents/card/en/c/cc0639en</w:t>
        </w:r>
      </w:hyperlink>
    </w:p>
    <w:p w14:paraId="14AE5782" w14:textId="77777777" w:rsidR="003A744B" w:rsidRPr="006A5C82" w:rsidRDefault="003A744B" w:rsidP="006A5C82">
      <w:pPr>
        <w:ind w:left="720" w:hanging="720"/>
        <w:jc w:val="both"/>
        <w:rPr>
          <w:rFonts w:ascii="Arial" w:hAnsi="Arial" w:cs="Arial"/>
        </w:rPr>
      </w:pPr>
      <w:r w:rsidRPr="006A5C82">
        <w:rPr>
          <w:rFonts w:ascii="Arial" w:hAnsi="Arial" w:cs="Arial"/>
        </w:rPr>
        <w:t xml:space="preserve">FAO. (2023). The state of food security and nutrition in the world 2023. Food and Agriculture Organization. </w:t>
      </w:r>
      <w:hyperlink r:id="rId13" w:history="1">
        <w:r w:rsidRPr="006A5C82">
          <w:rPr>
            <w:rStyle w:val="Hyperlink"/>
            <w:rFonts w:ascii="Arial" w:hAnsi="Arial" w:cs="Arial"/>
          </w:rPr>
          <w:t>https://www.fao.org/publications/sofi/2023/en/</w:t>
        </w:r>
      </w:hyperlink>
    </w:p>
    <w:p w14:paraId="7F5FE4AC" w14:textId="77777777" w:rsidR="003A744B" w:rsidRPr="006A5C82" w:rsidRDefault="003A744B" w:rsidP="006A5C82">
      <w:pPr>
        <w:ind w:left="720" w:hanging="720"/>
        <w:jc w:val="both"/>
        <w:rPr>
          <w:rFonts w:ascii="Arial" w:hAnsi="Arial" w:cs="Arial"/>
        </w:rPr>
      </w:pPr>
      <w:r w:rsidRPr="006A5C82">
        <w:rPr>
          <w:rFonts w:ascii="Arial" w:hAnsi="Arial" w:cs="Arial"/>
        </w:rPr>
        <w:t xml:space="preserve">Greene, W. H. (2018). Econometric analysis (8th ed.). Pearson. </w:t>
      </w:r>
      <w:hyperlink r:id="rId14" w:history="1">
        <w:r w:rsidRPr="006A5C82">
          <w:rPr>
            <w:rStyle w:val="Hyperlink"/>
            <w:rFonts w:ascii="Arial" w:hAnsi="Arial" w:cs="Arial"/>
          </w:rPr>
          <w:t>https://www.scirp.org/reference/referencespapers?referenceid=2920183</w:t>
        </w:r>
      </w:hyperlink>
    </w:p>
    <w:p w14:paraId="1CD4A182" w14:textId="77777777" w:rsidR="003A744B" w:rsidRPr="006A5C82" w:rsidRDefault="003A744B" w:rsidP="006A5C82">
      <w:pPr>
        <w:ind w:left="720" w:hanging="720"/>
        <w:jc w:val="both"/>
        <w:rPr>
          <w:rFonts w:ascii="Arial" w:hAnsi="Arial" w:cs="Arial"/>
        </w:rPr>
      </w:pPr>
      <w:r w:rsidRPr="006A5C82">
        <w:rPr>
          <w:rFonts w:ascii="Arial" w:hAnsi="Arial" w:cs="Arial"/>
          <w:lang w:val="sv-SE"/>
        </w:rPr>
        <w:t xml:space="preserve">Gujarati, D. N., &amp; Porter, D. C. (2020). </w:t>
      </w:r>
      <w:r w:rsidRPr="006A5C82">
        <w:rPr>
          <w:rFonts w:ascii="Arial" w:hAnsi="Arial" w:cs="Arial"/>
        </w:rPr>
        <w:t xml:space="preserve">Basic econometrics (6th ed.). McGraw Hill. </w:t>
      </w:r>
      <w:hyperlink r:id="rId15" w:history="1">
        <w:r w:rsidRPr="006A5C82">
          <w:rPr>
            <w:rStyle w:val="Hyperlink"/>
            <w:rFonts w:ascii="Arial" w:hAnsi="Arial" w:cs="Arial"/>
          </w:rPr>
          <w:t>http://dspace.kottakkalfarookcollege.edu.in:8001/jspui/bitstream/123456789/3846/1/Basic%20Econometrics%20(%20PDFDrive%20).pdf</w:t>
        </w:r>
      </w:hyperlink>
    </w:p>
    <w:p w14:paraId="2444B7FE" w14:textId="77777777" w:rsidR="003A744B" w:rsidRPr="006A5C82" w:rsidRDefault="003A744B" w:rsidP="006A5C82">
      <w:pPr>
        <w:ind w:left="720" w:hanging="720"/>
        <w:jc w:val="both"/>
        <w:rPr>
          <w:rFonts w:ascii="Arial" w:hAnsi="Arial" w:cs="Arial"/>
        </w:rPr>
      </w:pPr>
      <w:r w:rsidRPr="006A5C82">
        <w:rPr>
          <w:rFonts w:ascii="Arial" w:hAnsi="Arial" w:cs="Arial"/>
          <w:lang w:val="sv-SE"/>
        </w:rPr>
        <w:lastRenderedPageBreak/>
        <w:t xml:space="preserve">Hazra, S., Das, S., &amp; Ray, M. (2022). </w:t>
      </w:r>
      <w:r w:rsidRPr="006A5C82">
        <w:rPr>
          <w:rFonts w:ascii="Arial" w:hAnsi="Arial" w:cs="Arial"/>
        </w:rPr>
        <w:t xml:space="preserve">Climate change and agricultural vulnerability in the Sundarbans. Sustainability Science, 17(5), 821-837. https://doi.org/10.1007/s11625-022-01134-7. </w:t>
      </w:r>
      <w:hyperlink r:id="rId16" w:history="1">
        <w:r w:rsidRPr="006A5C82">
          <w:rPr>
            <w:rStyle w:val="Hyperlink"/>
            <w:rFonts w:ascii="Arial" w:hAnsi="Arial" w:cs="Arial"/>
          </w:rPr>
          <w:t>https://doi.org/10.1007/s11625-022-01134-7</w:t>
        </w:r>
      </w:hyperlink>
    </w:p>
    <w:p w14:paraId="7B5354DA" w14:textId="77777777" w:rsidR="003A744B" w:rsidRPr="006A5C82" w:rsidRDefault="003A744B" w:rsidP="006A5C82">
      <w:pPr>
        <w:ind w:left="720" w:hanging="720"/>
        <w:jc w:val="both"/>
        <w:rPr>
          <w:rFonts w:ascii="Arial" w:hAnsi="Arial" w:cs="Arial"/>
        </w:rPr>
      </w:pPr>
      <w:r w:rsidRPr="006A5C82">
        <w:rPr>
          <w:rFonts w:ascii="Arial" w:hAnsi="Arial" w:cs="Arial"/>
          <w:lang w:val="sv-SE"/>
        </w:rPr>
        <w:t xml:space="preserve">Lal, S. P., Kumar, S. K. N. and Shukla, G., (2025). </w:t>
      </w:r>
      <w:r w:rsidRPr="006A5C82">
        <w:rPr>
          <w:rFonts w:ascii="Arial" w:hAnsi="Arial" w:cs="Arial"/>
        </w:rPr>
        <w:t xml:space="preserve">Drivers of IPM Adoption among </w:t>
      </w:r>
      <w:proofErr w:type="spellStart"/>
      <w:r w:rsidRPr="006A5C82">
        <w:rPr>
          <w:rFonts w:ascii="Arial" w:hAnsi="Arial" w:cs="Arial"/>
        </w:rPr>
        <w:t>HybridTomato</w:t>
      </w:r>
      <w:proofErr w:type="spellEnd"/>
      <w:r w:rsidRPr="006A5C82">
        <w:rPr>
          <w:rFonts w:ascii="Arial" w:hAnsi="Arial" w:cs="Arial"/>
        </w:rPr>
        <w:t xml:space="preserve"> Farmers in Karnataka: Insights through </w:t>
      </w:r>
      <w:proofErr w:type="spellStart"/>
      <w:r w:rsidRPr="006A5C82">
        <w:rPr>
          <w:rFonts w:ascii="Arial" w:hAnsi="Arial" w:cs="Arial"/>
        </w:rPr>
        <w:t>Mlogit</w:t>
      </w:r>
      <w:proofErr w:type="spellEnd"/>
      <w:r w:rsidRPr="006A5C82">
        <w:rPr>
          <w:rFonts w:ascii="Arial" w:hAnsi="Arial" w:cs="Arial"/>
        </w:rPr>
        <w:t xml:space="preserve"> Model. Indian Journal of Extension Education. 61(1), 48-54. </w:t>
      </w:r>
      <w:hyperlink r:id="rId17" w:history="1">
        <w:r w:rsidRPr="006A5C82">
          <w:rPr>
            <w:rStyle w:val="Hyperlink"/>
            <w:rFonts w:ascii="Arial" w:hAnsi="Arial" w:cs="Arial"/>
          </w:rPr>
          <w:t>https://epubs.icar.org.in/index.php/IJEE/article/view/162263/58914</w:t>
        </w:r>
      </w:hyperlink>
      <w:r w:rsidRPr="006A5C82">
        <w:rPr>
          <w:rFonts w:ascii="Arial" w:hAnsi="Arial" w:cs="Arial"/>
        </w:rPr>
        <w:t xml:space="preserve">  </w:t>
      </w:r>
    </w:p>
    <w:p w14:paraId="46EB1745" w14:textId="77777777" w:rsidR="003A744B" w:rsidRPr="006A5C82" w:rsidRDefault="003A744B" w:rsidP="006A5C82">
      <w:pPr>
        <w:autoSpaceDE w:val="0"/>
        <w:autoSpaceDN w:val="0"/>
        <w:adjustRightInd w:val="0"/>
        <w:spacing w:after="0" w:line="276" w:lineRule="auto"/>
        <w:ind w:left="720" w:hanging="720"/>
        <w:jc w:val="both"/>
        <w:rPr>
          <w:rFonts w:ascii="Arial" w:hAnsi="Arial" w:cs="Arial"/>
          <w:sz w:val="24"/>
          <w:szCs w:val="24"/>
        </w:rPr>
      </w:pPr>
      <w:r w:rsidRPr="006A5C82">
        <w:rPr>
          <w:rFonts w:ascii="Arial" w:hAnsi="Arial" w:cs="Arial"/>
          <w:sz w:val="24"/>
          <w:szCs w:val="24"/>
          <w:lang w:val="sv-SE"/>
        </w:rPr>
        <w:t xml:space="preserve">Lal, S. P., Singh, K. M., Prakash, S. &amp; Samadder, S. (2023). </w:t>
      </w:r>
      <w:r w:rsidRPr="006A5C82">
        <w:rPr>
          <w:rFonts w:ascii="Arial" w:hAnsi="Arial" w:cs="Arial"/>
          <w:sz w:val="24"/>
          <w:szCs w:val="24"/>
        </w:rPr>
        <w:t xml:space="preserve">Grassroots innovations in agriculture: an application of binary logistic and perceptron artificial neural network vis-à-vis Bihar Krishi roadmap. Agricultural Economics Research Review, 36(Conference no), 207, ISSN 0974-0279. </w:t>
      </w:r>
    </w:p>
    <w:p w14:paraId="43E89772" w14:textId="77777777" w:rsidR="003A744B" w:rsidRPr="006A5C82" w:rsidRDefault="003A744B" w:rsidP="006A5C82">
      <w:pPr>
        <w:autoSpaceDE w:val="0"/>
        <w:autoSpaceDN w:val="0"/>
        <w:adjustRightInd w:val="0"/>
        <w:spacing w:after="0" w:line="276" w:lineRule="auto"/>
        <w:ind w:left="720" w:hanging="720"/>
        <w:jc w:val="both"/>
        <w:rPr>
          <w:rFonts w:ascii="Arial" w:hAnsi="Arial" w:cs="Arial"/>
          <w:sz w:val="24"/>
          <w:szCs w:val="24"/>
        </w:rPr>
      </w:pPr>
      <w:r w:rsidRPr="006A5C82">
        <w:rPr>
          <w:rFonts w:ascii="Arial" w:hAnsi="Arial" w:cs="Arial"/>
          <w:sz w:val="24"/>
          <w:szCs w:val="24"/>
        </w:rPr>
        <w:t>Lal, S.P. (2022).</w:t>
      </w:r>
      <w:r w:rsidRPr="006A5C82">
        <w:rPr>
          <w:rFonts w:ascii="Arial" w:hAnsi="Arial" w:cs="Arial"/>
          <w:sz w:val="24"/>
          <w:szCs w:val="24"/>
        </w:rPr>
        <w:tab/>
        <w:t xml:space="preserve">Predicting Resilience Determinants to Counter Farmers’ Suicide in National Calamity Devasted Area of India: A Binary Logistic Regression Analysis. Indian Journal of Extension Education, 58 (2), 1-7. </w:t>
      </w:r>
      <w:hyperlink r:id="rId18" w:history="1">
        <w:r w:rsidRPr="006A5C82">
          <w:rPr>
            <w:rStyle w:val="Hyperlink"/>
            <w:rFonts w:ascii="Arial" w:hAnsi="Arial" w:cs="Arial"/>
            <w:sz w:val="24"/>
            <w:szCs w:val="24"/>
          </w:rPr>
          <w:t>http://www.isee.org.in/uploadpaper/58,April%20-%20June,01.pdf</w:t>
        </w:r>
      </w:hyperlink>
    </w:p>
    <w:p w14:paraId="4D06C109" w14:textId="77777777" w:rsidR="003A744B" w:rsidRPr="006A5C82" w:rsidRDefault="003A744B" w:rsidP="006A5C82">
      <w:pPr>
        <w:ind w:left="720" w:hanging="720"/>
        <w:jc w:val="both"/>
        <w:rPr>
          <w:rFonts w:ascii="Arial" w:hAnsi="Arial" w:cs="Arial"/>
        </w:rPr>
      </w:pPr>
      <w:r w:rsidRPr="006A5C82">
        <w:rPr>
          <w:rFonts w:ascii="Arial" w:hAnsi="Arial" w:cs="Arial"/>
        </w:rPr>
        <w:t xml:space="preserve">Maddala, G. S. (1983). Limited-dependent and qualitative variables in econometrics. Cambridge University Press. </w:t>
      </w:r>
      <w:hyperlink r:id="rId19" w:history="1">
        <w:r w:rsidRPr="006A5C82">
          <w:rPr>
            <w:rStyle w:val="Hyperlink"/>
            <w:rFonts w:ascii="Arial" w:hAnsi="Arial" w:cs="Arial"/>
          </w:rPr>
          <w:t>https://doi.org/10.1017/CBO9780511805271</w:t>
        </w:r>
      </w:hyperlink>
    </w:p>
    <w:p w14:paraId="17286132" w14:textId="77777777" w:rsidR="003A744B" w:rsidRPr="006A5C82" w:rsidRDefault="003A744B" w:rsidP="006A5C82">
      <w:pPr>
        <w:ind w:left="720" w:hanging="720"/>
        <w:jc w:val="both"/>
        <w:rPr>
          <w:rFonts w:ascii="Arial" w:hAnsi="Arial" w:cs="Arial"/>
        </w:rPr>
      </w:pPr>
      <w:r w:rsidRPr="006A5C82">
        <w:rPr>
          <w:rFonts w:ascii="Arial" w:hAnsi="Arial" w:cs="Arial"/>
        </w:rPr>
        <w:t xml:space="preserve">McFadden, D. (1974). Conditional logit analysis of qualitative choice </w:t>
      </w:r>
      <w:proofErr w:type="spellStart"/>
      <w:r w:rsidRPr="006A5C82">
        <w:rPr>
          <w:rFonts w:ascii="Arial" w:hAnsi="Arial" w:cs="Arial"/>
        </w:rPr>
        <w:t>behavior</w:t>
      </w:r>
      <w:proofErr w:type="spellEnd"/>
      <w:r w:rsidRPr="006A5C82">
        <w:rPr>
          <w:rFonts w:ascii="Arial" w:hAnsi="Arial" w:cs="Arial"/>
        </w:rPr>
        <w:t xml:space="preserve">. In P. </w:t>
      </w:r>
      <w:proofErr w:type="spellStart"/>
      <w:r w:rsidRPr="006A5C82">
        <w:rPr>
          <w:rFonts w:ascii="Arial" w:hAnsi="Arial" w:cs="Arial"/>
        </w:rPr>
        <w:t>Zarembka</w:t>
      </w:r>
      <w:proofErr w:type="spellEnd"/>
      <w:r w:rsidRPr="006A5C82">
        <w:rPr>
          <w:rFonts w:ascii="Arial" w:hAnsi="Arial" w:cs="Arial"/>
        </w:rPr>
        <w:t xml:space="preserve"> (Ed.), Frontiers in Econometrics (pp. 105-142). Academic Press. </w:t>
      </w:r>
      <w:hyperlink r:id="rId20" w:history="1">
        <w:r w:rsidRPr="006A5C82">
          <w:rPr>
            <w:rStyle w:val="Hyperlink"/>
            <w:rFonts w:ascii="Arial" w:hAnsi="Arial" w:cs="Arial"/>
          </w:rPr>
          <w:t>https://www.scirp.org/reference/ReferencesPapers?ReferenceID=1421867</w:t>
        </w:r>
      </w:hyperlink>
    </w:p>
    <w:p w14:paraId="0325765D" w14:textId="77777777" w:rsidR="003A744B" w:rsidRPr="006A5C82" w:rsidRDefault="003A744B" w:rsidP="006A5C82">
      <w:pPr>
        <w:ind w:left="720" w:hanging="720"/>
        <w:jc w:val="both"/>
        <w:rPr>
          <w:rFonts w:ascii="Arial" w:hAnsi="Arial" w:cs="Arial"/>
        </w:rPr>
      </w:pPr>
      <w:r w:rsidRPr="006A5C82">
        <w:rPr>
          <w:rFonts w:ascii="Arial" w:hAnsi="Arial" w:cs="Arial"/>
        </w:rPr>
        <w:t xml:space="preserve">Mukherjee, P., Sen, D., &amp; Bhattacharya, R. (2023). Food security programs in the Sundarbans: A critical assessment. Development Policy Review, 41(4), 654-678. </w:t>
      </w:r>
      <w:hyperlink r:id="rId21" w:history="1">
        <w:r w:rsidRPr="006A5C82">
          <w:rPr>
            <w:rStyle w:val="Hyperlink"/>
            <w:rFonts w:ascii="Arial" w:hAnsi="Arial" w:cs="Arial"/>
          </w:rPr>
          <w:t>https://doi.org/10.1111/dpr.12681</w:t>
        </w:r>
      </w:hyperlink>
    </w:p>
    <w:p w14:paraId="4F3A6DEE" w14:textId="77777777" w:rsidR="003A744B" w:rsidRPr="006A5C82" w:rsidRDefault="003A744B" w:rsidP="006A5C82">
      <w:pPr>
        <w:ind w:left="720" w:hanging="720"/>
        <w:jc w:val="both"/>
        <w:rPr>
          <w:rFonts w:ascii="Arial" w:hAnsi="Arial" w:cs="Arial"/>
        </w:rPr>
      </w:pPr>
      <w:r w:rsidRPr="006A5C82">
        <w:rPr>
          <w:rFonts w:ascii="Arial" w:hAnsi="Arial" w:cs="Arial"/>
        </w:rPr>
        <w:t xml:space="preserve">Sen, B., &amp; Dutta, P. (2020). The role of education and market access in food security: A case study from the Sundarbans. Economic and Political Weekly, 55(7), 112-130. </w:t>
      </w:r>
      <w:hyperlink r:id="rId22" w:history="1">
        <w:r w:rsidRPr="006A5C82">
          <w:rPr>
            <w:rStyle w:val="Hyperlink"/>
            <w:rFonts w:ascii="Arial" w:hAnsi="Arial" w:cs="Arial"/>
          </w:rPr>
          <w:t>https://www.epw.in/journal/2020/7/research-articles/role-education-and-market-access-food-security.html</w:t>
        </w:r>
      </w:hyperlink>
    </w:p>
    <w:p w14:paraId="0F981A62" w14:textId="77777777" w:rsidR="003A744B" w:rsidRPr="006A5C82" w:rsidRDefault="003A744B" w:rsidP="006A5C82">
      <w:pPr>
        <w:tabs>
          <w:tab w:val="left" w:pos="720"/>
        </w:tabs>
        <w:spacing w:line="360" w:lineRule="auto"/>
        <w:ind w:left="720" w:hanging="720"/>
        <w:jc w:val="both"/>
        <w:rPr>
          <w:rFonts w:ascii="Arial" w:hAnsi="Arial" w:cs="Arial"/>
          <w:sz w:val="24"/>
          <w:szCs w:val="24"/>
        </w:rPr>
      </w:pPr>
      <w:bookmarkStart w:id="2" w:name="_Hlk179148900"/>
      <w:r w:rsidRPr="006A5C82">
        <w:rPr>
          <w:rFonts w:ascii="Arial" w:hAnsi="Arial" w:cs="Arial"/>
          <w:sz w:val="24"/>
          <w:szCs w:val="24"/>
          <w:lang w:val="sv-SE"/>
        </w:rPr>
        <w:t xml:space="preserve">Shukla, G., Ansari, M. N., Lal, S. P., Bandhavya, M. and Singh, P. (2024). </w:t>
      </w:r>
      <w:r w:rsidRPr="006A5C82">
        <w:rPr>
          <w:rFonts w:ascii="Arial" w:hAnsi="Arial" w:cs="Arial"/>
          <w:sz w:val="24"/>
          <w:szCs w:val="24"/>
        </w:rPr>
        <w:t xml:space="preserve">Role of Mobile Phones in Enhancing Farmers' Information Seeking Behaviour: A Binary </w:t>
      </w:r>
      <w:proofErr w:type="spellStart"/>
      <w:r w:rsidRPr="006A5C82">
        <w:rPr>
          <w:rFonts w:ascii="Arial" w:hAnsi="Arial" w:cs="Arial"/>
          <w:sz w:val="24"/>
          <w:szCs w:val="24"/>
        </w:rPr>
        <w:t>LogisticRegression</w:t>
      </w:r>
      <w:proofErr w:type="spellEnd"/>
      <w:r w:rsidRPr="006A5C82">
        <w:rPr>
          <w:rFonts w:ascii="Arial" w:hAnsi="Arial" w:cs="Arial"/>
          <w:sz w:val="24"/>
          <w:szCs w:val="24"/>
        </w:rPr>
        <w:t xml:space="preserve"> Approach. Indian Research Journal of Extension Education. 24 (4): 145 –148. </w:t>
      </w:r>
      <w:hyperlink r:id="rId23" w:history="1">
        <w:r w:rsidRPr="006A5C82">
          <w:rPr>
            <w:rStyle w:val="Hyperlink"/>
            <w:rFonts w:ascii="Arial" w:hAnsi="Arial" w:cs="Arial"/>
            <w:sz w:val="24"/>
            <w:szCs w:val="24"/>
          </w:rPr>
          <w:t>https://api.seea.org.in/uploads/pdf/2024-84145148.pdf</w:t>
        </w:r>
      </w:hyperlink>
      <w:bookmarkEnd w:id="2"/>
      <w:r w:rsidRPr="006A5C82">
        <w:rPr>
          <w:rFonts w:ascii="Arial" w:hAnsi="Arial" w:cs="Arial"/>
          <w:sz w:val="24"/>
          <w:szCs w:val="24"/>
        </w:rPr>
        <w:t xml:space="preserve"> </w:t>
      </w:r>
    </w:p>
    <w:p w14:paraId="5938E0B1" w14:textId="77777777" w:rsidR="003A744B" w:rsidRPr="006A5C82" w:rsidRDefault="003A744B" w:rsidP="006A5C82">
      <w:pPr>
        <w:ind w:left="720" w:hanging="720"/>
        <w:jc w:val="both"/>
        <w:rPr>
          <w:rFonts w:ascii="Arial" w:hAnsi="Arial" w:cs="Arial"/>
        </w:rPr>
      </w:pPr>
      <w:r w:rsidRPr="006A5C82">
        <w:rPr>
          <w:rFonts w:ascii="Arial" w:hAnsi="Arial" w:cs="Arial"/>
          <w:lang w:val="sv-SE"/>
        </w:rPr>
        <w:t xml:space="preserve">Shukla, P., Kumari, A., Lal, S. P., &amp; Sushmita, K. (2025). </w:t>
      </w:r>
      <w:r w:rsidRPr="006A5C82">
        <w:rPr>
          <w:rFonts w:ascii="Arial" w:hAnsi="Arial" w:cs="Arial"/>
        </w:rPr>
        <w:t xml:space="preserve">Drivers of decision-making among farm women in varied agricultural activities: Forward-step logistic regression model technique. Indian Research Journal of Extension Education, 25(2&amp;3), 18-23. </w:t>
      </w:r>
      <w:hyperlink r:id="rId24" w:history="1">
        <w:r w:rsidRPr="006A5C82">
          <w:rPr>
            <w:rStyle w:val="Hyperlink"/>
            <w:rFonts w:ascii="Arial" w:hAnsi="Arial" w:cs="Arial"/>
          </w:rPr>
          <w:t>https://seea.org.in/irjee/view-content/drivers-of-decision-making-among-farm-women-in-varied-agricultural-activities-forward-step-logistic-regression-model-technique</w:t>
        </w:r>
      </w:hyperlink>
    </w:p>
    <w:p w14:paraId="7610BDE4" w14:textId="77777777" w:rsidR="003A744B" w:rsidRPr="006A5C82" w:rsidRDefault="003A744B" w:rsidP="006A5C82">
      <w:pPr>
        <w:ind w:left="720" w:hanging="720"/>
        <w:jc w:val="both"/>
        <w:rPr>
          <w:rFonts w:ascii="Arial" w:hAnsi="Arial" w:cs="Arial"/>
        </w:rPr>
      </w:pPr>
      <w:r w:rsidRPr="006A5C82">
        <w:rPr>
          <w:rFonts w:ascii="Arial" w:hAnsi="Arial" w:cs="Arial"/>
        </w:rPr>
        <w:t xml:space="preserve">Swaminathan, M. (2023). The challenges of food security in India. Indian Journal of Agricultural Economics, 78(1), 45-62. </w:t>
      </w:r>
      <w:hyperlink r:id="rId25" w:history="1">
        <w:r w:rsidRPr="006A5C82">
          <w:rPr>
            <w:rStyle w:val="Hyperlink"/>
            <w:rFonts w:ascii="Arial" w:hAnsi="Arial" w:cs="Arial"/>
          </w:rPr>
          <w:t>https://doi.org/10.5958/0974-0279.2023.00010.2</w:t>
        </w:r>
      </w:hyperlink>
    </w:p>
    <w:p w14:paraId="7B51BAA0" w14:textId="77777777" w:rsidR="003A744B" w:rsidRPr="006A5C82" w:rsidRDefault="003A744B" w:rsidP="006A5C82">
      <w:pPr>
        <w:ind w:left="720" w:hanging="720"/>
        <w:jc w:val="both"/>
        <w:rPr>
          <w:rFonts w:ascii="Arial" w:hAnsi="Arial" w:cs="Arial"/>
        </w:rPr>
      </w:pPr>
      <w:r w:rsidRPr="006A5C82">
        <w:rPr>
          <w:rFonts w:ascii="Arial" w:hAnsi="Arial" w:cs="Arial"/>
          <w:lang w:val="sv-SE"/>
        </w:rPr>
        <w:lastRenderedPageBreak/>
        <w:t xml:space="preserve">Von Grebmer, K., Bernstein, J., Patterson, F., Wiemers, M., &amp; Eggersdorfer, M. (2023). </w:t>
      </w:r>
      <w:r w:rsidRPr="006A5C82">
        <w:rPr>
          <w:rFonts w:ascii="Arial" w:hAnsi="Arial" w:cs="Arial"/>
        </w:rPr>
        <w:t xml:space="preserve">2023 Global Hunger Index: The challenge of hidden hunger. Concern Worldwide and Welthungerhilfe. </w:t>
      </w:r>
      <w:hyperlink r:id="rId26" w:history="1">
        <w:r w:rsidRPr="006A5C82">
          <w:rPr>
            <w:rStyle w:val="Hyperlink"/>
            <w:rFonts w:ascii="Arial" w:hAnsi="Arial" w:cs="Arial"/>
          </w:rPr>
          <w:t>https://www.globalhungerindex.org/en/2023.html</w:t>
        </w:r>
      </w:hyperlink>
    </w:p>
    <w:p w14:paraId="0971946C" w14:textId="77777777" w:rsidR="003A744B" w:rsidRPr="006A5C82" w:rsidRDefault="003A744B" w:rsidP="006A5C82">
      <w:pPr>
        <w:ind w:left="720" w:hanging="720"/>
        <w:jc w:val="both"/>
        <w:rPr>
          <w:rFonts w:ascii="Arial" w:hAnsi="Arial" w:cs="Arial"/>
        </w:rPr>
      </w:pPr>
      <w:r w:rsidRPr="006A5C82">
        <w:rPr>
          <w:rFonts w:ascii="Arial" w:hAnsi="Arial" w:cs="Arial"/>
        </w:rPr>
        <w:t xml:space="preserve">Wooldridge, J. M. (2013). </w:t>
      </w:r>
      <w:r w:rsidRPr="006A5C82">
        <w:rPr>
          <w:rFonts w:ascii="Arial" w:hAnsi="Arial" w:cs="Arial"/>
          <w:i/>
          <w:iCs/>
        </w:rPr>
        <w:t>Introductory econometrics: A modern approach</w:t>
      </w:r>
      <w:r w:rsidRPr="006A5C82">
        <w:rPr>
          <w:rFonts w:ascii="Arial" w:hAnsi="Arial" w:cs="Arial"/>
        </w:rPr>
        <w:t xml:space="preserve"> (5th ed.). South-Western, Cengage Learning. </w:t>
      </w:r>
      <w:hyperlink r:id="rId27" w:history="1">
        <w:r w:rsidRPr="006A5C82">
          <w:rPr>
            <w:rStyle w:val="Hyperlink"/>
            <w:rFonts w:ascii="Arial" w:hAnsi="Arial" w:cs="Arial"/>
          </w:rPr>
          <w:t>https://cbpbu.ac.in/userfiles/file/2020/STUDY_MAT/ECO/2.pdf</w:t>
        </w:r>
      </w:hyperlink>
    </w:p>
    <w:p w14:paraId="6E33CE27" w14:textId="77777777" w:rsidR="004C0FB9" w:rsidRPr="006A5C82" w:rsidRDefault="004C0FB9" w:rsidP="00824E67">
      <w:pPr>
        <w:jc w:val="both"/>
        <w:rPr>
          <w:rFonts w:ascii="Arial" w:hAnsi="Arial" w:cs="Arial"/>
          <w:sz w:val="24"/>
          <w:szCs w:val="24"/>
        </w:rPr>
      </w:pPr>
    </w:p>
    <w:sectPr w:rsidR="004C0FB9" w:rsidRPr="006A5C82">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2D680" w14:textId="77777777" w:rsidR="00A97FD8" w:rsidRDefault="00A97FD8" w:rsidP="00B803AB">
      <w:pPr>
        <w:spacing w:after="0" w:line="240" w:lineRule="auto"/>
      </w:pPr>
      <w:r>
        <w:separator/>
      </w:r>
    </w:p>
  </w:endnote>
  <w:endnote w:type="continuationSeparator" w:id="0">
    <w:p w14:paraId="3A079285" w14:textId="77777777" w:rsidR="00A97FD8" w:rsidRDefault="00A97FD8" w:rsidP="00B8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A1B1" w14:textId="77777777" w:rsidR="00E63070" w:rsidRDefault="00E63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501B" w14:textId="77777777" w:rsidR="00E63070" w:rsidRDefault="00E63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BF04" w14:textId="77777777" w:rsidR="00E63070" w:rsidRDefault="00E63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B4D4F" w14:textId="77777777" w:rsidR="00A97FD8" w:rsidRDefault="00A97FD8" w:rsidP="00B803AB">
      <w:pPr>
        <w:spacing w:after="0" w:line="240" w:lineRule="auto"/>
      </w:pPr>
      <w:r>
        <w:separator/>
      </w:r>
    </w:p>
  </w:footnote>
  <w:footnote w:type="continuationSeparator" w:id="0">
    <w:p w14:paraId="5F493F0A" w14:textId="77777777" w:rsidR="00A97FD8" w:rsidRDefault="00A97FD8" w:rsidP="00B80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C1B42" w14:textId="2218A907" w:rsidR="00E63070" w:rsidRDefault="00E63070">
    <w:pPr>
      <w:pStyle w:val="Header"/>
    </w:pPr>
    <w:r>
      <w:rPr>
        <w:noProof/>
      </w:rPr>
      <w:pict w14:anchorId="35769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23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A1552" w14:textId="4B0A3942" w:rsidR="00E63070" w:rsidRDefault="00E63070">
    <w:pPr>
      <w:pStyle w:val="Header"/>
    </w:pPr>
    <w:r>
      <w:rPr>
        <w:noProof/>
      </w:rPr>
      <w:pict w14:anchorId="072C5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23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95D6" w14:textId="3D2EAD30" w:rsidR="00E63070" w:rsidRDefault="00E63070">
    <w:pPr>
      <w:pStyle w:val="Header"/>
    </w:pPr>
    <w:r>
      <w:rPr>
        <w:noProof/>
      </w:rPr>
      <w:pict w14:anchorId="2E34D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23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6D3F"/>
    <w:multiLevelType w:val="multilevel"/>
    <w:tmpl w:val="B506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E47DD"/>
    <w:multiLevelType w:val="hybridMultilevel"/>
    <w:tmpl w:val="3D928E80"/>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2" w15:restartNumberingAfterBreak="0">
    <w:nsid w:val="09390FC2"/>
    <w:multiLevelType w:val="multilevel"/>
    <w:tmpl w:val="6854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6F88"/>
    <w:multiLevelType w:val="hybridMultilevel"/>
    <w:tmpl w:val="F05CB6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B4373B"/>
    <w:multiLevelType w:val="multilevel"/>
    <w:tmpl w:val="294C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FB430E"/>
    <w:multiLevelType w:val="multilevel"/>
    <w:tmpl w:val="7DA8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4B2694"/>
    <w:multiLevelType w:val="multilevel"/>
    <w:tmpl w:val="795E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D43DA"/>
    <w:multiLevelType w:val="multilevel"/>
    <w:tmpl w:val="75E2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955FA"/>
    <w:multiLevelType w:val="multilevel"/>
    <w:tmpl w:val="3976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0"/>
  </w:num>
  <w:num w:numId="5">
    <w:abstractNumId w:val="7"/>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F5"/>
    <w:rsid w:val="00041F09"/>
    <w:rsid w:val="000B1E5B"/>
    <w:rsid w:val="000E00F9"/>
    <w:rsid w:val="001641C6"/>
    <w:rsid w:val="00197F45"/>
    <w:rsid w:val="001D322E"/>
    <w:rsid w:val="001D52DF"/>
    <w:rsid w:val="002B6153"/>
    <w:rsid w:val="00326902"/>
    <w:rsid w:val="003333F3"/>
    <w:rsid w:val="00375107"/>
    <w:rsid w:val="003A744B"/>
    <w:rsid w:val="004109F2"/>
    <w:rsid w:val="00415305"/>
    <w:rsid w:val="00473962"/>
    <w:rsid w:val="004B3806"/>
    <w:rsid w:val="004C0FB9"/>
    <w:rsid w:val="004C2348"/>
    <w:rsid w:val="004E214E"/>
    <w:rsid w:val="00534786"/>
    <w:rsid w:val="0054107F"/>
    <w:rsid w:val="0055322A"/>
    <w:rsid w:val="005634ED"/>
    <w:rsid w:val="0058587D"/>
    <w:rsid w:val="005C5CDB"/>
    <w:rsid w:val="006247CE"/>
    <w:rsid w:val="00631996"/>
    <w:rsid w:val="006A027A"/>
    <w:rsid w:val="006A5C82"/>
    <w:rsid w:val="006B3B12"/>
    <w:rsid w:val="006C12D9"/>
    <w:rsid w:val="00731A89"/>
    <w:rsid w:val="00763ABF"/>
    <w:rsid w:val="007B2D74"/>
    <w:rsid w:val="007B5F9F"/>
    <w:rsid w:val="00801FF5"/>
    <w:rsid w:val="00805AC6"/>
    <w:rsid w:val="00824E67"/>
    <w:rsid w:val="00851A31"/>
    <w:rsid w:val="00863C86"/>
    <w:rsid w:val="008C5E74"/>
    <w:rsid w:val="00920283"/>
    <w:rsid w:val="009266EA"/>
    <w:rsid w:val="009357BA"/>
    <w:rsid w:val="0097433B"/>
    <w:rsid w:val="009801DD"/>
    <w:rsid w:val="009D4D37"/>
    <w:rsid w:val="009F569D"/>
    <w:rsid w:val="00A418BC"/>
    <w:rsid w:val="00A51189"/>
    <w:rsid w:val="00A52654"/>
    <w:rsid w:val="00A87045"/>
    <w:rsid w:val="00A97FD8"/>
    <w:rsid w:val="00AA3BD3"/>
    <w:rsid w:val="00AE066F"/>
    <w:rsid w:val="00B04B12"/>
    <w:rsid w:val="00B43B3D"/>
    <w:rsid w:val="00B803AB"/>
    <w:rsid w:val="00B851E4"/>
    <w:rsid w:val="00B85C78"/>
    <w:rsid w:val="00BA35BF"/>
    <w:rsid w:val="00BA7ABA"/>
    <w:rsid w:val="00BC6431"/>
    <w:rsid w:val="00BD2CF2"/>
    <w:rsid w:val="00BD6802"/>
    <w:rsid w:val="00C26F8B"/>
    <w:rsid w:val="00C3208D"/>
    <w:rsid w:val="00C94CCE"/>
    <w:rsid w:val="00C9526D"/>
    <w:rsid w:val="00CA0367"/>
    <w:rsid w:val="00DC3ED6"/>
    <w:rsid w:val="00E36F26"/>
    <w:rsid w:val="00E63070"/>
    <w:rsid w:val="00EA04FD"/>
    <w:rsid w:val="00ED2715"/>
    <w:rsid w:val="00FF1B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7CA01E"/>
  <w15:chartTrackingRefBased/>
  <w15:docId w15:val="{864C63BA-12F0-480C-ACE1-7E9426ED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F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1F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1F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1F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1F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801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F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1F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1F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1F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1FF5"/>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801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FF5"/>
    <w:rPr>
      <w:rFonts w:eastAsiaTheme="majorEastAsia" w:cstheme="majorBidi"/>
      <w:color w:val="272727" w:themeColor="text1" w:themeTint="D8"/>
    </w:rPr>
  </w:style>
  <w:style w:type="paragraph" w:styleId="Title">
    <w:name w:val="Title"/>
    <w:basedOn w:val="Normal"/>
    <w:next w:val="Normal"/>
    <w:link w:val="TitleChar"/>
    <w:uiPriority w:val="10"/>
    <w:qFormat/>
    <w:rsid w:val="00801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FF5"/>
    <w:pPr>
      <w:spacing w:before="160"/>
      <w:jc w:val="center"/>
    </w:pPr>
    <w:rPr>
      <w:i/>
      <w:iCs/>
      <w:color w:val="404040" w:themeColor="text1" w:themeTint="BF"/>
    </w:rPr>
  </w:style>
  <w:style w:type="character" w:customStyle="1" w:styleId="QuoteChar">
    <w:name w:val="Quote Char"/>
    <w:basedOn w:val="DefaultParagraphFont"/>
    <w:link w:val="Quote"/>
    <w:uiPriority w:val="29"/>
    <w:rsid w:val="00801FF5"/>
    <w:rPr>
      <w:i/>
      <w:iCs/>
      <w:color w:val="404040" w:themeColor="text1" w:themeTint="BF"/>
    </w:rPr>
  </w:style>
  <w:style w:type="paragraph" w:styleId="ListParagraph">
    <w:name w:val="List Paragraph"/>
    <w:basedOn w:val="Normal"/>
    <w:uiPriority w:val="34"/>
    <w:qFormat/>
    <w:rsid w:val="00801FF5"/>
    <w:pPr>
      <w:ind w:left="720"/>
      <w:contextualSpacing/>
    </w:pPr>
  </w:style>
  <w:style w:type="character" w:styleId="IntenseEmphasis">
    <w:name w:val="Intense Emphasis"/>
    <w:basedOn w:val="DefaultParagraphFont"/>
    <w:uiPriority w:val="21"/>
    <w:qFormat/>
    <w:rsid w:val="00801FF5"/>
    <w:rPr>
      <w:i/>
      <w:iCs/>
      <w:color w:val="2F5496" w:themeColor="accent1" w:themeShade="BF"/>
    </w:rPr>
  </w:style>
  <w:style w:type="paragraph" w:styleId="IntenseQuote">
    <w:name w:val="Intense Quote"/>
    <w:basedOn w:val="Normal"/>
    <w:next w:val="Normal"/>
    <w:link w:val="IntenseQuoteChar"/>
    <w:uiPriority w:val="30"/>
    <w:qFormat/>
    <w:rsid w:val="00801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1FF5"/>
    <w:rPr>
      <w:i/>
      <w:iCs/>
      <w:color w:val="2F5496" w:themeColor="accent1" w:themeShade="BF"/>
    </w:rPr>
  </w:style>
  <w:style w:type="character" w:styleId="IntenseReference">
    <w:name w:val="Intense Reference"/>
    <w:basedOn w:val="DefaultParagraphFont"/>
    <w:uiPriority w:val="32"/>
    <w:qFormat/>
    <w:rsid w:val="00801FF5"/>
    <w:rPr>
      <w:b/>
      <w:bCs/>
      <w:smallCaps/>
      <w:color w:val="2F5496" w:themeColor="accent1" w:themeShade="BF"/>
      <w:spacing w:val="5"/>
    </w:rPr>
  </w:style>
  <w:style w:type="paragraph" w:styleId="Header">
    <w:name w:val="header"/>
    <w:basedOn w:val="Normal"/>
    <w:link w:val="HeaderChar"/>
    <w:uiPriority w:val="99"/>
    <w:unhideWhenUsed/>
    <w:rsid w:val="00B80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3AB"/>
  </w:style>
  <w:style w:type="paragraph" w:styleId="Footer">
    <w:name w:val="footer"/>
    <w:basedOn w:val="Normal"/>
    <w:link w:val="FooterChar"/>
    <w:uiPriority w:val="99"/>
    <w:unhideWhenUsed/>
    <w:rsid w:val="00B80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3AB"/>
  </w:style>
  <w:style w:type="paragraph" w:styleId="BodyText">
    <w:name w:val="Body Text"/>
    <w:basedOn w:val="Normal"/>
    <w:link w:val="BodyTextChar"/>
    <w:uiPriority w:val="1"/>
    <w:qFormat/>
    <w:rsid w:val="009266EA"/>
    <w:pPr>
      <w:widowControl w:val="0"/>
      <w:autoSpaceDE w:val="0"/>
      <w:autoSpaceDN w:val="0"/>
      <w:spacing w:before="10" w:after="0" w:line="240" w:lineRule="auto"/>
    </w:pPr>
    <w:rPr>
      <w:rFonts w:ascii="Segoe UI" w:eastAsia="Segoe UI" w:hAnsi="Segoe UI" w:cs="Segoe UI"/>
      <w:b/>
      <w:bCs/>
      <w:kern w:val="0"/>
      <w:sz w:val="30"/>
      <w:szCs w:val="30"/>
      <w:lang w:val="en-US"/>
      <w14:ligatures w14:val="none"/>
    </w:rPr>
  </w:style>
  <w:style w:type="character" w:customStyle="1" w:styleId="BodyTextChar">
    <w:name w:val="Body Text Char"/>
    <w:basedOn w:val="DefaultParagraphFont"/>
    <w:link w:val="BodyText"/>
    <w:uiPriority w:val="1"/>
    <w:rsid w:val="009266EA"/>
    <w:rPr>
      <w:rFonts w:ascii="Segoe UI" w:eastAsia="Segoe UI" w:hAnsi="Segoe UI" w:cs="Segoe UI"/>
      <w:b/>
      <w:bCs/>
      <w:kern w:val="0"/>
      <w:sz w:val="30"/>
      <w:szCs w:val="30"/>
      <w:lang w:val="en-US"/>
      <w14:ligatures w14:val="none"/>
    </w:rPr>
  </w:style>
  <w:style w:type="paragraph" w:customStyle="1" w:styleId="TableParagraph">
    <w:name w:val="Table Paragraph"/>
    <w:basedOn w:val="Normal"/>
    <w:uiPriority w:val="1"/>
    <w:qFormat/>
    <w:rsid w:val="009266EA"/>
    <w:pPr>
      <w:widowControl w:val="0"/>
      <w:autoSpaceDE w:val="0"/>
      <w:autoSpaceDN w:val="0"/>
      <w:spacing w:before="58" w:after="0" w:line="240" w:lineRule="auto"/>
      <w:ind w:left="119"/>
    </w:pPr>
    <w:rPr>
      <w:rFonts w:ascii="Segoe UI" w:eastAsia="Segoe UI" w:hAnsi="Segoe UI" w:cs="Segoe UI"/>
      <w:kern w:val="0"/>
      <w:lang w:val="en-US"/>
      <w14:ligatures w14:val="none"/>
    </w:rPr>
  </w:style>
  <w:style w:type="table" w:styleId="TableGrid">
    <w:name w:val="Table Grid"/>
    <w:basedOn w:val="TableNormal"/>
    <w:uiPriority w:val="39"/>
    <w:rsid w:val="00926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0367"/>
    <w:rPr>
      <w:rFonts w:ascii="Times New Roman" w:hAnsi="Times New Roman" w:cs="Times New Roman"/>
      <w:sz w:val="24"/>
      <w:szCs w:val="24"/>
    </w:rPr>
  </w:style>
  <w:style w:type="character" w:styleId="Hyperlink">
    <w:name w:val="Hyperlink"/>
    <w:basedOn w:val="DefaultParagraphFont"/>
    <w:uiPriority w:val="99"/>
    <w:unhideWhenUsed/>
    <w:rsid w:val="000B1E5B"/>
    <w:rPr>
      <w:color w:val="0563C1" w:themeColor="hyperlink"/>
      <w:u w:val="single"/>
    </w:rPr>
  </w:style>
  <w:style w:type="character" w:styleId="UnresolvedMention">
    <w:name w:val="Unresolved Mention"/>
    <w:basedOn w:val="DefaultParagraphFont"/>
    <w:uiPriority w:val="99"/>
    <w:semiHidden/>
    <w:unhideWhenUsed/>
    <w:rsid w:val="00763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827">
      <w:bodyDiv w:val="1"/>
      <w:marLeft w:val="0"/>
      <w:marRight w:val="0"/>
      <w:marTop w:val="0"/>
      <w:marBottom w:val="0"/>
      <w:divBdr>
        <w:top w:val="none" w:sz="0" w:space="0" w:color="auto"/>
        <w:left w:val="none" w:sz="0" w:space="0" w:color="auto"/>
        <w:bottom w:val="none" w:sz="0" w:space="0" w:color="auto"/>
        <w:right w:val="none" w:sz="0" w:space="0" w:color="auto"/>
      </w:divBdr>
    </w:div>
    <w:div w:id="58524576">
      <w:bodyDiv w:val="1"/>
      <w:marLeft w:val="0"/>
      <w:marRight w:val="0"/>
      <w:marTop w:val="0"/>
      <w:marBottom w:val="0"/>
      <w:divBdr>
        <w:top w:val="none" w:sz="0" w:space="0" w:color="auto"/>
        <w:left w:val="none" w:sz="0" w:space="0" w:color="auto"/>
        <w:bottom w:val="none" w:sz="0" w:space="0" w:color="auto"/>
        <w:right w:val="none" w:sz="0" w:space="0" w:color="auto"/>
      </w:divBdr>
    </w:div>
    <w:div w:id="73554601">
      <w:bodyDiv w:val="1"/>
      <w:marLeft w:val="0"/>
      <w:marRight w:val="0"/>
      <w:marTop w:val="0"/>
      <w:marBottom w:val="0"/>
      <w:divBdr>
        <w:top w:val="none" w:sz="0" w:space="0" w:color="auto"/>
        <w:left w:val="none" w:sz="0" w:space="0" w:color="auto"/>
        <w:bottom w:val="none" w:sz="0" w:space="0" w:color="auto"/>
        <w:right w:val="none" w:sz="0" w:space="0" w:color="auto"/>
      </w:divBdr>
    </w:div>
    <w:div w:id="75329763">
      <w:bodyDiv w:val="1"/>
      <w:marLeft w:val="0"/>
      <w:marRight w:val="0"/>
      <w:marTop w:val="0"/>
      <w:marBottom w:val="0"/>
      <w:divBdr>
        <w:top w:val="none" w:sz="0" w:space="0" w:color="auto"/>
        <w:left w:val="none" w:sz="0" w:space="0" w:color="auto"/>
        <w:bottom w:val="none" w:sz="0" w:space="0" w:color="auto"/>
        <w:right w:val="none" w:sz="0" w:space="0" w:color="auto"/>
      </w:divBdr>
    </w:div>
    <w:div w:id="126359388">
      <w:bodyDiv w:val="1"/>
      <w:marLeft w:val="0"/>
      <w:marRight w:val="0"/>
      <w:marTop w:val="0"/>
      <w:marBottom w:val="0"/>
      <w:divBdr>
        <w:top w:val="none" w:sz="0" w:space="0" w:color="auto"/>
        <w:left w:val="none" w:sz="0" w:space="0" w:color="auto"/>
        <w:bottom w:val="none" w:sz="0" w:space="0" w:color="auto"/>
        <w:right w:val="none" w:sz="0" w:space="0" w:color="auto"/>
      </w:divBdr>
    </w:div>
    <w:div w:id="126633682">
      <w:bodyDiv w:val="1"/>
      <w:marLeft w:val="0"/>
      <w:marRight w:val="0"/>
      <w:marTop w:val="0"/>
      <w:marBottom w:val="0"/>
      <w:divBdr>
        <w:top w:val="none" w:sz="0" w:space="0" w:color="auto"/>
        <w:left w:val="none" w:sz="0" w:space="0" w:color="auto"/>
        <w:bottom w:val="none" w:sz="0" w:space="0" w:color="auto"/>
        <w:right w:val="none" w:sz="0" w:space="0" w:color="auto"/>
      </w:divBdr>
    </w:div>
    <w:div w:id="131143914">
      <w:bodyDiv w:val="1"/>
      <w:marLeft w:val="0"/>
      <w:marRight w:val="0"/>
      <w:marTop w:val="0"/>
      <w:marBottom w:val="0"/>
      <w:divBdr>
        <w:top w:val="none" w:sz="0" w:space="0" w:color="auto"/>
        <w:left w:val="none" w:sz="0" w:space="0" w:color="auto"/>
        <w:bottom w:val="none" w:sz="0" w:space="0" w:color="auto"/>
        <w:right w:val="none" w:sz="0" w:space="0" w:color="auto"/>
      </w:divBdr>
    </w:div>
    <w:div w:id="133261617">
      <w:bodyDiv w:val="1"/>
      <w:marLeft w:val="0"/>
      <w:marRight w:val="0"/>
      <w:marTop w:val="0"/>
      <w:marBottom w:val="0"/>
      <w:divBdr>
        <w:top w:val="none" w:sz="0" w:space="0" w:color="auto"/>
        <w:left w:val="none" w:sz="0" w:space="0" w:color="auto"/>
        <w:bottom w:val="none" w:sz="0" w:space="0" w:color="auto"/>
        <w:right w:val="none" w:sz="0" w:space="0" w:color="auto"/>
      </w:divBdr>
      <w:divsChild>
        <w:div w:id="307049969">
          <w:marLeft w:val="0"/>
          <w:marRight w:val="0"/>
          <w:marTop w:val="0"/>
          <w:marBottom w:val="0"/>
          <w:divBdr>
            <w:top w:val="none" w:sz="0" w:space="0" w:color="auto"/>
            <w:left w:val="none" w:sz="0" w:space="0" w:color="auto"/>
            <w:bottom w:val="none" w:sz="0" w:space="0" w:color="auto"/>
            <w:right w:val="none" w:sz="0" w:space="0" w:color="auto"/>
          </w:divBdr>
          <w:divsChild>
            <w:div w:id="365905959">
              <w:marLeft w:val="0"/>
              <w:marRight w:val="0"/>
              <w:marTop w:val="0"/>
              <w:marBottom w:val="0"/>
              <w:divBdr>
                <w:top w:val="none" w:sz="0" w:space="0" w:color="auto"/>
                <w:left w:val="none" w:sz="0" w:space="0" w:color="auto"/>
                <w:bottom w:val="none" w:sz="0" w:space="0" w:color="auto"/>
                <w:right w:val="none" w:sz="0" w:space="0" w:color="auto"/>
              </w:divBdr>
              <w:divsChild>
                <w:div w:id="1041898795">
                  <w:marLeft w:val="0"/>
                  <w:marRight w:val="0"/>
                  <w:marTop w:val="0"/>
                  <w:marBottom w:val="0"/>
                  <w:divBdr>
                    <w:top w:val="none" w:sz="0" w:space="0" w:color="auto"/>
                    <w:left w:val="none" w:sz="0" w:space="0" w:color="auto"/>
                    <w:bottom w:val="none" w:sz="0" w:space="0" w:color="auto"/>
                    <w:right w:val="none" w:sz="0" w:space="0" w:color="auto"/>
                  </w:divBdr>
                  <w:divsChild>
                    <w:div w:id="936981235">
                      <w:marLeft w:val="0"/>
                      <w:marRight w:val="0"/>
                      <w:marTop w:val="0"/>
                      <w:marBottom w:val="0"/>
                      <w:divBdr>
                        <w:top w:val="none" w:sz="0" w:space="0" w:color="auto"/>
                        <w:left w:val="none" w:sz="0" w:space="0" w:color="auto"/>
                        <w:bottom w:val="none" w:sz="0" w:space="0" w:color="auto"/>
                        <w:right w:val="none" w:sz="0" w:space="0" w:color="auto"/>
                      </w:divBdr>
                      <w:divsChild>
                        <w:div w:id="905263173">
                          <w:marLeft w:val="0"/>
                          <w:marRight w:val="0"/>
                          <w:marTop w:val="0"/>
                          <w:marBottom w:val="0"/>
                          <w:divBdr>
                            <w:top w:val="none" w:sz="0" w:space="0" w:color="auto"/>
                            <w:left w:val="none" w:sz="0" w:space="0" w:color="auto"/>
                            <w:bottom w:val="none" w:sz="0" w:space="0" w:color="auto"/>
                            <w:right w:val="none" w:sz="0" w:space="0" w:color="auto"/>
                          </w:divBdr>
                          <w:divsChild>
                            <w:div w:id="1027484987">
                              <w:marLeft w:val="0"/>
                              <w:marRight w:val="0"/>
                              <w:marTop w:val="0"/>
                              <w:marBottom w:val="0"/>
                              <w:divBdr>
                                <w:top w:val="none" w:sz="0" w:space="0" w:color="auto"/>
                                <w:left w:val="none" w:sz="0" w:space="0" w:color="auto"/>
                                <w:bottom w:val="none" w:sz="0" w:space="0" w:color="auto"/>
                                <w:right w:val="none" w:sz="0" w:space="0" w:color="auto"/>
                              </w:divBdr>
                              <w:divsChild>
                                <w:div w:id="21445401">
                                  <w:marLeft w:val="0"/>
                                  <w:marRight w:val="0"/>
                                  <w:marTop w:val="0"/>
                                  <w:marBottom w:val="0"/>
                                  <w:divBdr>
                                    <w:top w:val="none" w:sz="0" w:space="0" w:color="auto"/>
                                    <w:left w:val="none" w:sz="0" w:space="0" w:color="auto"/>
                                    <w:bottom w:val="none" w:sz="0" w:space="0" w:color="auto"/>
                                    <w:right w:val="none" w:sz="0" w:space="0" w:color="auto"/>
                                  </w:divBdr>
                                  <w:divsChild>
                                    <w:div w:id="10390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96537">
      <w:bodyDiv w:val="1"/>
      <w:marLeft w:val="0"/>
      <w:marRight w:val="0"/>
      <w:marTop w:val="0"/>
      <w:marBottom w:val="0"/>
      <w:divBdr>
        <w:top w:val="none" w:sz="0" w:space="0" w:color="auto"/>
        <w:left w:val="none" w:sz="0" w:space="0" w:color="auto"/>
        <w:bottom w:val="none" w:sz="0" w:space="0" w:color="auto"/>
        <w:right w:val="none" w:sz="0" w:space="0" w:color="auto"/>
      </w:divBdr>
    </w:div>
    <w:div w:id="165679066">
      <w:bodyDiv w:val="1"/>
      <w:marLeft w:val="0"/>
      <w:marRight w:val="0"/>
      <w:marTop w:val="0"/>
      <w:marBottom w:val="0"/>
      <w:divBdr>
        <w:top w:val="none" w:sz="0" w:space="0" w:color="auto"/>
        <w:left w:val="none" w:sz="0" w:space="0" w:color="auto"/>
        <w:bottom w:val="none" w:sz="0" w:space="0" w:color="auto"/>
        <w:right w:val="none" w:sz="0" w:space="0" w:color="auto"/>
      </w:divBdr>
    </w:div>
    <w:div w:id="208345369">
      <w:bodyDiv w:val="1"/>
      <w:marLeft w:val="0"/>
      <w:marRight w:val="0"/>
      <w:marTop w:val="0"/>
      <w:marBottom w:val="0"/>
      <w:divBdr>
        <w:top w:val="none" w:sz="0" w:space="0" w:color="auto"/>
        <w:left w:val="none" w:sz="0" w:space="0" w:color="auto"/>
        <w:bottom w:val="none" w:sz="0" w:space="0" w:color="auto"/>
        <w:right w:val="none" w:sz="0" w:space="0" w:color="auto"/>
      </w:divBdr>
    </w:div>
    <w:div w:id="209340676">
      <w:bodyDiv w:val="1"/>
      <w:marLeft w:val="0"/>
      <w:marRight w:val="0"/>
      <w:marTop w:val="0"/>
      <w:marBottom w:val="0"/>
      <w:divBdr>
        <w:top w:val="none" w:sz="0" w:space="0" w:color="auto"/>
        <w:left w:val="none" w:sz="0" w:space="0" w:color="auto"/>
        <w:bottom w:val="none" w:sz="0" w:space="0" w:color="auto"/>
        <w:right w:val="none" w:sz="0" w:space="0" w:color="auto"/>
      </w:divBdr>
    </w:div>
    <w:div w:id="228929347">
      <w:bodyDiv w:val="1"/>
      <w:marLeft w:val="0"/>
      <w:marRight w:val="0"/>
      <w:marTop w:val="0"/>
      <w:marBottom w:val="0"/>
      <w:divBdr>
        <w:top w:val="none" w:sz="0" w:space="0" w:color="auto"/>
        <w:left w:val="none" w:sz="0" w:space="0" w:color="auto"/>
        <w:bottom w:val="none" w:sz="0" w:space="0" w:color="auto"/>
        <w:right w:val="none" w:sz="0" w:space="0" w:color="auto"/>
      </w:divBdr>
    </w:div>
    <w:div w:id="274295375">
      <w:bodyDiv w:val="1"/>
      <w:marLeft w:val="0"/>
      <w:marRight w:val="0"/>
      <w:marTop w:val="0"/>
      <w:marBottom w:val="0"/>
      <w:divBdr>
        <w:top w:val="none" w:sz="0" w:space="0" w:color="auto"/>
        <w:left w:val="none" w:sz="0" w:space="0" w:color="auto"/>
        <w:bottom w:val="none" w:sz="0" w:space="0" w:color="auto"/>
        <w:right w:val="none" w:sz="0" w:space="0" w:color="auto"/>
      </w:divBdr>
    </w:div>
    <w:div w:id="370299728">
      <w:bodyDiv w:val="1"/>
      <w:marLeft w:val="0"/>
      <w:marRight w:val="0"/>
      <w:marTop w:val="0"/>
      <w:marBottom w:val="0"/>
      <w:divBdr>
        <w:top w:val="none" w:sz="0" w:space="0" w:color="auto"/>
        <w:left w:val="none" w:sz="0" w:space="0" w:color="auto"/>
        <w:bottom w:val="none" w:sz="0" w:space="0" w:color="auto"/>
        <w:right w:val="none" w:sz="0" w:space="0" w:color="auto"/>
      </w:divBdr>
    </w:div>
    <w:div w:id="373114878">
      <w:bodyDiv w:val="1"/>
      <w:marLeft w:val="0"/>
      <w:marRight w:val="0"/>
      <w:marTop w:val="0"/>
      <w:marBottom w:val="0"/>
      <w:divBdr>
        <w:top w:val="none" w:sz="0" w:space="0" w:color="auto"/>
        <w:left w:val="none" w:sz="0" w:space="0" w:color="auto"/>
        <w:bottom w:val="none" w:sz="0" w:space="0" w:color="auto"/>
        <w:right w:val="none" w:sz="0" w:space="0" w:color="auto"/>
      </w:divBdr>
    </w:div>
    <w:div w:id="425225278">
      <w:bodyDiv w:val="1"/>
      <w:marLeft w:val="0"/>
      <w:marRight w:val="0"/>
      <w:marTop w:val="0"/>
      <w:marBottom w:val="0"/>
      <w:divBdr>
        <w:top w:val="none" w:sz="0" w:space="0" w:color="auto"/>
        <w:left w:val="none" w:sz="0" w:space="0" w:color="auto"/>
        <w:bottom w:val="none" w:sz="0" w:space="0" w:color="auto"/>
        <w:right w:val="none" w:sz="0" w:space="0" w:color="auto"/>
      </w:divBdr>
    </w:div>
    <w:div w:id="510022987">
      <w:bodyDiv w:val="1"/>
      <w:marLeft w:val="0"/>
      <w:marRight w:val="0"/>
      <w:marTop w:val="0"/>
      <w:marBottom w:val="0"/>
      <w:divBdr>
        <w:top w:val="none" w:sz="0" w:space="0" w:color="auto"/>
        <w:left w:val="none" w:sz="0" w:space="0" w:color="auto"/>
        <w:bottom w:val="none" w:sz="0" w:space="0" w:color="auto"/>
        <w:right w:val="none" w:sz="0" w:space="0" w:color="auto"/>
      </w:divBdr>
    </w:div>
    <w:div w:id="551120596">
      <w:bodyDiv w:val="1"/>
      <w:marLeft w:val="0"/>
      <w:marRight w:val="0"/>
      <w:marTop w:val="0"/>
      <w:marBottom w:val="0"/>
      <w:divBdr>
        <w:top w:val="none" w:sz="0" w:space="0" w:color="auto"/>
        <w:left w:val="none" w:sz="0" w:space="0" w:color="auto"/>
        <w:bottom w:val="none" w:sz="0" w:space="0" w:color="auto"/>
        <w:right w:val="none" w:sz="0" w:space="0" w:color="auto"/>
      </w:divBdr>
    </w:div>
    <w:div w:id="551501689">
      <w:bodyDiv w:val="1"/>
      <w:marLeft w:val="0"/>
      <w:marRight w:val="0"/>
      <w:marTop w:val="0"/>
      <w:marBottom w:val="0"/>
      <w:divBdr>
        <w:top w:val="none" w:sz="0" w:space="0" w:color="auto"/>
        <w:left w:val="none" w:sz="0" w:space="0" w:color="auto"/>
        <w:bottom w:val="none" w:sz="0" w:space="0" w:color="auto"/>
        <w:right w:val="none" w:sz="0" w:space="0" w:color="auto"/>
      </w:divBdr>
    </w:div>
    <w:div w:id="555167284">
      <w:bodyDiv w:val="1"/>
      <w:marLeft w:val="0"/>
      <w:marRight w:val="0"/>
      <w:marTop w:val="0"/>
      <w:marBottom w:val="0"/>
      <w:divBdr>
        <w:top w:val="none" w:sz="0" w:space="0" w:color="auto"/>
        <w:left w:val="none" w:sz="0" w:space="0" w:color="auto"/>
        <w:bottom w:val="none" w:sz="0" w:space="0" w:color="auto"/>
        <w:right w:val="none" w:sz="0" w:space="0" w:color="auto"/>
      </w:divBdr>
    </w:div>
    <w:div w:id="595017500">
      <w:bodyDiv w:val="1"/>
      <w:marLeft w:val="0"/>
      <w:marRight w:val="0"/>
      <w:marTop w:val="0"/>
      <w:marBottom w:val="0"/>
      <w:divBdr>
        <w:top w:val="none" w:sz="0" w:space="0" w:color="auto"/>
        <w:left w:val="none" w:sz="0" w:space="0" w:color="auto"/>
        <w:bottom w:val="none" w:sz="0" w:space="0" w:color="auto"/>
        <w:right w:val="none" w:sz="0" w:space="0" w:color="auto"/>
      </w:divBdr>
    </w:div>
    <w:div w:id="601299110">
      <w:bodyDiv w:val="1"/>
      <w:marLeft w:val="0"/>
      <w:marRight w:val="0"/>
      <w:marTop w:val="0"/>
      <w:marBottom w:val="0"/>
      <w:divBdr>
        <w:top w:val="none" w:sz="0" w:space="0" w:color="auto"/>
        <w:left w:val="none" w:sz="0" w:space="0" w:color="auto"/>
        <w:bottom w:val="none" w:sz="0" w:space="0" w:color="auto"/>
        <w:right w:val="none" w:sz="0" w:space="0" w:color="auto"/>
      </w:divBdr>
    </w:div>
    <w:div w:id="672610518">
      <w:bodyDiv w:val="1"/>
      <w:marLeft w:val="0"/>
      <w:marRight w:val="0"/>
      <w:marTop w:val="0"/>
      <w:marBottom w:val="0"/>
      <w:divBdr>
        <w:top w:val="none" w:sz="0" w:space="0" w:color="auto"/>
        <w:left w:val="none" w:sz="0" w:space="0" w:color="auto"/>
        <w:bottom w:val="none" w:sz="0" w:space="0" w:color="auto"/>
        <w:right w:val="none" w:sz="0" w:space="0" w:color="auto"/>
      </w:divBdr>
    </w:div>
    <w:div w:id="672802477">
      <w:bodyDiv w:val="1"/>
      <w:marLeft w:val="0"/>
      <w:marRight w:val="0"/>
      <w:marTop w:val="0"/>
      <w:marBottom w:val="0"/>
      <w:divBdr>
        <w:top w:val="none" w:sz="0" w:space="0" w:color="auto"/>
        <w:left w:val="none" w:sz="0" w:space="0" w:color="auto"/>
        <w:bottom w:val="none" w:sz="0" w:space="0" w:color="auto"/>
        <w:right w:val="none" w:sz="0" w:space="0" w:color="auto"/>
      </w:divBdr>
    </w:div>
    <w:div w:id="681593757">
      <w:bodyDiv w:val="1"/>
      <w:marLeft w:val="0"/>
      <w:marRight w:val="0"/>
      <w:marTop w:val="0"/>
      <w:marBottom w:val="0"/>
      <w:divBdr>
        <w:top w:val="none" w:sz="0" w:space="0" w:color="auto"/>
        <w:left w:val="none" w:sz="0" w:space="0" w:color="auto"/>
        <w:bottom w:val="none" w:sz="0" w:space="0" w:color="auto"/>
        <w:right w:val="none" w:sz="0" w:space="0" w:color="auto"/>
      </w:divBdr>
    </w:div>
    <w:div w:id="704671124">
      <w:bodyDiv w:val="1"/>
      <w:marLeft w:val="0"/>
      <w:marRight w:val="0"/>
      <w:marTop w:val="0"/>
      <w:marBottom w:val="0"/>
      <w:divBdr>
        <w:top w:val="none" w:sz="0" w:space="0" w:color="auto"/>
        <w:left w:val="none" w:sz="0" w:space="0" w:color="auto"/>
        <w:bottom w:val="none" w:sz="0" w:space="0" w:color="auto"/>
        <w:right w:val="none" w:sz="0" w:space="0" w:color="auto"/>
      </w:divBdr>
    </w:div>
    <w:div w:id="726342030">
      <w:bodyDiv w:val="1"/>
      <w:marLeft w:val="0"/>
      <w:marRight w:val="0"/>
      <w:marTop w:val="0"/>
      <w:marBottom w:val="0"/>
      <w:divBdr>
        <w:top w:val="none" w:sz="0" w:space="0" w:color="auto"/>
        <w:left w:val="none" w:sz="0" w:space="0" w:color="auto"/>
        <w:bottom w:val="none" w:sz="0" w:space="0" w:color="auto"/>
        <w:right w:val="none" w:sz="0" w:space="0" w:color="auto"/>
      </w:divBdr>
    </w:div>
    <w:div w:id="736125797">
      <w:bodyDiv w:val="1"/>
      <w:marLeft w:val="0"/>
      <w:marRight w:val="0"/>
      <w:marTop w:val="0"/>
      <w:marBottom w:val="0"/>
      <w:divBdr>
        <w:top w:val="none" w:sz="0" w:space="0" w:color="auto"/>
        <w:left w:val="none" w:sz="0" w:space="0" w:color="auto"/>
        <w:bottom w:val="none" w:sz="0" w:space="0" w:color="auto"/>
        <w:right w:val="none" w:sz="0" w:space="0" w:color="auto"/>
      </w:divBdr>
    </w:div>
    <w:div w:id="749692128">
      <w:bodyDiv w:val="1"/>
      <w:marLeft w:val="0"/>
      <w:marRight w:val="0"/>
      <w:marTop w:val="0"/>
      <w:marBottom w:val="0"/>
      <w:divBdr>
        <w:top w:val="none" w:sz="0" w:space="0" w:color="auto"/>
        <w:left w:val="none" w:sz="0" w:space="0" w:color="auto"/>
        <w:bottom w:val="none" w:sz="0" w:space="0" w:color="auto"/>
        <w:right w:val="none" w:sz="0" w:space="0" w:color="auto"/>
      </w:divBdr>
    </w:div>
    <w:div w:id="761998962">
      <w:bodyDiv w:val="1"/>
      <w:marLeft w:val="0"/>
      <w:marRight w:val="0"/>
      <w:marTop w:val="0"/>
      <w:marBottom w:val="0"/>
      <w:divBdr>
        <w:top w:val="none" w:sz="0" w:space="0" w:color="auto"/>
        <w:left w:val="none" w:sz="0" w:space="0" w:color="auto"/>
        <w:bottom w:val="none" w:sz="0" w:space="0" w:color="auto"/>
        <w:right w:val="none" w:sz="0" w:space="0" w:color="auto"/>
      </w:divBdr>
    </w:div>
    <w:div w:id="829567246">
      <w:bodyDiv w:val="1"/>
      <w:marLeft w:val="0"/>
      <w:marRight w:val="0"/>
      <w:marTop w:val="0"/>
      <w:marBottom w:val="0"/>
      <w:divBdr>
        <w:top w:val="none" w:sz="0" w:space="0" w:color="auto"/>
        <w:left w:val="none" w:sz="0" w:space="0" w:color="auto"/>
        <w:bottom w:val="none" w:sz="0" w:space="0" w:color="auto"/>
        <w:right w:val="none" w:sz="0" w:space="0" w:color="auto"/>
      </w:divBdr>
    </w:div>
    <w:div w:id="848447445">
      <w:bodyDiv w:val="1"/>
      <w:marLeft w:val="0"/>
      <w:marRight w:val="0"/>
      <w:marTop w:val="0"/>
      <w:marBottom w:val="0"/>
      <w:divBdr>
        <w:top w:val="none" w:sz="0" w:space="0" w:color="auto"/>
        <w:left w:val="none" w:sz="0" w:space="0" w:color="auto"/>
        <w:bottom w:val="none" w:sz="0" w:space="0" w:color="auto"/>
        <w:right w:val="none" w:sz="0" w:space="0" w:color="auto"/>
      </w:divBdr>
    </w:div>
    <w:div w:id="887453214">
      <w:bodyDiv w:val="1"/>
      <w:marLeft w:val="0"/>
      <w:marRight w:val="0"/>
      <w:marTop w:val="0"/>
      <w:marBottom w:val="0"/>
      <w:divBdr>
        <w:top w:val="none" w:sz="0" w:space="0" w:color="auto"/>
        <w:left w:val="none" w:sz="0" w:space="0" w:color="auto"/>
        <w:bottom w:val="none" w:sz="0" w:space="0" w:color="auto"/>
        <w:right w:val="none" w:sz="0" w:space="0" w:color="auto"/>
      </w:divBdr>
    </w:div>
    <w:div w:id="892928527">
      <w:bodyDiv w:val="1"/>
      <w:marLeft w:val="0"/>
      <w:marRight w:val="0"/>
      <w:marTop w:val="0"/>
      <w:marBottom w:val="0"/>
      <w:divBdr>
        <w:top w:val="none" w:sz="0" w:space="0" w:color="auto"/>
        <w:left w:val="none" w:sz="0" w:space="0" w:color="auto"/>
        <w:bottom w:val="none" w:sz="0" w:space="0" w:color="auto"/>
        <w:right w:val="none" w:sz="0" w:space="0" w:color="auto"/>
      </w:divBdr>
    </w:div>
    <w:div w:id="930241770">
      <w:bodyDiv w:val="1"/>
      <w:marLeft w:val="0"/>
      <w:marRight w:val="0"/>
      <w:marTop w:val="0"/>
      <w:marBottom w:val="0"/>
      <w:divBdr>
        <w:top w:val="none" w:sz="0" w:space="0" w:color="auto"/>
        <w:left w:val="none" w:sz="0" w:space="0" w:color="auto"/>
        <w:bottom w:val="none" w:sz="0" w:space="0" w:color="auto"/>
        <w:right w:val="none" w:sz="0" w:space="0" w:color="auto"/>
      </w:divBdr>
    </w:div>
    <w:div w:id="987634694">
      <w:bodyDiv w:val="1"/>
      <w:marLeft w:val="0"/>
      <w:marRight w:val="0"/>
      <w:marTop w:val="0"/>
      <w:marBottom w:val="0"/>
      <w:divBdr>
        <w:top w:val="none" w:sz="0" w:space="0" w:color="auto"/>
        <w:left w:val="none" w:sz="0" w:space="0" w:color="auto"/>
        <w:bottom w:val="none" w:sz="0" w:space="0" w:color="auto"/>
        <w:right w:val="none" w:sz="0" w:space="0" w:color="auto"/>
      </w:divBdr>
    </w:div>
    <w:div w:id="990522799">
      <w:bodyDiv w:val="1"/>
      <w:marLeft w:val="0"/>
      <w:marRight w:val="0"/>
      <w:marTop w:val="0"/>
      <w:marBottom w:val="0"/>
      <w:divBdr>
        <w:top w:val="none" w:sz="0" w:space="0" w:color="auto"/>
        <w:left w:val="none" w:sz="0" w:space="0" w:color="auto"/>
        <w:bottom w:val="none" w:sz="0" w:space="0" w:color="auto"/>
        <w:right w:val="none" w:sz="0" w:space="0" w:color="auto"/>
      </w:divBdr>
    </w:div>
    <w:div w:id="994184178">
      <w:bodyDiv w:val="1"/>
      <w:marLeft w:val="0"/>
      <w:marRight w:val="0"/>
      <w:marTop w:val="0"/>
      <w:marBottom w:val="0"/>
      <w:divBdr>
        <w:top w:val="none" w:sz="0" w:space="0" w:color="auto"/>
        <w:left w:val="none" w:sz="0" w:space="0" w:color="auto"/>
        <w:bottom w:val="none" w:sz="0" w:space="0" w:color="auto"/>
        <w:right w:val="none" w:sz="0" w:space="0" w:color="auto"/>
      </w:divBdr>
    </w:div>
    <w:div w:id="1041202436">
      <w:bodyDiv w:val="1"/>
      <w:marLeft w:val="0"/>
      <w:marRight w:val="0"/>
      <w:marTop w:val="0"/>
      <w:marBottom w:val="0"/>
      <w:divBdr>
        <w:top w:val="none" w:sz="0" w:space="0" w:color="auto"/>
        <w:left w:val="none" w:sz="0" w:space="0" w:color="auto"/>
        <w:bottom w:val="none" w:sz="0" w:space="0" w:color="auto"/>
        <w:right w:val="none" w:sz="0" w:space="0" w:color="auto"/>
      </w:divBdr>
    </w:div>
    <w:div w:id="1063061181">
      <w:bodyDiv w:val="1"/>
      <w:marLeft w:val="0"/>
      <w:marRight w:val="0"/>
      <w:marTop w:val="0"/>
      <w:marBottom w:val="0"/>
      <w:divBdr>
        <w:top w:val="none" w:sz="0" w:space="0" w:color="auto"/>
        <w:left w:val="none" w:sz="0" w:space="0" w:color="auto"/>
        <w:bottom w:val="none" w:sz="0" w:space="0" w:color="auto"/>
        <w:right w:val="none" w:sz="0" w:space="0" w:color="auto"/>
      </w:divBdr>
    </w:div>
    <w:div w:id="1087774744">
      <w:bodyDiv w:val="1"/>
      <w:marLeft w:val="0"/>
      <w:marRight w:val="0"/>
      <w:marTop w:val="0"/>
      <w:marBottom w:val="0"/>
      <w:divBdr>
        <w:top w:val="none" w:sz="0" w:space="0" w:color="auto"/>
        <w:left w:val="none" w:sz="0" w:space="0" w:color="auto"/>
        <w:bottom w:val="none" w:sz="0" w:space="0" w:color="auto"/>
        <w:right w:val="none" w:sz="0" w:space="0" w:color="auto"/>
      </w:divBdr>
    </w:div>
    <w:div w:id="1088385697">
      <w:bodyDiv w:val="1"/>
      <w:marLeft w:val="0"/>
      <w:marRight w:val="0"/>
      <w:marTop w:val="0"/>
      <w:marBottom w:val="0"/>
      <w:divBdr>
        <w:top w:val="none" w:sz="0" w:space="0" w:color="auto"/>
        <w:left w:val="none" w:sz="0" w:space="0" w:color="auto"/>
        <w:bottom w:val="none" w:sz="0" w:space="0" w:color="auto"/>
        <w:right w:val="none" w:sz="0" w:space="0" w:color="auto"/>
      </w:divBdr>
    </w:div>
    <w:div w:id="1094934856">
      <w:bodyDiv w:val="1"/>
      <w:marLeft w:val="0"/>
      <w:marRight w:val="0"/>
      <w:marTop w:val="0"/>
      <w:marBottom w:val="0"/>
      <w:divBdr>
        <w:top w:val="none" w:sz="0" w:space="0" w:color="auto"/>
        <w:left w:val="none" w:sz="0" w:space="0" w:color="auto"/>
        <w:bottom w:val="none" w:sz="0" w:space="0" w:color="auto"/>
        <w:right w:val="none" w:sz="0" w:space="0" w:color="auto"/>
      </w:divBdr>
    </w:div>
    <w:div w:id="1103889107">
      <w:bodyDiv w:val="1"/>
      <w:marLeft w:val="0"/>
      <w:marRight w:val="0"/>
      <w:marTop w:val="0"/>
      <w:marBottom w:val="0"/>
      <w:divBdr>
        <w:top w:val="none" w:sz="0" w:space="0" w:color="auto"/>
        <w:left w:val="none" w:sz="0" w:space="0" w:color="auto"/>
        <w:bottom w:val="none" w:sz="0" w:space="0" w:color="auto"/>
        <w:right w:val="none" w:sz="0" w:space="0" w:color="auto"/>
      </w:divBdr>
    </w:div>
    <w:div w:id="1108697765">
      <w:bodyDiv w:val="1"/>
      <w:marLeft w:val="0"/>
      <w:marRight w:val="0"/>
      <w:marTop w:val="0"/>
      <w:marBottom w:val="0"/>
      <w:divBdr>
        <w:top w:val="none" w:sz="0" w:space="0" w:color="auto"/>
        <w:left w:val="none" w:sz="0" w:space="0" w:color="auto"/>
        <w:bottom w:val="none" w:sz="0" w:space="0" w:color="auto"/>
        <w:right w:val="none" w:sz="0" w:space="0" w:color="auto"/>
      </w:divBdr>
    </w:div>
    <w:div w:id="1133140614">
      <w:bodyDiv w:val="1"/>
      <w:marLeft w:val="0"/>
      <w:marRight w:val="0"/>
      <w:marTop w:val="0"/>
      <w:marBottom w:val="0"/>
      <w:divBdr>
        <w:top w:val="none" w:sz="0" w:space="0" w:color="auto"/>
        <w:left w:val="none" w:sz="0" w:space="0" w:color="auto"/>
        <w:bottom w:val="none" w:sz="0" w:space="0" w:color="auto"/>
        <w:right w:val="none" w:sz="0" w:space="0" w:color="auto"/>
      </w:divBdr>
    </w:div>
    <w:div w:id="1148981748">
      <w:bodyDiv w:val="1"/>
      <w:marLeft w:val="0"/>
      <w:marRight w:val="0"/>
      <w:marTop w:val="0"/>
      <w:marBottom w:val="0"/>
      <w:divBdr>
        <w:top w:val="none" w:sz="0" w:space="0" w:color="auto"/>
        <w:left w:val="none" w:sz="0" w:space="0" w:color="auto"/>
        <w:bottom w:val="none" w:sz="0" w:space="0" w:color="auto"/>
        <w:right w:val="none" w:sz="0" w:space="0" w:color="auto"/>
      </w:divBdr>
    </w:div>
    <w:div w:id="1157723916">
      <w:bodyDiv w:val="1"/>
      <w:marLeft w:val="0"/>
      <w:marRight w:val="0"/>
      <w:marTop w:val="0"/>
      <w:marBottom w:val="0"/>
      <w:divBdr>
        <w:top w:val="none" w:sz="0" w:space="0" w:color="auto"/>
        <w:left w:val="none" w:sz="0" w:space="0" w:color="auto"/>
        <w:bottom w:val="none" w:sz="0" w:space="0" w:color="auto"/>
        <w:right w:val="none" w:sz="0" w:space="0" w:color="auto"/>
      </w:divBdr>
    </w:div>
    <w:div w:id="1219634847">
      <w:bodyDiv w:val="1"/>
      <w:marLeft w:val="0"/>
      <w:marRight w:val="0"/>
      <w:marTop w:val="0"/>
      <w:marBottom w:val="0"/>
      <w:divBdr>
        <w:top w:val="none" w:sz="0" w:space="0" w:color="auto"/>
        <w:left w:val="none" w:sz="0" w:space="0" w:color="auto"/>
        <w:bottom w:val="none" w:sz="0" w:space="0" w:color="auto"/>
        <w:right w:val="none" w:sz="0" w:space="0" w:color="auto"/>
      </w:divBdr>
    </w:div>
    <w:div w:id="1268662908">
      <w:bodyDiv w:val="1"/>
      <w:marLeft w:val="0"/>
      <w:marRight w:val="0"/>
      <w:marTop w:val="0"/>
      <w:marBottom w:val="0"/>
      <w:divBdr>
        <w:top w:val="none" w:sz="0" w:space="0" w:color="auto"/>
        <w:left w:val="none" w:sz="0" w:space="0" w:color="auto"/>
        <w:bottom w:val="none" w:sz="0" w:space="0" w:color="auto"/>
        <w:right w:val="none" w:sz="0" w:space="0" w:color="auto"/>
      </w:divBdr>
    </w:div>
    <w:div w:id="1289320374">
      <w:bodyDiv w:val="1"/>
      <w:marLeft w:val="0"/>
      <w:marRight w:val="0"/>
      <w:marTop w:val="0"/>
      <w:marBottom w:val="0"/>
      <w:divBdr>
        <w:top w:val="none" w:sz="0" w:space="0" w:color="auto"/>
        <w:left w:val="none" w:sz="0" w:space="0" w:color="auto"/>
        <w:bottom w:val="none" w:sz="0" w:space="0" w:color="auto"/>
        <w:right w:val="none" w:sz="0" w:space="0" w:color="auto"/>
      </w:divBdr>
    </w:div>
    <w:div w:id="1301960759">
      <w:bodyDiv w:val="1"/>
      <w:marLeft w:val="0"/>
      <w:marRight w:val="0"/>
      <w:marTop w:val="0"/>
      <w:marBottom w:val="0"/>
      <w:divBdr>
        <w:top w:val="none" w:sz="0" w:space="0" w:color="auto"/>
        <w:left w:val="none" w:sz="0" w:space="0" w:color="auto"/>
        <w:bottom w:val="none" w:sz="0" w:space="0" w:color="auto"/>
        <w:right w:val="none" w:sz="0" w:space="0" w:color="auto"/>
      </w:divBdr>
    </w:div>
    <w:div w:id="1308785443">
      <w:bodyDiv w:val="1"/>
      <w:marLeft w:val="0"/>
      <w:marRight w:val="0"/>
      <w:marTop w:val="0"/>
      <w:marBottom w:val="0"/>
      <w:divBdr>
        <w:top w:val="none" w:sz="0" w:space="0" w:color="auto"/>
        <w:left w:val="none" w:sz="0" w:space="0" w:color="auto"/>
        <w:bottom w:val="none" w:sz="0" w:space="0" w:color="auto"/>
        <w:right w:val="none" w:sz="0" w:space="0" w:color="auto"/>
      </w:divBdr>
    </w:div>
    <w:div w:id="1380009027">
      <w:bodyDiv w:val="1"/>
      <w:marLeft w:val="0"/>
      <w:marRight w:val="0"/>
      <w:marTop w:val="0"/>
      <w:marBottom w:val="0"/>
      <w:divBdr>
        <w:top w:val="none" w:sz="0" w:space="0" w:color="auto"/>
        <w:left w:val="none" w:sz="0" w:space="0" w:color="auto"/>
        <w:bottom w:val="none" w:sz="0" w:space="0" w:color="auto"/>
        <w:right w:val="none" w:sz="0" w:space="0" w:color="auto"/>
      </w:divBdr>
    </w:div>
    <w:div w:id="1405643532">
      <w:bodyDiv w:val="1"/>
      <w:marLeft w:val="0"/>
      <w:marRight w:val="0"/>
      <w:marTop w:val="0"/>
      <w:marBottom w:val="0"/>
      <w:divBdr>
        <w:top w:val="none" w:sz="0" w:space="0" w:color="auto"/>
        <w:left w:val="none" w:sz="0" w:space="0" w:color="auto"/>
        <w:bottom w:val="none" w:sz="0" w:space="0" w:color="auto"/>
        <w:right w:val="none" w:sz="0" w:space="0" w:color="auto"/>
      </w:divBdr>
    </w:div>
    <w:div w:id="1421683762">
      <w:bodyDiv w:val="1"/>
      <w:marLeft w:val="0"/>
      <w:marRight w:val="0"/>
      <w:marTop w:val="0"/>
      <w:marBottom w:val="0"/>
      <w:divBdr>
        <w:top w:val="none" w:sz="0" w:space="0" w:color="auto"/>
        <w:left w:val="none" w:sz="0" w:space="0" w:color="auto"/>
        <w:bottom w:val="none" w:sz="0" w:space="0" w:color="auto"/>
        <w:right w:val="none" w:sz="0" w:space="0" w:color="auto"/>
      </w:divBdr>
    </w:div>
    <w:div w:id="1427262394">
      <w:bodyDiv w:val="1"/>
      <w:marLeft w:val="0"/>
      <w:marRight w:val="0"/>
      <w:marTop w:val="0"/>
      <w:marBottom w:val="0"/>
      <w:divBdr>
        <w:top w:val="none" w:sz="0" w:space="0" w:color="auto"/>
        <w:left w:val="none" w:sz="0" w:space="0" w:color="auto"/>
        <w:bottom w:val="none" w:sz="0" w:space="0" w:color="auto"/>
        <w:right w:val="none" w:sz="0" w:space="0" w:color="auto"/>
      </w:divBdr>
      <w:divsChild>
        <w:div w:id="1830705274">
          <w:marLeft w:val="0"/>
          <w:marRight w:val="0"/>
          <w:marTop w:val="0"/>
          <w:marBottom w:val="0"/>
          <w:divBdr>
            <w:top w:val="none" w:sz="0" w:space="0" w:color="auto"/>
            <w:left w:val="none" w:sz="0" w:space="0" w:color="auto"/>
            <w:bottom w:val="none" w:sz="0" w:space="0" w:color="auto"/>
            <w:right w:val="none" w:sz="0" w:space="0" w:color="auto"/>
          </w:divBdr>
          <w:divsChild>
            <w:div w:id="745570002">
              <w:marLeft w:val="0"/>
              <w:marRight w:val="0"/>
              <w:marTop w:val="0"/>
              <w:marBottom w:val="0"/>
              <w:divBdr>
                <w:top w:val="none" w:sz="0" w:space="0" w:color="auto"/>
                <w:left w:val="none" w:sz="0" w:space="0" w:color="auto"/>
                <w:bottom w:val="none" w:sz="0" w:space="0" w:color="auto"/>
                <w:right w:val="none" w:sz="0" w:space="0" w:color="auto"/>
              </w:divBdr>
              <w:divsChild>
                <w:div w:id="1292201155">
                  <w:marLeft w:val="0"/>
                  <w:marRight w:val="0"/>
                  <w:marTop w:val="0"/>
                  <w:marBottom w:val="0"/>
                  <w:divBdr>
                    <w:top w:val="none" w:sz="0" w:space="0" w:color="auto"/>
                    <w:left w:val="none" w:sz="0" w:space="0" w:color="auto"/>
                    <w:bottom w:val="none" w:sz="0" w:space="0" w:color="auto"/>
                    <w:right w:val="none" w:sz="0" w:space="0" w:color="auto"/>
                  </w:divBdr>
                  <w:divsChild>
                    <w:div w:id="1545406840">
                      <w:marLeft w:val="0"/>
                      <w:marRight w:val="0"/>
                      <w:marTop w:val="0"/>
                      <w:marBottom w:val="0"/>
                      <w:divBdr>
                        <w:top w:val="none" w:sz="0" w:space="0" w:color="auto"/>
                        <w:left w:val="none" w:sz="0" w:space="0" w:color="auto"/>
                        <w:bottom w:val="none" w:sz="0" w:space="0" w:color="auto"/>
                        <w:right w:val="none" w:sz="0" w:space="0" w:color="auto"/>
                      </w:divBdr>
                      <w:divsChild>
                        <w:div w:id="112754536">
                          <w:marLeft w:val="0"/>
                          <w:marRight w:val="0"/>
                          <w:marTop w:val="0"/>
                          <w:marBottom w:val="0"/>
                          <w:divBdr>
                            <w:top w:val="none" w:sz="0" w:space="0" w:color="auto"/>
                            <w:left w:val="none" w:sz="0" w:space="0" w:color="auto"/>
                            <w:bottom w:val="none" w:sz="0" w:space="0" w:color="auto"/>
                            <w:right w:val="none" w:sz="0" w:space="0" w:color="auto"/>
                          </w:divBdr>
                          <w:divsChild>
                            <w:div w:id="381248522">
                              <w:marLeft w:val="0"/>
                              <w:marRight w:val="0"/>
                              <w:marTop w:val="0"/>
                              <w:marBottom w:val="0"/>
                              <w:divBdr>
                                <w:top w:val="none" w:sz="0" w:space="0" w:color="auto"/>
                                <w:left w:val="none" w:sz="0" w:space="0" w:color="auto"/>
                                <w:bottom w:val="none" w:sz="0" w:space="0" w:color="auto"/>
                                <w:right w:val="none" w:sz="0" w:space="0" w:color="auto"/>
                              </w:divBdr>
                              <w:divsChild>
                                <w:div w:id="598294066">
                                  <w:marLeft w:val="0"/>
                                  <w:marRight w:val="0"/>
                                  <w:marTop w:val="0"/>
                                  <w:marBottom w:val="0"/>
                                  <w:divBdr>
                                    <w:top w:val="none" w:sz="0" w:space="0" w:color="auto"/>
                                    <w:left w:val="none" w:sz="0" w:space="0" w:color="auto"/>
                                    <w:bottom w:val="none" w:sz="0" w:space="0" w:color="auto"/>
                                    <w:right w:val="none" w:sz="0" w:space="0" w:color="auto"/>
                                  </w:divBdr>
                                  <w:divsChild>
                                    <w:div w:id="15634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863525">
      <w:bodyDiv w:val="1"/>
      <w:marLeft w:val="0"/>
      <w:marRight w:val="0"/>
      <w:marTop w:val="0"/>
      <w:marBottom w:val="0"/>
      <w:divBdr>
        <w:top w:val="none" w:sz="0" w:space="0" w:color="auto"/>
        <w:left w:val="none" w:sz="0" w:space="0" w:color="auto"/>
        <w:bottom w:val="none" w:sz="0" w:space="0" w:color="auto"/>
        <w:right w:val="none" w:sz="0" w:space="0" w:color="auto"/>
      </w:divBdr>
    </w:div>
    <w:div w:id="1436242294">
      <w:bodyDiv w:val="1"/>
      <w:marLeft w:val="0"/>
      <w:marRight w:val="0"/>
      <w:marTop w:val="0"/>
      <w:marBottom w:val="0"/>
      <w:divBdr>
        <w:top w:val="none" w:sz="0" w:space="0" w:color="auto"/>
        <w:left w:val="none" w:sz="0" w:space="0" w:color="auto"/>
        <w:bottom w:val="none" w:sz="0" w:space="0" w:color="auto"/>
        <w:right w:val="none" w:sz="0" w:space="0" w:color="auto"/>
      </w:divBdr>
    </w:div>
    <w:div w:id="1447313206">
      <w:bodyDiv w:val="1"/>
      <w:marLeft w:val="0"/>
      <w:marRight w:val="0"/>
      <w:marTop w:val="0"/>
      <w:marBottom w:val="0"/>
      <w:divBdr>
        <w:top w:val="none" w:sz="0" w:space="0" w:color="auto"/>
        <w:left w:val="none" w:sz="0" w:space="0" w:color="auto"/>
        <w:bottom w:val="none" w:sz="0" w:space="0" w:color="auto"/>
        <w:right w:val="none" w:sz="0" w:space="0" w:color="auto"/>
      </w:divBdr>
    </w:div>
    <w:div w:id="1450010355">
      <w:bodyDiv w:val="1"/>
      <w:marLeft w:val="0"/>
      <w:marRight w:val="0"/>
      <w:marTop w:val="0"/>
      <w:marBottom w:val="0"/>
      <w:divBdr>
        <w:top w:val="none" w:sz="0" w:space="0" w:color="auto"/>
        <w:left w:val="none" w:sz="0" w:space="0" w:color="auto"/>
        <w:bottom w:val="none" w:sz="0" w:space="0" w:color="auto"/>
        <w:right w:val="none" w:sz="0" w:space="0" w:color="auto"/>
      </w:divBdr>
    </w:div>
    <w:div w:id="1484352917">
      <w:bodyDiv w:val="1"/>
      <w:marLeft w:val="0"/>
      <w:marRight w:val="0"/>
      <w:marTop w:val="0"/>
      <w:marBottom w:val="0"/>
      <w:divBdr>
        <w:top w:val="none" w:sz="0" w:space="0" w:color="auto"/>
        <w:left w:val="none" w:sz="0" w:space="0" w:color="auto"/>
        <w:bottom w:val="none" w:sz="0" w:space="0" w:color="auto"/>
        <w:right w:val="none" w:sz="0" w:space="0" w:color="auto"/>
      </w:divBdr>
    </w:div>
    <w:div w:id="1496846727">
      <w:bodyDiv w:val="1"/>
      <w:marLeft w:val="0"/>
      <w:marRight w:val="0"/>
      <w:marTop w:val="0"/>
      <w:marBottom w:val="0"/>
      <w:divBdr>
        <w:top w:val="none" w:sz="0" w:space="0" w:color="auto"/>
        <w:left w:val="none" w:sz="0" w:space="0" w:color="auto"/>
        <w:bottom w:val="none" w:sz="0" w:space="0" w:color="auto"/>
        <w:right w:val="none" w:sz="0" w:space="0" w:color="auto"/>
      </w:divBdr>
    </w:div>
    <w:div w:id="1525627550">
      <w:bodyDiv w:val="1"/>
      <w:marLeft w:val="0"/>
      <w:marRight w:val="0"/>
      <w:marTop w:val="0"/>
      <w:marBottom w:val="0"/>
      <w:divBdr>
        <w:top w:val="none" w:sz="0" w:space="0" w:color="auto"/>
        <w:left w:val="none" w:sz="0" w:space="0" w:color="auto"/>
        <w:bottom w:val="none" w:sz="0" w:space="0" w:color="auto"/>
        <w:right w:val="none" w:sz="0" w:space="0" w:color="auto"/>
      </w:divBdr>
    </w:div>
    <w:div w:id="1567952994">
      <w:bodyDiv w:val="1"/>
      <w:marLeft w:val="0"/>
      <w:marRight w:val="0"/>
      <w:marTop w:val="0"/>
      <w:marBottom w:val="0"/>
      <w:divBdr>
        <w:top w:val="none" w:sz="0" w:space="0" w:color="auto"/>
        <w:left w:val="none" w:sz="0" w:space="0" w:color="auto"/>
        <w:bottom w:val="none" w:sz="0" w:space="0" w:color="auto"/>
        <w:right w:val="none" w:sz="0" w:space="0" w:color="auto"/>
      </w:divBdr>
    </w:div>
    <w:div w:id="1663580124">
      <w:bodyDiv w:val="1"/>
      <w:marLeft w:val="0"/>
      <w:marRight w:val="0"/>
      <w:marTop w:val="0"/>
      <w:marBottom w:val="0"/>
      <w:divBdr>
        <w:top w:val="none" w:sz="0" w:space="0" w:color="auto"/>
        <w:left w:val="none" w:sz="0" w:space="0" w:color="auto"/>
        <w:bottom w:val="none" w:sz="0" w:space="0" w:color="auto"/>
        <w:right w:val="none" w:sz="0" w:space="0" w:color="auto"/>
      </w:divBdr>
    </w:div>
    <w:div w:id="1691908197">
      <w:bodyDiv w:val="1"/>
      <w:marLeft w:val="0"/>
      <w:marRight w:val="0"/>
      <w:marTop w:val="0"/>
      <w:marBottom w:val="0"/>
      <w:divBdr>
        <w:top w:val="none" w:sz="0" w:space="0" w:color="auto"/>
        <w:left w:val="none" w:sz="0" w:space="0" w:color="auto"/>
        <w:bottom w:val="none" w:sz="0" w:space="0" w:color="auto"/>
        <w:right w:val="none" w:sz="0" w:space="0" w:color="auto"/>
      </w:divBdr>
    </w:div>
    <w:div w:id="1703743974">
      <w:bodyDiv w:val="1"/>
      <w:marLeft w:val="0"/>
      <w:marRight w:val="0"/>
      <w:marTop w:val="0"/>
      <w:marBottom w:val="0"/>
      <w:divBdr>
        <w:top w:val="none" w:sz="0" w:space="0" w:color="auto"/>
        <w:left w:val="none" w:sz="0" w:space="0" w:color="auto"/>
        <w:bottom w:val="none" w:sz="0" w:space="0" w:color="auto"/>
        <w:right w:val="none" w:sz="0" w:space="0" w:color="auto"/>
      </w:divBdr>
    </w:div>
    <w:div w:id="1712076372">
      <w:bodyDiv w:val="1"/>
      <w:marLeft w:val="0"/>
      <w:marRight w:val="0"/>
      <w:marTop w:val="0"/>
      <w:marBottom w:val="0"/>
      <w:divBdr>
        <w:top w:val="none" w:sz="0" w:space="0" w:color="auto"/>
        <w:left w:val="none" w:sz="0" w:space="0" w:color="auto"/>
        <w:bottom w:val="none" w:sz="0" w:space="0" w:color="auto"/>
        <w:right w:val="none" w:sz="0" w:space="0" w:color="auto"/>
      </w:divBdr>
    </w:div>
    <w:div w:id="1731033411">
      <w:bodyDiv w:val="1"/>
      <w:marLeft w:val="0"/>
      <w:marRight w:val="0"/>
      <w:marTop w:val="0"/>
      <w:marBottom w:val="0"/>
      <w:divBdr>
        <w:top w:val="none" w:sz="0" w:space="0" w:color="auto"/>
        <w:left w:val="none" w:sz="0" w:space="0" w:color="auto"/>
        <w:bottom w:val="none" w:sz="0" w:space="0" w:color="auto"/>
        <w:right w:val="none" w:sz="0" w:space="0" w:color="auto"/>
      </w:divBdr>
    </w:div>
    <w:div w:id="1737823317">
      <w:bodyDiv w:val="1"/>
      <w:marLeft w:val="0"/>
      <w:marRight w:val="0"/>
      <w:marTop w:val="0"/>
      <w:marBottom w:val="0"/>
      <w:divBdr>
        <w:top w:val="none" w:sz="0" w:space="0" w:color="auto"/>
        <w:left w:val="none" w:sz="0" w:space="0" w:color="auto"/>
        <w:bottom w:val="none" w:sz="0" w:space="0" w:color="auto"/>
        <w:right w:val="none" w:sz="0" w:space="0" w:color="auto"/>
      </w:divBdr>
    </w:div>
    <w:div w:id="1767382555">
      <w:bodyDiv w:val="1"/>
      <w:marLeft w:val="0"/>
      <w:marRight w:val="0"/>
      <w:marTop w:val="0"/>
      <w:marBottom w:val="0"/>
      <w:divBdr>
        <w:top w:val="none" w:sz="0" w:space="0" w:color="auto"/>
        <w:left w:val="none" w:sz="0" w:space="0" w:color="auto"/>
        <w:bottom w:val="none" w:sz="0" w:space="0" w:color="auto"/>
        <w:right w:val="none" w:sz="0" w:space="0" w:color="auto"/>
      </w:divBdr>
    </w:div>
    <w:div w:id="1779711390">
      <w:bodyDiv w:val="1"/>
      <w:marLeft w:val="0"/>
      <w:marRight w:val="0"/>
      <w:marTop w:val="0"/>
      <w:marBottom w:val="0"/>
      <w:divBdr>
        <w:top w:val="none" w:sz="0" w:space="0" w:color="auto"/>
        <w:left w:val="none" w:sz="0" w:space="0" w:color="auto"/>
        <w:bottom w:val="none" w:sz="0" w:space="0" w:color="auto"/>
        <w:right w:val="none" w:sz="0" w:space="0" w:color="auto"/>
      </w:divBdr>
    </w:div>
    <w:div w:id="1814248364">
      <w:bodyDiv w:val="1"/>
      <w:marLeft w:val="0"/>
      <w:marRight w:val="0"/>
      <w:marTop w:val="0"/>
      <w:marBottom w:val="0"/>
      <w:divBdr>
        <w:top w:val="none" w:sz="0" w:space="0" w:color="auto"/>
        <w:left w:val="none" w:sz="0" w:space="0" w:color="auto"/>
        <w:bottom w:val="none" w:sz="0" w:space="0" w:color="auto"/>
        <w:right w:val="none" w:sz="0" w:space="0" w:color="auto"/>
      </w:divBdr>
    </w:div>
    <w:div w:id="1816489691">
      <w:bodyDiv w:val="1"/>
      <w:marLeft w:val="0"/>
      <w:marRight w:val="0"/>
      <w:marTop w:val="0"/>
      <w:marBottom w:val="0"/>
      <w:divBdr>
        <w:top w:val="none" w:sz="0" w:space="0" w:color="auto"/>
        <w:left w:val="none" w:sz="0" w:space="0" w:color="auto"/>
        <w:bottom w:val="none" w:sz="0" w:space="0" w:color="auto"/>
        <w:right w:val="none" w:sz="0" w:space="0" w:color="auto"/>
      </w:divBdr>
    </w:div>
    <w:div w:id="1825462497">
      <w:bodyDiv w:val="1"/>
      <w:marLeft w:val="0"/>
      <w:marRight w:val="0"/>
      <w:marTop w:val="0"/>
      <w:marBottom w:val="0"/>
      <w:divBdr>
        <w:top w:val="none" w:sz="0" w:space="0" w:color="auto"/>
        <w:left w:val="none" w:sz="0" w:space="0" w:color="auto"/>
        <w:bottom w:val="none" w:sz="0" w:space="0" w:color="auto"/>
        <w:right w:val="none" w:sz="0" w:space="0" w:color="auto"/>
      </w:divBdr>
    </w:div>
    <w:div w:id="1899898205">
      <w:bodyDiv w:val="1"/>
      <w:marLeft w:val="0"/>
      <w:marRight w:val="0"/>
      <w:marTop w:val="0"/>
      <w:marBottom w:val="0"/>
      <w:divBdr>
        <w:top w:val="none" w:sz="0" w:space="0" w:color="auto"/>
        <w:left w:val="none" w:sz="0" w:space="0" w:color="auto"/>
        <w:bottom w:val="none" w:sz="0" w:space="0" w:color="auto"/>
        <w:right w:val="none" w:sz="0" w:space="0" w:color="auto"/>
      </w:divBdr>
    </w:div>
    <w:div w:id="1944459318">
      <w:bodyDiv w:val="1"/>
      <w:marLeft w:val="0"/>
      <w:marRight w:val="0"/>
      <w:marTop w:val="0"/>
      <w:marBottom w:val="0"/>
      <w:divBdr>
        <w:top w:val="none" w:sz="0" w:space="0" w:color="auto"/>
        <w:left w:val="none" w:sz="0" w:space="0" w:color="auto"/>
        <w:bottom w:val="none" w:sz="0" w:space="0" w:color="auto"/>
        <w:right w:val="none" w:sz="0" w:space="0" w:color="auto"/>
      </w:divBdr>
    </w:div>
    <w:div w:id="1948614430">
      <w:bodyDiv w:val="1"/>
      <w:marLeft w:val="0"/>
      <w:marRight w:val="0"/>
      <w:marTop w:val="0"/>
      <w:marBottom w:val="0"/>
      <w:divBdr>
        <w:top w:val="none" w:sz="0" w:space="0" w:color="auto"/>
        <w:left w:val="none" w:sz="0" w:space="0" w:color="auto"/>
        <w:bottom w:val="none" w:sz="0" w:space="0" w:color="auto"/>
        <w:right w:val="none" w:sz="0" w:space="0" w:color="auto"/>
      </w:divBdr>
    </w:div>
    <w:div w:id="1976253402">
      <w:bodyDiv w:val="1"/>
      <w:marLeft w:val="0"/>
      <w:marRight w:val="0"/>
      <w:marTop w:val="0"/>
      <w:marBottom w:val="0"/>
      <w:divBdr>
        <w:top w:val="none" w:sz="0" w:space="0" w:color="auto"/>
        <w:left w:val="none" w:sz="0" w:space="0" w:color="auto"/>
        <w:bottom w:val="none" w:sz="0" w:space="0" w:color="auto"/>
        <w:right w:val="none" w:sz="0" w:space="0" w:color="auto"/>
      </w:divBdr>
    </w:div>
    <w:div w:id="2005694041">
      <w:bodyDiv w:val="1"/>
      <w:marLeft w:val="0"/>
      <w:marRight w:val="0"/>
      <w:marTop w:val="0"/>
      <w:marBottom w:val="0"/>
      <w:divBdr>
        <w:top w:val="none" w:sz="0" w:space="0" w:color="auto"/>
        <w:left w:val="none" w:sz="0" w:space="0" w:color="auto"/>
        <w:bottom w:val="none" w:sz="0" w:space="0" w:color="auto"/>
        <w:right w:val="none" w:sz="0" w:space="0" w:color="auto"/>
      </w:divBdr>
    </w:div>
    <w:div w:id="2056460667">
      <w:bodyDiv w:val="1"/>
      <w:marLeft w:val="0"/>
      <w:marRight w:val="0"/>
      <w:marTop w:val="0"/>
      <w:marBottom w:val="0"/>
      <w:divBdr>
        <w:top w:val="none" w:sz="0" w:space="0" w:color="auto"/>
        <w:left w:val="none" w:sz="0" w:space="0" w:color="auto"/>
        <w:bottom w:val="none" w:sz="0" w:space="0" w:color="auto"/>
        <w:right w:val="none" w:sz="0" w:space="0" w:color="auto"/>
      </w:divBdr>
    </w:div>
    <w:div w:id="2101024765">
      <w:bodyDiv w:val="1"/>
      <w:marLeft w:val="0"/>
      <w:marRight w:val="0"/>
      <w:marTop w:val="0"/>
      <w:marBottom w:val="0"/>
      <w:divBdr>
        <w:top w:val="none" w:sz="0" w:space="0" w:color="auto"/>
        <w:left w:val="none" w:sz="0" w:space="0" w:color="auto"/>
        <w:bottom w:val="none" w:sz="0" w:space="0" w:color="auto"/>
        <w:right w:val="none" w:sz="0" w:space="0" w:color="auto"/>
      </w:divBdr>
    </w:div>
    <w:div w:id="2106874700">
      <w:bodyDiv w:val="1"/>
      <w:marLeft w:val="0"/>
      <w:marRight w:val="0"/>
      <w:marTop w:val="0"/>
      <w:marBottom w:val="0"/>
      <w:divBdr>
        <w:top w:val="none" w:sz="0" w:space="0" w:color="auto"/>
        <w:left w:val="none" w:sz="0" w:space="0" w:color="auto"/>
        <w:bottom w:val="none" w:sz="0" w:space="0" w:color="auto"/>
        <w:right w:val="none" w:sz="0" w:space="0" w:color="auto"/>
      </w:divBdr>
    </w:div>
    <w:div w:id="21314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o.org/publications/sofi/2023/en/" TargetMode="External"/><Relationship Id="rId18" Type="http://schemas.openxmlformats.org/officeDocument/2006/relationships/hyperlink" Target="http://www.isee.org.in/uploadpaper/58,April%20-%20June,01.pdf" TargetMode="External"/><Relationship Id="rId26" Type="http://schemas.openxmlformats.org/officeDocument/2006/relationships/hyperlink" Target="https://www.globalhungerindex.org/en/2023.html" TargetMode="External"/><Relationship Id="rId3" Type="http://schemas.openxmlformats.org/officeDocument/2006/relationships/settings" Target="settings.xml"/><Relationship Id="rId21" Type="http://schemas.openxmlformats.org/officeDocument/2006/relationships/hyperlink" Target="https://doi.org/10.1111/dpr.12681" TargetMode="External"/><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fao.org/documents/card/en/c/cc0639en" TargetMode="External"/><Relationship Id="rId17" Type="http://schemas.openxmlformats.org/officeDocument/2006/relationships/hyperlink" Target="https://epubs.icar.org.in/index.php/IJEE/article/view/162263/58914" TargetMode="External"/><Relationship Id="rId25" Type="http://schemas.openxmlformats.org/officeDocument/2006/relationships/hyperlink" Target="https://doi.org/10.5958/0974-0279.2023.00010.2"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07/s11625-022-01134-7" TargetMode="External"/><Relationship Id="rId20" Type="http://schemas.openxmlformats.org/officeDocument/2006/relationships/hyperlink" Target="https://www.scirp.org/reference/ReferencesPapers?ReferenceID=142186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pact.economist.com/sustainability/project/food-security-index" TargetMode="External"/><Relationship Id="rId24" Type="http://schemas.openxmlformats.org/officeDocument/2006/relationships/hyperlink" Target="https://seea.org.in/irjee/view-content/drivers-of-decision-making-among-farm-women-in-varied-agricultural-activities-forward-step-logistic-regression-model-technique"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space.kottakkalfarookcollege.edu.in:8001/jspui/bitstream/123456789/3846/1/Basic%20Econometrics%20(%20PDFDrive%20).pdf" TargetMode="External"/><Relationship Id="rId23" Type="http://schemas.openxmlformats.org/officeDocument/2006/relationships/hyperlink" Target="https://api.seea.org.in/uploads/pdf/2024-84145148.pdf" TargetMode="External"/><Relationship Id="rId28" Type="http://schemas.openxmlformats.org/officeDocument/2006/relationships/header" Target="header1.xml"/><Relationship Id="rId10" Type="http://schemas.openxmlformats.org/officeDocument/2006/relationships/hyperlink" Target="https://doi.org/10.1080/08920753.2021.1876442" TargetMode="External"/><Relationship Id="rId19" Type="http://schemas.openxmlformats.org/officeDocument/2006/relationships/hyperlink" Target="https://doi.org/10.1017/CBO978051180527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uraldevjournal.in/article/view/312" TargetMode="External"/><Relationship Id="rId14" Type="http://schemas.openxmlformats.org/officeDocument/2006/relationships/hyperlink" Target="https://www.scirp.org/reference/referencespapers?referenceid=2920183" TargetMode="External"/><Relationship Id="rId22" Type="http://schemas.openxmlformats.org/officeDocument/2006/relationships/hyperlink" Target="https://www.epw.in/journal/2020/7/research-articles/role-education-and-market-access-food-security.html" TargetMode="External"/><Relationship Id="rId27" Type="http://schemas.openxmlformats.org/officeDocument/2006/relationships/hyperlink" Target="https://cbpbu.ac.in/userfiles/file/2020/STUDY_MAT/ECO/2.pdf"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i.org/10.1007/s10018-021-003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11</Pages>
  <Words>5221</Words>
  <Characters>29763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SAMADDER</dc:creator>
  <cp:keywords/>
  <dc:description/>
  <cp:lastModifiedBy>SDI 1084</cp:lastModifiedBy>
  <cp:revision>13</cp:revision>
  <dcterms:created xsi:type="dcterms:W3CDTF">2025-04-02T07:43:00Z</dcterms:created>
  <dcterms:modified xsi:type="dcterms:W3CDTF">2025-04-04T05:40:00Z</dcterms:modified>
</cp:coreProperties>
</file>