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C166" w14:textId="6B2D7286" w:rsidR="00661977" w:rsidRPr="00037593" w:rsidRDefault="00037593" w:rsidP="00726A93">
      <w:pPr>
        <w:spacing w:after="0" w:line="360" w:lineRule="auto"/>
        <w:jc w:val="both"/>
        <w:rPr>
          <w:rFonts w:ascii="Times New Roman" w:eastAsia="Calibri" w:hAnsi="Times New Roman" w:cs="Times New Roman"/>
          <w:b/>
          <w:bCs/>
          <w:kern w:val="0"/>
          <w:sz w:val="28"/>
          <w:szCs w:val="28"/>
          <w:lang w:val="en-US" w:bidi="ar-SA"/>
          <w14:ligatures w14:val="none"/>
        </w:rPr>
      </w:pPr>
      <w:r w:rsidRPr="00037593">
        <w:rPr>
          <w:rFonts w:ascii="Times New Roman" w:eastAsia="Calibri" w:hAnsi="Times New Roman" w:cs="Times New Roman"/>
          <w:b/>
          <w:bCs/>
          <w:kern w:val="0"/>
          <w:sz w:val="28"/>
          <w:szCs w:val="28"/>
          <w:lang w:val="en-US" w:bidi="ar-SA"/>
          <w14:ligatures w14:val="none"/>
        </w:rPr>
        <w:t>"EXPLORING THE RELATIONSHIP BETWEEN BITTER GOURD (MOMORDICA CHARANTIA) CONSUMPTION AND HBA1C% IN TYPE 2 DIABETES AND DIABETIC HYPERTENSION COMORBIDITY"</w:t>
      </w:r>
    </w:p>
    <w:p w14:paraId="562522DF" w14:textId="77777777" w:rsidR="00037D6A" w:rsidRPr="00037593" w:rsidRDefault="00037D6A" w:rsidP="00037D6A">
      <w:pPr>
        <w:spacing w:after="0" w:line="360" w:lineRule="auto"/>
        <w:jc w:val="center"/>
        <w:rPr>
          <w:rFonts w:ascii="Times New Roman" w:eastAsia="Calibri" w:hAnsi="Times New Roman" w:cs="Times New Roman"/>
          <w:b/>
          <w:bCs/>
          <w:kern w:val="0"/>
          <w:szCs w:val="22"/>
          <w:lang w:val="en-US" w:bidi="ar-SA"/>
          <w14:ligatures w14:val="none"/>
        </w:rPr>
      </w:pPr>
    </w:p>
    <w:p w14:paraId="6E99FC40" w14:textId="77777777" w:rsidR="00172F92" w:rsidRPr="00037593" w:rsidRDefault="00172F92" w:rsidP="00037D6A">
      <w:pPr>
        <w:spacing w:after="0" w:line="276" w:lineRule="auto"/>
        <w:jc w:val="center"/>
        <w:rPr>
          <w:rFonts w:ascii="Times New Roman" w:eastAsia="Calibri" w:hAnsi="Times New Roman" w:cs="Times New Roman"/>
          <w:b/>
          <w:bCs/>
          <w:i/>
          <w:iCs/>
          <w:kern w:val="0"/>
          <w:sz w:val="32"/>
          <w:szCs w:val="32"/>
          <w:lang w:val="en-US" w:bidi="ar-SA"/>
          <w14:ligatures w14:val="none"/>
        </w:rPr>
      </w:pPr>
      <w:bookmarkStart w:id="0" w:name="_GoBack"/>
      <w:bookmarkEnd w:id="0"/>
    </w:p>
    <w:p w14:paraId="42B9A065" w14:textId="54F8F9F5" w:rsidR="0055636D" w:rsidRPr="00037593" w:rsidRDefault="00172F92"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037593">
        <w:rPr>
          <w:rFonts w:ascii="Times New Roman" w:eastAsia="Calibri" w:hAnsi="Times New Roman" w:cs="Times New Roman"/>
          <w:b/>
          <w:bCs/>
          <w:kern w:val="0"/>
          <w:sz w:val="24"/>
          <w:szCs w:val="24"/>
          <w:lang w:val="en-US" w:bidi="ar-SA"/>
          <w14:ligatures w14:val="none"/>
        </w:rPr>
        <w:t>Abstract</w:t>
      </w:r>
    </w:p>
    <w:p w14:paraId="06814CA8" w14:textId="77777777" w:rsidR="0055636D" w:rsidRPr="00037593" w:rsidRDefault="0055636D"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6A5A01CB" w14:textId="4CC497E4" w:rsidR="000446F3" w:rsidRPr="00037593" w:rsidRDefault="000446F3"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In India, approximately 72.9 million individuals suffer from diabetes, and 317 million experience </w:t>
      </w:r>
      <w:proofErr w:type="gramStart"/>
      <w:r w:rsidRPr="00037593">
        <w:rPr>
          <w:rFonts w:ascii="Times New Roman" w:eastAsia="Calibri" w:hAnsi="Times New Roman" w:cs="Times New Roman"/>
          <w:kern w:val="0"/>
          <w:sz w:val="24"/>
          <w:szCs w:val="24"/>
          <w:lang w:val="en-US" w:bidi="ar-SA"/>
          <w14:ligatures w14:val="none"/>
        </w:rPr>
        <w:t>hypertension</w:t>
      </w:r>
      <w:proofErr w:type="gramEnd"/>
      <w:r w:rsidRPr="00037593">
        <w:rPr>
          <w:rFonts w:ascii="Times New Roman" w:eastAsia="Calibri" w:hAnsi="Times New Roman" w:cs="Times New Roman"/>
          <w:kern w:val="0"/>
          <w:sz w:val="24"/>
          <w:szCs w:val="24"/>
          <w:lang w:val="en-US" w:bidi="ar-SA"/>
          <w14:ligatures w14:val="none"/>
        </w:rPr>
        <w:t xml:space="preserve">. Bitter gourd (Momordica </w:t>
      </w:r>
      <w:proofErr w:type="spellStart"/>
      <w:r w:rsidRPr="00037593">
        <w:rPr>
          <w:rFonts w:ascii="Times New Roman" w:eastAsia="Calibri" w:hAnsi="Times New Roman" w:cs="Times New Roman"/>
          <w:kern w:val="0"/>
          <w:sz w:val="24"/>
          <w:szCs w:val="24"/>
          <w:lang w:val="en-US" w:bidi="ar-SA"/>
          <w14:ligatures w14:val="none"/>
        </w:rPr>
        <w:t>charantia</w:t>
      </w:r>
      <w:proofErr w:type="spellEnd"/>
      <w:r w:rsidRPr="00037593">
        <w:rPr>
          <w:rFonts w:ascii="Times New Roman" w:eastAsia="Calibri" w:hAnsi="Times New Roman" w:cs="Times New Roman"/>
          <w:kern w:val="0"/>
          <w:sz w:val="24"/>
          <w:szCs w:val="24"/>
          <w:lang w:val="en-US" w:bidi="ar-SA"/>
          <w14:ligatures w14:val="none"/>
        </w:rPr>
        <w:t xml:space="preserve">) is traditionally used for the management of type 2 diabetes mellitus (T2DM). The objective of this study was to examine the association between the frequency of bitter gourd consumption and HbA1c% levels among patients with T2DM and those with both T2DM and hypertension (T2DM*HTN). A hospital-based, cross-sectional descriptive study was conducted with 320 patients aged 20 years and older, who were diagnosed with T2DM and/or hypertension. The frequency of bitter gourd consumption was assessed using a formative scale, and statistical analysis was performed using Fisher’s exact test and Somers’ </w:t>
      </w:r>
      <w:r w:rsidRPr="00037593">
        <w:rPr>
          <w:rFonts w:ascii="Times New Roman" w:eastAsia="Calibri" w:hAnsi="Times New Roman" w:cs="Times New Roman"/>
          <w:i/>
          <w:iCs/>
          <w:kern w:val="0"/>
          <w:sz w:val="24"/>
          <w:szCs w:val="24"/>
          <w:lang w:val="en-US" w:bidi="ar-SA"/>
          <w14:ligatures w14:val="none"/>
        </w:rPr>
        <w:t>d</w:t>
      </w:r>
      <w:r w:rsidRPr="00037593">
        <w:rPr>
          <w:rFonts w:ascii="Times New Roman" w:eastAsia="Calibri" w:hAnsi="Times New Roman" w:cs="Times New Roman"/>
          <w:kern w:val="0"/>
          <w:sz w:val="24"/>
          <w:szCs w:val="24"/>
          <w:lang w:val="en-US" w:bidi="ar-SA"/>
          <w14:ligatures w14:val="none"/>
        </w:rPr>
        <w:t xml:space="preserve"> statistic to evaluate associations. </w:t>
      </w:r>
      <w:r w:rsidR="00241150" w:rsidRPr="00037593">
        <w:rPr>
          <w:rFonts w:ascii="Times New Roman" w:eastAsia="Calibri" w:hAnsi="Times New Roman" w:cs="Times New Roman"/>
          <w:kern w:val="0"/>
          <w:sz w:val="24"/>
          <w:szCs w:val="24"/>
          <w:lang w:val="en-US" w:bidi="ar-SA"/>
          <w14:ligatures w14:val="none"/>
        </w:rPr>
        <w:t>Among the 320 patients, 31.3% had T2DM, 50.0% had HTN, and 19% showed co-prevalence of T2DM and HTN (T2DM*HTN</w:t>
      </w:r>
      <w:r w:rsidR="00395CA8" w:rsidRPr="00037593">
        <w:rPr>
          <w:rFonts w:ascii="Times New Roman" w:eastAsia="Calibri" w:hAnsi="Times New Roman" w:cs="Times New Roman"/>
          <w:kern w:val="0"/>
          <w:sz w:val="24"/>
          <w:szCs w:val="24"/>
          <w:lang w:val="en-US" w:bidi="ar-SA"/>
          <w14:ligatures w14:val="none"/>
        </w:rPr>
        <w:t>). The</w:t>
      </w:r>
      <w:r w:rsidRPr="00037593">
        <w:rPr>
          <w:rFonts w:ascii="Times New Roman" w:eastAsia="Calibri" w:hAnsi="Times New Roman" w:cs="Times New Roman"/>
          <w:kern w:val="0"/>
          <w:sz w:val="24"/>
          <w:szCs w:val="24"/>
          <w:lang w:val="en-US" w:bidi="ar-SA"/>
          <w14:ligatures w14:val="none"/>
        </w:rPr>
        <w:t xml:space="preserve"> mean age of participants was 47.6 ± 1.07 years for T2DM</w:t>
      </w:r>
      <w:r w:rsidR="00241150"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 xml:space="preserve">and 54.5 ± 1.1 years for T2DM*HTN. The mean HbA1c% levels were 8.6 ± 0.2% for T2DM and 8.2 ± 0.1% for T2DM*HTN. The mean systolic and diastolic blood pressures for T2DM*HTN patients were 136.5 ± 3.4 mmHg and 92.0 ± 2.6 mmHg, respectively. </w:t>
      </w:r>
      <w:r w:rsidR="001A56EA" w:rsidRPr="00037593">
        <w:rPr>
          <w:rFonts w:ascii="Times New Roman" w:eastAsia="Calibri" w:hAnsi="Times New Roman" w:cs="Times New Roman"/>
          <w:kern w:val="0"/>
          <w:sz w:val="24"/>
          <w:szCs w:val="24"/>
          <w:lang w:val="en-US" w:bidi="ar-SA"/>
          <w14:ligatures w14:val="none"/>
        </w:rPr>
        <w:t xml:space="preserve">The study identified a modest but significant negative association between bitter gourd consumption and HbA1c levels </w:t>
      </w:r>
      <w:r w:rsidR="008429A1" w:rsidRPr="00037593">
        <w:rPr>
          <w:rFonts w:ascii="Times New Roman" w:eastAsia="Calibri" w:hAnsi="Times New Roman" w:cs="Times New Roman"/>
          <w:kern w:val="0"/>
          <w:sz w:val="24"/>
          <w:szCs w:val="24"/>
          <w:lang w:val="en-US" w:bidi="ar-SA"/>
          <w14:ligatures w14:val="none"/>
        </w:rPr>
        <w:t>in</w:t>
      </w:r>
      <w:r w:rsidR="001A56EA" w:rsidRPr="00037593">
        <w:rPr>
          <w:rFonts w:ascii="Times New Roman" w:eastAsia="Calibri" w:hAnsi="Times New Roman" w:cs="Times New Roman"/>
          <w:kern w:val="0"/>
          <w:sz w:val="24"/>
          <w:szCs w:val="24"/>
          <w:lang w:val="en-US" w:bidi="ar-SA"/>
          <w14:ligatures w14:val="none"/>
        </w:rPr>
        <w:t xml:space="preserve"> patients</w:t>
      </w:r>
      <w:r w:rsidR="008429A1" w:rsidRPr="00037593">
        <w:rPr>
          <w:rFonts w:ascii="Times New Roman" w:eastAsia="Calibri" w:hAnsi="Times New Roman" w:cs="Times New Roman"/>
          <w:kern w:val="0"/>
          <w:sz w:val="24"/>
          <w:szCs w:val="24"/>
          <w:lang w:val="en-US" w:bidi="ar-SA"/>
          <w14:ligatures w14:val="none"/>
        </w:rPr>
        <w:t xml:space="preserve"> with only diabetes</w:t>
      </w:r>
      <w:r w:rsidR="001A56EA" w:rsidRPr="00037593">
        <w:rPr>
          <w:rFonts w:ascii="Times New Roman" w:eastAsia="Calibri" w:hAnsi="Times New Roman" w:cs="Times New Roman"/>
          <w:kern w:val="0"/>
          <w:sz w:val="24"/>
          <w:szCs w:val="24"/>
          <w:lang w:val="en-US" w:bidi="ar-SA"/>
          <w14:ligatures w14:val="none"/>
        </w:rPr>
        <w:t xml:space="preserve"> (</w:t>
      </w:r>
      <w:r w:rsidR="001A56EA" w:rsidRPr="00037593">
        <w:rPr>
          <w:rFonts w:ascii="Times New Roman" w:eastAsia="Calibri" w:hAnsi="Times New Roman" w:cs="Times New Roman"/>
          <w:i/>
          <w:iCs/>
          <w:kern w:val="0"/>
          <w:sz w:val="24"/>
          <w:szCs w:val="24"/>
          <w:lang w:val="en-US" w:bidi="ar-SA"/>
          <w14:ligatures w14:val="none"/>
        </w:rPr>
        <w:t>p</w:t>
      </w:r>
      <w:r w:rsidR="001A56EA" w:rsidRPr="00037593">
        <w:rPr>
          <w:rFonts w:ascii="Times New Roman" w:eastAsia="Calibri" w:hAnsi="Times New Roman" w:cs="Times New Roman"/>
          <w:kern w:val="0"/>
          <w:sz w:val="24"/>
          <w:szCs w:val="24"/>
          <w:lang w:val="en-US" w:bidi="ar-SA"/>
          <w14:ligatures w14:val="none"/>
        </w:rPr>
        <w:t xml:space="preserve"> &lt; 0.05) suggesting that frequent bitter gourd intake may contribute to a gradual reduction in glycemic levels. However, </w:t>
      </w:r>
      <w:proofErr w:type="gramStart"/>
      <w:r w:rsidR="00D94634">
        <w:rPr>
          <w:rFonts w:ascii="Times New Roman" w:eastAsia="Calibri" w:hAnsi="Times New Roman" w:cs="Times New Roman"/>
          <w:kern w:val="0"/>
          <w:sz w:val="24"/>
          <w:szCs w:val="24"/>
          <w:lang w:val="en-US" w:bidi="ar-SA"/>
          <w14:ligatures w14:val="none"/>
        </w:rPr>
        <w:t>I</w:t>
      </w:r>
      <w:r w:rsidR="001A56EA" w:rsidRPr="00037593">
        <w:rPr>
          <w:rFonts w:ascii="Times New Roman" w:eastAsia="Calibri" w:hAnsi="Times New Roman" w:cs="Times New Roman"/>
          <w:kern w:val="0"/>
          <w:sz w:val="24"/>
          <w:szCs w:val="24"/>
          <w:lang w:val="en-US" w:bidi="ar-SA"/>
          <w14:ligatures w14:val="none"/>
        </w:rPr>
        <w:t>n</w:t>
      </w:r>
      <w:proofErr w:type="gramEnd"/>
      <w:r w:rsidR="001A56EA" w:rsidRPr="00037593">
        <w:rPr>
          <w:rFonts w:ascii="Times New Roman" w:eastAsia="Calibri" w:hAnsi="Times New Roman" w:cs="Times New Roman"/>
          <w:kern w:val="0"/>
          <w:sz w:val="24"/>
          <w:szCs w:val="24"/>
          <w:lang w:val="en-US" w:bidi="ar-SA"/>
          <w14:ligatures w14:val="none"/>
        </w:rPr>
        <w:t xml:space="preserve"> diabetic hypertensive patients, no statistically significant association was</w:t>
      </w:r>
      <w:r w:rsidR="008429A1" w:rsidRPr="00037593">
        <w:rPr>
          <w:rFonts w:ascii="Times New Roman" w:eastAsia="Calibri" w:hAnsi="Times New Roman" w:cs="Times New Roman"/>
          <w:kern w:val="0"/>
          <w:sz w:val="24"/>
          <w:szCs w:val="24"/>
          <w:lang w:val="en-US" w:bidi="ar-SA"/>
          <w14:ligatures w14:val="none"/>
        </w:rPr>
        <w:t xml:space="preserve"> observed </w:t>
      </w:r>
      <w:r w:rsidR="001A56EA" w:rsidRPr="00037593">
        <w:rPr>
          <w:rFonts w:ascii="Times New Roman" w:eastAsia="Calibri" w:hAnsi="Times New Roman" w:cs="Times New Roman"/>
          <w:kern w:val="0"/>
          <w:sz w:val="24"/>
          <w:szCs w:val="24"/>
          <w:lang w:val="en-US" w:bidi="ar-SA"/>
          <w14:ligatures w14:val="none"/>
        </w:rPr>
        <w:t>(</w:t>
      </w:r>
      <w:r w:rsidR="001A56EA" w:rsidRPr="00037593">
        <w:rPr>
          <w:rFonts w:ascii="Times New Roman" w:eastAsia="Calibri" w:hAnsi="Times New Roman" w:cs="Times New Roman"/>
          <w:i/>
          <w:iCs/>
          <w:kern w:val="0"/>
          <w:sz w:val="24"/>
          <w:szCs w:val="24"/>
          <w:lang w:val="en-US" w:bidi="ar-SA"/>
          <w14:ligatures w14:val="none"/>
        </w:rPr>
        <w:t>p</w:t>
      </w:r>
      <w:r w:rsidR="001A56EA" w:rsidRPr="00037593">
        <w:rPr>
          <w:rFonts w:ascii="Times New Roman" w:eastAsia="Calibri" w:hAnsi="Times New Roman" w:cs="Times New Roman"/>
          <w:kern w:val="0"/>
          <w:sz w:val="24"/>
          <w:szCs w:val="24"/>
          <w:lang w:val="en-US" w:bidi="ar-SA"/>
          <w14:ligatures w14:val="none"/>
        </w:rPr>
        <w:t xml:space="preserve"> &gt; 0.05).</w:t>
      </w:r>
      <w:r w:rsidR="008429A1"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The findings indicate a potential role of bitter gourd in managing glycemic levels in T2DM, though further research is required to clarify its effects, particularly in patients with comorbid conditions.</w:t>
      </w:r>
    </w:p>
    <w:p w14:paraId="1A03AA3B" w14:textId="77777777" w:rsidR="000446F3" w:rsidRPr="00037593" w:rsidRDefault="000446F3" w:rsidP="00037D6A">
      <w:pPr>
        <w:spacing w:after="0" w:line="276" w:lineRule="auto"/>
        <w:jc w:val="both"/>
        <w:rPr>
          <w:rFonts w:ascii="Times New Roman" w:eastAsia="Calibri" w:hAnsi="Times New Roman" w:cs="Times New Roman"/>
          <w:kern w:val="0"/>
          <w:sz w:val="24"/>
          <w:szCs w:val="24"/>
          <w:lang w:val="en-US" w:bidi="ar-SA"/>
          <w14:ligatures w14:val="none"/>
        </w:rPr>
      </w:pPr>
    </w:p>
    <w:p w14:paraId="7C343262" w14:textId="77777777" w:rsidR="00485B6B" w:rsidRPr="00037593"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b/>
          <w:bCs/>
          <w:kern w:val="0"/>
          <w:sz w:val="24"/>
          <w:szCs w:val="24"/>
          <w:lang w:val="en-US" w:bidi="ar-SA"/>
          <w14:ligatures w14:val="none"/>
        </w:rPr>
        <w:t>Keywords:</w:t>
      </w:r>
      <w:r w:rsidRPr="00037593">
        <w:rPr>
          <w:rFonts w:ascii="Times New Roman" w:eastAsia="Calibri" w:hAnsi="Times New Roman" w:cs="Times New Roman"/>
          <w:kern w:val="0"/>
          <w:sz w:val="24"/>
          <w:szCs w:val="24"/>
          <w:lang w:val="en-US" w:bidi="ar-SA"/>
          <w14:ligatures w14:val="none"/>
        </w:rPr>
        <w:t xml:space="preserve"> Type 2 Diabetes Mellitus, </w:t>
      </w:r>
      <w:r w:rsidR="00021C6B" w:rsidRPr="00037593">
        <w:rPr>
          <w:rFonts w:ascii="Times New Roman" w:eastAsia="Calibri" w:hAnsi="Times New Roman" w:cs="Times New Roman"/>
          <w:kern w:val="0"/>
          <w:sz w:val="24"/>
          <w:szCs w:val="24"/>
          <w:lang w:val="en-US" w:bidi="ar-SA"/>
          <w14:ligatures w14:val="none"/>
        </w:rPr>
        <w:t>Bitter gourd</w:t>
      </w:r>
      <w:r w:rsidRPr="00037593">
        <w:rPr>
          <w:rFonts w:ascii="Times New Roman" w:eastAsia="Calibri" w:hAnsi="Times New Roman" w:cs="Times New Roman"/>
          <w:kern w:val="0"/>
          <w:sz w:val="24"/>
          <w:szCs w:val="24"/>
          <w:lang w:val="en-US" w:bidi="ar-SA"/>
          <w14:ligatures w14:val="none"/>
        </w:rPr>
        <w:t>, RDA, HbA1c% Level</w:t>
      </w:r>
    </w:p>
    <w:p w14:paraId="1B53232A" w14:textId="77777777" w:rsidR="002D4988" w:rsidRPr="00037593" w:rsidRDefault="002D4988" w:rsidP="00037D6A">
      <w:pPr>
        <w:spacing w:after="0" w:line="276" w:lineRule="auto"/>
        <w:jc w:val="both"/>
        <w:rPr>
          <w:rFonts w:ascii="Times New Roman" w:eastAsia="Calibri" w:hAnsi="Times New Roman" w:cs="Times New Roman"/>
          <w:b/>
          <w:bCs/>
          <w:kern w:val="0"/>
          <w:sz w:val="28"/>
          <w:szCs w:val="28"/>
          <w:lang w:val="en-US" w:bidi="ar-SA"/>
          <w14:ligatures w14:val="none"/>
        </w:rPr>
      </w:pPr>
    </w:p>
    <w:p w14:paraId="68E0BF68" w14:textId="77777777" w:rsidR="00037593" w:rsidRDefault="00037593" w:rsidP="00037D6A">
      <w:pPr>
        <w:spacing w:after="0" w:line="276" w:lineRule="auto"/>
        <w:jc w:val="both"/>
        <w:rPr>
          <w:rFonts w:ascii="Times New Roman" w:eastAsia="Calibri" w:hAnsi="Times New Roman" w:cs="Times New Roman"/>
          <w:b/>
          <w:bCs/>
          <w:kern w:val="0"/>
          <w:sz w:val="28"/>
          <w:szCs w:val="28"/>
          <w:lang w:val="en-US" w:bidi="ar-SA"/>
          <w14:ligatures w14:val="none"/>
        </w:rPr>
      </w:pPr>
    </w:p>
    <w:p w14:paraId="78039A89" w14:textId="77777777" w:rsidR="00037593" w:rsidRDefault="00037593"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48B68E18" w14:textId="111BF145" w:rsidR="00AC1256" w:rsidRPr="00037593" w:rsidRDefault="00172F92"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b/>
          <w:bCs/>
          <w:kern w:val="0"/>
          <w:sz w:val="28"/>
          <w:szCs w:val="28"/>
          <w:lang w:val="en-US" w:bidi="ar-SA"/>
          <w14:ligatures w14:val="none"/>
        </w:rPr>
        <w:t>Introduction</w:t>
      </w:r>
    </w:p>
    <w:p w14:paraId="67F27962" w14:textId="77777777" w:rsidR="005066EC"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p>
    <w:p w14:paraId="74834BB1" w14:textId="461B2226" w:rsidR="005066EC"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Cardiovascular diseases (CVDs), including coronary heart disease, stroke, and hypertension, are responsible for 31% of global deaths attributable to non-communicable diseases (NCDs), while diabetes accounts for 3% of such deaths. In </w:t>
      </w:r>
      <w:r w:rsidRPr="00037593">
        <w:rPr>
          <w:rFonts w:ascii="Times New Roman" w:eastAsia="Calibri" w:hAnsi="Times New Roman" w:cs="Times New Roman"/>
          <w:kern w:val="0"/>
          <w:sz w:val="24"/>
          <w:szCs w:val="24"/>
          <w:lang w:val="en-US" w:bidi="ar-SA"/>
          <w14:ligatures w14:val="none"/>
        </w:rPr>
        <w:lastRenderedPageBreak/>
        <w:t>India, CVDs and diabetes contributed to 27% and 3% of NCD-related deaths, respectively, in 2016</w:t>
      </w:r>
      <w:r w:rsidRPr="00037593">
        <w:rPr>
          <w:rFonts w:ascii="Times New Roman" w:eastAsia="Calibri" w:hAnsi="Times New Roman" w:cs="Times New Roman"/>
          <w:kern w:val="0"/>
          <w:sz w:val="24"/>
          <w:szCs w:val="24"/>
          <w:vertAlign w:val="superscript"/>
          <w:lang w:val="en-US" w:bidi="ar-SA"/>
          <w14:ligatures w14:val="none"/>
        </w:rPr>
        <w:t>1</w:t>
      </w:r>
      <w:r w:rsidRPr="00037593">
        <w:rPr>
          <w:rFonts w:ascii="Times New Roman" w:eastAsia="Calibri" w:hAnsi="Times New Roman" w:cs="Times New Roman"/>
          <w:kern w:val="0"/>
          <w:sz w:val="24"/>
          <w:szCs w:val="24"/>
          <w:lang w:val="en-US" w:bidi="ar-SA"/>
          <w14:ligatures w14:val="none"/>
        </w:rPr>
        <w:t>. Globally, an estimated 425 million adults are living with diabetes, of which 87%–91% have type 2 diabetes mellitus (T2DM). India ranks as the second most affected country, with approximately 72 million individuals diagnosed with diabetes</w:t>
      </w:r>
      <w:r w:rsidRPr="00037593">
        <w:rPr>
          <w:rFonts w:ascii="Times New Roman" w:eastAsia="Calibri" w:hAnsi="Times New Roman" w:cs="Times New Roman"/>
          <w:kern w:val="0"/>
          <w:sz w:val="24"/>
          <w:szCs w:val="24"/>
          <w:vertAlign w:val="superscript"/>
          <w:lang w:val="en-US" w:bidi="ar-SA"/>
          <w14:ligatures w14:val="none"/>
        </w:rPr>
        <w:t>2</w:t>
      </w:r>
      <w:r w:rsidRPr="00037593">
        <w:rPr>
          <w:rFonts w:ascii="Times New Roman" w:eastAsia="Calibri" w:hAnsi="Times New Roman" w:cs="Times New Roman"/>
          <w:kern w:val="0"/>
          <w:sz w:val="24"/>
          <w:szCs w:val="24"/>
          <w:lang w:val="en-US" w:bidi="ar-SA"/>
          <w14:ligatures w14:val="none"/>
        </w:rPr>
        <w:t>. Additionally, 1.13 billion people worldwide have hypertension (defined as systolic blood pressure ≥140 mm Hg and diastolic blood pressure ≥90 mm Hg), including an estimated 317 million adults aged over 18 years in India in 2015</w:t>
      </w:r>
      <w:r w:rsidRPr="00037593">
        <w:rPr>
          <w:rFonts w:ascii="Times New Roman" w:eastAsia="Calibri" w:hAnsi="Times New Roman" w:cs="Times New Roman"/>
          <w:kern w:val="0"/>
          <w:sz w:val="24"/>
          <w:szCs w:val="24"/>
          <w:vertAlign w:val="superscript"/>
          <w:lang w:val="en-US" w:bidi="ar-SA"/>
          <w14:ligatures w14:val="none"/>
        </w:rPr>
        <w:t>1</w:t>
      </w:r>
      <w:r w:rsidRPr="00037593">
        <w:rPr>
          <w:rFonts w:ascii="Times New Roman" w:eastAsia="Calibri" w:hAnsi="Times New Roman" w:cs="Times New Roman"/>
          <w:kern w:val="0"/>
          <w:sz w:val="24"/>
          <w:szCs w:val="24"/>
          <w:lang w:val="en-US" w:bidi="ar-SA"/>
          <w14:ligatures w14:val="none"/>
        </w:rPr>
        <w:t>.</w:t>
      </w:r>
    </w:p>
    <w:p w14:paraId="613C7969" w14:textId="24AD6C9D" w:rsidR="00244074"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shd w:val="clear" w:color="auto" w:fill="FFFFFF"/>
          <w:lang w:val="en-US" w:bidi="ar-SA"/>
          <w14:ligatures w14:val="none"/>
        </w:rPr>
        <w:t>According to the American Diabetes Association, hypertension is commonly associated with diabetes, with its prevalence influenced by the type and duration of diabetes mellitus, as well as factors such as age, sex, body mass index, and history of glycemic control</w:t>
      </w:r>
      <w:r w:rsidRPr="00037593">
        <w:rPr>
          <w:rFonts w:ascii="Times New Roman" w:eastAsia="Calibri" w:hAnsi="Times New Roman" w:cs="Times New Roman"/>
          <w:kern w:val="0"/>
          <w:sz w:val="24"/>
          <w:szCs w:val="24"/>
          <w:shd w:val="clear" w:color="auto" w:fill="FFFFFF"/>
          <w:vertAlign w:val="superscript"/>
          <w:lang w:val="en-US" w:bidi="ar-SA"/>
          <w14:ligatures w14:val="none"/>
        </w:rPr>
        <w:t>3,4.</w:t>
      </w:r>
      <w:r w:rsidRPr="00037593">
        <w:rPr>
          <w:rFonts w:ascii="Times New Roman" w:eastAsia="Calibri" w:hAnsi="Times New Roman" w:cs="Times New Roman"/>
          <w:kern w:val="0"/>
          <w:sz w:val="24"/>
          <w:szCs w:val="24"/>
          <w:shd w:val="clear" w:color="auto" w:fill="FFFFFF"/>
          <w:lang w:val="en-US" w:bidi="ar-SA"/>
          <w14:ligatures w14:val="none"/>
        </w:rPr>
        <w:t xml:space="preserve"> Hypertension is a significant risk factor for both macrovascular and microvascular complications, making it a leading cause of morbidity and mortality in individuals with diabetes. It is also a major contributor to the direct and indirect healthcare costs associated with diabetes</w:t>
      </w:r>
      <w:r w:rsidRPr="00037593">
        <w:rPr>
          <w:rFonts w:ascii="Times New Roman" w:eastAsia="Calibri" w:hAnsi="Times New Roman" w:cs="Times New Roman"/>
          <w:kern w:val="0"/>
          <w:sz w:val="24"/>
          <w:szCs w:val="24"/>
          <w:shd w:val="clear" w:color="auto" w:fill="FFFFFF"/>
          <w:vertAlign w:val="superscript"/>
          <w:lang w:val="en-US" w:bidi="ar-SA"/>
          <w14:ligatures w14:val="none"/>
        </w:rPr>
        <w:t>5</w:t>
      </w:r>
      <w:r w:rsidRPr="00037593">
        <w:rPr>
          <w:rFonts w:ascii="Times New Roman" w:eastAsia="Calibri" w:hAnsi="Times New Roman" w:cs="Times New Roman"/>
          <w:kern w:val="0"/>
          <w:sz w:val="24"/>
          <w:szCs w:val="24"/>
          <w:shd w:val="clear" w:color="auto" w:fill="FFFFFF"/>
          <w:lang w:val="en-US" w:bidi="ar-SA"/>
          <w14:ligatures w14:val="none"/>
        </w:rPr>
        <w:t>.</w:t>
      </w:r>
      <w:r w:rsidR="00244074" w:rsidRPr="00037593">
        <w:rPr>
          <w:rFonts w:ascii="Times New Roman" w:eastAsia="Calibri" w:hAnsi="Times New Roman" w:cs="Times New Roman"/>
          <w:kern w:val="0"/>
          <w:sz w:val="24"/>
          <w:szCs w:val="24"/>
          <w:shd w:val="clear" w:color="auto" w:fill="FFFFFF"/>
          <w:lang w:val="en-US" w:bidi="ar-SA"/>
          <w14:ligatures w14:val="none"/>
        </w:rPr>
        <w:t xml:space="preserve"> </w:t>
      </w:r>
      <w:r w:rsidRPr="00037593">
        <w:rPr>
          <w:rFonts w:ascii="Times New Roman" w:eastAsia="Calibri" w:hAnsi="Times New Roman" w:cs="Times New Roman"/>
          <w:kern w:val="0"/>
          <w:sz w:val="24"/>
          <w:szCs w:val="24"/>
          <w:shd w:val="clear" w:color="auto" w:fill="FFFFFF"/>
          <w:lang w:val="en-US" w:bidi="ar-SA"/>
          <w14:ligatures w14:val="none"/>
        </w:rPr>
        <w:t>A study conducted by the Madras Diabetes Research Foundation reported that hypertension affects approximately 50% of individuals with diabetes in India</w:t>
      </w:r>
      <w:r w:rsidRPr="00037593">
        <w:rPr>
          <w:rFonts w:ascii="Times New Roman" w:eastAsia="Calibri" w:hAnsi="Times New Roman" w:cs="Times New Roman"/>
          <w:kern w:val="0"/>
          <w:sz w:val="24"/>
          <w:szCs w:val="24"/>
          <w:shd w:val="clear" w:color="auto" w:fill="FFFFFF"/>
          <w:vertAlign w:val="superscript"/>
          <w:lang w:val="en-US" w:bidi="ar-SA"/>
          <w14:ligatures w14:val="none"/>
        </w:rPr>
        <w:t>6,7,8.</w:t>
      </w:r>
      <w:r w:rsidRPr="00037593">
        <w:rPr>
          <w:rFonts w:ascii="Times New Roman" w:eastAsia="Calibri" w:hAnsi="Times New Roman" w:cs="Times New Roman"/>
          <w:kern w:val="0"/>
          <w:sz w:val="24"/>
          <w:szCs w:val="24"/>
          <w:shd w:val="clear" w:color="auto" w:fill="FFFFFF"/>
          <w:lang w:val="en-US" w:bidi="ar-SA"/>
          <w14:ligatures w14:val="none"/>
        </w:rPr>
        <w:t xml:space="preserve"> The coexistence of hypertension and diabetes increases the risk of cardiovascular diseases (CVDs) by 75% compared to having either condition alone, thereby significantly elevating the likelihood of adverse health outcomes</w:t>
      </w:r>
      <w:r w:rsidRPr="00037593">
        <w:rPr>
          <w:rFonts w:ascii="Times New Roman" w:eastAsia="Calibri" w:hAnsi="Times New Roman" w:cs="Times New Roman"/>
          <w:kern w:val="0"/>
          <w:sz w:val="24"/>
          <w:szCs w:val="24"/>
          <w:shd w:val="clear" w:color="auto" w:fill="FFFFFF"/>
          <w:vertAlign w:val="superscript"/>
          <w:lang w:val="en-US" w:bidi="ar-SA"/>
          <w14:ligatures w14:val="none"/>
        </w:rPr>
        <w:t>9,10</w:t>
      </w:r>
      <w:r w:rsidRPr="00037593">
        <w:rPr>
          <w:rFonts w:ascii="Times New Roman" w:eastAsia="Calibri" w:hAnsi="Times New Roman" w:cs="Times New Roman"/>
          <w:kern w:val="0"/>
          <w:sz w:val="24"/>
          <w:szCs w:val="24"/>
          <w:shd w:val="clear" w:color="auto" w:fill="FFFFFF"/>
          <w:lang w:val="en-US" w:bidi="ar-SA"/>
          <w14:ligatures w14:val="none"/>
        </w:rPr>
        <w:t>.</w:t>
      </w:r>
      <w:r w:rsidR="00AC1256" w:rsidRPr="00037593">
        <w:rPr>
          <w:rFonts w:ascii="Times New Roman" w:eastAsia="Calibri" w:hAnsi="Times New Roman" w:cs="Times New Roman"/>
          <w:kern w:val="0"/>
          <w:sz w:val="24"/>
          <w:szCs w:val="24"/>
          <w:lang w:val="en-US" w:bidi="ar-SA"/>
          <w14:ligatures w14:val="none"/>
        </w:rPr>
        <w:t xml:space="preserve">                       </w:t>
      </w:r>
    </w:p>
    <w:p w14:paraId="5D118D65" w14:textId="77777777" w:rsidR="00244074" w:rsidRPr="00037593" w:rsidRDefault="00244074"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The World Health Organization (WHO) has identified an unhealthy diet as a modifiable risk factor significantly associated with the development of diabetes and hypertension</w:t>
      </w:r>
      <w:r w:rsidRPr="00037593">
        <w:rPr>
          <w:rFonts w:ascii="Times New Roman" w:eastAsia="Calibri" w:hAnsi="Times New Roman" w:cs="Times New Roman"/>
          <w:kern w:val="0"/>
          <w:sz w:val="24"/>
          <w:szCs w:val="24"/>
          <w:vertAlign w:val="superscript"/>
          <w:lang w:val="en-US" w:bidi="ar-SA"/>
          <w14:ligatures w14:val="none"/>
        </w:rPr>
        <w:t>1</w:t>
      </w:r>
      <w:r w:rsidRPr="00037593">
        <w:rPr>
          <w:rFonts w:ascii="Times New Roman" w:eastAsia="Calibri" w:hAnsi="Times New Roman" w:cs="Times New Roman"/>
          <w:kern w:val="0"/>
          <w:sz w:val="24"/>
          <w:szCs w:val="24"/>
          <w:lang w:val="en-US" w:bidi="ar-SA"/>
          <w14:ligatures w14:val="none"/>
        </w:rPr>
        <w:t>. According to the Global Burden of Disease study, poor nutrition is linked to approximately 11 million deaths worldwide, accounting for one in five global fatalities. Of these, cardiovascular diseases (CVDs) were responsible for 9.13 lakh deaths, while type 2 diabetes contributed to 3.39 lakh deaths. These findings underscore the critical role of dietary interventions in mitigating the burden of these chronic conditions.</w:t>
      </w:r>
    </w:p>
    <w:p w14:paraId="27FBC1CF" w14:textId="46DF85A4" w:rsidR="00B57425" w:rsidRPr="00037593" w:rsidRDefault="00AC1256"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Furthermore, </w:t>
      </w:r>
      <w:r w:rsidR="00DA01A1" w:rsidRPr="00037593">
        <w:rPr>
          <w:rFonts w:ascii="Times New Roman" w:eastAsia="Calibri" w:hAnsi="Times New Roman" w:cs="Times New Roman"/>
          <w:kern w:val="0"/>
          <w:sz w:val="24"/>
          <w:szCs w:val="24"/>
          <w:lang w:val="en-US" w:bidi="ar-SA"/>
          <w14:ligatures w14:val="none"/>
        </w:rPr>
        <w:t>According to WHO data on chronic disease prevention, approximately 80% of diabetes- and hypertension-related events can be mitigated through the adoption of a balanced and nutritious diet. Key dietary measures include regular consumption of fruits and vegetables, limiting the intake of saturated fats, reducing sodium consumption, and minimizing the consumption of sugar-sweetened beverages. These dietary modifications play a crucial role in reducing the risk of these conditions</w:t>
      </w:r>
      <w:r w:rsidR="00DA01A1" w:rsidRPr="00037593">
        <w:rPr>
          <w:rFonts w:ascii="Times New Roman" w:eastAsia="Calibri" w:hAnsi="Times New Roman" w:cs="Times New Roman"/>
          <w:kern w:val="0"/>
          <w:sz w:val="24"/>
          <w:szCs w:val="24"/>
          <w:vertAlign w:val="superscript"/>
          <w:lang w:val="en-US" w:bidi="ar-SA"/>
          <w14:ligatures w14:val="none"/>
        </w:rPr>
        <w:t>11,12</w:t>
      </w:r>
      <w:r w:rsidR="00DA01A1" w:rsidRPr="00037593">
        <w:rPr>
          <w:rFonts w:ascii="Times New Roman" w:eastAsia="Calibri" w:hAnsi="Times New Roman" w:cs="Times New Roman"/>
          <w:kern w:val="0"/>
          <w:sz w:val="24"/>
          <w:szCs w:val="24"/>
          <w:lang w:val="en-US" w:bidi="ar-SA"/>
          <w14:ligatures w14:val="none"/>
        </w:rPr>
        <w:t>.</w:t>
      </w:r>
      <w:r w:rsidR="00037D6A" w:rsidRPr="00037593">
        <w:rPr>
          <w:rFonts w:ascii="Times New Roman" w:eastAsia="Calibri" w:hAnsi="Times New Roman" w:cs="Times New Roman"/>
          <w:kern w:val="0"/>
          <w:sz w:val="24"/>
          <w:szCs w:val="24"/>
          <w:lang w:val="en-US" w:bidi="ar-SA"/>
          <w14:ligatures w14:val="none"/>
        </w:rPr>
        <w:t xml:space="preserve"> </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Bitter gourd is one of the traditional </w:t>
      </w:r>
      <w:proofErr w:type="gramStart"/>
      <w:r w:rsidR="00DF7399" w:rsidRPr="00037593">
        <w:rPr>
          <w:rFonts w:ascii="Times New Roman" w:eastAsia="Calibri" w:hAnsi="Times New Roman" w:cs="Times New Roman"/>
          <w:kern w:val="0"/>
          <w:sz w:val="24"/>
          <w:szCs w:val="24"/>
          <w:shd w:val="clear" w:color="auto" w:fill="FFFFFF"/>
          <w:lang w:val="en-US" w:bidi="ar-SA"/>
          <w14:ligatures w14:val="none"/>
        </w:rPr>
        <w:t>medicine</w:t>
      </w:r>
      <w:proofErr w:type="gram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which helps in the treatment of T2DM</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13</w:t>
      </w:r>
      <w:r w:rsidR="00DF7399" w:rsidRPr="00037593">
        <w:rPr>
          <w:rFonts w:ascii="Times New Roman" w:eastAsia="Calibri" w:hAnsi="Times New Roman" w:cs="Times New Roman"/>
          <w:kern w:val="0"/>
          <w:sz w:val="24"/>
          <w:szCs w:val="24"/>
          <w:shd w:val="clear" w:color="auto" w:fill="FFFFFF"/>
          <w:lang w:val="en-US" w:bidi="ar-SA"/>
          <w14:ligatures w14:val="none"/>
        </w:rPr>
        <w:t>. Most scientific studies suggest that frequent consumption of bitter gourd can reduce several health-related problems either by its prophylactic or therapeutic effects</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14</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It contains bitter chemicals such as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charantin</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vicine</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glycosides and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karavilosides</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along with polypeptide-plant insulin, which is hypoglycemic in nature and improves glycemic levels by rising glucose uptake and glycogen synthesis in the liver, muscles and fat cells</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15</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proofErr w:type="spellStart"/>
      <w:r w:rsidR="00DF7399" w:rsidRPr="00037593">
        <w:rPr>
          <w:rFonts w:ascii="Times New Roman" w:eastAsia="Calibri" w:hAnsi="Times New Roman" w:cs="Times New Roman"/>
          <w:kern w:val="0"/>
          <w:sz w:val="24"/>
          <w:szCs w:val="24"/>
          <w:shd w:val="clear" w:color="auto" w:fill="FFFFFF"/>
          <w:lang w:val="en-US" w:bidi="ar-SA"/>
          <w14:ligatures w14:val="none"/>
        </w:rPr>
        <w:t>Wehash</w:t>
      </w:r>
      <w:proofErr w:type="spellEnd"/>
      <w:r w:rsidR="00DF7399" w:rsidRPr="00037593">
        <w:rPr>
          <w:rFonts w:ascii="Times New Roman" w:eastAsia="Calibri" w:hAnsi="Times New Roman" w:cs="Times New Roman"/>
          <w:kern w:val="0"/>
          <w:sz w:val="24"/>
          <w:szCs w:val="24"/>
          <w:shd w:val="clear" w:color="auto" w:fill="FFFFFF"/>
          <w:lang w:val="en-US" w:bidi="ar-SA"/>
          <w14:ligatures w14:val="none"/>
        </w:rPr>
        <w:t xml:space="preserve"> et al. observed that bitter melon seems to be exerting in decreasing capillary permeability compared to fenugreek extract. Generally, the increase in capillary permeability is a sign of microvascular dysfunction at the arteriolar and capillary level that is a common and critical complication of diabetes</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16</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r w:rsidR="00AC5CE7" w:rsidRPr="00037593">
        <w:rPr>
          <w:rFonts w:ascii="Times New Roman" w:eastAsia="Calibri" w:hAnsi="Times New Roman" w:cs="Times New Roman"/>
          <w:kern w:val="0"/>
          <w:sz w:val="24"/>
          <w:szCs w:val="24"/>
          <w:shd w:val="clear" w:color="auto" w:fill="FFFFFF"/>
          <w:lang w:val="en-US" w:bidi="ar-SA"/>
          <w14:ligatures w14:val="none"/>
        </w:rPr>
        <w:t xml:space="preserve">Furthermore, </w:t>
      </w:r>
      <w:r w:rsidR="00DF7399" w:rsidRPr="00037593">
        <w:rPr>
          <w:rFonts w:ascii="Times New Roman" w:eastAsia="Calibri" w:hAnsi="Times New Roman" w:cs="Times New Roman"/>
          <w:kern w:val="0"/>
          <w:sz w:val="24"/>
          <w:szCs w:val="24"/>
          <w:shd w:val="clear" w:color="auto" w:fill="FFFFFF"/>
          <w:lang w:val="en-US" w:bidi="ar-SA"/>
          <w14:ligatures w14:val="none"/>
        </w:rPr>
        <w:t>a review paper regarding medicinal properties of bitter melon and concluded that bitter melon might have properties that can help lower blood glucose level</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17</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Another </w:t>
      </w:r>
      <w:r w:rsidR="00DF7399" w:rsidRPr="00037593">
        <w:rPr>
          <w:rFonts w:ascii="Times New Roman" w:eastAsia="Calibri" w:hAnsi="Times New Roman" w:cs="Times New Roman"/>
          <w:kern w:val="0"/>
          <w:sz w:val="24"/>
          <w:szCs w:val="24"/>
          <w:shd w:val="clear" w:color="auto" w:fill="FFFFFF"/>
          <w:lang w:val="en-US" w:bidi="ar-SA"/>
          <w14:ligatures w14:val="none"/>
        </w:rPr>
        <w:lastRenderedPageBreak/>
        <w:t>systematic review and meta-analysis conducted by Yin et al</w:t>
      </w:r>
      <w:r w:rsidR="00AC5CE7" w:rsidRPr="00037593">
        <w:rPr>
          <w:rFonts w:ascii="Times New Roman" w:eastAsia="Calibri" w:hAnsi="Times New Roman" w:cs="Times New Roman"/>
          <w:kern w:val="0"/>
          <w:sz w:val="24"/>
          <w:szCs w:val="24"/>
          <w:shd w:val="clear" w:color="auto" w:fill="FFFFFF"/>
          <w:lang w:val="en-US" w:bidi="ar-SA"/>
          <w14:ligatures w14:val="none"/>
        </w:rPr>
        <w:t xml:space="preserve">. </w:t>
      </w:r>
      <w:r w:rsidR="00DF7399" w:rsidRPr="00037593">
        <w:rPr>
          <w:rFonts w:ascii="Times New Roman" w:eastAsia="Calibri" w:hAnsi="Times New Roman" w:cs="Times New Roman"/>
          <w:kern w:val="0"/>
          <w:sz w:val="24"/>
          <w:szCs w:val="24"/>
          <w:shd w:val="clear" w:color="auto" w:fill="FFFFFF"/>
          <w:lang w:val="en-US" w:bidi="ar-SA"/>
          <w14:ligatures w14:val="none"/>
        </w:rPr>
        <w:t>in which he looked at four randomized controlled trials (RCTs) that compared the effects of bitter melon supplements with those of no diabetes treatment at all and concluded that no evidence that bitter melon had any significant effects on A1C levels or FBG level</w:t>
      </w:r>
      <w:r w:rsidR="00AC5CE7" w:rsidRPr="00037593">
        <w:rPr>
          <w:rFonts w:ascii="Times New Roman" w:eastAsia="Calibri" w:hAnsi="Times New Roman" w:cs="Times New Roman"/>
          <w:kern w:val="0"/>
          <w:sz w:val="24"/>
          <w:szCs w:val="24"/>
          <w:shd w:val="clear" w:color="auto" w:fill="FFFFFF"/>
          <w:vertAlign w:val="superscript"/>
          <w:lang w:val="en-US" w:bidi="ar-SA"/>
          <w14:ligatures w14:val="none"/>
        </w:rPr>
        <w:t>18</w:t>
      </w:r>
      <w:r w:rsidR="00DF7399" w:rsidRPr="00037593">
        <w:rPr>
          <w:rFonts w:ascii="Times New Roman" w:eastAsia="Calibri" w:hAnsi="Times New Roman" w:cs="Times New Roman"/>
          <w:kern w:val="0"/>
          <w:sz w:val="24"/>
          <w:szCs w:val="24"/>
          <w:shd w:val="clear" w:color="auto" w:fill="FFFFFF"/>
          <w:lang w:val="en-US" w:bidi="ar-SA"/>
          <w14:ligatures w14:val="none"/>
        </w:rPr>
        <w:t xml:space="preserve">. </w:t>
      </w:r>
    </w:p>
    <w:p w14:paraId="45D3A28A" w14:textId="572AA274" w:rsidR="00F53043" w:rsidRPr="00037593" w:rsidRDefault="00855957"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shd w:val="clear" w:color="auto" w:fill="FFFFFF"/>
          <w:lang w:val="en-US" w:bidi="ar-SA"/>
          <w14:ligatures w14:val="none"/>
        </w:rPr>
        <w:t xml:space="preserve">Moreover, </w:t>
      </w:r>
      <w:r w:rsidR="00C811CD" w:rsidRPr="00037593">
        <w:rPr>
          <w:rFonts w:ascii="Times New Roman" w:eastAsia="Calibri" w:hAnsi="Times New Roman" w:cs="Times New Roman"/>
          <w:kern w:val="0"/>
          <w:sz w:val="24"/>
          <w:szCs w:val="24"/>
          <w:shd w:val="clear" w:color="auto" w:fill="FFFFFF"/>
          <w:lang w:val="en-US" w:bidi="ar-SA"/>
          <w14:ligatures w14:val="none"/>
        </w:rPr>
        <w:t>Bitter melon extract has shown promise in managing hypertension when combined with dietary modifications and exercise. Some studies suggest it may reduce blood pressure by improving vascular function and inhibiting ACE activity</w:t>
      </w:r>
      <w:r w:rsidR="00B57425" w:rsidRPr="00037593">
        <w:rPr>
          <w:rFonts w:ascii="Times New Roman" w:eastAsia="Calibri" w:hAnsi="Times New Roman" w:cs="Times New Roman"/>
          <w:kern w:val="0"/>
          <w:sz w:val="24"/>
          <w:szCs w:val="24"/>
          <w:shd w:val="clear" w:color="auto" w:fill="FFFFFF"/>
          <w:vertAlign w:val="superscript"/>
          <w:lang w:val="en-US" w:bidi="ar-SA"/>
          <w14:ligatures w14:val="none"/>
        </w:rPr>
        <w:t>19</w:t>
      </w:r>
      <w:r w:rsidR="00F53043" w:rsidRPr="00037593">
        <w:rPr>
          <w:rFonts w:ascii="Times New Roman" w:eastAsia="Calibri" w:hAnsi="Times New Roman" w:cs="Times New Roman"/>
          <w:kern w:val="0"/>
          <w:sz w:val="24"/>
          <w:szCs w:val="24"/>
          <w:shd w:val="clear" w:color="auto" w:fill="FFFFFF"/>
          <w:vertAlign w:val="superscript"/>
          <w:lang w:val="en-US" w:bidi="ar-SA"/>
          <w14:ligatures w14:val="none"/>
        </w:rPr>
        <w:t>.</w:t>
      </w:r>
      <w:r w:rsidRPr="00037593">
        <w:rPr>
          <w:rFonts w:ascii="Times New Roman" w:eastAsia="Calibri" w:hAnsi="Times New Roman" w:cs="Times New Roman"/>
          <w:kern w:val="0"/>
          <w:sz w:val="24"/>
          <w:szCs w:val="24"/>
          <w:shd w:val="clear" w:color="auto" w:fill="FFFFFF"/>
          <w:lang w:val="en-US" w:bidi="ar-SA"/>
          <w14:ligatures w14:val="none"/>
        </w:rPr>
        <w:t xml:space="preserve"> </w:t>
      </w:r>
      <w:r w:rsidR="00F53043" w:rsidRPr="00037593">
        <w:rPr>
          <w:rFonts w:ascii="Times New Roman" w:eastAsia="Calibri" w:hAnsi="Times New Roman" w:cs="Times New Roman"/>
          <w:kern w:val="0"/>
          <w:sz w:val="24"/>
          <w:szCs w:val="24"/>
          <w:lang w:val="en-US" w:bidi="ar-SA"/>
          <w14:ligatures w14:val="none"/>
        </w:rPr>
        <w:t>Studies also suggest that peptides derived from bitter melon can inhibit angiotensin-converting enzyme (ACE), a critical enzyme in blood pressure regulation. This activity, combined with its antidiabetic effects, makes it potentially beneficial for individuals with metabolic syndrome, which often includes both diabetes and hypertension</w:t>
      </w:r>
      <w:r w:rsidR="00B57425" w:rsidRPr="00037593">
        <w:rPr>
          <w:rFonts w:ascii="Times New Roman" w:eastAsia="Calibri" w:hAnsi="Times New Roman" w:cs="Times New Roman"/>
          <w:kern w:val="0"/>
          <w:sz w:val="24"/>
          <w:szCs w:val="24"/>
          <w:vertAlign w:val="superscript"/>
          <w:lang w:val="en-US" w:bidi="ar-SA"/>
          <w14:ligatures w14:val="none"/>
        </w:rPr>
        <w:t>19,20</w:t>
      </w:r>
      <w:r w:rsidR="00F53043" w:rsidRPr="00037593">
        <w:rPr>
          <w:rFonts w:ascii="Times New Roman" w:eastAsia="Calibri" w:hAnsi="Times New Roman" w:cs="Times New Roman"/>
          <w:kern w:val="0"/>
          <w:sz w:val="24"/>
          <w:szCs w:val="24"/>
          <w:lang w:val="en-US" w:bidi="ar-SA"/>
          <w14:ligatures w14:val="none"/>
        </w:rPr>
        <w:t>.</w:t>
      </w:r>
    </w:p>
    <w:p w14:paraId="1F80CCA5" w14:textId="5777AE89" w:rsidR="004867AE" w:rsidRPr="00037593" w:rsidRDefault="00405692"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r w:rsidRPr="00037593">
        <w:rPr>
          <w:rFonts w:ascii="Times New Roman" w:eastAsia="Calibri" w:hAnsi="Times New Roman" w:cs="Times New Roman"/>
          <w:kern w:val="0"/>
          <w:sz w:val="24"/>
          <w:szCs w:val="24"/>
          <w:shd w:val="clear" w:color="auto" w:fill="FFFFFF"/>
          <w:lang w:val="en-US" w:bidi="ar-SA"/>
          <w14:ligatures w14:val="none"/>
        </w:rPr>
        <w:t xml:space="preserve">                          </w:t>
      </w:r>
      <w:r w:rsidR="000B59E1" w:rsidRPr="00037593">
        <w:rPr>
          <w:rFonts w:ascii="Times New Roman" w:eastAsia="Calibri" w:hAnsi="Times New Roman" w:cs="Times New Roman"/>
          <w:kern w:val="0"/>
          <w:sz w:val="24"/>
          <w:szCs w:val="24"/>
          <w:shd w:val="clear" w:color="auto" w:fill="FFFFFF"/>
          <w:lang w:val="en-US" w:bidi="ar-SA"/>
          <w14:ligatures w14:val="none"/>
        </w:rPr>
        <w:t xml:space="preserve">Bitter melon (Momordica </w:t>
      </w:r>
      <w:proofErr w:type="spellStart"/>
      <w:r w:rsidR="000B59E1" w:rsidRPr="00037593">
        <w:rPr>
          <w:rFonts w:ascii="Times New Roman" w:eastAsia="Calibri" w:hAnsi="Times New Roman" w:cs="Times New Roman"/>
          <w:kern w:val="0"/>
          <w:sz w:val="24"/>
          <w:szCs w:val="24"/>
          <w:shd w:val="clear" w:color="auto" w:fill="FFFFFF"/>
          <w:lang w:val="en-US" w:bidi="ar-SA"/>
          <w14:ligatures w14:val="none"/>
        </w:rPr>
        <w:t>charantia</w:t>
      </w:r>
      <w:proofErr w:type="spellEnd"/>
      <w:r w:rsidR="000B59E1" w:rsidRPr="00037593">
        <w:rPr>
          <w:rFonts w:ascii="Times New Roman" w:eastAsia="Calibri" w:hAnsi="Times New Roman" w:cs="Times New Roman"/>
          <w:kern w:val="0"/>
          <w:sz w:val="24"/>
          <w:szCs w:val="24"/>
          <w:shd w:val="clear" w:color="auto" w:fill="FFFFFF"/>
          <w:lang w:val="en-US" w:bidi="ar-SA"/>
          <w14:ligatures w14:val="none"/>
        </w:rPr>
        <w:t>) has demonstrated potential benefits for managing both type 2 diabetes mellitus (T2DM) and hypertension. Despite</w:t>
      </w:r>
      <w:r w:rsidR="001C4E6A" w:rsidRPr="00037593">
        <w:rPr>
          <w:rFonts w:ascii="Times New Roman" w:eastAsia="Calibri" w:hAnsi="Times New Roman" w:cs="Times New Roman"/>
          <w:kern w:val="0"/>
          <w:sz w:val="24"/>
          <w:szCs w:val="24"/>
          <w:shd w:val="clear" w:color="auto" w:fill="FFFFFF"/>
          <w:lang w:val="en-US" w:bidi="ar-SA"/>
          <w14:ligatures w14:val="none"/>
        </w:rPr>
        <w:t xml:space="preserve"> its observed benefits, no studies have specifically explored the relationship between bitter melon consumption, HbA1c levels, and the coexistence of diabetes and hypertension. Further research is needed to clarify these effects. Thus, present descriptive study aims to examine the connection between bitter melon consumption and HbA1c% in individuals with T2DM and comorbid diabetic hypertension</w:t>
      </w:r>
      <w:r w:rsidRPr="00037593">
        <w:rPr>
          <w:rFonts w:ascii="Times New Roman" w:eastAsia="Calibri" w:hAnsi="Times New Roman" w:cs="Times New Roman"/>
          <w:kern w:val="0"/>
          <w:sz w:val="24"/>
          <w:szCs w:val="24"/>
          <w:shd w:val="clear" w:color="auto" w:fill="FFFFFF"/>
          <w:lang w:val="en-US" w:bidi="ar-SA"/>
          <w14:ligatures w14:val="none"/>
        </w:rPr>
        <w:t>.</w:t>
      </w:r>
    </w:p>
    <w:p w14:paraId="64082424" w14:textId="77777777" w:rsidR="00405692" w:rsidRPr="00037593" w:rsidRDefault="00405692"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p>
    <w:p w14:paraId="5D882A32" w14:textId="7691FC4F" w:rsidR="00AC1256" w:rsidRPr="00EE63EB" w:rsidRDefault="00EE63EB"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EE63EB">
        <w:rPr>
          <w:rFonts w:ascii="Times New Roman" w:eastAsia="Calibri" w:hAnsi="Times New Roman" w:cs="Times New Roman"/>
          <w:b/>
          <w:bCs/>
          <w:kern w:val="0"/>
          <w:sz w:val="28"/>
          <w:szCs w:val="28"/>
          <w:lang w:val="en-US" w:bidi="ar-SA"/>
          <w14:ligatures w14:val="none"/>
        </w:rPr>
        <w:t>Methodology</w:t>
      </w:r>
    </w:p>
    <w:p w14:paraId="37B85682" w14:textId="77777777" w:rsidR="004867AE" w:rsidRPr="00037593" w:rsidRDefault="004867AE" w:rsidP="00037D6A">
      <w:pPr>
        <w:spacing w:after="0" w:line="276" w:lineRule="auto"/>
        <w:jc w:val="both"/>
        <w:rPr>
          <w:rFonts w:ascii="Times New Roman" w:eastAsia="Calibri" w:hAnsi="Times New Roman" w:cs="Times New Roman"/>
          <w:b/>
          <w:bCs/>
          <w:kern w:val="0"/>
          <w:sz w:val="20"/>
          <w:lang w:val="en-US" w:bidi="ar-SA"/>
          <w14:ligatures w14:val="none"/>
        </w:rPr>
      </w:pPr>
    </w:p>
    <w:p w14:paraId="4BC7A684" w14:textId="5A1C85B4" w:rsidR="00AC1256" w:rsidRPr="00EE63EB"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EE63EB">
        <w:rPr>
          <w:rFonts w:ascii="Times New Roman" w:eastAsia="Calibri" w:hAnsi="Times New Roman" w:cs="Times New Roman"/>
          <w:b/>
          <w:bCs/>
          <w:kern w:val="0"/>
          <w:sz w:val="24"/>
          <w:szCs w:val="24"/>
          <w:lang w:val="en-US" w:bidi="ar-SA"/>
          <w14:ligatures w14:val="none"/>
        </w:rPr>
        <w:t xml:space="preserve">Research </w:t>
      </w:r>
      <w:r w:rsidR="00221AD7" w:rsidRPr="00EE63EB">
        <w:rPr>
          <w:rFonts w:ascii="Times New Roman" w:eastAsia="Calibri" w:hAnsi="Times New Roman" w:cs="Times New Roman"/>
          <w:b/>
          <w:bCs/>
          <w:kern w:val="0"/>
          <w:sz w:val="24"/>
          <w:szCs w:val="24"/>
          <w:lang w:val="en-US" w:bidi="ar-SA"/>
          <w14:ligatures w14:val="none"/>
        </w:rPr>
        <w:t>Design and Participants</w:t>
      </w:r>
    </w:p>
    <w:p w14:paraId="454BF470" w14:textId="77777777" w:rsidR="00AC1256" w:rsidRPr="00EE63EB" w:rsidRDefault="00AC1256" w:rsidP="00037D6A">
      <w:pPr>
        <w:spacing w:after="0" w:line="276" w:lineRule="auto"/>
        <w:jc w:val="both"/>
        <w:rPr>
          <w:rFonts w:ascii="Times New Roman" w:eastAsia="Calibri" w:hAnsi="Times New Roman" w:cs="Times New Roman"/>
          <w:kern w:val="0"/>
          <w:sz w:val="20"/>
          <w:lang w:val="en-US" w:bidi="ar-SA"/>
          <w14:ligatures w14:val="none"/>
        </w:rPr>
      </w:pPr>
    </w:p>
    <w:p w14:paraId="0DED4867" w14:textId="2F46ED7D" w:rsidR="00AC1256" w:rsidRPr="00037593" w:rsidRDefault="000B59E1"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This hospital-based cross-sectional study was conducted on patients with type 2 diabetes mellitus (T2DM) and hypertension (HTN) attending the outpatient clinics of the Endocrinology and General Medicine Departments at Jawaharlal Nehru Medical College and Hospital (JNMCH), Aligarh. Participants included male and female patients aged 20 years or older from diverse socioeconomic backgrounds residing in Aligarh city and who were regular visitors to JNMCH. </w:t>
      </w:r>
      <w:r w:rsidR="00AC1256" w:rsidRPr="00037593">
        <w:rPr>
          <w:rFonts w:ascii="Times New Roman" w:eastAsia="Calibri" w:hAnsi="Times New Roman" w:cs="Times New Roman"/>
          <w:kern w:val="0"/>
          <w:sz w:val="24"/>
          <w:szCs w:val="24"/>
          <w:lang w:val="en-US" w:bidi="ar-SA"/>
          <w14:ligatures w14:val="none"/>
        </w:rPr>
        <w:t>Pregnant women and patients with severe illness were excluded from the analysis.</w:t>
      </w:r>
      <w:r w:rsidRPr="00037593">
        <w:rPr>
          <w:rFonts w:ascii="Times New Roman" w:hAnsi="Times New Roman" w:cs="Times New Roman"/>
        </w:rPr>
        <w:t xml:space="preserve"> </w:t>
      </w:r>
      <w:r w:rsidRPr="00037593">
        <w:rPr>
          <w:rFonts w:ascii="Times New Roman" w:eastAsia="Calibri" w:hAnsi="Times New Roman" w:cs="Times New Roman"/>
          <w:kern w:val="0"/>
          <w:sz w:val="24"/>
          <w:szCs w:val="24"/>
          <w:lang w:val="en-US" w:bidi="ar-SA"/>
          <w14:ligatures w14:val="none"/>
        </w:rPr>
        <w:t>This design ensured a representative sample of individuals with comorbid T2DM and HTN for analysis.</w:t>
      </w:r>
    </w:p>
    <w:p w14:paraId="62FF577B" w14:textId="77777777" w:rsidR="00AC1256" w:rsidRPr="00037593"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78CBEF22" w14:textId="6BD1B406" w:rsidR="00AC1256" w:rsidRPr="00892798"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 xml:space="preserve">Sampling </w:t>
      </w:r>
      <w:r w:rsidR="00892798" w:rsidRPr="00892798">
        <w:rPr>
          <w:rFonts w:ascii="Times New Roman" w:eastAsia="Calibri" w:hAnsi="Times New Roman" w:cs="Times New Roman"/>
          <w:b/>
          <w:bCs/>
          <w:kern w:val="0"/>
          <w:sz w:val="24"/>
          <w:szCs w:val="24"/>
          <w:lang w:val="en-US" w:bidi="ar-SA"/>
          <w14:ligatures w14:val="none"/>
        </w:rPr>
        <w:t xml:space="preserve">Design </w:t>
      </w:r>
    </w:p>
    <w:p w14:paraId="42A1E94E" w14:textId="77777777" w:rsidR="00AC1256" w:rsidRPr="00037593"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p>
    <w:p w14:paraId="58803C36" w14:textId="59B18B99" w:rsidR="00AC1256" w:rsidRPr="00037593"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On the basis of the earlier prevalence of the disease in Aligarh</w:t>
      </w:r>
      <w:r w:rsidR="005B2809" w:rsidRPr="00037593">
        <w:rPr>
          <w:rFonts w:ascii="Times New Roman" w:eastAsia="Calibri" w:hAnsi="Times New Roman" w:cs="Times New Roman"/>
          <w:kern w:val="0"/>
          <w:sz w:val="24"/>
          <w:szCs w:val="24"/>
          <w:vertAlign w:val="superscript"/>
          <w:lang w:val="en-US" w:bidi="ar-SA"/>
          <w14:ligatures w14:val="none"/>
        </w:rPr>
        <w:t>21</w:t>
      </w:r>
      <w:r w:rsidRPr="00037593">
        <w:rPr>
          <w:rFonts w:ascii="Times New Roman" w:eastAsia="Calibri" w:hAnsi="Times New Roman" w:cs="Times New Roman"/>
          <w:kern w:val="0"/>
          <w:sz w:val="24"/>
          <w:szCs w:val="24"/>
          <w:lang w:val="en-US" w:bidi="ar-SA"/>
          <w14:ligatures w14:val="none"/>
        </w:rPr>
        <w:t xml:space="preserve"> A calculated sample size of diabetes and hypertension were 160 and 110, by using the simplified sample size formula for proportions n = 4pq/ l</w:t>
      </w:r>
      <w:r w:rsidRPr="00037593">
        <w:rPr>
          <w:rFonts w:ascii="Times New Roman" w:eastAsia="Calibri" w:hAnsi="Times New Roman" w:cs="Times New Roman"/>
          <w:kern w:val="0"/>
          <w:sz w:val="24"/>
          <w:szCs w:val="24"/>
          <w:vertAlign w:val="superscript"/>
          <w:lang w:val="en-US" w:bidi="ar-SA"/>
          <w14:ligatures w14:val="none"/>
        </w:rPr>
        <w:t>2</w:t>
      </w:r>
      <w:r w:rsidR="007F1E49" w:rsidRPr="00037593">
        <w:rPr>
          <w:rFonts w:ascii="Times New Roman" w:eastAsia="Calibri" w:hAnsi="Times New Roman" w:cs="Times New Roman"/>
          <w:kern w:val="0"/>
          <w:sz w:val="24"/>
          <w:szCs w:val="24"/>
          <w:vertAlign w:val="superscript"/>
          <w:lang w:val="en-US" w:bidi="ar-SA"/>
          <w14:ligatures w14:val="none"/>
        </w:rPr>
        <w:t>2</w:t>
      </w:r>
      <w:r w:rsidR="001C1D04"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with 5 % relative error respectively. Quota sampling technique was used to select the sample. Furthermore, patients were stratified based on their disease situation such as patients with T2DM and HTN and T2DM*HTN. During the study period of 6 months from August 2017 to January 2018, approximately 336 cases were identified. Out of which around 320 cases were selected for the final study. Moreover, nearly 60 cases of diabetic hypertensive (T2DM*HTN) were extracted among the total sample (N = 320).</w:t>
      </w:r>
    </w:p>
    <w:p w14:paraId="4A92CC84" w14:textId="77777777" w:rsidR="00AC1256" w:rsidRPr="00037593" w:rsidRDefault="00AC1256" w:rsidP="00037D6A">
      <w:pPr>
        <w:spacing w:after="0" w:line="276" w:lineRule="auto"/>
        <w:jc w:val="both"/>
        <w:rPr>
          <w:rFonts w:ascii="Times New Roman" w:eastAsia="Calibri" w:hAnsi="Times New Roman" w:cs="Times New Roman"/>
          <w:b/>
          <w:bCs/>
          <w:kern w:val="0"/>
          <w:sz w:val="20"/>
          <w:lang w:val="en-US" w:bidi="ar-SA"/>
          <w14:ligatures w14:val="none"/>
        </w:rPr>
      </w:pPr>
    </w:p>
    <w:p w14:paraId="7CBCC92E" w14:textId="42669F7D" w:rsidR="00AC1256" w:rsidRPr="00892798"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lastRenderedPageBreak/>
        <w:t xml:space="preserve">Tools </w:t>
      </w:r>
      <w:r w:rsidR="00892798" w:rsidRPr="00892798">
        <w:rPr>
          <w:rFonts w:ascii="Times New Roman" w:eastAsia="Calibri" w:hAnsi="Times New Roman" w:cs="Times New Roman"/>
          <w:b/>
          <w:bCs/>
          <w:kern w:val="0"/>
          <w:sz w:val="24"/>
          <w:szCs w:val="24"/>
          <w:lang w:val="en-US" w:bidi="ar-SA"/>
          <w14:ligatures w14:val="none"/>
        </w:rPr>
        <w:t xml:space="preserve">For </w:t>
      </w:r>
      <w:r w:rsidRPr="00892798">
        <w:rPr>
          <w:rFonts w:ascii="Times New Roman" w:eastAsia="Calibri" w:hAnsi="Times New Roman" w:cs="Times New Roman"/>
          <w:b/>
          <w:bCs/>
          <w:kern w:val="0"/>
          <w:sz w:val="24"/>
          <w:szCs w:val="24"/>
          <w:lang w:val="en-US" w:bidi="ar-SA"/>
          <w14:ligatures w14:val="none"/>
        </w:rPr>
        <w:t xml:space="preserve">Data Collection </w:t>
      </w:r>
    </w:p>
    <w:p w14:paraId="6C7AFA2B" w14:textId="77777777" w:rsidR="00A3635A" w:rsidRPr="00037593" w:rsidRDefault="00AC1256" w:rsidP="00037D6A">
      <w:pPr>
        <w:spacing w:after="0" w:line="276"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 xml:space="preserve"> </w:t>
      </w:r>
    </w:p>
    <w:p w14:paraId="29684FCB" w14:textId="4B96E7EC" w:rsidR="00AC1256" w:rsidRPr="00037593" w:rsidRDefault="00AC1256" w:rsidP="00037D6A">
      <w:pPr>
        <w:spacing w:after="0" w:line="276"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A valid and reliable (Cronbach's alpha = 0.896) self-prepared questionnaire cum interview schedule was designed to collect data regarding demographic information, anthropometric, clinical history, and detailed dietary habits from patients. A signed informed verbal consent was also taken. </w:t>
      </w:r>
      <w:r w:rsidR="00CC3F20" w:rsidRPr="00037593">
        <w:rPr>
          <w:rFonts w:ascii="Times New Roman" w:eastAsia="Calibri" w:hAnsi="Times New Roman" w:cs="Times New Roman"/>
          <w:kern w:val="0"/>
          <w:sz w:val="24"/>
          <w:szCs w:val="24"/>
          <w:lang w:val="en-US" w:bidi="ar-SA"/>
          <w14:ligatures w14:val="none"/>
        </w:rPr>
        <w:t xml:space="preserve">The height and weight were measured with the help of the standard stature meter </w:t>
      </w:r>
      <w:r w:rsidR="00CC3F20" w:rsidRPr="00037593">
        <w:rPr>
          <w:rFonts w:ascii="Times New Roman" w:hAnsi="Times New Roman" w:cs="Times New Roman"/>
          <w:sz w:val="24"/>
          <w:szCs w:val="24"/>
        </w:rPr>
        <w:t>(MCP Stature-meter04, manufactured by MCP, India)</w:t>
      </w:r>
      <w:r w:rsidR="00CC3F20" w:rsidRPr="00037593">
        <w:rPr>
          <w:rFonts w:ascii="Times New Roman" w:eastAsia="Calibri" w:hAnsi="Times New Roman" w:cs="Times New Roman"/>
          <w:kern w:val="0"/>
          <w:sz w:val="24"/>
          <w:szCs w:val="24"/>
          <w:lang w:val="en-US" w:bidi="ar-SA"/>
          <w14:ligatures w14:val="none"/>
        </w:rPr>
        <w:t xml:space="preserve"> and digital platform weighing scale</w:t>
      </w:r>
      <w:r w:rsidR="00CC3F20" w:rsidRPr="00037593">
        <w:rPr>
          <w:rFonts w:ascii="Times New Roman" w:hAnsi="Times New Roman" w:cs="Times New Roman"/>
          <w:sz w:val="24"/>
          <w:szCs w:val="24"/>
        </w:rPr>
        <w:t xml:space="preserve"> (Stand scale 7830.01.001 manufactured by </w:t>
      </w:r>
      <w:proofErr w:type="spellStart"/>
      <w:r w:rsidR="00CC3F20" w:rsidRPr="00037593">
        <w:rPr>
          <w:rFonts w:ascii="Times New Roman" w:hAnsi="Times New Roman" w:cs="Times New Roman"/>
          <w:sz w:val="24"/>
          <w:szCs w:val="24"/>
        </w:rPr>
        <w:t>Soehnle</w:t>
      </w:r>
      <w:proofErr w:type="spellEnd"/>
      <w:r w:rsidR="00CC3F20" w:rsidRPr="00037593">
        <w:rPr>
          <w:rFonts w:ascii="Times New Roman" w:hAnsi="Times New Roman" w:cs="Times New Roman"/>
          <w:sz w:val="24"/>
          <w:szCs w:val="24"/>
        </w:rPr>
        <w:t xml:space="preserve"> </w:t>
      </w:r>
      <w:proofErr w:type="spellStart"/>
      <w:r w:rsidR="00CC3F20" w:rsidRPr="00037593">
        <w:rPr>
          <w:rFonts w:ascii="Times New Roman" w:hAnsi="Times New Roman" w:cs="Times New Roman"/>
          <w:sz w:val="24"/>
          <w:szCs w:val="24"/>
        </w:rPr>
        <w:t>Backnang</w:t>
      </w:r>
      <w:proofErr w:type="spellEnd"/>
      <w:r w:rsidR="00CC3F20" w:rsidRPr="00037593">
        <w:rPr>
          <w:rFonts w:ascii="Times New Roman" w:hAnsi="Times New Roman" w:cs="Times New Roman"/>
          <w:sz w:val="24"/>
          <w:szCs w:val="24"/>
        </w:rPr>
        <w:t>, Germany)</w:t>
      </w:r>
      <w:r w:rsidR="00CC3F20" w:rsidRPr="00037593">
        <w:rPr>
          <w:rFonts w:ascii="Times New Roman" w:eastAsia="Calibri" w:hAnsi="Times New Roman" w:cs="Times New Roman"/>
          <w:kern w:val="0"/>
          <w:sz w:val="24"/>
          <w:szCs w:val="24"/>
          <w:lang w:val="en-US" w:bidi="ar-SA"/>
          <w14:ligatures w14:val="none"/>
        </w:rPr>
        <w:t xml:space="preserve">, respectively. </w:t>
      </w:r>
      <w:r w:rsidRPr="00037593">
        <w:rPr>
          <w:rFonts w:ascii="Times New Roman" w:eastAsia="Calibri" w:hAnsi="Times New Roman" w:cs="Times New Roman"/>
          <w:kern w:val="0"/>
          <w:sz w:val="24"/>
          <w:szCs w:val="24"/>
          <w:lang w:val="en-US" w:bidi="ar-SA"/>
          <w14:ligatures w14:val="none"/>
        </w:rPr>
        <w:t>BMI was calculated with the help of the equation proposed by Garrow and Webster (1985)</w:t>
      </w:r>
      <w:r w:rsidR="001C1D04" w:rsidRPr="00037593">
        <w:rPr>
          <w:rFonts w:ascii="Times New Roman" w:eastAsia="Calibri" w:hAnsi="Times New Roman" w:cs="Times New Roman"/>
          <w:kern w:val="0"/>
          <w:sz w:val="24"/>
          <w:szCs w:val="24"/>
          <w:vertAlign w:val="superscript"/>
          <w:lang w:val="en-US" w:bidi="ar-SA"/>
          <w14:ligatures w14:val="none"/>
        </w:rPr>
        <w:t>2</w:t>
      </w:r>
      <w:r w:rsidR="00272532" w:rsidRPr="00037593">
        <w:rPr>
          <w:rFonts w:ascii="Times New Roman" w:eastAsia="Calibri" w:hAnsi="Times New Roman" w:cs="Times New Roman"/>
          <w:kern w:val="0"/>
          <w:sz w:val="24"/>
          <w:szCs w:val="24"/>
          <w:vertAlign w:val="superscript"/>
          <w:lang w:val="en-US" w:bidi="ar-SA"/>
          <w14:ligatures w14:val="none"/>
        </w:rPr>
        <w:t>3</w:t>
      </w:r>
      <w:r w:rsidRPr="00037593">
        <w:rPr>
          <w:rFonts w:ascii="Times New Roman" w:eastAsia="Calibri" w:hAnsi="Times New Roman" w:cs="Times New Roman"/>
          <w:kern w:val="0"/>
          <w:sz w:val="24"/>
          <w:szCs w:val="24"/>
          <w:lang w:val="en-US" w:bidi="ar-SA"/>
          <w14:ligatures w14:val="none"/>
        </w:rPr>
        <w:t xml:space="preserve"> (weight/height kg/m</w:t>
      </w:r>
      <w:r w:rsidRPr="00037593">
        <w:rPr>
          <w:rFonts w:ascii="Times New Roman" w:eastAsia="Calibri" w:hAnsi="Times New Roman" w:cs="Times New Roman"/>
          <w:kern w:val="0"/>
          <w:sz w:val="24"/>
          <w:szCs w:val="24"/>
          <w:vertAlign w:val="superscript"/>
          <w:lang w:val="en-US" w:bidi="ar-SA"/>
          <w14:ligatures w14:val="none"/>
        </w:rPr>
        <w:t>2</w:t>
      </w:r>
      <w:r w:rsidRPr="00037593">
        <w:rPr>
          <w:rFonts w:ascii="Times New Roman" w:eastAsia="Calibri" w:hAnsi="Times New Roman" w:cs="Times New Roman"/>
          <w:kern w:val="0"/>
          <w:sz w:val="24"/>
          <w:szCs w:val="24"/>
          <w:lang w:val="en-US" w:bidi="ar-SA"/>
          <w14:ligatures w14:val="none"/>
        </w:rPr>
        <w:t>) and categorized as per Indian adult standard</w:t>
      </w:r>
      <w:r w:rsidR="001C1D04" w:rsidRPr="00037593">
        <w:rPr>
          <w:rFonts w:ascii="Times New Roman" w:eastAsia="Calibri" w:hAnsi="Times New Roman" w:cs="Times New Roman"/>
          <w:kern w:val="0"/>
          <w:sz w:val="24"/>
          <w:szCs w:val="24"/>
          <w:vertAlign w:val="superscript"/>
          <w:lang w:val="en-US" w:bidi="ar-SA"/>
          <w14:ligatures w14:val="none"/>
        </w:rPr>
        <w:t>2</w:t>
      </w:r>
      <w:r w:rsidR="00272532" w:rsidRPr="00037593">
        <w:rPr>
          <w:rFonts w:ascii="Times New Roman" w:eastAsia="Calibri" w:hAnsi="Times New Roman" w:cs="Times New Roman"/>
          <w:kern w:val="0"/>
          <w:sz w:val="24"/>
          <w:szCs w:val="24"/>
          <w:vertAlign w:val="superscript"/>
          <w:lang w:val="en-US" w:bidi="ar-SA"/>
          <w14:ligatures w14:val="none"/>
        </w:rPr>
        <w:t>4</w:t>
      </w:r>
      <w:r w:rsidR="001C1D04" w:rsidRPr="00037593">
        <w:rPr>
          <w:rFonts w:ascii="Times New Roman" w:eastAsia="Calibri" w:hAnsi="Times New Roman" w:cs="Times New Roman"/>
          <w:kern w:val="0"/>
          <w:sz w:val="24"/>
          <w:szCs w:val="24"/>
          <w:vertAlign w:val="superscript"/>
          <w:lang w:val="en-US" w:bidi="ar-SA"/>
          <w14:ligatures w14:val="none"/>
        </w:rPr>
        <w:t>,2</w:t>
      </w:r>
      <w:r w:rsidR="00272532" w:rsidRPr="00037593">
        <w:rPr>
          <w:rFonts w:ascii="Times New Roman" w:eastAsia="Calibri" w:hAnsi="Times New Roman" w:cs="Times New Roman"/>
          <w:kern w:val="0"/>
          <w:sz w:val="24"/>
          <w:szCs w:val="24"/>
          <w:vertAlign w:val="superscript"/>
          <w:lang w:val="en-US" w:bidi="ar-SA"/>
          <w14:ligatures w14:val="none"/>
        </w:rPr>
        <w:t>5</w:t>
      </w:r>
      <w:r w:rsidRPr="00037593">
        <w:rPr>
          <w:rFonts w:ascii="Times New Roman" w:eastAsia="Calibri" w:hAnsi="Times New Roman" w:cs="Times New Roman"/>
          <w:kern w:val="0"/>
          <w:sz w:val="24"/>
          <w:szCs w:val="24"/>
          <w:lang w:val="en-US" w:bidi="ar-SA"/>
          <w14:ligatures w14:val="none"/>
        </w:rPr>
        <w:t>.</w:t>
      </w:r>
    </w:p>
    <w:p w14:paraId="21C9E734" w14:textId="77777777" w:rsidR="00AC1256" w:rsidRPr="00037593" w:rsidRDefault="00AC1256" w:rsidP="00037D6A">
      <w:pPr>
        <w:spacing w:after="0" w:line="276" w:lineRule="auto"/>
        <w:jc w:val="both"/>
        <w:rPr>
          <w:rFonts w:ascii="Times New Roman" w:eastAsia="Calibri" w:hAnsi="Times New Roman" w:cs="Times New Roman"/>
          <w:b/>
          <w:bCs/>
          <w:kern w:val="0"/>
          <w:sz w:val="24"/>
          <w:szCs w:val="24"/>
          <w:shd w:val="clear" w:color="auto" w:fill="FFFFFF"/>
          <w:lang w:val="en-US" w:bidi="ar-SA"/>
          <w14:ligatures w14:val="none"/>
        </w:rPr>
      </w:pPr>
    </w:p>
    <w:p w14:paraId="59B7822B" w14:textId="6B1AC1A4" w:rsidR="00AC1256" w:rsidRPr="00892798" w:rsidRDefault="00892798" w:rsidP="00037D6A">
      <w:pPr>
        <w:spacing w:after="0" w:line="276" w:lineRule="auto"/>
        <w:jc w:val="both"/>
        <w:rPr>
          <w:rFonts w:ascii="Times New Roman" w:eastAsia="Calibri" w:hAnsi="Times New Roman" w:cs="Times New Roman"/>
          <w:b/>
          <w:bCs/>
          <w:kern w:val="0"/>
          <w:sz w:val="24"/>
          <w:szCs w:val="24"/>
          <w:shd w:val="clear" w:color="auto" w:fill="FFFFFF"/>
          <w:lang w:val="en-US" w:bidi="ar-SA"/>
          <w14:ligatures w14:val="none"/>
        </w:rPr>
      </w:pPr>
      <w:r w:rsidRPr="00892798">
        <w:rPr>
          <w:rFonts w:ascii="Times New Roman" w:eastAsia="Calibri" w:hAnsi="Times New Roman" w:cs="Times New Roman"/>
          <w:b/>
          <w:bCs/>
          <w:kern w:val="0"/>
          <w:sz w:val="24"/>
          <w:szCs w:val="24"/>
          <w:shd w:val="clear" w:color="auto" w:fill="FFFFFF"/>
          <w:lang w:val="en-US" w:bidi="ar-SA"/>
          <w14:ligatures w14:val="none"/>
        </w:rPr>
        <w:t xml:space="preserve">Nutritional Assessment </w:t>
      </w:r>
    </w:p>
    <w:p w14:paraId="70098203" w14:textId="77777777" w:rsidR="00AC1256" w:rsidRPr="00037593" w:rsidRDefault="00AC1256" w:rsidP="00037D6A">
      <w:pPr>
        <w:spacing w:after="0" w:line="276" w:lineRule="auto"/>
        <w:jc w:val="both"/>
        <w:rPr>
          <w:rFonts w:ascii="Times New Roman" w:eastAsia="Calibri" w:hAnsi="Times New Roman" w:cs="Times New Roman"/>
          <w:b/>
          <w:bCs/>
          <w:kern w:val="0"/>
          <w:sz w:val="20"/>
          <w:shd w:val="clear" w:color="auto" w:fill="FFFFFF"/>
          <w:lang w:val="en-US" w:bidi="ar-SA"/>
          <w14:ligatures w14:val="none"/>
        </w:rPr>
      </w:pPr>
    </w:p>
    <w:p w14:paraId="5DF17DDE" w14:textId="3791D891" w:rsidR="000E571A" w:rsidRPr="00037593" w:rsidRDefault="006259EC"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r w:rsidRPr="00037593">
        <w:rPr>
          <w:rFonts w:ascii="Times New Roman" w:eastAsia="Calibri" w:hAnsi="Times New Roman" w:cs="Times New Roman"/>
          <w:kern w:val="0"/>
          <w:sz w:val="24"/>
          <w:szCs w:val="24"/>
          <w:shd w:val="clear" w:color="auto" w:fill="FFFFFF"/>
          <w:lang w:val="en-US" w:bidi="ar-SA"/>
          <w14:ligatures w14:val="none"/>
        </w:rPr>
        <w:t xml:space="preserve">A structured 24-hour diet recall method was employed over three consecutive days, including two weekdays and one holiday, allowing participants to recall their food and beverage consumption. Standardized weights and measures were used to ensure accurate quantification of food items in grams and liters. The nutrient content of the reported foods was analyzed using </w:t>
      </w:r>
      <w:proofErr w:type="spellStart"/>
      <w:r w:rsidRPr="00037593">
        <w:rPr>
          <w:rFonts w:ascii="Times New Roman" w:eastAsia="Calibri" w:hAnsi="Times New Roman" w:cs="Times New Roman"/>
          <w:kern w:val="0"/>
          <w:sz w:val="24"/>
          <w:szCs w:val="24"/>
          <w:shd w:val="clear" w:color="auto" w:fill="FFFFFF"/>
          <w:lang w:val="en-US" w:bidi="ar-SA"/>
          <w14:ligatures w14:val="none"/>
        </w:rPr>
        <w:t>DietCal</w:t>
      </w:r>
      <w:proofErr w:type="spellEnd"/>
      <w:r w:rsidRPr="00037593">
        <w:rPr>
          <w:rFonts w:ascii="Times New Roman" w:eastAsia="Calibri" w:hAnsi="Times New Roman" w:cs="Times New Roman"/>
          <w:kern w:val="0"/>
          <w:sz w:val="24"/>
          <w:szCs w:val="24"/>
          <w:shd w:val="clear" w:color="auto" w:fill="FFFFFF"/>
          <w:lang w:val="en-US" w:bidi="ar-SA"/>
          <w14:ligatures w14:val="none"/>
        </w:rPr>
        <w:t xml:space="preserve"> software 8.0, adapted to the Indian Food Composition Table</w:t>
      </w:r>
      <w:r w:rsidRPr="00037593">
        <w:rPr>
          <w:rFonts w:ascii="Times New Roman" w:eastAsia="Calibri" w:hAnsi="Times New Roman" w:cs="Times New Roman"/>
          <w:kern w:val="0"/>
          <w:sz w:val="24"/>
          <w:szCs w:val="24"/>
          <w:shd w:val="clear" w:color="auto" w:fill="FFFFFF"/>
          <w:vertAlign w:val="superscript"/>
          <w:lang w:val="en-US" w:bidi="ar-SA"/>
          <w14:ligatures w14:val="none"/>
        </w:rPr>
        <w:t>26,27</w:t>
      </w:r>
      <w:r w:rsidR="00113F41" w:rsidRPr="00037593">
        <w:rPr>
          <w:rFonts w:ascii="Times New Roman" w:eastAsia="Calibri" w:hAnsi="Times New Roman" w:cs="Times New Roman"/>
          <w:kern w:val="0"/>
          <w:sz w:val="24"/>
          <w:szCs w:val="24"/>
          <w:shd w:val="clear" w:color="auto" w:fill="FFFFFF"/>
          <w:lang w:val="en-US" w:bidi="ar-SA"/>
          <w14:ligatures w14:val="none"/>
        </w:rPr>
        <w:t>.</w:t>
      </w:r>
      <w:r w:rsidR="00AC1256" w:rsidRPr="00037593">
        <w:rPr>
          <w:rFonts w:ascii="Times New Roman" w:eastAsia="Calibri" w:hAnsi="Times New Roman" w:cs="Times New Roman"/>
          <w:kern w:val="0"/>
          <w:sz w:val="24"/>
          <w:szCs w:val="24"/>
          <w:shd w:val="clear" w:color="auto" w:fill="FFFFFF"/>
          <w:lang w:val="en-US" w:bidi="ar-SA"/>
          <w14:ligatures w14:val="none"/>
        </w:rPr>
        <w:t xml:space="preserve"> </w:t>
      </w:r>
      <w:r w:rsidR="004856DA" w:rsidRPr="00037593">
        <w:rPr>
          <w:rFonts w:ascii="Times New Roman" w:eastAsia="Calibri" w:hAnsi="Times New Roman" w:cs="Times New Roman"/>
          <w:kern w:val="0"/>
          <w:sz w:val="24"/>
          <w:szCs w:val="24"/>
          <w:shd w:val="clear" w:color="auto" w:fill="FFFFFF"/>
          <w:lang w:bidi="ar-SA"/>
          <w14:ligatures w14:val="none"/>
        </w:rPr>
        <w:t xml:space="preserve">"During data collection, it was observed that some patients incorporated functional foods such as fenugreek, bitter gourd, and bottle gourd into their treatment regimens alongside prescribed medications. The frequency of their consumption was assessed using a formative scale and compared against the ICMR (2018) </w:t>
      </w:r>
      <w:proofErr w:type="spellStart"/>
      <w:r w:rsidR="004856DA" w:rsidRPr="00037593">
        <w:rPr>
          <w:rFonts w:ascii="Times New Roman" w:eastAsia="Calibri" w:hAnsi="Times New Roman" w:cs="Times New Roman"/>
          <w:kern w:val="0"/>
          <w:sz w:val="24"/>
          <w:szCs w:val="24"/>
          <w:shd w:val="clear" w:color="auto" w:fill="FFFFFF"/>
          <w:lang w:bidi="ar-SA"/>
          <w14:ligatures w14:val="none"/>
        </w:rPr>
        <w:t>glycemic</w:t>
      </w:r>
      <w:proofErr w:type="spellEnd"/>
      <w:r w:rsidR="004856DA" w:rsidRPr="00037593">
        <w:rPr>
          <w:rFonts w:ascii="Times New Roman" w:eastAsia="Calibri" w:hAnsi="Times New Roman" w:cs="Times New Roman"/>
          <w:kern w:val="0"/>
          <w:sz w:val="24"/>
          <w:szCs w:val="24"/>
          <w:shd w:val="clear" w:color="auto" w:fill="FFFFFF"/>
          <w:lang w:bidi="ar-SA"/>
          <w14:ligatures w14:val="none"/>
        </w:rPr>
        <w:t xml:space="preserve"> control guidelines for type 2 diabetes: HbA1c &lt; 7% (ideal), HbA1c ≥ 7 and &lt; 8% (satisfactory), and HbA1c ≥ 8% (unsatisfactory)”</w:t>
      </w:r>
      <w:r w:rsidR="00BB69FD" w:rsidRPr="00037593">
        <w:rPr>
          <w:rFonts w:ascii="Times New Roman" w:eastAsia="Calibri" w:hAnsi="Times New Roman" w:cs="Times New Roman"/>
          <w:kern w:val="0"/>
          <w:sz w:val="24"/>
          <w:szCs w:val="24"/>
          <w:shd w:val="clear" w:color="auto" w:fill="FFFFFF"/>
          <w:vertAlign w:val="superscript"/>
          <w:lang w:bidi="ar-SA"/>
          <w14:ligatures w14:val="none"/>
        </w:rPr>
        <w:t>28</w:t>
      </w:r>
      <w:r w:rsidR="000E571A" w:rsidRPr="00037593">
        <w:rPr>
          <w:rFonts w:ascii="Times New Roman" w:eastAsia="Calibri" w:hAnsi="Times New Roman" w:cs="Times New Roman"/>
          <w:kern w:val="0"/>
          <w:sz w:val="24"/>
          <w:szCs w:val="24"/>
          <w:shd w:val="clear" w:color="auto" w:fill="FFFFFF"/>
          <w:lang w:bidi="ar-SA"/>
          <w14:ligatures w14:val="none"/>
        </w:rPr>
        <w:t>.</w:t>
      </w:r>
    </w:p>
    <w:p w14:paraId="14769B46" w14:textId="7E217074" w:rsidR="000E571A" w:rsidRPr="00037593" w:rsidRDefault="000E571A" w:rsidP="00037D6A">
      <w:pPr>
        <w:spacing w:after="0" w:line="276" w:lineRule="auto"/>
        <w:jc w:val="both"/>
        <w:rPr>
          <w:rFonts w:ascii="Times New Roman" w:eastAsia="Calibri" w:hAnsi="Times New Roman" w:cs="Times New Roman"/>
          <w:kern w:val="0"/>
          <w:sz w:val="24"/>
          <w:szCs w:val="24"/>
          <w:shd w:val="clear" w:color="auto" w:fill="FFFFFF"/>
          <w:lang w:bidi="ar-SA"/>
          <w14:ligatures w14:val="none"/>
        </w:rPr>
      </w:pPr>
      <w:r w:rsidRPr="00037593">
        <w:rPr>
          <w:rFonts w:ascii="Times New Roman" w:eastAsia="Calibri" w:hAnsi="Times New Roman" w:cs="Times New Roman"/>
          <w:kern w:val="0"/>
          <w:sz w:val="24"/>
          <w:szCs w:val="24"/>
          <w:shd w:val="clear" w:color="auto" w:fill="FFFFFF"/>
          <w:lang w:bidi="ar-SA"/>
          <w14:ligatures w14:val="none"/>
        </w:rPr>
        <w:t>This analysis focused solely on patients with T2DM</w:t>
      </w:r>
      <w:r w:rsidR="00BB69FD" w:rsidRPr="00037593">
        <w:rPr>
          <w:rFonts w:ascii="Times New Roman" w:eastAsia="Calibri" w:hAnsi="Times New Roman" w:cs="Times New Roman"/>
          <w:kern w:val="0"/>
          <w:sz w:val="24"/>
          <w:szCs w:val="24"/>
          <w:shd w:val="clear" w:color="auto" w:fill="FFFFFF"/>
          <w:lang w:bidi="ar-SA"/>
          <w14:ligatures w14:val="none"/>
        </w:rPr>
        <w:t xml:space="preserve"> </w:t>
      </w:r>
      <w:r w:rsidRPr="00037593">
        <w:rPr>
          <w:rFonts w:ascii="Times New Roman" w:eastAsia="Calibri" w:hAnsi="Times New Roman" w:cs="Times New Roman"/>
          <w:kern w:val="0"/>
          <w:sz w:val="24"/>
          <w:szCs w:val="24"/>
          <w:shd w:val="clear" w:color="auto" w:fill="FFFFFF"/>
          <w:lang w:bidi="ar-SA"/>
          <w14:ligatures w14:val="none"/>
        </w:rPr>
        <w:t xml:space="preserve">and T2DM*HTN, as hypertensive patients without diabetes did not report using functional foods for managing blood pressure. Therefore, the evaluation of special food consumption (e.g., fenugreek seeds, </w:t>
      </w:r>
      <w:r w:rsidR="002255AF" w:rsidRPr="00037593">
        <w:rPr>
          <w:rFonts w:ascii="Times New Roman" w:eastAsia="Calibri" w:hAnsi="Times New Roman" w:cs="Times New Roman"/>
          <w:kern w:val="0"/>
          <w:sz w:val="24"/>
          <w:szCs w:val="24"/>
          <w:shd w:val="clear" w:color="auto" w:fill="FFFFFF"/>
          <w:lang w:bidi="ar-SA"/>
          <w14:ligatures w14:val="none"/>
        </w:rPr>
        <w:t>bottle guard,</w:t>
      </w:r>
      <w:r w:rsidR="00D94BC5" w:rsidRPr="00037593">
        <w:rPr>
          <w:rFonts w:ascii="Times New Roman" w:eastAsia="Calibri" w:hAnsi="Times New Roman" w:cs="Times New Roman"/>
          <w:kern w:val="0"/>
          <w:sz w:val="24"/>
          <w:szCs w:val="24"/>
          <w:shd w:val="clear" w:color="auto" w:fill="FFFFFF"/>
          <w:lang w:bidi="ar-SA"/>
          <w14:ligatures w14:val="none"/>
        </w:rPr>
        <w:t xml:space="preserve"> </w:t>
      </w:r>
      <w:r w:rsidRPr="00037593">
        <w:rPr>
          <w:rFonts w:ascii="Times New Roman" w:eastAsia="Calibri" w:hAnsi="Times New Roman" w:cs="Times New Roman"/>
          <w:kern w:val="0"/>
          <w:sz w:val="24"/>
          <w:szCs w:val="24"/>
          <w:shd w:val="clear" w:color="auto" w:fill="FFFFFF"/>
          <w:lang w:bidi="ar-SA"/>
          <w14:ligatures w14:val="none"/>
        </w:rPr>
        <w:t>bitter gourd) was limited to diabetic patients.</w:t>
      </w:r>
    </w:p>
    <w:p w14:paraId="6CAC240A" w14:textId="77777777" w:rsidR="000E571A" w:rsidRPr="00037593" w:rsidRDefault="000E571A"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p>
    <w:p w14:paraId="51D314B5" w14:textId="57E6EAAF" w:rsidR="00A1349F" w:rsidRPr="00892798" w:rsidRDefault="00AC1256" w:rsidP="00037D6A">
      <w:pPr>
        <w:spacing w:after="0" w:line="276" w:lineRule="auto"/>
        <w:jc w:val="both"/>
        <w:rPr>
          <w:rFonts w:ascii="Times New Roman" w:eastAsia="Calibri" w:hAnsi="Times New Roman" w:cs="Times New Roman"/>
          <w:b/>
          <w:bCs/>
          <w:kern w:val="0"/>
          <w:sz w:val="28"/>
          <w:szCs w:val="28"/>
          <w:lang w:val="en-US" w:bidi="ar-SA"/>
          <w14:ligatures w14:val="none"/>
        </w:rPr>
      </w:pPr>
      <w:r w:rsidRPr="00892798">
        <w:rPr>
          <w:rFonts w:ascii="Times New Roman" w:eastAsia="Calibri" w:hAnsi="Times New Roman" w:cs="Times New Roman"/>
          <w:b/>
          <w:bCs/>
          <w:kern w:val="0"/>
          <w:sz w:val="28"/>
          <w:szCs w:val="28"/>
          <w:lang w:val="en-US" w:bidi="ar-SA"/>
          <w14:ligatures w14:val="none"/>
        </w:rPr>
        <w:t>Definitions</w:t>
      </w:r>
      <w:r w:rsidR="00A1349F" w:rsidRPr="00892798">
        <w:rPr>
          <w:rFonts w:ascii="Times New Roman" w:eastAsia="Calibri" w:hAnsi="Times New Roman" w:cs="Times New Roman"/>
          <w:b/>
          <w:bCs/>
          <w:kern w:val="0"/>
          <w:sz w:val="28"/>
          <w:szCs w:val="28"/>
          <w:lang w:val="en-US" w:bidi="ar-SA"/>
          <w14:ligatures w14:val="none"/>
        </w:rPr>
        <w:t>:</w:t>
      </w:r>
    </w:p>
    <w:p w14:paraId="35A60B10" w14:textId="77777777" w:rsidR="00AC1256" w:rsidRPr="00037593" w:rsidRDefault="00AC1256" w:rsidP="00037D6A">
      <w:pPr>
        <w:autoSpaceDE w:val="0"/>
        <w:autoSpaceDN w:val="0"/>
        <w:adjustRightInd w:val="0"/>
        <w:spacing w:after="0" w:line="276" w:lineRule="auto"/>
        <w:jc w:val="both"/>
        <w:rPr>
          <w:rFonts w:ascii="Times New Roman" w:eastAsia="Calibri" w:hAnsi="Times New Roman" w:cs="Times New Roman"/>
          <w:b/>
          <w:bCs/>
          <w:kern w:val="0"/>
          <w:sz w:val="20"/>
          <w:lang w:val="en-US" w:bidi="ar-SA"/>
          <w14:ligatures w14:val="none"/>
        </w:rPr>
      </w:pPr>
    </w:p>
    <w:p w14:paraId="3E03258D" w14:textId="692ECB42" w:rsidR="00AC1256" w:rsidRPr="00892798" w:rsidRDefault="00AC1256" w:rsidP="00037D6A">
      <w:pPr>
        <w:autoSpaceDE w:val="0"/>
        <w:autoSpaceDN w:val="0"/>
        <w:adjustRightInd w:val="0"/>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Diabetes Mellitu</w:t>
      </w:r>
      <w:r w:rsidR="00BB5C80" w:rsidRPr="00892798">
        <w:rPr>
          <w:rFonts w:ascii="Times New Roman" w:eastAsia="Calibri" w:hAnsi="Times New Roman" w:cs="Times New Roman"/>
          <w:b/>
          <w:bCs/>
          <w:kern w:val="0"/>
          <w:sz w:val="24"/>
          <w:szCs w:val="24"/>
          <w:lang w:val="en-US" w:bidi="ar-SA"/>
          <w14:ligatures w14:val="none"/>
        </w:rPr>
        <w:t>s</w:t>
      </w:r>
    </w:p>
    <w:p w14:paraId="55DA4616" w14:textId="3225EABE"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val="en-US" w:bidi="ar-SA"/>
          <w14:ligatures w14:val="none"/>
        </w:rPr>
        <w:t xml:space="preserve">Glycated hemoglobin (HbA1c) levels were used as a key outcome measure for assessing glycemic control in diabetic patients, obtained from their medical case records. </w:t>
      </w:r>
      <w:r w:rsidR="00AC1256" w:rsidRPr="00037593">
        <w:rPr>
          <w:rFonts w:ascii="Times New Roman" w:eastAsia="Calibri" w:hAnsi="Times New Roman" w:cs="Times New Roman"/>
          <w:kern w:val="0"/>
          <w:sz w:val="24"/>
          <w:szCs w:val="24"/>
          <w:lang w:val="en-US" w:bidi="ar-SA"/>
          <w14:ligatures w14:val="none"/>
        </w:rPr>
        <w:t>Diabetes mellitus was diagnosed as per the criteria of WHO (2006)</w:t>
      </w:r>
      <w:r w:rsidR="00486BDB" w:rsidRPr="00037593">
        <w:rPr>
          <w:rFonts w:ascii="Times New Roman" w:eastAsia="Calibri" w:hAnsi="Times New Roman" w:cs="Times New Roman"/>
          <w:kern w:val="0"/>
          <w:sz w:val="24"/>
          <w:szCs w:val="24"/>
          <w:vertAlign w:val="superscript"/>
          <w:lang w:val="en-US" w:bidi="ar-SA"/>
          <w14:ligatures w14:val="none"/>
        </w:rPr>
        <w:t>29</w:t>
      </w:r>
      <w:r w:rsidR="00AC1256" w:rsidRPr="00037593">
        <w:rPr>
          <w:rFonts w:ascii="Times New Roman" w:eastAsia="Calibri" w:hAnsi="Times New Roman" w:cs="Times New Roman"/>
          <w:kern w:val="0"/>
          <w:sz w:val="24"/>
          <w:szCs w:val="24"/>
          <w:lang w:val="en-US" w:bidi="ar-SA"/>
          <w14:ligatures w14:val="none"/>
        </w:rPr>
        <w:t xml:space="preserve"> and ADA (2017)</w:t>
      </w:r>
      <w:r w:rsidR="00486BDB" w:rsidRPr="00037593">
        <w:rPr>
          <w:rFonts w:ascii="Times New Roman" w:eastAsia="Calibri" w:hAnsi="Times New Roman" w:cs="Times New Roman"/>
          <w:kern w:val="0"/>
          <w:sz w:val="24"/>
          <w:szCs w:val="24"/>
          <w:vertAlign w:val="superscript"/>
          <w:lang w:val="en-US" w:bidi="ar-SA"/>
          <w14:ligatures w14:val="none"/>
        </w:rPr>
        <w:t>30</w:t>
      </w:r>
      <w:r w:rsidR="00AC1256" w:rsidRPr="00037593">
        <w:rPr>
          <w:rFonts w:ascii="Times New Roman" w:eastAsia="Calibri" w:hAnsi="Times New Roman" w:cs="Times New Roman"/>
          <w:kern w:val="0"/>
          <w:sz w:val="24"/>
          <w:szCs w:val="24"/>
          <w:lang w:val="en-US" w:bidi="ar-SA"/>
          <w14:ligatures w14:val="none"/>
        </w:rPr>
        <w:t xml:space="preserve"> and recommendations as HbA1c ≥ 6.5%. </w:t>
      </w:r>
      <w:r w:rsidR="002D19FA" w:rsidRPr="00037593">
        <w:rPr>
          <w:rFonts w:ascii="Times New Roman" w:eastAsia="Calibri" w:hAnsi="Times New Roman" w:cs="Times New Roman"/>
          <w:kern w:val="0"/>
          <w:sz w:val="24"/>
          <w:szCs w:val="24"/>
          <w:lang w:bidi="ar-SA"/>
          <w14:ligatures w14:val="none"/>
        </w:rPr>
        <w:t>Glycaemic</w:t>
      </w:r>
      <w:r w:rsidR="00CC358A" w:rsidRPr="00037593">
        <w:rPr>
          <w:rFonts w:ascii="Times New Roman" w:eastAsia="Calibri" w:hAnsi="Times New Roman" w:cs="Times New Roman"/>
          <w:kern w:val="0"/>
          <w:sz w:val="24"/>
          <w:szCs w:val="24"/>
          <w:lang w:bidi="ar-SA"/>
          <w14:ligatures w14:val="none"/>
        </w:rPr>
        <w:t xml:space="preserve"> control was categorized as per the recent guidelines provided by </w:t>
      </w:r>
      <w:r w:rsidRPr="00037593">
        <w:rPr>
          <w:rFonts w:ascii="Times New Roman" w:eastAsia="Calibri" w:hAnsi="Times New Roman" w:cs="Times New Roman"/>
          <w:kern w:val="0"/>
          <w:sz w:val="24"/>
          <w:szCs w:val="24"/>
          <w:lang w:bidi="ar-SA"/>
          <w14:ligatures w14:val="none"/>
        </w:rPr>
        <w:t xml:space="preserve">Indian Council of Medical Research </w:t>
      </w:r>
      <w:r w:rsidR="00CC358A" w:rsidRPr="00037593">
        <w:rPr>
          <w:rFonts w:ascii="Times New Roman" w:eastAsia="Calibri" w:hAnsi="Times New Roman" w:cs="Times New Roman"/>
          <w:kern w:val="0"/>
          <w:sz w:val="24"/>
          <w:szCs w:val="24"/>
          <w:lang w:bidi="ar-SA"/>
          <w14:ligatures w14:val="none"/>
        </w:rPr>
        <w:t xml:space="preserve">(2018) for the management of type 2 diabetes mellitus (&lt; 7 for ideal, ≥ 7 - &lt; 8 for satisfactory and ≥ 8 for unsatisfactory </w:t>
      </w:r>
      <w:r w:rsidR="002D19FA" w:rsidRPr="00037593">
        <w:rPr>
          <w:rFonts w:ascii="Times New Roman" w:eastAsia="Calibri" w:hAnsi="Times New Roman" w:cs="Times New Roman"/>
          <w:kern w:val="0"/>
          <w:sz w:val="24"/>
          <w:szCs w:val="24"/>
          <w:lang w:bidi="ar-SA"/>
          <w14:ligatures w14:val="none"/>
        </w:rPr>
        <w:t>glycaemic</w:t>
      </w:r>
      <w:r w:rsidR="00CC358A" w:rsidRPr="00037593">
        <w:rPr>
          <w:rFonts w:ascii="Times New Roman" w:eastAsia="Calibri" w:hAnsi="Times New Roman" w:cs="Times New Roman"/>
          <w:kern w:val="0"/>
          <w:sz w:val="24"/>
          <w:szCs w:val="24"/>
          <w:lang w:bidi="ar-SA"/>
          <w14:ligatures w14:val="none"/>
        </w:rPr>
        <w:t xml:space="preserve"> control)</w:t>
      </w:r>
      <w:r w:rsidR="00486BDB" w:rsidRPr="00037593">
        <w:rPr>
          <w:rFonts w:ascii="Times New Roman" w:eastAsia="Calibri" w:hAnsi="Times New Roman" w:cs="Times New Roman"/>
          <w:kern w:val="0"/>
          <w:sz w:val="24"/>
          <w:szCs w:val="24"/>
          <w:vertAlign w:val="superscript"/>
          <w:lang w:bidi="ar-SA"/>
          <w14:ligatures w14:val="none"/>
        </w:rPr>
        <w:t>28</w:t>
      </w:r>
      <w:r w:rsidR="00486BDB" w:rsidRPr="00037593">
        <w:rPr>
          <w:rFonts w:ascii="Times New Roman" w:eastAsia="Calibri" w:hAnsi="Times New Roman" w:cs="Times New Roman"/>
          <w:kern w:val="0"/>
          <w:sz w:val="24"/>
          <w:szCs w:val="24"/>
          <w:lang w:bidi="ar-SA"/>
          <w14:ligatures w14:val="none"/>
        </w:rPr>
        <w:t>.</w:t>
      </w:r>
      <w:r w:rsidRPr="00037593">
        <w:rPr>
          <w:rFonts w:ascii="Times New Roman" w:eastAsia="Calibri" w:hAnsi="Times New Roman" w:cs="Times New Roman"/>
          <w:kern w:val="0"/>
          <w:sz w:val="24"/>
          <w:szCs w:val="24"/>
          <w:lang w:bidi="ar-SA"/>
          <w14:ligatures w14:val="none"/>
        </w:rPr>
        <w:t xml:space="preserve"> This categorization facilitated the evaluation of diabetes management among the study population.</w:t>
      </w:r>
    </w:p>
    <w:p w14:paraId="5339E5D2" w14:textId="77777777"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p>
    <w:p w14:paraId="3BF7F8F0" w14:textId="7C9DF7D7" w:rsidR="00AC1256" w:rsidRPr="00892798"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 xml:space="preserve">Hypertension </w:t>
      </w:r>
    </w:p>
    <w:p w14:paraId="3C968E38" w14:textId="432A7B17"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lastRenderedPageBreak/>
        <w:t>Blood pressure was measured using a standardized sphygmomanometer (Model EHL DIAMOND-BPMR 120, manufactured by Diamond Pvt Ltd., India) employing the auscultation method. Hypertension was identified based on the use of prescribed antihypertensive medications or if blood pressure readings exceeded 140/90 mmHg, in accordance with JNC VIII criteria.</w:t>
      </w:r>
      <w:r w:rsidR="00063DBD" w:rsidRPr="00037593">
        <w:rPr>
          <w:rFonts w:ascii="Times New Roman" w:eastAsia="Calibri" w:hAnsi="Times New Roman" w:cs="Times New Roman"/>
          <w:kern w:val="0"/>
          <w:sz w:val="24"/>
          <w:szCs w:val="24"/>
          <w:lang w:bidi="ar-SA"/>
          <w14:ligatures w14:val="none"/>
        </w:rPr>
        <w:t xml:space="preserve"> </w:t>
      </w:r>
      <w:r w:rsidRPr="00037593">
        <w:rPr>
          <w:rFonts w:ascii="Times New Roman" w:eastAsia="Calibri" w:hAnsi="Times New Roman" w:cs="Times New Roman"/>
          <w:kern w:val="0"/>
          <w:sz w:val="24"/>
          <w:szCs w:val="24"/>
          <w:lang w:bidi="ar-SA"/>
          <w14:ligatures w14:val="none"/>
        </w:rPr>
        <w:t>The blood pressure goal for diabetic patients was defined as per the JNC VIII recommendations, with target levels set at &lt; 140 mmHg for systolic blood pressure (SBP) and &lt; 90 mmHg for diastolic blood pressure (DBP). This ensured the classification and management of hypertension aligned with the latest clinical guidelines</w:t>
      </w:r>
      <w:r w:rsidRPr="00037593">
        <w:rPr>
          <w:rFonts w:ascii="Times New Roman" w:eastAsia="Calibri" w:hAnsi="Times New Roman" w:cs="Times New Roman"/>
          <w:kern w:val="0"/>
          <w:sz w:val="24"/>
          <w:szCs w:val="24"/>
          <w:vertAlign w:val="superscript"/>
          <w:lang w:bidi="ar-SA"/>
          <w14:ligatures w14:val="none"/>
        </w:rPr>
        <w:t>31</w:t>
      </w:r>
      <w:r w:rsidRPr="00037593">
        <w:rPr>
          <w:rFonts w:ascii="Times New Roman" w:eastAsia="Calibri" w:hAnsi="Times New Roman" w:cs="Times New Roman"/>
          <w:kern w:val="0"/>
          <w:sz w:val="24"/>
          <w:szCs w:val="24"/>
          <w:lang w:bidi="ar-SA"/>
          <w14:ligatures w14:val="none"/>
        </w:rPr>
        <w:t>.</w:t>
      </w:r>
    </w:p>
    <w:p w14:paraId="37235CB9" w14:textId="77777777" w:rsidR="00DF76EF" w:rsidRPr="00037593" w:rsidRDefault="00DF76EF" w:rsidP="00037D6A">
      <w:pPr>
        <w:spacing w:after="0" w:line="276" w:lineRule="auto"/>
        <w:jc w:val="both"/>
        <w:rPr>
          <w:rFonts w:ascii="Times New Roman" w:eastAsia="Calibri" w:hAnsi="Times New Roman" w:cs="Times New Roman"/>
          <w:kern w:val="0"/>
          <w:sz w:val="24"/>
          <w:szCs w:val="24"/>
          <w:lang w:val="en-US" w:bidi="ar-SA"/>
          <w14:ligatures w14:val="none"/>
        </w:rPr>
      </w:pPr>
    </w:p>
    <w:p w14:paraId="6DA762CF" w14:textId="611691F0" w:rsidR="00AC1256" w:rsidRPr="00892798"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 xml:space="preserve">Statistical </w:t>
      </w:r>
      <w:r w:rsidR="00892798" w:rsidRPr="00892798">
        <w:rPr>
          <w:rFonts w:ascii="Times New Roman" w:eastAsia="Calibri" w:hAnsi="Times New Roman" w:cs="Times New Roman"/>
          <w:b/>
          <w:bCs/>
          <w:kern w:val="0"/>
          <w:sz w:val="24"/>
          <w:szCs w:val="24"/>
          <w:lang w:val="en-US" w:bidi="ar-SA"/>
          <w14:ligatures w14:val="none"/>
        </w:rPr>
        <w:t>Analysis</w:t>
      </w:r>
    </w:p>
    <w:p w14:paraId="091E1FE6" w14:textId="77777777" w:rsidR="00832FC3" w:rsidRPr="00037593" w:rsidRDefault="00832FC3"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bidi="ar-SA"/>
          <w14:ligatures w14:val="none"/>
        </w:rPr>
        <w:t xml:space="preserve">Data were </w:t>
      </w:r>
      <w:proofErr w:type="spellStart"/>
      <w:r w:rsidRPr="00037593">
        <w:rPr>
          <w:rFonts w:ascii="Times New Roman" w:eastAsia="Calibri" w:hAnsi="Times New Roman" w:cs="Times New Roman"/>
          <w:kern w:val="0"/>
          <w:sz w:val="24"/>
          <w:szCs w:val="24"/>
          <w:lang w:bidi="ar-SA"/>
          <w14:ligatures w14:val="none"/>
        </w:rPr>
        <w:t>analyzed</w:t>
      </w:r>
      <w:proofErr w:type="spellEnd"/>
      <w:r w:rsidRPr="00037593">
        <w:rPr>
          <w:rFonts w:ascii="Times New Roman" w:eastAsia="Calibri" w:hAnsi="Times New Roman" w:cs="Times New Roman"/>
          <w:kern w:val="0"/>
          <w:sz w:val="24"/>
          <w:szCs w:val="24"/>
          <w:lang w:bidi="ar-SA"/>
          <w14:ligatures w14:val="none"/>
        </w:rPr>
        <w:t xml:space="preserve"> using SPSS version 20.0 with both descriptive and inferential statistical methods. </w:t>
      </w:r>
      <w:r w:rsidR="00AC1256" w:rsidRPr="00037593">
        <w:rPr>
          <w:rFonts w:ascii="Times New Roman" w:eastAsia="Calibri" w:hAnsi="Times New Roman" w:cs="Times New Roman"/>
          <w:kern w:val="0"/>
          <w:sz w:val="24"/>
          <w:szCs w:val="24"/>
          <w:lang w:val="en-US" w:bidi="ar-SA"/>
          <w14:ligatures w14:val="none"/>
        </w:rPr>
        <w:t xml:space="preserve">For the general features of patients, a univariate analysis in which mean and standard error of the mean was calculated for each metric variables and frequency and percentages were calculated for non-metric variables. </w:t>
      </w:r>
    </w:p>
    <w:p w14:paraId="15FD7003" w14:textId="77923B13" w:rsidR="00442BB4" w:rsidRPr="00037593" w:rsidRDefault="00832FC3" w:rsidP="00037D6A">
      <w:pPr>
        <w:spacing w:after="0" w:line="276"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t>A non-parametric fisher exact test was applied to check the</w:t>
      </w:r>
      <w:r w:rsidRPr="00037593">
        <w:rPr>
          <w:rFonts w:ascii="Times New Roman" w:hAnsi="Times New Roman" w:cs="Times New Roman"/>
        </w:rPr>
        <w:t xml:space="preserve"> </w:t>
      </w:r>
      <w:r w:rsidRPr="00037593">
        <w:rPr>
          <w:rFonts w:ascii="Times New Roman" w:eastAsia="Calibri" w:hAnsi="Times New Roman" w:cs="Times New Roman"/>
          <w:kern w:val="0"/>
          <w:sz w:val="24"/>
          <w:szCs w:val="24"/>
          <w:lang w:bidi="ar-SA"/>
          <w14:ligatures w14:val="none"/>
        </w:rPr>
        <w:t>association between two non-metric categorical variables.</w:t>
      </w:r>
      <w:r w:rsidR="00E36580" w:rsidRPr="00037593">
        <w:rPr>
          <w:rFonts w:ascii="Times New Roman" w:eastAsia="Calibri" w:hAnsi="Times New Roman" w:cs="Times New Roman"/>
          <w:kern w:val="0"/>
          <w:sz w:val="24"/>
          <w:szCs w:val="24"/>
          <w:lang w:bidi="ar-SA"/>
          <w14:ligatures w14:val="none"/>
        </w:rPr>
        <w:t xml:space="preserve"> Additionally,</w:t>
      </w:r>
      <w:r w:rsidR="00272D59" w:rsidRPr="00037593">
        <w:rPr>
          <w:rFonts w:ascii="Times New Roman" w:eastAsia="Calibri" w:hAnsi="Times New Roman" w:cs="Times New Roman"/>
          <w:kern w:val="0"/>
          <w:sz w:val="24"/>
          <w:szCs w:val="24"/>
          <w:lang w:bidi="ar-SA"/>
          <w14:ligatures w14:val="none"/>
        </w:rPr>
        <w:t xml:space="preserve"> </w:t>
      </w:r>
      <w:r w:rsidR="00442BB4" w:rsidRPr="00037593">
        <w:rPr>
          <w:rFonts w:ascii="Times New Roman" w:eastAsia="Calibri" w:hAnsi="Times New Roman" w:cs="Times New Roman"/>
          <w:kern w:val="0"/>
          <w:sz w:val="24"/>
          <w:szCs w:val="24"/>
          <w:lang w:bidi="ar-SA"/>
          <w14:ligatures w14:val="none"/>
        </w:rPr>
        <w:t>Somers’</w:t>
      </w:r>
      <w:r w:rsidR="00442BB4" w:rsidRPr="00037593">
        <w:rPr>
          <w:rFonts w:ascii="Times New Roman" w:eastAsia="Calibri" w:hAnsi="Times New Roman" w:cs="Times New Roman"/>
          <w:i/>
          <w:iCs/>
          <w:kern w:val="0"/>
          <w:sz w:val="24"/>
          <w:szCs w:val="24"/>
          <w:lang w:bidi="ar-SA"/>
          <w14:ligatures w14:val="none"/>
        </w:rPr>
        <w:t xml:space="preserve"> d</w:t>
      </w:r>
      <w:r w:rsidR="00442BB4" w:rsidRPr="00037593">
        <w:rPr>
          <w:rFonts w:ascii="Times New Roman" w:eastAsia="Calibri" w:hAnsi="Times New Roman" w:cs="Times New Roman"/>
          <w:kern w:val="0"/>
          <w:sz w:val="24"/>
          <w:szCs w:val="24"/>
          <w:lang w:bidi="ar-SA"/>
          <w14:ligatures w14:val="none"/>
        </w:rPr>
        <w:t xml:space="preserve"> was computed as an index of effect size for nominal and ordinal data in Fisher’s exact test of association. This methodology provided a comprehensive analysis of the data, ensuring the robustness of findings.</w:t>
      </w:r>
    </w:p>
    <w:p w14:paraId="014FE3C4" w14:textId="77777777" w:rsidR="00832FC3" w:rsidRPr="00037593" w:rsidRDefault="00832FC3" w:rsidP="00037D6A">
      <w:pPr>
        <w:spacing w:after="0" w:line="276" w:lineRule="auto"/>
        <w:jc w:val="both"/>
        <w:rPr>
          <w:rFonts w:ascii="Times New Roman" w:eastAsia="Calibri" w:hAnsi="Times New Roman" w:cs="Times New Roman"/>
          <w:kern w:val="0"/>
          <w:sz w:val="24"/>
          <w:szCs w:val="24"/>
          <w:lang w:val="en-US" w:bidi="ar-SA"/>
          <w14:ligatures w14:val="none"/>
        </w:rPr>
      </w:pPr>
    </w:p>
    <w:p w14:paraId="53B660D3" w14:textId="77777777" w:rsidR="00AC1256" w:rsidRPr="00892798"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r w:rsidRPr="00892798">
        <w:rPr>
          <w:rFonts w:ascii="Times New Roman" w:eastAsia="Calibri" w:hAnsi="Times New Roman" w:cs="Times New Roman"/>
          <w:b/>
          <w:bCs/>
          <w:kern w:val="0"/>
          <w:sz w:val="24"/>
          <w:szCs w:val="24"/>
          <w:lang w:val="en-US" w:bidi="ar-SA"/>
          <w14:ligatures w14:val="none"/>
        </w:rPr>
        <w:t>Ethical Approval</w:t>
      </w:r>
    </w:p>
    <w:p w14:paraId="1727FD68" w14:textId="4FE4EE83" w:rsidR="00AC1256" w:rsidRPr="00037593" w:rsidRDefault="007F47A9" w:rsidP="00037D6A">
      <w:pPr>
        <w:spacing w:after="0" w:line="276" w:lineRule="auto"/>
        <w:jc w:val="both"/>
        <w:rPr>
          <w:rFonts w:ascii="Times New Roman" w:eastAsia="Calibri" w:hAnsi="Times New Roman" w:cs="Times New Roman"/>
          <w:kern w:val="0"/>
          <w:sz w:val="20"/>
          <w:lang w:val="en-US" w:bidi="ar-SA"/>
          <w14:ligatures w14:val="none"/>
        </w:rPr>
      </w:pPr>
      <w:r w:rsidRPr="00037593">
        <w:rPr>
          <w:rFonts w:ascii="Times New Roman" w:eastAsia="Calibri" w:hAnsi="Times New Roman" w:cs="Times New Roman"/>
          <w:kern w:val="0"/>
          <w:sz w:val="24"/>
          <w:szCs w:val="24"/>
          <w:lang w:bidi="ar-SA"/>
          <w14:ligatures w14:val="none"/>
        </w:rPr>
        <w:t>The study received ethical clearance from the Institutional Ethics Committee of Jawaharlal Nehru Medical College and Hospital, Aligarh Muslim University (Approval No. D. No. 367/FM, dated 14 March 2018).</w:t>
      </w:r>
    </w:p>
    <w:p w14:paraId="0A0D0C74" w14:textId="77777777" w:rsidR="007E4204" w:rsidRPr="00037593" w:rsidRDefault="007E4204"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2A377806" w14:textId="5A4314C2" w:rsidR="00D30F72" w:rsidRPr="00892798" w:rsidRDefault="00892798" w:rsidP="00037D6A">
      <w:pPr>
        <w:spacing w:after="0" w:line="276" w:lineRule="auto"/>
        <w:jc w:val="both"/>
        <w:rPr>
          <w:rFonts w:ascii="Times New Roman" w:eastAsia="Calibri" w:hAnsi="Times New Roman" w:cs="Times New Roman"/>
          <w:b/>
          <w:bCs/>
          <w:kern w:val="0"/>
          <w:sz w:val="28"/>
          <w:szCs w:val="28"/>
          <w:lang w:val="en-US" w:bidi="ar-SA"/>
          <w14:ligatures w14:val="none"/>
        </w:rPr>
      </w:pPr>
      <w:r w:rsidRPr="00892798">
        <w:rPr>
          <w:rFonts w:ascii="Times New Roman" w:eastAsia="Calibri" w:hAnsi="Times New Roman" w:cs="Times New Roman"/>
          <w:b/>
          <w:bCs/>
          <w:kern w:val="0"/>
          <w:sz w:val="28"/>
          <w:szCs w:val="28"/>
          <w:lang w:val="en-US" w:bidi="ar-SA"/>
          <w14:ligatures w14:val="none"/>
        </w:rPr>
        <w:t>Results and Discussion</w:t>
      </w:r>
    </w:p>
    <w:p w14:paraId="49446F3B" w14:textId="77777777" w:rsidR="00D30F72" w:rsidRPr="00037593" w:rsidRDefault="00D30F72" w:rsidP="00037D6A">
      <w:pPr>
        <w:spacing w:after="0" w:line="276" w:lineRule="auto"/>
        <w:jc w:val="both"/>
        <w:rPr>
          <w:rFonts w:ascii="Times New Roman" w:eastAsia="Calibri" w:hAnsi="Times New Roman" w:cs="Times New Roman"/>
          <w:b/>
          <w:bCs/>
          <w:kern w:val="0"/>
          <w:sz w:val="20"/>
          <w:lang w:val="en-US" w:bidi="ar-SA"/>
          <w14:ligatures w14:val="none"/>
        </w:rPr>
      </w:pPr>
    </w:p>
    <w:p w14:paraId="188A0881" w14:textId="39DE4916" w:rsidR="005D5245" w:rsidRPr="00037593" w:rsidRDefault="005D5245"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As shown in Table 1, </w:t>
      </w:r>
      <w:bookmarkStart w:id="1" w:name="_Hlk184896272"/>
      <w:r w:rsidRPr="00037593">
        <w:rPr>
          <w:rFonts w:ascii="Times New Roman" w:eastAsia="Calibri" w:hAnsi="Times New Roman" w:cs="Times New Roman"/>
          <w:kern w:val="0"/>
          <w:sz w:val="24"/>
          <w:szCs w:val="24"/>
          <w:lang w:val="en-US" w:bidi="ar-SA"/>
          <w14:ligatures w14:val="none"/>
        </w:rPr>
        <w:t xml:space="preserve">among the 320 samples, 31.3% of patients had T2DM, </w:t>
      </w:r>
      <w:r w:rsidR="00424005" w:rsidRPr="00037593">
        <w:rPr>
          <w:rFonts w:ascii="Times New Roman" w:eastAsia="Calibri" w:hAnsi="Times New Roman" w:cs="Times New Roman"/>
          <w:kern w:val="0"/>
          <w:sz w:val="24"/>
          <w:szCs w:val="24"/>
          <w:lang w:val="en-US" w:bidi="ar-SA"/>
          <w14:ligatures w14:val="none"/>
        </w:rPr>
        <w:t>50.0% had HTN and</w:t>
      </w:r>
      <w:r w:rsidRPr="00037593">
        <w:rPr>
          <w:rFonts w:ascii="Times New Roman" w:eastAsia="Calibri" w:hAnsi="Times New Roman" w:cs="Times New Roman"/>
          <w:kern w:val="0"/>
          <w:sz w:val="24"/>
          <w:szCs w:val="24"/>
          <w:lang w:val="en-US" w:bidi="ar-SA"/>
          <w14:ligatures w14:val="none"/>
        </w:rPr>
        <w:t xml:space="preserve"> 19% showed co-prevalence of diabetes and hypertension (T2DM*HTN).</w:t>
      </w:r>
    </w:p>
    <w:bookmarkEnd w:id="1"/>
    <w:p w14:paraId="5F4E3C12" w14:textId="7C185CDE" w:rsidR="005D5245" w:rsidRPr="00037593" w:rsidRDefault="005D5245" w:rsidP="00037D6A">
      <w:pPr>
        <w:spacing w:after="0" w:line="276"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The co-prevalence rate in Aligarh city (19%) is notably lower compared to other national studies: Gujarat (47%)</w:t>
      </w:r>
      <w:r w:rsidRPr="00037593">
        <w:rPr>
          <w:rFonts w:ascii="Times New Roman" w:eastAsia="Calibri" w:hAnsi="Times New Roman" w:cs="Times New Roman"/>
          <w:kern w:val="0"/>
          <w:sz w:val="24"/>
          <w:szCs w:val="24"/>
          <w:vertAlign w:val="superscript"/>
          <w:lang w:val="en-US" w:bidi="ar-SA"/>
          <w14:ligatures w14:val="none"/>
        </w:rPr>
        <w:t>32</w:t>
      </w:r>
      <w:r w:rsidRPr="00037593">
        <w:rPr>
          <w:rFonts w:ascii="Times New Roman" w:eastAsia="Calibri" w:hAnsi="Times New Roman" w:cs="Times New Roman"/>
          <w:kern w:val="0"/>
          <w:sz w:val="24"/>
          <w:szCs w:val="24"/>
          <w:lang w:val="en-US" w:bidi="ar-SA"/>
          <w14:ligatures w14:val="none"/>
        </w:rPr>
        <w:t>, Kerala (30%)</w:t>
      </w:r>
      <w:r w:rsidRPr="00037593">
        <w:rPr>
          <w:rFonts w:ascii="Times New Roman" w:eastAsia="Calibri" w:hAnsi="Times New Roman" w:cs="Times New Roman"/>
          <w:kern w:val="0"/>
          <w:sz w:val="24"/>
          <w:szCs w:val="24"/>
          <w:vertAlign w:val="superscript"/>
          <w:lang w:val="en-US" w:bidi="ar-SA"/>
          <w14:ligatures w14:val="none"/>
        </w:rPr>
        <w:t>33</w:t>
      </w:r>
      <w:r w:rsidRPr="00037593">
        <w:rPr>
          <w:rFonts w:ascii="Times New Roman" w:eastAsia="Calibri" w:hAnsi="Times New Roman" w:cs="Times New Roman"/>
          <w:kern w:val="0"/>
          <w:sz w:val="24"/>
          <w:szCs w:val="24"/>
          <w:lang w:val="en-US" w:bidi="ar-SA"/>
          <w14:ligatures w14:val="none"/>
        </w:rPr>
        <w:t>, and Tamil Nadu (61.4%)</w:t>
      </w:r>
      <w:r w:rsidRPr="00037593">
        <w:rPr>
          <w:rFonts w:ascii="Times New Roman" w:eastAsia="Calibri" w:hAnsi="Times New Roman" w:cs="Times New Roman"/>
          <w:kern w:val="0"/>
          <w:sz w:val="24"/>
          <w:szCs w:val="24"/>
          <w:vertAlign w:val="superscript"/>
          <w:lang w:val="en-US" w:bidi="ar-SA"/>
          <w14:ligatures w14:val="none"/>
        </w:rPr>
        <w:t>34</w:t>
      </w:r>
      <w:r w:rsidRPr="00037593">
        <w:rPr>
          <w:rFonts w:ascii="Times New Roman" w:eastAsia="Calibri" w:hAnsi="Times New Roman" w:cs="Times New Roman"/>
          <w:kern w:val="0"/>
          <w:sz w:val="24"/>
          <w:szCs w:val="24"/>
          <w:lang w:val="en-US" w:bidi="ar-SA"/>
          <w14:ligatures w14:val="none"/>
        </w:rPr>
        <w:t>. International studies report even more variation in co-prevalence rates, with Nigeria ranging from 14% to 54.2%</w:t>
      </w:r>
      <w:r w:rsidRPr="00037593">
        <w:rPr>
          <w:rFonts w:ascii="Times New Roman" w:eastAsia="Calibri" w:hAnsi="Times New Roman" w:cs="Times New Roman"/>
          <w:kern w:val="0"/>
          <w:sz w:val="24"/>
          <w:szCs w:val="24"/>
          <w:vertAlign w:val="superscript"/>
          <w:lang w:val="en-US" w:bidi="ar-SA"/>
          <w14:ligatures w14:val="none"/>
        </w:rPr>
        <w:t>35</w:t>
      </w:r>
      <w:r w:rsidRPr="00037593">
        <w:rPr>
          <w:rFonts w:ascii="Times New Roman" w:eastAsia="MS Gothic" w:hAnsi="Times New Roman" w:cs="Times New Roman"/>
          <w:kern w:val="0"/>
          <w:sz w:val="24"/>
          <w:szCs w:val="24"/>
          <w:lang w:val="en-US" w:bidi="ar-SA"/>
          <w14:ligatures w14:val="none"/>
        </w:rPr>
        <w:t>,</w:t>
      </w:r>
      <w:r w:rsidRPr="00037593">
        <w:rPr>
          <w:rFonts w:ascii="Times New Roman" w:eastAsia="Calibri" w:hAnsi="Times New Roman" w:cs="Times New Roman"/>
          <w:kern w:val="0"/>
          <w:sz w:val="24"/>
          <w:szCs w:val="24"/>
          <w:vertAlign w:val="superscript"/>
          <w:lang w:val="en-US" w:bidi="ar-SA"/>
          <w14:ligatures w14:val="none"/>
        </w:rPr>
        <w:t>36</w:t>
      </w:r>
      <w:r w:rsidRPr="00037593">
        <w:rPr>
          <w:rFonts w:ascii="Times New Roman" w:eastAsia="Calibri" w:hAnsi="Times New Roman" w:cs="Times New Roman"/>
          <w:kern w:val="0"/>
          <w:sz w:val="24"/>
          <w:szCs w:val="24"/>
          <w:lang w:val="en-US" w:bidi="ar-SA"/>
          <w14:ligatures w14:val="none"/>
        </w:rPr>
        <w:t>, Japan at 62%</w:t>
      </w:r>
      <w:r w:rsidRPr="00037593">
        <w:rPr>
          <w:rFonts w:ascii="Times New Roman" w:eastAsia="Calibri" w:hAnsi="Times New Roman" w:cs="Times New Roman"/>
          <w:kern w:val="0"/>
          <w:sz w:val="24"/>
          <w:szCs w:val="24"/>
          <w:vertAlign w:val="superscript"/>
          <w:lang w:val="en-US" w:bidi="ar-SA"/>
          <w14:ligatures w14:val="none"/>
        </w:rPr>
        <w:t>37</w:t>
      </w:r>
      <w:r w:rsidRPr="00037593">
        <w:rPr>
          <w:rFonts w:ascii="Times New Roman" w:eastAsia="Calibri" w:hAnsi="Times New Roman" w:cs="Times New Roman"/>
          <w:kern w:val="0"/>
          <w:sz w:val="24"/>
          <w:szCs w:val="24"/>
          <w:lang w:val="en-US" w:bidi="ar-SA"/>
          <w14:ligatures w14:val="none"/>
        </w:rPr>
        <w:t>, Morocco and Iran at 70.4%</w:t>
      </w:r>
      <w:r w:rsidRPr="00037593">
        <w:rPr>
          <w:rFonts w:ascii="Times New Roman" w:eastAsia="Calibri" w:hAnsi="Times New Roman" w:cs="Times New Roman"/>
          <w:kern w:val="0"/>
          <w:sz w:val="24"/>
          <w:szCs w:val="24"/>
          <w:vertAlign w:val="superscript"/>
          <w:lang w:val="en-US" w:bidi="ar-SA"/>
          <w14:ligatures w14:val="none"/>
        </w:rPr>
        <w:t>38</w:t>
      </w:r>
      <w:r w:rsidRPr="00037593">
        <w:rPr>
          <w:rFonts w:ascii="Times New Roman" w:eastAsia="MS Gothic" w:hAnsi="Times New Roman" w:cs="Times New Roman"/>
          <w:kern w:val="0"/>
          <w:sz w:val="24"/>
          <w:szCs w:val="24"/>
          <w:vertAlign w:val="superscript"/>
          <w:lang w:val="en-US" w:bidi="ar-SA"/>
          <w14:ligatures w14:val="none"/>
        </w:rPr>
        <w:t>,</w:t>
      </w:r>
      <w:r w:rsidRPr="00037593">
        <w:rPr>
          <w:rFonts w:ascii="Times New Roman" w:eastAsia="Calibri" w:hAnsi="Times New Roman" w:cs="Times New Roman"/>
          <w:kern w:val="0"/>
          <w:sz w:val="24"/>
          <w:szCs w:val="24"/>
          <w:vertAlign w:val="superscript"/>
          <w:lang w:val="en-US" w:bidi="ar-SA"/>
          <w14:ligatures w14:val="none"/>
        </w:rPr>
        <w:t>39</w:t>
      </w:r>
      <w:r w:rsidRPr="00037593">
        <w:rPr>
          <w:rFonts w:ascii="Times New Roman" w:eastAsia="Calibri" w:hAnsi="Times New Roman" w:cs="Times New Roman"/>
          <w:kern w:val="0"/>
          <w:sz w:val="24"/>
          <w:szCs w:val="24"/>
          <w:lang w:val="en-US" w:bidi="ar-SA"/>
          <w14:ligatures w14:val="none"/>
        </w:rPr>
        <w:t>, and Northeast Ethiopia at 43.3%</w:t>
      </w:r>
      <w:r w:rsidRPr="00037593">
        <w:rPr>
          <w:rFonts w:ascii="Times New Roman" w:eastAsia="Calibri" w:hAnsi="Times New Roman" w:cs="Times New Roman"/>
          <w:kern w:val="0"/>
          <w:sz w:val="24"/>
          <w:szCs w:val="24"/>
          <w:vertAlign w:val="superscript"/>
          <w:lang w:val="en-US" w:bidi="ar-SA"/>
          <w14:ligatures w14:val="none"/>
        </w:rPr>
        <w:t>40</w:t>
      </w:r>
      <w:r w:rsidRPr="00037593">
        <w:rPr>
          <w:rFonts w:ascii="Times New Roman" w:eastAsia="Calibri" w:hAnsi="Times New Roman" w:cs="Times New Roman"/>
          <w:kern w:val="0"/>
          <w:sz w:val="24"/>
          <w:szCs w:val="24"/>
          <w:lang w:val="en-US" w:bidi="ar-SA"/>
          <w14:ligatures w14:val="none"/>
        </w:rPr>
        <w:t>.</w:t>
      </w:r>
      <w:r w:rsidR="00037D6A" w:rsidRPr="00037593">
        <w:rPr>
          <w:rFonts w:ascii="Times New Roman" w:hAnsi="Times New Roman" w:cs="Times New Roman"/>
        </w:rPr>
        <w:t xml:space="preserve"> </w:t>
      </w:r>
      <w:r w:rsidR="00037D6A" w:rsidRPr="00037593">
        <w:rPr>
          <w:rFonts w:ascii="Times New Roman" w:eastAsia="Calibri" w:hAnsi="Times New Roman" w:cs="Times New Roman"/>
          <w:kern w:val="0"/>
          <w:sz w:val="24"/>
          <w:szCs w:val="24"/>
          <w:lang w:val="en-US" w:bidi="ar-SA"/>
          <w14:ligatures w14:val="none"/>
        </w:rPr>
        <w:t>The mean age of patients with T2DM was 47.6 ± 1.0 years, while those with T2DM*HTN had a higher mean age of 54.5 ± 1.1 years. A majority of the patients were female across both groups (T2DM: 60%; T2DM*HTN: 76.7%).</w:t>
      </w:r>
    </w:p>
    <w:p w14:paraId="4ADC23E9" w14:textId="77777777" w:rsidR="00037D6A" w:rsidRPr="00037593" w:rsidRDefault="00037D6A" w:rsidP="00037D6A">
      <w:pPr>
        <w:spacing w:after="0" w:line="276" w:lineRule="auto"/>
        <w:jc w:val="both"/>
        <w:rPr>
          <w:rFonts w:ascii="Times New Roman" w:eastAsia="Calibri" w:hAnsi="Times New Roman" w:cs="Times New Roman"/>
          <w:kern w:val="0"/>
          <w:sz w:val="24"/>
          <w:szCs w:val="24"/>
          <w:lang w:val="en-US" w:bidi="ar-SA"/>
          <w14:ligatures w14:val="none"/>
        </w:rPr>
      </w:pPr>
    </w:p>
    <w:p w14:paraId="14DC6B32" w14:textId="77777777" w:rsidR="001615FC" w:rsidRPr="00037593" w:rsidRDefault="001615FC" w:rsidP="00752E3F">
      <w:pPr>
        <w:spacing w:after="0" w:line="276" w:lineRule="auto"/>
        <w:rPr>
          <w:rFonts w:ascii="Times New Roman" w:eastAsia="Calibri" w:hAnsi="Times New Roman" w:cs="Times New Roman"/>
          <w:kern w:val="0"/>
          <w:sz w:val="24"/>
          <w:szCs w:val="24"/>
          <w:lang w:val="en-US" w:bidi="ar-SA"/>
          <w14:ligatures w14:val="none"/>
        </w:rPr>
      </w:pPr>
    </w:p>
    <w:p w14:paraId="7AAC7458" w14:textId="772BF415" w:rsidR="00AC1256" w:rsidRPr="00037593" w:rsidRDefault="00AC1256" w:rsidP="00752E3F">
      <w:pPr>
        <w:spacing w:after="0" w:line="276" w:lineRule="auto"/>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b/>
          <w:bCs/>
          <w:kern w:val="0"/>
          <w:sz w:val="20"/>
          <w:lang w:val="en-US" w:bidi="ar-SA"/>
          <w14:ligatures w14:val="none"/>
        </w:rPr>
        <w:t>T</w:t>
      </w:r>
      <w:r w:rsidRPr="00037593">
        <w:rPr>
          <w:rFonts w:ascii="Times New Roman" w:eastAsia="Calibri" w:hAnsi="Times New Roman" w:cs="Times New Roman"/>
          <w:b/>
          <w:bCs/>
          <w:kern w:val="0"/>
          <w:sz w:val="24"/>
          <w:szCs w:val="24"/>
          <w:lang w:val="en-US" w:bidi="ar-SA"/>
          <w14:ligatures w14:val="none"/>
        </w:rPr>
        <w:t xml:space="preserve">able </w:t>
      </w:r>
      <w:r w:rsidRPr="00037593">
        <w:rPr>
          <w:rFonts w:ascii="Times New Roman" w:eastAsia="Calibri" w:hAnsi="Times New Roman" w:cs="Times New Roman"/>
          <w:b/>
          <w:bCs/>
          <w:kern w:val="0"/>
          <w:sz w:val="24"/>
          <w:szCs w:val="24"/>
          <w:lang w:val="en-US" w:bidi="ar-SA"/>
          <w14:ligatures w14:val="none"/>
        </w:rPr>
        <w:fldChar w:fldCharType="begin"/>
      </w:r>
      <w:r w:rsidRPr="00037593">
        <w:rPr>
          <w:rFonts w:ascii="Times New Roman" w:eastAsia="Calibri" w:hAnsi="Times New Roman" w:cs="Times New Roman"/>
          <w:b/>
          <w:bCs/>
          <w:kern w:val="0"/>
          <w:sz w:val="24"/>
          <w:szCs w:val="24"/>
          <w:lang w:val="en-US" w:bidi="ar-SA"/>
          <w14:ligatures w14:val="none"/>
        </w:rPr>
        <w:instrText xml:space="preserve"> SEQ Table \* ARABIC </w:instrText>
      </w:r>
      <w:r w:rsidRPr="00037593">
        <w:rPr>
          <w:rFonts w:ascii="Times New Roman" w:eastAsia="Calibri" w:hAnsi="Times New Roman" w:cs="Times New Roman"/>
          <w:b/>
          <w:bCs/>
          <w:kern w:val="0"/>
          <w:sz w:val="24"/>
          <w:szCs w:val="24"/>
          <w:lang w:val="en-US" w:bidi="ar-SA"/>
          <w14:ligatures w14:val="none"/>
        </w:rPr>
        <w:fldChar w:fldCharType="separate"/>
      </w:r>
      <w:r w:rsidR="00D80295">
        <w:rPr>
          <w:rFonts w:ascii="Times New Roman" w:eastAsia="Calibri" w:hAnsi="Times New Roman" w:cs="Times New Roman"/>
          <w:b/>
          <w:bCs/>
          <w:noProof/>
          <w:kern w:val="0"/>
          <w:sz w:val="24"/>
          <w:szCs w:val="24"/>
          <w:lang w:val="en-US" w:bidi="ar-SA"/>
          <w14:ligatures w14:val="none"/>
        </w:rPr>
        <w:t>1</w:t>
      </w:r>
      <w:r w:rsidRPr="00037593">
        <w:rPr>
          <w:rFonts w:ascii="Times New Roman" w:eastAsia="Calibri" w:hAnsi="Times New Roman" w:cs="Times New Roman"/>
          <w:b/>
          <w:bCs/>
          <w:kern w:val="0"/>
          <w:sz w:val="24"/>
          <w:szCs w:val="24"/>
          <w:lang w:val="en-US" w:bidi="ar-SA"/>
          <w14:ligatures w14:val="none"/>
        </w:rPr>
        <w:fldChar w:fldCharType="end"/>
      </w:r>
      <w:r w:rsidRPr="00037593">
        <w:rPr>
          <w:rFonts w:ascii="Times New Roman" w:eastAsia="Calibri" w:hAnsi="Times New Roman" w:cs="Times New Roman"/>
          <w:b/>
          <w:bCs/>
          <w:kern w:val="0"/>
          <w:sz w:val="24"/>
          <w:szCs w:val="24"/>
          <w:lang w:val="en-US" w:bidi="ar-SA"/>
          <w14:ligatures w14:val="none"/>
        </w:rPr>
        <w:t>: Baseline Characteristics of the Patients (</w:t>
      </w:r>
      <w:r w:rsidRPr="00037593">
        <w:rPr>
          <w:rFonts w:ascii="Times New Roman" w:eastAsia="Calibri" w:hAnsi="Times New Roman" w:cs="Times New Roman"/>
          <w:b/>
          <w:bCs/>
          <w:i/>
          <w:iCs/>
          <w:kern w:val="0"/>
          <w:sz w:val="24"/>
          <w:szCs w:val="24"/>
          <w:lang w:val="en-US" w:bidi="ar-SA"/>
          <w14:ligatures w14:val="none"/>
        </w:rPr>
        <w:t>N</w:t>
      </w:r>
      <w:r w:rsidRPr="00037593">
        <w:rPr>
          <w:rFonts w:ascii="Times New Roman" w:eastAsia="Calibri" w:hAnsi="Times New Roman" w:cs="Times New Roman"/>
          <w:b/>
          <w:bCs/>
          <w:kern w:val="0"/>
          <w:sz w:val="24"/>
          <w:szCs w:val="24"/>
          <w:lang w:val="en-US" w:bidi="ar-SA"/>
          <w14:ligatures w14:val="none"/>
        </w:rPr>
        <w:t xml:space="preserve"> = 320)</w:t>
      </w:r>
    </w:p>
    <w:tbl>
      <w:tblPr>
        <w:tblW w:w="7797" w:type="dxa"/>
        <w:tblLook w:val="04A0" w:firstRow="1" w:lastRow="0" w:firstColumn="1" w:lastColumn="0" w:noHBand="0" w:noVBand="1"/>
      </w:tblPr>
      <w:tblGrid>
        <w:gridCol w:w="2835"/>
        <w:gridCol w:w="2127"/>
        <w:gridCol w:w="2835"/>
      </w:tblGrid>
      <w:tr w:rsidR="00752E3F" w:rsidRPr="00037593" w14:paraId="26DBA3DE" w14:textId="77777777" w:rsidTr="00F428DC">
        <w:trPr>
          <w:trHeight w:val="310"/>
        </w:trPr>
        <w:tc>
          <w:tcPr>
            <w:tcW w:w="2835" w:type="dxa"/>
            <w:tcBorders>
              <w:top w:val="single" w:sz="12" w:space="0" w:color="auto"/>
              <w:left w:val="nil"/>
              <w:bottom w:val="single" w:sz="12" w:space="0" w:color="auto"/>
              <w:right w:val="nil"/>
            </w:tcBorders>
            <w:shd w:val="clear" w:color="auto" w:fill="auto"/>
            <w:noWrap/>
            <w:vAlign w:val="center"/>
            <w:hideMark/>
          </w:tcPr>
          <w:p w14:paraId="55DB21D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Parameters</w:t>
            </w:r>
          </w:p>
        </w:tc>
        <w:tc>
          <w:tcPr>
            <w:tcW w:w="2127" w:type="dxa"/>
            <w:tcBorders>
              <w:top w:val="single" w:sz="12" w:space="0" w:color="auto"/>
              <w:left w:val="nil"/>
              <w:bottom w:val="single" w:sz="12" w:space="0" w:color="auto"/>
              <w:right w:val="nil"/>
            </w:tcBorders>
            <w:shd w:val="clear" w:color="auto" w:fill="auto"/>
            <w:noWrap/>
            <w:vAlign w:val="center"/>
            <w:hideMark/>
          </w:tcPr>
          <w:p w14:paraId="52ADED6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T2DM (</w:t>
            </w:r>
            <w:r w:rsidRPr="00037593">
              <w:rPr>
                <w:rFonts w:ascii="Times New Roman" w:eastAsia="Times New Roman" w:hAnsi="Times New Roman" w:cs="Times New Roman"/>
                <w:i/>
                <w:iCs/>
                <w:kern w:val="0"/>
                <w:szCs w:val="22"/>
                <w:lang w:val="en-US" w:eastAsia="en-IN"/>
                <w14:ligatures w14:val="none"/>
              </w:rPr>
              <w:t>n</w:t>
            </w:r>
            <w:r w:rsidRPr="00037593">
              <w:rPr>
                <w:rFonts w:ascii="Times New Roman" w:eastAsia="Times New Roman" w:hAnsi="Times New Roman" w:cs="Times New Roman"/>
                <w:kern w:val="0"/>
                <w:szCs w:val="22"/>
                <w:lang w:val="en-US" w:eastAsia="en-IN"/>
                <w14:ligatures w14:val="none"/>
              </w:rPr>
              <w:t xml:space="preserve"> = 100)</w:t>
            </w:r>
          </w:p>
        </w:tc>
        <w:tc>
          <w:tcPr>
            <w:tcW w:w="2835" w:type="dxa"/>
            <w:tcBorders>
              <w:top w:val="single" w:sz="12" w:space="0" w:color="auto"/>
              <w:left w:val="nil"/>
              <w:bottom w:val="single" w:sz="12" w:space="0" w:color="auto"/>
              <w:right w:val="nil"/>
            </w:tcBorders>
            <w:shd w:val="clear" w:color="auto" w:fill="auto"/>
            <w:noWrap/>
            <w:vAlign w:val="center"/>
            <w:hideMark/>
          </w:tcPr>
          <w:p w14:paraId="7578658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T2DM*HTN (</w:t>
            </w:r>
            <w:r w:rsidRPr="00037593">
              <w:rPr>
                <w:rFonts w:ascii="Times New Roman" w:eastAsia="Times New Roman" w:hAnsi="Times New Roman" w:cs="Times New Roman"/>
                <w:i/>
                <w:iCs/>
                <w:kern w:val="0"/>
                <w:szCs w:val="22"/>
                <w:lang w:val="en-US" w:eastAsia="en-IN"/>
                <w14:ligatures w14:val="none"/>
              </w:rPr>
              <w:t xml:space="preserve">n </w:t>
            </w:r>
            <w:r w:rsidRPr="00037593">
              <w:rPr>
                <w:rFonts w:ascii="Times New Roman" w:eastAsia="Times New Roman" w:hAnsi="Times New Roman" w:cs="Times New Roman"/>
                <w:kern w:val="0"/>
                <w:szCs w:val="22"/>
                <w:lang w:val="en-US" w:eastAsia="en-IN"/>
                <w14:ligatures w14:val="none"/>
              </w:rPr>
              <w:t>= 60)</w:t>
            </w:r>
          </w:p>
        </w:tc>
      </w:tr>
      <w:tr w:rsidR="00752E3F" w:rsidRPr="00037593" w14:paraId="65AD28E2" w14:textId="77777777" w:rsidTr="00F428DC">
        <w:trPr>
          <w:trHeight w:val="300"/>
        </w:trPr>
        <w:tc>
          <w:tcPr>
            <w:tcW w:w="2835" w:type="dxa"/>
            <w:tcBorders>
              <w:top w:val="nil"/>
              <w:left w:val="nil"/>
              <w:bottom w:val="nil"/>
              <w:right w:val="nil"/>
            </w:tcBorders>
            <w:shd w:val="clear" w:color="auto" w:fill="auto"/>
            <w:noWrap/>
            <w:vAlign w:val="center"/>
            <w:hideMark/>
          </w:tcPr>
          <w:p w14:paraId="532A3B9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Prevalence of diseases, </w:t>
            </w:r>
            <w:r w:rsidRPr="00037593">
              <w:rPr>
                <w:rFonts w:ascii="Times New Roman" w:eastAsia="Times New Roman" w:hAnsi="Times New Roman" w:cs="Times New Roman"/>
                <w:i/>
                <w:iCs/>
                <w:kern w:val="0"/>
                <w:szCs w:val="22"/>
                <w:lang w:val="en-US" w:eastAsia="en-IN"/>
                <w14:ligatures w14:val="none"/>
              </w:rPr>
              <w:t>% (n)</w:t>
            </w:r>
          </w:p>
        </w:tc>
        <w:tc>
          <w:tcPr>
            <w:tcW w:w="2127" w:type="dxa"/>
            <w:tcBorders>
              <w:top w:val="nil"/>
              <w:left w:val="nil"/>
              <w:bottom w:val="nil"/>
              <w:right w:val="nil"/>
            </w:tcBorders>
            <w:shd w:val="clear" w:color="auto" w:fill="auto"/>
            <w:noWrap/>
            <w:vAlign w:val="center"/>
            <w:hideMark/>
          </w:tcPr>
          <w:p w14:paraId="163BDAD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31.3 (100)</w:t>
            </w:r>
          </w:p>
        </w:tc>
        <w:tc>
          <w:tcPr>
            <w:tcW w:w="2835" w:type="dxa"/>
            <w:tcBorders>
              <w:top w:val="nil"/>
              <w:left w:val="nil"/>
              <w:bottom w:val="nil"/>
              <w:right w:val="nil"/>
            </w:tcBorders>
            <w:shd w:val="clear" w:color="auto" w:fill="auto"/>
            <w:noWrap/>
            <w:vAlign w:val="center"/>
            <w:hideMark/>
          </w:tcPr>
          <w:p w14:paraId="1146D6D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18.8 (60)</w:t>
            </w:r>
          </w:p>
        </w:tc>
      </w:tr>
      <w:tr w:rsidR="00752E3F" w:rsidRPr="00037593" w14:paraId="0D1B0C58" w14:textId="77777777" w:rsidTr="00F428DC">
        <w:trPr>
          <w:trHeight w:val="290"/>
        </w:trPr>
        <w:tc>
          <w:tcPr>
            <w:tcW w:w="2835" w:type="dxa"/>
            <w:tcBorders>
              <w:top w:val="nil"/>
              <w:left w:val="nil"/>
              <w:bottom w:val="nil"/>
              <w:right w:val="nil"/>
            </w:tcBorders>
            <w:shd w:val="clear" w:color="auto" w:fill="auto"/>
            <w:noWrap/>
            <w:vAlign w:val="center"/>
            <w:hideMark/>
          </w:tcPr>
          <w:p w14:paraId="3F064F1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lastRenderedPageBreak/>
              <w:t xml:space="preserve">Gender, </w:t>
            </w:r>
            <w:r w:rsidRPr="00037593">
              <w:rPr>
                <w:rFonts w:ascii="Times New Roman" w:eastAsia="Times New Roman" w:hAnsi="Times New Roman" w:cs="Times New Roman"/>
                <w:i/>
                <w:iCs/>
                <w:kern w:val="0"/>
                <w:szCs w:val="22"/>
                <w:lang w:val="en-US" w:eastAsia="en-IN"/>
                <w14:ligatures w14:val="none"/>
              </w:rPr>
              <w:t>% (n)</w:t>
            </w:r>
          </w:p>
        </w:tc>
        <w:tc>
          <w:tcPr>
            <w:tcW w:w="2127" w:type="dxa"/>
            <w:tcBorders>
              <w:top w:val="nil"/>
              <w:left w:val="nil"/>
              <w:bottom w:val="nil"/>
              <w:right w:val="nil"/>
            </w:tcBorders>
            <w:shd w:val="clear" w:color="auto" w:fill="auto"/>
            <w:noWrap/>
            <w:vAlign w:val="center"/>
            <w:hideMark/>
          </w:tcPr>
          <w:p w14:paraId="7014781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tcBorders>
              <w:top w:val="nil"/>
              <w:left w:val="nil"/>
              <w:bottom w:val="nil"/>
              <w:right w:val="nil"/>
            </w:tcBorders>
            <w:shd w:val="clear" w:color="auto" w:fill="auto"/>
            <w:noWrap/>
            <w:vAlign w:val="center"/>
            <w:hideMark/>
          </w:tcPr>
          <w:p w14:paraId="5C503C0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45AE1503" w14:textId="77777777" w:rsidTr="00F428DC">
        <w:trPr>
          <w:trHeight w:val="290"/>
        </w:trPr>
        <w:tc>
          <w:tcPr>
            <w:tcW w:w="2835" w:type="dxa"/>
            <w:tcBorders>
              <w:top w:val="nil"/>
              <w:left w:val="nil"/>
              <w:bottom w:val="nil"/>
              <w:right w:val="nil"/>
            </w:tcBorders>
            <w:shd w:val="clear" w:color="auto" w:fill="auto"/>
            <w:noWrap/>
            <w:vAlign w:val="center"/>
            <w:hideMark/>
          </w:tcPr>
          <w:p w14:paraId="61B549D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02DF581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40.0 (40); 60.0 (60)</w:t>
            </w:r>
          </w:p>
        </w:tc>
        <w:tc>
          <w:tcPr>
            <w:tcW w:w="2835" w:type="dxa"/>
            <w:tcBorders>
              <w:top w:val="nil"/>
              <w:left w:val="nil"/>
              <w:bottom w:val="nil"/>
              <w:right w:val="nil"/>
            </w:tcBorders>
            <w:shd w:val="clear" w:color="auto" w:fill="auto"/>
            <w:noWrap/>
            <w:vAlign w:val="center"/>
            <w:hideMark/>
          </w:tcPr>
          <w:p w14:paraId="4D44062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23.3 (14): 76.7 (46)</w:t>
            </w:r>
          </w:p>
        </w:tc>
      </w:tr>
      <w:tr w:rsidR="00752E3F" w:rsidRPr="00037593" w14:paraId="7D69A251" w14:textId="77777777" w:rsidTr="00F428DC">
        <w:trPr>
          <w:trHeight w:val="290"/>
        </w:trPr>
        <w:tc>
          <w:tcPr>
            <w:tcW w:w="2835" w:type="dxa"/>
            <w:tcBorders>
              <w:top w:val="nil"/>
              <w:left w:val="nil"/>
              <w:bottom w:val="nil"/>
              <w:right w:val="nil"/>
            </w:tcBorders>
            <w:shd w:val="clear" w:color="auto" w:fill="auto"/>
            <w:noWrap/>
            <w:vAlign w:val="center"/>
            <w:hideMark/>
          </w:tcPr>
          <w:p w14:paraId="4269001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513435D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5B022C48"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6100536" w14:textId="77777777" w:rsidTr="00F428DC">
        <w:trPr>
          <w:trHeight w:val="290"/>
        </w:trPr>
        <w:tc>
          <w:tcPr>
            <w:tcW w:w="2835" w:type="dxa"/>
            <w:tcBorders>
              <w:top w:val="nil"/>
              <w:left w:val="nil"/>
              <w:bottom w:val="nil"/>
              <w:right w:val="nil"/>
            </w:tcBorders>
            <w:shd w:val="clear" w:color="auto" w:fill="auto"/>
            <w:noWrap/>
            <w:vAlign w:val="center"/>
            <w:hideMark/>
          </w:tcPr>
          <w:p w14:paraId="5884E74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Age (years), </w:t>
            </w:r>
            <w:r w:rsidRPr="00037593">
              <w:rPr>
                <w:rFonts w:ascii="Times New Roman" w:eastAsia="Times New Roman" w:hAnsi="Times New Roman" w:cs="Times New Roman"/>
                <w:i/>
                <w:iCs/>
                <w:kern w:val="0"/>
                <w:szCs w:val="22"/>
                <w:lang w:val="en-US" w:eastAsia="en-IN"/>
                <w14:ligatures w14:val="none"/>
              </w:rPr>
              <w:t>M ± SE</w:t>
            </w:r>
          </w:p>
        </w:tc>
        <w:tc>
          <w:tcPr>
            <w:tcW w:w="2127" w:type="dxa"/>
            <w:vMerge/>
            <w:tcBorders>
              <w:top w:val="nil"/>
              <w:left w:val="nil"/>
              <w:bottom w:val="nil"/>
              <w:right w:val="nil"/>
            </w:tcBorders>
            <w:vAlign w:val="center"/>
            <w:hideMark/>
          </w:tcPr>
          <w:p w14:paraId="7DAA41C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07AA29BE"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5B731FAE" w14:textId="77777777" w:rsidTr="00F428DC">
        <w:trPr>
          <w:trHeight w:val="290"/>
        </w:trPr>
        <w:tc>
          <w:tcPr>
            <w:tcW w:w="2835" w:type="dxa"/>
            <w:tcBorders>
              <w:top w:val="nil"/>
              <w:left w:val="nil"/>
              <w:bottom w:val="nil"/>
              <w:right w:val="nil"/>
            </w:tcBorders>
            <w:shd w:val="clear" w:color="auto" w:fill="auto"/>
            <w:noWrap/>
            <w:vAlign w:val="center"/>
            <w:hideMark/>
          </w:tcPr>
          <w:p w14:paraId="4FA4C261"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7EC1F44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47.6 ± 1.0</w:t>
            </w:r>
          </w:p>
        </w:tc>
        <w:tc>
          <w:tcPr>
            <w:tcW w:w="2835" w:type="dxa"/>
            <w:tcBorders>
              <w:top w:val="nil"/>
              <w:left w:val="nil"/>
              <w:bottom w:val="nil"/>
              <w:right w:val="nil"/>
            </w:tcBorders>
            <w:shd w:val="clear" w:color="auto" w:fill="auto"/>
            <w:noWrap/>
            <w:vAlign w:val="center"/>
            <w:hideMark/>
          </w:tcPr>
          <w:p w14:paraId="71C631D8"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54.5 ± 1.1</w:t>
            </w:r>
          </w:p>
        </w:tc>
      </w:tr>
      <w:tr w:rsidR="00752E3F" w:rsidRPr="00037593" w14:paraId="6A32DF48" w14:textId="77777777" w:rsidTr="00F428DC">
        <w:trPr>
          <w:trHeight w:val="290"/>
        </w:trPr>
        <w:tc>
          <w:tcPr>
            <w:tcW w:w="2835" w:type="dxa"/>
            <w:tcBorders>
              <w:top w:val="nil"/>
              <w:left w:val="nil"/>
              <w:bottom w:val="nil"/>
              <w:right w:val="nil"/>
            </w:tcBorders>
            <w:shd w:val="clear" w:color="auto" w:fill="auto"/>
            <w:noWrap/>
            <w:vAlign w:val="center"/>
            <w:hideMark/>
          </w:tcPr>
          <w:p w14:paraId="6A934BE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2FD4844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49.8 ± 1.8; 46.1 ± 1.2</w:t>
            </w:r>
          </w:p>
        </w:tc>
        <w:tc>
          <w:tcPr>
            <w:tcW w:w="2835" w:type="dxa"/>
            <w:tcBorders>
              <w:top w:val="nil"/>
              <w:left w:val="nil"/>
              <w:bottom w:val="nil"/>
              <w:right w:val="nil"/>
            </w:tcBorders>
            <w:shd w:val="clear" w:color="auto" w:fill="auto"/>
            <w:noWrap/>
            <w:vAlign w:val="center"/>
            <w:hideMark/>
          </w:tcPr>
          <w:p w14:paraId="06E3BF6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60.6 ± 1.97; 52.6 ± 1.19</w:t>
            </w:r>
          </w:p>
        </w:tc>
      </w:tr>
      <w:tr w:rsidR="00752E3F" w:rsidRPr="00037593" w14:paraId="321E68DE" w14:textId="77777777" w:rsidTr="00F428DC">
        <w:trPr>
          <w:trHeight w:val="290"/>
        </w:trPr>
        <w:tc>
          <w:tcPr>
            <w:tcW w:w="2835" w:type="dxa"/>
            <w:tcBorders>
              <w:top w:val="nil"/>
              <w:left w:val="nil"/>
              <w:bottom w:val="nil"/>
              <w:right w:val="nil"/>
            </w:tcBorders>
            <w:shd w:val="clear" w:color="auto" w:fill="auto"/>
            <w:noWrap/>
            <w:vAlign w:val="center"/>
            <w:hideMark/>
          </w:tcPr>
          <w:p w14:paraId="3CACB99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4958363C"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582582F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9521641" w14:textId="77777777" w:rsidTr="00F428DC">
        <w:trPr>
          <w:trHeight w:val="290"/>
        </w:trPr>
        <w:tc>
          <w:tcPr>
            <w:tcW w:w="2835" w:type="dxa"/>
            <w:tcBorders>
              <w:top w:val="nil"/>
              <w:left w:val="nil"/>
              <w:bottom w:val="nil"/>
              <w:right w:val="nil"/>
            </w:tcBorders>
            <w:shd w:val="clear" w:color="auto" w:fill="auto"/>
            <w:noWrap/>
            <w:vAlign w:val="center"/>
            <w:hideMark/>
          </w:tcPr>
          <w:p w14:paraId="53A9E16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Mean BMI, (kg/m2)</w:t>
            </w:r>
          </w:p>
        </w:tc>
        <w:tc>
          <w:tcPr>
            <w:tcW w:w="2127" w:type="dxa"/>
            <w:vMerge/>
            <w:tcBorders>
              <w:top w:val="nil"/>
              <w:left w:val="nil"/>
              <w:bottom w:val="nil"/>
              <w:right w:val="nil"/>
            </w:tcBorders>
            <w:vAlign w:val="center"/>
            <w:hideMark/>
          </w:tcPr>
          <w:p w14:paraId="3738A3E1"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12F3AD7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7856B9E3" w14:textId="77777777" w:rsidTr="00F428DC">
        <w:trPr>
          <w:trHeight w:val="290"/>
        </w:trPr>
        <w:tc>
          <w:tcPr>
            <w:tcW w:w="2835" w:type="dxa"/>
            <w:tcBorders>
              <w:top w:val="nil"/>
              <w:left w:val="nil"/>
              <w:bottom w:val="nil"/>
              <w:right w:val="nil"/>
            </w:tcBorders>
            <w:shd w:val="clear" w:color="auto" w:fill="auto"/>
            <w:noWrap/>
            <w:vAlign w:val="center"/>
            <w:hideMark/>
          </w:tcPr>
          <w:p w14:paraId="4D2C90A8"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41B65D1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25.6 ± 0.5</w:t>
            </w:r>
          </w:p>
        </w:tc>
        <w:tc>
          <w:tcPr>
            <w:tcW w:w="2835" w:type="dxa"/>
            <w:tcBorders>
              <w:top w:val="nil"/>
              <w:left w:val="nil"/>
              <w:bottom w:val="nil"/>
              <w:right w:val="nil"/>
            </w:tcBorders>
            <w:shd w:val="clear" w:color="auto" w:fill="auto"/>
            <w:noWrap/>
            <w:vAlign w:val="center"/>
            <w:hideMark/>
          </w:tcPr>
          <w:p w14:paraId="0C1E0FF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27.5 ± 0.7</w:t>
            </w:r>
          </w:p>
        </w:tc>
      </w:tr>
      <w:tr w:rsidR="00752E3F" w:rsidRPr="00037593" w14:paraId="69126AE2" w14:textId="77777777" w:rsidTr="00F428DC">
        <w:trPr>
          <w:trHeight w:val="290"/>
        </w:trPr>
        <w:tc>
          <w:tcPr>
            <w:tcW w:w="2835" w:type="dxa"/>
            <w:tcBorders>
              <w:top w:val="nil"/>
              <w:left w:val="nil"/>
              <w:bottom w:val="nil"/>
              <w:right w:val="nil"/>
            </w:tcBorders>
            <w:shd w:val="clear" w:color="auto" w:fill="auto"/>
            <w:noWrap/>
            <w:vAlign w:val="center"/>
            <w:hideMark/>
          </w:tcPr>
          <w:p w14:paraId="322626C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 % (</w:t>
            </w:r>
            <w:r w:rsidRPr="00037593">
              <w:rPr>
                <w:rFonts w:ascii="Times New Roman" w:eastAsia="Times New Roman" w:hAnsi="Times New Roman" w:cs="Times New Roman"/>
                <w:i/>
                <w:iCs/>
                <w:kern w:val="0"/>
                <w:szCs w:val="22"/>
                <w:lang w:val="en-US" w:eastAsia="en-IN"/>
                <w14:ligatures w14:val="none"/>
              </w:rPr>
              <w:t>n</w:t>
            </w:r>
            <w:r w:rsidRPr="00037593">
              <w:rPr>
                <w:rFonts w:ascii="Times New Roman" w:eastAsia="Times New Roman" w:hAnsi="Times New Roman" w:cs="Times New Roman"/>
                <w:kern w:val="0"/>
                <w:szCs w:val="22"/>
                <w:lang w:val="en-US" w:eastAsia="en-IN"/>
                <w14:ligatures w14:val="none"/>
              </w:rPr>
              <w:t>)</w:t>
            </w:r>
          </w:p>
        </w:tc>
        <w:tc>
          <w:tcPr>
            <w:tcW w:w="2127" w:type="dxa"/>
            <w:tcBorders>
              <w:top w:val="nil"/>
              <w:left w:val="nil"/>
              <w:bottom w:val="nil"/>
              <w:right w:val="nil"/>
            </w:tcBorders>
            <w:shd w:val="clear" w:color="auto" w:fill="auto"/>
            <w:noWrap/>
            <w:vAlign w:val="center"/>
            <w:hideMark/>
          </w:tcPr>
          <w:p w14:paraId="7CAAC77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24.7 ± 0.7; 26.2 ± 0.7</w:t>
            </w:r>
          </w:p>
        </w:tc>
        <w:tc>
          <w:tcPr>
            <w:tcW w:w="2835" w:type="dxa"/>
            <w:tcBorders>
              <w:top w:val="nil"/>
              <w:left w:val="nil"/>
              <w:bottom w:val="nil"/>
              <w:right w:val="nil"/>
            </w:tcBorders>
            <w:shd w:val="clear" w:color="auto" w:fill="auto"/>
            <w:noWrap/>
            <w:vAlign w:val="center"/>
            <w:hideMark/>
          </w:tcPr>
          <w:p w14:paraId="3EB2B68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25.6 ± 0.7; 28 ± 0.8</w:t>
            </w:r>
          </w:p>
        </w:tc>
      </w:tr>
      <w:tr w:rsidR="00752E3F" w:rsidRPr="00037593" w14:paraId="2046FAB5" w14:textId="77777777" w:rsidTr="00F428DC">
        <w:trPr>
          <w:trHeight w:val="290"/>
        </w:trPr>
        <w:tc>
          <w:tcPr>
            <w:tcW w:w="2835" w:type="dxa"/>
            <w:tcBorders>
              <w:top w:val="nil"/>
              <w:left w:val="nil"/>
              <w:bottom w:val="nil"/>
              <w:right w:val="nil"/>
            </w:tcBorders>
            <w:shd w:val="clear" w:color="auto" w:fill="auto"/>
            <w:vAlign w:val="center"/>
            <w:hideMark/>
          </w:tcPr>
          <w:p w14:paraId="029B3F4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18D6BB0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00D2565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6C7F9747" w14:textId="77777777" w:rsidTr="00F428DC">
        <w:trPr>
          <w:trHeight w:val="290"/>
        </w:trPr>
        <w:tc>
          <w:tcPr>
            <w:tcW w:w="2835" w:type="dxa"/>
            <w:tcBorders>
              <w:top w:val="nil"/>
              <w:left w:val="nil"/>
              <w:bottom w:val="nil"/>
              <w:right w:val="nil"/>
            </w:tcBorders>
            <w:shd w:val="clear" w:color="auto" w:fill="auto"/>
            <w:vAlign w:val="center"/>
            <w:hideMark/>
          </w:tcPr>
          <w:p w14:paraId="5E0CC6F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HbA1c%</w:t>
            </w:r>
          </w:p>
        </w:tc>
        <w:tc>
          <w:tcPr>
            <w:tcW w:w="2127" w:type="dxa"/>
            <w:vMerge/>
            <w:tcBorders>
              <w:top w:val="nil"/>
              <w:left w:val="nil"/>
              <w:bottom w:val="nil"/>
              <w:right w:val="nil"/>
            </w:tcBorders>
            <w:vAlign w:val="center"/>
            <w:hideMark/>
          </w:tcPr>
          <w:p w14:paraId="2B392B69"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4B43361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2C5DDD9" w14:textId="77777777" w:rsidTr="00F428DC">
        <w:trPr>
          <w:trHeight w:val="290"/>
        </w:trPr>
        <w:tc>
          <w:tcPr>
            <w:tcW w:w="2835" w:type="dxa"/>
            <w:tcBorders>
              <w:top w:val="nil"/>
              <w:left w:val="nil"/>
              <w:bottom w:val="nil"/>
              <w:right w:val="nil"/>
            </w:tcBorders>
            <w:shd w:val="clear" w:color="auto" w:fill="auto"/>
            <w:noWrap/>
            <w:vAlign w:val="center"/>
            <w:hideMark/>
          </w:tcPr>
          <w:p w14:paraId="75DB671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7D0ED78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8.6 ± 0.1</w:t>
            </w:r>
          </w:p>
        </w:tc>
        <w:tc>
          <w:tcPr>
            <w:tcW w:w="2835" w:type="dxa"/>
            <w:tcBorders>
              <w:top w:val="nil"/>
              <w:left w:val="nil"/>
              <w:bottom w:val="nil"/>
              <w:right w:val="nil"/>
            </w:tcBorders>
            <w:shd w:val="clear" w:color="auto" w:fill="auto"/>
            <w:noWrap/>
            <w:vAlign w:val="center"/>
            <w:hideMark/>
          </w:tcPr>
          <w:p w14:paraId="3D70930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8.2 ± 0.2</w:t>
            </w:r>
          </w:p>
        </w:tc>
      </w:tr>
      <w:tr w:rsidR="00752E3F" w:rsidRPr="00037593" w14:paraId="5E20E921" w14:textId="77777777" w:rsidTr="00F428DC">
        <w:trPr>
          <w:trHeight w:val="290"/>
        </w:trPr>
        <w:tc>
          <w:tcPr>
            <w:tcW w:w="2835" w:type="dxa"/>
            <w:tcBorders>
              <w:top w:val="nil"/>
              <w:left w:val="nil"/>
              <w:bottom w:val="nil"/>
              <w:right w:val="nil"/>
            </w:tcBorders>
            <w:shd w:val="clear" w:color="auto" w:fill="auto"/>
            <w:noWrap/>
            <w:vAlign w:val="center"/>
            <w:hideMark/>
          </w:tcPr>
          <w:p w14:paraId="1BDC80F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754B2604"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8.7 ± 0.3; 8.5 ± 0.2</w:t>
            </w:r>
          </w:p>
        </w:tc>
        <w:tc>
          <w:tcPr>
            <w:tcW w:w="2835" w:type="dxa"/>
            <w:tcBorders>
              <w:top w:val="nil"/>
              <w:left w:val="nil"/>
              <w:bottom w:val="nil"/>
              <w:right w:val="nil"/>
            </w:tcBorders>
            <w:shd w:val="clear" w:color="auto" w:fill="auto"/>
            <w:noWrap/>
            <w:vAlign w:val="center"/>
            <w:hideMark/>
          </w:tcPr>
          <w:p w14:paraId="5EFE557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7.7 ± 0.5; 8.3 ± 0.3</w:t>
            </w:r>
          </w:p>
        </w:tc>
      </w:tr>
      <w:tr w:rsidR="00752E3F" w:rsidRPr="00037593" w14:paraId="061FC946" w14:textId="77777777" w:rsidTr="00F428DC">
        <w:trPr>
          <w:trHeight w:val="290"/>
        </w:trPr>
        <w:tc>
          <w:tcPr>
            <w:tcW w:w="2835" w:type="dxa"/>
            <w:tcBorders>
              <w:top w:val="nil"/>
              <w:left w:val="nil"/>
              <w:bottom w:val="nil"/>
              <w:right w:val="nil"/>
            </w:tcBorders>
            <w:shd w:val="clear" w:color="auto" w:fill="auto"/>
            <w:noWrap/>
            <w:vAlign w:val="center"/>
            <w:hideMark/>
          </w:tcPr>
          <w:p w14:paraId="2F9C745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2028609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480F183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E779A2F" w14:textId="77777777" w:rsidTr="00F428DC">
        <w:trPr>
          <w:trHeight w:val="290"/>
        </w:trPr>
        <w:tc>
          <w:tcPr>
            <w:tcW w:w="2835" w:type="dxa"/>
            <w:tcBorders>
              <w:top w:val="nil"/>
              <w:left w:val="nil"/>
              <w:bottom w:val="nil"/>
              <w:right w:val="nil"/>
            </w:tcBorders>
            <w:shd w:val="clear" w:color="auto" w:fill="auto"/>
            <w:noWrap/>
            <w:vAlign w:val="center"/>
            <w:hideMark/>
          </w:tcPr>
          <w:p w14:paraId="0C79421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SBP (mmHg), </w:t>
            </w:r>
            <w:r w:rsidRPr="00037593">
              <w:rPr>
                <w:rFonts w:ascii="Times New Roman" w:eastAsia="Times New Roman" w:hAnsi="Times New Roman" w:cs="Times New Roman"/>
                <w:i/>
                <w:iCs/>
                <w:kern w:val="0"/>
                <w:szCs w:val="22"/>
                <w:lang w:val="en-US" w:eastAsia="en-IN"/>
                <w14:ligatures w14:val="none"/>
              </w:rPr>
              <w:t>M ± SE</w:t>
            </w:r>
          </w:p>
        </w:tc>
        <w:tc>
          <w:tcPr>
            <w:tcW w:w="2127" w:type="dxa"/>
            <w:vMerge/>
            <w:tcBorders>
              <w:top w:val="nil"/>
              <w:left w:val="nil"/>
              <w:bottom w:val="nil"/>
              <w:right w:val="nil"/>
            </w:tcBorders>
            <w:vAlign w:val="center"/>
            <w:hideMark/>
          </w:tcPr>
          <w:p w14:paraId="22EA61E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14B9943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2E7F4BE8" w14:textId="77777777" w:rsidTr="00F428DC">
        <w:trPr>
          <w:trHeight w:val="290"/>
        </w:trPr>
        <w:tc>
          <w:tcPr>
            <w:tcW w:w="2835" w:type="dxa"/>
            <w:tcBorders>
              <w:top w:val="nil"/>
              <w:left w:val="nil"/>
              <w:bottom w:val="nil"/>
              <w:right w:val="nil"/>
            </w:tcBorders>
            <w:shd w:val="clear" w:color="auto" w:fill="auto"/>
            <w:noWrap/>
            <w:vAlign w:val="center"/>
            <w:hideMark/>
          </w:tcPr>
          <w:p w14:paraId="3D62CA4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11F5D68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1F34251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136.5 ± 3.4</w:t>
            </w:r>
          </w:p>
        </w:tc>
      </w:tr>
      <w:tr w:rsidR="00752E3F" w:rsidRPr="00037593" w14:paraId="4504DC99" w14:textId="77777777" w:rsidTr="00F428DC">
        <w:trPr>
          <w:trHeight w:val="290"/>
        </w:trPr>
        <w:tc>
          <w:tcPr>
            <w:tcW w:w="2835" w:type="dxa"/>
            <w:tcBorders>
              <w:top w:val="nil"/>
              <w:left w:val="nil"/>
              <w:bottom w:val="nil"/>
              <w:right w:val="nil"/>
            </w:tcBorders>
            <w:shd w:val="clear" w:color="auto" w:fill="auto"/>
            <w:noWrap/>
            <w:vAlign w:val="center"/>
            <w:hideMark/>
          </w:tcPr>
          <w:p w14:paraId="648FBC60"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793A9872"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57F74AFE"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129.7 ± 7.4; 138.6 ± 3.9</w:t>
            </w:r>
          </w:p>
        </w:tc>
      </w:tr>
      <w:tr w:rsidR="00752E3F" w:rsidRPr="00037593" w14:paraId="63B7B28D" w14:textId="77777777" w:rsidTr="00F428DC">
        <w:trPr>
          <w:trHeight w:val="290"/>
        </w:trPr>
        <w:tc>
          <w:tcPr>
            <w:tcW w:w="2835" w:type="dxa"/>
            <w:tcBorders>
              <w:top w:val="nil"/>
              <w:left w:val="nil"/>
              <w:bottom w:val="nil"/>
              <w:right w:val="nil"/>
            </w:tcBorders>
            <w:shd w:val="clear" w:color="auto" w:fill="auto"/>
            <w:noWrap/>
            <w:vAlign w:val="center"/>
            <w:hideMark/>
          </w:tcPr>
          <w:p w14:paraId="668FA9C1"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3070389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vMerge w:val="restart"/>
            <w:tcBorders>
              <w:top w:val="nil"/>
              <w:left w:val="nil"/>
              <w:bottom w:val="nil"/>
              <w:right w:val="nil"/>
            </w:tcBorders>
            <w:shd w:val="clear" w:color="auto" w:fill="auto"/>
            <w:noWrap/>
            <w:vAlign w:val="center"/>
            <w:hideMark/>
          </w:tcPr>
          <w:p w14:paraId="5C37CCC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4B32162F" w14:textId="77777777" w:rsidTr="00F428DC">
        <w:trPr>
          <w:trHeight w:val="290"/>
        </w:trPr>
        <w:tc>
          <w:tcPr>
            <w:tcW w:w="2835" w:type="dxa"/>
            <w:tcBorders>
              <w:top w:val="nil"/>
              <w:left w:val="nil"/>
              <w:bottom w:val="nil"/>
              <w:right w:val="nil"/>
            </w:tcBorders>
            <w:shd w:val="clear" w:color="auto" w:fill="auto"/>
            <w:noWrap/>
            <w:vAlign w:val="center"/>
            <w:hideMark/>
          </w:tcPr>
          <w:p w14:paraId="1949B746"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 xml:space="preserve">DBP (mmHg), </w:t>
            </w:r>
            <w:r w:rsidRPr="00037593">
              <w:rPr>
                <w:rFonts w:ascii="Times New Roman" w:eastAsia="Times New Roman" w:hAnsi="Times New Roman" w:cs="Times New Roman"/>
                <w:i/>
                <w:iCs/>
                <w:kern w:val="0"/>
                <w:szCs w:val="22"/>
                <w:lang w:val="en-US" w:eastAsia="en-IN"/>
                <w14:ligatures w14:val="none"/>
              </w:rPr>
              <w:t>M ± SE</w:t>
            </w:r>
          </w:p>
        </w:tc>
        <w:tc>
          <w:tcPr>
            <w:tcW w:w="2127" w:type="dxa"/>
            <w:vMerge/>
            <w:tcBorders>
              <w:top w:val="nil"/>
              <w:left w:val="nil"/>
              <w:bottom w:val="nil"/>
              <w:right w:val="nil"/>
            </w:tcBorders>
            <w:vAlign w:val="center"/>
            <w:hideMark/>
          </w:tcPr>
          <w:p w14:paraId="3C08A90F"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c>
          <w:tcPr>
            <w:tcW w:w="2835" w:type="dxa"/>
            <w:vMerge/>
            <w:tcBorders>
              <w:top w:val="nil"/>
              <w:left w:val="nil"/>
              <w:bottom w:val="nil"/>
              <w:right w:val="nil"/>
            </w:tcBorders>
            <w:vAlign w:val="center"/>
            <w:hideMark/>
          </w:tcPr>
          <w:p w14:paraId="334A79DE"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7ECBCC07" w14:textId="77777777" w:rsidTr="00F428DC">
        <w:trPr>
          <w:trHeight w:val="290"/>
        </w:trPr>
        <w:tc>
          <w:tcPr>
            <w:tcW w:w="2835" w:type="dxa"/>
            <w:tcBorders>
              <w:top w:val="nil"/>
              <w:left w:val="nil"/>
              <w:bottom w:val="nil"/>
              <w:right w:val="nil"/>
            </w:tcBorders>
            <w:shd w:val="clear" w:color="auto" w:fill="auto"/>
            <w:noWrap/>
            <w:vAlign w:val="center"/>
            <w:hideMark/>
          </w:tcPr>
          <w:p w14:paraId="5B89EF6D"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55B3071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50238C57"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92 ± 2.6</w:t>
            </w:r>
          </w:p>
        </w:tc>
      </w:tr>
      <w:tr w:rsidR="00752E3F" w:rsidRPr="00037593" w14:paraId="2C0F826A" w14:textId="77777777" w:rsidTr="00F428DC">
        <w:trPr>
          <w:trHeight w:val="300"/>
        </w:trPr>
        <w:tc>
          <w:tcPr>
            <w:tcW w:w="2835" w:type="dxa"/>
            <w:tcBorders>
              <w:top w:val="nil"/>
              <w:left w:val="nil"/>
              <w:bottom w:val="nil"/>
              <w:right w:val="nil"/>
            </w:tcBorders>
            <w:shd w:val="clear" w:color="auto" w:fill="auto"/>
            <w:noWrap/>
            <w:vAlign w:val="center"/>
            <w:hideMark/>
          </w:tcPr>
          <w:p w14:paraId="6B5F345B"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3E68852A"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w:t>
            </w:r>
          </w:p>
        </w:tc>
        <w:tc>
          <w:tcPr>
            <w:tcW w:w="2835" w:type="dxa"/>
            <w:tcBorders>
              <w:top w:val="nil"/>
              <w:left w:val="nil"/>
              <w:bottom w:val="nil"/>
              <w:right w:val="nil"/>
            </w:tcBorders>
            <w:shd w:val="clear" w:color="auto" w:fill="auto"/>
            <w:noWrap/>
            <w:vAlign w:val="center"/>
            <w:hideMark/>
          </w:tcPr>
          <w:p w14:paraId="4AC96AB5" w14:textId="77777777" w:rsidR="00F428DC" w:rsidRPr="00037593" w:rsidRDefault="00F428DC"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val="en-US" w:eastAsia="en-IN"/>
                <w14:ligatures w14:val="none"/>
              </w:rPr>
              <w:t>96.7 ± 7.7; 90.5 ± 2.5</w:t>
            </w:r>
          </w:p>
        </w:tc>
      </w:tr>
      <w:tr w:rsidR="00752E3F" w:rsidRPr="00037593" w14:paraId="3DAB7345" w14:textId="77777777" w:rsidTr="001615FC">
        <w:trPr>
          <w:trHeight w:val="842"/>
        </w:trPr>
        <w:tc>
          <w:tcPr>
            <w:tcW w:w="7797" w:type="dxa"/>
            <w:gridSpan w:val="3"/>
            <w:tcBorders>
              <w:top w:val="single" w:sz="12" w:space="0" w:color="auto"/>
              <w:left w:val="nil"/>
              <w:bottom w:val="nil"/>
              <w:right w:val="nil"/>
            </w:tcBorders>
            <w:shd w:val="clear" w:color="auto" w:fill="auto"/>
            <w:vAlign w:val="center"/>
            <w:hideMark/>
          </w:tcPr>
          <w:p w14:paraId="6A0ADC1F" w14:textId="77777777" w:rsidR="00F428DC" w:rsidRPr="00037593" w:rsidRDefault="00F428DC" w:rsidP="00752E3F">
            <w:pPr>
              <w:spacing w:after="0" w:line="240" w:lineRule="auto"/>
              <w:rPr>
                <w:rFonts w:ascii="Times New Roman" w:eastAsia="Times New Roman" w:hAnsi="Times New Roman" w:cs="Times New Roman"/>
                <w:i/>
                <w:iCs/>
                <w:kern w:val="0"/>
                <w:szCs w:val="22"/>
                <w:lang w:eastAsia="en-IN"/>
                <w14:ligatures w14:val="none"/>
              </w:rPr>
            </w:pPr>
            <w:r w:rsidRPr="00037593">
              <w:rPr>
                <w:rFonts w:ascii="Times New Roman" w:eastAsia="Times New Roman" w:hAnsi="Times New Roman" w:cs="Times New Roman"/>
                <w:i/>
                <w:iCs/>
                <w:kern w:val="0"/>
                <w:sz w:val="20"/>
                <w:lang w:val="en-US" w:eastAsia="en-IN"/>
                <w14:ligatures w14:val="none"/>
              </w:rPr>
              <w:t>Note.</w:t>
            </w:r>
            <w:r w:rsidRPr="00037593">
              <w:rPr>
                <w:rFonts w:ascii="Times New Roman" w:eastAsia="Times New Roman" w:hAnsi="Times New Roman" w:cs="Times New Roman"/>
                <w:kern w:val="0"/>
                <w:sz w:val="20"/>
                <w:lang w:val="en-US" w:eastAsia="en-IN"/>
                <w14:ligatures w14:val="none"/>
              </w:rPr>
              <w:t xml:space="preserve"> N: Number of sample, M: Mean; SE: Standard error of mean; %/n: percentage and number of the samples, figure in parentheses represents frequencies; HbA1c%; Glycosylated Hemoglobin; T2DM: Type 2 diabetes mellitus; T2DM*HTN: Diabetic hypertensive; BP: Blood pressure; SBP: Systolic Blood Pressure; DBP: Diastolic blood pressure; BMI: Body mass index.</w:t>
            </w:r>
          </w:p>
        </w:tc>
      </w:tr>
    </w:tbl>
    <w:p w14:paraId="1CB4324B" w14:textId="77777777" w:rsidR="001615FC" w:rsidRPr="00037593" w:rsidRDefault="001615FC" w:rsidP="00752E3F">
      <w:pPr>
        <w:spacing w:after="0" w:line="360" w:lineRule="auto"/>
        <w:rPr>
          <w:rFonts w:ascii="Times New Roman" w:eastAsia="Calibri" w:hAnsi="Times New Roman" w:cs="Times New Roman"/>
          <w:kern w:val="0"/>
          <w:sz w:val="24"/>
          <w:szCs w:val="24"/>
          <w:lang w:val="en-US" w:bidi="ar-SA"/>
          <w14:ligatures w14:val="none"/>
        </w:rPr>
      </w:pPr>
    </w:p>
    <w:p w14:paraId="396589C2" w14:textId="7C00D88F" w:rsidR="00087DA4" w:rsidRPr="00037593" w:rsidRDefault="00087DA4" w:rsidP="00037D6A">
      <w:pPr>
        <w:spacing w:after="0" w:line="360"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The mean BMI was 25.6 ± 0.5 kg/m² for T2DM patients and 27.2 ± 0.4 kg/m² for T2DM*HTN patients. The average HbA1c% levels were comparable between T2DM (8.6 ± 0.2%) and T2DM*HTN (8.2 ± 0.1%) patients. Male and female T2DM patients had similar HbA1c% levels (</w:t>
      </w:r>
      <w:r w:rsidRPr="00037593">
        <w:rPr>
          <w:rFonts w:ascii="Times New Roman" w:eastAsia="Calibri" w:hAnsi="Times New Roman" w:cs="Times New Roman"/>
          <w:i/>
          <w:iCs/>
          <w:kern w:val="0"/>
          <w:sz w:val="24"/>
          <w:szCs w:val="24"/>
          <w:lang w:val="en-US" w:bidi="ar-SA"/>
          <w14:ligatures w14:val="none"/>
        </w:rPr>
        <w:t>M</w:t>
      </w:r>
      <w:r w:rsidRPr="00037593">
        <w:rPr>
          <w:rFonts w:ascii="Times New Roman" w:eastAsia="Calibri" w:hAnsi="Times New Roman" w:cs="Times New Roman"/>
          <w:kern w:val="0"/>
          <w:sz w:val="24"/>
          <w:szCs w:val="24"/>
          <w:lang w:val="en-US" w:bidi="ar-SA"/>
          <w14:ligatures w14:val="none"/>
        </w:rPr>
        <w:t>: 8.7 ± 0.3, F: 8.5 ± 0.2), while among T2DM*HTN patients, females exhibited a slightly higher mean HbA1c% level compared to males (M: 7.7 ± 0.5, F: 8.3 ± 0.3). For patients with T2DM*HTN, the average systolic blood pressure (SBP) was 136.5 ± 3.4 mmHg, and the diastolic blood pressure (DBP) averaged 92.0 ± 2.6 mmHg.</w:t>
      </w:r>
    </w:p>
    <w:p w14:paraId="50C683FC" w14:textId="77777777" w:rsidR="00E278C1" w:rsidRPr="00037593" w:rsidRDefault="001E4177" w:rsidP="00037D6A">
      <w:pPr>
        <w:spacing w:after="0" w:line="360"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As shown in Table 2, among T2DM patients, the analysis of bitter gourd consumption frequency revealed notable trends in glycemic control. Among those who never included bitter gourd in their meals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68), 58.8% exhibited unsatisfactory glycemic control (HbA1c ≥ 8), while nearly 41% demonstrated satisfactory or ideal glycemic control. For patients who consumed bitter gourd occasionally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16), over 80% had unsatisfactory glycemic control, with only 18.8% achieving ideal control.</w:t>
      </w:r>
      <w:r w:rsidR="00E13765" w:rsidRPr="00037593">
        <w:rPr>
          <w:rFonts w:ascii="Times New Roman" w:eastAsia="Calibri" w:hAnsi="Times New Roman" w:cs="Times New Roman"/>
          <w:kern w:val="0"/>
          <w:sz w:val="24"/>
          <w:szCs w:val="24"/>
          <w:lang w:val="en-US" w:bidi="ar-SA"/>
          <w14:ligatures w14:val="none"/>
        </w:rPr>
        <w:t xml:space="preserve"> </w:t>
      </w:r>
      <w:r w:rsidRPr="00037593">
        <w:rPr>
          <w:rFonts w:ascii="Times New Roman" w:eastAsia="Calibri" w:hAnsi="Times New Roman" w:cs="Times New Roman"/>
          <w:kern w:val="0"/>
          <w:sz w:val="24"/>
          <w:szCs w:val="24"/>
          <w:lang w:val="en-US" w:bidi="ar-SA"/>
          <w14:ligatures w14:val="none"/>
        </w:rPr>
        <w:t xml:space="preserve">Conversely, </w:t>
      </w:r>
      <w:r w:rsidRPr="00037593">
        <w:rPr>
          <w:rFonts w:ascii="Times New Roman" w:eastAsia="Calibri" w:hAnsi="Times New Roman" w:cs="Times New Roman"/>
          <w:kern w:val="0"/>
          <w:sz w:val="24"/>
          <w:szCs w:val="24"/>
          <w:lang w:val="en-US" w:bidi="ar-SA"/>
          <w14:ligatures w14:val="none"/>
        </w:rPr>
        <w:lastRenderedPageBreak/>
        <w:t>among those who regularly consumed bitter gourd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12), approximately 60% fell within the satisfactory or ideal range of glycemic control. Notably, among patients who always included bitter gourd in their diet (</w:t>
      </w:r>
      <w:r w:rsidRPr="00037593">
        <w:rPr>
          <w:rFonts w:ascii="Times New Roman" w:eastAsia="Calibri" w:hAnsi="Times New Roman" w:cs="Times New Roman"/>
          <w:i/>
          <w:iCs/>
          <w:kern w:val="0"/>
          <w:sz w:val="24"/>
          <w:szCs w:val="24"/>
          <w:lang w:val="en-US" w:bidi="ar-SA"/>
          <w14:ligatures w14:val="none"/>
        </w:rPr>
        <w:t>n</w:t>
      </w:r>
      <w:r w:rsidRPr="00037593">
        <w:rPr>
          <w:rFonts w:ascii="Times New Roman" w:eastAsia="Calibri" w:hAnsi="Times New Roman" w:cs="Times New Roman"/>
          <w:kern w:val="0"/>
          <w:sz w:val="24"/>
          <w:szCs w:val="24"/>
          <w:lang w:val="en-US" w:bidi="ar-SA"/>
          <w14:ligatures w14:val="none"/>
        </w:rPr>
        <w:t xml:space="preserve"> = 4), about 75% achieved ideal glycemic control. Fisher's exact test statistic of 16.72 (</w:t>
      </w:r>
      <w:r w:rsidRPr="00037593">
        <w:rPr>
          <w:rFonts w:ascii="Times New Roman" w:eastAsia="Calibri" w:hAnsi="Times New Roman" w:cs="Times New Roman"/>
          <w:i/>
          <w:iCs/>
          <w:kern w:val="0"/>
          <w:sz w:val="24"/>
          <w:szCs w:val="24"/>
          <w:lang w:val="en-US" w:bidi="ar-SA"/>
          <w14:ligatures w14:val="none"/>
        </w:rPr>
        <w:t>p</w:t>
      </w:r>
      <w:r w:rsidRPr="00037593">
        <w:rPr>
          <w:rFonts w:ascii="Times New Roman" w:eastAsia="Calibri" w:hAnsi="Times New Roman" w:cs="Times New Roman"/>
          <w:kern w:val="0"/>
          <w:sz w:val="24"/>
          <w:szCs w:val="24"/>
          <w:lang w:val="en-US" w:bidi="ar-SA"/>
          <w14:ligatures w14:val="none"/>
        </w:rPr>
        <w:t xml:space="preserve"> = 0.004) and Somers’ </w:t>
      </w:r>
      <w:r w:rsidRPr="00037593">
        <w:rPr>
          <w:rFonts w:ascii="Times New Roman" w:eastAsia="Calibri" w:hAnsi="Times New Roman" w:cs="Times New Roman"/>
          <w:i/>
          <w:iCs/>
          <w:kern w:val="0"/>
          <w:sz w:val="24"/>
          <w:szCs w:val="24"/>
          <w:lang w:val="en-US" w:bidi="ar-SA"/>
          <w14:ligatures w14:val="none"/>
        </w:rPr>
        <w:t>d</w:t>
      </w:r>
      <w:r w:rsidRPr="00037593">
        <w:rPr>
          <w:rFonts w:ascii="Times New Roman" w:eastAsia="Calibri" w:hAnsi="Times New Roman" w:cs="Times New Roman"/>
          <w:kern w:val="0"/>
          <w:sz w:val="24"/>
          <w:szCs w:val="24"/>
          <w:lang w:val="en-US" w:bidi="ar-SA"/>
          <w14:ligatures w14:val="none"/>
        </w:rPr>
        <w:t xml:space="preserve"> value (</w:t>
      </w:r>
      <w:r w:rsidRPr="00037593">
        <w:rPr>
          <w:rFonts w:ascii="Times New Roman" w:eastAsia="Calibri" w:hAnsi="Times New Roman" w:cs="Times New Roman"/>
          <w:i/>
          <w:iCs/>
          <w:kern w:val="0"/>
          <w:sz w:val="24"/>
          <w:szCs w:val="24"/>
          <w:lang w:val="en-US" w:bidi="ar-SA"/>
          <w14:ligatures w14:val="none"/>
        </w:rPr>
        <w:t xml:space="preserve">d </w:t>
      </w:r>
      <w:r w:rsidRPr="00037593">
        <w:rPr>
          <w:rFonts w:ascii="Times New Roman" w:eastAsia="Calibri" w:hAnsi="Times New Roman" w:cs="Times New Roman"/>
          <w:kern w:val="0"/>
          <w:sz w:val="24"/>
          <w:szCs w:val="24"/>
          <w:lang w:val="en-US" w:bidi="ar-SA"/>
          <w14:ligatures w14:val="none"/>
        </w:rPr>
        <w:t xml:space="preserve">= -0.115, </w:t>
      </w:r>
      <w:r w:rsidRPr="00037593">
        <w:rPr>
          <w:rFonts w:ascii="Times New Roman" w:eastAsia="Calibri" w:hAnsi="Times New Roman" w:cs="Times New Roman"/>
          <w:i/>
          <w:iCs/>
          <w:kern w:val="0"/>
          <w:sz w:val="24"/>
          <w:szCs w:val="24"/>
          <w:lang w:val="en-US" w:bidi="ar-SA"/>
          <w14:ligatures w14:val="none"/>
        </w:rPr>
        <w:t>p</w:t>
      </w:r>
      <w:r w:rsidRPr="00037593">
        <w:rPr>
          <w:rFonts w:ascii="Times New Roman" w:eastAsia="Calibri" w:hAnsi="Times New Roman" w:cs="Times New Roman"/>
          <w:kern w:val="0"/>
          <w:sz w:val="24"/>
          <w:szCs w:val="24"/>
          <w:lang w:val="en-US" w:bidi="ar-SA"/>
          <w14:ligatures w14:val="none"/>
        </w:rPr>
        <w:t xml:space="preserve"> &lt; 0.05) indicated a low but significant negative association between bitter gourd consumption and HbA1c levels in T2DM patients. In simpler terms, frequent consumption of bitter gourd is associated with a gradual reduction in HbA1c levels.</w:t>
      </w:r>
    </w:p>
    <w:p w14:paraId="759D0974" w14:textId="105B2D05" w:rsidR="005F334D" w:rsidRPr="00037593" w:rsidRDefault="00E278C1" w:rsidP="00037D6A">
      <w:pPr>
        <w:spacing w:after="0" w:line="360" w:lineRule="auto"/>
        <w:jc w:val="both"/>
        <w:rPr>
          <w:rFonts w:ascii="Times New Roman" w:eastAsia="Calibri" w:hAnsi="Times New Roman" w:cs="Times New Roman"/>
          <w:kern w:val="0"/>
          <w:sz w:val="24"/>
          <w:szCs w:val="24"/>
          <w:lang w:val="en-US" w:bidi="ar-SA"/>
          <w14:ligatures w14:val="none"/>
        </w:rPr>
      </w:pPr>
      <w:r w:rsidRPr="00037593">
        <w:rPr>
          <w:rFonts w:ascii="Times New Roman" w:eastAsia="Calibri" w:hAnsi="Times New Roman" w:cs="Times New Roman"/>
          <w:kern w:val="0"/>
          <w:sz w:val="24"/>
          <w:szCs w:val="24"/>
          <w:lang w:val="en-US" w:bidi="ar-SA"/>
          <w14:ligatures w14:val="none"/>
        </w:rPr>
        <w:t xml:space="preserve">                       </w:t>
      </w:r>
      <w:r w:rsidR="00930154" w:rsidRPr="00037593">
        <w:rPr>
          <w:rFonts w:ascii="Times New Roman" w:eastAsia="Calibri" w:hAnsi="Times New Roman" w:cs="Times New Roman"/>
          <w:kern w:val="0"/>
          <w:sz w:val="24"/>
          <w:szCs w:val="24"/>
          <w:lang w:val="en-US" w:bidi="ar-SA"/>
          <w14:ligatures w14:val="none"/>
        </w:rPr>
        <w:t xml:space="preserve">Previous studies have highlighted the potential benefits of bitter melon (Momordica </w:t>
      </w:r>
      <w:proofErr w:type="spellStart"/>
      <w:r w:rsidR="00930154" w:rsidRPr="00037593">
        <w:rPr>
          <w:rFonts w:ascii="Times New Roman" w:eastAsia="Calibri" w:hAnsi="Times New Roman" w:cs="Times New Roman"/>
          <w:kern w:val="0"/>
          <w:sz w:val="24"/>
          <w:szCs w:val="24"/>
          <w:lang w:val="en-US" w:bidi="ar-SA"/>
          <w14:ligatures w14:val="none"/>
        </w:rPr>
        <w:t>charantia</w:t>
      </w:r>
      <w:proofErr w:type="spellEnd"/>
      <w:r w:rsidR="00930154" w:rsidRPr="00037593">
        <w:rPr>
          <w:rFonts w:ascii="Times New Roman" w:eastAsia="Calibri" w:hAnsi="Times New Roman" w:cs="Times New Roman"/>
          <w:kern w:val="0"/>
          <w:sz w:val="24"/>
          <w:szCs w:val="24"/>
          <w:lang w:val="en-US" w:bidi="ar-SA"/>
          <w14:ligatures w14:val="none"/>
        </w:rPr>
        <w:t xml:space="preserve">) for managing metabolic conditions. For example, research has demonstrated that bitter melon contains bioactive compounds such as </w:t>
      </w:r>
      <w:proofErr w:type="spellStart"/>
      <w:r w:rsidR="00930154" w:rsidRPr="00037593">
        <w:rPr>
          <w:rFonts w:ascii="Times New Roman" w:eastAsia="Calibri" w:hAnsi="Times New Roman" w:cs="Times New Roman"/>
          <w:kern w:val="0"/>
          <w:sz w:val="24"/>
          <w:szCs w:val="24"/>
          <w:lang w:val="en-US" w:bidi="ar-SA"/>
          <w14:ligatures w14:val="none"/>
        </w:rPr>
        <w:t>charantin</w:t>
      </w:r>
      <w:proofErr w:type="spellEnd"/>
      <w:r w:rsidR="00930154" w:rsidRPr="00037593">
        <w:rPr>
          <w:rFonts w:ascii="Times New Roman" w:eastAsia="Calibri" w:hAnsi="Times New Roman" w:cs="Times New Roman"/>
          <w:kern w:val="0"/>
          <w:sz w:val="24"/>
          <w:szCs w:val="24"/>
          <w:lang w:val="en-US" w:bidi="ar-SA"/>
          <w14:ligatures w14:val="none"/>
        </w:rPr>
        <w:t xml:space="preserve">, </w:t>
      </w:r>
      <w:proofErr w:type="spellStart"/>
      <w:r w:rsidR="00930154" w:rsidRPr="00037593">
        <w:rPr>
          <w:rFonts w:ascii="Times New Roman" w:eastAsia="Calibri" w:hAnsi="Times New Roman" w:cs="Times New Roman"/>
          <w:kern w:val="0"/>
          <w:sz w:val="24"/>
          <w:szCs w:val="24"/>
          <w:lang w:val="en-US" w:bidi="ar-SA"/>
          <w14:ligatures w14:val="none"/>
        </w:rPr>
        <w:t>vicine</w:t>
      </w:r>
      <w:proofErr w:type="spellEnd"/>
      <w:r w:rsidR="00930154" w:rsidRPr="00037593">
        <w:rPr>
          <w:rFonts w:ascii="Times New Roman" w:eastAsia="Calibri" w:hAnsi="Times New Roman" w:cs="Times New Roman"/>
          <w:kern w:val="0"/>
          <w:sz w:val="24"/>
          <w:szCs w:val="24"/>
          <w:lang w:val="en-US" w:bidi="ar-SA"/>
          <w14:ligatures w14:val="none"/>
        </w:rPr>
        <w:t>, and polypeptide-p, which exhibit hypoglycemic effects through enhanced glucose uptake and insulin sensitivity. A review by Kwatra et al. emphasized that bitter melon has properties that can help lower blood glucose levels, supporting its potential as a dietary adjunct for diabetes management</w:t>
      </w:r>
      <w:r w:rsidR="005F334D" w:rsidRPr="00037593">
        <w:rPr>
          <w:rFonts w:ascii="Times New Roman" w:eastAsia="Calibri" w:hAnsi="Times New Roman" w:cs="Times New Roman"/>
          <w:kern w:val="0"/>
          <w:sz w:val="24"/>
          <w:szCs w:val="24"/>
          <w:vertAlign w:val="superscript"/>
          <w:lang w:val="en-US" w:bidi="ar-SA"/>
          <w14:ligatures w14:val="none"/>
        </w:rPr>
        <w:t>17</w:t>
      </w:r>
      <w:r w:rsidR="00930154" w:rsidRPr="00037593">
        <w:rPr>
          <w:rFonts w:ascii="Times New Roman" w:eastAsia="Calibri" w:hAnsi="Times New Roman" w:cs="Times New Roman"/>
          <w:kern w:val="0"/>
          <w:sz w:val="24"/>
          <w:szCs w:val="24"/>
          <w:lang w:val="en-US" w:bidi="ar-SA"/>
          <w14:ligatures w14:val="none"/>
        </w:rPr>
        <w:t>.</w:t>
      </w:r>
    </w:p>
    <w:p w14:paraId="34AF5BD0" w14:textId="7F37C416" w:rsidR="00930154" w:rsidRPr="00037593" w:rsidRDefault="005F334D" w:rsidP="00037D6A">
      <w:pPr>
        <w:spacing w:after="0" w:line="360"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t xml:space="preserve">As observed in the T2DM*HTN column, among patients who never included bitter gourd in their meals (n = 36), approximately 40% achieved ideal </w:t>
      </w:r>
      <w:proofErr w:type="spellStart"/>
      <w:r w:rsidRPr="00037593">
        <w:rPr>
          <w:rFonts w:ascii="Times New Roman" w:eastAsia="Calibri" w:hAnsi="Times New Roman" w:cs="Times New Roman"/>
          <w:kern w:val="0"/>
          <w:sz w:val="24"/>
          <w:szCs w:val="24"/>
          <w:lang w:bidi="ar-SA"/>
          <w14:ligatures w14:val="none"/>
        </w:rPr>
        <w:t>glycemic</w:t>
      </w:r>
      <w:proofErr w:type="spellEnd"/>
      <w:r w:rsidRPr="00037593">
        <w:rPr>
          <w:rFonts w:ascii="Times New Roman" w:eastAsia="Calibri" w:hAnsi="Times New Roman" w:cs="Times New Roman"/>
          <w:kern w:val="0"/>
          <w:sz w:val="24"/>
          <w:szCs w:val="24"/>
          <w:lang w:bidi="ar-SA"/>
          <w14:ligatures w14:val="none"/>
        </w:rPr>
        <w:t xml:space="preserve"> control, followed by 16.7% with satisfactory control and 45% with unsatisfactory </w:t>
      </w:r>
      <w:proofErr w:type="spellStart"/>
      <w:r w:rsidRPr="00037593">
        <w:rPr>
          <w:rFonts w:ascii="Times New Roman" w:eastAsia="Calibri" w:hAnsi="Times New Roman" w:cs="Times New Roman"/>
          <w:kern w:val="0"/>
          <w:sz w:val="24"/>
          <w:szCs w:val="24"/>
          <w:lang w:bidi="ar-SA"/>
          <w14:ligatures w14:val="none"/>
        </w:rPr>
        <w:t>glycemic</w:t>
      </w:r>
      <w:proofErr w:type="spellEnd"/>
      <w:r w:rsidRPr="00037593">
        <w:rPr>
          <w:rFonts w:ascii="Times New Roman" w:eastAsia="Calibri" w:hAnsi="Times New Roman" w:cs="Times New Roman"/>
          <w:kern w:val="0"/>
          <w:sz w:val="24"/>
          <w:szCs w:val="24"/>
          <w:lang w:bidi="ar-SA"/>
          <w14:ligatures w14:val="none"/>
        </w:rPr>
        <w:t xml:space="preserve"> control. Among those who consumed bitter gourd occasionally (</w:t>
      </w:r>
      <w:r w:rsidRPr="00037593">
        <w:rPr>
          <w:rFonts w:ascii="Times New Roman" w:eastAsia="Calibri" w:hAnsi="Times New Roman" w:cs="Times New Roman"/>
          <w:i/>
          <w:iCs/>
          <w:kern w:val="0"/>
          <w:sz w:val="24"/>
          <w:szCs w:val="24"/>
          <w:lang w:bidi="ar-SA"/>
          <w14:ligatures w14:val="none"/>
        </w:rPr>
        <w:t>n</w:t>
      </w:r>
      <w:r w:rsidRPr="00037593">
        <w:rPr>
          <w:rFonts w:ascii="Times New Roman" w:eastAsia="Calibri" w:hAnsi="Times New Roman" w:cs="Times New Roman"/>
          <w:kern w:val="0"/>
          <w:sz w:val="24"/>
          <w:szCs w:val="24"/>
          <w:lang w:bidi="ar-SA"/>
          <w14:ligatures w14:val="none"/>
        </w:rPr>
        <w:t xml:space="preserve"> = 9), over 65% demonstrated unsatisfactory </w:t>
      </w:r>
      <w:proofErr w:type="spellStart"/>
      <w:r w:rsidRPr="00037593">
        <w:rPr>
          <w:rFonts w:ascii="Times New Roman" w:eastAsia="Calibri" w:hAnsi="Times New Roman" w:cs="Times New Roman"/>
          <w:kern w:val="0"/>
          <w:sz w:val="24"/>
          <w:szCs w:val="24"/>
          <w:lang w:bidi="ar-SA"/>
          <w14:ligatures w14:val="none"/>
        </w:rPr>
        <w:t>glycemic</w:t>
      </w:r>
      <w:proofErr w:type="spellEnd"/>
      <w:r w:rsidRPr="00037593">
        <w:rPr>
          <w:rFonts w:ascii="Times New Roman" w:eastAsia="Calibri" w:hAnsi="Times New Roman" w:cs="Times New Roman"/>
          <w:kern w:val="0"/>
          <w:sz w:val="24"/>
          <w:szCs w:val="24"/>
          <w:lang w:bidi="ar-SA"/>
          <w14:ligatures w14:val="none"/>
        </w:rPr>
        <w:t xml:space="preserve"> control, while 35% achieved healthy </w:t>
      </w:r>
      <w:proofErr w:type="spellStart"/>
      <w:r w:rsidRPr="00037593">
        <w:rPr>
          <w:rFonts w:ascii="Times New Roman" w:eastAsia="Calibri" w:hAnsi="Times New Roman" w:cs="Times New Roman"/>
          <w:kern w:val="0"/>
          <w:sz w:val="24"/>
          <w:szCs w:val="24"/>
          <w:lang w:bidi="ar-SA"/>
          <w14:ligatures w14:val="none"/>
        </w:rPr>
        <w:t>glycemic</w:t>
      </w:r>
      <w:proofErr w:type="spellEnd"/>
      <w:r w:rsidRPr="00037593">
        <w:rPr>
          <w:rFonts w:ascii="Times New Roman" w:eastAsia="Calibri" w:hAnsi="Times New Roman" w:cs="Times New Roman"/>
          <w:kern w:val="0"/>
          <w:sz w:val="24"/>
          <w:szCs w:val="24"/>
          <w:lang w:bidi="ar-SA"/>
          <w14:ligatures w14:val="none"/>
        </w:rPr>
        <w:t xml:space="preserve"> levels. </w:t>
      </w:r>
      <w:r w:rsidR="00A7484B" w:rsidRPr="00037593">
        <w:rPr>
          <w:rFonts w:ascii="Times New Roman" w:eastAsia="Calibri" w:hAnsi="Times New Roman" w:cs="Times New Roman"/>
          <w:kern w:val="0"/>
          <w:sz w:val="24"/>
          <w:szCs w:val="24"/>
          <w:lang w:bidi="ar-SA"/>
          <w14:ligatures w14:val="none"/>
        </w:rPr>
        <w:t xml:space="preserve">For patients who consumed bitter gourd regularly (n = 10), nearly 70% successfully maintained their HbA1c% levels within the satisfactory or ideal range. Furthermore, ideal </w:t>
      </w:r>
      <w:proofErr w:type="spellStart"/>
      <w:r w:rsidR="00A7484B" w:rsidRPr="00037593">
        <w:rPr>
          <w:rFonts w:ascii="Times New Roman" w:eastAsia="Calibri" w:hAnsi="Times New Roman" w:cs="Times New Roman"/>
          <w:kern w:val="0"/>
          <w:sz w:val="24"/>
          <w:szCs w:val="24"/>
          <w:lang w:bidi="ar-SA"/>
          <w14:ligatures w14:val="none"/>
        </w:rPr>
        <w:t>glycemic</w:t>
      </w:r>
      <w:proofErr w:type="spellEnd"/>
      <w:r w:rsidR="00A7484B" w:rsidRPr="00037593">
        <w:rPr>
          <w:rFonts w:ascii="Times New Roman" w:eastAsia="Calibri" w:hAnsi="Times New Roman" w:cs="Times New Roman"/>
          <w:kern w:val="0"/>
          <w:sz w:val="24"/>
          <w:szCs w:val="24"/>
          <w:lang w:bidi="ar-SA"/>
          <w14:ligatures w14:val="none"/>
        </w:rPr>
        <w:t xml:space="preserve"> control was observed in all patients who consistently consumed bitter gourd. Despite these trends, the Fisher exact test statistic of 8.29 (p = 0.185) indicated that the association between bitter gourd consumption and HbA1c% levels in T2DM*HTN patients was not statistically significant (p &gt; 0.05).</w:t>
      </w:r>
      <w:r w:rsidR="00037D6A" w:rsidRPr="00037593">
        <w:rPr>
          <w:rFonts w:ascii="Times New Roman" w:hAnsi="Times New Roman" w:cs="Times New Roman"/>
        </w:rPr>
        <w:t xml:space="preserve"> </w:t>
      </w:r>
      <w:r w:rsidR="00037D6A" w:rsidRPr="00037593">
        <w:rPr>
          <w:rFonts w:ascii="Times New Roman" w:eastAsia="Calibri" w:hAnsi="Times New Roman" w:cs="Times New Roman"/>
          <w:kern w:val="0"/>
          <w:sz w:val="24"/>
          <w:szCs w:val="24"/>
          <w:lang w:bidi="ar-SA"/>
          <w14:ligatures w14:val="none"/>
        </w:rPr>
        <w:t>Although differences were noted, their lack of statistical significance underscores the need for further research with larger sample sizes and controlled settings to validate these findings.</w:t>
      </w:r>
    </w:p>
    <w:p w14:paraId="0ACA72B9" w14:textId="77777777" w:rsidR="00930154" w:rsidRPr="00037593" w:rsidRDefault="00930154" w:rsidP="00752E3F">
      <w:pPr>
        <w:rPr>
          <w:rFonts w:ascii="Times New Roman" w:eastAsia="Calibri" w:hAnsi="Times New Roman" w:cs="Times New Roman"/>
          <w:kern w:val="0"/>
          <w:sz w:val="24"/>
          <w:szCs w:val="24"/>
          <w:lang w:val="en-US" w:bidi="ar-SA"/>
          <w14:ligatures w14:val="none"/>
        </w:rPr>
      </w:pPr>
    </w:p>
    <w:p w14:paraId="4B1663B4" w14:textId="3E47C5C8" w:rsidR="00930154" w:rsidRPr="00037593" w:rsidRDefault="00930154" w:rsidP="00752E3F">
      <w:pPr>
        <w:rPr>
          <w:rFonts w:ascii="Times New Roman" w:eastAsia="Calibri" w:hAnsi="Times New Roman" w:cs="Times New Roman"/>
          <w:sz w:val="24"/>
          <w:szCs w:val="24"/>
          <w:lang w:bidi="ar-SA"/>
        </w:rPr>
        <w:sectPr w:rsidR="00930154" w:rsidRPr="00037593" w:rsidSect="00E52B9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2160" w:header="720" w:footer="720" w:gutter="0"/>
          <w:cols w:space="720"/>
          <w:docGrid w:linePitch="360"/>
        </w:sectPr>
      </w:pPr>
    </w:p>
    <w:p w14:paraId="4FD79F8C" w14:textId="77777777" w:rsidR="00873C15" w:rsidRPr="00037593" w:rsidRDefault="00873C15" w:rsidP="00752E3F">
      <w:pPr>
        <w:spacing w:after="0" w:line="360" w:lineRule="auto"/>
        <w:rPr>
          <w:rFonts w:ascii="Times New Roman" w:eastAsia="Calibri" w:hAnsi="Times New Roman" w:cs="Times New Roman"/>
          <w:kern w:val="0"/>
          <w:sz w:val="24"/>
          <w:szCs w:val="24"/>
          <w:lang w:val="en-US" w:bidi="ar-SA"/>
          <w14:ligatures w14:val="none"/>
        </w:rPr>
      </w:pPr>
    </w:p>
    <w:tbl>
      <w:tblPr>
        <w:tblW w:w="5000" w:type="pct"/>
        <w:tblLayout w:type="fixed"/>
        <w:tblLook w:val="04A0" w:firstRow="1" w:lastRow="0" w:firstColumn="1" w:lastColumn="0" w:noHBand="0" w:noVBand="1"/>
      </w:tblPr>
      <w:tblGrid>
        <w:gridCol w:w="994"/>
        <w:gridCol w:w="1131"/>
        <w:gridCol w:w="1025"/>
        <w:gridCol w:w="949"/>
        <w:gridCol w:w="952"/>
        <w:gridCol w:w="1187"/>
        <w:gridCol w:w="1859"/>
        <w:gridCol w:w="265"/>
        <w:gridCol w:w="949"/>
        <w:gridCol w:w="949"/>
        <w:gridCol w:w="952"/>
        <w:gridCol w:w="949"/>
        <w:gridCol w:w="1798"/>
      </w:tblGrid>
      <w:tr w:rsidR="00752E3F" w:rsidRPr="00037593" w14:paraId="33B34F15" w14:textId="77777777" w:rsidTr="00184697">
        <w:trPr>
          <w:trHeight w:val="290"/>
        </w:trPr>
        <w:tc>
          <w:tcPr>
            <w:tcW w:w="356" w:type="pct"/>
            <w:tcBorders>
              <w:top w:val="nil"/>
              <w:left w:val="nil"/>
              <w:bottom w:val="nil"/>
              <w:right w:val="nil"/>
            </w:tcBorders>
            <w:shd w:val="clear" w:color="auto" w:fill="auto"/>
            <w:noWrap/>
            <w:vAlign w:val="bottom"/>
            <w:hideMark/>
          </w:tcPr>
          <w:p w14:paraId="125AC17F" w14:textId="7D107701"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xml:space="preserve">Table </w:t>
            </w:r>
            <w:r w:rsidR="00B75DF0" w:rsidRPr="00037593">
              <w:rPr>
                <w:rFonts w:ascii="Times New Roman" w:eastAsia="Times New Roman" w:hAnsi="Times New Roman" w:cs="Times New Roman"/>
                <w:b/>
                <w:bCs/>
                <w:kern w:val="0"/>
                <w:szCs w:val="22"/>
                <w:lang w:val="en-US" w:eastAsia="en-IN"/>
                <w14:ligatures w14:val="none"/>
              </w:rPr>
              <w:t>2</w:t>
            </w:r>
          </w:p>
        </w:tc>
        <w:tc>
          <w:tcPr>
            <w:tcW w:w="405" w:type="pct"/>
            <w:tcBorders>
              <w:top w:val="nil"/>
              <w:left w:val="nil"/>
              <w:bottom w:val="nil"/>
              <w:right w:val="nil"/>
            </w:tcBorders>
            <w:shd w:val="clear" w:color="auto" w:fill="auto"/>
            <w:noWrap/>
            <w:vAlign w:val="bottom"/>
            <w:hideMark/>
          </w:tcPr>
          <w:p w14:paraId="3EBDE9D9"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367" w:type="pct"/>
            <w:tcBorders>
              <w:top w:val="nil"/>
              <w:left w:val="nil"/>
              <w:bottom w:val="nil"/>
              <w:right w:val="nil"/>
            </w:tcBorders>
            <w:shd w:val="clear" w:color="auto" w:fill="auto"/>
            <w:noWrap/>
            <w:vAlign w:val="bottom"/>
            <w:hideMark/>
          </w:tcPr>
          <w:p w14:paraId="16C0F2F7"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0335AC00"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341" w:type="pct"/>
            <w:tcBorders>
              <w:top w:val="nil"/>
              <w:left w:val="nil"/>
              <w:bottom w:val="nil"/>
              <w:right w:val="nil"/>
            </w:tcBorders>
            <w:shd w:val="clear" w:color="auto" w:fill="auto"/>
            <w:noWrap/>
            <w:vAlign w:val="bottom"/>
            <w:hideMark/>
          </w:tcPr>
          <w:p w14:paraId="3D142D4E"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425" w:type="pct"/>
            <w:tcBorders>
              <w:top w:val="nil"/>
              <w:left w:val="nil"/>
              <w:bottom w:val="nil"/>
              <w:right w:val="nil"/>
            </w:tcBorders>
            <w:shd w:val="clear" w:color="auto" w:fill="auto"/>
            <w:noWrap/>
            <w:vAlign w:val="bottom"/>
            <w:hideMark/>
          </w:tcPr>
          <w:p w14:paraId="4A1AD0BF"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p>
        </w:tc>
        <w:tc>
          <w:tcPr>
            <w:tcW w:w="666" w:type="pct"/>
            <w:tcBorders>
              <w:top w:val="nil"/>
              <w:left w:val="nil"/>
              <w:bottom w:val="nil"/>
              <w:right w:val="nil"/>
            </w:tcBorders>
            <w:shd w:val="clear" w:color="auto" w:fill="auto"/>
            <w:noWrap/>
            <w:vAlign w:val="bottom"/>
            <w:hideMark/>
          </w:tcPr>
          <w:p w14:paraId="01C6FDD7"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95" w:type="pct"/>
            <w:tcBorders>
              <w:top w:val="nil"/>
              <w:left w:val="nil"/>
              <w:bottom w:val="nil"/>
              <w:right w:val="nil"/>
            </w:tcBorders>
            <w:shd w:val="clear" w:color="auto" w:fill="auto"/>
            <w:noWrap/>
            <w:vAlign w:val="bottom"/>
            <w:hideMark/>
          </w:tcPr>
          <w:p w14:paraId="4A04DB66"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3761BE09"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3BC431EB"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1" w:type="pct"/>
            <w:tcBorders>
              <w:top w:val="nil"/>
              <w:left w:val="nil"/>
              <w:bottom w:val="nil"/>
              <w:right w:val="nil"/>
            </w:tcBorders>
            <w:shd w:val="clear" w:color="auto" w:fill="auto"/>
            <w:noWrap/>
            <w:vAlign w:val="bottom"/>
            <w:hideMark/>
          </w:tcPr>
          <w:p w14:paraId="70BBC542"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nil"/>
              <w:right w:val="nil"/>
            </w:tcBorders>
            <w:shd w:val="clear" w:color="auto" w:fill="auto"/>
            <w:noWrap/>
            <w:vAlign w:val="bottom"/>
            <w:hideMark/>
          </w:tcPr>
          <w:p w14:paraId="6E8B5A5A"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644" w:type="pct"/>
            <w:tcBorders>
              <w:top w:val="nil"/>
              <w:left w:val="nil"/>
              <w:bottom w:val="nil"/>
              <w:right w:val="nil"/>
            </w:tcBorders>
            <w:shd w:val="clear" w:color="auto" w:fill="auto"/>
            <w:noWrap/>
            <w:vAlign w:val="bottom"/>
            <w:hideMark/>
          </w:tcPr>
          <w:p w14:paraId="731625C1"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r>
      <w:tr w:rsidR="00752E3F" w:rsidRPr="00037593" w14:paraId="35BCE71E" w14:textId="77777777" w:rsidTr="00184697">
        <w:trPr>
          <w:trHeight w:val="360"/>
        </w:trPr>
        <w:tc>
          <w:tcPr>
            <w:tcW w:w="5000" w:type="pct"/>
            <w:gridSpan w:val="13"/>
            <w:tcBorders>
              <w:top w:val="nil"/>
              <w:left w:val="nil"/>
              <w:bottom w:val="single" w:sz="12" w:space="0" w:color="auto"/>
              <w:right w:val="nil"/>
            </w:tcBorders>
            <w:shd w:val="clear" w:color="auto" w:fill="auto"/>
            <w:noWrap/>
            <w:vAlign w:val="center"/>
            <w:hideMark/>
          </w:tcPr>
          <w:p w14:paraId="00ED96C0" w14:textId="3AEEB219"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xml:space="preserve">Association between Frequency of Consuming </w:t>
            </w:r>
            <w:r w:rsidR="00037D6A" w:rsidRPr="00037593">
              <w:rPr>
                <w:rFonts w:ascii="Times New Roman" w:eastAsia="Times New Roman" w:hAnsi="Times New Roman" w:cs="Times New Roman"/>
                <w:b/>
                <w:bCs/>
                <w:kern w:val="0"/>
                <w:szCs w:val="22"/>
                <w:lang w:val="en-US" w:eastAsia="en-IN"/>
                <w14:ligatures w14:val="none"/>
              </w:rPr>
              <w:t>bitter gourd</w:t>
            </w:r>
            <w:r w:rsidRPr="00037593">
              <w:rPr>
                <w:rFonts w:ascii="Times New Roman" w:eastAsia="Times New Roman" w:hAnsi="Times New Roman" w:cs="Times New Roman"/>
                <w:b/>
                <w:bCs/>
                <w:kern w:val="0"/>
                <w:szCs w:val="22"/>
                <w:lang w:val="en-US" w:eastAsia="en-IN"/>
                <w14:ligatures w14:val="none"/>
              </w:rPr>
              <w:t xml:space="preserve"> and Control of HbA1c % Level among the Patients of T2DM and T2DM*HTN</w:t>
            </w:r>
          </w:p>
        </w:tc>
      </w:tr>
      <w:tr w:rsidR="00752E3F" w:rsidRPr="00037593" w14:paraId="318B3740" w14:textId="77777777" w:rsidTr="00184697">
        <w:trPr>
          <w:trHeight w:val="310"/>
        </w:trPr>
        <w:tc>
          <w:tcPr>
            <w:tcW w:w="356" w:type="pct"/>
            <w:vMerge w:val="restart"/>
            <w:tcBorders>
              <w:top w:val="nil"/>
              <w:left w:val="nil"/>
              <w:bottom w:val="single" w:sz="12" w:space="0" w:color="000000"/>
              <w:right w:val="nil"/>
            </w:tcBorders>
            <w:shd w:val="clear" w:color="auto" w:fill="auto"/>
            <w:vAlign w:val="center"/>
            <w:hideMark/>
          </w:tcPr>
          <w:p w14:paraId="2AFB398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Special Food</w:t>
            </w:r>
          </w:p>
        </w:tc>
        <w:tc>
          <w:tcPr>
            <w:tcW w:w="405" w:type="pct"/>
            <w:vMerge w:val="restart"/>
            <w:tcBorders>
              <w:top w:val="nil"/>
              <w:left w:val="nil"/>
              <w:bottom w:val="single" w:sz="12" w:space="0" w:color="000000"/>
              <w:right w:val="nil"/>
            </w:tcBorders>
            <w:shd w:val="clear" w:color="auto" w:fill="auto"/>
            <w:vAlign w:val="center"/>
            <w:hideMark/>
          </w:tcPr>
          <w:p w14:paraId="02DB9863"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Frequency</w:t>
            </w:r>
          </w:p>
        </w:tc>
        <w:tc>
          <w:tcPr>
            <w:tcW w:w="1473" w:type="pct"/>
            <w:gridSpan w:val="4"/>
            <w:tcBorders>
              <w:top w:val="single" w:sz="12" w:space="0" w:color="auto"/>
              <w:left w:val="nil"/>
              <w:bottom w:val="nil"/>
              <w:right w:val="nil"/>
            </w:tcBorders>
            <w:shd w:val="clear" w:color="auto" w:fill="auto"/>
            <w:vAlign w:val="center"/>
            <w:hideMark/>
          </w:tcPr>
          <w:p w14:paraId="3D71D05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xml:space="preserve">T2DM </w:t>
            </w:r>
          </w:p>
        </w:tc>
        <w:tc>
          <w:tcPr>
            <w:tcW w:w="666" w:type="pct"/>
            <w:tcBorders>
              <w:top w:val="nil"/>
              <w:left w:val="nil"/>
              <w:bottom w:val="nil"/>
              <w:right w:val="nil"/>
            </w:tcBorders>
            <w:shd w:val="clear" w:color="auto" w:fill="auto"/>
            <w:vAlign w:val="center"/>
            <w:hideMark/>
          </w:tcPr>
          <w:p w14:paraId="5252E3F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c>
          <w:tcPr>
            <w:tcW w:w="95" w:type="pct"/>
            <w:tcBorders>
              <w:top w:val="nil"/>
              <w:left w:val="nil"/>
              <w:bottom w:val="nil"/>
              <w:right w:val="nil"/>
            </w:tcBorders>
            <w:shd w:val="clear" w:color="auto" w:fill="auto"/>
            <w:vAlign w:val="center"/>
            <w:hideMark/>
          </w:tcPr>
          <w:p w14:paraId="510142D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c>
          <w:tcPr>
            <w:tcW w:w="1361" w:type="pct"/>
            <w:gridSpan w:val="4"/>
            <w:tcBorders>
              <w:top w:val="single" w:sz="12" w:space="0" w:color="auto"/>
              <w:left w:val="nil"/>
              <w:bottom w:val="single" w:sz="8" w:space="0" w:color="auto"/>
              <w:right w:val="nil"/>
            </w:tcBorders>
            <w:shd w:val="clear" w:color="auto" w:fill="auto"/>
            <w:vAlign w:val="center"/>
            <w:hideMark/>
          </w:tcPr>
          <w:p w14:paraId="386E1B7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T2DM*HTN</w:t>
            </w:r>
          </w:p>
        </w:tc>
        <w:tc>
          <w:tcPr>
            <w:tcW w:w="644" w:type="pct"/>
            <w:tcBorders>
              <w:top w:val="nil"/>
              <w:left w:val="nil"/>
              <w:bottom w:val="nil"/>
              <w:right w:val="nil"/>
            </w:tcBorders>
            <w:shd w:val="clear" w:color="auto" w:fill="auto"/>
            <w:vAlign w:val="center"/>
            <w:hideMark/>
          </w:tcPr>
          <w:p w14:paraId="732019D0"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r>
      <w:tr w:rsidR="00752E3F" w:rsidRPr="00037593" w14:paraId="76395F78" w14:textId="77777777" w:rsidTr="00184697">
        <w:trPr>
          <w:trHeight w:val="300"/>
        </w:trPr>
        <w:tc>
          <w:tcPr>
            <w:tcW w:w="356" w:type="pct"/>
            <w:vMerge/>
            <w:tcBorders>
              <w:top w:val="nil"/>
              <w:left w:val="nil"/>
              <w:bottom w:val="single" w:sz="12" w:space="0" w:color="000000"/>
              <w:right w:val="nil"/>
            </w:tcBorders>
            <w:vAlign w:val="center"/>
            <w:hideMark/>
          </w:tcPr>
          <w:p w14:paraId="44D3614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vMerge/>
            <w:tcBorders>
              <w:top w:val="nil"/>
              <w:left w:val="nil"/>
              <w:bottom w:val="single" w:sz="12" w:space="0" w:color="000000"/>
              <w:right w:val="nil"/>
            </w:tcBorders>
            <w:vAlign w:val="center"/>
            <w:hideMark/>
          </w:tcPr>
          <w:p w14:paraId="7C4892A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1048" w:type="pct"/>
            <w:gridSpan w:val="3"/>
            <w:tcBorders>
              <w:top w:val="single" w:sz="8" w:space="0" w:color="auto"/>
              <w:left w:val="nil"/>
              <w:bottom w:val="single" w:sz="8" w:space="0" w:color="auto"/>
              <w:right w:val="nil"/>
            </w:tcBorders>
            <w:shd w:val="clear" w:color="auto" w:fill="auto"/>
            <w:vAlign w:val="center"/>
            <w:hideMark/>
          </w:tcPr>
          <w:p w14:paraId="072ED5AE"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Control of HbA1c % level</w:t>
            </w:r>
          </w:p>
        </w:tc>
        <w:tc>
          <w:tcPr>
            <w:tcW w:w="425" w:type="pct"/>
            <w:vMerge w:val="restart"/>
            <w:tcBorders>
              <w:top w:val="nil"/>
              <w:left w:val="nil"/>
              <w:bottom w:val="single" w:sz="12" w:space="0" w:color="000000"/>
              <w:right w:val="nil"/>
            </w:tcBorders>
            <w:shd w:val="clear" w:color="auto" w:fill="auto"/>
            <w:vAlign w:val="center"/>
            <w:hideMark/>
          </w:tcPr>
          <w:p w14:paraId="2AC832E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Total</w:t>
            </w:r>
          </w:p>
        </w:tc>
        <w:tc>
          <w:tcPr>
            <w:tcW w:w="666" w:type="pct"/>
            <w:vMerge w:val="restart"/>
            <w:tcBorders>
              <w:top w:val="single" w:sz="8" w:space="0" w:color="auto"/>
              <w:left w:val="nil"/>
              <w:bottom w:val="single" w:sz="12" w:space="0" w:color="000000"/>
              <w:right w:val="nil"/>
            </w:tcBorders>
            <w:shd w:val="clear" w:color="auto" w:fill="auto"/>
            <w:vAlign w:val="center"/>
            <w:hideMark/>
          </w:tcPr>
          <w:p w14:paraId="5D56893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Fishers Exact Test</w:t>
            </w:r>
          </w:p>
        </w:tc>
        <w:tc>
          <w:tcPr>
            <w:tcW w:w="95" w:type="pct"/>
            <w:tcBorders>
              <w:top w:val="nil"/>
              <w:left w:val="nil"/>
              <w:bottom w:val="nil"/>
              <w:right w:val="nil"/>
            </w:tcBorders>
            <w:shd w:val="clear" w:color="auto" w:fill="auto"/>
            <w:vAlign w:val="center"/>
            <w:hideMark/>
          </w:tcPr>
          <w:p w14:paraId="5BDAB1A9"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1021" w:type="pct"/>
            <w:gridSpan w:val="3"/>
            <w:tcBorders>
              <w:top w:val="single" w:sz="8" w:space="0" w:color="auto"/>
              <w:left w:val="nil"/>
              <w:bottom w:val="single" w:sz="8" w:space="0" w:color="auto"/>
              <w:right w:val="nil"/>
            </w:tcBorders>
            <w:shd w:val="clear" w:color="auto" w:fill="auto"/>
            <w:vAlign w:val="center"/>
            <w:hideMark/>
          </w:tcPr>
          <w:p w14:paraId="6FDE8073"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Control of HbA1c % level</w:t>
            </w:r>
          </w:p>
        </w:tc>
        <w:tc>
          <w:tcPr>
            <w:tcW w:w="340" w:type="pct"/>
            <w:vMerge w:val="restart"/>
            <w:tcBorders>
              <w:top w:val="nil"/>
              <w:left w:val="nil"/>
              <w:bottom w:val="single" w:sz="12" w:space="0" w:color="000000"/>
              <w:right w:val="nil"/>
            </w:tcBorders>
            <w:shd w:val="clear" w:color="auto" w:fill="auto"/>
            <w:vAlign w:val="center"/>
            <w:hideMark/>
          </w:tcPr>
          <w:p w14:paraId="45F2B6B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Total</w:t>
            </w:r>
          </w:p>
        </w:tc>
        <w:tc>
          <w:tcPr>
            <w:tcW w:w="644" w:type="pct"/>
            <w:vMerge w:val="restart"/>
            <w:tcBorders>
              <w:top w:val="single" w:sz="8" w:space="0" w:color="auto"/>
              <w:left w:val="nil"/>
              <w:bottom w:val="single" w:sz="12" w:space="0" w:color="000000"/>
              <w:right w:val="nil"/>
            </w:tcBorders>
            <w:shd w:val="clear" w:color="auto" w:fill="auto"/>
            <w:vAlign w:val="center"/>
            <w:hideMark/>
          </w:tcPr>
          <w:p w14:paraId="0B5926F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Fishers Exact Test</w:t>
            </w:r>
          </w:p>
        </w:tc>
      </w:tr>
      <w:tr w:rsidR="00752E3F" w:rsidRPr="00037593" w14:paraId="35943A61" w14:textId="77777777" w:rsidTr="00184697">
        <w:trPr>
          <w:trHeight w:val="300"/>
        </w:trPr>
        <w:tc>
          <w:tcPr>
            <w:tcW w:w="356" w:type="pct"/>
            <w:vMerge/>
            <w:tcBorders>
              <w:top w:val="nil"/>
              <w:left w:val="nil"/>
              <w:bottom w:val="single" w:sz="12" w:space="0" w:color="000000"/>
              <w:right w:val="nil"/>
            </w:tcBorders>
            <w:vAlign w:val="center"/>
            <w:hideMark/>
          </w:tcPr>
          <w:p w14:paraId="12107B3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vMerge/>
            <w:tcBorders>
              <w:top w:val="nil"/>
              <w:left w:val="nil"/>
              <w:bottom w:val="single" w:sz="12" w:space="0" w:color="000000"/>
              <w:right w:val="nil"/>
            </w:tcBorders>
            <w:vAlign w:val="center"/>
            <w:hideMark/>
          </w:tcPr>
          <w:p w14:paraId="1D533011"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367" w:type="pct"/>
            <w:tcBorders>
              <w:top w:val="nil"/>
              <w:left w:val="nil"/>
              <w:bottom w:val="single" w:sz="12" w:space="0" w:color="auto"/>
              <w:right w:val="nil"/>
            </w:tcBorders>
            <w:shd w:val="clear" w:color="auto" w:fill="auto"/>
            <w:vAlign w:val="center"/>
            <w:hideMark/>
          </w:tcPr>
          <w:p w14:paraId="1B67BC2B"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&lt; 7</w:t>
            </w:r>
          </w:p>
        </w:tc>
        <w:tc>
          <w:tcPr>
            <w:tcW w:w="340" w:type="pct"/>
            <w:tcBorders>
              <w:top w:val="nil"/>
              <w:left w:val="nil"/>
              <w:bottom w:val="single" w:sz="12" w:space="0" w:color="auto"/>
              <w:right w:val="nil"/>
            </w:tcBorders>
            <w:shd w:val="clear" w:color="auto" w:fill="auto"/>
            <w:vAlign w:val="center"/>
            <w:hideMark/>
          </w:tcPr>
          <w:p w14:paraId="75AA75BD"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≥7 - &lt;8</w:t>
            </w:r>
          </w:p>
        </w:tc>
        <w:tc>
          <w:tcPr>
            <w:tcW w:w="341" w:type="pct"/>
            <w:tcBorders>
              <w:top w:val="nil"/>
              <w:left w:val="nil"/>
              <w:bottom w:val="single" w:sz="12" w:space="0" w:color="auto"/>
              <w:right w:val="nil"/>
            </w:tcBorders>
            <w:shd w:val="clear" w:color="auto" w:fill="auto"/>
            <w:vAlign w:val="center"/>
            <w:hideMark/>
          </w:tcPr>
          <w:p w14:paraId="2773D5BD"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8</w:t>
            </w:r>
          </w:p>
        </w:tc>
        <w:tc>
          <w:tcPr>
            <w:tcW w:w="425" w:type="pct"/>
            <w:vMerge/>
            <w:tcBorders>
              <w:top w:val="nil"/>
              <w:left w:val="nil"/>
              <w:bottom w:val="single" w:sz="12" w:space="0" w:color="000000"/>
              <w:right w:val="nil"/>
            </w:tcBorders>
            <w:vAlign w:val="center"/>
            <w:hideMark/>
          </w:tcPr>
          <w:p w14:paraId="21DB73B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666" w:type="pct"/>
            <w:vMerge/>
            <w:tcBorders>
              <w:top w:val="single" w:sz="8" w:space="0" w:color="auto"/>
              <w:left w:val="nil"/>
              <w:bottom w:val="single" w:sz="12" w:space="0" w:color="000000"/>
              <w:right w:val="nil"/>
            </w:tcBorders>
            <w:vAlign w:val="center"/>
            <w:hideMark/>
          </w:tcPr>
          <w:p w14:paraId="7AF365A8"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95" w:type="pct"/>
            <w:tcBorders>
              <w:top w:val="nil"/>
              <w:left w:val="nil"/>
              <w:bottom w:val="single" w:sz="12" w:space="0" w:color="auto"/>
              <w:right w:val="nil"/>
            </w:tcBorders>
            <w:shd w:val="clear" w:color="auto" w:fill="auto"/>
            <w:vAlign w:val="center"/>
            <w:hideMark/>
          </w:tcPr>
          <w:p w14:paraId="668FDBF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w:t>
            </w:r>
          </w:p>
        </w:tc>
        <w:tc>
          <w:tcPr>
            <w:tcW w:w="340" w:type="pct"/>
            <w:tcBorders>
              <w:top w:val="nil"/>
              <w:left w:val="nil"/>
              <w:bottom w:val="single" w:sz="12" w:space="0" w:color="auto"/>
              <w:right w:val="nil"/>
            </w:tcBorders>
            <w:shd w:val="clear" w:color="auto" w:fill="auto"/>
            <w:vAlign w:val="center"/>
            <w:hideMark/>
          </w:tcPr>
          <w:p w14:paraId="37F7396D"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&lt; 7</w:t>
            </w:r>
          </w:p>
        </w:tc>
        <w:tc>
          <w:tcPr>
            <w:tcW w:w="340" w:type="pct"/>
            <w:tcBorders>
              <w:top w:val="nil"/>
              <w:left w:val="nil"/>
              <w:bottom w:val="single" w:sz="12" w:space="0" w:color="auto"/>
              <w:right w:val="nil"/>
            </w:tcBorders>
            <w:shd w:val="clear" w:color="auto" w:fill="auto"/>
            <w:vAlign w:val="center"/>
            <w:hideMark/>
          </w:tcPr>
          <w:p w14:paraId="2262CD23"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≥7 - &lt;8</w:t>
            </w:r>
          </w:p>
        </w:tc>
        <w:tc>
          <w:tcPr>
            <w:tcW w:w="341" w:type="pct"/>
            <w:tcBorders>
              <w:top w:val="nil"/>
              <w:left w:val="nil"/>
              <w:bottom w:val="single" w:sz="12" w:space="0" w:color="auto"/>
              <w:right w:val="nil"/>
            </w:tcBorders>
            <w:shd w:val="clear" w:color="auto" w:fill="auto"/>
            <w:vAlign w:val="center"/>
            <w:hideMark/>
          </w:tcPr>
          <w:p w14:paraId="43647694" w14:textId="77777777" w:rsidR="00873C15" w:rsidRPr="00037593" w:rsidRDefault="00873C15" w:rsidP="00752E3F">
            <w:pPr>
              <w:spacing w:after="0" w:line="240" w:lineRule="auto"/>
              <w:rPr>
                <w:rFonts w:ascii="Times New Roman" w:eastAsia="Times New Roman" w:hAnsi="Times New Roman" w:cs="Times New Roman"/>
                <w:b/>
                <w:bCs/>
                <w:kern w:val="0"/>
                <w:szCs w:val="22"/>
                <w:lang w:eastAsia="en-IN"/>
                <w14:ligatures w14:val="none"/>
              </w:rPr>
            </w:pPr>
            <w:r w:rsidRPr="00037593">
              <w:rPr>
                <w:rFonts w:ascii="Times New Roman" w:eastAsia="Times New Roman" w:hAnsi="Times New Roman" w:cs="Times New Roman"/>
                <w:b/>
                <w:bCs/>
                <w:kern w:val="0"/>
                <w:szCs w:val="22"/>
                <w:lang w:val="en-US" w:eastAsia="en-IN"/>
                <w14:ligatures w14:val="none"/>
              </w:rPr>
              <w:t>≥ 8</w:t>
            </w:r>
          </w:p>
        </w:tc>
        <w:tc>
          <w:tcPr>
            <w:tcW w:w="340" w:type="pct"/>
            <w:vMerge/>
            <w:tcBorders>
              <w:top w:val="nil"/>
              <w:left w:val="nil"/>
              <w:bottom w:val="single" w:sz="12" w:space="0" w:color="000000"/>
              <w:right w:val="nil"/>
            </w:tcBorders>
            <w:vAlign w:val="center"/>
            <w:hideMark/>
          </w:tcPr>
          <w:p w14:paraId="0025F4D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644" w:type="pct"/>
            <w:vMerge/>
            <w:tcBorders>
              <w:top w:val="single" w:sz="8" w:space="0" w:color="auto"/>
              <w:left w:val="nil"/>
              <w:bottom w:val="single" w:sz="12" w:space="0" w:color="000000"/>
              <w:right w:val="nil"/>
            </w:tcBorders>
            <w:vAlign w:val="center"/>
            <w:hideMark/>
          </w:tcPr>
          <w:p w14:paraId="4B2DC2B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r>
      <w:tr w:rsidR="00752E3F" w:rsidRPr="00037593" w14:paraId="481E7B02" w14:textId="77777777" w:rsidTr="00184697">
        <w:trPr>
          <w:trHeight w:val="527"/>
        </w:trPr>
        <w:tc>
          <w:tcPr>
            <w:tcW w:w="356" w:type="pct"/>
            <w:vMerge w:val="restart"/>
            <w:tcBorders>
              <w:top w:val="nil"/>
              <w:left w:val="nil"/>
              <w:bottom w:val="single" w:sz="8" w:space="0" w:color="000000"/>
              <w:right w:val="nil"/>
            </w:tcBorders>
            <w:shd w:val="clear" w:color="auto" w:fill="auto"/>
            <w:vAlign w:val="center"/>
            <w:hideMark/>
          </w:tcPr>
          <w:p w14:paraId="1290772E"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Bitter gourd</w:t>
            </w:r>
          </w:p>
        </w:tc>
        <w:tc>
          <w:tcPr>
            <w:tcW w:w="405" w:type="pct"/>
            <w:tcBorders>
              <w:top w:val="nil"/>
              <w:left w:val="nil"/>
              <w:bottom w:val="nil"/>
              <w:right w:val="nil"/>
            </w:tcBorders>
            <w:shd w:val="clear" w:color="auto" w:fill="auto"/>
            <w:noWrap/>
            <w:vAlign w:val="center"/>
            <w:hideMark/>
          </w:tcPr>
          <w:p w14:paraId="4B38CE51"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Never</w:t>
            </w:r>
          </w:p>
        </w:tc>
        <w:tc>
          <w:tcPr>
            <w:tcW w:w="367" w:type="pct"/>
            <w:tcBorders>
              <w:top w:val="nil"/>
              <w:left w:val="nil"/>
              <w:bottom w:val="nil"/>
              <w:right w:val="nil"/>
            </w:tcBorders>
            <w:shd w:val="clear" w:color="auto" w:fill="auto"/>
            <w:noWrap/>
            <w:vAlign w:val="center"/>
            <w:hideMark/>
          </w:tcPr>
          <w:p w14:paraId="5D4FD28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11.8 (8)</w:t>
            </w:r>
          </w:p>
        </w:tc>
        <w:tc>
          <w:tcPr>
            <w:tcW w:w="340" w:type="pct"/>
            <w:tcBorders>
              <w:top w:val="nil"/>
              <w:left w:val="nil"/>
              <w:bottom w:val="nil"/>
              <w:right w:val="nil"/>
            </w:tcBorders>
            <w:shd w:val="clear" w:color="auto" w:fill="auto"/>
            <w:noWrap/>
            <w:vAlign w:val="center"/>
            <w:hideMark/>
          </w:tcPr>
          <w:p w14:paraId="5A4BEAAB"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29.4 (20)</w:t>
            </w:r>
          </w:p>
        </w:tc>
        <w:tc>
          <w:tcPr>
            <w:tcW w:w="341" w:type="pct"/>
            <w:tcBorders>
              <w:top w:val="nil"/>
              <w:left w:val="nil"/>
              <w:bottom w:val="nil"/>
              <w:right w:val="nil"/>
            </w:tcBorders>
            <w:shd w:val="clear" w:color="auto" w:fill="auto"/>
            <w:noWrap/>
            <w:vAlign w:val="center"/>
            <w:hideMark/>
          </w:tcPr>
          <w:p w14:paraId="2D767E5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58.8 (40)</w:t>
            </w:r>
          </w:p>
        </w:tc>
        <w:tc>
          <w:tcPr>
            <w:tcW w:w="425" w:type="pct"/>
            <w:tcBorders>
              <w:top w:val="nil"/>
              <w:left w:val="nil"/>
              <w:bottom w:val="nil"/>
              <w:right w:val="nil"/>
            </w:tcBorders>
            <w:shd w:val="clear" w:color="auto" w:fill="auto"/>
            <w:noWrap/>
            <w:vAlign w:val="center"/>
            <w:hideMark/>
          </w:tcPr>
          <w:p w14:paraId="35DA59E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68.0 (68)</w:t>
            </w:r>
          </w:p>
        </w:tc>
        <w:tc>
          <w:tcPr>
            <w:tcW w:w="666" w:type="pct"/>
            <w:tcBorders>
              <w:top w:val="nil"/>
              <w:left w:val="nil"/>
              <w:bottom w:val="nil"/>
              <w:right w:val="nil"/>
            </w:tcBorders>
            <w:shd w:val="clear" w:color="auto" w:fill="auto"/>
            <w:vAlign w:val="center"/>
            <w:hideMark/>
          </w:tcPr>
          <w:p w14:paraId="14B7BB8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xml:space="preserve">* Fisher Exact statistics= 16.72, </w:t>
            </w:r>
          </w:p>
        </w:tc>
        <w:tc>
          <w:tcPr>
            <w:tcW w:w="95" w:type="pct"/>
            <w:tcBorders>
              <w:top w:val="nil"/>
              <w:left w:val="nil"/>
              <w:bottom w:val="nil"/>
              <w:right w:val="nil"/>
            </w:tcBorders>
            <w:shd w:val="clear" w:color="auto" w:fill="auto"/>
            <w:vAlign w:val="center"/>
            <w:hideMark/>
          </w:tcPr>
          <w:p w14:paraId="67A1DDE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47CA685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38.9 (14)</w:t>
            </w:r>
          </w:p>
        </w:tc>
        <w:tc>
          <w:tcPr>
            <w:tcW w:w="340" w:type="pct"/>
            <w:tcBorders>
              <w:top w:val="nil"/>
              <w:left w:val="nil"/>
              <w:bottom w:val="nil"/>
              <w:right w:val="nil"/>
            </w:tcBorders>
            <w:shd w:val="clear" w:color="auto" w:fill="auto"/>
            <w:noWrap/>
            <w:vAlign w:val="center"/>
            <w:hideMark/>
          </w:tcPr>
          <w:p w14:paraId="3B11BCC1"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16.7 (6)</w:t>
            </w:r>
          </w:p>
        </w:tc>
        <w:tc>
          <w:tcPr>
            <w:tcW w:w="341" w:type="pct"/>
            <w:tcBorders>
              <w:top w:val="nil"/>
              <w:left w:val="nil"/>
              <w:bottom w:val="nil"/>
              <w:right w:val="nil"/>
            </w:tcBorders>
            <w:shd w:val="clear" w:color="auto" w:fill="auto"/>
            <w:noWrap/>
            <w:vAlign w:val="center"/>
            <w:hideMark/>
          </w:tcPr>
          <w:p w14:paraId="3283083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44.4 (16)</w:t>
            </w:r>
          </w:p>
        </w:tc>
        <w:tc>
          <w:tcPr>
            <w:tcW w:w="340" w:type="pct"/>
            <w:tcBorders>
              <w:top w:val="nil"/>
              <w:left w:val="nil"/>
              <w:bottom w:val="nil"/>
              <w:right w:val="nil"/>
            </w:tcBorders>
            <w:shd w:val="clear" w:color="auto" w:fill="auto"/>
            <w:noWrap/>
            <w:vAlign w:val="center"/>
            <w:hideMark/>
          </w:tcPr>
          <w:p w14:paraId="67DEE01F"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60 (36)</w:t>
            </w:r>
          </w:p>
        </w:tc>
        <w:tc>
          <w:tcPr>
            <w:tcW w:w="644" w:type="pct"/>
            <w:tcBorders>
              <w:top w:val="nil"/>
              <w:left w:val="nil"/>
              <w:bottom w:val="nil"/>
              <w:right w:val="nil"/>
            </w:tcBorders>
            <w:shd w:val="clear" w:color="auto" w:fill="auto"/>
            <w:vAlign w:val="center"/>
            <w:hideMark/>
          </w:tcPr>
          <w:p w14:paraId="6C4903A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 xml:space="preserve">Fisher Exact statistics = 8.29, </w:t>
            </w:r>
          </w:p>
        </w:tc>
      </w:tr>
      <w:tr w:rsidR="00752E3F" w:rsidRPr="00037593" w14:paraId="707719BB" w14:textId="77777777" w:rsidTr="00184697">
        <w:trPr>
          <w:trHeight w:val="544"/>
        </w:trPr>
        <w:tc>
          <w:tcPr>
            <w:tcW w:w="356" w:type="pct"/>
            <w:vMerge/>
            <w:tcBorders>
              <w:top w:val="nil"/>
              <w:left w:val="nil"/>
              <w:bottom w:val="single" w:sz="8" w:space="0" w:color="000000"/>
              <w:right w:val="nil"/>
            </w:tcBorders>
            <w:vAlign w:val="center"/>
            <w:hideMark/>
          </w:tcPr>
          <w:p w14:paraId="5461C51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tcBorders>
              <w:top w:val="nil"/>
              <w:left w:val="nil"/>
              <w:bottom w:val="nil"/>
              <w:right w:val="nil"/>
            </w:tcBorders>
            <w:shd w:val="clear" w:color="auto" w:fill="auto"/>
            <w:vAlign w:val="center"/>
            <w:hideMark/>
          </w:tcPr>
          <w:p w14:paraId="45D289C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Sometimes</w:t>
            </w:r>
          </w:p>
        </w:tc>
        <w:tc>
          <w:tcPr>
            <w:tcW w:w="367" w:type="pct"/>
            <w:tcBorders>
              <w:top w:val="nil"/>
              <w:left w:val="nil"/>
              <w:bottom w:val="nil"/>
              <w:right w:val="nil"/>
            </w:tcBorders>
            <w:shd w:val="clear" w:color="auto" w:fill="auto"/>
            <w:vAlign w:val="center"/>
            <w:hideMark/>
          </w:tcPr>
          <w:p w14:paraId="38FD48C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18.8 (3)</w:t>
            </w:r>
          </w:p>
        </w:tc>
        <w:tc>
          <w:tcPr>
            <w:tcW w:w="340" w:type="pct"/>
            <w:tcBorders>
              <w:top w:val="nil"/>
              <w:left w:val="nil"/>
              <w:bottom w:val="nil"/>
              <w:right w:val="nil"/>
            </w:tcBorders>
            <w:shd w:val="clear" w:color="auto" w:fill="auto"/>
            <w:noWrap/>
            <w:vAlign w:val="center"/>
            <w:hideMark/>
          </w:tcPr>
          <w:p w14:paraId="67DDC2D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0.0 (0)</w:t>
            </w:r>
          </w:p>
        </w:tc>
        <w:tc>
          <w:tcPr>
            <w:tcW w:w="341" w:type="pct"/>
            <w:tcBorders>
              <w:top w:val="nil"/>
              <w:left w:val="nil"/>
              <w:bottom w:val="nil"/>
              <w:right w:val="nil"/>
            </w:tcBorders>
            <w:shd w:val="clear" w:color="auto" w:fill="auto"/>
            <w:noWrap/>
            <w:vAlign w:val="center"/>
            <w:hideMark/>
          </w:tcPr>
          <w:p w14:paraId="4187EBE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81.2 (13)</w:t>
            </w:r>
          </w:p>
        </w:tc>
        <w:tc>
          <w:tcPr>
            <w:tcW w:w="425" w:type="pct"/>
            <w:tcBorders>
              <w:top w:val="nil"/>
              <w:left w:val="nil"/>
              <w:bottom w:val="nil"/>
              <w:right w:val="nil"/>
            </w:tcBorders>
            <w:shd w:val="clear" w:color="auto" w:fill="auto"/>
            <w:noWrap/>
            <w:vAlign w:val="center"/>
            <w:hideMark/>
          </w:tcPr>
          <w:p w14:paraId="1671A8D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16.0 (16)</w:t>
            </w:r>
          </w:p>
        </w:tc>
        <w:tc>
          <w:tcPr>
            <w:tcW w:w="666" w:type="pct"/>
            <w:tcBorders>
              <w:top w:val="nil"/>
              <w:left w:val="nil"/>
              <w:bottom w:val="nil"/>
              <w:right w:val="nil"/>
            </w:tcBorders>
            <w:shd w:val="clear" w:color="auto" w:fill="auto"/>
            <w:vAlign w:val="center"/>
            <w:hideMark/>
          </w:tcPr>
          <w:p w14:paraId="2166916D"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p</w:t>
            </w:r>
            <w:r w:rsidRPr="00037593">
              <w:rPr>
                <w:rFonts w:ascii="Times New Roman" w:eastAsia="Times New Roman" w:hAnsi="Times New Roman" w:cs="Times New Roman"/>
                <w:kern w:val="0"/>
                <w:sz w:val="20"/>
                <w:lang w:val="en-US" w:eastAsia="en-IN"/>
                <w14:ligatures w14:val="none"/>
              </w:rPr>
              <w:t xml:space="preserve"> = .004,</w:t>
            </w:r>
          </w:p>
        </w:tc>
        <w:tc>
          <w:tcPr>
            <w:tcW w:w="95" w:type="pct"/>
            <w:tcBorders>
              <w:top w:val="nil"/>
              <w:left w:val="nil"/>
              <w:bottom w:val="nil"/>
              <w:right w:val="nil"/>
            </w:tcBorders>
            <w:shd w:val="clear" w:color="auto" w:fill="auto"/>
            <w:vAlign w:val="center"/>
            <w:hideMark/>
          </w:tcPr>
          <w:p w14:paraId="76E5D637"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6A57F11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 2.2 (2)</w:t>
            </w:r>
          </w:p>
        </w:tc>
        <w:tc>
          <w:tcPr>
            <w:tcW w:w="340" w:type="pct"/>
            <w:tcBorders>
              <w:top w:val="nil"/>
              <w:left w:val="nil"/>
              <w:bottom w:val="nil"/>
              <w:right w:val="nil"/>
            </w:tcBorders>
            <w:shd w:val="clear" w:color="auto" w:fill="auto"/>
            <w:noWrap/>
            <w:vAlign w:val="center"/>
            <w:hideMark/>
          </w:tcPr>
          <w:p w14:paraId="4AC8FBF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11.1 (1)</w:t>
            </w:r>
          </w:p>
        </w:tc>
        <w:tc>
          <w:tcPr>
            <w:tcW w:w="341" w:type="pct"/>
            <w:tcBorders>
              <w:top w:val="nil"/>
              <w:left w:val="nil"/>
              <w:bottom w:val="nil"/>
              <w:right w:val="nil"/>
            </w:tcBorders>
            <w:shd w:val="clear" w:color="auto" w:fill="auto"/>
            <w:noWrap/>
            <w:vAlign w:val="center"/>
            <w:hideMark/>
          </w:tcPr>
          <w:p w14:paraId="1B76E8D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66.7 (6)</w:t>
            </w:r>
          </w:p>
        </w:tc>
        <w:tc>
          <w:tcPr>
            <w:tcW w:w="340" w:type="pct"/>
            <w:tcBorders>
              <w:top w:val="nil"/>
              <w:left w:val="nil"/>
              <w:bottom w:val="nil"/>
              <w:right w:val="nil"/>
            </w:tcBorders>
            <w:shd w:val="clear" w:color="auto" w:fill="auto"/>
            <w:noWrap/>
            <w:vAlign w:val="center"/>
            <w:hideMark/>
          </w:tcPr>
          <w:p w14:paraId="3BCEEC6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15.0 (9)</w:t>
            </w:r>
          </w:p>
        </w:tc>
        <w:tc>
          <w:tcPr>
            <w:tcW w:w="644" w:type="pct"/>
            <w:tcBorders>
              <w:top w:val="nil"/>
              <w:left w:val="nil"/>
              <w:bottom w:val="nil"/>
              <w:right w:val="nil"/>
            </w:tcBorders>
            <w:shd w:val="clear" w:color="auto" w:fill="auto"/>
            <w:vAlign w:val="center"/>
            <w:hideMark/>
          </w:tcPr>
          <w:p w14:paraId="0C4FE7AA"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p</w:t>
            </w:r>
            <w:r w:rsidRPr="00037593">
              <w:rPr>
                <w:rFonts w:ascii="Times New Roman" w:eastAsia="Times New Roman" w:hAnsi="Times New Roman" w:cs="Times New Roman"/>
                <w:kern w:val="0"/>
                <w:sz w:val="20"/>
                <w:lang w:val="en-US" w:eastAsia="en-IN"/>
                <w14:ligatures w14:val="none"/>
              </w:rPr>
              <w:t xml:space="preserve"> = .185 </w:t>
            </w:r>
          </w:p>
        </w:tc>
      </w:tr>
      <w:tr w:rsidR="00752E3F" w:rsidRPr="00037593" w14:paraId="63AF2025" w14:textId="77777777" w:rsidTr="00184697">
        <w:trPr>
          <w:trHeight w:val="290"/>
        </w:trPr>
        <w:tc>
          <w:tcPr>
            <w:tcW w:w="356" w:type="pct"/>
            <w:vMerge/>
            <w:tcBorders>
              <w:top w:val="nil"/>
              <w:left w:val="nil"/>
              <w:bottom w:val="single" w:sz="8" w:space="0" w:color="000000"/>
              <w:right w:val="nil"/>
            </w:tcBorders>
            <w:vAlign w:val="center"/>
            <w:hideMark/>
          </w:tcPr>
          <w:p w14:paraId="242304E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tcBorders>
              <w:top w:val="nil"/>
              <w:left w:val="nil"/>
              <w:bottom w:val="nil"/>
              <w:right w:val="nil"/>
            </w:tcBorders>
            <w:shd w:val="clear" w:color="auto" w:fill="auto"/>
            <w:vAlign w:val="center"/>
            <w:hideMark/>
          </w:tcPr>
          <w:p w14:paraId="6E7F25F2" w14:textId="7F9159F2" w:rsidR="00873C15" w:rsidRPr="00037593" w:rsidRDefault="00C44B6D"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Usually,</w:t>
            </w:r>
          </w:p>
        </w:tc>
        <w:tc>
          <w:tcPr>
            <w:tcW w:w="367" w:type="pct"/>
            <w:tcBorders>
              <w:top w:val="nil"/>
              <w:left w:val="nil"/>
              <w:bottom w:val="nil"/>
              <w:right w:val="nil"/>
            </w:tcBorders>
            <w:shd w:val="clear" w:color="auto" w:fill="auto"/>
            <w:vAlign w:val="center"/>
            <w:hideMark/>
          </w:tcPr>
          <w:p w14:paraId="1EDF989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33.3 (4)</w:t>
            </w:r>
          </w:p>
        </w:tc>
        <w:tc>
          <w:tcPr>
            <w:tcW w:w="340" w:type="pct"/>
            <w:tcBorders>
              <w:top w:val="nil"/>
              <w:left w:val="nil"/>
              <w:bottom w:val="nil"/>
              <w:right w:val="nil"/>
            </w:tcBorders>
            <w:shd w:val="clear" w:color="auto" w:fill="auto"/>
            <w:noWrap/>
            <w:vAlign w:val="center"/>
            <w:hideMark/>
          </w:tcPr>
          <w:p w14:paraId="02ECE2FF"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25.0 (3)</w:t>
            </w:r>
          </w:p>
        </w:tc>
        <w:tc>
          <w:tcPr>
            <w:tcW w:w="341" w:type="pct"/>
            <w:tcBorders>
              <w:top w:val="nil"/>
              <w:left w:val="nil"/>
              <w:bottom w:val="nil"/>
              <w:right w:val="nil"/>
            </w:tcBorders>
            <w:shd w:val="clear" w:color="auto" w:fill="auto"/>
            <w:noWrap/>
            <w:vAlign w:val="center"/>
            <w:hideMark/>
          </w:tcPr>
          <w:p w14:paraId="54CD0ED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41.7 (5)</w:t>
            </w:r>
          </w:p>
        </w:tc>
        <w:tc>
          <w:tcPr>
            <w:tcW w:w="425" w:type="pct"/>
            <w:tcBorders>
              <w:top w:val="nil"/>
              <w:left w:val="nil"/>
              <w:bottom w:val="nil"/>
              <w:right w:val="nil"/>
            </w:tcBorders>
            <w:shd w:val="clear" w:color="auto" w:fill="auto"/>
            <w:noWrap/>
            <w:vAlign w:val="center"/>
            <w:hideMark/>
          </w:tcPr>
          <w:p w14:paraId="59BEABB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12.0 (12)</w:t>
            </w:r>
          </w:p>
        </w:tc>
        <w:tc>
          <w:tcPr>
            <w:tcW w:w="666" w:type="pct"/>
            <w:tcBorders>
              <w:top w:val="nil"/>
              <w:left w:val="nil"/>
              <w:bottom w:val="nil"/>
              <w:right w:val="nil"/>
            </w:tcBorders>
            <w:shd w:val="clear" w:color="auto" w:fill="auto"/>
            <w:vAlign w:val="center"/>
            <w:hideMark/>
          </w:tcPr>
          <w:p w14:paraId="02CE6E04"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d</w:t>
            </w:r>
            <w:r w:rsidRPr="00037593">
              <w:rPr>
                <w:rFonts w:ascii="Times New Roman" w:eastAsia="Times New Roman" w:hAnsi="Times New Roman" w:cs="Times New Roman"/>
                <w:kern w:val="0"/>
                <w:sz w:val="20"/>
                <w:lang w:val="en-US" w:eastAsia="en-IN"/>
                <w14:ligatures w14:val="none"/>
              </w:rPr>
              <w:t xml:space="preserve"> = -.115 </w:t>
            </w:r>
          </w:p>
        </w:tc>
        <w:tc>
          <w:tcPr>
            <w:tcW w:w="95" w:type="pct"/>
            <w:tcBorders>
              <w:top w:val="nil"/>
              <w:left w:val="nil"/>
              <w:bottom w:val="nil"/>
              <w:right w:val="nil"/>
            </w:tcBorders>
            <w:shd w:val="clear" w:color="auto" w:fill="auto"/>
            <w:vAlign w:val="center"/>
            <w:hideMark/>
          </w:tcPr>
          <w:p w14:paraId="445F3D76" w14:textId="77777777"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14C59F94"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30.0 (3)</w:t>
            </w:r>
          </w:p>
        </w:tc>
        <w:tc>
          <w:tcPr>
            <w:tcW w:w="340" w:type="pct"/>
            <w:tcBorders>
              <w:top w:val="nil"/>
              <w:left w:val="nil"/>
              <w:bottom w:val="nil"/>
              <w:right w:val="nil"/>
            </w:tcBorders>
            <w:shd w:val="clear" w:color="auto" w:fill="auto"/>
            <w:noWrap/>
            <w:vAlign w:val="center"/>
            <w:hideMark/>
          </w:tcPr>
          <w:p w14:paraId="7C87B4B9"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40.0 (4)</w:t>
            </w:r>
          </w:p>
        </w:tc>
        <w:tc>
          <w:tcPr>
            <w:tcW w:w="341" w:type="pct"/>
            <w:tcBorders>
              <w:top w:val="nil"/>
              <w:left w:val="nil"/>
              <w:bottom w:val="nil"/>
              <w:right w:val="nil"/>
            </w:tcBorders>
            <w:shd w:val="clear" w:color="auto" w:fill="auto"/>
            <w:noWrap/>
            <w:vAlign w:val="center"/>
            <w:hideMark/>
          </w:tcPr>
          <w:p w14:paraId="7D2D13B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30.0 (3)</w:t>
            </w:r>
          </w:p>
        </w:tc>
        <w:tc>
          <w:tcPr>
            <w:tcW w:w="340" w:type="pct"/>
            <w:tcBorders>
              <w:top w:val="nil"/>
              <w:left w:val="nil"/>
              <w:bottom w:val="nil"/>
              <w:right w:val="nil"/>
            </w:tcBorders>
            <w:shd w:val="clear" w:color="auto" w:fill="auto"/>
            <w:noWrap/>
            <w:vAlign w:val="center"/>
            <w:hideMark/>
          </w:tcPr>
          <w:p w14:paraId="455B47A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16.7 (10)</w:t>
            </w:r>
          </w:p>
        </w:tc>
        <w:tc>
          <w:tcPr>
            <w:tcW w:w="644" w:type="pct"/>
            <w:tcBorders>
              <w:top w:val="nil"/>
              <w:left w:val="nil"/>
              <w:bottom w:val="nil"/>
              <w:right w:val="nil"/>
            </w:tcBorders>
            <w:shd w:val="clear" w:color="auto" w:fill="auto"/>
            <w:vAlign w:val="center"/>
            <w:hideMark/>
          </w:tcPr>
          <w:p w14:paraId="59D88D3C"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r>
      <w:tr w:rsidR="00752E3F" w:rsidRPr="00037593" w14:paraId="1F978EFE" w14:textId="77777777" w:rsidTr="00184697">
        <w:trPr>
          <w:trHeight w:val="531"/>
        </w:trPr>
        <w:tc>
          <w:tcPr>
            <w:tcW w:w="356" w:type="pct"/>
            <w:vMerge/>
            <w:tcBorders>
              <w:top w:val="nil"/>
              <w:left w:val="nil"/>
              <w:bottom w:val="single" w:sz="8" w:space="0" w:color="000000"/>
              <w:right w:val="nil"/>
            </w:tcBorders>
            <w:vAlign w:val="center"/>
            <w:hideMark/>
          </w:tcPr>
          <w:p w14:paraId="5071141E"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p>
        </w:tc>
        <w:tc>
          <w:tcPr>
            <w:tcW w:w="405" w:type="pct"/>
            <w:tcBorders>
              <w:top w:val="nil"/>
              <w:left w:val="nil"/>
              <w:bottom w:val="single" w:sz="8" w:space="0" w:color="auto"/>
              <w:right w:val="nil"/>
            </w:tcBorders>
            <w:shd w:val="clear" w:color="auto" w:fill="auto"/>
            <w:vAlign w:val="center"/>
            <w:hideMark/>
          </w:tcPr>
          <w:p w14:paraId="1D1D9339"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Always</w:t>
            </w:r>
          </w:p>
        </w:tc>
        <w:tc>
          <w:tcPr>
            <w:tcW w:w="367" w:type="pct"/>
            <w:tcBorders>
              <w:top w:val="nil"/>
              <w:left w:val="nil"/>
              <w:bottom w:val="single" w:sz="8" w:space="0" w:color="auto"/>
              <w:right w:val="nil"/>
            </w:tcBorders>
            <w:shd w:val="clear" w:color="auto" w:fill="auto"/>
            <w:vAlign w:val="center"/>
            <w:hideMark/>
          </w:tcPr>
          <w:p w14:paraId="12A5C0C2"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75.0 (3)</w:t>
            </w:r>
          </w:p>
        </w:tc>
        <w:tc>
          <w:tcPr>
            <w:tcW w:w="340" w:type="pct"/>
            <w:tcBorders>
              <w:top w:val="nil"/>
              <w:left w:val="nil"/>
              <w:bottom w:val="single" w:sz="8" w:space="0" w:color="auto"/>
              <w:right w:val="nil"/>
            </w:tcBorders>
            <w:shd w:val="clear" w:color="auto" w:fill="auto"/>
            <w:noWrap/>
            <w:vAlign w:val="center"/>
            <w:hideMark/>
          </w:tcPr>
          <w:p w14:paraId="7BE09E2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0.0 (0)</w:t>
            </w:r>
          </w:p>
        </w:tc>
        <w:tc>
          <w:tcPr>
            <w:tcW w:w="341" w:type="pct"/>
            <w:tcBorders>
              <w:top w:val="nil"/>
              <w:left w:val="nil"/>
              <w:bottom w:val="single" w:sz="8" w:space="0" w:color="auto"/>
              <w:right w:val="nil"/>
            </w:tcBorders>
            <w:shd w:val="clear" w:color="auto" w:fill="auto"/>
            <w:noWrap/>
            <w:vAlign w:val="center"/>
            <w:hideMark/>
          </w:tcPr>
          <w:p w14:paraId="7320298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25.0 (1)</w:t>
            </w:r>
          </w:p>
        </w:tc>
        <w:tc>
          <w:tcPr>
            <w:tcW w:w="425" w:type="pct"/>
            <w:tcBorders>
              <w:top w:val="nil"/>
              <w:left w:val="nil"/>
              <w:bottom w:val="single" w:sz="8" w:space="0" w:color="auto"/>
              <w:right w:val="nil"/>
            </w:tcBorders>
            <w:shd w:val="clear" w:color="auto" w:fill="auto"/>
            <w:noWrap/>
            <w:vAlign w:val="center"/>
            <w:hideMark/>
          </w:tcPr>
          <w:p w14:paraId="33E67836"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4.0 (4)</w:t>
            </w:r>
          </w:p>
        </w:tc>
        <w:tc>
          <w:tcPr>
            <w:tcW w:w="666" w:type="pct"/>
            <w:tcBorders>
              <w:top w:val="nil"/>
              <w:left w:val="nil"/>
              <w:bottom w:val="single" w:sz="8" w:space="0" w:color="000000"/>
              <w:right w:val="nil"/>
            </w:tcBorders>
            <w:shd w:val="clear" w:color="auto" w:fill="auto"/>
            <w:vAlign w:val="center"/>
            <w:hideMark/>
          </w:tcPr>
          <w:p w14:paraId="2B9E8ACE"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eastAsia="en-IN"/>
                <w14:ligatures w14:val="none"/>
              </w:rPr>
              <w:t> </w:t>
            </w:r>
          </w:p>
        </w:tc>
        <w:tc>
          <w:tcPr>
            <w:tcW w:w="95" w:type="pct"/>
            <w:tcBorders>
              <w:top w:val="nil"/>
              <w:left w:val="nil"/>
              <w:bottom w:val="nil"/>
              <w:right w:val="nil"/>
            </w:tcBorders>
            <w:shd w:val="clear" w:color="auto" w:fill="auto"/>
            <w:vAlign w:val="center"/>
            <w:hideMark/>
          </w:tcPr>
          <w:p w14:paraId="7C3FDCD8"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p>
        </w:tc>
        <w:tc>
          <w:tcPr>
            <w:tcW w:w="340" w:type="pct"/>
            <w:tcBorders>
              <w:top w:val="nil"/>
              <w:left w:val="nil"/>
              <w:bottom w:val="single" w:sz="8" w:space="0" w:color="auto"/>
              <w:right w:val="nil"/>
            </w:tcBorders>
            <w:shd w:val="clear" w:color="auto" w:fill="auto"/>
            <w:noWrap/>
            <w:vAlign w:val="center"/>
            <w:hideMark/>
          </w:tcPr>
          <w:p w14:paraId="39084CC5"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60 (3)</w:t>
            </w:r>
          </w:p>
        </w:tc>
        <w:tc>
          <w:tcPr>
            <w:tcW w:w="340" w:type="pct"/>
            <w:tcBorders>
              <w:top w:val="nil"/>
              <w:left w:val="nil"/>
              <w:bottom w:val="single" w:sz="8" w:space="0" w:color="auto"/>
              <w:right w:val="nil"/>
            </w:tcBorders>
            <w:shd w:val="clear" w:color="auto" w:fill="auto"/>
            <w:noWrap/>
            <w:vAlign w:val="center"/>
            <w:hideMark/>
          </w:tcPr>
          <w:p w14:paraId="0E75F69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40.0 (2)</w:t>
            </w:r>
          </w:p>
        </w:tc>
        <w:tc>
          <w:tcPr>
            <w:tcW w:w="341" w:type="pct"/>
            <w:tcBorders>
              <w:top w:val="nil"/>
              <w:left w:val="nil"/>
              <w:bottom w:val="single" w:sz="8" w:space="0" w:color="auto"/>
              <w:right w:val="nil"/>
            </w:tcBorders>
            <w:shd w:val="clear" w:color="auto" w:fill="auto"/>
            <w:noWrap/>
            <w:vAlign w:val="center"/>
            <w:hideMark/>
          </w:tcPr>
          <w:p w14:paraId="5E829EBA"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0.0 (0)</w:t>
            </w:r>
          </w:p>
        </w:tc>
        <w:tc>
          <w:tcPr>
            <w:tcW w:w="340" w:type="pct"/>
            <w:tcBorders>
              <w:top w:val="nil"/>
              <w:left w:val="nil"/>
              <w:bottom w:val="single" w:sz="8" w:space="0" w:color="auto"/>
              <w:right w:val="nil"/>
            </w:tcBorders>
            <w:shd w:val="clear" w:color="auto" w:fill="auto"/>
            <w:noWrap/>
            <w:vAlign w:val="center"/>
            <w:hideMark/>
          </w:tcPr>
          <w:p w14:paraId="54104087"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8.3 (5)</w:t>
            </w:r>
          </w:p>
        </w:tc>
        <w:tc>
          <w:tcPr>
            <w:tcW w:w="644" w:type="pct"/>
            <w:tcBorders>
              <w:top w:val="nil"/>
              <w:left w:val="nil"/>
              <w:bottom w:val="single" w:sz="8" w:space="0" w:color="000000"/>
              <w:right w:val="nil"/>
            </w:tcBorders>
            <w:shd w:val="clear" w:color="auto" w:fill="auto"/>
            <w:vAlign w:val="center"/>
            <w:hideMark/>
          </w:tcPr>
          <w:p w14:paraId="0E8857A8" w14:textId="77777777" w:rsidR="00873C15" w:rsidRPr="00037593" w:rsidRDefault="00873C15" w:rsidP="00752E3F">
            <w:pPr>
              <w:spacing w:after="0" w:line="240" w:lineRule="auto"/>
              <w:rPr>
                <w:rFonts w:ascii="Times New Roman" w:eastAsia="Times New Roman" w:hAnsi="Times New Roman" w:cs="Times New Roman"/>
                <w:kern w:val="0"/>
                <w:szCs w:val="22"/>
                <w:lang w:eastAsia="en-IN"/>
                <w14:ligatures w14:val="none"/>
              </w:rPr>
            </w:pPr>
            <w:r w:rsidRPr="00037593">
              <w:rPr>
                <w:rFonts w:ascii="Times New Roman" w:eastAsia="Times New Roman" w:hAnsi="Times New Roman" w:cs="Times New Roman"/>
                <w:kern w:val="0"/>
                <w:szCs w:val="22"/>
                <w:lang w:eastAsia="en-IN"/>
                <w14:ligatures w14:val="none"/>
              </w:rPr>
              <w:t> </w:t>
            </w:r>
          </w:p>
        </w:tc>
      </w:tr>
      <w:tr w:rsidR="00752E3F" w:rsidRPr="00037593" w14:paraId="29750B85" w14:textId="77777777" w:rsidTr="00184697">
        <w:trPr>
          <w:trHeight w:val="290"/>
        </w:trPr>
        <w:tc>
          <w:tcPr>
            <w:tcW w:w="5000" w:type="pct"/>
            <w:gridSpan w:val="13"/>
            <w:tcBorders>
              <w:top w:val="nil"/>
              <w:left w:val="nil"/>
              <w:bottom w:val="nil"/>
              <w:right w:val="nil"/>
            </w:tcBorders>
            <w:shd w:val="clear" w:color="auto" w:fill="auto"/>
            <w:noWrap/>
            <w:vAlign w:val="center"/>
            <w:hideMark/>
          </w:tcPr>
          <w:p w14:paraId="14555A47" w14:textId="5B23A445" w:rsidR="00873C15" w:rsidRPr="00037593" w:rsidRDefault="00873C15" w:rsidP="00752E3F">
            <w:pPr>
              <w:spacing w:after="0" w:line="240" w:lineRule="auto"/>
              <w:rPr>
                <w:rFonts w:ascii="Times New Roman" w:eastAsia="Times New Roman" w:hAnsi="Times New Roman" w:cs="Times New Roman"/>
                <w:i/>
                <w:iCs/>
                <w:kern w:val="0"/>
                <w:sz w:val="20"/>
                <w:lang w:eastAsia="en-IN"/>
                <w14:ligatures w14:val="none"/>
              </w:rPr>
            </w:pPr>
            <w:r w:rsidRPr="00037593">
              <w:rPr>
                <w:rFonts w:ascii="Times New Roman" w:eastAsia="Times New Roman" w:hAnsi="Times New Roman" w:cs="Times New Roman"/>
                <w:i/>
                <w:iCs/>
                <w:kern w:val="0"/>
                <w:sz w:val="20"/>
                <w:lang w:val="en-US" w:eastAsia="en-IN"/>
                <w14:ligatures w14:val="none"/>
              </w:rPr>
              <w:t xml:space="preserve">Note. </w:t>
            </w:r>
            <w:r w:rsidRPr="00037593">
              <w:rPr>
                <w:rFonts w:ascii="Times New Roman" w:eastAsia="Times New Roman" w:hAnsi="Times New Roman" w:cs="Times New Roman"/>
                <w:kern w:val="0"/>
                <w:sz w:val="20"/>
                <w:lang w:val="en-US" w:eastAsia="en-IN"/>
                <w14:ligatures w14:val="none"/>
              </w:rPr>
              <w:t>Figures in parentheses indicates frequencies; *</w:t>
            </w:r>
            <w:r w:rsidRPr="00037593">
              <w:rPr>
                <w:rFonts w:ascii="Times New Roman" w:eastAsia="Times New Roman" w:hAnsi="Times New Roman" w:cs="Times New Roman"/>
                <w:i/>
                <w:iCs/>
                <w:kern w:val="0"/>
                <w:sz w:val="20"/>
                <w:lang w:val="en-US" w:eastAsia="en-IN"/>
                <w14:ligatures w14:val="none"/>
              </w:rPr>
              <w:t xml:space="preserve">p </w:t>
            </w:r>
            <w:r w:rsidRPr="00037593">
              <w:rPr>
                <w:rFonts w:ascii="Times New Roman" w:eastAsia="Times New Roman" w:hAnsi="Times New Roman" w:cs="Times New Roman"/>
                <w:kern w:val="0"/>
                <w:sz w:val="20"/>
                <w:lang w:val="en-US" w:eastAsia="en-IN"/>
                <w14:ligatures w14:val="none"/>
              </w:rPr>
              <w:t xml:space="preserve">&lt; 0.05; </w:t>
            </w:r>
            <w:r w:rsidRPr="00037593">
              <w:rPr>
                <w:rFonts w:ascii="Times New Roman" w:eastAsia="Times New Roman" w:hAnsi="Times New Roman" w:cs="Times New Roman"/>
                <w:i/>
                <w:iCs/>
                <w:kern w:val="0"/>
                <w:sz w:val="20"/>
                <w:lang w:val="en-US" w:eastAsia="en-IN"/>
                <w14:ligatures w14:val="none"/>
              </w:rPr>
              <w:t xml:space="preserve">d </w:t>
            </w:r>
            <w:r w:rsidRPr="00037593">
              <w:rPr>
                <w:rFonts w:ascii="Times New Roman" w:eastAsia="Times New Roman" w:hAnsi="Times New Roman" w:cs="Times New Roman"/>
                <w:kern w:val="0"/>
                <w:sz w:val="20"/>
                <w:lang w:val="en-US" w:eastAsia="en-IN"/>
                <w14:ligatures w14:val="none"/>
              </w:rPr>
              <w:t xml:space="preserve">= </w:t>
            </w:r>
            <w:proofErr w:type="spellStart"/>
            <w:r w:rsidRPr="00037593">
              <w:rPr>
                <w:rFonts w:ascii="Times New Roman" w:eastAsia="Times New Roman" w:hAnsi="Times New Roman" w:cs="Times New Roman"/>
                <w:kern w:val="0"/>
                <w:sz w:val="20"/>
                <w:lang w:val="en-US" w:eastAsia="en-IN"/>
                <w14:ligatures w14:val="none"/>
              </w:rPr>
              <w:t>Somers’d</w:t>
            </w:r>
            <w:proofErr w:type="spellEnd"/>
            <w:r w:rsidRPr="00037593">
              <w:rPr>
                <w:rFonts w:ascii="Times New Roman" w:eastAsia="Times New Roman" w:hAnsi="Times New Roman" w:cs="Times New Roman"/>
                <w:kern w:val="0"/>
                <w:sz w:val="20"/>
                <w:lang w:val="en-US" w:eastAsia="en-IN"/>
                <w14:ligatures w14:val="none"/>
              </w:rPr>
              <w:t xml:space="preserve">; </w:t>
            </w:r>
          </w:p>
        </w:tc>
      </w:tr>
      <w:tr w:rsidR="00752E3F" w:rsidRPr="00037593" w14:paraId="7A4C2DC4" w14:textId="77777777" w:rsidTr="00184697">
        <w:trPr>
          <w:trHeight w:val="290"/>
        </w:trPr>
        <w:tc>
          <w:tcPr>
            <w:tcW w:w="5000" w:type="pct"/>
            <w:gridSpan w:val="13"/>
            <w:tcBorders>
              <w:top w:val="nil"/>
              <w:left w:val="nil"/>
              <w:bottom w:val="nil"/>
              <w:right w:val="nil"/>
            </w:tcBorders>
            <w:shd w:val="clear" w:color="auto" w:fill="auto"/>
            <w:noWrap/>
            <w:vAlign w:val="center"/>
            <w:hideMark/>
          </w:tcPr>
          <w:p w14:paraId="0A47A9DD" w14:textId="77777777" w:rsidR="00873C15" w:rsidRPr="00037593" w:rsidRDefault="00873C15" w:rsidP="00752E3F">
            <w:pPr>
              <w:spacing w:after="0" w:line="240" w:lineRule="auto"/>
              <w:rPr>
                <w:rFonts w:ascii="Times New Roman" w:eastAsia="Times New Roman" w:hAnsi="Times New Roman" w:cs="Times New Roman"/>
                <w:kern w:val="0"/>
                <w:sz w:val="20"/>
                <w:lang w:eastAsia="en-IN"/>
                <w14:ligatures w14:val="none"/>
              </w:rPr>
            </w:pPr>
            <w:r w:rsidRPr="00037593">
              <w:rPr>
                <w:rFonts w:ascii="Times New Roman" w:eastAsia="Times New Roman" w:hAnsi="Times New Roman" w:cs="Times New Roman"/>
                <w:kern w:val="0"/>
                <w:sz w:val="20"/>
                <w:lang w:val="en-US" w:eastAsia="en-IN"/>
                <w14:ligatures w14:val="none"/>
              </w:rPr>
              <w:t>Glycemic control: &lt; 7: Ideal glycemic control, ≥7 -&lt; 8: Satisfactory glycemic control, ≥ 8: Unsatisfactory glycemic control (ICMR, 2018).</w:t>
            </w:r>
          </w:p>
        </w:tc>
      </w:tr>
    </w:tbl>
    <w:p w14:paraId="3F026F6C" w14:textId="77777777" w:rsidR="00873C15" w:rsidRPr="00037593" w:rsidRDefault="00873C15" w:rsidP="00752E3F">
      <w:pPr>
        <w:spacing w:after="0" w:line="360" w:lineRule="auto"/>
        <w:rPr>
          <w:rFonts w:ascii="Times New Roman" w:eastAsia="Calibri" w:hAnsi="Times New Roman" w:cs="Times New Roman"/>
          <w:kern w:val="0"/>
          <w:sz w:val="24"/>
          <w:szCs w:val="24"/>
          <w:lang w:val="en-US" w:bidi="ar-SA"/>
          <w14:ligatures w14:val="none"/>
        </w:rPr>
      </w:pPr>
    </w:p>
    <w:p w14:paraId="34FBD82B" w14:textId="77777777" w:rsidR="00475EB1" w:rsidRPr="00037593" w:rsidRDefault="00475EB1" w:rsidP="00752E3F">
      <w:pPr>
        <w:spacing w:after="0" w:line="360" w:lineRule="auto"/>
        <w:rPr>
          <w:rFonts w:ascii="Times New Roman" w:eastAsia="Calibri" w:hAnsi="Times New Roman" w:cs="Times New Roman"/>
          <w:kern w:val="0"/>
          <w:sz w:val="24"/>
          <w:szCs w:val="24"/>
          <w:lang w:val="en-US" w:bidi="ar-SA"/>
          <w14:ligatures w14:val="none"/>
        </w:rPr>
        <w:sectPr w:rsidR="00475EB1" w:rsidRPr="00037593" w:rsidSect="00873C15">
          <w:pgSz w:w="16839" w:h="11907" w:orient="landscape" w:code="9"/>
          <w:pgMar w:top="1440" w:right="1440" w:bottom="2160" w:left="1440" w:header="720" w:footer="720" w:gutter="0"/>
          <w:cols w:space="720"/>
          <w:docGrid w:linePitch="360"/>
        </w:sectPr>
      </w:pPr>
    </w:p>
    <w:p w14:paraId="4A81DCEC" w14:textId="4E91D1DE" w:rsidR="00A7484B" w:rsidRPr="00037593" w:rsidRDefault="00A7484B" w:rsidP="00CE5B5A">
      <w:pPr>
        <w:spacing w:after="0" w:line="360"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lastRenderedPageBreak/>
        <w:t xml:space="preserve">In the context of hypertension, bitter melon has also shown promise. Studies suggest that peptides derived from bitter melon inhibit angiotensin-converting enzyme (ACE), a key enzyme in blood pressure regulation. This dual effect on glucose metabolism and vascular function is particularly beneficial for individuals with comorbid diabetes and hypertension19,20. Moreover, a study by </w:t>
      </w:r>
      <w:proofErr w:type="spellStart"/>
      <w:r w:rsidRPr="00037593">
        <w:rPr>
          <w:rFonts w:ascii="Times New Roman" w:eastAsia="Calibri" w:hAnsi="Times New Roman" w:cs="Times New Roman"/>
          <w:kern w:val="0"/>
          <w:sz w:val="24"/>
          <w:szCs w:val="24"/>
          <w:lang w:bidi="ar-SA"/>
          <w14:ligatures w14:val="none"/>
        </w:rPr>
        <w:t>Wehash</w:t>
      </w:r>
      <w:proofErr w:type="spellEnd"/>
      <w:r w:rsidRPr="00037593">
        <w:rPr>
          <w:rFonts w:ascii="Times New Roman" w:eastAsia="Calibri" w:hAnsi="Times New Roman" w:cs="Times New Roman"/>
          <w:kern w:val="0"/>
          <w:sz w:val="24"/>
          <w:szCs w:val="24"/>
          <w:lang w:bidi="ar-SA"/>
          <w14:ligatures w14:val="none"/>
        </w:rPr>
        <w:t xml:space="preserve"> et al. indicated that bitter melon may exert effects on reducing capillary permeability, which could complement its antidiabetic properties16. However, contrasting evidence exists. For instance, Yin et al. conducted a systematic review and meta-analysis and found no significant effect of bitter melon on HbA1c or fasting plasma glucose levels, suggesting variability in outcomes based on population, dosage, and study design18. </w:t>
      </w:r>
    </w:p>
    <w:p w14:paraId="137960F8" w14:textId="5785CDD6" w:rsidR="00A7484B" w:rsidRPr="00037593" w:rsidRDefault="00A7484B" w:rsidP="00CE5B5A">
      <w:pPr>
        <w:spacing w:after="0" w:line="360" w:lineRule="auto"/>
        <w:jc w:val="both"/>
        <w:rPr>
          <w:rFonts w:ascii="Times New Roman" w:eastAsia="Calibri" w:hAnsi="Times New Roman" w:cs="Times New Roman"/>
          <w:kern w:val="0"/>
          <w:sz w:val="24"/>
          <w:szCs w:val="24"/>
          <w:lang w:bidi="ar-SA"/>
          <w14:ligatures w14:val="none"/>
        </w:rPr>
      </w:pPr>
      <w:r w:rsidRPr="00037593">
        <w:rPr>
          <w:rFonts w:ascii="Times New Roman" w:eastAsia="Calibri" w:hAnsi="Times New Roman" w:cs="Times New Roman"/>
          <w:kern w:val="0"/>
          <w:sz w:val="24"/>
          <w:szCs w:val="24"/>
          <w:lang w:bidi="ar-SA"/>
          <w14:ligatures w14:val="none"/>
        </w:rPr>
        <w:t xml:space="preserve">                            In conclusion, while bitter gourd shows promise as a functional food with potential benefits for </w:t>
      </w:r>
      <w:proofErr w:type="spellStart"/>
      <w:r w:rsidRPr="00037593">
        <w:rPr>
          <w:rFonts w:ascii="Times New Roman" w:eastAsia="Calibri" w:hAnsi="Times New Roman" w:cs="Times New Roman"/>
          <w:kern w:val="0"/>
          <w:sz w:val="24"/>
          <w:szCs w:val="24"/>
          <w:lang w:bidi="ar-SA"/>
          <w14:ligatures w14:val="none"/>
        </w:rPr>
        <w:t>glycemic</w:t>
      </w:r>
      <w:proofErr w:type="spellEnd"/>
      <w:r w:rsidRPr="00037593">
        <w:rPr>
          <w:rFonts w:ascii="Times New Roman" w:eastAsia="Calibri" w:hAnsi="Times New Roman" w:cs="Times New Roman"/>
          <w:kern w:val="0"/>
          <w:sz w:val="24"/>
          <w:szCs w:val="24"/>
          <w:lang w:bidi="ar-SA"/>
          <w14:ligatures w14:val="none"/>
        </w:rPr>
        <w:t xml:space="preserve"> and blood pressure control, the lack of statistically significant findings in this study underscores the need for robust, large-scale clinical trials to better understand its role in managing </w:t>
      </w:r>
      <w:r w:rsidR="009E33E2" w:rsidRPr="00037593">
        <w:rPr>
          <w:rFonts w:ascii="Times New Roman" w:eastAsia="Calibri" w:hAnsi="Times New Roman" w:cs="Times New Roman"/>
          <w:kern w:val="0"/>
          <w:sz w:val="24"/>
          <w:szCs w:val="24"/>
          <w:lang w:bidi="ar-SA"/>
          <w14:ligatures w14:val="none"/>
        </w:rPr>
        <w:t>diabetic</w:t>
      </w:r>
      <w:r w:rsidRPr="00037593">
        <w:rPr>
          <w:rFonts w:ascii="Times New Roman" w:eastAsia="Calibri" w:hAnsi="Times New Roman" w:cs="Times New Roman"/>
          <w:kern w:val="0"/>
          <w:sz w:val="24"/>
          <w:szCs w:val="24"/>
          <w:lang w:bidi="ar-SA"/>
          <w14:ligatures w14:val="none"/>
        </w:rPr>
        <w:t xml:space="preserve"> and </w:t>
      </w:r>
      <w:r w:rsidR="009E33E2" w:rsidRPr="00037593">
        <w:rPr>
          <w:rFonts w:ascii="Times New Roman" w:eastAsia="Calibri" w:hAnsi="Times New Roman" w:cs="Times New Roman"/>
          <w:kern w:val="0"/>
          <w:sz w:val="24"/>
          <w:szCs w:val="24"/>
          <w:lang w:bidi="ar-SA"/>
          <w14:ligatures w14:val="none"/>
        </w:rPr>
        <w:t>diabetic hypertensives</w:t>
      </w:r>
      <w:r w:rsidRPr="00037593">
        <w:rPr>
          <w:rFonts w:ascii="Times New Roman" w:eastAsia="Calibri" w:hAnsi="Times New Roman" w:cs="Times New Roman"/>
          <w:kern w:val="0"/>
          <w:sz w:val="24"/>
          <w:szCs w:val="24"/>
          <w:lang w:bidi="ar-SA"/>
          <w14:ligatures w14:val="none"/>
        </w:rPr>
        <w:t>.</w:t>
      </w:r>
    </w:p>
    <w:p w14:paraId="6959FA49" w14:textId="77777777" w:rsidR="00A7484B" w:rsidRPr="00037593" w:rsidRDefault="00A7484B" w:rsidP="00752E3F">
      <w:pPr>
        <w:spacing w:after="0" w:line="360" w:lineRule="auto"/>
        <w:rPr>
          <w:rFonts w:ascii="Times New Roman" w:eastAsia="Calibri" w:hAnsi="Times New Roman" w:cs="Times New Roman"/>
          <w:kern w:val="0"/>
          <w:sz w:val="24"/>
          <w:szCs w:val="24"/>
          <w:lang w:bidi="ar-SA"/>
          <w14:ligatures w14:val="none"/>
        </w:rPr>
      </w:pPr>
    </w:p>
    <w:p w14:paraId="467E6278" w14:textId="06A178DF" w:rsidR="00752E3F" w:rsidRPr="00037593" w:rsidRDefault="00892798" w:rsidP="00752E3F">
      <w:pPr>
        <w:rPr>
          <w:rFonts w:ascii="Times New Roman" w:hAnsi="Times New Roman" w:cs="Times New Roman"/>
          <w:b/>
          <w:bCs/>
          <w:sz w:val="28"/>
          <w:szCs w:val="24"/>
        </w:rPr>
      </w:pPr>
      <w:r w:rsidRPr="00037593">
        <w:rPr>
          <w:rFonts w:ascii="Times New Roman" w:hAnsi="Times New Roman" w:cs="Times New Roman"/>
          <w:b/>
          <w:bCs/>
          <w:sz w:val="28"/>
          <w:szCs w:val="24"/>
        </w:rPr>
        <w:t>References</w:t>
      </w:r>
    </w:p>
    <w:p w14:paraId="7994665D" w14:textId="77777777" w:rsidR="00752E3F" w:rsidRPr="00037593" w:rsidRDefault="00752E3F" w:rsidP="00752E3F">
      <w:pPr>
        <w:rPr>
          <w:rFonts w:ascii="Times New Roman" w:hAnsi="Times New Roman" w:cs="Times New Roman"/>
        </w:rPr>
      </w:pPr>
    </w:p>
    <w:p w14:paraId="4D27F6A5"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World Health Organization. (2018). Noncommunicable diseases country profiles 2018. Geneva (CH): License CC BY-NC-SA 3.0 IGO2018.</w:t>
      </w:r>
    </w:p>
    <w:p w14:paraId="112DF15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International diabetes federation. IDF Diabetes Atlas, 8th edition, Brussels Belgium: international diabetes federation, 2017.</w:t>
      </w:r>
    </w:p>
    <w:p w14:paraId="2A90181B"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De Ferranti, S. D., De Boer, I. H., Fonseca, V., Fox, C. S., Golden, S. H., Lavie, C. J., ... &amp; Zinman, B. (2014). Type 1 diabetes mellitus and cardiovascular disease: a scientific statement from the American Heart Association and American Diabetes Association. Circulation, 130(13), 1110-1130.</w:t>
      </w:r>
    </w:p>
    <w:p w14:paraId="74F98F8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Fox, C. S., Golden, S. H., Anderson, C., Bray, G. A., Burke, L. E., De Boer, I. H., ... &amp; </w:t>
      </w:r>
      <w:proofErr w:type="spellStart"/>
      <w:r w:rsidRPr="00037593">
        <w:rPr>
          <w:rFonts w:ascii="Times New Roman" w:hAnsi="Times New Roman" w:cs="Times New Roman"/>
        </w:rPr>
        <w:t>Inzucchi</w:t>
      </w:r>
      <w:proofErr w:type="spellEnd"/>
      <w:r w:rsidRPr="00037593">
        <w:rPr>
          <w:rFonts w:ascii="Times New Roman" w:hAnsi="Times New Roman" w:cs="Times New Roman"/>
        </w:rPr>
        <w:t xml:space="preserve">, S. E. (2015). American Heart Association Diabetes Committee of the Council on Lifestyle and Cardiometabolic Health; Council on Clinical Cardiology, Council on Cardiovascular and Stroke Nursing, Council on Cardiovascular Surgery and </w:t>
      </w:r>
      <w:proofErr w:type="spellStart"/>
      <w:r w:rsidRPr="00037593">
        <w:rPr>
          <w:rFonts w:ascii="Times New Roman" w:hAnsi="Times New Roman" w:cs="Times New Roman"/>
        </w:rPr>
        <w:t>Anesthesia</w:t>
      </w:r>
      <w:proofErr w:type="spellEnd"/>
      <w:r w:rsidRPr="00037593">
        <w:rPr>
          <w:rFonts w:ascii="Times New Roman" w:hAnsi="Times New Roman" w:cs="Times New Roman"/>
        </w:rPr>
        <w:t>, Council on Quality of Care and Outcomes Research; American Diabetes Association. Update on prevention of cardiovascular disease in adults with type 2 diabetes mellitus in light of recent evidence: a scientific statement from the American Heart Association and the American.... Diabetes Care, 38(9), 1777-803.</w:t>
      </w:r>
    </w:p>
    <w:p w14:paraId="2505534B"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De Boer, I. H., Bangalore, S., </w:t>
      </w:r>
      <w:proofErr w:type="spellStart"/>
      <w:r w:rsidRPr="00037593">
        <w:rPr>
          <w:rFonts w:ascii="Times New Roman" w:hAnsi="Times New Roman" w:cs="Times New Roman"/>
        </w:rPr>
        <w:t>Benetos</w:t>
      </w:r>
      <w:proofErr w:type="spellEnd"/>
      <w:r w:rsidRPr="00037593">
        <w:rPr>
          <w:rFonts w:ascii="Times New Roman" w:hAnsi="Times New Roman" w:cs="Times New Roman"/>
        </w:rPr>
        <w:t xml:space="preserve">, A., Davis, A. M., Michos, E. D., Muntner, P., ... &amp; </w:t>
      </w:r>
      <w:proofErr w:type="spellStart"/>
      <w:r w:rsidRPr="00037593">
        <w:rPr>
          <w:rFonts w:ascii="Times New Roman" w:hAnsi="Times New Roman" w:cs="Times New Roman"/>
        </w:rPr>
        <w:t>Bakris</w:t>
      </w:r>
      <w:proofErr w:type="spellEnd"/>
      <w:r w:rsidRPr="00037593">
        <w:rPr>
          <w:rFonts w:ascii="Times New Roman" w:hAnsi="Times New Roman" w:cs="Times New Roman"/>
        </w:rPr>
        <w:t>, G. (2017). Diabetes and hypertension: a position statement by the American Diabetes Association. Diabetes care, 40(9), 1273-1284.</w:t>
      </w:r>
    </w:p>
    <w:p w14:paraId="58591EEA"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Singh, A., &amp; Masuku, M. (2014). Sampling Techniques &amp; Determination of Sample Size in Applied Statistics Research: an Overview. </w:t>
      </w:r>
      <w:proofErr w:type="gramStart"/>
      <w:r w:rsidRPr="00037593">
        <w:rPr>
          <w:rFonts w:ascii="Times New Roman" w:hAnsi="Times New Roman" w:cs="Times New Roman"/>
        </w:rPr>
        <w:t>Ijecm.Co.Uk</w:t>
      </w:r>
      <w:proofErr w:type="gramEnd"/>
      <w:r w:rsidRPr="00037593">
        <w:rPr>
          <w:rFonts w:ascii="Times New Roman" w:hAnsi="Times New Roman" w:cs="Times New Roman"/>
        </w:rPr>
        <w:t>, II (11), 1–22. Retrieved from http://ijecm.co.uk/wp-content/uploads/2014/11/21131.pd</w:t>
      </w:r>
    </w:p>
    <w:p w14:paraId="6E03D97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Jain, S., &amp; Patel, J. C. (1983). Diabetes and hypertension. Journal of the Diabetic Association of India, 23, 83-86.</w:t>
      </w:r>
    </w:p>
    <w:p w14:paraId="24BA77A2"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lastRenderedPageBreak/>
        <w:t>Mohan, V., Seedat, Y. K., &amp; Pradeepa, R. (2013). The rising burden of diabetes and hypertension in Southeast Asian and African regions: need for effective strategies for prevention and control in primary health care settings. International journal of hypertension, 2013, 409083-409083.</w:t>
      </w:r>
    </w:p>
    <w:p w14:paraId="208C4DC2"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Sowers, J. R., Epstein, M., &amp; Frohlich, E. D. (2001). Diabetes, hypertension, and cardiovascular disease: an update. Hypertension, 37(4), 1053-1059.</w:t>
      </w:r>
    </w:p>
    <w:p w14:paraId="418FBF07"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Shah, A., &amp; Afzal, M. (2013). Prevalence of diabetes and hypertension and association with various risk factors among different Muslim populations of Manipur, India. Journal of Diabetes and Metabolic Disorders, 12(1), 1–10. https://doi.org/10.1186/2251-6581-12-52</w:t>
      </w:r>
    </w:p>
    <w:p w14:paraId="42A0482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NCD Risk Factor Collaboration. (2016). Worldwide trends in diabetes since 1980: a pooled analysis of 751 population-based studies with 4· 4 million participants. The Lancet, 387(10027), 1513-1530.</w:t>
      </w:r>
    </w:p>
    <w:p w14:paraId="19FE085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World Health Organization, Public Health Agency of Canada, &amp; Canada. Public Health Agency of Canada. (2005). Preventing chronic diseases: a vital investment. World Health Organization</w:t>
      </w:r>
    </w:p>
    <w:p w14:paraId="4192E692"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Ahmad, N., Hasan, N., Ahmad, Z., Zishan, M., &amp; </w:t>
      </w:r>
      <w:proofErr w:type="spellStart"/>
      <w:r w:rsidRPr="00037593">
        <w:rPr>
          <w:rFonts w:ascii="Times New Roman" w:hAnsi="Times New Roman" w:cs="Times New Roman"/>
        </w:rPr>
        <w:t>Zohrameena</w:t>
      </w:r>
      <w:proofErr w:type="spellEnd"/>
      <w:r w:rsidRPr="00037593">
        <w:rPr>
          <w:rFonts w:ascii="Times New Roman" w:hAnsi="Times New Roman" w:cs="Times New Roman"/>
        </w:rPr>
        <w:t xml:space="preserve">, S. (2016). Momordica </w:t>
      </w:r>
      <w:proofErr w:type="spellStart"/>
      <w:r w:rsidRPr="00037593">
        <w:rPr>
          <w:rFonts w:ascii="Times New Roman" w:hAnsi="Times New Roman" w:cs="Times New Roman"/>
        </w:rPr>
        <w:t>charantia</w:t>
      </w:r>
      <w:proofErr w:type="spellEnd"/>
      <w:r w:rsidRPr="00037593">
        <w:rPr>
          <w:rFonts w:ascii="Times New Roman" w:hAnsi="Times New Roman" w:cs="Times New Roman"/>
        </w:rPr>
        <w:t>: for traditional uses and pharmacological actions. Journal of Drug Delivery and Therapeutics, 6(2), 40-44.</w:t>
      </w:r>
    </w:p>
    <w:p w14:paraId="3BA43745"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Anilakumar</w:t>
      </w:r>
      <w:proofErr w:type="spellEnd"/>
      <w:r w:rsidRPr="00037593">
        <w:rPr>
          <w:rFonts w:ascii="Times New Roman" w:hAnsi="Times New Roman" w:cs="Times New Roman"/>
        </w:rPr>
        <w:t xml:space="preserve">, K. R., Kumar, G. P., &amp; Ilaiyaraja, N. (2015). Nutritional, pharmacological and medicinal properties of Momordica </w:t>
      </w:r>
      <w:proofErr w:type="spellStart"/>
      <w:r w:rsidRPr="00037593">
        <w:rPr>
          <w:rFonts w:ascii="Times New Roman" w:hAnsi="Times New Roman" w:cs="Times New Roman"/>
        </w:rPr>
        <w:t>charantia</w:t>
      </w:r>
      <w:proofErr w:type="spellEnd"/>
      <w:r w:rsidRPr="00037593">
        <w:rPr>
          <w:rFonts w:ascii="Times New Roman" w:hAnsi="Times New Roman" w:cs="Times New Roman"/>
        </w:rPr>
        <w:t>. International Journal of Nutrition and Food Sciences, 4(1), 73-83.</w:t>
      </w:r>
    </w:p>
    <w:p w14:paraId="25E92FCE"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Gupta, M., Sharma, S., Gautam, A. K., &amp; </w:t>
      </w:r>
      <w:proofErr w:type="spellStart"/>
      <w:r w:rsidRPr="00037593">
        <w:rPr>
          <w:rFonts w:ascii="Times New Roman" w:hAnsi="Times New Roman" w:cs="Times New Roman"/>
        </w:rPr>
        <w:t>Bhadauria</w:t>
      </w:r>
      <w:proofErr w:type="spellEnd"/>
      <w:r w:rsidRPr="00037593">
        <w:rPr>
          <w:rFonts w:ascii="Times New Roman" w:hAnsi="Times New Roman" w:cs="Times New Roman"/>
        </w:rPr>
        <w:t xml:space="preserve">, R. (2011). Momordica </w:t>
      </w:r>
      <w:proofErr w:type="spellStart"/>
      <w:r w:rsidRPr="00037593">
        <w:rPr>
          <w:rFonts w:ascii="Times New Roman" w:hAnsi="Times New Roman" w:cs="Times New Roman"/>
        </w:rPr>
        <w:t>charantia</w:t>
      </w:r>
      <w:proofErr w:type="spellEnd"/>
      <w:r w:rsidRPr="00037593">
        <w:rPr>
          <w:rFonts w:ascii="Times New Roman" w:hAnsi="Times New Roman" w:cs="Times New Roman"/>
        </w:rPr>
        <w:t xml:space="preserve"> </w:t>
      </w:r>
      <w:proofErr w:type="gramStart"/>
      <w:r w:rsidRPr="00037593">
        <w:rPr>
          <w:rFonts w:ascii="Times New Roman" w:hAnsi="Times New Roman" w:cs="Times New Roman"/>
        </w:rPr>
        <w:t>Linn.(</w:t>
      </w:r>
      <w:proofErr w:type="gramEnd"/>
      <w:r w:rsidRPr="00037593">
        <w:rPr>
          <w:rFonts w:ascii="Times New Roman" w:hAnsi="Times New Roman" w:cs="Times New Roman"/>
        </w:rPr>
        <w:t>Karela): Nature’s silent healer. International Journal of Pharmaceutical Sciences Review and Research, 11(1), 32-37.</w:t>
      </w:r>
    </w:p>
    <w:p w14:paraId="7DDBAE3A"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Wehash</w:t>
      </w:r>
      <w:proofErr w:type="spellEnd"/>
      <w:r w:rsidRPr="00037593">
        <w:rPr>
          <w:rFonts w:ascii="Times New Roman" w:hAnsi="Times New Roman" w:cs="Times New Roman"/>
        </w:rPr>
        <w:t xml:space="preserve">, F. E., </w:t>
      </w:r>
      <w:proofErr w:type="spellStart"/>
      <w:r w:rsidRPr="00037593">
        <w:rPr>
          <w:rFonts w:ascii="Times New Roman" w:hAnsi="Times New Roman" w:cs="Times New Roman"/>
        </w:rPr>
        <w:t>Abpo-Ghanema</w:t>
      </w:r>
      <w:proofErr w:type="spellEnd"/>
      <w:r w:rsidRPr="00037593">
        <w:rPr>
          <w:rFonts w:ascii="Times New Roman" w:hAnsi="Times New Roman" w:cs="Times New Roman"/>
        </w:rPr>
        <w:t xml:space="preserve">, I. I., &amp; Saleh, R. M. (2012). Some physiological effects of Momordica </w:t>
      </w:r>
      <w:proofErr w:type="spellStart"/>
      <w:r w:rsidRPr="00037593">
        <w:rPr>
          <w:rFonts w:ascii="Times New Roman" w:hAnsi="Times New Roman" w:cs="Times New Roman"/>
        </w:rPr>
        <w:t>charantia</w:t>
      </w:r>
      <w:proofErr w:type="spellEnd"/>
      <w:r w:rsidRPr="00037593">
        <w:rPr>
          <w:rFonts w:ascii="Times New Roman" w:hAnsi="Times New Roman" w:cs="Times New Roman"/>
        </w:rPr>
        <w:t xml:space="preserve"> and </w:t>
      </w:r>
      <w:proofErr w:type="spellStart"/>
      <w:r w:rsidRPr="00037593">
        <w:rPr>
          <w:rFonts w:ascii="Times New Roman" w:hAnsi="Times New Roman" w:cs="Times New Roman"/>
        </w:rPr>
        <w:t>Trigonella</w:t>
      </w:r>
      <w:proofErr w:type="spellEnd"/>
      <w:r w:rsidRPr="00037593">
        <w:rPr>
          <w:rFonts w:ascii="Times New Roman" w:hAnsi="Times New Roman" w:cs="Times New Roman"/>
        </w:rPr>
        <w:t xml:space="preserve"> </w:t>
      </w:r>
      <w:proofErr w:type="spellStart"/>
      <w:r w:rsidRPr="00037593">
        <w:rPr>
          <w:rFonts w:ascii="Times New Roman" w:hAnsi="Times New Roman" w:cs="Times New Roman"/>
        </w:rPr>
        <w:t>foenum</w:t>
      </w:r>
      <w:proofErr w:type="spellEnd"/>
      <w:r w:rsidRPr="00037593">
        <w:rPr>
          <w:rFonts w:ascii="Times New Roman" w:hAnsi="Times New Roman" w:cs="Times New Roman"/>
        </w:rPr>
        <w:t xml:space="preserve">-graecum extracts in diabetic rats as compared with </w:t>
      </w:r>
      <w:proofErr w:type="spellStart"/>
      <w:r w:rsidRPr="00037593">
        <w:rPr>
          <w:rFonts w:ascii="Times New Roman" w:hAnsi="Times New Roman" w:cs="Times New Roman"/>
        </w:rPr>
        <w:t>cidophage</w:t>
      </w:r>
      <w:proofErr w:type="spellEnd"/>
      <w:r w:rsidRPr="00037593">
        <w:rPr>
          <w:rFonts w:ascii="Times New Roman" w:hAnsi="Times New Roman" w:cs="Times New Roman"/>
        </w:rPr>
        <w:t>®. World Academy of Science, Engineering and Technology, 64, 1206-1214.</w:t>
      </w:r>
    </w:p>
    <w:p w14:paraId="6FB7D05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Kwatra, D., Dandawate, P., Padhye, S., &amp; Anant, S. (2016). Bitter Melon as a Therapy for Diabetes, Inflammation, and Cancer: a </w:t>
      </w:r>
      <w:proofErr w:type="gramStart"/>
      <w:r w:rsidRPr="00037593">
        <w:rPr>
          <w:rFonts w:ascii="Times New Roman" w:hAnsi="Times New Roman" w:cs="Times New Roman"/>
        </w:rPr>
        <w:t>Panacea?.</w:t>
      </w:r>
      <w:proofErr w:type="gramEnd"/>
      <w:r w:rsidRPr="00037593">
        <w:rPr>
          <w:rFonts w:ascii="Times New Roman" w:hAnsi="Times New Roman" w:cs="Times New Roman"/>
        </w:rPr>
        <w:t xml:space="preserve"> Current Pharmacology Reports, 2(1), 34-44.</w:t>
      </w:r>
    </w:p>
    <w:p w14:paraId="79C0A1B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Yin, R. V., Lee, N. C., Hirpara, H., &amp; Phung, O. J. (2014). The effect of bitter melon (</w:t>
      </w:r>
      <w:proofErr w:type="spellStart"/>
      <w:r w:rsidRPr="00037593">
        <w:rPr>
          <w:rFonts w:ascii="Times New Roman" w:hAnsi="Times New Roman" w:cs="Times New Roman"/>
        </w:rPr>
        <w:t>Mormordica</w:t>
      </w:r>
      <w:proofErr w:type="spellEnd"/>
      <w:r w:rsidRPr="00037593">
        <w:rPr>
          <w:rFonts w:ascii="Times New Roman" w:hAnsi="Times New Roman" w:cs="Times New Roman"/>
        </w:rPr>
        <w:t xml:space="preserve"> </w:t>
      </w:r>
      <w:proofErr w:type="spellStart"/>
      <w:r w:rsidRPr="00037593">
        <w:rPr>
          <w:rFonts w:ascii="Times New Roman" w:hAnsi="Times New Roman" w:cs="Times New Roman"/>
        </w:rPr>
        <w:t>charantia</w:t>
      </w:r>
      <w:proofErr w:type="spellEnd"/>
      <w:r w:rsidRPr="00037593">
        <w:rPr>
          <w:rFonts w:ascii="Times New Roman" w:hAnsi="Times New Roman" w:cs="Times New Roman"/>
        </w:rPr>
        <w:t>) in patients with diabetes mellitus: a systematic review and meta-analysis. Nutrition &amp; diabetes, 4(12), e145.</w:t>
      </w:r>
    </w:p>
    <w:p w14:paraId="6E0A1E3C"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Dahlquist, A., Jandali, D., Nauman, M. C., &amp; Johnson, J. J. (2023). Clinical application of Momordica char-</w:t>
      </w:r>
      <w:proofErr w:type="spellStart"/>
      <w:r w:rsidRPr="00037593">
        <w:rPr>
          <w:rFonts w:ascii="Times New Roman" w:hAnsi="Times New Roman" w:cs="Times New Roman"/>
        </w:rPr>
        <w:t>antia</w:t>
      </w:r>
      <w:proofErr w:type="spellEnd"/>
      <w:r w:rsidRPr="00037593">
        <w:rPr>
          <w:rFonts w:ascii="Times New Roman" w:hAnsi="Times New Roman" w:cs="Times New Roman"/>
        </w:rPr>
        <w:t xml:space="preserve"> (Bitter Melon) for reducing blood sugar in type 2 diabetes </w:t>
      </w:r>
      <w:proofErr w:type="spellStart"/>
      <w:r w:rsidRPr="00037593">
        <w:rPr>
          <w:rFonts w:ascii="Times New Roman" w:hAnsi="Times New Roman" w:cs="Times New Roman"/>
        </w:rPr>
        <w:t>melli-tus</w:t>
      </w:r>
      <w:proofErr w:type="spellEnd"/>
      <w:r w:rsidRPr="00037593">
        <w:rPr>
          <w:rFonts w:ascii="Times New Roman" w:hAnsi="Times New Roman" w:cs="Times New Roman"/>
        </w:rPr>
        <w:t>. </w:t>
      </w:r>
      <w:r w:rsidRPr="00037593">
        <w:rPr>
          <w:rFonts w:ascii="Times New Roman" w:hAnsi="Times New Roman" w:cs="Times New Roman"/>
          <w:i/>
          <w:iCs/>
        </w:rPr>
        <w:t>International Journal of Nutrition-7 (4)</w:t>
      </w:r>
      <w:r w:rsidRPr="00037593">
        <w:rPr>
          <w:rFonts w:ascii="Times New Roman" w:hAnsi="Times New Roman" w:cs="Times New Roman"/>
        </w:rPr>
        <w:t>, 8-26.</w:t>
      </w:r>
    </w:p>
    <w:p w14:paraId="1536DBC3"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Hung, W. T., Sutopo, C. C. Y., </w:t>
      </w:r>
      <w:proofErr w:type="spellStart"/>
      <w:r w:rsidRPr="00037593">
        <w:rPr>
          <w:rFonts w:ascii="Times New Roman" w:hAnsi="Times New Roman" w:cs="Times New Roman"/>
        </w:rPr>
        <w:t>Mahatmanto</w:t>
      </w:r>
      <w:proofErr w:type="spellEnd"/>
      <w:r w:rsidRPr="00037593">
        <w:rPr>
          <w:rFonts w:ascii="Times New Roman" w:hAnsi="Times New Roman" w:cs="Times New Roman"/>
        </w:rPr>
        <w:t>, T., Wu, M. L., &amp; Hsu, J. L. (2024). Exploring the Antidiabetic and Antihypertensive Potential of Peptides Derived from Bitter Melon Seed Hydrolysate. </w:t>
      </w:r>
      <w:r w:rsidRPr="00037593">
        <w:rPr>
          <w:rFonts w:ascii="Times New Roman" w:hAnsi="Times New Roman" w:cs="Times New Roman"/>
          <w:i/>
          <w:iCs/>
        </w:rPr>
        <w:t>Biomedicines</w:t>
      </w:r>
      <w:r w:rsidRPr="00037593">
        <w:rPr>
          <w:rFonts w:ascii="Times New Roman" w:hAnsi="Times New Roman" w:cs="Times New Roman"/>
        </w:rPr>
        <w:t>, </w:t>
      </w:r>
      <w:r w:rsidRPr="00037593">
        <w:rPr>
          <w:rFonts w:ascii="Times New Roman" w:hAnsi="Times New Roman" w:cs="Times New Roman"/>
          <w:i/>
          <w:iCs/>
        </w:rPr>
        <w:t>12</w:t>
      </w:r>
      <w:r w:rsidRPr="00037593">
        <w:rPr>
          <w:rFonts w:ascii="Times New Roman" w:hAnsi="Times New Roman" w:cs="Times New Roman"/>
        </w:rPr>
        <w:t xml:space="preserve">(11), 2452. </w:t>
      </w:r>
    </w:p>
    <w:p w14:paraId="749973F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National Family Health Survey 2015-2016, Ministry of Health and Family Welfare (MoHFW)</w:t>
      </w:r>
      <w:proofErr w:type="gramStart"/>
      <w:r w:rsidRPr="00037593">
        <w:rPr>
          <w:rFonts w:ascii="Times New Roman" w:hAnsi="Times New Roman" w:cs="Times New Roman"/>
        </w:rPr>
        <w:t>GovernmentofIndia.Availableat:http://rchiips.org/NFHS/pdf/NFHS4/India.pdf</w:t>
      </w:r>
      <w:proofErr w:type="gramEnd"/>
    </w:p>
    <w:p w14:paraId="3E02F0C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Singh A, Masuku M. Sampling Techniques &amp; Determination of Sample Size in Applied Statistics Research: an Overview. </w:t>
      </w:r>
      <w:proofErr w:type="spellStart"/>
      <w:r w:rsidRPr="00037593">
        <w:rPr>
          <w:rFonts w:ascii="Times New Roman" w:hAnsi="Times New Roman" w:cs="Times New Roman"/>
        </w:rPr>
        <w:t>IjecmCoUk</w:t>
      </w:r>
      <w:proofErr w:type="spellEnd"/>
      <w:r w:rsidRPr="00037593">
        <w:rPr>
          <w:rFonts w:ascii="Times New Roman" w:hAnsi="Times New Roman" w:cs="Times New Roman"/>
        </w:rPr>
        <w:t xml:space="preserve"> [Internet]. </w:t>
      </w:r>
      <w:proofErr w:type="gramStart"/>
      <w:r w:rsidRPr="00037593">
        <w:rPr>
          <w:rFonts w:ascii="Times New Roman" w:hAnsi="Times New Roman" w:cs="Times New Roman"/>
        </w:rPr>
        <w:t>2014;II</w:t>
      </w:r>
      <w:proofErr w:type="gramEnd"/>
      <w:r w:rsidRPr="00037593">
        <w:rPr>
          <w:rFonts w:ascii="Times New Roman" w:hAnsi="Times New Roman" w:cs="Times New Roman"/>
        </w:rPr>
        <w:t xml:space="preserve">(11):1–22. Available from: </w:t>
      </w:r>
      <w:hyperlink r:id="rId14" w:history="1">
        <w:r w:rsidRPr="00037593">
          <w:rPr>
            <w:rStyle w:val="Hyperlink"/>
            <w:rFonts w:ascii="Times New Roman" w:hAnsi="Times New Roman" w:cs="Times New Roman"/>
            <w:color w:val="auto"/>
          </w:rPr>
          <w:t>http://ijecm.co.uk/wp-content/uploads/2014/11/21131.pdf</w:t>
        </w:r>
      </w:hyperlink>
    </w:p>
    <w:p w14:paraId="11DBA331"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 xml:space="preserve">Garrow, J.S. and Webster, J. 1985. </w:t>
      </w:r>
      <w:proofErr w:type="spellStart"/>
      <w:r w:rsidRPr="00037593">
        <w:rPr>
          <w:rFonts w:ascii="Times New Roman" w:eastAsia="Calibri" w:hAnsi="Times New Roman" w:cs="Times New Roman"/>
          <w:kern w:val="0"/>
          <w:szCs w:val="22"/>
          <w:lang w:val="en-US" w:bidi="ar-SA"/>
          <w14:ligatures w14:val="none"/>
        </w:rPr>
        <w:t>Quetelets</w:t>
      </w:r>
      <w:proofErr w:type="spellEnd"/>
      <w:r w:rsidRPr="00037593">
        <w:rPr>
          <w:rFonts w:ascii="Times New Roman" w:eastAsia="Calibri" w:hAnsi="Times New Roman" w:cs="Times New Roman"/>
          <w:kern w:val="0"/>
          <w:szCs w:val="22"/>
          <w:lang w:val="en-US" w:bidi="ar-SA"/>
          <w14:ligatures w14:val="none"/>
        </w:rPr>
        <w:t xml:space="preserve"> index (W/H2) as a measure of fatness. International Journal of Obesity 9: 147-53.</w:t>
      </w:r>
    </w:p>
    <w:p w14:paraId="32103850"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lastRenderedPageBreak/>
        <w:t>Who, E. C. (2004). Appropriate body-mass index for Asian populations and its implications for policy and intervention strategies. Lancet (London, England), 363(9403), 157.</w:t>
      </w:r>
    </w:p>
    <w:p w14:paraId="334D20AB"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 xml:space="preserve">Indian Consensus Group. (1996). Indian consensus for prevention of hypertension and coronary heart disease. A joint scientific statement of Indian Society of Hypertension and International College of Nutrition. J </w:t>
      </w:r>
      <w:proofErr w:type="spellStart"/>
      <w:r w:rsidRPr="00037593">
        <w:rPr>
          <w:rFonts w:ascii="Times New Roman" w:eastAsia="Calibri" w:hAnsi="Times New Roman" w:cs="Times New Roman"/>
          <w:kern w:val="0"/>
          <w:szCs w:val="22"/>
          <w:lang w:val="en-US" w:bidi="ar-SA"/>
          <w14:ligatures w14:val="none"/>
        </w:rPr>
        <w:t>Nutr</w:t>
      </w:r>
      <w:proofErr w:type="spellEnd"/>
      <w:r w:rsidRPr="00037593">
        <w:rPr>
          <w:rFonts w:ascii="Times New Roman" w:eastAsia="Calibri" w:hAnsi="Times New Roman" w:cs="Times New Roman"/>
          <w:kern w:val="0"/>
          <w:szCs w:val="22"/>
          <w:lang w:val="en-US" w:bidi="ar-SA"/>
          <w14:ligatures w14:val="none"/>
        </w:rPr>
        <w:t xml:space="preserve"> Environ Med, 6, 309-318.</w:t>
      </w:r>
    </w:p>
    <w:p w14:paraId="30EAFE2A"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Longvah</w:t>
      </w:r>
      <w:proofErr w:type="spellEnd"/>
      <w:r w:rsidRPr="00037593">
        <w:rPr>
          <w:rFonts w:ascii="Times New Roman" w:hAnsi="Times New Roman" w:cs="Times New Roman"/>
        </w:rPr>
        <w:t xml:space="preserve">, T., Ananthan, R., </w:t>
      </w:r>
      <w:proofErr w:type="spellStart"/>
      <w:r w:rsidRPr="00037593">
        <w:rPr>
          <w:rFonts w:ascii="Times New Roman" w:hAnsi="Times New Roman" w:cs="Times New Roman"/>
        </w:rPr>
        <w:t>Bhaskarachary</w:t>
      </w:r>
      <w:proofErr w:type="spellEnd"/>
      <w:r w:rsidRPr="00037593">
        <w:rPr>
          <w:rFonts w:ascii="Times New Roman" w:hAnsi="Times New Roman" w:cs="Times New Roman"/>
        </w:rPr>
        <w:t xml:space="preserve">, K., &amp; Venkaiah, K. (2017). Indian Food Composition Tables. (T. </w:t>
      </w:r>
      <w:proofErr w:type="spellStart"/>
      <w:r w:rsidRPr="00037593">
        <w:rPr>
          <w:rFonts w:ascii="Times New Roman" w:hAnsi="Times New Roman" w:cs="Times New Roman"/>
        </w:rPr>
        <w:t>Longvah</w:t>
      </w:r>
      <w:proofErr w:type="spellEnd"/>
      <w:r w:rsidRPr="00037593">
        <w:rPr>
          <w:rFonts w:ascii="Times New Roman" w:hAnsi="Times New Roman" w:cs="Times New Roman"/>
        </w:rPr>
        <w:t>, Ed.). Hyderabad, India: National Institute of Nutrition, Indian Council of Medical Research, Ministry of Health and Family Welfare, Government of India.</w:t>
      </w:r>
    </w:p>
    <w:p w14:paraId="42255405"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Kaur G. (2017). Diet </w:t>
      </w:r>
      <w:proofErr w:type="spellStart"/>
      <w:r w:rsidRPr="00037593">
        <w:rPr>
          <w:rFonts w:ascii="Times New Roman" w:hAnsi="Times New Roman" w:cs="Times New Roman"/>
        </w:rPr>
        <w:t>cal</w:t>
      </w:r>
      <w:proofErr w:type="spellEnd"/>
      <w:r w:rsidRPr="00037593">
        <w:rPr>
          <w:rFonts w:ascii="Times New Roman" w:hAnsi="Times New Roman" w:cs="Times New Roman"/>
        </w:rPr>
        <w:t>: A tool for dietary assessment and planning; software version 8.: Profound Tech Solutions. Department of Dietetics, AIIMS, New Delhi, India.</w:t>
      </w:r>
    </w:p>
    <w:p w14:paraId="2D151796"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ICMR (2018). Guidelines for Management of Type 2 Diabetes. Indian Council of Medical Research, New Delhi.</w:t>
      </w:r>
    </w:p>
    <w:p w14:paraId="1D36B22E"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Definition, W. H. O. (2006). Diagnosis of diabetes mellitus and intermediate </w:t>
      </w:r>
      <w:proofErr w:type="spellStart"/>
      <w:r w:rsidRPr="00037593">
        <w:rPr>
          <w:rFonts w:ascii="Times New Roman" w:hAnsi="Times New Roman" w:cs="Times New Roman"/>
        </w:rPr>
        <w:t>hyperglycemia</w:t>
      </w:r>
      <w:proofErr w:type="spellEnd"/>
      <w:r w:rsidRPr="00037593">
        <w:rPr>
          <w:rFonts w:ascii="Times New Roman" w:hAnsi="Times New Roman" w:cs="Times New Roman"/>
        </w:rPr>
        <w:t>: report of a WHO/IDF consultation. Geneva: World Health Organization, 3.</w:t>
      </w:r>
    </w:p>
    <w:p w14:paraId="565E5CA3"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American Diabetes Association. (2017). 2. Classification and diagnosis of diabetes. Diabetes care, 40(Supplement 1), S11-S24.</w:t>
      </w:r>
    </w:p>
    <w:p w14:paraId="7D14AF74" w14:textId="77777777" w:rsidR="00752E3F" w:rsidRPr="00037593" w:rsidRDefault="00752E3F" w:rsidP="00752E3F">
      <w:pPr>
        <w:pStyle w:val="ListParagraph"/>
        <w:numPr>
          <w:ilvl w:val="0"/>
          <w:numId w:val="6"/>
        </w:numPr>
        <w:spacing w:after="0" w:line="240" w:lineRule="auto"/>
        <w:jc w:val="both"/>
        <w:rPr>
          <w:rFonts w:ascii="Times New Roman" w:eastAsia="Calibri" w:hAnsi="Times New Roman" w:cs="Times New Roman"/>
          <w:kern w:val="0"/>
          <w:szCs w:val="22"/>
          <w:shd w:val="clear" w:color="auto" w:fill="F8F8F8"/>
          <w:lang w:val="en-US" w:bidi="ar-SA"/>
          <w14:ligatures w14:val="none"/>
        </w:rPr>
      </w:pPr>
      <w:r w:rsidRPr="00037593">
        <w:rPr>
          <w:rFonts w:ascii="Times New Roman" w:eastAsia="Calibri" w:hAnsi="Times New Roman" w:cs="Times New Roman"/>
          <w:kern w:val="0"/>
          <w:szCs w:val="22"/>
          <w:lang w:val="en-US" w:bidi="ar-SA"/>
          <w14:ligatures w14:val="none"/>
        </w:rPr>
        <w:t xml:space="preserve">Paul A. James, MD; Suzanne </w:t>
      </w:r>
      <w:proofErr w:type="spellStart"/>
      <w:r w:rsidRPr="00037593">
        <w:rPr>
          <w:rFonts w:ascii="Times New Roman" w:eastAsia="Calibri" w:hAnsi="Times New Roman" w:cs="Times New Roman"/>
          <w:kern w:val="0"/>
          <w:szCs w:val="22"/>
          <w:lang w:val="en-US" w:bidi="ar-SA"/>
          <w14:ligatures w14:val="none"/>
        </w:rPr>
        <w:t>Oparil</w:t>
      </w:r>
      <w:proofErr w:type="spellEnd"/>
      <w:r w:rsidRPr="00037593">
        <w:rPr>
          <w:rFonts w:ascii="Times New Roman" w:eastAsia="Calibri" w:hAnsi="Times New Roman" w:cs="Times New Roman"/>
          <w:kern w:val="0"/>
          <w:szCs w:val="22"/>
          <w:lang w:val="en-US" w:bidi="ar-SA"/>
          <w14:ligatures w14:val="none"/>
        </w:rPr>
        <w:t xml:space="preserve">, MD; Barry L. Carter, PharmD; William C. Cushman, MD; Cheryl Dennison-Himmelfarb, RN, ANP, PhD; Joel Handler, </w:t>
      </w:r>
      <w:proofErr w:type="spellStart"/>
      <w:proofErr w:type="gramStart"/>
      <w:r w:rsidRPr="00037593">
        <w:rPr>
          <w:rFonts w:ascii="Times New Roman" w:eastAsia="Calibri" w:hAnsi="Times New Roman" w:cs="Times New Roman"/>
          <w:kern w:val="0"/>
          <w:szCs w:val="22"/>
          <w:lang w:val="en-US" w:bidi="ar-SA"/>
          <w14:ligatures w14:val="none"/>
        </w:rPr>
        <w:t>MD;Daniel</w:t>
      </w:r>
      <w:proofErr w:type="spellEnd"/>
      <w:proofErr w:type="gramEnd"/>
      <w:r w:rsidRPr="00037593">
        <w:rPr>
          <w:rFonts w:ascii="Times New Roman" w:eastAsia="Calibri" w:hAnsi="Times New Roman" w:cs="Times New Roman"/>
          <w:kern w:val="0"/>
          <w:szCs w:val="22"/>
          <w:lang w:val="en-US" w:bidi="ar-SA"/>
          <w14:ligatures w14:val="none"/>
        </w:rPr>
        <w:t xml:space="preserve"> T. Lackland, DrPH; Michael L. LeFevre, MD, MSPH; </w:t>
      </w:r>
      <w:proofErr w:type="spellStart"/>
      <w:r w:rsidRPr="00037593">
        <w:rPr>
          <w:rFonts w:ascii="Times New Roman" w:eastAsia="Calibri" w:hAnsi="Times New Roman" w:cs="Times New Roman"/>
          <w:kern w:val="0"/>
          <w:szCs w:val="22"/>
          <w:lang w:val="en-US" w:bidi="ar-SA"/>
          <w14:ligatures w14:val="none"/>
        </w:rPr>
        <w:t>ThomasD</w:t>
      </w:r>
      <w:proofErr w:type="spellEnd"/>
      <w:r w:rsidRPr="00037593">
        <w:rPr>
          <w:rFonts w:ascii="Times New Roman" w:eastAsia="Calibri" w:hAnsi="Times New Roman" w:cs="Times New Roman"/>
          <w:kern w:val="0"/>
          <w:szCs w:val="22"/>
          <w:lang w:val="en-US" w:bidi="ar-SA"/>
          <w14:ligatures w14:val="none"/>
        </w:rPr>
        <w:t xml:space="preserve">. </w:t>
      </w:r>
      <w:proofErr w:type="spellStart"/>
      <w:r w:rsidRPr="00037593">
        <w:rPr>
          <w:rFonts w:ascii="Times New Roman" w:eastAsia="Calibri" w:hAnsi="Times New Roman" w:cs="Times New Roman"/>
          <w:kern w:val="0"/>
          <w:szCs w:val="22"/>
          <w:lang w:val="en-US" w:bidi="ar-SA"/>
          <w14:ligatures w14:val="none"/>
        </w:rPr>
        <w:t>MacKenzie</w:t>
      </w:r>
      <w:proofErr w:type="spellEnd"/>
      <w:r w:rsidRPr="00037593">
        <w:rPr>
          <w:rFonts w:ascii="Times New Roman" w:eastAsia="Calibri" w:hAnsi="Times New Roman" w:cs="Times New Roman"/>
          <w:kern w:val="0"/>
          <w:szCs w:val="22"/>
          <w:lang w:val="en-US" w:bidi="ar-SA"/>
          <w14:ligatures w14:val="none"/>
        </w:rPr>
        <w:t xml:space="preserve">, MD, MSPH; Olugbenga </w:t>
      </w:r>
      <w:proofErr w:type="spellStart"/>
      <w:r w:rsidRPr="00037593">
        <w:rPr>
          <w:rFonts w:ascii="Times New Roman" w:eastAsia="Calibri" w:hAnsi="Times New Roman" w:cs="Times New Roman"/>
          <w:kern w:val="0"/>
          <w:szCs w:val="22"/>
          <w:lang w:val="en-US" w:bidi="ar-SA"/>
          <w14:ligatures w14:val="none"/>
        </w:rPr>
        <w:t>Ogedegbe</w:t>
      </w:r>
      <w:proofErr w:type="spellEnd"/>
      <w:r w:rsidRPr="00037593">
        <w:rPr>
          <w:rFonts w:ascii="Times New Roman" w:eastAsia="Calibri" w:hAnsi="Times New Roman" w:cs="Times New Roman"/>
          <w:kern w:val="0"/>
          <w:szCs w:val="22"/>
          <w:lang w:val="en-US" w:bidi="ar-SA"/>
          <w14:ligatures w14:val="none"/>
        </w:rPr>
        <w:t xml:space="preserve">, MD, M. (2014). 2014 Evidence-Based Guideline for the Management of High Blood Pressure in Adults Report </w:t>
      </w:r>
      <w:proofErr w:type="gramStart"/>
      <w:r w:rsidRPr="00037593">
        <w:rPr>
          <w:rFonts w:ascii="Times New Roman" w:eastAsia="Calibri" w:hAnsi="Times New Roman" w:cs="Times New Roman"/>
          <w:kern w:val="0"/>
          <w:szCs w:val="22"/>
          <w:lang w:val="en-US" w:bidi="ar-SA"/>
          <w14:ligatures w14:val="none"/>
        </w:rPr>
        <w:t>From</w:t>
      </w:r>
      <w:proofErr w:type="gramEnd"/>
      <w:r w:rsidRPr="00037593">
        <w:rPr>
          <w:rFonts w:ascii="Times New Roman" w:eastAsia="Calibri" w:hAnsi="Times New Roman" w:cs="Times New Roman"/>
          <w:kern w:val="0"/>
          <w:szCs w:val="22"/>
          <w:lang w:val="en-US" w:bidi="ar-SA"/>
          <w14:ligatures w14:val="none"/>
        </w:rPr>
        <w:t xml:space="preserve"> the Panel Members Appointed to the Eighth Joint National Committee (JNC 8), 1097(5), 507–520. https://doi.org/10.1001/jama.2013.284427</w:t>
      </w:r>
    </w:p>
    <w:p w14:paraId="1D9BF7F8"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Patel, M., Patel, I. M., Patel, Y. M., &amp; Rathi, S. K. (2013). A hospital-based observational study of type 2 diabetic subjects from India. Indian J Clin </w:t>
      </w:r>
      <w:proofErr w:type="spellStart"/>
      <w:r w:rsidRPr="00037593">
        <w:rPr>
          <w:rFonts w:ascii="Times New Roman" w:hAnsi="Times New Roman" w:cs="Times New Roman"/>
        </w:rPr>
        <w:t>Pract</w:t>
      </w:r>
      <w:proofErr w:type="spellEnd"/>
      <w:r w:rsidRPr="00037593">
        <w:rPr>
          <w:rFonts w:ascii="Times New Roman" w:hAnsi="Times New Roman" w:cs="Times New Roman"/>
        </w:rPr>
        <w:t>, 24, 141-148.</w:t>
      </w:r>
    </w:p>
    <w:p w14:paraId="03849E45"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Nair, A., </w:t>
      </w:r>
      <w:proofErr w:type="spellStart"/>
      <w:r w:rsidRPr="00037593">
        <w:rPr>
          <w:rFonts w:ascii="Times New Roman" w:hAnsi="Times New Roman" w:cs="Times New Roman"/>
        </w:rPr>
        <w:t>Jayakumari</w:t>
      </w:r>
      <w:proofErr w:type="spellEnd"/>
      <w:r w:rsidRPr="00037593">
        <w:rPr>
          <w:rFonts w:ascii="Times New Roman" w:hAnsi="Times New Roman" w:cs="Times New Roman"/>
        </w:rPr>
        <w:t>, C., Jabbar, P. K., Jayakumar, R. V., Raizada, N., Gopi, A., ... &amp; Seena, T. P. (2018). Prevalence and Associations of Hypothyroidism in Indian Patients with Type 2 Diabetes Mellitus. Journal of thyroid research, 2018.</w:t>
      </w:r>
    </w:p>
    <w:p w14:paraId="11B860E3"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Maniarasu</w:t>
      </w:r>
      <w:proofErr w:type="spellEnd"/>
      <w:r w:rsidRPr="00037593">
        <w:rPr>
          <w:rFonts w:ascii="Times New Roman" w:hAnsi="Times New Roman" w:cs="Times New Roman"/>
        </w:rPr>
        <w:t xml:space="preserve">, K., &amp; </w:t>
      </w:r>
      <w:proofErr w:type="spellStart"/>
      <w:r w:rsidRPr="00037593">
        <w:rPr>
          <w:rFonts w:ascii="Times New Roman" w:hAnsi="Times New Roman" w:cs="Times New Roman"/>
        </w:rPr>
        <w:t>Muthunarayanan</w:t>
      </w:r>
      <w:proofErr w:type="spellEnd"/>
      <w:r w:rsidRPr="00037593">
        <w:rPr>
          <w:rFonts w:ascii="Times New Roman" w:hAnsi="Times New Roman" w:cs="Times New Roman"/>
        </w:rPr>
        <w:t>, L. (2017). Prevalence of certain chronic complications of diabetes among type 2 diabetic patients in rural population of Kancheepuram District, Tamil Nadu-a cross sectional study. International Journal of Medicine and Public Health, 7(1).</w:t>
      </w:r>
    </w:p>
    <w:p w14:paraId="69699132"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Opeodu</w:t>
      </w:r>
      <w:proofErr w:type="spellEnd"/>
      <w:r w:rsidRPr="00037593">
        <w:rPr>
          <w:rFonts w:ascii="Times New Roman" w:hAnsi="Times New Roman" w:cs="Times New Roman"/>
        </w:rPr>
        <w:t>, O. I., &amp; Adeyemi, B. F. (2015). Prevalence of coexisting diabetes mellitus and hypertension among dental patients in a tertiary care hospital. Journal of the West African College of Surgeons, 5(3), 16.</w:t>
      </w:r>
    </w:p>
    <w:p w14:paraId="11F415DD"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Unadike</w:t>
      </w:r>
      <w:proofErr w:type="spellEnd"/>
      <w:r w:rsidRPr="00037593">
        <w:rPr>
          <w:rFonts w:ascii="Times New Roman" w:hAnsi="Times New Roman" w:cs="Times New Roman"/>
        </w:rPr>
        <w:t xml:space="preserve">, B. C., </w:t>
      </w:r>
      <w:proofErr w:type="spellStart"/>
      <w:r w:rsidRPr="00037593">
        <w:rPr>
          <w:rFonts w:ascii="Times New Roman" w:hAnsi="Times New Roman" w:cs="Times New Roman"/>
        </w:rPr>
        <w:t>Eregie</w:t>
      </w:r>
      <w:proofErr w:type="spellEnd"/>
      <w:r w:rsidRPr="00037593">
        <w:rPr>
          <w:rFonts w:ascii="Times New Roman" w:hAnsi="Times New Roman" w:cs="Times New Roman"/>
        </w:rPr>
        <w:t xml:space="preserve">, A., &amp; </w:t>
      </w:r>
      <w:proofErr w:type="spellStart"/>
      <w:r w:rsidRPr="00037593">
        <w:rPr>
          <w:rFonts w:ascii="Times New Roman" w:hAnsi="Times New Roman" w:cs="Times New Roman"/>
        </w:rPr>
        <w:t>Ohwovoriole</w:t>
      </w:r>
      <w:proofErr w:type="spellEnd"/>
      <w:r w:rsidRPr="00037593">
        <w:rPr>
          <w:rFonts w:ascii="Times New Roman" w:hAnsi="Times New Roman" w:cs="Times New Roman"/>
        </w:rPr>
        <w:t>, A. E. (2011). Prevalence of hypertension amongst persons with diabetes mellitus in Benin City, Nigeria. Nigerian journal of clinical practice, 14(3), 300-302.</w:t>
      </w:r>
    </w:p>
    <w:p w14:paraId="5BF78BEF" w14:textId="77777777" w:rsidR="00752E3F" w:rsidRPr="00037593" w:rsidRDefault="00752E3F" w:rsidP="00752E3F">
      <w:pPr>
        <w:pStyle w:val="ListParagraph"/>
        <w:numPr>
          <w:ilvl w:val="0"/>
          <w:numId w:val="6"/>
        </w:numPr>
        <w:jc w:val="both"/>
        <w:rPr>
          <w:rFonts w:ascii="Times New Roman" w:hAnsi="Times New Roman" w:cs="Times New Roman"/>
        </w:rPr>
      </w:pPr>
      <w:r w:rsidRPr="00037593">
        <w:rPr>
          <w:rFonts w:ascii="Times New Roman" w:hAnsi="Times New Roman" w:cs="Times New Roman"/>
        </w:rPr>
        <w:t xml:space="preserve">Yamakawa, T., Sakamoto, R., Takahashi, K., Suzuki, J., </w:t>
      </w:r>
      <w:proofErr w:type="spellStart"/>
      <w:r w:rsidRPr="00037593">
        <w:rPr>
          <w:rFonts w:ascii="Times New Roman" w:hAnsi="Times New Roman" w:cs="Times New Roman"/>
        </w:rPr>
        <w:t>Matuura</w:t>
      </w:r>
      <w:proofErr w:type="spellEnd"/>
      <w:r w:rsidRPr="00037593">
        <w:rPr>
          <w:rFonts w:ascii="Times New Roman" w:hAnsi="Times New Roman" w:cs="Times New Roman"/>
        </w:rPr>
        <w:t xml:space="preserve">‐Shinoda, M., Takahashi, M., ... &amp; Kawata, T. (2019). Dietary survey in Japanese patients with type 2 diabetes and the influence of dietary carbohydrate on glycated </w:t>
      </w:r>
      <w:proofErr w:type="spellStart"/>
      <w:r w:rsidRPr="00037593">
        <w:rPr>
          <w:rFonts w:ascii="Times New Roman" w:hAnsi="Times New Roman" w:cs="Times New Roman"/>
        </w:rPr>
        <w:t>hemoglobin</w:t>
      </w:r>
      <w:proofErr w:type="spellEnd"/>
      <w:r w:rsidRPr="00037593">
        <w:rPr>
          <w:rFonts w:ascii="Times New Roman" w:hAnsi="Times New Roman" w:cs="Times New Roman"/>
        </w:rPr>
        <w:t>: The Sleep and Food Registry in Kanagawa study. Journal of diabetes investigation, 10(2), 309-317.</w:t>
      </w:r>
    </w:p>
    <w:p w14:paraId="42C0490F"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Berraho</w:t>
      </w:r>
      <w:proofErr w:type="spellEnd"/>
      <w:r w:rsidRPr="00037593">
        <w:rPr>
          <w:rFonts w:ascii="Times New Roman" w:hAnsi="Times New Roman" w:cs="Times New Roman"/>
        </w:rPr>
        <w:t xml:space="preserve">, M., El </w:t>
      </w:r>
      <w:proofErr w:type="spellStart"/>
      <w:r w:rsidRPr="00037593">
        <w:rPr>
          <w:rFonts w:ascii="Times New Roman" w:hAnsi="Times New Roman" w:cs="Times New Roman"/>
        </w:rPr>
        <w:t>Achhab</w:t>
      </w:r>
      <w:proofErr w:type="spellEnd"/>
      <w:r w:rsidRPr="00037593">
        <w:rPr>
          <w:rFonts w:ascii="Times New Roman" w:hAnsi="Times New Roman" w:cs="Times New Roman"/>
        </w:rPr>
        <w:t xml:space="preserve">, Y., Benslimane, A., </w:t>
      </w:r>
      <w:proofErr w:type="spellStart"/>
      <w:r w:rsidRPr="00037593">
        <w:rPr>
          <w:rFonts w:ascii="Times New Roman" w:hAnsi="Times New Roman" w:cs="Times New Roman"/>
        </w:rPr>
        <w:t>Rhazi</w:t>
      </w:r>
      <w:proofErr w:type="spellEnd"/>
      <w:r w:rsidRPr="00037593">
        <w:rPr>
          <w:rFonts w:ascii="Times New Roman" w:hAnsi="Times New Roman" w:cs="Times New Roman"/>
        </w:rPr>
        <w:t xml:space="preserve">, K. E., Chikri, M., &amp; </w:t>
      </w:r>
      <w:proofErr w:type="spellStart"/>
      <w:r w:rsidRPr="00037593">
        <w:rPr>
          <w:rFonts w:ascii="Times New Roman" w:hAnsi="Times New Roman" w:cs="Times New Roman"/>
        </w:rPr>
        <w:t>Nejjari</w:t>
      </w:r>
      <w:proofErr w:type="spellEnd"/>
      <w:r w:rsidRPr="00037593">
        <w:rPr>
          <w:rFonts w:ascii="Times New Roman" w:hAnsi="Times New Roman" w:cs="Times New Roman"/>
        </w:rPr>
        <w:t>, C. (2012). Hypertension and type 2 diabetes: a cross-sectional study in Morocco (EPIDIAM Study). Pan African Medical Journal, 11(1).</w:t>
      </w:r>
    </w:p>
    <w:p w14:paraId="65BF9A3D" w14:textId="77777777" w:rsidR="00752E3F"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lastRenderedPageBreak/>
        <w:t>Hashemizadeh</w:t>
      </w:r>
      <w:proofErr w:type="spellEnd"/>
      <w:r w:rsidRPr="00037593">
        <w:rPr>
          <w:rFonts w:ascii="Times New Roman" w:hAnsi="Times New Roman" w:cs="Times New Roman"/>
        </w:rPr>
        <w:t xml:space="preserve">, H., &amp; </w:t>
      </w:r>
      <w:proofErr w:type="spellStart"/>
      <w:r w:rsidRPr="00037593">
        <w:rPr>
          <w:rFonts w:ascii="Times New Roman" w:hAnsi="Times New Roman" w:cs="Times New Roman"/>
        </w:rPr>
        <w:t>Sarvelayati</w:t>
      </w:r>
      <w:proofErr w:type="spellEnd"/>
      <w:r w:rsidRPr="00037593">
        <w:rPr>
          <w:rFonts w:ascii="Times New Roman" w:hAnsi="Times New Roman" w:cs="Times New Roman"/>
        </w:rPr>
        <w:t>, D. (2013). Hypertension and type 2 diabetes: a cross-sectional study in hospitalized patients in Quchan, Iran. Iranian Journal of Diabetes and Obesity, 5(1), 21-26.</w:t>
      </w:r>
    </w:p>
    <w:p w14:paraId="09E378FD" w14:textId="4C67E4DC" w:rsidR="00A7484B" w:rsidRPr="00037593" w:rsidRDefault="00752E3F" w:rsidP="00752E3F">
      <w:pPr>
        <w:pStyle w:val="ListParagraph"/>
        <w:numPr>
          <w:ilvl w:val="0"/>
          <w:numId w:val="6"/>
        </w:numPr>
        <w:jc w:val="both"/>
        <w:rPr>
          <w:rFonts w:ascii="Times New Roman" w:hAnsi="Times New Roman" w:cs="Times New Roman"/>
        </w:rPr>
      </w:pPr>
      <w:proofErr w:type="spellStart"/>
      <w:r w:rsidRPr="00037593">
        <w:rPr>
          <w:rFonts w:ascii="Times New Roman" w:hAnsi="Times New Roman" w:cs="Times New Roman"/>
        </w:rPr>
        <w:t>Abejew</w:t>
      </w:r>
      <w:proofErr w:type="spellEnd"/>
      <w:r w:rsidRPr="00037593">
        <w:rPr>
          <w:rFonts w:ascii="Times New Roman" w:hAnsi="Times New Roman" w:cs="Times New Roman"/>
        </w:rPr>
        <w:t>, A. A., Belay, A. Z., &amp; Kerie, M. W. (2015). Diabetic complications among adult diabetic patients of a tertiary hospital in Northeast Ethiopia. Advances in Public Health, 2015.</w:t>
      </w:r>
    </w:p>
    <w:sectPr w:rsidR="00A7484B" w:rsidRPr="00037593" w:rsidSect="00E52B9C">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CA6B" w14:textId="77777777" w:rsidR="008C4273" w:rsidRDefault="008C4273">
      <w:pPr>
        <w:spacing w:after="0" w:line="240" w:lineRule="auto"/>
      </w:pPr>
      <w:r>
        <w:separator/>
      </w:r>
    </w:p>
  </w:endnote>
  <w:endnote w:type="continuationSeparator" w:id="0">
    <w:p w14:paraId="6768A44D" w14:textId="77777777" w:rsidR="008C4273" w:rsidRDefault="008C4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38084" w14:textId="77777777" w:rsidR="006F25CA" w:rsidRDefault="006F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22063"/>
      <w:docPartObj>
        <w:docPartGallery w:val="Page Numbers (Bottom of Page)"/>
        <w:docPartUnique/>
      </w:docPartObj>
    </w:sdtPr>
    <w:sdtEndPr/>
    <w:sdtContent>
      <w:p w14:paraId="0F68613C" w14:textId="77777777" w:rsidR="00DA4D38" w:rsidRDefault="005E48B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2670474" w14:textId="77777777" w:rsidR="00DA4D38" w:rsidRDefault="00DA4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B81A" w14:textId="77777777" w:rsidR="006F25CA" w:rsidRDefault="006F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3027C" w14:textId="77777777" w:rsidR="008C4273" w:rsidRDefault="008C4273">
      <w:pPr>
        <w:spacing w:after="0" w:line="240" w:lineRule="auto"/>
      </w:pPr>
      <w:r>
        <w:separator/>
      </w:r>
    </w:p>
  </w:footnote>
  <w:footnote w:type="continuationSeparator" w:id="0">
    <w:p w14:paraId="72C38495" w14:textId="77777777" w:rsidR="008C4273" w:rsidRDefault="008C4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507F" w14:textId="3820EB80" w:rsidR="006F25CA" w:rsidRDefault="006F25CA">
    <w:pPr>
      <w:pStyle w:val="Header"/>
    </w:pPr>
    <w:r>
      <w:rPr>
        <w:noProof/>
      </w:rPr>
      <w:pict w14:anchorId="4986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CD68" w14:textId="5DC3F263" w:rsidR="006F25CA" w:rsidRDefault="006F25CA">
    <w:pPr>
      <w:pStyle w:val="Header"/>
    </w:pPr>
    <w:r>
      <w:rPr>
        <w:noProof/>
      </w:rPr>
      <w:pict w14:anchorId="7B0A8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3E9C" w14:textId="7E06D42C" w:rsidR="006F25CA" w:rsidRDefault="006F25CA">
    <w:pPr>
      <w:pStyle w:val="Header"/>
    </w:pPr>
    <w:r>
      <w:rPr>
        <w:noProof/>
      </w:rPr>
      <w:pict w14:anchorId="205F2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4CE"/>
    <w:multiLevelType w:val="multilevel"/>
    <w:tmpl w:val="2AF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E0DE6"/>
    <w:multiLevelType w:val="multilevel"/>
    <w:tmpl w:val="AB8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F195D"/>
    <w:multiLevelType w:val="hybridMultilevel"/>
    <w:tmpl w:val="7B4C7AF0"/>
    <w:lvl w:ilvl="0" w:tplc="FF5C362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29B2F3C"/>
    <w:multiLevelType w:val="multilevel"/>
    <w:tmpl w:val="8B78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23269A"/>
    <w:multiLevelType w:val="multilevel"/>
    <w:tmpl w:val="406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679C4"/>
    <w:multiLevelType w:val="hybridMultilevel"/>
    <w:tmpl w:val="3B78EA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56"/>
    <w:rsid w:val="00021C6B"/>
    <w:rsid w:val="00024ABE"/>
    <w:rsid w:val="00037593"/>
    <w:rsid w:val="00037D6A"/>
    <w:rsid w:val="000446F3"/>
    <w:rsid w:val="000462C0"/>
    <w:rsid w:val="000564AB"/>
    <w:rsid w:val="00063DBD"/>
    <w:rsid w:val="00087DA4"/>
    <w:rsid w:val="0009527D"/>
    <w:rsid w:val="000B083C"/>
    <w:rsid w:val="000B59E1"/>
    <w:rsid w:val="000D28A9"/>
    <w:rsid w:val="000E234F"/>
    <w:rsid w:val="000E571A"/>
    <w:rsid w:val="00113F41"/>
    <w:rsid w:val="001225B8"/>
    <w:rsid w:val="00122773"/>
    <w:rsid w:val="001600D2"/>
    <w:rsid w:val="001615FC"/>
    <w:rsid w:val="00164E87"/>
    <w:rsid w:val="00172F92"/>
    <w:rsid w:val="00182D90"/>
    <w:rsid w:val="00184697"/>
    <w:rsid w:val="00196BD2"/>
    <w:rsid w:val="001A56EA"/>
    <w:rsid w:val="001C1D04"/>
    <w:rsid w:val="001C4E6A"/>
    <w:rsid w:val="001E3BA6"/>
    <w:rsid w:val="001E4177"/>
    <w:rsid w:val="00220F24"/>
    <w:rsid w:val="00221AD7"/>
    <w:rsid w:val="002255AF"/>
    <w:rsid w:val="00241150"/>
    <w:rsid w:val="00244074"/>
    <w:rsid w:val="00256695"/>
    <w:rsid w:val="00260ABA"/>
    <w:rsid w:val="0026445E"/>
    <w:rsid w:val="00272532"/>
    <w:rsid w:val="00272D59"/>
    <w:rsid w:val="00284340"/>
    <w:rsid w:val="00296861"/>
    <w:rsid w:val="00296C48"/>
    <w:rsid w:val="002D19FA"/>
    <w:rsid w:val="002D4988"/>
    <w:rsid w:val="002F495C"/>
    <w:rsid w:val="002F6FBB"/>
    <w:rsid w:val="00316A50"/>
    <w:rsid w:val="003222D5"/>
    <w:rsid w:val="00331D42"/>
    <w:rsid w:val="003423E5"/>
    <w:rsid w:val="00345860"/>
    <w:rsid w:val="00353FCE"/>
    <w:rsid w:val="00381C13"/>
    <w:rsid w:val="00394483"/>
    <w:rsid w:val="00395CA8"/>
    <w:rsid w:val="003A0989"/>
    <w:rsid w:val="003A2855"/>
    <w:rsid w:val="003C501F"/>
    <w:rsid w:val="003C7384"/>
    <w:rsid w:val="0040039A"/>
    <w:rsid w:val="00401B2B"/>
    <w:rsid w:val="00405692"/>
    <w:rsid w:val="00424005"/>
    <w:rsid w:val="00424C9F"/>
    <w:rsid w:val="00442BB4"/>
    <w:rsid w:val="004523AB"/>
    <w:rsid w:val="0046700E"/>
    <w:rsid w:val="004718C2"/>
    <w:rsid w:val="00472FF1"/>
    <w:rsid w:val="00475EB1"/>
    <w:rsid w:val="00484891"/>
    <w:rsid w:val="00484F56"/>
    <w:rsid w:val="004856DA"/>
    <w:rsid w:val="00485B6B"/>
    <w:rsid w:val="004867AE"/>
    <w:rsid w:val="00486BDB"/>
    <w:rsid w:val="00492877"/>
    <w:rsid w:val="004949AA"/>
    <w:rsid w:val="004B7E24"/>
    <w:rsid w:val="004D4CE8"/>
    <w:rsid w:val="004D7DDB"/>
    <w:rsid w:val="004E760E"/>
    <w:rsid w:val="004F605C"/>
    <w:rsid w:val="005066EC"/>
    <w:rsid w:val="00513044"/>
    <w:rsid w:val="00521FF4"/>
    <w:rsid w:val="00527AA1"/>
    <w:rsid w:val="00532CF4"/>
    <w:rsid w:val="00552DFA"/>
    <w:rsid w:val="0055636D"/>
    <w:rsid w:val="00577CF6"/>
    <w:rsid w:val="00591E37"/>
    <w:rsid w:val="005A5E91"/>
    <w:rsid w:val="005B2809"/>
    <w:rsid w:val="005D0983"/>
    <w:rsid w:val="005D5245"/>
    <w:rsid w:val="005D52F1"/>
    <w:rsid w:val="005E48BA"/>
    <w:rsid w:val="005F334D"/>
    <w:rsid w:val="005F4663"/>
    <w:rsid w:val="00601535"/>
    <w:rsid w:val="00602685"/>
    <w:rsid w:val="00617BF6"/>
    <w:rsid w:val="006259EC"/>
    <w:rsid w:val="00661977"/>
    <w:rsid w:val="00672D90"/>
    <w:rsid w:val="00677CBB"/>
    <w:rsid w:val="00686148"/>
    <w:rsid w:val="00690224"/>
    <w:rsid w:val="00691C2A"/>
    <w:rsid w:val="00692E98"/>
    <w:rsid w:val="006A3D88"/>
    <w:rsid w:val="006D146E"/>
    <w:rsid w:val="006E712D"/>
    <w:rsid w:val="006F25CA"/>
    <w:rsid w:val="006F5156"/>
    <w:rsid w:val="00704462"/>
    <w:rsid w:val="00726A93"/>
    <w:rsid w:val="007339DA"/>
    <w:rsid w:val="007407B7"/>
    <w:rsid w:val="00742425"/>
    <w:rsid w:val="00750706"/>
    <w:rsid w:val="00752E3F"/>
    <w:rsid w:val="00752F14"/>
    <w:rsid w:val="00781DDC"/>
    <w:rsid w:val="00784073"/>
    <w:rsid w:val="007931C0"/>
    <w:rsid w:val="007A3C36"/>
    <w:rsid w:val="007B1104"/>
    <w:rsid w:val="007E4204"/>
    <w:rsid w:val="007F1E49"/>
    <w:rsid w:val="007F291E"/>
    <w:rsid w:val="007F47A9"/>
    <w:rsid w:val="008058D7"/>
    <w:rsid w:val="00815DEB"/>
    <w:rsid w:val="00817F6A"/>
    <w:rsid w:val="00823C89"/>
    <w:rsid w:val="00832FC3"/>
    <w:rsid w:val="008429A1"/>
    <w:rsid w:val="00844536"/>
    <w:rsid w:val="0085368C"/>
    <w:rsid w:val="00855957"/>
    <w:rsid w:val="008673E6"/>
    <w:rsid w:val="00870415"/>
    <w:rsid w:val="00873C15"/>
    <w:rsid w:val="00873CA1"/>
    <w:rsid w:val="00882624"/>
    <w:rsid w:val="008829C7"/>
    <w:rsid w:val="00892798"/>
    <w:rsid w:val="008A1BF5"/>
    <w:rsid w:val="008A42C5"/>
    <w:rsid w:val="008A472B"/>
    <w:rsid w:val="008A73A0"/>
    <w:rsid w:val="008C4273"/>
    <w:rsid w:val="008D29C4"/>
    <w:rsid w:val="008D4E55"/>
    <w:rsid w:val="00906F52"/>
    <w:rsid w:val="00920166"/>
    <w:rsid w:val="00921A2A"/>
    <w:rsid w:val="00921E95"/>
    <w:rsid w:val="00930154"/>
    <w:rsid w:val="0093703A"/>
    <w:rsid w:val="009374CE"/>
    <w:rsid w:val="00945A82"/>
    <w:rsid w:val="009626AA"/>
    <w:rsid w:val="00977D43"/>
    <w:rsid w:val="009C30AF"/>
    <w:rsid w:val="009E33E2"/>
    <w:rsid w:val="009E456A"/>
    <w:rsid w:val="009F6394"/>
    <w:rsid w:val="00A00ADC"/>
    <w:rsid w:val="00A0495A"/>
    <w:rsid w:val="00A070BC"/>
    <w:rsid w:val="00A079D9"/>
    <w:rsid w:val="00A1349F"/>
    <w:rsid w:val="00A20E26"/>
    <w:rsid w:val="00A32F19"/>
    <w:rsid w:val="00A3635A"/>
    <w:rsid w:val="00A44E9C"/>
    <w:rsid w:val="00A4732A"/>
    <w:rsid w:val="00A6176A"/>
    <w:rsid w:val="00A7484B"/>
    <w:rsid w:val="00AA0045"/>
    <w:rsid w:val="00AA7A1A"/>
    <w:rsid w:val="00AB2401"/>
    <w:rsid w:val="00AC1256"/>
    <w:rsid w:val="00AC2E6D"/>
    <w:rsid w:val="00AC5CE7"/>
    <w:rsid w:val="00AF5A3C"/>
    <w:rsid w:val="00B3115F"/>
    <w:rsid w:val="00B33C0D"/>
    <w:rsid w:val="00B5209B"/>
    <w:rsid w:val="00B55165"/>
    <w:rsid w:val="00B55E64"/>
    <w:rsid w:val="00B57425"/>
    <w:rsid w:val="00B70F66"/>
    <w:rsid w:val="00B73A90"/>
    <w:rsid w:val="00B75DF0"/>
    <w:rsid w:val="00B76532"/>
    <w:rsid w:val="00B81A56"/>
    <w:rsid w:val="00B95FC1"/>
    <w:rsid w:val="00BA7ACB"/>
    <w:rsid w:val="00BB5C80"/>
    <w:rsid w:val="00BB69FD"/>
    <w:rsid w:val="00BB71A9"/>
    <w:rsid w:val="00BC1FA6"/>
    <w:rsid w:val="00BC60E8"/>
    <w:rsid w:val="00BD2422"/>
    <w:rsid w:val="00BD65C1"/>
    <w:rsid w:val="00C06D00"/>
    <w:rsid w:val="00C14163"/>
    <w:rsid w:val="00C44AD2"/>
    <w:rsid w:val="00C44B6D"/>
    <w:rsid w:val="00C5263E"/>
    <w:rsid w:val="00C64150"/>
    <w:rsid w:val="00C674B5"/>
    <w:rsid w:val="00C71EA2"/>
    <w:rsid w:val="00C811CD"/>
    <w:rsid w:val="00C83B1C"/>
    <w:rsid w:val="00C9244A"/>
    <w:rsid w:val="00CB1551"/>
    <w:rsid w:val="00CB57E2"/>
    <w:rsid w:val="00CC358A"/>
    <w:rsid w:val="00CC3F20"/>
    <w:rsid w:val="00CD39A5"/>
    <w:rsid w:val="00CD5F82"/>
    <w:rsid w:val="00CE1C82"/>
    <w:rsid w:val="00CE5B5A"/>
    <w:rsid w:val="00CE6007"/>
    <w:rsid w:val="00CF2642"/>
    <w:rsid w:val="00D0799F"/>
    <w:rsid w:val="00D11273"/>
    <w:rsid w:val="00D228C2"/>
    <w:rsid w:val="00D2420A"/>
    <w:rsid w:val="00D30F72"/>
    <w:rsid w:val="00D47FA4"/>
    <w:rsid w:val="00D50781"/>
    <w:rsid w:val="00D600D8"/>
    <w:rsid w:val="00D61775"/>
    <w:rsid w:val="00D64129"/>
    <w:rsid w:val="00D80295"/>
    <w:rsid w:val="00D94634"/>
    <w:rsid w:val="00D94BC5"/>
    <w:rsid w:val="00DA01A1"/>
    <w:rsid w:val="00DA33BB"/>
    <w:rsid w:val="00DA4D38"/>
    <w:rsid w:val="00DA4D51"/>
    <w:rsid w:val="00DC2B98"/>
    <w:rsid w:val="00DC6D84"/>
    <w:rsid w:val="00DF7399"/>
    <w:rsid w:val="00DF76EF"/>
    <w:rsid w:val="00E03C61"/>
    <w:rsid w:val="00E1225C"/>
    <w:rsid w:val="00E13765"/>
    <w:rsid w:val="00E278C1"/>
    <w:rsid w:val="00E3410A"/>
    <w:rsid w:val="00E36580"/>
    <w:rsid w:val="00E52B9C"/>
    <w:rsid w:val="00E5738B"/>
    <w:rsid w:val="00E604BF"/>
    <w:rsid w:val="00E678C7"/>
    <w:rsid w:val="00E718F7"/>
    <w:rsid w:val="00E916B1"/>
    <w:rsid w:val="00E94F71"/>
    <w:rsid w:val="00EA0101"/>
    <w:rsid w:val="00EA0656"/>
    <w:rsid w:val="00EB155A"/>
    <w:rsid w:val="00EB5AE4"/>
    <w:rsid w:val="00EC1781"/>
    <w:rsid w:val="00ED0F6F"/>
    <w:rsid w:val="00ED26CC"/>
    <w:rsid w:val="00ED4FF9"/>
    <w:rsid w:val="00EE3435"/>
    <w:rsid w:val="00EE63EB"/>
    <w:rsid w:val="00EE6D7E"/>
    <w:rsid w:val="00F03D6D"/>
    <w:rsid w:val="00F05307"/>
    <w:rsid w:val="00F33EAF"/>
    <w:rsid w:val="00F428DC"/>
    <w:rsid w:val="00F43BDA"/>
    <w:rsid w:val="00F53043"/>
    <w:rsid w:val="00F71DA9"/>
    <w:rsid w:val="00F72206"/>
    <w:rsid w:val="00F73214"/>
    <w:rsid w:val="00F910E0"/>
    <w:rsid w:val="00F93890"/>
    <w:rsid w:val="00F94AAC"/>
    <w:rsid w:val="00FC3CAC"/>
    <w:rsid w:val="00FE2820"/>
    <w:rsid w:val="00FE48B9"/>
    <w:rsid w:val="00FE49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F8E713"/>
  <w15:chartTrackingRefBased/>
  <w15:docId w15:val="{07443BE5-04C7-4E6D-99E5-E136F22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56"/>
  </w:style>
  <w:style w:type="table" w:customStyle="1" w:styleId="TableGrid1">
    <w:name w:val="Table Grid1"/>
    <w:basedOn w:val="TableNormal"/>
    <w:next w:val="TableGrid"/>
    <w:uiPriority w:val="59"/>
    <w:rsid w:val="00AC1256"/>
    <w:pPr>
      <w:spacing w:after="0" w:line="240" w:lineRule="auto"/>
      <w:jc w:val="both"/>
    </w:pPr>
    <w:rPr>
      <w:kern w:val="0"/>
      <w:szCs w:val="22"/>
      <w:lang w:val="en-US"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C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36D"/>
    <w:rPr>
      <w:color w:val="0563C1" w:themeColor="hyperlink"/>
      <w:u w:val="single"/>
    </w:rPr>
  </w:style>
  <w:style w:type="character" w:styleId="UnresolvedMention">
    <w:name w:val="Unresolved Mention"/>
    <w:basedOn w:val="DefaultParagraphFont"/>
    <w:uiPriority w:val="99"/>
    <w:semiHidden/>
    <w:unhideWhenUsed/>
    <w:rsid w:val="0055636D"/>
    <w:rPr>
      <w:color w:val="605E5C"/>
      <w:shd w:val="clear" w:color="auto" w:fill="E1DFDD"/>
    </w:rPr>
  </w:style>
  <w:style w:type="paragraph" w:styleId="ListParagraph">
    <w:name w:val="List Paragraph"/>
    <w:basedOn w:val="Normal"/>
    <w:uiPriority w:val="34"/>
    <w:qFormat/>
    <w:rsid w:val="00A00ADC"/>
    <w:pPr>
      <w:ind w:left="720"/>
      <w:contextualSpacing/>
    </w:pPr>
  </w:style>
  <w:style w:type="paragraph" w:styleId="Header">
    <w:name w:val="header"/>
    <w:basedOn w:val="Normal"/>
    <w:link w:val="HeaderChar"/>
    <w:uiPriority w:val="99"/>
    <w:unhideWhenUsed/>
    <w:rsid w:val="006F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6964">
      <w:bodyDiv w:val="1"/>
      <w:marLeft w:val="0"/>
      <w:marRight w:val="0"/>
      <w:marTop w:val="0"/>
      <w:marBottom w:val="0"/>
      <w:divBdr>
        <w:top w:val="none" w:sz="0" w:space="0" w:color="auto"/>
        <w:left w:val="none" w:sz="0" w:space="0" w:color="auto"/>
        <w:bottom w:val="none" w:sz="0" w:space="0" w:color="auto"/>
        <w:right w:val="none" w:sz="0" w:space="0" w:color="auto"/>
      </w:divBdr>
    </w:div>
    <w:div w:id="221332905">
      <w:bodyDiv w:val="1"/>
      <w:marLeft w:val="0"/>
      <w:marRight w:val="0"/>
      <w:marTop w:val="0"/>
      <w:marBottom w:val="0"/>
      <w:divBdr>
        <w:top w:val="none" w:sz="0" w:space="0" w:color="auto"/>
        <w:left w:val="none" w:sz="0" w:space="0" w:color="auto"/>
        <w:bottom w:val="none" w:sz="0" w:space="0" w:color="auto"/>
        <w:right w:val="none" w:sz="0" w:space="0" w:color="auto"/>
      </w:divBdr>
    </w:div>
    <w:div w:id="597324776">
      <w:bodyDiv w:val="1"/>
      <w:marLeft w:val="0"/>
      <w:marRight w:val="0"/>
      <w:marTop w:val="0"/>
      <w:marBottom w:val="0"/>
      <w:divBdr>
        <w:top w:val="none" w:sz="0" w:space="0" w:color="auto"/>
        <w:left w:val="none" w:sz="0" w:space="0" w:color="auto"/>
        <w:bottom w:val="none" w:sz="0" w:space="0" w:color="auto"/>
        <w:right w:val="none" w:sz="0" w:space="0" w:color="auto"/>
      </w:divBdr>
    </w:div>
    <w:div w:id="602996939">
      <w:bodyDiv w:val="1"/>
      <w:marLeft w:val="0"/>
      <w:marRight w:val="0"/>
      <w:marTop w:val="0"/>
      <w:marBottom w:val="0"/>
      <w:divBdr>
        <w:top w:val="none" w:sz="0" w:space="0" w:color="auto"/>
        <w:left w:val="none" w:sz="0" w:space="0" w:color="auto"/>
        <w:bottom w:val="none" w:sz="0" w:space="0" w:color="auto"/>
        <w:right w:val="none" w:sz="0" w:space="0" w:color="auto"/>
      </w:divBdr>
    </w:div>
    <w:div w:id="829253171">
      <w:bodyDiv w:val="1"/>
      <w:marLeft w:val="0"/>
      <w:marRight w:val="0"/>
      <w:marTop w:val="0"/>
      <w:marBottom w:val="0"/>
      <w:divBdr>
        <w:top w:val="none" w:sz="0" w:space="0" w:color="auto"/>
        <w:left w:val="none" w:sz="0" w:space="0" w:color="auto"/>
        <w:bottom w:val="none" w:sz="0" w:space="0" w:color="auto"/>
        <w:right w:val="none" w:sz="0" w:space="0" w:color="auto"/>
      </w:divBdr>
    </w:div>
    <w:div w:id="953483460">
      <w:bodyDiv w:val="1"/>
      <w:marLeft w:val="0"/>
      <w:marRight w:val="0"/>
      <w:marTop w:val="0"/>
      <w:marBottom w:val="0"/>
      <w:divBdr>
        <w:top w:val="none" w:sz="0" w:space="0" w:color="auto"/>
        <w:left w:val="none" w:sz="0" w:space="0" w:color="auto"/>
        <w:bottom w:val="none" w:sz="0" w:space="0" w:color="auto"/>
        <w:right w:val="none" w:sz="0" w:space="0" w:color="auto"/>
      </w:divBdr>
    </w:div>
    <w:div w:id="1009605063">
      <w:bodyDiv w:val="1"/>
      <w:marLeft w:val="0"/>
      <w:marRight w:val="0"/>
      <w:marTop w:val="0"/>
      <w:marBottom w:val="0"/>
      <w:divBdr>
        <w:top w:val="none" w:sz="0" w:space="0" w:color="auto"/>
        <w:left w:val="none" w:sz="0" w:space="0" w:color="auto"/>
        <w:bottom w:val="none" w:sz="0" w:space="0" w:color="auto"/>
        <w:right w:val="none" w:sz="0" w:space="0" w:color="auto"/>
      </w:divBdr>
    </w:div>
    <w:div w:id="1098140656">
      <w:bodyDiv w:val="1"/>
      <w:marLeft w:val="0"/>
      <w:marRight w:val="0"/>
      <w:marTop w:val="0"/>
      <w:marBottom w:val="0"/>
      <w:divBdr>
        <w:top w:val="none" w:sz="0" w:space="0" w:color="auto"/>
        <w:left w:val="none" w:sz="0" w:space="0" w:color="auto"/>
        <w:bottom w:val="none" w:sz="0" w:space="0" w:color="auto"/>
        <w:right w:val="none" w:sz="0" w:space="0" w:color="auto"/>
      </w:divBdr>
      <w:divsChild>
        <w:div w:id="745496186">
          <w:marLeft w:val="0"/>
          <w:marRight w:val="0"/>
          <w:marTop w:val="0"/>
          <w:marBottom w:val="0"/>
          <w:divBdr>
            <w:top w:val="none" w:sz="0" w:space="0" w:color="auto"/>
            <w:left w:val="none" w:sz="0" w:space="0" w:color="auto"/>
            <w:bottom w:val="none" w:sz="0" w:space="0" w:color="auto"/>
            <w:right w:val="none" w:sz="0" w:space="0" w:color="auto"/>
          </w:divBdr>
          <w:divsChild>
            <w:div w:id="334236467">
              <w:marLeft w:val="0"/>
              <w:marRight w:val="0"/>
              <w:marTop w:val="0"/>
              <w:marBottom w:val="0"/>
              <w:divBdr>
                <w:top w:val="none" w:sz="0" w:space="0" w:color="auto"/>
                <w:left w:val="none" w:sz="0" w:space="0" w:color="auto"/>
                <w:bottom w:val="none" w:sz="0" w:space="0" w:color="auto"/>
                <w:right w:val="none" w:sz="0" w:space="0" w:color="auto"/>
              </w:divBdr>
              <w:divsChild>
                <w:div w:id="72171405">
                  <w:marLeft w:val="0"/>
                  <w:marRight w:val="0"/>
                  <w:marTop w:val="0"/>
                  <w:marBottom w:val="0"/>
                  <w:divBdr>
                    <w:top w:val="none" w:sz="0" w:space="0" w:color="auto"/>
                    <w:left w:val="none" w:sz="0" w:space="0" w:color="auto"/>
                    <w:bottom w:val="none" w:sz="0" w:space="0" w:color="auto"/>
                    <w:right w:val="none" w:sz="0" w:space="0" w:color="auto"/>
                  </w:divBdr>
                  <w:divsChild>
                    <w:div w:id="15259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0397">
          <w:marLeft w:val="0"/>
          <w:marRight w:val="0"/>
          <w:marTop w:val="0"/>
          <w:marBottom w:val="0"/>
          <w:divBdr>
            <w:top w:val="none" w:sz="0" w:space="0" w:color="auto"/>
            <w:left w:val="none" w:sz="0" w:space="0" w:color="auto"/>
            <w:bottom w:val="none" w:sz="0" w:space="0" w:color="auto"/>
            <w:right w:val="none" w:sz="0" w:space="0" w:color="auto"/>
          </w:divBdr>
          <w:divsChild>
            <w:div w:id="1106923345">
              <w:marLeft w:val="0"/>
              <w:marRight w:val="0"/>
              <w:marTop w:val="0"/>
              <w:marBottom w:val="0"/>
              <w:divBdr>
                <w:top w:val="none" w:sz="0" w:space="0" w:color="auto"/>
                <w:left w:val="none" w:sz="0" w:space="0" w:color="auto"/>
                <w:bottom w:val="none" w:sz="0" w:space="0" w:color="auto"/>
                <w:right w:val="none" w:sz="0" w:space="0" w:color="auto"/>
              </w:divBdr>
              <w:divsChild>
                <w:div w:id="2025785947">
                  <w:marLeft w:val="0"/>
                  <w:marRight w:val="0"/>
                  <w:marTop w:val="0"/>
                  <w:marBottom w:val="0"/>
                  <w:divBdr>
                    <w:top w:val="none" w:sz="0" w:space="0" w:color="auto"/>
                    <w:left w:val="none" w:sz="0" w:space="0" w:color="auto"/>
                    <w:bottom w:val="none" w:sz="0" w:space="0" w:color="auto"/>
                    <w:right w:val="none" w:sz="0" w:space="0" w:color="auto"/>
                  </w:divBdr>
                  <w:divsChild>
                    <w:div w:id="2002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41510">
      <w:bodyDiv w:val="1"/>
      <w:marLeft w:val="0"/>
      <w:marRight w:val="0"/>
      <w:marTop w:val="0"/>
      <w:marBottom w:val="0"/>
      <w:divBdr>
        <w:top w:val="none" w:sz="0" w:space="0" w:color="auto"/>
        <w:left w:val="none" w:sz="0" w:space="0" w:color="auto"/>
        <w:bottom w:val="none" w:sz="0" w:space="0" w:color="auto"/>
        <w:right w:val="none" w:sz="0" w:space="0" w:color="auto"/>
      </w:divBdr>
      <w:divsChild>
        <w:div w:id="508564407">
          <w:marLeft w:val="0"/>
          <w:marRight w:val="0"/>
          <w:marTop w:val="0"/>
          <w:marBottom w:val="0"/>
          <w:divBdr>
            <w:top w:val="none" w:sz="0" w:space="0" w:color="auto"/>
            <w:left w:val="none" w:sz="0" w:space="0" w:color="auto"/>
            <w:bottom w:val="none" w:sz="0" w:space="0" w:color="auto"/>
            <w:right w:val="none" w:sz="0" w:space="0" w:color="auto"/>
          </w:divBdr>
          <w:divsChild>
            <w:div w:id="231549348">
              <w:marLeft w:val="0"/>
              <w:marRight w:val="0"/>
              <w:marTop w:val="0"/>
              <w:marBottom w:val="0"/>
              <w:divBdr>
                <w:top w:val="none" w:sz="0" w:space="0" w:color="auto"/>
                <w:left w:val="none" w:sz="0" w:space="0" w:color="auto"/>
                <w:bottom w:val="none" w:sz="0" w:space="0" w:color="auto"/>
                <w:right w:val="none" w:sz="0" w:space="0" w:color="auto"/>
              </w:divBdr>
              <w:divsChild>
                <w:div w:id="1106005131">
                  <w:marLeft w:val="0"/>
                  <w:marRight w:val="0"/>
                  <w:marTop w:val="0"/>
                  <w:marBottom w:val="0"/>
                  <w:divBdr>
                    <w:top w:val="none" w:sz="0" w:space="0" w:color="auto"/>
                    <w:left w:val="none" w:sz="0" w:space="0" w:color="auto"/>
                    <w:bottom w:val="none" w:sz="0" w:space="0" w:color="auto"/>
                    <w:right w:val="none" w:sz="0" w:space="0" w:color="auto"/>
                  </w:divBdr>
                  <w:divsChild>
                    <w:div w:id="17765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2639">
          <w:marLeft w:val="0"/>
          <w:marRight w:val="0"/>
          <w:marTop w:val="0"/>
          <w:marBottom w:val="0"/>
          <w:divBdr>
            <w:top w:val="none" w:sz="0" w:space="0" w:color="auto"/>
            <w:left w:val="none" w:sz="0" w:space="0" w:color="auto"/>
            <w:bottom w:val="none" w:sz="0" w:space="0" w:color="auto"/>
            <w:right w:val="none" w:sz="0" w:space="0" w:color="auto"/>
          </w:divBdr>
          <w:divsChild>
            <w:div w:id="1678388609">
              <w:marLeft w:val="0"/>
              <w:marRight w:val="0"/>
              <w:marTop w:val="0"/>
              <w:marBottom w:val="0"/>
              <w:divBdr>
                <w:top w:val="none" w:sz="0" w:space="0" w:color="auto"/>
                <w:left w:val="none" w:sz="0" w:space="0" w:color="auto"/>
                <w:bottom w:val="none" w:sz="0" w:space="0" w:color="auto"/>
                <w:right w:val="none" w:sz="0" w:space="0" w:color="auto"/>
              </w:divBdr>
              <w:divsChild>
                <w:div w:id="113528893">
                  <w:marLeft w:val="0"/>
                  <w:marRight w:val="0"/>
                  <w:marTop w:val="0"/>
                  <w:marBottom w:val="0"/>
                  <w:divBdr>
                    <w:top w:val="none" w:sz="0" w:space="0" w:color="auto"/>
                    <w:left w:val="none" w:sz="0" w:space="0" w:color="auto"/>
                    <w:bottom w:val="none" w:sz="0" w:space="0" w:color="auto"/>
                    <w:right w:val="none" w:sz="0" w:space="0" w:color="auto"/>
                  </w:divBdr>
                  <w:divsChild>
                    <w:div w:id="16412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66904">
      <w:bodyDiv w:val="1"/>
      <w:marLeft w:val="0"/>
      <w:marRight w:val="0"/>
      <w:marTop w:val="0"/>
      <w:marBottom w:val="0"/>
      <w:divBdr>
        <w:top w:val="none" w:sz="0" w:space="0" w:color="auto"/>
        <w:left w:val="none" w:sz="0" w:space="0" w:color="auto"/>
        <w:bottom w:val="none" w:sz="0" w:space="0" w:color="auto"/>
        <w:right w:val="none" w:sz="0" w:space="0" w:color="auto"/>
      </w:divBdr>
    </w:div>
    <w:div w:id="1510018813">
      <w:bodyDiv w:val="1"/>
      <w:marLeft w:val="0"/>
      <w:marRight w:val="0"/>
      <w:marTop w:val="0"/>
      <w:marBottom w:val="0"/>
      <w:divBdr>
        <w:top w:val="none" w:sz="0" w:space="0" w:color="auto"/>
        <w:left w:val="none" w:sz="0" w:space="0" w:color="auto"/>
        <w:bottom w:val="none" w:sz="0" w:space="0" w:color="auto"/>
        <w:right w:val="none" w:sz="0" w:space="0" w:color="auto"/>
      </w:divBdr>
    </w:div>
    <w:div w:id="1610236897">
      <w:bodyDiv w:val="1"/>
      <w:marLeft w:val="0"/>
      <w:marRight w:val="0"/>
      <w:marTop w:val="0"/>
      <w:marBottom w:val="0"/>
      <w:divBdr>
        <w:top w:val="none" w:sz="0" w:space="0" w:color="auto"/>
        <w:left w:val="none" w:sz="0" w:space="0" w:color="auto"/>
        <w:bottom w:val="none" w:sz="0" w:space="0" w:color="auto"/>
        <w:right w:val="none" w:sz="0" w:space="0" w:color="auto"/>
      </w:divBdr>
    </w:div>
    <w:div w:id="1755273656">
      <w:bodyDiv w:val="1"/>
      <w:marLeft w:val="0"/>
      <w:marRight w:val="0"/>
      <w:marTop w:val="0"/>
      <w:marBottom w:val="0"/>
      <w:divBdr>
        <w:top w:val="none" w:sz="0" w:space="0" w:color="auto"/>
        <w:left w:val="none" w:sz="0" w:space="0" w:color="auto"/>
        <w:bottom w:val="none" w:sz="0" w:space="0" w:color="auto"/>
        <w:right w:val="none" w:sz="0" w:space="0" w:color="auto"/>
      </w:divBdr>
    </w:div>
    <w:div w:id="1884295044">
      <w:bodyDiv w:val="1"/>
      <w:marLeft w:val="0"/>
      <w:marRight w:val="0"/>
      <w:marTop w:val="0"/>
      <w:marBottom w:val="0"/>
      <w:divBdr>
        <w:top w:val="none" w:sz="0" w:space="0" w:color="auto"/>
        <w:left w:val="none" w:sz="0" w:space="0" w:color="auto"/>
        <w:bottom w:val="none" w:sz="0" w:space="0" w:color="auto"/>
        <w:right w:val="none" w:sz="0" w:space="0" w:color="auto"/>
      </w:divBdr>
    </w:div>
    <w:div w:id="1895660471">
      <w:bodyDiv w:val="1"/>
      <w:marLeft w:val="0"/>
      <w:marRight w:val="0"/>
      <w:marTop w:val="0"/>
      <w:marBottom w:val="0"/>
      <w:divBdr>
        <w:top w:val="none" w:sz="0" w:space="0" w:color="auto"/>
        <w:left w:val="none" w:sz="0" w:space="0" w:color="auto"/>
        <w:bottom w:val="none" w:sz="0" w:space="0" w:color="auto"/>
        <w:right w:val="none" w:sz="0" w:space="0" w:color="auto"/>
      </w:divBdr>
    </w:div>
    <w:div w:id="1978606421">
      <w:bodyDiv w:val="1"/>
      <w:marLeft w:val="0"/>
      <w:marRight w:val="0"/>
      <w:marTop w:val="0"/>
      <w:marBottom w:val="0"/>
      <w:divBdr>
        <w:top w:val="none" w:sz="0" w:space="0" w:color="auto"/>
        <w:left w:val="none" w:sz="0" w:space="0" w:color="auto"/>
        <w:bottom w:val="none" w:sz="0" w:space="0" w:color="auto"/>
        <w:right w:val="none" w:sz="0" w:space="0" w:color="auto"/>
      </w:divBdr>
    </w:div>
    <w:div w:id="1980525910">
      <w:bodyDiv w:val="1"/>
      <w:marLeft w:val="0"/>
      <w:marRight w:val="0"/>
      <w:marTop w:val="0"/>
      <w:marBottom w:val="0"/>
      <w:divBdr>
        <w:top w:val="none" w:sz="0" w:space="0" w:color="auto"/>
        <w:left w:val="none" w:sz="0" w:space="0" w:color="auto"/>
        <w:bottom w:val="none" w:sz="0" w:space="0" w:color="auto"/>
        <w:right w:val="none" w:sz="0" w:space="0" w:color="auto"/>
      </w:divBdr>
    </w:div>
    <w:div w:id="21404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jecm.co.uk/wp-content/uploads/2014/11/21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9425-EFE9-40E1-892C-BDD308FC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12</Pages>
  <Words>4387</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Roshina Bano</dc:creator>
  <cp:keywords/>
  <dc:description/>
  <cp:lastModifiedBy>SDI 1084</cp:lastModifiedBy>
  <cp:revision>496</cp:revision>
  <cp:lastPrinted>2024-12-12T07:04:00Z</cp:lastPrinted>
  <dcterms:created xsi:type="dcterms:W3CDTF">2024-11-30T13:29:00Z</dcterms:created>
  <dcterms:modified xsi:type="dcterms:W3CDTF">2025-03-15T07:01:00Z</dcterms:modified>
</cp:coreProperties>
</file>