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BD132" w14:textId="77777777" w:rsidR="00976F4E" w:rsidRDefault="00BF0F7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in Amla Jelly Millet Cake: Comprehensive Nutritional Profiling or Physicochemical Analysis, Microbial Assessment, and Packaging Strategies </w:t>
      </w:r>
    </w:p>
    <w:p w14:paraId="5A267A8E" w14:textId="3CD8B4A7" w:rsidR="00976F4E" w:rsidRDefault="00976F4E">
      <w:pPr>
        <w:shd w:val="clear" w:color="auto" w:fill="FFFFFF"/>
        <w:spacing w:line="360" w:lineRule="auto"/>
        <w:jc w:val="both"/>
        <w:rPr>
          <w:rFonts w:ascii="Times New Roman" w:eastAsia="Times New Roman" w:hAnsi="Times New Roman" w:cs="Times New Roman"/>
          <w:sz w:val="24"/>
          <w:szCs w:val="24"/>
        </w:rPr>
      </w:pPr>
    </w:p>
    <w:p w14:paraId="60974AF3" w14:textId="77777777" w:rsidR="00B76AD5" w:rsidRDefault="00B76AD5">
      <w:pPr>
        <w:shd w:val="clear" w:color="auto" w:fill="FFFFFF"/>
        <w:spacing w:line="360" w:lineRule="auto"/>
        <w:jc w:val="both"/>
        <w:rPr>
          <w:rFonts w:ascii="Times New Roman" w:eastAsia="Times New Roman" w:hAnsi="Times New Roman" w:cs="Times New Roman"/>
          <w:sz w:val="24"/>
          <w:szCs w:val="24"/>
        </w:rPr>
      </w:pPr>
    </w:p>
    <w:p w14:paraId="1138790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3E88849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study was to create and test a unique Amla Jelly Millet Cake, with a focus on its nutritional profile, physicochemical qualities, microbiological safety, and optimal packaging solutions. The cake combines Amla (Indian Gooseberry), which is high in Vitamin C and antioxidants, with millet flour, which is gluten-free and healthy. Comprehensive nutritional profile, while physicochemical analysis evaluated characteristics such as moisture content, pH and TSS. The microbial testing validated the product's safety and shelf life. Various packing materials were examined to determine their impact on product quality and shelf life. Key findings: The Amla Jelly Millet Cake has a balanced nutritional profile with protein, fibre, vitamins, carbohydrates and ash. Physicochemical examination indicated acceptable results within allowable limits, indicating high product quality.  Microbial analysis verified the product's safety and compliance with food safety regulations. Optimal packaging solutions were established to protect product quality, extend shelf life, and increase consumer appeal. In conclusion, our study successfully created an innovative Amla Jelly Millet Cake that combines flavour, nutrition, and health advantages. The findings are useful for developing and commercialising this unique product, which will help to create a healthier and more sustainable food system. </w:t>
      </w:r>
    </w:p>
    <w:p w14:paraId="1652AC4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Millet cake, </w:t>
      </w:r>
      <w:proofErr w:type="gramStart"/>
      <w:r>
        <w:rPr>
          <w:rFonts w:ascii="Times New Roman" w:eastAsia="Times New Roman" w:hAnsi="Times New Roman" w:cs="Times New Roman"/>
          <w:sz w:val="24"/>
          <w:szCs w:val="24"/>
        </w:rPr>
        <w:t>Nutritious,  Innovative</w:t>
      </w:r>
      <w:proofErr w:type="gramEnd"/>
      <w:r>
        <w:rPr>
          <w:rFonts w:ascii="Times New Roman" w:eastAsia="Times New Roman" w:hAnsi="Times New Roman" w:cs="Times New Roman"/>
          <w:sz w:val="24"/>
          <w:szCs w:val="24"/>
        </w:rPr>
        <w:t xml:space="preserve"> product,  Health advantages,  Flavour, Sustainable food. </w:t>
      </w:r>
    </w:p>
    <w:p w14:paraId="7CA723EF" w14:textId="77777777" w:rsidR="00976F4E" w:rsidRDefault="00976F4E">
      <w:pPr>
        <w:shd w:val="clear" w:color="auto" w:fill="FFFFFF"/>
        <w:spacing w:line="360" w:lineRule="auto"/>
        <w:jc w:val="both"/>
        <w:rPr>
          <w:rFonts w:ascii="Times New Roman" w:eastAsia="Times New Roman" w:hAnsi="Times New Roman" w:cs="Times New Roman"/>
          <w:sz w:val="24"/>
          <w:szCs w:val="24"/>
        </w:rPr>
      </w:pPr>
    </w:p>
    <w:p w14:paraId="331A7E5D"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1A6E770D"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Millets are nutritionally equivalent, if not superior, to many of the most important cereal grains. Millets are high in physiologically active substances and offer numerous health benefits, such as a high antioxidant content, high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content, low glycaemic index, and gluten-free protein. These small-seeded crops are a great source of energy, protein, and minerals. (</w:t>
      </w:r>
      <w:proofErr w:type="spellStart"/>
      <w:r>
        <w:rPr>
          <w:rFonts w:ascii="Times New Roman" w:eastAsia="Times New Roman" w:hAnsi="Times New Roman" w:cs="Times New Roman"/>
          <w:sz w:val="24"/>
          <w:szCs w:val="24"/>
        </w:rPr>
        <w:t>Sabuz</w:t>
      </w:r>
      <w:proofErr w:type="spellEnd"/>
      <w:r>
        <w:rPr>
          <w:rFonts w:ascii="Times New Roman" w:eastAsia="Times New Roman" w:hAnsi="Times New Roman" w:cs="Times New Roman"/>
          <w:sz w:val="24"/>
          <w:szCs w:val="24"/>
        </w:rPr>
        <w:t xml:space="preserve">, A. A., et al., 2023). Millet grains contain many vitamins, including niacin (B3), thiamine, riboflavin, and folic acid. It is estimated that nearly 70% of grains contain carbohydrates, the majority of </w:t>
      </w:r>
      <w:r>
        <w:rPr>
          <w:rFonts w:ascii="Times New Roman" w:eastAsia="Times New Roman" w:hAnsi="Times New Roman" w:cs="Times New Roman"/>
          <w:sz w:val="24"/>
          <w:szCs w:val="24"/>
        </w:rPr>
        <w:lastRenderedPageBreak/>
        <w:t xml:space="preserve">which are soluble carbohydrates and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The majority of millets' polysaccharides are made up of amylopectin and amylose (70–80%). They are higher in polyphenols (0.2-0.5%), as well as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Millets' antioxidant activity is primarily provided by polyphenols, tannins, and phytates, which also play a role in regulating the aging process. In comparison to other grains, finger millet has the highest calcium level (344 mg/100 g) (Tripathi, M.K., et al., 2021).</w:t>
      </w:r>
    </w:p>
    <w:p w14:paraId="1AD9E938"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good amount of moisture (12%) is contained in sorghum millet, along with nearly 10.4% protein and 1.3% fat. The amount of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and minerals in grain sorghum is approximately 1.6%. Sorghum grain has a high carbohydrate content (73%), making it an excellent source of energy (349 kcal). Other carbohydrates found in sorghum include cellulose and hemicellulose. Sorghum also contains good amounts of calcium (25 mg),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(14.3 g), iron (4.1 mg), and phosphorus (222 mg), respectively, per 100 g of edible portion (Abah, C.R. et al. 2020).</w:t>
      </w:r>
    </w:p>
    <w:p w14:paraId="34D4C55D"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little millet and </w:t>
      </w:r>
      <w:proofErr w:type="spellStart"/>
      <w:r>
        <w:rPr>
          <w:rFonts w:ascii="Times New Roman" w:eastAsia="Times New Roman" w:hAnsi="Times New Roman" w:cs="Times New Roman"/>
          <w:sz w:val="24"/>
          <w:szCs w:val="24"/>
        </w:rPr>
        <w:t>kodo</w:t>
      </w:r>
      <w:proofErr w:type="spellEnd"/>
      <w:r>
        <w:rPr>
          <w:rFonts w:ascii="Times New Roman" w:eastAsia="Times New Roman" w:hAnsi="Times New Roman" w:cs="Times New Roman"/>
          <w:sz w:val="24"/>
          <w:szCs w:val="24"/>
        </w:rPr>
        <w:t xml:space="preserve"> millet, which are classified as nutraceutical crops, contain between 37 and 38%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Millets are widely utilized as a snack, infant food, processed food, etc. due to their high nutrient content and so are considered a complete food. In developing countries, sorghum and millets contribute greatly to nutritional security. The millets are also known as miracle grains and nutritional cereals.</w:t>
      </w:r>
    </w:p>
    <w:p w14:paraId="61A44737"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 comparison with wheat (1.5%) and rice (0.6%), millets contain several times more minerals (1–5 g/100 g). There is an abundance of iron in Pearl Millet and Barnyard Millet, which can </w:t>
      </w:r>
      <w:proofErr w:type="spellStart"/>
      <w:r>
        <w:rPr>
          <w:rFonts w:ascii="Times New Roman" w:eastAsia="Times New Roman" w:hAnsi="Times New Roman" w:cs="Times New Roman"/>
          <w:sz w:val="24"/>
          <w:szCs w:val="24"/>
        </w:rPr>
        <w:t>fulfill</w:t>
      </w:r>
      <w:proofErr w:type="spellEnd"/>
      <w:r>
        <w:rPr>
          <w:rFonts w:ascii="Times New Roman" w:eastAsia="Times New Roman" w:hAnsi="Times New Roman" w:cs="Times New Roman"/>
          <w:sz w:val="24"/>
          <w:szCs w:val="24"/>
        </w:rPr>
        <w:t xml:space="preserve"> the iron requirement of </w:t>
      </w:r>
      <w:proofErr w:type="spellStart"/>
      <w:r>
        <w:rPr>
          <w:rFonts w:ascii="Times New Roman" w:eastAsia="Times New Roman" w:hAnsi="Times New Roman" w:cs="Times New Roman"/>
          <w:sz w:val="24"/>
          <w:szCs w:val="24"/>
        </w:rPr>
        <w:t>anemic</w:t>
      </w:r>
      <w:proofErr w:type="spellEnd"/>
      <w:r>
        <w:rPr>
          <w:rFonts w:ascii="Times New Roman" w:eastAsia="Times New Roman" w:hAnsi="Times New Roman" w:cs="Times New Roman"/>
          <w:sz w:val="24"/>
          <w:szCs w:val="24"/>
        </w:rPr>
        <w:t xml:space="preserve"> individuals. There is a high content of zinc (4.1 mg/100 g) in foxtail millet, as well as a high content of iron (Saleh, A.S., et al. 2013). </w:t>
      </w:r>
    </w:p>
    <w:p w14:paraId="764CFF4A"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Amla is considered a powerful rejuvenator and valuable in delaying senescence and degenerative processes. Chinese, </w:t>
      </w:r>
      <w:proofErr w:type="spellStart"/>
      <w:r>
        <w:rPr>
          <w:rFonts w:ascii="Times New Roman" w:eastAsia="Times New Roman" w:hAnsi="Times New Roman" w:cs="Times New Roman"/>
          <w:sz w:val="24"/>
          <w:szCs w:val="24"/>
        </w:rPr>
        <w:t>SrejuvenatorSiddha</w:t>
      </w:r>
      <w:proofErr w:type="spellEnd"/>
      <w:r>
        <w:rPr>
          <w:rFonts w:ascii="Times New Roman" w:eastAsia="Times New Roman" w:hAnsi="Times New Roman" w:cs="Times New Roman"/>
          <w:sz w:val="24"/>
          <w:szCs w:val="24"/>
        </w:rPr>
        <w:t xml:space="preserve">, and Unani Tibetan utilize E. Officinalis for medicine purposes. This helps improve lifespan, digestion, and relieve constipation. According to the Ayurvedic Medicine System, EO significantly decreases fever, inflammation, blood cleansing, heart health improving, benefits the vision, stimulates hair growth, strengthens the body, relieves asthma, and improves the intellect ability (Amadou,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et al. 2013). Fruits that are astringent are used in many folk medicines for the treatment of ophthalmic disorders, hyperacidity, osteoporosis, gastritis, premature hair </w:t>
      </w:r>
      <w:proofErr w:type="spellStart"/>
      <w:r>
        <w:rPr>
          <w:rFonts w:ascii="Times New Roman" w:eastAsia="Times New Roman" w:hAnsi="Times New Roman" w:cs="Times New Roman"/>
          <w:sz w:val="24"/>
          <w:szCs w:val="24"/>
        </w:rPr>
        <w:t>graying</w:t>
      </w:r>
      <w:proofErr w:type="spellEnd"/>
      <w:r>
        <w:rPr>
          <w:rFonts w:ascii="Times New Roman" w:eastAsia="Times New Roman" w:hAnsi="Times New Roman" w:cs="Times New Roman"/>
          <w:sz w:val="24"/>
          <w:szCs w:val="24"/>
        </w:rPr>
        <w:t xml:space="preserve">, dyspepsia, colitis, </w:t>
      </w:r>
      <w:proofErr w:type="spellStart"/>
      <w:r>
        <w:rPr>
          <w:rFonts w:ascii="Times New Roman" w:eastAsia="Times New Roman" w:hAnsi="Times New Roman" w:cs="Times New Roman"/>
          <w:sz w:val="24"/>
          <w:szCs w:val="24"/>
        </w:rPr>
        <w:t>hemorrhoids</w:t>
      </w:r>
      <w:proofErr w:type="spellEnd"/>
      <w:r>
        <w:rPr>
          <w:rFonts w:ascii="Times New Roman" w:eastAsia="Times New Roman" w:hAnsi="Times New Roman" w:cs="Times New Roman"/>
          <w:sz w:val="24"/>
          <w:szCs w:val="24"/>
        </w:rPr>
        <w:t xml:space="preserve">, constipation, cough,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hematuria</w:t>
      </w:r>
      <w:proofErr w:type="spellEnd"/>
      <w:r>
        <w:rPr>
          <w:rFonts w:ascii="Times New Roman" w:eastAsia="Times New Roman" w:hAnsi="Times New Roman" w:cs="Times New Roman"/>
          <w:sz w:val="24"/>
          <w:szCs w:val="24"/>
        </w:rPr>
        <w:t>, diabetes, asthma, and tiredness. E. officinalis is probed to have anti-inflammatory, diuretic, laxative, cardioprotective, antipyretic, and hepatoprotective properties. EO is also reported as a hair tonic and digestive medicine, also effective against peptic ulcers (Baliga MS and Dsouza JJ 2013).</w:t>
      </w:r>
    </w:p>
    <w:p w14:paraId="02EAB2D2"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proofErr w:type="spellStart"/>
      <w:r>
        <w:rPr>
          <w:rFonts w:ascii="Times New Roman" w:eastAsia="Times New Roman" w:hAnsi="Times New Roman" w:cs="Times New Roman"/>
          <w:sz w:val="24"/>
          <w:szCs w:val="24"/>
        </w:rPr>
        <w:t>noncentrifugal</w:t>
      </w:r>
      <w:proofErr w:type="spellEnd"/>
      <w:r>
        <w:rPr>
          <w:rFonts w:ascii="Times New Roman" w:eastAsia="Times New Roman" w:hAnsi="Times New Roman" w:cs="Times New Roman"/>
          <w:sz w:val="24"/>
          <w:szCs w:val="24"/>
        </w:rPr>
        <w:t xml:space="preserve"> sugar, which is prepared from </w:t>
      </w:r>
      <w:hyperlink r:id="rId7">
        <w:r w:rsidR="00976F4E">
          <w:rPr>
            <w:rFonts w:ascii="Times New Roman" w:eastAsia="Times New Roman" w:hAnsi="Times New Roman" w:cs="Times New Roman"/>
            <w:sz w:val="24"/>
            <w:szCs w:val="24"/>
          </w:rPr>
          <w:t xml:space="preserve">sugarcane </w:t>
        </w:r>
      </w:hyperlink>
      <w:r>
        <w:rPr>
          <w:rFonts w:ascii="Times New Roman" w:eastAsia="Times New Roman" w:hAnsi="Times New Roman" w:cs="Times New Roman"/>
          <w:sz w:val="24"/>
          <w:szCs w:val="24"/>
        </w:rPr>
        <w:t xml:space="preserve">juice, is called jaggery and is known by different names in the world, such as Panela, </w:t>
      </w:r>
      <w:proofErr w:type="spellStart"/>
      <w:r>
        <w:rPr>
          <w:rFonts w:ascii="Times New Roman" w:eastAsia="Times New Roman" w:hAnsi="Times New Roman" w:cs="Times New Roman"/>
          <w:sz w:val="24"/>
          <w:szCs w:val="24"/>
        </w:rPr>
        <w:t>Kokuto</w:t>
      </w:r>
      <w:proofErr w:type="spellEnd"/>
      <w:r>
        <w:rPr>
          <w:rFonts w:ascii="Times New Roman" w:eastAsia="Times New Roman" w:hAnsi="Times New Roman" w:cs="Times New Roman"/>
          <w:sz w:val="24"/>
          <w:szCs w:val="24"/>
        </w:rPr>
        <w:t xml:space="preserve">, and Muscovado. The nutrient value of jaggery is increased while preparing with different methods from </w:t>
      </w:r>
      <w:hyperlink r:id="rId8">
        <w:r w:rsidR="00976F4E">
          <w:rPr>
            <w:rFonts w:ascii="Times New Roman" w:eastAsia="Times New Roman" w:hAnsi="Times New Roman" w:cs="Times New Roman"/>
            <w:sz w:val="24"/>
            <w:szCs w:val="24"/>
          </w:rPr>
          <w:t>sugarcane juice</w:t>
        </w:r>
      </w:hyperlink>
      <w:r>
        <w:rPr>
          <w:rFonts w:ascii="Times New Roman" w:eastAsia="Times New Roman" w:hAnsi="Times New Roman" w:cs="Times New Roman"/>
          <w:sz w:val="24"/>
          <w:szCs w:val="24"/>
        </w:rPr>
        <w:t xml:space="preserve">. The </w:t>
      </w:r>
      <w:hyperlink r:id="rId9">
        <w:r w:rsidR="00976F4E">
          <w:rPr>
            <w:rFonts w:ascii="Times New Roman" w:eastAsia="Times New Roman" w:hAnsi="Times New Roman" w:cs="Times New Roman"/>
            <w:sz w:val="24"/>
            <w:szCs w:val="24"/>
          </w:rPr>
          <w:t>micronutrients</w:t>
        </w:r>
      </w:hyperlink>
      <w:r>
        <w:rPr>
          <w:rFonts w:ascii="Times New Roman" w:eastAsia="Times New Roman" w:hAnsi="Times New Roman" w:cs="Times New Roman"/>
          <w:sz w:val="24"/>
          <w:szCs w:val="24"/>
        </w:rPr>
        <w:t xml:space="preserve"> that are present in jaggery have many nutritional and medicinal aspects, such as its anticarcinogenic and antitoxic activity. Jaggery has proved itself better when compared with white sugar. Jaggery is known to produce heat and give instant energy to a human body. Sugar and sweet consumption have been popular throughout the world. The increasing trend of per capita sugar consumption assumes significance in view of the high tendency for individuals to develop insulin resistance, abdominal </w:t>
      </w:r>
      <w:hyperlink r:id="rId10">
        <w:r w:rsidR="00976F4E">
          <w:rPr>
            <w:rFonts w:ascii="Times New Roman" w:eastAsia="Times New Roman" w:hAnsi="Times New Roman" w:cs="Times New Roman"/>
            <w:sz w:val="24"/>
            <w:szCs w:val="24"/>
          </w:rPr>
          <w:t>adiposity</w:t>
        </w:r>
      </w:hyperlink>
      <w:r>
        <w:rPr>
          <w:rFonts w:ascii="Times New Roman" w:eastAsia="Times New Roman" w:hAnsi="Times New Roman" w:cs="Times New Roman"/>
          <w:sz w:val="24"/>
          <w:szCs w:val="24"/>
        </w:rPr>
        <w:t xml:space="preserve">, and </w:t>
      </w:r>
      <w:hyperlink r:id="rId11">
        <w:r w:rsidR="00976F4E">
          <w:rPr>
            <w:rFonts w:ascii="Times New Roman" w:eastAsia="Times New Roman" w:hAnsi="Times New Roman" w:cs="Times New Roman"/>
            <w:sz w:val="24"/>
            <w:szCs w:val="24"/>
          </w:rPr>
          <w:t>hepatic steatosis</w:t>
        </w:r>
      </w:hyperlink>
      <w:r>
        <w:rPr>
          <w:rFonts w:ascii="Times New Roman" w:eastAsia="Times New Roman" w:hAnsi="Times New Roman" w:cs="Times New Roman"/>
          <w:sz w:val="24"/>
          <w:szCs w:val="24"/>
        </w:rPr>
        <w:t xml:space="preserve">, and the increasing </w:t>
      </w:r>
      <w:hyperlink r:id="rId12">
        <w:r w:rsidR="00976F4E">
          <w:rPr>
            <w:rFonts w:ascii="Times New Roman" w:eastAsia="Times New Roman" w:hAnsi="Times New Roman" w:cs="Times New Roman"/>
            <w:sz w:val="24"/>
            <w:szCs w:val="24"/>
          </w:rPr>
          <w:t xml:space="preserve">chronic </w:t>
        </w:r>
      </w:hyperlink>
      <w:r>
        <w:rPr>
          <w:rFonts w:ascii="Times New Roman" w:eastAsia="Times New Roman" w:hAnsi="Times New Roman" w:cs="Times New Roman"/>
          <w:sz w:val="24"/>
          <w:szCs w:val="24"/>
        </w:rPr>
        <w:t xml:space="preserve">diseases such as </w:t>
      </w:r>
      <w:hyperlink r:id="rId13">
        <w:r w:rsidR="00976F4E">
          <w:rPr>
            <w:rFonts w:ascii="Times New Roman" w:eastAsia="Times New Roman" w:hAnsi="Times New Roman" w:cs="Times New Roman"/>
            <w:sz w:val="24"/>
            <w:szCs w:val="24"/>
          </w:rPr>
          <w:t>type 2 diabetes</w:t>
        </w:r>
      </w:hyperlink>
      <w:r>
        <w:rPr>
          <w:rFonts w:ascii="Times New Roman" w:eastAsia="Times New Roman" w:hAnsi="Times New Roman" w:cs="Times New Roman"/>
          <w:sz w:val="24"/>
          <w:szCs w:val="24"/>
        </w:rPr>
        <w:t xml:space="preserve"> and cardiovascular diseases. (Kumar, A., &amp; Singh, S. 2020)</w:t>
      </w:r>
    </w:p>
    <w:p w14:paraId="00DADC5D"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Cake, a popular snack, is commonly prepared using refined wheat flour, resulting in a limited variety of nutrients, including dietary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and essential amino acids. Moreover, the presence of gluten protein in wheat flour makes it unsuitable for individuals with celiac disease. Using millet as a base for cakes can enhance their nutritional profile by providing dietary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essential amino acids, and antioxidants. Additionally, millet-based cakes are gluten-free, making them cater to the nutritional and health requirements of gluten-allergic individuals. The absence of gluten in millet is a crucial factor influencing its processing. Due to this lack, it's challenging to create a network structure with mechanical emphasis for millet flour during batter development and baking. Consequently, it is impossible for millet cake batter to retain gas and form a fluffy and soft cake (Zhang, X., et al., 2024).</w:t>
      </w:r>
    </w:p>
    <w:p w14:paraId="6744867F" w14:textId="77777777" w:rsidR="00976F4E" w:rsidRDefault="00976F4E">
      <w:pPr>
        <w:shd w:val="clear" w:color="auto" w:fill="FFFFFF"/>
        <w:spacing w:line="360" w:lineRule="auto"/>
        <w:jc w:val="both"/>
        <w:rPr>
          <w:rFonts w:ascii="Times New Roman" w:eastAsia="Times New Roman" w:hAnsi="Times New Roman" w:cs="Times New Roman"/>
          <w:sz w:val="24"/>
          <w:szCs w:val="24"/>
        </w:rPr>
      </w:pPr>
    </w:p>
    <w:p w14:paraId="4AE8952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p w14:paraId="57AE5919" w14:textId="77777777" w:rsidR="00976F4E" w:rsidRDefault="00BF0F73">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the Product</w:t>
      </w:r>
    </w:p>
    <w:p w14:paraId="569CF7CF" w14:textId="77777777" w:rsidR="00976F4E" w:rsidRDefault="00BF0F73">
      <w:pPr>
        <w:numPr>
          <w:ilvl w:val="0"/>
          <w:numId w:val="3"/>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preparation of the cake, we needed to preheat the oven for 20 minutes at 180 degrees Celsius.</w:t>
      </w:r>
    </w:p>
    <w:p w14:paraId="5EDBB755"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Firstly, we had to measure all the flours accordingly and mix them in a bowl thoroughly.</w:t>
      </w:r>
    </w:p>
    <w:p w14:paraId="2E1530BD"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dry mix bowl, we added baking soda and powder and kept this dry mix aside.</w:t>
      </w:r>
    </w:p>
    <w:p w14:paraId="7DFB9BF9"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dry mix was sieved 2-3 times so that it had enough air settled between the granules of the dry mix.</w:t>
      </w:r>
    </w:p>
    <w:p w14:paraId="389B8D14"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separate bowl, we mixed all the wet ingredients, like jaggery, vanilla essence, melted butter, milk, curd, and water. </w:t>
      </w:r>
    </w:p>
    <w:p w14:paraId="42800837"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bowl of the wet mixture, we slowly and gradually added the dry mixture.</w:t>
      </w:r>
    </w:p>
    <w:p w14:paraId="44C7F88D"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used the cut and fold method to prepare the batter of the cake.</w:t>
      </w:r>
    </w:p>
    <w:p w14:paraId="46971981"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greased the tin with butter and then applied butter paper to it. </w:t>
      </w:r>
    </w:p>
    <w:p w14:paraId="2DBA535D" w14:textId="77777777" w:rsidR="00976F4E" w:rsidRDefault="00BF0F73">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Slowly, we poured all the batter into the tin and kept it in the oven for 35 to 40 minutes at 180 degrees Celsius (Gupta P. et al., 2024)</w:t>
      </w:r>
    </w:p>
    <w:p w14:paraId="601CE708" w14:textId="77777777" w:rsidR="00976F4E" w:rsidRDefault="00976F4E">
      <w:pPr>
        <w:shd w:val="clear" w:color="auto" w:fill="FFFFFF"/>
        <w:spacing w:before="240" w:line="360" w:lineRule="auto"/>
        <w:jc w:val="both"/>
        <w:rPr>
          <w:rFonts w:ascii="Times New Roman" w:eastAsia="Times New Roman" w:hAnsi="Times New Roman" w:cs="Times New Roman"/>
          <w:sz w:val="24"/>
          <w:szCs w:val="24"/>
        </w:rPr>
      </w:pPr>
    </w:p>
    <w:p w14:paraId="4FD80C5A" w14:textId="77777777" w:rsidR="00976F4E" w:rsidRDefault="00BF0F73">
      <w:pPr>
        <w:numPr>
          <w:ilvl w:val="0"/>
          <w:numId w:val="3"/>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of jelly </w:t>
      </w:r>
    </w:p>
    <w:p w14:paraId="2E5EA87F"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Ingredients: Wash fruit thoroughly and remove stems, pits, and any spoiled parts. Chop or crush fruit as needed. </w:t>
      </w:r>
    </w:p>
    <w:p w14:paraId="0072D4C6"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Place amla in a large pot or saucepan and add a small amount of water to prevent sticking. Simmer fruit until soft and pulpy. </w:t>
      </w:r>
    </w:p>
    <w:p w14:paraId="50597217"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Extract Juice: Strain cooked fruit through a muslin cloth or jelly bag to extract juice. Allow juice to drip freely without squeezing. </w:t>
      </w:r>
    </w:p>
    <w:p w14:paraId="127AC51C"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Boil Mixture: Bring the mixture to a rolling boil over high heat, stirring constantly. </w:t>
      </w:r>
    </w:p>
    <w:p w14:paraId="0AE87F91"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for Gel Point: Perform a gel test to determine if the jelly has reached the desired consistency. Optionally, use a candy thermometer to monitor temperature (usually around 220°F or 104°C). </w:t>
      </w:r>
    </w:p>
    <w:p w14:paraId="1472A097" w14:textId="77777777" w:rsidR="00976F4E" w:rsidRDefault="00BF0F73">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Jars: Store in a cool, dark place. (Kaviya TS. , 2023)</w:t>
      </w:r>
    </w:p>
    <w:p w14:paraId="0C877C34" w14:textId="77777777" w:rsidR="00976F4E" w:rsidRDefault="00976F4E">
      <w:pPr>
        <w:shd w:val="clear" w:color="auto" w:fill="FFFFFF"/>
        <w:spacing w:before="240" w:line="360" w:lineRule="auto"/>
        <w:ind w:left="1440"/>
        <w:jc w:val="both"/>
        <w:rPr>
          <w:rFonts w:ascii="Times New Roman" w:eastAsia="Times New Roman" w:hAnsi="Times New Roman" w:cs="Times New Roman"/>
          <w:sz w:val="24"/>
          <w:szCs w:val="24"/>
        </w:rPr>
      </w:pPr>
    </w:p>
    <w:p w14:paraId="44B484F9" w14:textId="77777777" w:rsidR="00976F4E" w:rsidRDefault="00BF0F73">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Physicochemical Analysis:</w:t>
      </w:r>
    </w:p>
    <w:p w14:paraId="5C5E1321" w14:textId="77777777" w:rsidR="00976F4E" w:rsidRDefault="00BF0F73">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samples  was  carried  out  according to  the  standard  analytical  methods  outlined  by the  AOAC  protocols.  </w:t>
      </w:r>
      <w:proofErr w:type="gramStart"/>
      <w:r>
        <w:rPr>
          <w:rFonts w:ascii="Times New Roman" w:eastAsia="Times New Roman" w:hAnsi="Times New Roman" w:cs="Times New Roman"/>
          <w:sz w:val="24"/>
          <w:szCs w:val="24"/>
        </w:rPr>
        <w:t>This  included</w:t>
      </w:r>
      <w:proofErr w:type="gramEnd"/>
      <w:r>
        <w:rPr>
          <w:rFonts w:ascii="Times New Roman" w:eastAsia="Times New Roman" w:hAnsi="Times New Roman" w:cs="Times New Roman"/>
          <w:sz w:val="24"/>
          <w:szCs w:val="24"/>
        </w:rPr>
        <w:t xml:space="preserve">  determining the  proximate  composition,  moisture,  fat,  ash, and   protein   levels.   In   accordance   with   </w:t>
      </w:r>
      <w:proofErr w:type="gramStart"/>
      <w:r>
        <w:rPr>
          <w:rFonts w:ascii="Times New Roman" w:eastAsia="Times New Roman" w:hAnsi="Times New Roman" w:cs="Times New Roman"/>
          <w:sz w:val="24"/>
          <w:szCs w:val="24"/>
        </w:rPr>
        <w:t>the  AOAC</w:t>
      </w:r>
      <w:proofErr w:type="gramEnd"/>
      <w:r>
        <w:rPr>
          <w:rFonts w:ascii="Times New Roman" w:eastAsia="Times New Roman" w:hAnsi="Times New Roman" w:cs="Times New Roman"/>
          <w:sz w:val="24"/>
          <w:szCs w:val="24"/>
        </w:rPr>
        <w:t xml:space="preserve">  procedures  925.40,  the  samples  were dried in an oven at 105 ± 2 °C until they reached a   constant   weight   in   order   to   measure   the moisture    content.    In    accordance    with    the       AOAC    protocol    942.05,    the    sample    was </w:t>
      </w:r>
      <w:proofErr w:type="gramStart"/>
      <w:r>
        <w:rPr>
          <w:rFonts w:ascii="Times New Roman" w:eastAsia="Times New Roman" w:hAnsi="Times New Roman" w:cs="Times New Roman"/>
          <w:sz w:val="24"/>
          <w:szCs w:val="24"/>
        </w:rPr>
        <w:t>incinerated  for</w:t>
      </w:r>
      <w:proofErr w:type="gramEnd"/>
      <w:r>
        <w:rPr>
          <w:rFonts w:ascii="Times New Roman" w:eastAsia="Times New Roman" w:hAnsi="Times New Roman" w:cs="Times New Roman"/>
          <w:sz w:val="24"/>
          <w:szCs w:val="24"/>
        </w:rPr>
        <w:t xml:space="preserve">  20  hours  at  550°C  to  determine the     ash     concentration.     Following     AOAC protocols 984.13, the </w:t>
      </w:r>
      <w:proofErr w:type="spellStart"/>
      <w:r>
        <w:rPr>
          <w:rFonts w:ascii="Times New Roman" w:eastAsia="Times New Roman" w:hAnsi="Times New Roman" w:cs="Times New Roman"/>
          <w:sz w:val="24"/>
          <w:szCs w:val="24"/>
        </w:rPr>
        <w:t>microKjeldahl</w:t>
      </w:r>
      <w:proofErr w:type="spellEnd"/>
      <w:r>
        <w:rPr>
          <w:rFonts w:ascii="Times New Roman" w:eastAsia="Times New Roman" w:hAnsi="Times New Roman" w:cs="Times New Roman"/>
          <w:sz w:val="24"/>
          <w:szCs w:val="24"/>
        </w:rPr>
        <w:t xml:space="preserve"> method was used   to   assess   the   nitrogen   (N)   content, and   the   protein   content   was   determined   as N </w:t>
      </w:r>
      <w:r>
        <w:rPr>
          <w:rFonts w:ascii="Times New Roman" w:eastAsia="Times New Roman" w:hAnsi="Times New Roman" w:cs="Times New Roman"/>
          <w:sz w:val="24"/>
          <w:szCs w:val="24"/>
        </w:rPr>
        <w:lastRenderedPageBreak/>
        <w:t xml:space="preserve">× 6.25.  The  Soxhlet  method,  in  accordance with  the  AOAC  963.15  standard,  was  used  to determine    the    lipid    content.    </w:t>
      </w:r>
      <w:proofErr w:type="gramStart"/>
      <w:r>
        <w:rPr>
          <w:rFonts w:ascii="Times New Roman" w:eastAsia="Times New Roman" w:hAnsi="Times New Roman" w:cs="Times New Roman"/>
          <w:sz w:val="24"/>
          <w:szCs w:val="24"/>
        </w:rPr>
        <w:t>The  total</w:t>
      </w:r>
      <w:proofErr w:type="gramEnd"/>
      <w:r>
        <w:rPr>
          <w:rFonts w:ascii="Times New Roman" w:eastAsia="Times New Roman" w:hAnsi="Times New Roman" w:cs="Times New Roman"/>
          <w:sz w:val="24"/>
          <w:szCs w:val="24"/>
        </w:rPr>
        <w:t xml:space="preserve">  carbohydrate content  was  calculated using the difference method. The pH of various samples uniformly mixed with distilled water (1:1) ratio (w/v) was measured using a digital pH meter (MAC) after standardization at 25°C using buffers of pH 4.0 and 7.0. A solution of the samples were made and then through the dropper they were dropped onto the </w:t>
      </w:r>
      <w:proofErr w:type="gramStart"/>
      <w:r>
        <w:rPr>
          <w:rFonts w:ascii="Times New Roman" w:eastAsia="Times New Roman" w:hAnsi="Times New Roman" w:cs="Times New Roman"/>
          <w:sz w:val="24"/>
          <w:szCs w:val="24"/>
        </w:rPr>
        <w:t>refractometer  Following</w:t>
      </w:r>
      <w:proofErr w:type="gramEnd"/>
      <w:r>
        <w:rPr>
          <w:rFonts w:ascii="Times New Roman" w:eastAsia="Times New Roman" w:hAnsi="Times New Roman" w:cs="Times New Roman"/>
          <w:sz w:val="24"/>
          <w:szCs w:val="24"/>
        </w:rPr>
        <w:t xml:space="preserve"> the methodology described by  </w:t>
      </w:r>
      <w:proofErr w:type="spellStart"/>
      <w:r>
        <w:rPr>
          <w:rFonts w:ascii="Times New Roman" w:eastAsia="Times New Roman" w:hAnsi="Times New Roman" w:cs="Times New Roman"/>
          <w:sz w:val="24"/>
          <w:szCs w:val="24"/>
        </w:rPr>
        <w:t>Onyeike</w:t>
      </w:r>
      <w:proofErr w:type="spellEnd"/>
      <w:r>
        <w:rPr>
          <w:rFonts w:ascii="Times New Roman" w:eastAsia="Times New Roman" w:hAnsi="Times New Roman" w:cs="Times New Roman"/>
          <w:sz w:val="24"/>
          <w:szCs w:val="24"/>
        </w:rPr>
        <w:t xml:space="preserve">  et  al . We performed triple analyses on all samples.</w:t>
      </w:r>
    </w:p>
    <w:p w14:paraId="2010CE8E" w14:textId="77777777" w:rsidR="00976F4E" w:rsidRDefault="00BF0F73">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Microbial Analysis </w:t>
      </w:r>
    </w:p>
    <w:p w14:paraId="3FD0D0D6" w14:textId="77777777" w:rsidR="00976F4E" w:rsidRDefault="00BF0F73">
      <w:pPr>
        <w:numPr>
          <w:ilvl w:val="0"/>
          <w:numId w:val="2"/>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Antimicrobial Test: </w:t>
      </w:r>
    </w:p>
    <w:p w14:paraId="48E884D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Antibacterial is the process of determining the presence of spoilage microorganisms that cause product deterioration, effecting the quality and safety. These include Gram-positive and Gram-negative bacteria, as well as yeasts and </w:t>
      </w:r>
      <w:proofErr w:type="spellStart"/>
      <w:r>
        <w:rPr>
          <w:rFonts w:ascii="Times New Roman" w:eastAsia="Times New Roman" w:hAnsi="Times New Roman" w:cs="Times New Roman"/>
          <w:sz w:val="24"/>
          <w:szCs w:val="24"/>
        </w:rPr>
        <w:t>molds</w:t>
      </w:r>
      <w:proofErr w:type="spellEnd"/>
      <w:r>
        <w:rPr>
          <w:rFonts w:ascii="Times New Roman" w:eastAsia="Times New Roman" w:hAnsi="Times New Roman" w:cs="Times New Roman"/>
          <w:sz w:val="24"/>
          <w:szCs w:val="24"/>
        </w:rPr>
        <w:t xml:space="preserve">. Spoilage microorganisms are not pathogenic but can change the physical properties, such as texture, smell, taste, and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or chemical properties of a product, making it unsuitable for consumption. It shows activity against Gram-positive (Staphylococcus aureus) and Gram-negative (Escherichia coli) bacteria was determined using the agar well disc diffusion method. Nutrient broth (14 g in 500 mL distilled water) and agar (1.3 g in 100 mL distilled water) were prepared.  </w:t>
      </w:r>
    </w:p>
    <w:p w14:paraId="1B3E44C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7EA9C1DE" wp14:editId="517F6A04">
            <wp:extent cx="2806132" cy="498447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rot="5400000">
                      <a:off x="0" y="0"/>
                      <a:ext cx="2806132" cy="4984477"/>
                    </a:xfrm>
                    <a:prstGeom prst="rect">
                      <a:avLst/>
                    </a:prstGeom>
                    <a:ln/>
                  </pic:spPr>
                </pic:pic>
              </a:graphicData>
            </a:graphic>
          </wp:inline>
        </w:drawing>
      </w:r>
    </w:p>
    <w:p w14:paraId="79A10FB6" w14:textId="04517441" w:rsidR="007F0A4D" w:rsidRDefault="007F0A4D">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sidRPr="007F0A4D">
        <w:rPr>
          <w:rFonts w:ascii="Times New Roman" w:eastAsia="Times New Roman" w:hAnsi="Times New Roman" w:cs="Times New Roman"/>
          <w:sz w:val="24"/>
          <w:szCs w:val="24"/>
        </w:rPr>
        <w:t>Analysis of samples</w:t>
      </w:r>
      <w:r>
        <w:rPr>
          <w:rFonts w:ascii="Times New Roman" w:eastAsia="Times New Roman" w:hAnsi="Times New Roman" w:cs="Times New Roman"/>
          <w:sz w:val="24"/>
          <w:szCs w:val="24"/>
        </w:rPr>
        <w:t xml:space="preserve"> </w:t>
      </w:r>
    </w:p>
    <w:p w14:paraId="3EE0E04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Packaging of product </w:t>
      </w:r>
    </w:p>
    <w:p w14:paraId="5409E6A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millet-based cake was packaged in a cardboard base with a polythene cover on top. In addition to providing structural support, cardboard shields the cake from damage during handling and transport. It keeps the cake from crumbling or changing shape. Polyethylene wrapping is commonly used as a liner or wrap to keep the cake moist and prevent it from drying out. A moisture-resistant barrier is necessary because dry cakes, such as pound cakes or sponge cakes, will spoil if left out in the open for an extended period of time.</w:t>
      </w:r>
    </w:p>
    <w:p w14:paraId="1AE2781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stored the jelly in glass jars because glass is non-reactive, so the acidic content of the jelly would not cause chemical reactions. This ensures that the flavour and quality of the jelly remain consistent over time. Glass jars have an airtight seal, preventing air and moisture from entering. This helps to maintain the jelly's freshness, flavour, and fragrance over time. Because glass jars allow you to see inside, it's easy to tell what type of jelly is being stored and in what condition. Glass jars are heat resistant, so they will not break or allow dangerous chemicals to seep into the jelly at the high temperatures required for canning. Glass jars are an environmentally friendly option for food storage because they can be reused and recycled.</w:t>
      </w:r>
    </w:p>
    <w:p w14:paraId="7D263257" w14:textId="77777777" w:rsidR="00976F4E" w:rsidRDefault="00976F4E">
      <w:pPr>
        <w:shd w:val="clear" w:color="auto" w:fill="FFFFFF"/>
        <w:spacing w:before="240" w:line="360" w:lineRule="auto"/>
        <w:ind w:left="720"/>
        <w:jc w:val="both"/>
        <w:rPr>
          <w:rFonts w:ascii="Times New Roman" w:eastAsia="Times New Roman" w:hAnsi="Times New Roman" w:cs="Times New Roman"/>
          <w:sz w:val="24"/>
          <w:szCs w:val="24"/>
        </w:rPr>
      </w:pPr>
    </w:p>
    <w:p w14:paraId="3D663CF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and Discussion:</w:t>
      </w:r>
    </w:p>
    <w:p w14:paraId="163D0E2C" w14:textId="77777777" w:rsidR="00976F4E" w:rsidRDefault="00BF0F73">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the product </w:t>
      </w:r>
    </w:p>
    <w:p w14:paraId="3F5563E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Millet cake ingredients</w:t>
      </w:r>
    </w:p>
    <w:tbl>
      <w:tblPr>
        <w:tblStyle w:val="a"/>
        <w:tblW w:w="7920" w:type="dxa"/>
        <w:tblBorders>
          <w:top w:val="nil"/>
          <w:left w:val="nil"/>
          <w:bottom w:val="nil"/>
          <w:right w:val="nil"/>
          <w:insideH w:val="nil"/>
          <w:insideV w:val="nil"/>
        </w:tblBorders>
        <w:tblLayout w:type="fixed"/>
        <w:tblLook w:val="0600" w:firstRow="0" w:lastRow="0" w:firstColumn="0" w:lastColumn="0" w:noHBand="1" w:noVBand="1"/>
      </w:tblPr>
      <w:tblGrid>
        <w:gridCol w:w="915"/>
        <w:gridCol w:w="4335"/>
        <w:gridCol w:w="2670"/>
      </w:tblGrid>
      <w:tr w:rsidR="00976F4E" w14:paraId="03BB1D37" w14:textId="77777777">
        <w:trPr>
          <w:trHeight w:val="375"/>
        </w:trPr>
        <w:tc>
          <w:tcPr>
            <w:tcW w:w="915" w:type="dxa"/>
            <w:tcBorders>
              <w:top w:val="single" w:sz="8" w:space="0" w:color="FFD966"/>
              <w:left w:val="single" w:sz="8" w:space="0" w:color="FFD966"/>
              <w:bottom w:val="single" w:sz="8" w:space="0" w:color="FFD966"/>
              <w:right w:val="single" w:sz="8" w:space="0" w:color="FFD966"/>
            </w:tcBorders>
            <w:tcMar>
              <w:top w:w="0" w:type="dxa"/>
              <w:left w:w="100" w:type="dxa"/>
              <w:bottom w:w="0" w:type="dxa"/>
              <w:right w:w="100" w:type="dxa"/>
            </w:tcMar>
          </w:tcPr>
          <w:p w14:paraId="49E7994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
        </w:tc>
        <w:tc>
          <w:tcPr>
            <w:tcW w:w="4335" w:type="dxa"/>
            <w:tcBorders>
              <w:top w:val="single" w:sz="8" w:space="0" w:color="FFD966"/>
              <w:left w:val="nil"/>
              <w:bottom w:val="single" w:sz="8" w:space="0" w:color="FFD966"/>
              <w:right w:val="single" w:sz="8" w:space="0" w:color="FFD966"/>
            </w:tcBorders>
            <w:tcMar>
              <w:top w:w="0" w:type="dxa"/>
              <w:left w:w="100" w:type="dxa"/>
              <w:bottom w:w="0" w:type="dxa"/>
              <w:right w:w="100" w:type="dxa"/>
            </w:tcMar>
          </w:tcPr>
          <w:p w14:paraId="54EFD6E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 :</w:t>
            </w:r>
          </w:p>
        </w:tc>
        <w:tc>
          <w:tcPr>
            <w:tcW w:w="2670" w:type="dxa"/>
            <w:tcBorders>
              <w:top w:val="single" w:sz="8" w:space="0" w:color="FFD966"/>
              <w:left w:val="nil"/>
              <w:bottom w:val="single" w:sz="8" w:space="0" w:color="FFD966"/>
              <w:right w:val="single" w:sz="8" w:space="0" w:color="FFD966"/>
            </w:tcBorders>
            <w:tcMar>
              <w:top w:w="0" w:type="dxa"/>
              <w:left w:w="100" w:type="dxa"/>
              <w:bottom w:w="0" w:type="dxa"/>
              <w:right w:w="100" w:type="dxa"/>
            </w:tcMar>
          </w:tcPr>
          <w:p w14:paraId="1014A99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Amount :</w:t>
            </w:r>
          </w:p>
        </w:tc>
      </w:tr>
      <w:tr w:rsidR="00976F4E" w14:paraId="1CF83EF7" w14:textId="77777777">
        <w:trPr>
          <w:trHeight w:val="375"/>
        </w:trPr>
        <w:tc>
          <w:tcPr>
            <w:tcW w:w="915" w:type="dxa"/>
            <w:tcBorders>
              <w:top w:val="nil"/>
              <w:left w:val="single" w:sz="8" w:space="0" w:color="FFD966"/>
              <w:bottom w:val="single" w:sz="8" w:space="0" w:color="FFD966"/>
              <w:right w:val="single" w:sz="8" w:space="0" w:color="FFD966"/>
            </w:tcBorders>
            <w:shd w:val="clear" w:color="auto" w:fill="FFF2CC"/>
            <w:tcMar>
              <w:top w:w="0" w:type="dxa"/>
              <w:left w:w="100" w:type="dxa"/>
              <w:bottom w:w="0" w:type="dxa"/>
              <w:right w:w="100" w:type="dxa"/>
            </w:tcMar>
          </w:tcPr>
          <w:p w14:paraId="3C5C772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35"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425431D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Ragi flour </w:t>
            </w:r>
          </w:p>
        </w:tc>
        <w:tc>
          <w:tcPr>
            <w:tcW w:w="2670"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3309E08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976F4E" w14:paraId="68245B20" w14:textId="77777777">
        <w:trPr>
          <w:trHeight w:val="375"/>
        </w:trPr>
        <w:tc>
          <w:tcPr>
            <w:tcW w:w="915" w:type="dxa"/>
            <w:tcBorders>
              <w:top w:val="nil"/>
              <w:left w:val="single" w:sz="8" w:space="0" w:color="FFD966"/>
              <w:bottom w:val="single" w:sz="8" w:space="0" w:color="FFD966"/>
              <w:right w:val="single" w:sz="8" w:space="0" w:color="FFD966"/>
            </w:tcBorders>
            <w:tcMar>
              <w:top w:w="0" w:type="dxa"/>
              <w:left w:w="100" w:type="dxa"/>
              <w:bottom w:w="0" w:type="dxa"/>
              <w:right w:w="100" w:type="dxa"/>
            </w:tcMar>
          </w:tcPr>
          <w:p w14:paraId="7A9456F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35" w:type="dxa"/>
            <w:tcBorders>
              <w:top w:val="nil"/>
              <w:left w:val="nil"/>
              <w:bottom w:val="single" w:sz="8" w:space="0" w:color="FFD966"/>
              <w:right w:val="single" w:sz="8" w:space="0" w:color="FFD966"/>
            </w:tcBorders>
            <w:tcMar>
              <w:top w:w="0" w:type="dxa"/>
              <w:left w:w="100" w:type="dxa"/>
              <w:bottom w:w="0" w:type="dxa"/>
              <w:right w:w="100" w:type="dxa"/>
            </w:tcMar>
          </w:tcPr>
          <w:p w14:paraId="27D9BF7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Bajra flour</w:t>
            </w:r>
          </w:p>
        </w:tc>
        <w:tc>
          <w:tcPr>
            <w:tcW w:w="2670" w:type="dxa"/>
            <w:tcBorders>
              <w:top w:val="nil"/>
              <w:left w:val="nil"/>
              <w:bottom w:val="single" w:sz="8" w:space="0" w:color="FFD966"/>
              <w:right w:val="single" w:sz="8" w:space="0" w:color="FFD966"/>
            </w:tcBorders>
            <w:tcMar>
              <w:top w:w="0" w:type="dxa"/>
              <w:left w:w="100" w:type="dxa"/>
              <w:bottom w:w="0" w:type="dxa"/>
              <w:right w:w="100" w:type="dxa"/>
            </w:tcMar>
          </w:tcPr>
          <w:p w14:paraId="6792070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976F4E" w14:paraId="2C59711E" w14:textId="77777777">
        <w:trPr>
          <w:trHeight w:val="375"/>
        </w:trPr>
        <w:tc>
          <w:tcPr>
            <w:tcW w:w="915" w:type="dxa"/>
            <w:tcBorders>
              <w:top w:val="nil"/>
              <w:left w:val="single" w:sz="8" w:space="0" w:color="FFD966"/>
              <w:bottom w:val="single" w:sz="8" w:space="0" w:color="FFD966"/>
              <w:right w:val="single" w:sz="8" w:space="0" w:color="FFD966"/>
            </w:tcBorders>
            <w:shd w:val="clear" w:color="auto" w:fill="FFF2CC"/>
            <w:tcMar>
              <w:top w:w="0" w:type="dxa"/>
              <w:left w:w="100" w:type="dxa"/>
              <w:bottom w:w="0" w:type="dxa"/>
              <w:right w:w="100" w:type="dxa"/>
            </w:tcMar>
          </w:tcPr>
          <w:p w14:paraId="55C8D4A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35"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1494134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Jowar flour </w:t>
            </w:r>
          </w:p>
        </w:tc>
        <w:tc>
          <w:tcPr>
            <w:tcW w:w="2670"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0FB4F64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976F4E" w14:paraId="31EC291A" w14:textId="77777777">
        <w:trPr>
          <w:trHeight w:val="375"/>
        </w:trPr>
        <w:tc>
          <w:tcPr>
            <w:tcW w:w="915" w:type="dxa"/>
            <w:tcBorders>
              <w:top w:val="nil"/>
              <w:left w:val="single" w:sz="8" w:space="0" w:color="FFD966"/>
              <w:bottom w:val="single" w:sz="8" w:space="0" w:color="FFD966"/>
              <w:right w:val="single" w:sz="8" w:space="0" w:color="FFD966"/>
            </w:tcBorders>
            <w:tcMar>
              <w:top w:w="0" w:type="dxa"/>
              <w:left w:w="100" w:type="dxa"/>
              <w:bottom w:w="0" w:type="dxa"/>
              <w:right w:w="100" w:type="dxa"/>
            </w:tcMar>
          </w:tcPr>
          <w:p w14:paraId="7E55458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35" w:type="dxa"/>
            <w:tcBorders>
              <w:top w:val="nil"/>
              <w:left w:val="nil"/>
              <w:bottom w:val="single" w:sz="8" w:space="0" w:color="FFD966"/>
              <w:right w:val="single" w:sz="8" w:space="0" w:color="FFD966"/>
            </w:tcBorders>
            <w:tcMar>
              <w:top w:w="0" w:type="dxa"/>
              <w:left w:w="100" w:type="dxa"/>
              <w:bottom w:w="0" w:type="dxa"/>
              <w:right w:w="100" w:type="dxa"/>
            </w:tcMar>
          </w:tcPr>
          <w:p w14:paraId="2858CCF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Jaggery powder </w:t>
            </w:r>
          </w:p>
        </w:tc>
        <w:tc>
          <w:tcPr>
            <w:tcW w:w="2670" w:type="dxa"/>
            <w:tcBorders>
              <w:top w:val="nil"/>
              <w:left w:val="nil"/>
              <w:bottom w:val="single" w:sz="8" w:space="0" w:color="FFD966"/>
              <w:right w:val="single" w:sz="8" w:space="0" w:color="FFD966"/>
            </w:tcBorders>
            <w:tcMar>
              <w:top w:w="0" w:type="dxa"/>
              <w:left w:w="100" w:type="dxa"/>
              <w:bottom w:w="0" w:type="dxa"/>
              <w:right w:w="100" w:type="dxa"/>
            </w:tcMar>
          </w:tcPr>
          <w:p w14:paraId="71BB1A4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50g</w:t>
            </w:r>
          </w:p>
        </w:tc>
      </w:tr>
      <w:tr w:rsidR="00976F4E" w14:paraId="271B0462" w14:textId="77777777">
        <w:trPr>
          <w:trHeight w:val="375"/>
        </w:trPr>
        <w:tc>
          <w:tcPr>
            <w:tcW w:w="915" w:type="dxa"/>
            <w:tcBorders>
              <w:top w:val="nil"/>
              <w:left w:val="single" w:sz="8" w:space="0" w:color="FFD966"/>
              <w:bottom w:val="single" w:sz="8" w:space="0" w:color="FFD966"/>
              <w:right w:val="single" w:sz="8" w:space="0" w:color="FFD966"/>
            </w:tcBorders>
            <w:shd w:val="clear" w:color="auto" w:fill="FFF2CC"/>
            <w:tcMar>
              <w:top w:w="0" w:type="dxa"/>
              <w:left w:w="100" w:type="dxa"/>
              <w:bottom w:w="0" w:type="dxa"/>
              <w:right w:w="100" w:type="dxa"/>
            </w:tcMar>
          </w:tcPr>
          <w:p w14:paraId="4BF1A87B"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35"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10D94EF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Baking powder </w:t>
            </w:r>
          </w:p>
        </w:tc>
        <w:tc>
          <w:tcPr>
            <w:tcW w:w="2670"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7BB6991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p>
        </w:tc>
      </w:tr>
      <w:tr w:rsidR="00976F4E" w14:paraId="67630216" w14:textId="77777777">
        <w:trPr>
          <w:trHeight w:val="375"/>
        </w:trPr>
        <w:tc>
          <w:tcPr>
            <w:tcW w:w="915" w:type="dxa"/>
            <w:tcBorders>
              <w:top w:val="nil"/>
              <w:left w:val="single" w:sz="8" w:space="0" w:color="FFD966"/>
              <w:bottom w:val="single" w:sz="8" w:space="0" w:color="FFD966"/>
              <w:right w:val="single" w:sz="8" w:space="0" w:color="FFD966"/>
            </w:tcBorders>
            <w:tcMar>
              <w:top w:w="0" w:type="dxa"/>
              <w:left w:w="100" w:type="dxa"/>
              <w:bottom w:w="0" w:type="dxa"/>
              <w:right w:w="100" w:type="dxa"/>
            </w:tcMar>
          </w:tcPr>
          <w:p w14:paraId="5283E9F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35" w:type="dxa"/>
            <w:tcBorders>
              <w:top w:val="nil"/>
              <w:left w:val="nil"/>
              <w:bottom w:val="single" w:sz="8" w:space="0" w:color="FFD966"/>
              <w:right w:val="single" w:sz="8" w:space="0" w:color="FFD966"/>
            </w:tcBorders>
            <w:tcMar>
              <w:top w:w="0" w:type="dxa"/>
              <w:left w:w="100" w:type="dxa"/>
              <w:bottom w:w="0" w:type="dxa"/>
              <w:right w:w="100" w:type="dxa"/>
            </w:tcMar>
          </w:tcPr>
          <w:p w14:paraId="29B34B5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Baking soda </w:t>
            </w:r>
          </w:p>
        </w:tc>
        <w:tc>
          <w:tcPr>
            <w:tcW w:w="2670" w:type="dxa"/>
            <w:tcBorders>
              <w:top w:val="nil"/>
              <w:left w:val="nil"/>
              <w:bottom w:val="single" w:sz="8" w:space="0" w:color="FFD966"/>
              <w:right w:val="single" w:sz="8" w:space="0" w:color="FFD966"/>
            </w:tcBorders>
            <w:tcMar>
              <w:top w:w="0" w:type="dxa"/>
              <w:left w:w="100" w:type="dxa"/>
              <w:bottom w:w="0" w:type="dxa"/>
              <w:right w:w="100" w:type="dxa"/>
            </w:tcMar>
          </w:tcPr>
          <w:p w14:paraId="5E5E6C0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½ tsp</w:t>
            </w:r>
          </w:p>
        </w:tc>
      </w:tr>
      <w:tr w:rsidR="00976F4E" w14:paraId="6F8E36AA" w14:textId="77777777">
        <w:trPr>
          <w:trHeight w:val="375"/>
        </w:trPr>
        <w:tc>
          <w:tcPr>
            <w:tcW w:w="915" w:type="dxa"/>
            <w:tcBorders>
              <w:top w:val="nil"/>
              <w:left w:val="single" w:sz="8" w:space="0" w:color="FFD966"/>
              <w:bottom w:val="single" w:sz="8" w:space="0" w:color="FFD966"/>
              <w:right w:val="single" w:sz="8" w:space="0" w:color="FFD966"/>
            </w:tcBorders>
            <w:shd w:val="clear" w:color="auto" w:fill="FFF2CC"/>
            <w:tcMar>
              <w:top w:w="0" w:type="dxa"/>
              <w:left w:w="100" w:type="dxa"/>
              <w:bottom w:w="0" w:type="dxa"/>
              <w:right w:w="100" w:type="dxa"/>
            </w:tcMar>
          </w:tcPr>
          <w:p w14:paraId="5C53F30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335"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1B9E9EF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 </w:t>
            </w:r>
          </w:p>
        </w:tc>
        <w:tc>
          <w:tcPr>
            <w:tcW w:w="2670"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2F44702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tbsp</w:t>
            </w:r>
          </w:p>
        </w:tc>
      </w:tr>
      <w:tr w:rsidR="00976F4E" w14:paraId="54579B15" w14:textId="77777777">
        <w:trPr>
          <w:trHeight w:val="375"/>
        </w:trPr>
        <w:tc>
          <w:tcPr>
            <w:tcW w:w="915" w:type="dxa"/>
            <w:tcBorders>
              <w:top w:val="nil"/>
              <w:left w:val="single" w:sz="8" w:space="0" w:color="FFD966"/>
              <w:bottom w:val="single" w:sz="8" w:space="0" w:color="FFD966"/>
              <w:right w:val="single" w:sz="8" w:space="0" w:color="FFD966"/>
            </w:tcBorders>
            <w:tcMar>
              <w:top w:w="0" w:type="dxa"/>
              <w:left w:w="100" w:type="dxa"/>
              <w:bottom w:w="0" w:type="dxa"/>
              <w:right w:w="100" w:type="dxa"/>
            </w:tcMar>
          </w:tcPr>
          <w:p w14:paraId="3DD41D0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35" w:type="dxa"/>
            <w:tcBorders>
              <w:top w:val="nil"/>
              <w:left w:val="nil"/>
              <w:bottom w:val="single" w:sz="8" w:space="0" w:color="FFD966"/>
              <w:right w:val="single" w:sz="8" w:space="0" w:color="FFD966"/>
            </w:tcBorders>
            <w:tcMar>
              <w:top w:w="0" w:type="dxa"/>
              <w:left w:w="100" w:type="dxa"/>
              <w:bottom w:w="0" w:type="dxa"/>
              <w:right w:w="100" w:type="dxa"/>
            </w:tcMar>
          </w:tcPr>
          <w:p w14:paraId="0D6B815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essence</w:t>
            </w:r>
          </w:p>
        </w:tc>
        <w:tc>
          <w:tcPr>
            <w:tcW w:w="2670" w:type="dxa"/>
            <w:tcBorders>
              <w:top w:val="nil"/>
              <w:left w:val="nil"/>
              <w:bottom w:val="single" w:sz="8" w:space="0" w:color="FFD966"/>
              <w:right w:val="single" w:sz="8" w:space="0" w:color="FFD966"/>
            </w:tcBorders>
            <w:tcMar>
              <w:top w:w="0" w:type="dxa"/>
              <w:left w:w="100" w:type="dxa"/>
              <w:bottom w:w="0" w:type="dxa"/>
              <w:right w:w="100" w:type="dxa"/>
            </w:tcMar>
          </w:tcPr>
          <w:p w14:paraId="704CFB7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drops</w:t>
            </w:r>
          </w:p>
        </w:tc>
      </w:tr>
      <w:tr w:rsidR="00976F4E" w14:paraId="2F460DB7" w14:textId="77777777">
        <w:trPr>
          <w:trHeight w:val="375"/>
        </w:trPr>
        <w:tc>
          <w:tcPr>
            <w:tcW w:w="915" w:type="dxa"/>
            <w:tcBorders>
              <w:top w:val="nil"/>
              <w:left w:val="single" w:sz="8" w:space="0" w:color="FFD966"/>
              <w:bottom w:val="single" w:sz="8" w:space="0" w:color="FFD966"/>
              <w:right w:val="single" w:sz="8" w:space="0" w:color="FFD966"/>
            </w:tcBorders>
            <w:shd w:val="clear" w:color="auto" w:fill="FFF2CC"/>
            <w:tcMar>
              <w:top w:w="0" w:type="dxa"/>
              <w:left w:w="100" w:type="dxa"/>
              <w:bottom w:w="0" w:type="dxa"/>
              <w:right w:w="100" w:type="dxa"/>
            </w:tcMar>
          </w:tcPr>
          <w:p w14:paraId="3FE55DE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335"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5D50489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2670" w:type="dxa"/>
            <w:tcBorders>
              <w:top w:val="nil"/>
              <w:left w:val="nil"/>
              <w:bottom w:val="single" w:sz="8" w:space="0" w:color="FFD966"/>
              <w:right w:val="single" w:sz="8" w:space="0" w:color="FFD966"/>
            </w:tcBorders>
            <w:shd w:val="clear" w:color="auto" w:fill="FFF2CC"/>
            <w:tcMar>
              <w:top w:w="0" w:type="dxa"/>
              <w:left w:w="100" w:type="dxa"/>
              <w:bottom w:w="0" w:type="dxa"/>
              <w:right w:w="100" w:type="dxa"/>
            </w:tcMar>
          </w:tcPr>
          <w:p w14:paraId="6BFEF69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50ml</w:t>
            </w:r>
          </w:p>
        </w:tc>
      </w:tr>
      <w:tr w:rsidR="00976F4E" w14:paraId="3C2C6BE4" w14:textId="77777777">
        <w:trPr>
          <w:trHeight w:val="375"/>
        </w:trPr>
        <w:tc>
          <w:tcPr>
            <w:tcW w:w="915" w:type="dxa"/>
            <w:tcBorders>
              <w:top w:val="nil"/>
              <w:left w:val="single" w:sz="8" w:space="0" w:color="FFD966"/>
              <w:bottom w:val="single" w:sz="8" w:space="0" w:color="FFD966"/>
              <w:right w:val="single" w:sz="8" w:space="0" w:color="FFD966"/>
            </w:tcBorders>
            <w:tcMar>
              <w:top w:w="0" w:type="dxa"/>
              <w:left w:w="100" w:type="dxa"/>
              <w:bottom w:w="0" w:type="dxa"/>
              <w:right w:w="100" w:type="dxa"/>
            </w:tcMar>
          </w:tcPr>
          <w:p w14:paraId="2D88F4D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35" w:type="dxa"/>
            <w:tcBorders>
              <w:top w:val="nil"/>
              <w:left w:val="nil"/>
              <w:bottom w:val="single" w:sz="8" w:space="0" w:color="FFD966"/>
              <w:right w:val="single" w:sz="8" w:space="0" w:color="FFD966"/>
            </w:tcBorders>
            <w:tcMar>
              <w:top w:w="0" w:type="dxa"/>
              <w:left w:w="100" w:type="dxa"/>
              <w:bottom w:w="0" w:type="dxa"/>
              <w:right w:w="100" w:type="dxa"/>
            </w:tcMar>
          </w:tcPr>
          <w:p w14:paraId="7A25509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Curd</w:t>
            </w:r>
          </w:p>
        </w:tc>
        <w:tc>
          <w:tcPr>
            <w:tcW w:w="2670" w:type="dxa"/>
            <w:tcBorders>
              <w:top w:val="nil"/>
              <w:left w:val="nil"/>
              <w:bottom w:val="single" w:sz="8" w:space="0" w:color="FFD966"/>
              <w:right w:val="single" w:sz="8" w:space="0" w:color="FFD966"/>
            </w:tcBorders>
            <w:tcMar>
              <w:top w:w="0" w:type="dxa"/>
              <w:left w:w="100" w:type="dxa"/>
              <w:bottom w:w="0" w:type="dxa"/>
              <w:right w:w="100" w:type="dxa"/>
            </w:tcMar>
          </w:tcPr>
          <w:p w14:paraId="0490A59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40g</w:t>
            </w:r>
          </w:p>
        </w:tc>
      </w:tr>
    </w:tbl>
    <w:p w14:paraId="0F33D6DC" w14:textId="77777777" w:rsidR="00976F4E" w:rsidRDefault="00976F4E">
      <w:pPr>
        <w:shd w:val="clear" w:color="auto" w:fill="FFFFFF"/>
        <w:spacing w:before="240" w:line="360" w:lineRule="auto"/>
        <w:jc w:val="both"/>
        <w:rPr>
          <w:rFonts w:ascii="Times New Roman" w:eastAsia="Times New Roman" w:hAnsi="Times New Roman" w:cs="Times New Roman"/>
          <w:sz w:val="24"/>
          <w:szCs w:val="24"/>
        </w:rPr>
      </w:pPr>
    </w:p>
    <w:p w14:paraId="52C65EE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Amla jelly ingredients</w:t>
      </w:r>
    </w:p>
    <w:tbl>
      <w:tblPr>
        <w:tblStyle w:val="a0"/>
        <w:tblW w:w="7920" w:type="dxa"/>
        <w:tblBorders>
          <w:top w:val="nil"/>
          <w:left w:val="nil"/>
          <w:bottom w:val="nil"/>
          <w:right w:val="nil"/>
          <w:insideH w:val="nil"/>
          <w:insideV w:val="nil"/>
        </w:tblBorders>
        <w:tblLayout w:type="fixed"/>
        <w:tblLook w:val="0600" w:firstRow="0" w:lastRow="0" w:firstColumn="0" w:lastColumn="0" w:noHBand="1" w:noVBand="1"/>
      </w:tblPr>
      <w:tblGrid>
        <w:gridCol w:w="915"/>
        <w:gridCol w:w="4170"/>
        <w:gridCol w:w="2835"/>
      </w:tblGrid>
      <w:tr w:rsidR="00976F4E" w14:paraId="58829D50" w14:textId="77777777">
        <w:trPr>
          <w:trHeight w:val="375"/>
        </w:trPr>
        <w:tc>
          <w:tcPr>
            <w:tcW w:w="915" w:type="dxa"/>
            <w:tcBorders>
              <w:top w:val="single" w:sz="8" w:space="0" w:color="A8D08D"/>
              <w:left w:val="single" w:sz="8" w:space="0" w:color="A8D08D"/>
              <w:bottom w:val="single" w:sz="8" w:space="0" w:color="A8D08D"/>
              <w:right w:val="single" w:sz="8" w:space="0" w:color="A8D08D"/>
            </w:tcBorders>
            <w:tcMar>
              <w:top w:w="0" w:type="dxa"/>
              <w:left w:w="100" w:type="dxa"/>
              <w:bottom w:w="0" w:type="dxa"/>
              <w:right w:w="100" w:type="dxa"/>
            </w:tcMar>
          </w:tcPr>
          <w:p w14:paraId="1F33D1D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w:t>
            </w:r>
          </w:p>
        </w:tc>
        <w:tc>
          <w:tcPr>
            <w:tcW w:w="4170" w:type="dxa"/>
            <w:tcBorders>
              <w:top w:val="single" w:sz="8" w:space="0" w:color="A8D08D"/>
              <w:left w:val="nil"/>
              <w:bottom w:val="single" w:sz="8" w:space="0" w:color="A8D08D"/>
              <w:right w:val="single" w:sz="8" w:space="0" w:color="A8D08D"/>
            </w:tcBorders>
            <w:tcMar>
              <w:top w:w="0" w:type="dxa"/>
              <w:left w:w="100" w:type="dxa"/>
              <w:bottom w:w="0" w:type="dxa"/>
              <w:right w:w="100" w:type="dxa"/>
            </w:tcMar>
          </w:tcPr>
          <w:p w14:paraId="2205B34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 :</w:t>
            </w:r>
          </w:p>
        </w:tc>
        <w:tc>
          <w:tcPr>
            <w:tcW w:w="2835" w:type="dxa"/>
            <w:tcBorders>
              <w:top w:val="single" w:sz="8" w:space="0" w:color="A8D08D"/>
              <w:left w:val="nil"/>
              <w:bottom w:val="single" w:sz="8" w:space="0" w:color="A8D08D"/>
              <w:right w:val="single" w:sz="8" w:space="0" w:color="A8D08D"/>
            </w:tcBorders>
            <w:tcMar>
              <w:top w:w="0" w:type="dxa"/>
              <w:left w:w="100" w:type="dxa"/>
              <w:bottom w:w="0" w:type="dxa"/>
              <w:right w:w="100" w:type="dxa"/>
            </w:tcMar>
          </w:tcPr>
          <w:p w14:paraId="4FBB1E3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Amount :</w:t>
            </w:r>
          </w:p>
        </w:tc>
      </w:tr>
      <w:tr w:rsidR="00976F4E" w14:paraId="116971E1" w14:textId="77777777">
        <w:trPr>
          <w:trHeight w:val="435"/>
        </w:trPr>
        <w:tc>
          <w:tcPr>
            <w:tcW w:w="915" w:type="dxa"/>
            <w:tcBorders>
              <w:top w:val="nil"/>
              <w:left w:val="single" w:sz="8" w:space="0" w:color="A8D08D"/>
              <w:bottom w:val="single" w:sz="8" w:space="0" w:color="A8D08D"/>
              <w:right w:val="single" w:sz="8" w:space="0" w:color="A8D08D"/>
            </w:tcBorders>
            <w:shd w:val="clear" w:color="auto" w:fill="E2EFD9"/>
            <w:tcMar>
              <w:top w:w="0" w:type="dxa"/>
              <w:left w:w="100" w:type="dxa"/>
              <w:bottom w:w="0" w:type="dxa"/>
              <w:right w:w="100" w:type="dxa"/>
            </w:tcMar>
          </w:tcPr>
          <w:p w14:paraId="25D9D98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70" w:type="dxa"/>
            <w:tcBorders>
              <w:top w:val="nil"/>
              <w:left w:val="nil"/>
              <w:bottom w:val="single" w:sz="8" w:space="0" w:color="A8D08D"/>
              <w:right w:val="single" w:sz="8" w:space="0" w:color="A8D08D"/>
            </w:tcBorders>
            <w:shd w:val="clear" w:color="auto" w:fill="E2EFD9"/>
            <w:tcMar>
              <w:top w:w="0" w:type="dxa"/>
              <w:left w:w="100" w:type="dxa"/>
              <w:bottom w:w="0" w:type="dxa"/>
              <w:right w:w="100" w:type="dxa"/>
            </w:tcMar>
          </w:tcPr>
          <w:p w14:paraId="317B1D9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w:t>
            </w:r>
          </w:p>
        </w:tc>
        <w:tc>
          <w:tcPr>
            <w:tcW w:w="2835" w:type="dxa"/>
            <w:tcBorders>
              <w:top w:val="nil"/>
              <w:left w:val="nil"/>
              <w:bottom w:val="single" w:sz="8" w:space="0" w:color="A8D08D"/>
              <w:right w:val="single" w:sz="8" w:space="0" w:color="A8D08D"/>
            </w:tcBorders>
            <w:shd w:val="clear" w:color="auto" w:fill="E2EFD9"/>
            <w:tcMar>
              <w:top w:w="0" w:type="dxa"/>
              <w:left w:w="100" w:type="dxa"/>
              <w:bottom w:w="0" w:type="dxa"/>
              <w:right w:w="100" w:type="dxa"/>
            </w:tcMar>
          </w:tcPr>
          <w:p w14:paraId="5B2ABB8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500g</w:t>
            </w:r>
          </w:p>
        </w:tc>
      </w:tr>
      <w:tr w:rsidR="00976F4E" w14:paraId="373369E4" w14:textId="77777777">
        <w:trPr>
          <w:trHeight w:val="480"/>
        </w:trPr>
        <w:tc>
          <w:tcPr>
            <w:tcW w:w="915" w:type="dxa"/>
            <w:tcBorders>
              <w:top w:val="nil"/>
              <w:left w:val="single" w:sz="8" w:space="0" w:color="A8D08D"/>
              <w:bottom w:val="single" w:sz="8" w:space="0" w:color="A8D08D"/>
              <w:right w:val="single" w:sz="8" w:space="0" w:color="A8D08D"/>
            </w:tcBorders>
            <w:tcMar>
              <w:top w:w="0" w:type="dxa"/>
              <w:left w:w="100" w:type="dxa"/>
              <w:bottom w:w="0" w:type="dxa"/>
              <w:right w:w="100" w:type="dxa"/>
            </w:tcMar>
          </w:tcPr>
          <w:p w14:paraId="154288E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4170" w:type="dxa"/>
            <w:tcBorders>
              <w:top w:val="nil"/>
              <w:left w:val="nil"/>
              <w:bottom w:val="single" w:sz="8" w:space="0" w:color="A8D08D"/>
              <w:right w:val="single" w:sz="8" w:space="0" w:color="A8D08D"/>
            </w:tcBorders>
            <w:tcMar>
              <w:top w:w="0" w:type="dxa"/>
              <w:left w:w="100" w:type="dxa"/>
              <w:bottom w:w="0" w:type="dxa"/>
              <w:right w:w="100" w:type="dxa"/>
            </w:tcMar>
          </w:tcPr>
          <w:p w14:paraId="348BAAD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Lemon juice</w:t>
            </w:r>
          </w:p>
        </w:tc>
        <w:tc>
          <w:tcPr>
            <w:tcW w:w="2835" w:type="dxa"/>
            <w:tcBorders>
              <w:top w:val="nil"/>
              <w:left w:val="nil"/>
              <w:bottom w:val="single" w:sz="8" w:space="0" w:color="A8D08D"/>
              <w:right w:val="single" w:sz="8" w:space="0" w:color="A8D08D"/>
            </w:tcBorders>
            <w:tcMar>
              <w:top w:w="0" w:type="dxa"/>
              <w:left w:w="100" w:type="dxa"/>
              <w:bottom w:w="0" w:type="dxa"/>
              <w:right w:w="100" w:type="dxa"/>
            </w:tcMar>
          </w:tcPr>
          <w:p w14:paraId="6D24C8A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15g</w:t>
            </w:r>
          </w:p>
        </w:tc>
      </w:tr>
      <w:tr w:rsidR="00976F4E" w14:paraId="6BF0F4F8" w14:textId="77777777">
        <w:trPr>
          <w:trHeight w:val="435"/>
        </w:trPr>
        <w:tc>
          <w:tcPr>
            <w:tcW w:w="915" w:type="dxa"/>
            <w:tcBorders>
              <w:top w:val="nil"/>
              <w:left w:val="single" w:sz="8" w:space="0" w:color="A8D08D"/>
              <w:bottom w:val="single" w:sz="8" w:space="0" w:color="A8D08D"/>
              <w:right w:val="single" w:sz="8" w:space="0" w:color="A8D08D"/>
            </w:tcBorders>
            <w:shd w:val="clear" w:color="auto" w:fill="E2EFD9"/>
            <w:tcMar>
              <w:top w:w="0" w:type="dxa"/>
              <w:left w:w="100" w:type="dxa"/>
              <w:bottom w:w="0" w:type="dxa"/>
              <w:right w:w="100" w:type="dxa"/>
            </w:tcMar>
          </w:tcPr>
          <w:p w14:paraId="4A722FF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70" w:type="dxa"/>
            <w:tcBorders>
              <w:top w:val="nil"/>
              <w:left w:val="nil"/>
              <w:bottom w:val="single" w:sz="8" w:space="0" w:color="A8D08D"/>
              <w:right w:val="single" w:sz="8" w:space="0" w:color="A8D08D"/>
            </w:tcBorders>
            <w:shd w:val="clear" w:color="auto" w:fill="E2EFD9"/>
            <w:tcMar>
              <w:top w:w="0" w:type="dxa"/>
              <w:left w:w="100" w:type="dxa"/>
              <w:bottom w:w="0" w:type="dxa"/>
              <w:right w:w="100" w:type="dxa"/>
            </w:tcMar>
          </w:tcPr>
          <w:p w14:paraId="19A6CBE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Sugar</w:t>
            </w:r>
          </w:p>
        </w:tc>
        <w:tc>
          <w:tcPr>
            <w:tcW w:w="2835" w:type="dxa"/>
            <w:tcBorders>
              <w:top w:val="nil"/>
              <w:left w:val="nil"/>
              <w:bottom w:val="single" w:sz="8" w:space="0" w:color="A8D08D"/>
              <w:right w:val="single" w:sz="8" w:space="0" w:color="A8D08D"/>
            </w:tcBorders>
            <w:shd w:val="clear" w:color="auto" w:fill="E2EFD9"/>
            <w:tcMar>
              <w:top w:w="0" w:type="dxa"/>
              <w:left w:w="100" w:type="dxa"/>
              <w:bottom w:w="0" w:type="dxa"/>
              <w:right w:w="100" w:type="dxa"/>
            </w:tcMar>
          </w:tcPr>
          <w:p w14:paraId="2EEA41F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30g</w:t>
            </w:r>
          </w:p>
        </w:tc>
      </w:tr>
    </w:tbl>
    <w:p w14:paraId="15F2CB4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1: Developed jelly cake</w:t>
      </w:r>
    </w:p>
    <w:p w14:paraId="1E6E108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20130BC6" wp14:editId="15B76920">
            <wp:extent cx="3627600" cy="235433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826" t="4696" b="7454"/>
                    <a:stretch>
                      <a:fillRect/>
                    </a:stretch>
                  </pic:blipFill>
                  <pic:spPr>
                    <a:xfrm>
                      <a:off x="0" y="0"/>
                      <a:ext cx="3627600" cy="2354336"/>
                    </a:xfrm>
                    <a:prstGeom prst="rect">
                      <a:avLst/>
                    </a:prstGeom>
                    <a:ln/>
                  </pic:spPr>
                </pic:pic>
              </a:graphicData>
            </a:graphic>
          </wp:inline>
        </w:drawing>
      </w:r>
    </w:p>
    <w:p w14:paraId="7F7CF6C9" w14:textId="77777777" w:rsidR="00976F4E" w:rsidRDefault="00976F4E">
      <w:pPr>
        <w:shd w:val="clear" w:color="auto" w:fill="FFFFFF"/>
        <w:spacing w:before="240" w:line="360" w:lineRule="auto"/>
        <w:ind w:left="720"/>
        <w:jc w:val="both"/>
        <w:rPr>
          <w:rFonts w:ascii="Times New Roman" w:eastAsia="Times New Roman" w:hAnsi="Times New Roman" w:cs="Times New Roman"/>
          <w:sz w:val="24"/>
          <w:szCs w:val="24"/>
        </w:rPr>
      </w:pPr>
    </w:p>
    <w:p w14:paraId="781484DD" w14:textId="77777777" w:rsidR="00976F4E" w:rsidRDefault="00BF0F73">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Physicochemical Analysis:</w:t>
      </w:r>
    </w:p>
    <w:p w14:paraId="4639F84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Proximate analysis of a jelly cake involves determining its various components, providing valuable insights into its nutritional composition. Firstly, moisture content is 10.2% assessed </w:t>
      </w:r>
      <w:r>
        <w:rPr>
          <w:rFonts w:ascii="Times New Roman" w:eastAsia="Times New Roman" w:hAnsi="Times New Roman" w:cs="Times New Roman"/>
          <w:sz w:val="24"/>
          <w:szCs w:val="24"/>
        </w:rPr>
        <w:lastRenderedPageBreak/>
        <w:t xml:space="preserve">by drying a representative sample to constant weight, revealing the proportion of water present. This helps evaluate shelf stability and susceptibility to microbial spoilage. Next, total ash content is 32.5% determined by incinerating the sample, indicating the mineral content derived from ingredients and food additives. This sheds light on the cake's nutritional value and potential health benefits. Furthermore, fat content is 24% extracted using solvents, highlighting the energy density and lipid profile of the cake. Protein content, which is 1.453%, and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which is 16% crucial for growth and repair, are quantified using the Kjeldahl method, which measures nitrogen content and converts it to protein. Finally, carbohydrates are calculated by difference, subtracting the sum of moisture, ash, fat, and protein from the total weight, which is 5.78%, reflecting the sugar and starch content. Through proximate analysis, the jelly cake's composition is elucidated, aiding in dietary planning and quality assurance for only 5 g of sample.</w:t>
      </w:r>
    </w:p>
    <w:p w14:paraId="38F6046C" w14:textId="77777777" w:rsidR="00976F4E" w:rsidRDefault="00976F4E">
      <w:pPr>
        <w:shd w:val="clear" w:color="auto" w:fill="FFFFFF"/>
        <w:spacing w:before="240" w:line="360" w:lineRule="auto"/>
        <w:jc w:val="both"/>
        <w:rPr>
          <w:rFonts w:ascii="Times New Roman" w:eastAsia="Times New Roman" w:hAnsi="Times New Roman" w:cs="Times New Roman"/>
          <w:sz w:val="24"/>
          <w:szCs w:val="24"/>
        </w:rPr>
      </w:pPr>
    </w:p>
    <w:p w14:paraId="51147428" w14:textId="77777777" w:rsidR="00976F4E" w:rsidRDefault="00BF0F73">
      <w:pPr>
        <w:widowControl w:val="0"/>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Moisture content:</w:t>
      </w:r>
    </w:p>
    <w:p w14:paraId="18B902F7" w14:textId="77777777" w:rsidR="00976F4E" w:rsidRDefault="00976F4E">
      <w:pPr>
        <w:widowControl w:val="0"/>
        <w:shd w:val="clear" w:color="auto" w:fill="FFFFFF"/>
        <w:spacing w:line="360" w:lineRule="auto"/>
        <w:jc w:val="both"/>
        <w:rPr>
          <w:rFonts w:ascii="Times New Roman" w:eastAsia="Times New Roman" w:hAnsi="Times New Roman" w:cs="Times New Roman"/>
          <w:sz w:val="24"/>
          <w:szCs w:val="24"/>
        </w:rPr>
      </w:pPr>
    </w:p>
    <w:p w14:paraId="0CB38ECE" w14:textId="77777777" w:rsidR="00976F4E" w:rsidRDefault="00976F4E">
      <w:pPr>
        <w:widowControl w:val="0"/>
        <w:shd w:val="clear" w:color="auto" w:fill="FFFFFF"/>
        <w:spacing w:line="360" w:lineRule="auto"/>
        <w:jc w:val="both"/>
        <w:rPr>
          <w:rFonts w:ascii="Times New Roman" w:eastAsia="Times New Roman" w:hAnsi="Times New Roman" w:cs="Times New Roman"/>
          <w:sz w:val="24"/>
          <w:szCs w:val="24"/>
        </w:rPr>
      </w:pPr>
    </w:p>
    <w:p w14:paraId="5F7A3CD7" w14:textId="77777777" w:rsidR="00976F4E" w:rsidRDefault="00BF0F73">
      <w:pPr>
        <w:widowControl w:val="0"/>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Moisture content</w:t>
      </w: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6"/>
        <w:gridCol w:w="1668"/>
        <w:gridCol w:w="1724"/>
        <w:gridCol w:w="1509"/>
        <w:gridCol w:w="1681"/>
        <w:gridCol w:w="1537"/>
      </w:tblGrid>
      <w:tr w:rsidR="00976F4E" w14:paraId="36CE1845" w14:textId="77777777">
        <w:trPr>
          <w:trHeight w:val="630"/>
        </w:trPr>
        <w:tc>
          <w:tcPr>
            <w:tcW w:w="905" w:type="dxa"/>
            <w:tcBorders>
              <w:top w:val="single" w:sz="8" w:space="0" w:color="FFFFFF"/>
              <w:left w:val="single" w:sz="8" w:space="0" w:color="FFFFFF"/>
              <w:bottom w:val="single" w:sz="8" w:space="0" w:color="FFFFFF"/>
              <w:right w:val="nil"/>
            </w:tcBorders>
            <w:shd w:val="clear" w:color="auto" w:fill="4472C4"/>
            <w:tcMar>
              <w:top w:w="0" w:type="dxa"/>
              <w:left w:w="100" w:type="dxa"/>
              <w:bottom w:w="0" w:type="dxa"/>
              <w:right w:w="100" w:type="dxa"/>
            </w:tcMar>
          </w:tcPr>
          <w:p w14:paraId="6F7CF34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 .</w:t>
            </w:r>
            <w:proofErr w:type="gramEnd"/>
          </w:p>
        </w:tc>
        <w:tc>
          <w:tcPr>
            <w:tcW w:w="1667" w:type="dxa"/>
            <w:tcBorders>
              <w:top w:val="single" w:sz="8" w:space="0" w:color="FFFFFF"/>
              <w:left w:val="nil"/>
              <w:bottom w:val="single" w:sz="8" w:space="0" w:color="FFFFFF"/>
              <w:right w:val="nil"/>
            </w:tcBorders>
            <w:shd w:val="clear" w:color="auto" w:fill="4472C4"/>
            <w:tcMar>
              <w:top w:w="0" w:type="dxa"/>
              <w:left w:w="100" w:type="dxa"/>
              <w:bottom w:w="0" w:type="dxa"/>
              <w:right w:w="100" w:type="dxa"/>
            </w:tcMar>
          </w:tcPr>
          <w:p w14:paraId="278E99BB"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724" w:type="dxa"/>
            <w:tcBorders>
              <w:top w:val="single" w:sz="8" w:space="0" w:color="FFFFFF"/>
              <w:left w:val="nil"/>
              <w:bottom w:val="single" w:sz="8" w:space="0" w:color="FFFFFF"/>
              <w:right w:val="nil"/>
            </w:tcBorders>
            <w:shd w:val="clear" w:color="auto" w:fill="4472C4"/>
            <w:tcMar>
              <w:top w:w="0" w:type="dxa"/>
              <w:left w:w="100" w:type="dxa"/>
              <w:bottom w:w="0" w:type="dxa"/>
              <w:right w:w="100" w:type="dxa"/>
            </w:tcMar>
          </w:tcPr>
          <w:p w14:paraId="24AC5CC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Petri Plate wt.</w:t>
            </w:r>
          </w:p>
        </w:tc>
        <w:tc>
          <w:tcPr>
            <w:tcW w:w="1509" w:type="dxa"/>
            <w:tcBorders>
              <w:top w:val="single" w:sz="8" w:space="0" w:color="FFFFFF"/>
              <w:left w:val="nil"/>
              <w:bottom w:val="single" w:sz="8" w:space="0" w:color="FFFFFF"/>
              <w:right w:val="nil"/>
            </w:tcBorders>
            <w:shd w:val="clear" w:color="auto" w:fill="4472C4"/>
            <w:tcMar>
              <w:top w:w="0" w:type="dxa"/>
              <w:left w:w="100" w:type="dxa"/>
              <w:bottom w:w="0" w:type="dxa"/>
              <w:right w:w="100" w:type="dxa"/>
            </w:tcMar>
          </w:tcPr>
          <w:p w14:paraId="0370CAF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1681" w:type="dxa"/>
            <w:tcBorders>
              <w:top w:val="single" w:sz="8" w:space="0" w:color="FFFFFF"/>
              <w:left w:val="nil"/>
              <w:bottom w:val="single" w:sz="8" w:space="0" w:color="FFFFFF"/>
              <w:right w:val="nil"/>
            </w:tcBorders>
            <w:shd w:val="clear" w:color="auto" w:fill="4472C4"/>
            <w:tcMar>
              <w:top w:w="0" w:type="dxa"/>
              <w:left w:w="100" w:type="dxa"/>
              <w:bottom w:w="0" w:type="dxa"/>
              <w:right w:w="100" w:type="dxa"/>
            </w:tcMar>
          </w:tcPr>
          <w:p w14:paraId="19280D5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(W1)</w:t>
            </w:r>
          </w:p>
        </w:tc>
        <w:tc>
          <w:tcPr>
            <w:tcW w:w="1537" w:type="dxa"/>
            <w:tcBorders>
              <w:top w:val="single" w:sz="8" w:space="0" w:color="FFFFFF"/>
              <w:left w:val="nil"/>
              <w:bottom w:val="single" w:sz="8" w:space="0" w:color="FFFFFF"/>
              <w:right w:val="single" w:sz="8" w:space="0" w:color="FFFFFF"/>
            </w:tcBorders>
            <w:shd w:val="clear" w:color="auto" w:fill="4472C4"/>
            <w:tcMar>
              <w:top w:w="0" w:type="dxa"/>
              <w:left w:w="100" w:type="dxa"/>
              <w:bottom w:w="0" w:type="dxa"/>
              <w:right w:w="100" w:type="dxa"/>
            </w:tcMar>
          </w:tcPr>
          <w:p w14:paraId="3093F29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wt. (W2)</w:t>
            </w:r>
          </w:p>
        </w:tc>
      </w:tr>
      <w:tr w:rsidR="00976F4E" w14:paraId="527C6071" w14:textId="77777777">
        <w:trPr>
          <w:trHeight w:val="600"/>
        </w:trPr>
        <w:tc>
          <w:tcPr>
            <w:tcW w:w="905" w:type="dxa"/>
            <w:tcBorders>
              <w:top w:val="nil"/>
              <w:left w:val="single" w:sz="8" w:space="0" w:color="FFFFFF"/>
              <w:bottom w:val="single" w:sz="8" w:space="0" w:color="FFFFFF"/>
              <w:right w:val="single" w:sz="8" w:space="0" w:color="FFFFFF"/>
            </w:tcBorders>
            <w:shd w:val="clear" w:color="auto" w:fill="4472C4"/>
            <w:tcMar>
              <w:top w:w="0" w:type="dxa"/>
              <w:left w:w="100" w:type="dxa"/>
              <w:bottom w:w="0" w:type="dxa"/>
              <w:right w:w="100" w:type="dxa"/>
            </w:tcMar>
          </w:tcPr>
          <w:p w14:paraId="1B85D64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7" w:type="dxa"/>
            <w:tcBorders>
              <w:top w:val="nil"/>
              <w:left w:val="nil"/>
              <w:bottom w:val="single" w:sz="8" w:space="0" w:color="FFFFFF"/>
              <w:right w:val="single" w:sz="8" w:space="0" w:color="FFFFFF"/>
            </w:tcBorders>
            <w:shd w:val="clear" w:color="auto" w:fill="B4C6E7"/>
            <w:tcMar>
              <w:top w:w="0" w:type="dxa"/>
              <w:left w:w="100" w:type="dxa"/>
              <w:bottom w:w="0" w:type="dxa"/>
              <w:right w:w="100" w:type="dxa"/>
            </w:tcMar>
          </w:tcPr>
          <w:p w14:paraId="78791E2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724" w:type="dxa"/>
            <w:tcBorders>
              <w:top w:val="nil"/>
              <w:left w:val="nil"/>
              <w:bottom w:val="single" w:sz="8" w:space="0" w:color="FFFFFF"/>
              <w:right w:val="single" w:sz="8" w:space="0" w:color="FFFFFF"/>
            </w:tcBorders>
            <w:shd w:val="clear" w:color="auto" w:fill="B4C6E7"/>
            <w:tcMar>
              <w:top w:w="0" w:type="dxa"/>
              <w:left w:w="100" w:type="dxa"/>
              <w:bottom w:w="0" w:type="dxa"/>
              <w:right w:w="100" w:type="dxa"/>
            </w:tcMar>
          </w:tcPr>
          <w:p w14:paraId="5986B44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40g</w:t>
            </w:r>
          </w:p>
        </w:tc>
        <w:tc>
          <w:tcPr>
            <w:tcW w:w="1509" w:type="dxa"/>
            <w:tcBorders>
              <w:top w:val="nil"/>
              <w:left w:val="nil"/>
              <w:bottom w:val="single" w:sz="8" w:space="0" w:color="FFFFFF"/>
              <w:right w:val="single" w:sz="8" w:space="0" w:color="FFFFFF"/>
            </w:tcBorders>
            <w:shd w:val="clear" w:color="auto" w:fill="B4C6E7"/>
            <w:tcMar>
              <w:top w:w="0" w:type="dxa"/>
              <w:left w:w="100" w:type="dxa"/>
              <w:bottom w:w="0" w:type="dxa"/>
              <w:right w:w="100" w:type="dxa"/>
            </w:tcMar>
          </w:tcPr>
          <w:p w14:paraId="1FBE05A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681" w:type="dxa"/>
            <w:tcBorders>
              <w:top w:val="nil"/>
              <w:left w:val="nil"/>
              <w:bottom w:val="single" w:sz="8" w:space="0" w:color="FFFFFF"/>
              <w:right w:val="single" w:sz="8" w:space="0" w:color="FFFFFF"/>
            </w:tcBorders>
            <w:shd w:val="clear" w:color="auto" w:fill="B4C6E7"/>
            <w:tcMar>
              <w:top w:w="0" w:type="dxa"/>
              <w:left w:w="100" w:type="dxa"/>
              <w:bottom w:w="0" w:type="dxa"/>
              <w:right w:w="100" w:type="dxa"/>
            </w:tcMar>
          </w:tcPr>
          <w:p w14:paraId="57EB513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45g</w:t>
            </w:r>
          </w:p>
        </w:tc>
        <w:tc>
          <w:tcPr>
            <w:tcW w:w="1537" w:type="dxa"/>
            <w:tcBorders>
              <w:top w:val="nil"/>
              <w:left w:val="nil"/>
              <w:bottom w:val="single" w:sz="8" w:space="0" w:color="FFFFFF"/>
              <w:right w:val="single" w:sz="8" w:space="0" w:color="FFFFFF"/>
            </w:tcBorders>
            <w:shd w:val="clear" w:color="auto" w:fill="B4C6E7"/>
            <w:tcMar>
              <w:top w:w="0" w:type="dxa"/>
              <w:left w:w="100" w:type="dxa"/>
              <w:bottom w:w="0" w:type="dxa"/>
              <w:right w:w="100" w:type="dxa"/>
            </w:tcMar>
          </w:tcPr>
          <w:p w14:paraId="7997E01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43g</w:t>
            </w:r>
          </w:p>
        </w:tc>
      </w:tr>
      <w:tr w:rsidR="00976F4E" w14:paraId="4365D240" w14:textId="77777777">
        <w:trPr>
          <w:trHeight w:val="660"/>
        </w:trPr>
        <w:tc>
          <w:tcPr>
            <w:tcW w:w="905" w:type="dxa"/>
            <w:tcBorders>
              <w:top w:val="nil"/>
              <w:left w:val="single" w:sz="8" w:space="0" w:color="FFFFFF"/>
              <w:bottom w:val="single" w:sz="8" w:space="0" w:color="FFFFFF"/>
              <w:right w:val="single" w:sz="8" w:space="0" w:color="FFFFFF"/>
            </w:tcBorders>
            <w:shd w:val="clear" w:color="auto" w:fill="4472C4"/>
            <w:tcMar>
              <w:top w:w="0" w:type="dxa"/>
              <w:left w:w="100" w:type="dxa"/>
              <w:bottom w:w="0" w:type="dxa"/>
              <w:right w:w="100" w:type="dxa"/>
            </w:tcMar>
          </w:tcPr>
          <w:p w14:paraId="088CAE9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7" w:type="dxa"/>
            <w:tcBorders>
              <w:top w:val="nil"/>
              <w:left w:val="nil"/>
              <w:bottom w:val="single" w:sz="8" w:space="0" w:color="FFFFFF"/>
              <w:right w:val="single" w:sz="8" w:space="0" w:color="FFFFFF"/>
            </w:tcBorders>
            <w:shd w:val="clear" w:color="auto" w:fill="D9E2F3"/>
            <w:tcMar>
              <w:top w:w="0" w:type="dxa"/>
              <w:left w:w="100" w:type="dxa"/>
              <w:bottom w:w="0" w:type="dxa"/>
              <w:right w:w="100" w:type="dxa"/>
            </w:tcMar>
          </w:tcPr>
          <w:p w14:paraId="18127AA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724" w:type="dxa"/>
            <w:tcBorders>
              <w:top w:val="nil"/>
              <w:left w:val="nil"/>
              <w:bottom w:val="single" w:sz="8" w:space="0" w:color="FFFFFF"/>
              <w:right w:val="single" w:sz="8" w:space="0" w:color="FFFFFF"/>
            </w:tcBorders>
            <w:shd w:val="clear" w:color="auto" w:fill="D9E2F3"/>
            <w:tcMar>
              <w:top w:w="0" w:type="dxa"/>
              <w:left w:w="100" w:type="dxa"/>
              <w:bottom w:w="0" w:type="dxa"/>
              <w:right w:w="100" w:type="dxa"/>
            </w:tcMar>
          </w:tcPr>
          <w:p w14:paraId="17F8EB9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46g</w:t>
            </w:r>
          </w:p>
        </w:tc>
        <w:tc>
          <w:tcPr>
            <w:tcW w:w="1509" w:type="dxa"/>
            <w:tcBorders>
              <w:top w:val="nil"/>
              <w:left w:val="nil"/>
              <w:bottom w:val="single" w:sz="8" w:space="0" w:color="FFFFFF"/>
              <w:right w:val="single" w:sz="8" w:space="0" w:color="FFFFFF"/>
            </w:tcBorders>
            <w:shd w:val="clear" w:color="auto" w:fill="D9E2F3"/>
            <w:tcMar>
              <w:top w:w="0" w:type="dxa"/>
              <w:left w:w="100" w:type="dxa"/>
              <w:bottom w:w="0" w:type="dxa"/>
              <w:right w:w="100" w:type="dxa"/>
            </w:tcMar>
          </w:tcPr>
          <w:p w14:paraId="4372777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681" w:type="dxa"/>
            <w:tcBorders>
              <w:top w:val="nil"/>
              <w:left w:val="nil"/>
              <w:bottom w:val="single" w:sz="8" w:space="0" w:color="FFFFFF"/>
              <w:right w:val="single" w:sz="8" w:space="0" w:color="FFFFFF"/>
            </w:tcBorders>
            <w:shd w:val="clear" w:color="auto" w:fill="D9E2F3"/>
            <w:tcMar>
              <w:top w:w="0" w:type="dxa"/>
              <w:left w:w="100" w:type="dxa"/>
              <w:bottom w:w="0" w:type="dxa"/>
              <w:right w:w="100" w:type="dxa"/>
            </w:tcMar>
          </w:tcPr>
          <w:p w14:paraId="195DDCE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51g</w:t>
            </w:r>
          </w:p>
        </w:tc>
        <w:tc>
          <w:tcPr>
            <w:tcW w:w="1537" w:type="dxa"/>
            <w:tcBorders>
              <w:top w:val="nil"/>
              <w:left w:val="nil"/>
              <w:bottom w:val="single" w:sz="8" w:space="0" w:color="FFFFFF"/>
              <w:right w:val="single" w:sz="8" w:space="0" w:color="FFFFFF"/>
            </w:tcBorders>
            <w:shd w:val="clear" w:color="auto" w:fill="D9E2F3"/>
            <w:tcMar>
              <w:top w:w="0" w:type="dxa"/>
              <w:left w:w="100" w:type="dxa"/>
              <w:bottom w:w="0" w:type="dxa"/>
              <w:right w:w="100" w:type="dxa"/>
            </w:tcMar>
          </w:tcPr>
          <w:p w14:paraId="40EF9CF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49g</w:t>
            </w:r>
          </w:p>
        </w:tc>
      </w:tr>
    </w:tbl>
    <w:p w14:paraId="343FBA4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D99474"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Moisture % in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45 – 43) × 100</w:t>
      </w:r>
    </w:p>
    <w:p w14:paraId="3520E023"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45</w:t>
      </w:r>
    </w:p>
    <w:p w14:paraId="494368D2"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4.4 %</w:t>
      </w:r>
    </w:p>
    <w:p w14:paraId="3A190C6B"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Moisture % in </w:t>
      </w:r>
      <w:proofErr w:type="gramStart"/>
      <w:r>
        <w:rPr>
          <w:rFonts w:ascii="Times New Roman" w:eastAsia="Times New Roman" w:hAnsi="Times New Roman" w:cs="Times New Roman"/>
          <w:sz w:val="24"/>
          <w:szCs w:val="24"/>
        </w:rPr>
        <w:t>jelly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51- 49) × 100</w:t>
      </w:r>
    </w:p>
    <w:p w14:paraId="6DFE2D53" w14:textId="77777777" w:rsidR="00976F4E" w:rsidRDefault="00BF0F73">
      <w:pPr>
        <w:shd w:val="clear" w:color="auto" w:fill="FFFFFF"/>
        <w:spacing w:before="20" w:line="36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w:t>
      </w:r>
    </w:p>
    <w:p w14:paraId="4B1DBBCB"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5.8%</w:t>
      </w:r>
    </w:p>
    <w:p w14:paraId="4EBA314A"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01B5DA"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Ash content:</w:t>
      </w:r>
    </w:p>
    <w:p w14:paraId="54AA617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 ash content</w:t>
      </w:r>
    </w:p>
    <w:tbl>
      <w:tblPr>
        <w:tblStyle w:val="a2"/>
        <w:tblW w:w="9000" w:type="dxa"/>
        <w:tblBorders>
          <w:top w:val="nil"/>
          <w:left w:val="nil"/>
          <w:bottom w:val="nil"/>
          <w:right w:val="nil"/>
          <w:insideH w:val="nil"/>
          <w:insideV w:val="nil"/>
        </w:tblBorders>
        <w:tblLayout w:type="fixed"/>
        <w:tblLook w:val="0600" w:firstRow="0" w:lastRow="0" w:firstColumn="0" w:lastColumn="0" w:noHBand="1" w:noVBand="1"/>
      </w:tblPr>
      <w:tblGrid>
        <w:gridCol w:w="795"/>
        <w:gridCol w:w="1365"/>
        <w:gridCol w:w="1635"/>
        <w:gridCol w:w="1320"/>
        <w:gridCol w:w="1080"/>
        <w:gridCol w:w="1485"/>
        <w:gridCol w:w="1320"/>
      </w:tblGrid>
      <w:tr w:rsidR="00976F4E" w14:paraId="1D29F218" w14:textId="77777777">
        <w:trPr>
          <w:trHeight w:val="915"/>
        </w:trPr>
        <w:tc>
          <w:tcPr>
            <w:tcW w:w="795" w:type="dxa"/>
            <w:tcBorders>
              <w:top w:val="single" w:sz="8" w:space="0" w:color="FFFFFF"/>
              <w:left w:val="single" w:sz="8" w:space="0" w:color="FFFFFF"/>
              <w:bottom w:val="single" w:sz="8" w:space="0" w:color="FFFFFF"/>
              <w:right w:val="nil"/>
            </w:tcBorders>
            <w:shd w:val="clear" w:color="auto" w:fill="FFC000"/>
            <w:tcMar>
              <w:top w:w="0" w:type="dxa"/>
              <w:left w:w="100" w:type="dxa"/>
              <w:bottom w:w="0" w:type="dxa"/>
              <w:right w:w="100" w:type="dxa"/>
            </w:tcMar>
          </w:tcPr>
          <w:p w14:paraId="2769A99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p>
        </w:tc>
        <w:tc>
          <w:tcPr>
            <w:tcW w:w="1365" w:type="dxa"/>
            <w:tcBorders>
              <w:top w:val="single" w:sz="8" w:space="0" w:color="FFFFFF"/>
              <w:left w:val="nil"/>
              <w:bottom w:val="single" w:sz="8" w:space="0" w:color="FFFFFF"/>
              <w:right w:val="nil"/>
            </w:tcBorders>
            <w:shd w:val="clear" w:color="auto" w:fill="FFC000"/>
            <w:tcMar>
              <w:top w:w="0" w:type="dxa"/>
              <w:left w:w="100" w:type="dxa"/>
              <w:bottom w:w="0" w:type="dxa"/>
              <w:right w:w="100" w:type="dxa"/>
            </w:tcMar>
          </w:tcPr>
          <w:p w14:paraId="1B9C92E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35" w:type="dxa"/>
            <w:tcBorders>
              <w:top w:val="single" w:sz="8" w:space="0" w:color="FFFFFF"/>
              <w:left w:val="nil"/>
              <w:bottom w:val="single" w:sz="8" w:space="0" w:color="FFFFFF"/>
              <w:right w:val="nil"/>
            </w:tcBorders>
            <w:shd w:val="clear" w:color="auto" w:fill="FFC000"/>
            <w:tcMar>
              <w:top w:w="0" w:type="dxa"/>
              <w:left w:w="100" w:type="dxa"/>
              <w:bottom w:w="0" w:type="dxa"/>
              <w:right w:w="100" w:type="dxa"/>
            </w:tcMar>
          </w:tcPr>
          <w:p w14:paraId="60BD4BF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Crucible wt. (W1)</w:t>
            </w:r>
          </w:p>
        </w:tc>
        <w:tc>
          <w:tcPr>
            <w:tcW w:w="1320" w:type="dxa"/>
            <w:tcBorders>
              <w:top w:val="single" w:sz="8" w:space="0" w:color="FFFFFF"/>
              <w:left w:val="nil"/>
              <w:bottom w:val="single" w:sz="8" w:space="0" w:color="FFFFFF"/>
              <w:right w:val="nil"/>
            </w:tcBorders>
            <w:shd w:val="clear" w:color="auto" w:fill="FFC000"/>
            <w:tcMar>
              <w:top w:w="0" w:type="dxa"/>
              <w:left w:w="100" w:type="dxa"/>
              <w:bottom w:w="0" w:type="dxa"/>
              <w:right w:w="100" w:type="dxa"/>
            </w:tcMar>
          </w:tcPr>
          <w:p w14:paraId="5919041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1080" w:type="dxa"/>
            <w:tcBorders>
              <w:top w:val="single" w:sz="8" w:space="0" w:color="FFFFFF"/>
              <w:left w:val="nil"/>
              <w:bottom w:val="single" w:sz="8" w:space="0" w:color="FFFFFF"/>
              <w:right w:val="nil"/>
            </w:tcBorders>
            <w:shd w:val="clear" w:color="auto" w:fill="FFC000"/>
            <w:tcMar>
              <w:top w:w="0" w:type="dxa"/>
              <w:left w:w="100" w:type="dxa"/>
              <w:bottom w:w="0" w:type="dxa"/>
              <w:right w:w="100" w:type="dxa"/>
            </w:tcMar>
          </w:tcPr>
          <w:p w14:paraId="2FBF0F1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wt.</w:t>
            </w:r>
          </w:p>
        </w:tc>
        <w:tc>
          <w:tcPr>
            <w:tcW w:w="1485" w:type="dxa"/>
            <w:tcBorders>
              <w:top w:val="single" w:sz="8" w:space="0" w:color="FFFFFF"/>
              <w:left w:val="nil"/>
              <w:bottom w:val="single" w:sz="8" w:space="0" w:color="FFFFFF"/>
              <w:right w:val="nil"/>
            </w:tcBorders>
            <w:shd w:val="clear" w:color="auto" w:fill="FFC000"/>
            <w:tcMar>
              <w:top w:w="0" w:type="dxa"/>
              <w:left w:w="100" w:type="dxa"/>
              <w:bottom w:w="0" w:type="dxa"/>
              <w:right w:w="100" w:type="dxa"/>
            </w:tcMar>
          </w:tcPr>
          <w:p w14:paraId="4FB2E7A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(W2)</w:t>
            </w:r>
          </w:p>
        </w:tc>
        <w:tc>
          <w:tcPr>
            <w:tcW w:w="1320" w:type="dxa"/>
            <w:tcBorders>
              <w:top w:val="single" w:sz="8" w:space="0" w:color="FFFFFF"/>
              <w:left w:val="nil"/>
              <w:bottom w:val="single" w:sz="8" w:space="0" w:color="FFFFFF"/>
              <w:right w:val="single" w:sz="8" w:space="0" w:color="FFFFFF"/>
            </w:tcBorders>
            <w:shd w:val="clear" w:color="auto" w:fill="FFC000"/>
            <w:tcMar>
              <w:top w:w="0" w:type="dxa"/>
              <w:left w:w="100" w:type="dxa"/>
              <w:bottom w:w="0" w:type="dxa"/>
              <w:right w:w="100" w:type="dxa"/>
            </w:tcMar>
          </w:tcPr>
          <w:p w14:paraId="1D6DED0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 wt. (W3)</w:t>
            </w:r>
          </w:p>
        </w:tc>
      </w:tr>
      <w:tr w:rsidR="00976F4E" w14:paraId="631F7854" w14:textId="77777777">
        <w:trPr>
          <w:trHeight w:val="465"/>
        </w:trPr>
        <w:tc>
          <w:tcPr>
            <w:tcW w:w="795" w:type="dxa"/>
            <w:tcBorders>
              <w:top w:val="nil"/>
              <w:left w:val="single" w:sz="8" w:space="0" w:color="FFFFFF"/>
              <w:bottom w:val="single" w:sz="8" w:space="0" w:color="FFFFFF"/>
              <w:right w:val="single" w:sz="8" w:space="0" w:color="FFFFFF"/>
            </w:tcBorders>
            <w:shd w:val="clear" w:color="auto" w:fill="FFC000"/>
            <w:tcMar>
              <w:top w:w="0" w:type="dxa"/>
              <w:left w:w="100" w:type="dxa"/>
              <w:bottom w:w="0" w:type="dxa"/>
              <w:right w:w="100" w:type="dxa"/>
            </w:tcMar>
          </w:tcPr>
          <w:p w14:paraId="6D39351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5"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46B5CFC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35"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47F0CFD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18.9g</w:t>
            </w:r>
          </w:p>
        </w:tc>
        <w:tc>
          <w:tcPr>
            <w:tcW w:w="1320"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7C62876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080"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6AF176D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85"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4C6A3DF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22.4g</w:t>
            </w:r>
          </w:p>
        </w:tc>
        <w:tc>
          <w:tcPr>
            <w:tcW w:w="1320" w:type="dxa"/>
            <w:tcBorders>
              <w:top w:val="nil"/>
              <w:left w:val="nil"/>
              <w:bottom w:val="single" w:sz="8" w:space="0" w:color="FFFFFF"/>
              <w:right w:val="single" w:sz="8" w:space="0" w:color="FFFFFF"/>
            </w:tcBorders>
            <w:shd w:val="clear" w:color="auto" w:fill="FFE599"/>
            <w:tcMar>
              <w:top w:w="0" w:type="dxa"/>
              <w:left w:w="100" w:type="dxa"/>
              <w:bottom w:w="0" w:type="dxa"/>
              <w:right w:w="100" w:type="dxa"/>
            </w:tcMar>
          </w:tcPr>
          <w:p w14:paraId="22D86821"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19.9g</w:t>
            </w:r>
          </w:p>
        </w:tc>
      </w:tr>
      <w:tr w:rsidR="00976F4E" w14:paraId="0D282CF4" w14:textId="77777777">
        <w:trPr>
          <w:trHeight w:val="465"/>
        </w:trPr>
        <w:tc>
          <w:tcPr>
            <w:tcW w:w="795" w:type="dxa"/>
            <w:tcBorders>
              <w:top w:val="nil"/>
              <w:left w:val="single" w:sz="8" w:space="0" w:color="FFFFFF"/>
              <w:bottom w:val="single" w:sz="8" w:space="0" w:color="FFFFFF"/>
              <w:right w:val="single" w:sz="8" w:space="0" w:color="FFFFFF"/>
            </w:tcBorders>
            <w:shd w:val="clear" w:color="auto" w:fill="FFC000"/>
            <w:tcMar>
              <w:top w:w="0" w:type="dxa"/>
              <w:left w:w="100" w:type="dxa"/>
              <w:bottom w:w="0" w:type="dxa"/>
              <w:right w:w="100" w:type="dxa"/>
            </w:tcMar>
          </w:tcPr>
          <w:p w14:paraId="49580D2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5"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51FD547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35"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7E9DC45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19.4g</w:t>
            </w:r>
          </w:p>
        </w:tc>
        <w:tc>
          <w:tcPr>
            <w:tcW w:w="1320"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05818A5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080"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55A5959B"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85"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4C693F4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21.9g</w:t>
            </w:r>
          </w:p>
        </w:tc>
        <w:tc>
          <w:tcPr>
            <w:tcW w:w="1320" w:type="dxa"/>
            <w:tcBorders>
              <w:top w:val="nil"/>
              <w:left w:val="nil"/>
              <w:bottom w:val="single" w:sz="8" w:space="0" w:color="FFFFFF"/>
              <w:right w:val="single" w:sz="8" w:space="0" w:color="FFFFFF"/>
            </w:tcBorders>
            <w:shd w:val="clear" w:color="auto" w:fill="FFF2CC"/>
            <w:tcMar>
              <w:top w:w="0" w:type="dxa"/>
              <w:left w:w="100" w:type="dxa"/>
              <w:bottom w:w="0" w:type="dxa"/>
              <w:right w:w="100" w:type="dxa"/>
            </w:tcMar>
          </w:tcPr>
          <w:p w14:paraId="7CACD30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19.5g</w:t>
            </w:r>
          </w:p>
        </w:tc>
      </w:tr>
    </w:tbl>
    <w:p w14:paraId="595140B7"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2C8F8A"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Ash % in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19.9 – 18.9 × 100</w:t>
      </w:r>
    </w:p>
    <w:p w14:paraId="518B598E"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22.4 – 18.9</w:t>
      </w:r>
    </w:p>
    <w:p w14:paraId="69F76DCE"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28.5 %</w:t>
      </w:r>
    </w:p>
    <w:p w14:paraId="543C7424"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Ash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jelly  =  </w:t>
      </w:r>
      <w:r>
        <w:rPr>
          <w:rFonts w:ascii="Times New Roman" w:eastAsia="Times New Roman" w:hAnsi="Times New Roman" w:cs="Times New Roman"/>
          <w:sz w:val="24"/>
          <w:szCs w:val="24"/>
          <w:u w:val="single"/>
        </w:rPr>
        <w:t>19.5 – 19.4 x 100</w:t>
      </w:r>
    </w:p>
    <w:p w14:paraId="2E407008"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21.9 – 19.4</w:t>
      </w:r>
    </w:p>
    <w:p w14:paraId="7916AC68"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4 %</w:t>
      </w:r>
    </w:p>
    <w:p w14:paraId="75E11940"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579295AC"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Crude fibre content:</w:t>
      </w:r>
    </w:p>
    <w:p w14:paraId="2D84D73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crude fibre content</w:t>
      </w:r>
    </w:p>
    <w:tbl>
      <w:tblPr>
        <w:tblStyle w:val="a3"/>
        <w:tblW w:w="8460" w:type="dxa"/>
        <w:tblBorders>
          <w:top w:val="nil"/>
          <w:left w:val="nil"/>
          <w:bottom w:val="nil"/>
          <w:right w:val="nil"/>
          <w:insideH w:val="nil"/>
          <w:insideV w:val="nil"/>
        </w:tblBorders>
        <w:tblLayout w:type="fixed"/>
        <w:tblLook w:val="0600" w:firstRow="0" w:lastRow="0" w:firstColumn="0" w:lastColumn="0" w:noHBand="1" w:noVBand="1"/>
      </w:tblPr>
      <w:tblGrid>
        <w:gridCol w:w="795"/>
        <w:gridCol w:w="1365"/>
        <w:gridCol w:w="1500"/>
        <w:gridCol w:w="1485"/>
        <w:gridCol w:w="1815"/>
        <w:gridCol w:w="1500"/>
      </w:tblGrid>
      <w:tr w:rsidR="00976F4E" w14:paraId="0E244DA8" w14:textId="77777777">
        <w:trPr>
          <w:trHeight w:val="1095"/>
        </w:trPr>
        <w:tc>
          <w:tcPr>
            <w:tcW w:w="795" w:type="dxa"/>
            <w:tcBorders>
              <w:top w:val="single" w:sz="8" w:space="0" w:color="FFFFFF"/>
              <w:left w:val="single" w:sz="8" w:space="0" w:color="FFFFFF"/>
              <w:bottom w:val="single" w:sz="8" w:space="0" w:color="FFFFFF"/>
              <w:right w:val="nil"/>
            </w:tcBorders>
            <w:shd w:val="clear" w:color="auto" w:fill="A5A5A5"/>
            <w:tcMar>
              <w:top w:w="0" w:type="dxa"/>
              <w:left w:w="100" w:type="dxa"/>
              <w:bottom w:w="0" w:type="dxa"/>
              <w:right w:w="100" w:type="dxa"/>
            </w:tcMar>
          </w:tcPr>
          <w:p w14:paraId="5C40B90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p>
        </w:tc>
        <w:tc>
          <w:tcPr>
            <w:tcW w:w="1365" w:type="dxa"/>
            <w:tcBorders>
              <w:top w:val="single" w:sz="8" w:space="0" w:color="FFFFFF"/>
              <w:left w:val="nil"/>
              <w:bottom w:val="single" w:sz="8" w:space="0" w:color="FFFFFF"/>
              <w:right w:val="nil"/>
            </w:tcBorders>
            <w:shd w:val="clear" w:color="auto" w:fill="A5A5A5"/>
            <w:tcMar>
              <w:top w:w="0" w:type="dxa"/>
              <w:left w:w="100" w:type="dxa"/>
              <w:bottom w:w="0" w:type="dxa"/>
              <w:right w:w="100" w:type="dxa"/>
            </w:tcMar>
          </w:tcPr>
          <w:p w14:paraId="3A08661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500" w:type="dxa"/>
            <w:tcBorders>
              <w:top w:val="single" w:sz="8" w:space="0" w:color="FFFFFF"/>
              <w:left w:val="nil"/>
              <w:bottom w:val="single" w:sz="8" w:space="0" w:color="FFFFFF"/>
              <w:right w:val="nil"/>
            </w:tcBorders>
            <w:shd w:val="clear" w:color="auto" w:fill="A5A5A5"/>
            <w:tcMar>
              <w:top w:w="0" w:type="dxa"/>
              <w:left w:w="100" w:type="dxa"/>
              <w:bottom w:w="0" w:type="dxa"/>
              <w:right w:w="100" w:type="dxa"/>
            </w:tcMar>
          </w:tcPr>
          <w:p w14:paraId="6F42556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Crucible wt.</w:t>
            </w:r>
          </w:p>
        </w:tc>
        <w:tc>
          <w:tcPr>
            <w:tcW w:w="1485" w:type="dxa"/>
            <w:tcBorders>
              <w:top w:val="single" w:sz="8" w:space="0" w:color="FFFFFF"/>
              <w:left w:val="nil"/>
              <w:bottom w:val="single" w:sz="8" w:space="0" w:color="FFFFFF"/>
              <w:right w:val="nil"/>
            </w:tcBorders>
            <w:shd w:val="clear" w:color="auto" w:fill="A5A5A5"/>
            <w:tcMar>
              <w:top w:w="0" w:type="dxa"/>
              <w:left w:w="100" w:type="dxa"/>
              <w:bottom w:w="0" w:type="dxa"/>
              <w:right w:w="100" w:type="dxa"/>
            </w:tcMar>
          </w:tcPr>
          <w:p w14:paraId="5ED4303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 (W1)</w:t>
            </w:r>
          </w:p>
        </w:tc>
        <w:tc>
          <w:tcPr>
            <w:tcW w:w="1815" w:type="dxa"/>
            <w:tcBorders>
              <w:top w:val="single" w:sz="8" w:space="0" w:color="FFFFFF"/>
              <w:left w:val="nil"/>
              <w:bottom w:val="single" w:sz="8" w:space="0" w:color="FFFFFF"/>
              <w:right w:val="nil"/>
            </w:tcBorders>
            <w:shd w:val="clear" w:color="auto" w:fill="A5A5A5"/>
            <w:tcMar>
              <w:top w:w="0" w:type="dxa"/>
              <w:left w:w="100" w:type="dxa"/>
              <w:bottom w:w="0" w:type="dxa"/>
              <w:right w:w="100" w:type="dxa"/>
            </w:tcMar>
          </w:tcPr>
          <w:p w14:paraId="0D4A339B"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Crucible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with fibre (W2)</w:t>
            </w:r>
          </w:p>
        </w:tc>
        <w:tc>
          <w:tcPr>
            <w:tcW w:w="1500" w:type="dxa"/>
            <w:tcBorders>
              <w:top w:val="single" w:sz="8" w:space="0" w:color="FFFFFF"/>
              <w:left w:val="nil"/>
              <w:bottom w:val="single" w:sz="8" w:space="0" w:color="FFFFFF"/>
              <w:right w:val="single" w:sz="8" w:space="0" w:color="FFFFFF"/>
            </w:tcBorders>
            <w:shd w:val="clear" w:color="auto" w:fill="A5A5A5"/>
            <w:tcMar>
              <w:top w:w="0" w:type="dxa"/>
              <w:left w:w="100" w:type="dxa"/>
              <w:bottom w:w="0" w:type="dxa"/>
              <w:right w:w="100" w:type="dxa"/>
            </w:tcMar>
          </w:tcPr>
          <w:p w14:paraId="72AA665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Ashed</w:t>
            </w:r>
            <w:proofErr w:type="spellEnd"/>
            <w:r>
              <w:rPr>
                <w:rFonts w:ascii="Times New Roman" w:eastAsia="Times New Roman" w:hAnsi="Times New Roman" w:cs="Times New Roman"/>
                <w:sz w:val="24"/>
                <w:szCs w:val="24"/>
              </w:rPr>
              <w:t xml:space="preserve"> residue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(W3)</w:t>
            </w:r>
          </w:p>
        </w:tc>
      </w:tr>
      <w:tr w:rsidR="00976F4E" w14:paraId="6F00A048" w14:textId="77777777">
        <w:trPr>
          <w:trHeight w:val="510"/>
        </w:trPr>
        <w:tc>
          <w:tcPr>
            <w:tcW w:w="795" w:type="dxa"/>
            <w:tcBorders>
              <w:top w:val="nil"/>
              <w:left w:val="single" w:sz="8" w:space="0" w:color="FFFFFF"/>
              <w:bottom w:val="single" w:sz="8" w:space="0" w:color="FFFFFF"/>
              <w:right w:val="single" w:sz="8" w:space="0" w:color="FFFFFF"/>
            </w:tcBorders>
            <w:shd w:val="clear" w:color="auto" w:fill="A5A5A5"/>
            <w:tcMar>
              <w:top w:w="0" w:type="dxa"/>
              <w:left w:w="100" w:type="dxa"/>
              <w:bottom w:w="0" w:type="dxa"/>
              <w:right w:w="100" w:type="dxa"/>
            </w:tcMar>
          </w:tcPr>
          <w:p w14:paraId="21C3CED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5"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6FE3F44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500"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171E917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19g</w:t>
            </w:r>
          </w:p>
        </w:tc>
        <w:tc>
          <w:tcPr>
            <w:tcW w:w="1485"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0ABF8E6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815"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71C7994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19.37g</w:t>
            </w:r>
          </w:p>
        </w:tc>
        <w:tc>
          <w:tcPr>
            <w:tcW w:w="1500"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1151178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19.03g</w:t>
            </w:r>
          </w:p>
        </w:tc>
      </w:tr>
      <w:tr w:rsidR="00976F4E" w14:paraId="18ED7F92" w14:textId="77777777">
        <w:trPr>
          <w:trHeight w:val="510"/>
        </w:trPr>
        <w:tc>
          <w:tcPr>
            <w:tcW w:w="795" w:type="dxa"/>
            <w:tcBorders>
              <w:top w:val="nil"/>
              <w:left w:val="single" w:sz="8" w:space="0" w:color="FFFFFF"/>
              <w:bottom w:val="single" w:sz="8" w:space="0" w:color="FFFFFF"/>
              <w:right w:val="single" w:sz="8" w:space="0" w:color="FFFFFF"/>
            </w:tcBorders>
            <w:shd w:val="clear" w:color="auto" w:fill="A5A5A5"/>
            <w:tcMar>
              <w:top w:w="0" w:type="dxa"/>
              <w:left w:w="100" w:type="dxa"/>
              <w:bottom w:w="0" w:type="dxa"/>
              <w:right w:w="100" w:type="dxa"/>
            </w:tcMar>
          </w:tcPr>
          <w:p w14:paraId="0611EF3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5"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791374A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500"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7A705E0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22g</w:t>
            </w:r>
          </w:p>
        </w:tc>
        <w:tc>
          <w:tcPr>
            <w:tcW w:w="1485"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43D30CB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815"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129C169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22.48g</w:t>
            </w:r>
          </w:p>
        </w:tc>
        <w:tc>
          <w:tcPr>
            <w:tcW w:w="1500"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091C2CC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22.02g</w:t>
            </w:r>
          </w:p>
        </w:tc>
      </w:tr>
    </w:tbl>
    <w:p w14:paraId="6A43B1E5"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0C7E53"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Crude fibre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cake =   (</w:t>
      </w:r>
      <w:r>
        <w:rPr>
          <w:rFonts w:ascii="Times New Roman" w:eastAsia="Times New Roman" w:hAnsi="Times New Roman" w:cs="Times New Roman"/>
          <w:sz w:val="24"/>
          <w:szCs w:val="24"/>
          <w:u w:val="single"/>
        </w:rPr>
        <w:t xml:space="preserve">19.37 -19.03 )×100    </w:t>
      </w:r>
    </w:p>
    <w:p w14:paraId="745711B6"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4B4F71F8"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6.8%</w:t>
      </w:r>
    </w:p>
    <w:p w14:paraId="41D424DD"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Crude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in </w:t>
      </w:r>
      <w:proofErr w:type="gramStart"/>
      <w:r>
        <w:rPr>
          <w:rFonts w:ascii="Times New Roman" w:eastAsia="Times New Roman" w:hAnsi="Times New Roman" w:cs="Times New Roman"/>
          <w:sz w:val="24"/>
          <w:szCs w:val="24"/>
        </w:rPr>
        <w:t>jelly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22.48- 22.02) ×100</w:t>
      </w:r>
      <w:r>
        <w:rPr>
          <w:rFonts w:ascii="Times New Roman" w:eastAsia="Times New Roman" w:hAnsi="Times New Roman" w:cs="Times New Roman"/>
          <w:sz w:val="24"/>
          <w:szCs w:val="24"/>
        </w:rPr>
        <w:t xml:space="preserve">    </w:t>
      </w:r>
    </w:p>
    <w:p w14:paraId="02971019" w14:textId="77777777" w:rsidR="00976F4E" w:rsidRDefault="00BF0F73">
      <w:pPr>
        <w:shd w:val="clear" w:color="auto" w:fill="FFFFFF"/>
        <w:spacing w:before="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5 </w:t>
      </w:r>
      <w:r>
        <w:rPr>
          <w:rFonts w:ascii="Times New Roman" w:eastAsia="Times New Roman" w:hAnsi="Times New Roman" w:cs="Times New Roman"/>
          <w:sz w:val="24"/>
          <w:szCs w:val="24"/>
        </w:rPr>
        <w:tab/>
      </w:r>
    </w:p>
    <w:p w14:paraId="78515271" w14:textId="77777777" w:rsidR="00976F4E" w:rsidRDefault="00BF0F73">
      <w:pPr>
        <w:shd w:val="clear" w:color="auto" w:fill="FFFFFF"/>
        <w:spacing w:before="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w:t>
      </w:r>
      <w:proofErr w:type="gramStart"/>
      <w:r>
        <w:rPr>
          <w:rFonts w:ascii="Times New Roman" w:eastAsia="Times New Roman" w:hAnsi="Times New Roman" w:cs="Times New Roman"/>
          <w:sz w:val="24"/>
          <w:szCs w:val="24"/>
        </w:rPr>
        <w:t>9.2  %</w:t>
      </w:r>
      <w:proofErr w:type="gramEnd"/>
    </w:p>
    <w:p w14:paraId="62D49E34"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C62A0E"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Fat content: </w:t>
      </w:r>
    </w:p>
    <w:p w14:paraId="7A48038B"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fat content</w:t>
      </w:r>
    </w:p>
    <w:tbl>
      <w:tblPr>
        <w:tblStyle w:val="a4"/>
        <w:tblW w:w="7575" w:type="dxa"/>
        <w:tblBorders>
          <w:top w:val="nil"/>
          <w:left w:val="nil"/>
          <w:bottom w:val="nil"/>
          <w:right w:val="nil"/>
          <w:insideH w:val="nil"/>
          <w:insideV w:val="nil"/>
        </w:tblBorders>
        <w:tblLayout w:type="fixed"/>
        <w:tblLook w:val="0600" w:firstRow="0" w:lastRow="0" w:firstColumn="0" w:lastColumn="0" w:noHBand="1" w:noVBand="1"/>
      </w:tblPr>
      <w:tblGrid>
        <w:gridCol w:w="915"/>
        <w:gridCol w:w="1650"/>
        <w:gridCol w:w="1620"/>
        <w:gridCol w:w="1710"/>
        <w:gridCol w:w="1680"/>
      </w:tblGrid>
      <w:tr w:rsidR="00976F4E" w14:paraId="5337F4F9" w14:textId="77777777">
        <w:trPr>
          <w:trHeight w:val="960"/>
        </w:trPr>
        <w:tc>
          <w:tcPr>
            <w:tcW w:w="915" w:type="dxa"/>
            <w:tcBorders>
              <w:top w:val="single" w:sz="8" w:space="0" w:color="FFFFFF"/>
              <w:left w:val="single" w:sz="8" w:space="0" w:color="FFFFFF"/>
              <w:bottom w:val="single" w:sz="8" w:space="0" w:color="FFFFFF"/>
              <w:right w:val="nil"/>
            </w:tcBorders>
            <w:shd w:val="clear" w:color="auto" w:fill="ED7D31"/>
            <w:tcMar>
              <w:top w:w="0" w:type="dxa"/>
              <w:left w:w="100" w:type="dxa"/>
              <w:bottom w:w="0" w:type="dxa"/>
              <w:right w:w="100" w:type="dxa"/>
            </w:tcMar>
          </w:tcPr>
          <w:p w14:paraId="37BCEEF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roofErr w:type="gramEnd"/>
          </w:p>
        </w:tc>
        <w:tc>
          <w:tcPr>
            <w:tcW w:w="1650" w:type="dxa"/>
            <w:tcBorders>
              <w:top w:val="single" w:sz="8" w:space="0" w:color="FFFFFF"/>
              <w:left w:val="nil"/>
              <w:bottom w:val="single" w:sz="8" w:space="0" w:color="FFFFFF"/>
              <w:right w:val="nil"/>
            </w:tcBorders>
            <w:shd w:val="clear" w:color="auto" w:fill="ED7D31"/>
            <w:tcMar>
              <w:top w:w="0" w:type="dxa"/>
              <w:left w:w="100" w:type="dxa"/>
              <w:bottom w:w="0" w:type="dxa"/>
              <w:right w:w="100" w:type="dxa"/>
            </w:tcMar>
          </w:tcPr>
          <w:p w14:paraId="66297E1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20" w:type="dxa"/>
            <w:tcBorders>
              <w:top w:val="single" w:sz="8" w:space="0" w:color="FFFFFF"/>
              <w:left w:val="nil"/>
              <w:bottom w:val="single" w:sz="8" w:space="0" w:color="FFFFFF"/>
              <w:right w:val="nil"/>
            </w:tcBorders>
            <w:shd w:val="clear" w:color="auto" w:fill="ED7D31"/>
            <w:tcMar>
              <w:top w:w="0" w:type="dxa"/>
              <w:left w:w="100" w:type="dxa"/>
              <w:bottom w:w="0" w:type="dxa"/>
              <w:right w:w="100" w:type="dxa"/>
            </w:tcMar>
          </w:tcPr>
          <w:p w14:paraId="60D6D67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 (W1)</w:t>
            </w:r>
          </w:p>
        </w:tc>
        <w:tc>
          <w:tcPr>
            <w:tcW w:w="1710" w:type="dxa"/>
            <w:tcBorders>
              <w:top w:val="single" w:sz="8" w:space="0" w:color="FFFFFF"/>
              <w:left w:val="nil"/>
              <w:bottom w:val="single" w:sz="8" w:space="0" w:color="FFFFFF"/>
              <w:right w:val="nil"/>
            </w:tcBorders>
            <w:shd w:val="clear" w:color="auto" w:fill="ED7D31"/>
            <w:tcMar>
              <w:top w:w="0" w:type="dxa"/>
              <w:left w:w="100" w:type="dxa"/>
              <w:bottom w:w="0" w:type="dxa"/>
              <w:right w:w="100" w:type="dxa"/>
            </w:tcMar>
          </w:tcPr>
          <w:p w14:paraId="2CEEE0E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wt.</w:t>
            </w:r>
          </w:p>
        </w:tc>
        <w:tc>
          <w:tcPr>
            <w:tcW w:w="1680" w:type="dxa"/>
            <w:tcBorders>
              <w:top w:val="single" w:sz="8" w:space="0" w:color="FFFFFF"/>
              <w:left w:val="nil"/>
              <w:bottom w:val="single" w:sz="8" w:space="0" w:color="FFFFFF"/>
              <w:right w:val="single" w:sz="8" w:space="0" w:color="FFFFFF"/>
            </w:tcBorders>
            <w:shd w:val="clear" w:color="auto" w:fill="ED7D31"/>
            <w:tcMar>
              <w:top w:w="0" w:type="dxa"/>
              <w:left w:w="100" w:type="dxa"/>
              <w:bottom w:w="0" w:type="dxa"/>
              <w:right w:w="100" w:type="dxa"/>
            </w:tcMar>
          </w:tcPr>
          <w:p w14:paraId="6337154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Ether  extract</w:t>
            </w:r>
            <w:proofErr w:type="gramEnd"/>
            <w:r>
              <w:rPr>
                <w:rFonts w:ascii="Times New Roman" w:eastAsia="Times New Roman" w:hAnsi="Times New Roman" w:cs="Times New Roman"/>
                <w:sz w:val="24"/>
                <w:szCs w:val="24"/>
              </w:rPr>
              <w:t xml:space="preserve"> . (W2)</w:t>
            </w:r>
          </w:p>
        </w:tc>
      </w:tr>
      <w:tr w:rsidR="00976F4E" w14:paraId="164D3010" w14:textId="77777777">
        <w:trPr>
          <w:trHeight w:val="495"/>
        </w:trPr>
        <w:tc>
          <w:tcPr>
            <w:tcW w:w="915" w:type="dxa"/>
            <w:tcBorders>
              <w:top w:val="nil"/>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24BDC66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1F7238D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2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7BFC340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71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1564BDC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163g</w:t>
            </w:r>
          </w:p>
        </w:tc>
        <w:tc>
          <w:tcPr>
            <w:tcW w:w="168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54D1F91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0.10g</w:t>
            </w:r>
          </w:p>
        </w:tc>
      </w:tr>
      <w:tr w:rsidR="00976F4E" w14:paraId="63A204D5" w14:textId="77777777">
        <w:trPr>
          <w:trHeight w:val="495"/>
        </w:trPr>
        <w:tc>
          <w:tcPr>
            <w:tcW w:w="915" w:type="dxa"/>
            <w:tcBorders>
              <w:top w:val="nil"/>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2A39875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7C09F0E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2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246C38D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71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66CC94D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147g</w:t>
            </w:r>
          </w:p>
        </w:tc>
        <w:tc>
          <w:tcPr>
            <w:tcW w:w="168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51772A6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1.1g</w:t>
            </w:r>
          </w:p>
        </w:tc>
      </w:tr>
    </w:tbl>
    <w:p w14:paraId="59A05CA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F8DD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Fat % of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0.10 ×100</w:t>
      </w:r>
    </w:p>
    <w:p w14:paraId="07C17821"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242A49C1"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w:t>
      </w:r>
    </w:p>
    <w:p w14:paraId="055C3AB2" w14:textId="77777777" w:rsidR="00976F4E" w:rsidRDefault="00BF0F73">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Fat % of jelly   = </w:t>
      </w:r>
      <w:r>
        <w:rPr>
          <w:rFonts w:ascii="Times New Roman" w:eastAsia="Times New Roman" w:hAnsi="Times New Roman" w:cs="Times New Roman"/>
          <w:sz w:val="24"/>
          <w:szCs w:val="24"/>
          <w:u w:val="single"/>
        </w:rPr>
        <w:t>1.1×100</w:t>
      </w:r>
    </w:p>
    <w:p w14:paraId="3E44806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64FDC82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22%</w:t>
      </w:r>
    </w:p>
    <w:p w14:paraId="76F5565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Protein content:</w:t>
      </w:r>
    </w:p>
    <w:p w14:paraId="3CFF1CD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Protein Content</w:t>
      </w:r>
    </w:p>
    <w:tbl>
      <w:tblPr>
        <w:tblStyle w:val="a5"/>
        <w:tblW w:w="6450" w:type="dxa"/>
        <w:tblBorders>
          <w:top w:val="nil"/>
          <w:left w:val="nil"/>
          <w:bottom w:val="nil"/>
          <w:right w:val="nil"/>
          <w:insideH w:val="nil"/>
          <w:insideV w:val="nil"/>
        </w:tblBorders>
        <w:tblLayout w:type="fixed"/>
        <w:tblLook w:val="0600" w:firstRow="0" w:lastRow="0" w:firstColumn="0" w:lastColumn="0" w:noHBand="1" w:noVBand="1"/>
      </w:tblPr>
      <w:tblGrid>
        <w:gridCol w:w="945"/>
        <w:gridCol w:w="1740"/>
        <w:gridCol w:w="1695"/>
        <w:gridCol w:w="2070"/>
      </w:tblGrid>
      <w:tr w:rsidR="00976F4E" w14:paraId="041D2965" w14:textId="77777777">
        <w:trPr>
          <w:trHeight w:val="570"/>
        </w:trPr>
        <w:tc>
          <w:tcPr>
            <w:tcW w:w="945" w:type="dxa"/>
            <w:tcBorders>
              <w:top w:val="single" w:sz="8" w:space="0" w:color="FFFFFF"/>
              <w:left w:val="single" w:sz="8" w:space="0" w:color="FFFFFF"/>
              <w:bottom w:val="single" w:sz="8" w:space="0" w:color="FFFFFF"/>
              <w:right w:val="nil"/>
            </w:tcBorders>
            <w:shd w:val="clear" w:color="auto" w:fill="70AD47"/>
            <w:tcMar>
              <w:top w:w="0" w:type="dxa"/>
              <w:left w:w="100" w:type="dxa"/>
              <w:bottom w:w="0" w:type="dxa"/>
              <w:right w:w="100" w:type="dxa"/>
            </w:tcMar>
          </w:tcPr>
          <w:p w14:paraId="2201D25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roofErr w:type="gramEnd"/>
          </w:p>
        </w:tc>
        <w:tc>
          <w:tcPr>
            <w:tcW w:w="1740" w:type="dxa"/>
            <w:tcBorders>
              <w:top w:val="single" w:sz="8" w:space="0" w:color="FFFFFF"/>
              <w:left w:val="nil"/>
              <w:bottom w:val="single" w:sz="8" w:space="0" w:color="FFFFFF"/>
              <w:right w:val="nil"/>
            </w:tcBorders>
            <w:shd w:val="clear" w:color="auto" w:fill="70AD47"/>
            <w:tcMar>
              <w:top w:w="0" w:type="dxa"/>
              <w:left w:w="100" w:type="dxa"/>
              <w:bottom w:w="0" w:type="dxa"/>
              <w:right w:w="100" w:type="dxa"/>
            </w:tcMar>
          </w:tcPr>
          <w:p w14:paraId="3AEF784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95" w:type="dxa"/>
            <w:tcBorders>
              <w:top w:val="single" w:sz="8" w:space="0" w:color="FFFFFF"/>
              <w:left w:val="nil"/>
              <w:bottom w:val="single" w:sz="8" w:space="0" w:color="FFFFFF"/>
              <w:right w:val="nil"/>
            </w:tcBorders>
            <w:shd w:val="clear" w:color="auto" w:fill="70AD47"/>
            <w:tcMar>
              <w:top w:w="0" w:type="dxa"/>
              <w:left w:w="100" w:type="dxa"/>
              <w:bottom w:w="0" w:type="dxa"/>
              <w:right w:w="100" w:type="dxa"/>
            </w:tcMar>
          </w:tcPr>
          <w:p w14:paraId="0FE6DEE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2070" w:type="dxa"/>
            <w:tcBorders>
              <w:top w:val="single" w:sz="8" w:space="0" w:color="FFFFFF"/>
              <w:left w:val="nil"/>
              <w:bottom w:val="single" w:sz="8" w:space="0" w:color="FFFFFF"/>
              <w:right w:val="single" w:sz="8" w:space="0" w:color="FFFFFF"/>
            </w:tcBorders>
            <w:shd w:val="clear" w:color="auto" w:fill="70AD47"/>
            <w:tcMar>
              <w:top w:w="0" w:type="dxa"/>
              <w:left w:w="100" w:type="dxa"/>
              <w:bottom w:w="0" w:type="dxa"/>
              <w:right w:w="100" w:type="dxa"/>
            </w:tcMar>
          </w:tcPr>
          <w:p w14:paraId="27019E2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content</w:t>
            </w:r>
          </w:p>
        </w:tc>
      </w:tr>
      <w:tr w:rsidR="00976F4E" w14:paraId="683E92E9" w14:textId="77777777">
        <w:trPr>
          <w:trHeight w:val="540"/>
        </w:trPr>
        <w:tc>
          <w:tcPr>
            <w:tcW w:w="945" w:type="dxa"/>
            <w:tcBorders>
              <w:top w:val="nil"/>
              <w:left w:val="single" w:sz="8" w:space="0" w:color="FFFFFF"/>
              <w:bottom w:val="single" w:sz="8" w:space="0" w:color="FFFFFF"/>
              <w:right w:val="single" w:sz="8" w:space="0" w:color="FFFFFF"/>
            </w:tcBorders>
            <w:shd w:val="clear" w:color="auto" w:fill="70AD47"/>
            <w:tcMar>
              <w:top w:w="0" w:type="dxa"/>
              <w:left w:w="100" w:type="dxa"/>
              <w:bottom w:w="0" w:type="dxa"/>
              <w:right w:w="100" w:type="dxa"/>
            </w:tcMar>
          </w:tcPr>
          <w:p w14:paraId="6DC9B86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0" w:type="dxa"/>
            <w:tcBorders>
              <w:top w:val="nil"/>
              <w:left w:val="nil"/>
              <w:bottom w:val="single" w:sz="8" w:space="0" w:color="FFFFFF"/>
              <w:right w:val="single" w:sz="8" w:space="0" w:color="FFFFFF"/>
            </w:tcBorders>
            <w:shd w:val="clear" w:color="auto" w:fill="C5E0B3"/>
            <w:tcMar>
              <w:top w:w="0" w:type="dxa"/>
              <w:left w:w="100" w:type="dxa"/>
              <w:bottom w:w="0" w:type="dxa"/>
              <w:right w:w="100" w:type="dxa"/>
            </w:tcMar>
          </w:tcPr>
          <w:p w14:paraId="6EB3D71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95" w:type="dxa"/>
            <w:tcBorders>
              <w:top w:val="nil"/>
              <w:left w:val="nil"/>
              <w:bottom w:val="single" w:sz="8" w:space="0" w:color="FFFFFF"/>
              <w:right w:val="single" w:sz="8" w:space="0" w:color="FFFFFF"/>
            </w:tcBorders>
            <w:shd w:val="clear" w:color="auto" w:fill="C5E0B3"/>
            <w:tcMar>
              <w:top w:w="0" w:type="dxa"/>
              <w:left w:w="100" w:type="dxa"/>
              <w:bottom w:w="0" w:type="dxa"/>
              <w:right w:w="100" w:type="dxa"/>
            </w:tcMar>
          </w:tcPr>
          <w:p w14:paraId="044EF2C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2070" w:type="dxa"/>
            <w:tcBorders>
              <w:top w:val="nil"/>
              <w:left w:val="nil"/>
              <w:bottom w:val="single" w:sz="8" w:space="0" w:color="FFFFFF"/>
              <w:right w:val="single" w:sz="8" w:space="0" w:color="FFFFFF"/>
            </w:tcBorders>
            <w:shd w:val="clear" w:color="auto" w:fill="C5E0B3"/>
            <w:tcMar>
              <w:top w:w="0" w:type="dxa"/>
              <w:left w:w="100" w:type="dxa"/>
              <w:bottom w:w="0" w:type="dxa"/>
              <w:right w:w="100" w:type="dxa"/>
            </w:tcMar>
          </w:tcPr>
          <w:p w14:paraId="63C3C3E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1.45g</w:t>
            </w:r>
          </w:p>
        </w:tc>
      </w:tr>
      <w:tr w:rsidR="00976F4E" w14:paraId="26392029" w14:textId="77777777">
        <w:trPr>
          <w:trHeight w:val="600"/>
        </w:trPr>
        <w:tc>
          <w:tcPr>
            <w:tcW w:w="945" w:type="dxa"/>
            <w:tcBorders>
              <w:top w:val="nil"/>
              <w:left w:val="single" w:sz="8" w:space="0" w:color="FFFFFF"/>
              <w:bottom w:val="single" w:sz="8" w:space="0" w:color="FFFFFF"/>
              <w:right w:val="single" w:sz="8" w:space="0" w:color="FFFFFF"/>
            </w:tcBorders>
            <w:shd w:val="clear" w:color="auto" w:fill="70AD47"/>
            <w:tcMar>
              <w:top w:w="0" w:type="dxa"/>
              <w:left w:w="100" w:type="dxa"/>
              <w:bottom w:w="0" w:type="dxa"/>
              <w:right w:w="100" w:type="dxa"/>
            </w:tcMar>
          </w:tcPr>
          <w:p w14:paraId="4396DE5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8" w:space="0" w:color="FFFFFF"/>
              <w:right w:val="single" w:sz="8" w:space="0" w:color="FFFFFF"/>
            </w:tcBorders>
            <w:shd w:val="clear" w:color="auto" w:fill="E2EFD9"/>
            <w:tcMar>
              <w:top w:w="0" w:type="dxa"/>
              <w:left w:w="100" w:type="dxa"/>
              <w:bottom w:w="0" w:type="dxa"/>
              <w:right w:w="100" w:type="dxa"/>
            </w:tcMar>
          </w:tcPr>
          <w:p w14:paraId="0DDDA14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95" w:type="dxa"/>
            <w:tcBorders>
              <w:top w:val="nil"/>
              <w:left w:val="nil"/>
              <w:bottom w:val="single" w:sz="8" w:space="0" w:color="FFFFFF"/>
              <w:right w:val="single" w:sz="8" w:space="0" w:color="FFFFFF"/>
            </w:tcBorders>
            <w:shd w:val="clear" w:color="auto" w:fill="E2EFD9"/>
            <w:tcMar>
              <w:top w:w="0" w:type="dxa"/>
              <w:left w:w="100" w:type="dxa"/>
              <w:bottom w:w="0" w:type="dxa"/>
              <w:right w:w="100" w:type="dxa"/>
            </w:tcMar>
          </w:tcPr>
          <w:p w14:paraId="0A81E90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2070" w:type="dxa"/>
            <w:tcBorders>
              <w:top w:val="nil"/>
              <w:left w:val="nil"/>
              <w:bottom w:val="single" w:sz="8" w:space="0" w:color="FFFFFF"/>
              <w:right w:val="single" w:sz="8" w:space="0" w:color="FFFFFF"/>
            </w:tcBorders>
            <w:shd w:val="clear" w:color="auto" w:fill="E2EFD9"/>
            <w:tcMar>
              <w:top w:w="0" w:type="dxa"/>
              <w:left w:w="100" w:type="dxa"/>
              <w:bottom w:w="0" w:type="dxa"/>
              <w:right w:w="100" w:type="dxa"/>
            </w:tcMar>
          </w:tcPr>
          <w:p w14:paraId="34D68F0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0.003g</w:t>
            </w:r>
          </w:p>
        </w:tc>
      </w:tr>
    </w:tbl>
    <w:p w14:paraId="789395F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ED1319" w14:textId="77777777" w:rsidR="00976F4E" w:rsidRDefault="00976F4E">
      <w:pPr>
        <w:shd w:val="clear" w:color="auto" w:fill="FFFFFF"/>
        <w:spacing w:before="240" w:line="360" w:lineRule="auto"/>
        <w:jc w:val="both"/>
        <w:rPr>
          <w:rFonts w:ascii="Times New Roman" w:eastAsia="Times New Roman" w:hAnsi="Times New Roman" w:cs="Times New Roman"/>
          <w:sz w:val="24"/>
          <w:szCs w:val="24"/>
        </w:rPr>
      </w:pPr>
    </w:p>
    <w:p w14:paraId="3202955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Carbohydrate content:</w:t>
      </w:r>
    </w:p>
    <w:p w14:paraId="28286D6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%carbohydrates = 100 - %moisture - %protein - %fibre - %ash - %fat</w:t>
      </w:r>
    </w:p>
    <w:p w14:paraId="31FA85E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carbohydrate content</w:t>
      </w:r>
    </w:p>
    <w:tbl>
      <w:tblPr>
        <w:tblStyle w:val="a6"/>
        <w:tblW w:w="5385" w:type="dxa"/>
        <w:tblBorders>
          <w:top w:val="nil"/>
          <w:left w:val="nil"/>
          <w:bottom w:val="nil"/>
          <w:right w:val="nil"/>
          <w:insideH w:val="nil"/>
          <w:insideV w:val="nil"/>
        </w:tblBorders>
        <w:tblLayout w:type="fixed"/>
        <w:tblLook w:val="0600" w:firstRow="0" w:lastRow="0" w:firstColumn="0" w:lastColumn="0" w:noHBand="1" w:noVBand="1"/>
      </w:tblPr>
      <w:tblGrid>
        <w:gridCol w:w="945"/>
        <w:gridCol w:w="1710"/>
        <w:gridCol w:w="2730"/>
      </w:tblGrid>
      <w:tr w:rsidR="00976F4E" w14:paraId="1CCED26A" w14:textId="77777777">
        <w:trPr>
          <w:trHeight w:val="585"/>
        </w:trPr>
        <w:tc>
          <w:tcPr>
            <w:tcW w:w="945" w:type="dxa"/>
            <w:tcBorders>
              <w:top w:val="single" w:sz="8" w:space="0" w:color="FFFFFF"/>
              <w:left w:val="single" w:sz="8" w:space="0" w:color="FFFFFF"/>
              <w:bottom w:val="single" w:sz="8" w:space="0" w:color="FFFFFF"/>
              <w:right w:val="nil"/>
            </w:tcBorders>
            <w:shd w:val="clear" w:color="auto" w:fill="ED7D31"/>
            <w:tcMar>
              <w:top w:w="0" w:type="dxa"/>
              <w:left w:w="100" w:type="dxa"/>
              <w:bottom w:w="0" w:type="dxa"/>
              <w:right w:w="100" w:type="dxa"/>
            </w:tcMar>
          </w:tcPr>
          <w:p w14:paraId="72EFB53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SNo</w:t>
            </w:r>
            <w:proofErr w:type="spellEnd"/>
            <w:r>
              <w:rPr>
                <w:rFonts w:ascii="Times New Roman" w:eastAsia="Times New Roman" w:hAnsi="Times New Roman" w:cs="Times New Roman"/>
                <w:sz w:val="24"/>
                <w:szCs w:val="24"/>
              </w:rPr>
              <w:t xml:space="preserve"> .</w:t>
            </w:r>
            <w:proofErr w:type="gramEnd"/>
          </w:p>
        </w:tc>
        <w:tc>
          <w:tcPr>
            <w:tcW w:w="1710" w:type="dxa"/>
            <w:tcBorders>
              <w:top w:val="single" w:sz="8" w:space="0" w:color="FFFFFF"/>
              <w:left w:val="nil"/>
              <w:bottom w:val="single" w:sz="8" w:space="0" w:color="FFFFFF"/>
              <w:right w:val="nil"/>
            </w:tcBorders>
            <w:shd w:val="clear" w:color="auto" w:fill="ED7D31"/>
            <w:tcMar>
              <w:top w:w="0" w:type="dxa"/>
              <w:left w:w="100" w:type="dxa"/>
              <w:bottom w:w="0" w:type="dxa"/>
              <w:right w:w="100" w:type="dxa"/>
            </w:tcMar>
          </w:tcPr>
          <w:p w14:paraId="71074DE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2730" w:type="dxa"/>
            <w:tcBorders>
              <w:top w:val="single" w:sz="8" w:space="0" w:color="FFFFFF"/>
              <w:left w:val="nil"/>
              <w:bottom w:val="single" w:sz="8" w:space="0" w:color="FFFFFF"/>
              <w:right w:val="single" w:sz="8" w:space="0" w:color="FFFFFF"/>
            </w:tcBorders>
            <w:shd w:val="clear" w:color="auto" w:fill="ED7D31"/>
            <w:tcMar>
              <w:top w:w="0" w:type="dxa"/>
              <w:left w:w="100" w:type="dxa"/>
              <w:bottom w:w="0" w:type="dxa"/>
              <w:right w:w="100" w:type="dxa"/>
            </w:tcMar>
          </w:tcPr>
          <w:p w14:paraId="404471C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Carbohydrate  content</w:t>
            </w:r>
          </w:p>
        </w:tc>
      </w:tr>
      <w:tr w:rsidR="00976F4E" w14:paraId="019B50AB" w14:textId="77777777">
        <w:trPr>
          <w:trHeight w:val="555"/>
        </w:trPr>
        <w:tc>
          <w:tcPr>
            <w:tcW w:w="945" w:type="dxa"/>
            <w:tcBorders>
              <w:top w:val="nil"/>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456AF98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33F3CC1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2730" w:type="dxa"/>
            <w:tcBorders>
              <w:top w:val="nil"/>
              <w:left w:val="nil"/>
              <w:bottom w:val="single" w:sz="8" w:space="0" w:color="FFFFFF"/>
              <w:right w:val="single" w:sz="8" w:space="0" w:color="FFFFFF"/>
            </w:tcBorders>
            <w:shd w:val="clear" w:color="auto" w:fill="F7CAAC"/>
            <w:tcMar>
              <w:top w:w="0" w:type="dxa"/>
              <w:left w:w="100" w:type="dxa"/>
              <w:bottom w:w="0" w:type="dxa"/>
              <w:right w:w="100" w:type="dxa"/>
            </w:tcMar>
          </w:tcPr>
          <w:p w14:paraId="2AEA827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56.84 %</w:t>
            </w:r>
          </w:p>
        </w:tc>
      </w:tr>
      <w:tr w:rsidR="00976F4E" w14:paraId="5E6C7411" w14:textId="77777777">
        <w:trPr>
          <w:trHeight w:val="615"/>
        </w:trPr>
        <w:tc>
          <w:tcPr>
            <w:tcW w:w="945" w:type="dxa"/>
            <w:tcBorders>
              <w:top w:val="nil"/>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3E72704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4749806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2730" w:type="dxa"/>
            <w:tcBorders>
              <w:top w:val="nil"/>
              <w:left w:val="nil"/>
              <w:bottom w:val="single" w:sz="8" w:space="0" w:color="FFFFFF"/>
              <w:right w:val="single" w:sz="8" w:space="0" w:color="FFFFFF"/>
            </w:tcBorders>
            <w:shd w:val="clear" w:color="auto" w:fill="FBE4D5"/>
            <w:tcMar>
              <w:top w:w="0" w:type="dxa"/>
              <w:left w:w="100" w:type="dxa"/>
              <w:bottom w:w="0" w:type="dxa"/>
              <w:right w:w="100" w:type="dxa"/>
            </w:tcMar>
          </w:tcPr>
          <w:p w14:paraId="69CFA7FD"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58.94%</w:t>
            </w:r>
          </w:p>
        </w:tc>
      </w:tr>
    </w:tbl>
    <w:p w14:paraId="01ADA43E"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829FDC"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pH:</w:t>
      </w:r>
    </w:p>
    <w:p w14:paraId="173BA3C0"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9: pH</w:t>
      </w:r>
    </w:p>
    <w:tbl>
      <w:tblPr>
        <w:tblStyle w:val="a7"/>
        <w:tblW w:w="4515" w:type="dxa"/>
        <w:tblBorders>
          <w:top w:val="nil"/>
          <w:left w:val="nil"/>
          <w:bottom w:val="nil"/>
          <w:right w:val="nil"/>
          <w:insideH w:val="nil"/>
          <w:insideV w:val="nil"/>
        </w:tblBorders>
        <w:tblLayout w:type="fixed"/>
        <w:tblLook w:val="0600" w:firstRow="0" w:lastRow="0" w:firstColumn="0" w:lastColumn="0" w:noHBand="1" w:noVBand="1"/>
      </w:tblPr>
      <w:tblGrid>
        <w:gridCol w:w="1110"/>
        <w:gridCol w:w="1695"/>
        <w:gridCol w:w="1710"/>
      </w:tblGrid>
      <w:tr w:rsidR="00976F4E" w14:paraId="74DFA6F1" w14:textId="77777777">
        <w:trPr>
          <w:trHeight w:val="465"/>
        </w:trPr>
        <w:tc>
          <w:tcPr>
            <w:tcW w:w="1110" w:type="dxa"/>
            <w:tcBorders>
              <w:top w:val="single" w:sz="8" w:space="0" w:color="FFFFFF"/>
              <w:left w:val="single" w:sz="8" w:space="0" w:color="FFFFFF"/>
              <w:bottom w:val="single" w:sz="8" w:space="0" w:color="FFFFFF"/>
              <w:right w:val="nil"/>
            </w:tcBorders>
            <w:shd w:val="clear" w:color="auto" w:fill="A5A5A5"/>
            <w:tcMar>
              <w:top w:w="0" w:type="dxa"/>
              <w:left w:w="100" w:type="dxa"/>
              <w:bottom w:w="0" w:type="dxa"/>
              <w:right w:w="100" w:type="dxa"/>
            </w:tcMar>
          </w:tcPr>
          <w:p w14:paraId="6605CBA6"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Sno.</w:t>
            </w:r>
          </w:p>
        </w:tc>
        <w:tc>
          <w:tcPr>
            <w:tcW w:w="1695" w:type="dxa"/>
            <w:tcBorders>
              <w:top w:val="single" w:sz="8" w:space="0" w:color="FFFFFF"/>
              <w:left w:val="nil"/>
              <w:bottom w:val="single" w:sz="8" w:space="0" w:color="FFFFFF"/>
              <w:right w:val="nil"/>
            </w:tcBorders>
            <w:shd w:val="clear" w:color="auto" w:fill="A5A5A5"/>
            <w:tcMar>
              <w:top w:w="0" w:type="dxa"/>
              <w:left w:w="100" w:type="dxa"/>
              <w:bottom w:w="0" w:type="dxa"/>
              <w:right w:w="100" w:type="dxa"/>
            </w:tcMar>
          </w:tcPr>
          <w:p w14:paraId="0762836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710" w:type="dxa"/>
            <w:tcBorders>
              <w:top w:val="single" w:sz="8" w:space="0" w:color="FFFFFF"/>
              <w:left w:val="nil"/>
              <w:bottom w:val="single" w:sz="8" w:space="0" w:color="FFFFFF"/>
              <w:right w:val="single" w:sz="8" w:space="0" w:color="FFFFFF"/>
            </w:tcBorders>
            <w:shd w:val="clear" w:color="auto" w:fill="A5A5A5"/>
            <w:tcMar>
              <w:top w:w="0" w:type="dxa"/>
              <w:left w:w="100" w:type="dxa"/>
              <w:bottom w:w="0" w:type="dxa"/>
              <w:right w:w="100" w:type="dxa"/>
            </w:tcMar>
          </w:tcPr>
          <w:p w14:paraId="6958206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r>
      <w:tr w:rsidR="00976F4E" w14:paraId="1F792BEA" w14:textId="77777777">
        <w:trPr>
          <w:trHeight w:val="435"/>
        </w:trPr>
        <w:tc>
          <w:tcPr>
            <w:tcW w:w="1110" w:type="dxa"/>
            <w:tcBorders>
              <w:top w:val="nil"/>
              <w:left w:val="single" w:sz="8" w:space="0" w:color="FFFFFF"/>
              <w:bottom w:val="single" w:sz="8" w:space="0" w:color="FFFFFF"/>
              <w:right w:val="single" w:sz="8" w:space="0" w:color="FFFFFF"/>
            </w:tcBorders>
            <w:shd w:val="clear" w:color="auto" w:fill="A5A5A5"/>
            <w:tcMar>
              <w:top w:w="0" w:type="dxa"/>
              <w:left w:w="100" w:type="dxa"/>
              <w:bottom w:w="0" w:type="dxa"/>
              <w:right w:w="100" w:type="dxa"/>
            </w:tcMar>
          </w:tcPr>
          <w:p w14:paraId="43146D1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5"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01AA5A89"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Cake</w:t>
            </w:r>
          </w:p>
        </w:tc>
        <w:tc>
          <w:tcPr>
            <w:tcW w:w="1710" w:type="dxa"/>
            <w:tcBorders>
              <w:top w:val="nil"/>
              <w:left w:val="nil"/>
              <w:bottom w:val="single" w:sz="8" w:space="0" w:color="FFFFFF"/>
              <w:right w:val="single" w:sz="8" w:space="0" w:color="FFFFFF"/>
            </w:tcBorders>
            <w:shd w:val="clear" w:color="auto" w:fill="DBDBDB"/>
            <w:tcMar>
              <w:top w:w="0" w:type="dxa"/>
              <w:left w:w="100" w:type="dxa"/>
              <w:bottom w:w="0" w:type="dxa"/>
              <w:right w:w="100" w:type="dxa"/>
            </w:tcMar>
          </w:tcPr>
          <w:p w14:paraId="7F5FF64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976F4E" w14:paraId="32C10B70" w14:textId="77777777">
        <w:trPr>
          <w:trHeight w:val="480"/>
        </w:trPr>
        <w:tc>
          <w:tcPr>
            <w:tcW w:w="1110" w:type="dxa"/>
            <w:tcBorders>
              <w:top w:val="nil"/>
              <w:left w:val="single" w:sz="8" w:space="0" w:color="FFFFFF"/>
              <w:bottom w:val="single" w:sz="8" w:space="0" w:color="FFFFFF"/>
              <w:right w:val="single" w:sz="8" w:space="0" w:color="FFFFFF"/>
            </w:tcBorders>
            <w:shd w:val="clear" w:color="auto" w:fill="A5A5A5"/>
            <w:tcMar>
              <w:top w:w="0" w:type="dxa"/>
              <w:left w:w="100" w:type="dxa"/>
              <w:bottom w:w="0" w:type="dxa"/>
              <w:right w:w="100" w:type="dxa"/>
            </w:tcMar>
          </w:tcPr>
          <w:p w14:paraId="06966EBA"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5"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54228A52"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Jelly</w:t>
            </w:r>
          </w:p>
        </w:tc>
        <w:tc>
          <w:tcPr>
            <w:tcW w:w="1710" w:type="dxa"/>
            <w:tcBorders>
              <w:top w:val="nil"/>
              <w:left w:val="nil"/>
              <w:bottom w:val="single" w:sz="8" w:space="0" w:color="FFFFFF"/>
              <w:right w:val="single" w:sz="8" w:space="0" w:color="FFFFFF"/>
            </w:tcBorders>
            <w:shd w:val="clear" w:color="auto" w:fill="EDEDED"/>
            <w:tcMar>
              <w:top w:w="0" w:type="dxa"/>
              <w:left w:w="100" w:type="dxa"/>
              <w:bottom w:w="0" w:type="dxa"/>
              <w:right w:w="100" w:type="dxa"/>
            </w:tcMar>
          </w:tcPr>
          <w:p w14:paraId="4C2140D5"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r>
    </w:tbl>
    <w:p w14:paraId="32E09C48"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D852C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Total Soluble Solids:</w:t>
      </w:r>
    </w:p>
    <w:p w14:paraId="5A41DD44"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41FAE937"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76FD8DAE"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16F408C2"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53C7FF31"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2241DB49"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609858B3"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58D67ABA"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1EEC1687"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2: TSS </w:t>
      </w:r>
    </w:p>
    <w:p w14:paraId="6228ED1E" w14:textId="77777777" w:rsidR="00976F4E" w:rsidRDefault="00BF0F73">
      <w:pPr>
        <w:shd w:val="clear" w:color="auto" w:fill="FFFFFF"/>
        <w:spacing w:before="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14:anchorId="38489AF6" wp14:editId="546D9AE5">
            <wp:extent cx="2463941" cy="30432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2291" t="4135" r="11792" b="43290"/>
                    <a:stretch>
                      <a:fillRect/>
                    </a:stretch>
                  </pic:blipFill>
                  <pic:spPr>
                    <a:xfrm>
                      <a:off x="0" y="0"/>
                      <a:ext cx="2463941" cy="3043238"/>
                    </a:xfrm>
                    <a:prstGeom prst="rect">
                      <a:avLst/>
                    </a:prstGeom>
                    <a:ln/>
                  </pic:spPr>
                </pic:pic>
              </a:graphicData>
            </a:graphic>
          </wp:inline>
        </w:drawing>
      </w:r>
    </w:p>
    <w:p w14:paraId="571D7AF4" w14:textId="77777777" w:rsidR="00976F4E" w:rsidRDefault="00BF0F73">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Microbial Analysis</w:t>
      </w:r>
    </w:p>
    <w:p w14:paraId="2102C16D" w14:textId="77777777" w:rsidR="00976F4E" w:rsidRDefault="00BF0F73">
      <w:pPr>
        <w:numPr>
          <w:ilvl w:val="0"/>
          <w:numId w:val="4"/>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test</w:t>
      </w:r>
    </w:p>
    <w:p w14:paraId="01C343D3"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inhibitory impact was tested using the clear zone of the circular film disc. Measurement of exact zone diameter included the diameter of the film disc; hence, if a clear zone was present, the figures were consistently greater than the diameter of the film disc. If there is no surrounding clear zone, it implies that there is no inhibitory zone, and the diameter was assigned a value of zero. The existence of a distinct inhibitory zone around the disc. The antibacterial activity of jelly cake against bacteria was moderate.</w:t>
      </w:r>
    </w:p>
    <w:p w14:paraId="25762E8E"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024ECC1A"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1821C953"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0A980C53"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378D5471"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0094C50C"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5DE37862" w14:textId="77777777" w:rsidR="007F0A4D" w:rsidRDefault="007F0A4D">
      <w:pPr>
        <w:shd w:val="clear" w:color="auto" w:fill="FFFFFF"/>
        <w:spacing w:before="240" w:line="360" w:lineRule="auto"/>
        <w:jc w:val="both"/>
        <w:rPr>
          <w:rFonts w:ascii="Times New Roman" w:eastAsia="Times New Roman" w:hAnsi="Times New Roman" w:cs="Times New Roman"/>
          <w:sz w:val="24"/>
          <w:szCs w:val="24"/>
        </w:rPr>
      </w:pPr>
    </w:p>
    <w:p w14:paraId="3B0DA53C" w14:textId="072A41CE"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7F0A4D">
        <w:rPr>
          <w:rFonts w:ascii="Times New Roman" w:eastAsia="Times New Roman" w:hAnsi="Times New Roman" w:cs="Times New Roman"/>
          <w:sz w:val="24"/>
          <w:szCs w:val="24"/>
        </w:rPr>
        <w:t>3</w:t>
      </w:r>
      <w:r>
        <w:rPr>
          <w:rFonts w:ascii="Times New Roman" w:eastAsia="Times New Roman" w:hAnsi="Times New Roman" w:cs="Times New Roman"/>
          <w:sz w:val="24"/>
          <w:szCs w:val="24"/>
        </w:rPr>
        <w:t>: inhibition zones of the jelly cake</w:t>
      </w:r>
    </w:p>
    <w:p w14:paraId="1588AF64"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noProof/>
          <w:lang w:val="en-US" w:eastAsia="en-US"/>
        </w:rPr>
        <w:lastRenderedPageBreak/>
        <w:drawing>
          <wp:anchor distT="114300" distB="114300" distL="114300" distR="114300" simplePos="0" relativeHeight="251658240" behindDoc="0" locked="0" layoutInCell="1" hidden="0" allowOverlap="1" wp14:anchorId="0BDC20A1" wp14:editId="16DC8760">
            <wp:simplePos x="0" y="0"/>
            <wp:positionH relativeFrom="column">
              <wp:posOffset>1200150</wp:posOffset>
            </wp:positionH>
            <wp:positionV relativeFrom="paragraph">
              <wp:posOffset>114300</wp:posOffset>
            </wp:positionV>
            <wp:extent cx="2176463" cy="222918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7475" t="23601" r="17482" b="18629"/>
                    <a:stretch>
                      <a:fillRect/>
                    </a:stretch>
                  </pic:blipFill>
                  <pic:spPr>
                    <a:xfrm>
                      <a:off x="0" y="0"/>
                      <a:ext cx="2176463" cy="2229180"/>
                    </a:xfrm>
                    <a:prstGeom prst="rect">
                      <a:avLst/>
                    </a:prstGeom>
                    <a:ln/>
                  </pic:spPr>
                </pic:pic>
              </a:graphicData>
            </a:graphic>
          </wp:anchor>
        </w:drawing>
      </w:r>
    </w:p>
    <w:p w14:paraId="37BD4979" w14:textId="77777777" w:rsidR="00976F4E" w:rsidRDefault="00BF0F73">
      <w:pPr>
        <w:shd w:val="clear" w:color="auto" w:fill="FFFFFF"/>
        <w:spacing w:before="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B87EFF" w14:textId="77777777"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Packaging of product </w:t>
      </w:r>
    </w:p>
    <w:p w14:paraId="07ECE6E4" w14:textId="549E7ACB" w:rsidR="00976F4E" w:rsidRDefault="00BF0F73">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polyethylene packaging and glass jars have distinct advantages for storing millet amla jelly cake. Polyethylene packaging is practical, portable, and inexpensive, whereas glass jars provide better preservation, environmental sustainability, and aesthetic appeal. This innovative and nutritious dessert can be packaged in either polyethylene or glass jars.</w:t>
      </w:r>
    </w:p>
    <w:p w14:paraId="719AA0A4" w14:textId="77777777" w:rsidR="00426F21" w:rsidRDefault="00426F21">
      <w:pPr>
        <w:shd w:val="clear" w:color="auto" w:fill="FFFFFF"/>
        <w:spacing w:before="240" w:line="360" w:lineRule="auto"/>
        <w:jc w:val="both"/>
        <w:rPr>
          <w:rFonts w:ascii="Times New Roman" w:eastAsia="Times New Roman" w:hAnsi="Times New Roman" w:cs="Times New Roman"/>
          <w:b/>
          <w:sz w:val="24"/>
          <w:szCs w:val="24"/>
        </w:rPr>
      </w:pPr>
    </w:p>
    <w:p w14:paraId="5ED9B27C" w14:textId="0C8F541D" w:rsidR="00AC2F9A" w:rsidRPr="00260D7C" w:rsidRDefault="00260D7C">
      <w:pPr>
        <w:shd w:val="clear" w:color="auto" w:fill="FFFFFF"/>
        <w:spacing w:before="240" w:line="360" w:lineRule="auto"/>
        <w:jc w:val="both"/>
        <w:rPr>
          <w:rFonts w:ascii="Times New Roman" w:eastAsia="Times New Roman" w:hAnsi="Times New Roman" w:cs="Times New Roman"/>
          <w:b/>
          <w:sz w:val="24"/>
          <w:szCs w:val="24"/>
        </w:rPr>
      </w:pPr>
      <w:r w:rsidRPr="00260D7C">
        <w:rPr>
          <w:rFonts w:ascii="Times New Roman" w:eastAsia="Times New Roman" w:hAnsi="Times New Roman" w:cs="Times New Roman"/>
          <w:b/>
          <w:sz w:val="24"/>
          <w:szCs w:val="24"/>
        </w:rPr>
        <w:t xml:space="preserve">The proximate composition of the cake </w:t>
      </w:r>
    </w:p>
    <w:p w14:paraId="4780DA53" w14:textId="77777777" w:rsidR="00AC2F9A" w:rsidRDefault="00AC2F9A" w:rsidP="00AC2F9A">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proximate composition of the cake sample and jelly was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for ash content, moisture, fat, crude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protein, carbohydrate content, and energy value. The results are as follows for 5 g of sample</w:t>
      </w:r>
    </w:p>
    <w:p w14:paraId="35446FA1" w14:textId="180ED52B" w:rsidR="00AC2F9A" w:rsidRDefault="00AC2F9A" w:rsidP="00AC2F9A">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10 : </w:t>
      </w:r>
      <w:r w:rsidR="00865AC1" w:rsidRPr="004A67C9">
        <w:rPr>
          <w:rFonts w:ascii="Times New Roman" w:eastAsia="Times New Roman" w:hAnsi="Times New Roman" w:cs="Times New Roman"/>
          <w:b/>
          <w:sz w:val="24"/>
          <w:szCs w:val="24"/>
          <w:highlight w:val="green"/>
        </w:rPr>
        <w:t xml:space="preserve">Proximate </w:t>
      </w:r>
      <w:r w:rsidR="004532AC" w:rsidRPr="004A67C9">
        <w:rPr>
          <w:rFonts w:ascii="Times New Roman" w:eastAsia="Times New Roman" w:hAnsi="Times New Roman" w:cs="Times New Roman"/>
          <w:b/>
          <w:sz w:val="24"/>
          <w:szCs w:val="24"/>
          <w:highlight w:val="green"/>
        </w:rPr>
        <w:t>composition of the cake</w:t>
      </w:r>
      <w:r w:rsidR="004532AC" w:rsidRPr="00260D7C">
        <w:rPr>
          <w:rFonts w:ascii="Times New Roman" w:eastAsia="Times New Roman" w:hAnsi="Times New Roman" w:cs="Times New Roman"/>
          <w:b/>
          <w:sz w:val="24"/>
          <w:szCs w:val="24"/>
        </w:rPr>
        <w:t xml:space="preserve"> </w:t>
      </w:r>
    </w:p>
    <w:tbl>
      <w:tblPr>
        <w:tblStyle w:val="a8"/>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759"/>
        <w:gridCol w:w="1254"/>
        <w:gridCol w:w="1179"/>
        <w:gridCol w:w="939"/>
        <w:gridCol w:w="865"/>
        <w:gridCol w:w="1179"/>
        <w:gridCol w:w="1164"/>
        <w:gridCol w:w="1686"/>
      </w:tblGrid>
      <w:tr w:rsidR="00AC2F9A" w14:paraId="1DECFC43" w14:textId="77777777" w:rsidTr="008376EE">
        <w:trPr>
          <w:trHeight w:val="480"/>
          <w:jc w:val="center"/>
        </w:trPr>
        <w:tc>
          <w:tcPr>
            <w:tcW w:w="760" w:type="dxa"/>
            <w:tcBorders>
              <w:top w:val="single" w:sz="8" w:space="0" w:color="000000"/>
              <w:left w:val="nil"/>
              <w:bottom w:val="single" w:sz="8" w:space="0" w:color="000000"/>
              <w:right w:val="nil"/>
            </w:tcBorders>
            <w:tcMar>
              <w:top w:w="0" w:type="dxa"/>
              <w:left w:w="100" w:type="dxa"/>
              <w:bottom w:w="0" w:type="dxa"/>
              <w:right w:w="100" w:type="dxa"/>
            </w:tcMar>
          </w:tcPr>
          <w:p w14:paraId="1D7B4649"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p>
        </w:tc>
        <w:tc>
          <w:tcPr>
            <w:tcW w:w="1253" w:type="dxa"/>
            <w:tcBorders>
              <w:top w:val="single" w:sz="8" w:space="0" w:color="000000"/>
              <w:left w:val="nil"/>
              <w:bottom w:val="single" w:sz="8" w:space="0" w:color="000000"/>
              <w:right w:val="nil"/>
            </w:tcBorders>
            <w:tcMar>
              <w:top w:w="0" w:type="dxa"/>
              <w:left w:w="100" w:type="dxa"/>
              <w:bottom w:w="0" w:type="dxa"/>
              <w:right w:w="100" w:type="dxa"/>
            </w:tcMar>
          </w:tcPr>
          <w:p w14:paraId="1D442D59"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178" w:type="dxa"/>
            <w:tcBorders>
              <w:top w:val="single" w:sz="8" w:space="0" w:color="000000"/>
              <w:left w:val="nil"/>
              <w:bottom w:val="single" w:sz="8" w:space="0" w:color="000000"/>
              <w:right w:val="nil"/>
            </w:tcBorders>
            <w:tcMar>
              <w:top w:w="0" w:type="dxa"/>
              <w:left w:w="100" w:type="dxa"/>
              <w:bottom w:w="0" w:type="dxa"/>
              <w:right w:w="100" w:type="dxa"/>
            </w:tcMar>
          </w:tcPr>
          <w:p w14:paraId="5B8C661A"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Moisture</w:t>
            </w:r>
          </w:p>
        </w:tc>
        <w:tc>
          <w:tcPr>
            <w:tcW w:w="939" w:type="dxa"/>
            <w:tcBorders>
              <w:top w:val="single" w:sz="8" w:space="0" w:color="000000"/>
              <w:left w:val="nil"/>
              <w:bottom w:val="single" w:sz="8" w:space="0" w:color="000000"/>
              <w:right w:val="nil"/>
            </w:tcBorders>
            <w:tcMar>
              <w:top w:w="0" w:type="dxa"/>
              <w:left w:w="100" w:type="dxa"/>
              <w:bottom w:w="0" w:type="dxa"/>
              <w:right w:w="100" w:type="dxa"/>
            </w:tcMar>
          </w:tcPr>
          <w:p w14:paraId="3435EB2F"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w:t>
            </w:r>
          </w:p>
        </w:tc>
        <w:tc>
          <w:tcPr>
            <w:tcW w:w="865" w:type="dxa"/>
            <w:tcBorders>
              <w:top w:val="single" w:sz="8" w:space="0" w:color="000000"/>
              <w:left w:val="nil"/>
              <w:bottom w:val="single" w:sz="8" w:space="0" w:color="000000"/>
              <w:right w:val="nil"/>
            </w:tcBorders>
            <w:tcMar>
              <w:top w:w="0" w:type="dxa"/>
              <w:left w:w="100" w:type="dxa"/>
              <w:bottom w:w="0" w:type="dxa"/>
              <w:right w:w="100" w:type="dxa"/>
            </w:tcMar>
          </w:tcPr>
          <w:p w14:paraId="138C2798"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Fat</w:t>
            </w:r>
          </w:p>
        </w:tc>
        <w:tc>
          <w:tcPr>
            <w:tcW w:w="1178" w:type="dxa"/>
            <w:tcBorders>
              <w:top w:val="single" w:sz="8" w:space="0" w:color="000000"/>
              <w:left w:val="nil"/>
              <w:bottom w:val="single" w:sz="8" w:space="0" w:color="000000"/>
              <w:right w:val="nil"/>
            </w:tcBorders>
            <w:tcMar>
              <w:top w:w="0" w:type="dxa"/>
              <w:left w:w="100" w:type="dxa"/>
              <w:bottom w:w="0" w:type="dxa"/>
              <w:right w:w="100" w:type="dxa"/>
            </w:tcMar>
          </w:tcPr>
          <w:p w14:paraId="02D7AA92"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Crude fibre</w:t>
            </w:r>
          </w:p>
        </w:tc>
        <w:tc>
          <w:tcPr>
            <w:tcW w:w="1163" w:type="dxa"/>
            <w:tcBorders>
              <w:top w:val="single" w:sz="8" w:space="0" w:color="000000"/>
              <w:left w:val="nil"/>
              <w:bottom w:val="single" w:sz="8" w:space="0" w:color="000000"/>
              <w:right w:val="nil"/>
            </w:tcBorders>
            <w:tcMar>
              <w:top w:w="0" w:type="dxa"/>
              <w:left w:w="100" w:type="dxa"/>
              <w:bottom w:w="0" w:type="dxa"/>
              <w:right w:w="100" w:type="dxa"/>
            </w:tcMar>
          </w:tcPr>
          <w:p w14:paraId="26B746EE"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w:t>
            </w:r>
          </w:p>
        </w:tc>
        <w:tc>
          <w:tcPr>
            <w:tcW w:w="1685" w:type="dxa"/>
            <w:tcBorders>
              <w:top w:val="single" w:sz="8" w:space="0" w:color="000000"/>
              <w:left w:val="nil"/>
              <w:bottom w:val="single" w:sz="8" w:space="0" w:color="000000"/>
              <w:right w:val="nil"/>
            </w:tcBorders>
            <w:tcMar>
              <w:top w:w="0" w:type="dxa"/>
              <w:left w:w="100" w:type="dxa"/>
              <w:bottom w:w="0" w:type="dxa"/>
              <w:right w:w="100" w:type="dxa"/>
            </w:tcMar>
          </w:tcPr>
          <w:p w14:paraId="6028F287"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Carbohydrate</w:t>
            </w:r>
          </w:p>
        </w:tc>
      </w:tr>
      <w:tr w:rsidR="00AC2F9A" w14:paraId="0DA25498" w14:textId="77777777" w:rsidTr="008376EE">
        <w:trPr>
          <w:trHeight w:val="240"/>
          <w:jc w:val="center"/>
        </w:trPr>
        <w:tc>
          <w:tcPr>
            <w:tcW w:w="760" w:type="dxa"/>
            <w:tcBorders>
              <w:top w:val="nil"/>
              <w:left w:val="nil"/>
              <w:bottom w:val="nil"/>
              <w:right w:val="nil"/>
            </w:tcBorders>
            <w:tcMar>
              <w:top w:w="0" w:type="dxa"/>
              <w:left w:w="100" w:type="dxa"/>
              <w:bottom w:w="0" w:type="dxa"/>
              <w:right w:w="100" w:type="dxa"/>
            </w:tcMar>
          </w:tcPr>
          <w:p w14:paraId="27965A4D"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53" w:type="dxa"/>
            <w:tcBorders>
              <w:top w:val="nil"/>
              <w:left w:val="nil"/>
              <w:bottom w:val="nil"/>
              <w:right w:val="nil"/>
            </w:tcBorders>
            <w:tcMar>
              <w:top w:w="0" w:type="dxa"/>
              <w:left w:w="100" w:type="dxa"/>
              <w:bottom w:w="0" w:type="dxa"/>
              <w:right w:w="100" w:type="dxa"/>
            </w:tcMar>
          </w:tcPr>
          <w:p w14:paraId="4E130C25"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178" w:type="dxa"/>
            <w:tcBorders>
              <w:top w:val="nil"/>
              <w:left w:val="nil"/>
              <w:bottom w:val="nil"/>
              <w:right w:val="nil"/>
            </w:tcBorders>
            <w:tcMar>
              <w:top w:w="0" w:type="dxa"/>
              <w:left w:w="100" w:type="dxa"/>
              <w:bottom w:w="0" w:type="dxa"/>
              <w:right w:w="100" w:type="dxa"/>
            </w:tcMar>
          </w:tcPr>
          <w:p w14:paraId="4BC5CEEB"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39" w:type="dxa"/>
            <w:tcBorders>
              <w:top w:val="nil"/>
              <w:left w:val="nil"/>
              <w:bottom w:val="nil"/>
              <w:right w:val="nil"/>
            </w:tcBorders>
            <w:tcMar>
              <w:top w:w="0" w:type="dxa"/>
              <w:left w:w="100" w:type="dxa"/>
              <w:bottom w:w="0" w:type="dxa"/>
              <w:right w:w="100" w:type="dxa"/>
            </w:tcMar>
          </w:tcPr>
          <w:p w14:paraId="7E9FE14A"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865" w:type="dxa"/>
            <w:tcBorders>
              <w:top w:val="nil"/>
              <w:left w:val="nil"/>
              <w:bottom w:val="nil"/>
              <w:right w:val="nil"/>
            </w:tcBorders>
            <w:tcMar>
              <w:top w:w="0" w:type="dxa"/>
              <w:left w:w="100" w:type="dxa"/>
              <w:bottom w:w="0" w:type="dxa"/>
              <w:right w:w="100" w:type="dxa"/>
            </w:tcMar>
          </w:tcPr>
          <w:p w14:paraId="5692BE81"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8" w:type="dxa"/>
            <w:tcBorders>
              <w:top w:val="nil"/>
              <w:left w:val="nil"/>
              <w:bottom w:val="nil"/>
              <w:right w:val="nil"/>
            </w:tcBorders>
            <w:tcMar>
              <w:top w:w="0" w:type="dxa"/>
              <w:left w:w="100" w:type="dxa"/>
              <w:bottom w:w="0" w:type="dxa"/>
              <w:right w:w="100" w:type="dxa"/>
            </w:tcMar>
          </w:tcPr>
          <w:p w14:paraId="56A346FC"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163" w:type="dxa"/>
            <w:tcBorders>
              <w:top w:val="nil"/>
              <w:left w:val="nil"/>
              <w:bottom w:val="nil"/>
              <w:right w:val="nil"/>
            </w:tcBorders>
            <w:tcMar>
              <w:top w:w="0" w:type="dxa"/>
              <w:left w:w="100" w:type="dxa"/>
              <w:bottom w:w="0" w:type="dxa"/>
              <w:right w:w="100" w:type="dxa"/>
            </w:tcMar>
          </w:tcPr>
          <w:p w14:paraId="50E70F82"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685" w:type="dxa"/>
            <w:tcBorders>
              <w:top w:val="nil"/>
              <w:left w:val="nil"/>
              <w:bottom w:val="nil"/>
              <w:right w:val="nil"/>
            </w:tcBorders>
            <w:tcMar>
              <w:top w:w="0" w:type="dxa"/>
              <w:left w:w="100" w:type="dxa"/>
              <w:bottom w:w="0" w:type="dxa"/>
              <w:right w:w="100" w:type="dxa"/>
            </w:tcMar>
          </w:tcPr>
          <w:p w14:paraId="4B4ABF86"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56.84%</w:t>
            </w:r>
          </w:p>
        </w:tc>
      </w:tr>
      <w:tr w:rsidR="00AC2F9A" w14:paraId="6D1E86E7" w14:textId="77777777" w:rsidTr="008376EE">
        <w:trPr>
          <w:trHeight w:val="225"/>
          <w:jc w:val="center"/>
        </w:trPr>
        <w:tc>
          <w:tcPr>
            <w:tcW w:w="760" w:type="dxa"/>
            <w:tcBorders>
              <w:top w:val="nil"/>
              <w:left w:val="nil"/>
              <w:bottom w:val="nil"/>
              <w:right w:val="nil"/>
            </w:tcBorders>
            <w:tcMar>
              <w:top w:w="0" w:type="dxa"/>
              <w:left w:w="100" w:type="dxa"/>
              <w:bottom w:w="0" w:type="dxa"/>
              <w:right w:w="100" w:type="dxa"/>
            </w:tcMar>
          </w:tcPr>
          <w:p w14:paraId="279407B0"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1253" w:type="dxa"/>
            <w:tcBorders>
              <w:top w:val="nil"/>
              <w:left w:val="nil"/>
              <w:bottom w:val="nil"/>
              <w:right w:val="nil"/>
            </w:tcBorders>
            <w:tcMar>
              <w:top w:w="0" w:type="dxa"/>
              <w:left w:w="100" w:type="dxa"/>
              <w:bottom w:w="0" w:type="dxa"/>
              <w:right w:w="100" w:type="dxa"/>
            </w:tcMar>
          </w:tcPr>
          <w:p w14:paraId="74F7B4D0"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xml:space="preserve"> jelly</w:t>
            </w:r>
          </w:p>
        </w:tc>
        <w:tc>
          <w:tcPr>
            <w:tcW w:w="1178" w:type="dxa"/>
            <w:tcBorders>
              <w:top w:val="nil"/>
              <w:left w:val="nil"/>
              <w:bottom w:val="nil"/>
              <w:right w:val="nil"/>
            </w:tcBorders>
            <w:tcMar>
              <w:top w:w="0" w:type="dxa"/>
              <w:left w:w="100" w:type="dxa"/>
              <w:bottom w:w="0" w:type="dxa"/>
              <w:right w:w="100" w:type="dxa"/>
            </w:tcMar>
          </w:tcPr>
          <w:p w14:paraId="5DE09382"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39" w:type="dxa"/>
            <w:tcBorders>
              <w:top w:val="nil"/>
              <w:left w:val="nil"/>
              <w:bottom w:val="nil"/>
              <w:right w:val="nil"/>
            </w:tcBorders>
            <w:tcMar>
              <w:top w:w="0" w:type="dxa"/>
              <w:left w:w="100" w:type="dxa"/>
              <w:bottom w:w="0" w:type="dxa"/>
              <w:right w:w="100" w:type="dxa"/>
            </w:tcMar>
          </w:tcPr>
          <w:p w14:paraId="0B87DD7D"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5" w:type="dxa"/>
            <w:tcBorders>
              <w:top w:val="nil"/>
              <w:left w:val="nil"/>
              <w:bottom w:val="nil"/>
              <w:right w:val="nil"/>
            </w:tcBorders>
            <w:tcMar>
              <w:top w:w="0" w:type="dxa"/>
              <w:left w:w="100" w:type="dxa"/>
              <w:bottom w:w="0" w:type="dxa"/>
              <w:right w:w="100" w:type="dxa"/>
            </w:tcMar>
          </w:tcPr>
          <w:p w14:paraId="7648B02A"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78" w:type="dxa"/>
            <w:tcBorders>
              <w:top w:val="nil"/>
              <w:left w:val="nil"/>
              <w:bottom w:val="nil"/>
              <w:right w:val="nil"/>
            </w:tcBorders>
            <w:tcMar>
              <w:top w:w="0" w:type="dxa"/>
              <w:left w:w="100" w:type="dxa"/>
              <w:bottom w:w="0" w:type="dxa"/>
              <w:right w:w="100" w:type="dxa"/>
            </w:tcMar>
          </w:tcPr>
          <w:p w14:paraId="5D9B3E75"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163" w:type="dxa"/>
            <w:tcBorders>
              <w:top w:val="nil"/>
              <w:left w:val="nil"/>
              <w:bottom w:val="nil"/>
              <w:right w:val="nil"/>
            </w:tcBorders>
            <w:tcMar>
              <w:top w:w="0" w:type="dxa"/>
              <w:left w:w="100" w:type="dxa"/>
              <w:bottom w:w="0" w:type="dxa"/>
              <w:right w:w="100" w:type="dxa"/>
            </w:tcMar>
          </w:tcPr>
          <w:p w14:paraId="27B7EA71"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685" w:type="dxa"/>
            <w:tcBorders>
              <w:top w:val="nil"/>
              <w:left w:val="nil"/>
              <w:bottom w:val="nil"/>
              <w:right w:val="nil"/>
            </w:tcBorders>
            <w:tcMar>
              <w:top w:w="0" w:type="dxa"/>
              <w:left w:w="100" w:type="dxa"/>
              <w:bottom w:w="0" w:type="dxa"/>
              <w:right w:w="100" w:type="dxa"/>
            </w:tcMar>
          </w:tcPr>
          <w:p w14:paraId="55A9C605" w14:textId="77777777" w:rsidR="00AC2F9A" w:rsidRDefault="00AC2F9A" w:rsidP="008376EE">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58.94%</w:t>
            </w:r>
          </w:p>
        </w:tc>
      </w:tr>
    </w:tbl>
    <w:p w14:paraId="472A4AFF" w14:textId="77777777" w:rsidR="00AC2F9A" w:rsidRDefault="00AC2F9A" w:rsidP="00AC2F9A">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healthy and beneficial component for making gluten-free cakes is millet flour. Physically modified flour and starch are becoming more popular because of customer desire for additive-free foods (Emmanuel, K., &amp; </w:t>
      </w:r>
      <w:proofErr w:type="spellStart"/>
      <w:r>
        <w:rPr>
          <w:rFonts w:ascii="Times New Roman" w:eastAsia="Times New Roman" w:hAnsi="Times New Roman" w:cs="Times New Roman"/>
          <w:sz w:val="24"/>
          <w:szCs w:val="24"/>
        </w:rPr>
        <w:t>Sackle</w:t>
      </w:r>
      <w:proofErr w:type="spellEnd"/>
      <w:r>
        <w:rPr>
          <w:rFonts w:ascii="Times New Roman" w:eastAsia="Times New Roman" w:hAnsi="Times New Roman" w:cs="Times New Roman"/>
          <w:sz w:val="24"/>
          <w:szCs w:val="24"/>
        </w:rPr>
        <w:t>, A. 2013). This is because the modification changes the functionality of starch without adding any extraneous materials. Consequently, flour can be used to raise the calibre of bread foods without gluten (</w:t>
      </w:r>
      <w:proofErr w:type="spellStart"/>
      <w:r>
        <w:rPr>
          <w:rFonts w:ascii="Times New Roman" w:eastAsia="Times New Roman" w:hAnsi="Times New Roman" w:cs="Times New Roman"/>
          <w:sz w:val="24"/>
          <w:szCs w:val="24"/>
        </w:rPr>
        <w:t>Fathi</w:t>
      </w:r>
      <w:proofErr w:type="spellEnd"/>
      <w:r>
        <w:rPr>
          <w:rFonts w:ascii="Times New Roman" w:eastAsia="Times New Roman" w:hAnsi="Times New Roman" w:cs="Times New Roman"/>
          <w:sz w:val="24"/>
          <w:szCs w:val="24"/>
        </w:rPr>
        <w:t>, B et al. 2016).</w:t>
      </w:r>
    </w:p>
    <w:p w14:paraId="3C8BF4E0" w14:textId="77777777" w:rsidR="00AC2F9A" w:rsidRDefault="00AC2F9A" w:rsidP="00AC2F9A">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millet and </w:t>
      </w: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xml:space="preserve"> jelly cake is a unique combination of nutrition, flavour, and inventiveness. This cake combines fun and health advantages by combining millet, a healthy whole grain strong in fibre and key minerals, as well as </w:t>
      </w: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a powerful antioxidant and vitamin C source (</w:t>
      </w:r>
      <w:proofErr w:type="spellStart"/>
      <w:r>
        <w:rPr>
          <w:rFonts w:ascii="Times New Roman" w:eastAsia="Times New Roman" w:hAnsi="Times New Roman" w:cs="Times New Roman"/>
          <w:sz w:val="24"/>
          <w:szCs w:val="24"/>
        </w:rPr>
        <w:t>Adanse</w:t>
      </w:r>
      <w:proofErr w:type="spellEnd"/>
      <w:r>
        <w:rPr>
          <w:rFonts w:ascii="Times New Roman" w:eastAsia="Times New Roman" w:hAnsi="Times New Roman" w:cs="Times New Roman"/>
          <w:sz w:val="24"/>
          <w:szCs w:val="24"/>
        </w:rPr>
        <w:t xml:space="preserve"> et al., 2021</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We discovered a cake that not only tastes good but also nourishes the body, thanks to precise formulation and proximate analysis. </w:t>
      </w:r>
    </w:p>
    <w:p w14:paraId="1F3ECE66" w14:textId="34ABECAF" w:rsidR="00AC2F9A" w:rsidRDefault="00AC2F9A">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low moisture level ensures a long shelf life, and its balanced carbohydrate, protein, fat, and mineral content make it a nutritious treat ideal for a wide range of diets. Furthermore, the use of </w:t>
      </w: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xml:space="preserve"> provides the cake a tangy flavour while also improving its nutritional content, making it unique among healthful treats (Chauhan T et al., 2024)</w:t>
      </w:r>
      <w:r w:rsidR="007E06B1">
        <w:rPr>
          <w:rFonts w:ascii="Times New Roman" w:eastAsia="Times New Roman" w:hAnsi="Times New Roman" w:cs="Times New Roman"/>
          <w:sz w:val="24"/>
          <w:szCs w:val="24"/>
        </w:rPr>
        <w:t>.</w:t>
      </w:r>
    </w:p>
    <w:p w14:paraId="26625BD2" w14:textId="77777777" w:rsidR="00976F4E" w:rsidRDefault="00976F4E">
      <w:pPr>
        <w:shd w:val="clear" w:color="auto" w:fill="FFFFFF"/>
        <w:spacing w:before="240" w:line="360" w:lineRule="auto"/>
        <w:jc w:val="both"/>
        <w:rPr>
          <w:rFonts w:ascii="Times New Roman" w:eastAsia="Times New Roman" w:hAnsi="Times New Roman" w:cs="Times New Roman"/>
          <w:sz w:val="24"/>
          <w:szCs w:val="24"/>
        </w:rPr>
      </w:pPr>
    </w:p>
    <w:p w14:paraId="26695A76" w14:textId="77777777" w:rsidR="00976F4E" w:rsidRPr="005A18CF" w:rsidRDefault="00BF0F73">
      <w:pPr>
        <w:shd w:val="clear" w:color="auto" w:fill="FFFFFF"/>
        <w:spacing w:before="240" w:line="360" w:lineRule="auto"/>
        <w:jc w:val="both"/>
        <w:rPr>
          <w:rFonts w:ascii="Times New Roman" w:eastAsia="Times New Roman" w:hAnsi="Times New Roman" w:cs="Times New Roman"/>
          <w:b/>
          <w:sz w:val="24"/>
          <w:szCs w:val="24"/>
        </w:rPr>
      </w:pPr>
      <w:r w:rsidRPr="005A18CF">
        <w:rPr>
          <w:rFonts w:ascii="Times New Roman" w:eastAsia="Times New Roman" w:hAnsi="Times New Roman" w:cs="Times New Roman"/>
          <w:b/>
          <w:sz w:val="24"/>
          <w:szCs w:val="24"/>
        </w:rPr>
        <w:t xml:space="preserve">Conclusion: </w:t>
      </w:r>
    </w:p>
    <w:p w14:paraId="49985DE0" w14:textId="67F428B4" w:rsidR="00BE08B7" w:rsidRPr="00BE08B7" w:rsidRDefault="00330A40" w:rsidP="00BE08B7">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 xml:space="preserve">This study </w:t>
      </w:r>
      <w:r w:rsidR="007B278F">
        <w:rPr>
          <w:rFonts w:ascii="Times New Roman" w:eastAsia="Times New Roman" w:hAnsi="Times New Roman" w:cs="Times New Roman"/>
          <w:sz w:val="24"/>
          <w:szCs w:val="24"/>
          <w:highlight w:val="green"/>
        </w:rPr>
        <w:t xml:space="preserve">concluded that </w:t>
      </w:r>
      <w:r w:rsidR="00411A26">
        <w:rPr>
          <w:rFonts w:ascii="Times New Roman" w:eastAsia="Times New Roman" w:hAnsi="Times New Roman" w:cs="Times New Roman"/>
          <w:sz w:val="24"/>
          <w:szCs w:val="24"/>
          <w:highlight w:val="green"/>
        </w:rPr>
        <w:t>the</w:t>
      </w:r>
      <w:r w:rsidR="00124370" w:rsidRPr="00330A40">
        <w:rPr>
          <w:rFonts w:ascii="Times New Roman" w:eastAsia="Times New Roman" w:hAnsi="Times New Roman" w:cs="Times New Roman"/>
          <w:sz w:val="24"/>
          <w:szCs w:val="24"/>
          <w:highlight w:val="green"/>
        </w:rPr>
        <w:t xml:space="preserve"> cake not only tastes good but also nourishes the body. Its low moisture level ensures a long shelf life, and its balanced carbohydrate, protein, fat, and mineral content make it a nutritious treat ideal for a wide range of diets. </w:t>
      </w:r>
      <w:r w:rsidR="00BE08B7" w:rsidRPr="00330A40">
        <w:rPr>
          <w:rFonts w:ascii="Times New Roman" w:eastAsia="Times New Roman" w:hAnsi="Times New Roman" w:cs="Times New Roman"/>
          <w:sz w:val="24"/>
          <w:szCs w:val="24"/>
          <w:highlight w:val="green"/>
        </w:rPr>
        <w:t xml:space="preserve">The use of </w:t>
      </w:r>
      <w:proofErr w:type="spellStart"/>
      <w:r w:rsidR="00BE08B7" w:rsidRPr="00330A40">
        <w:rPr>
          <w:rFonts w:ascii="Times New Roman" w:eastAsia="Times New Roman" w:hAnsi="Times New Roman" w:cs="Times New Roman"/>
          <w:sz w:val="24"/>
          <w:szCs w:val="24"/>
          <w:highlight w:val="green"/>
        </w:rPr>
        <w:t>amla</w:t>
      </w:r>
      <w:proofErr w:type="spellEnd"/>
      <w:r w:rsidR="000164A5" w:rsidRPr="00330A40">
        <w:rPr>
          <w:rFonts w:ascii="Times New Roman" w:eastAsia="Times New Roman" w:hAnsi="Times New Roman" w:cs="Times New Roman"/>
          <w:sz w:val="24"/>
          <w:szCs w:val="24"/>
          <w:highlight w:val="green"/>
        </w:rPr>
        <w:t xml:space="preserve"> improve</w:t>
      </w:r>
      <w:r w:rsidR="00BE08B7" w:rsidRPr="00330A40">
        <w:rPr>
          <w:rFonts w:ascii="Times New Roman" w:eastAsia="Times New Roman" w:hAnsi="Times New Roman" w:cs="Times New Roman"/>
          <w:sz w:val="24"/>
          <w:szCs w:val="24"/>
          <w:highlight w:val="green"/>
        </w:rPr>
        <w:t xml:space="preserve"> its nutritional content, making it unique among healthful treats</w:t>
      </w:r>
      <w:r w:rsidR="00BF0F73">
        <w:rPr>
          <w:rFonts w:ascii="Times New Roman" w:eastAsia="Times New Roman" w:hAnsi="Times New Roman" w:cs="Times New Roman"/>
          <w:sz w:val="24"/>
          <w:szCs w:val="24"/>
        </w:rPr>
        <w:t xml:space="preserve">. </w:t>
      </w:r>
    </w:p>
    <w:p w14:paraId="6329F4F3" w14:textId="7CA0193A" w:rsidR="00976F4E" w:rsidRDefault="00976F4E" w:rsidP="00124370">
      <w:pPr>
        <w:shd w:val="clear" w:color="auto" w:fill="FFFFFF"/>
        <w:spacing w:before="240" w:line="360" w:lineRule="auto"/>
        <w:jc w:val="both"/>
        <w:rPr>
          <w:rFonts w:ascii="Times New Roman" w:eastAsia="Times New Roman" w:hAnsi="Times New Roman" w:cs="Times New Roman"/>
          <w:sz w:val="24"/>
          <w:szCs w:val="24"/>
        </w:rPr>
      </w:pPr>
    </w:p>
    <w:p w14:paraId="601E078F" w14:textId="77777777" w:rsidR="00976F4E" w:rsidRDefault="00976F4E">
      <w:pPr>
        <w:spacing w:line="360" w:lineRule="auto"/>
        <w:jc w:val="both"/>
        <w:rPr>
          <w:rFonts w:ascii="Times New Roman" w:eastAsia="Times New Roman" w:hAnsi="Times New Roman" w:cs="Times New Roman"/>
          <w:sz w:val="24"/>
          <w:szCs w:val="24"/>
        </w:rPr>
      </w:pPr>
      <w:bookmarkStart w:id="0" w:name="_GoBack"/>
      <w:bookmarkEnd w:id="0"/>
    </w:p>
    <w:p w14:paraId="7B14EDD6" w14:textId="77777777" w:rsidR="00976F4E" w:rsidRDefault="00BF0F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6CF5125E" w14:textId="77777777" w:rsidR="00976F4E" w:rsidRDefault="00BF0F73">
      <w:pPr>
        <w:numPr>
          <w:ilvl w:val="0"/>
          <w:numId w:val="8"/>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Sabuz</w:t>
      </w:r>
      <w:proofErr w:type="spellEnd"/>
      <w:r>
        <w:rPr>
          <w:rFonts w:ascii="Times New Roman" w:eastAsia="Times New Roman" w:hAnsi="Times New Roman" w:cs="Times New Roman"/>
          <w:sz w:val="24"/>
          <w:szCs w:val="24"/>
        </w:rPr>
        <w:t xml:space="preserve">, A. A., Rana, M. R., Ahmed, T., Molla, M. M., Islam, N., Khan, H. </w:t>
      </w:r>
      <w:proofErr w:type="gramStart"/>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 &amp; Shen, Q. (2023). Health-promoting potential of millet: A review. Separations, 10(2), 80.</w:t>
      </w:r>
    </w:p>
    <w:p w14:paraId="10CE8215"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Tripathi, M.K.; Mohapatra, D.; Jadam, R.S.; Pandey, S.; Singh, V.; Kumar, V.; Kumar, A. Nutritional Composition of Millets. In Millets and Millet Technology; Springer: Berlin/Heidelberg, Germany, 2021; pp. 101–119. [</w:t>
      </w:r>
      <w:hyperlink r:id="rId18">
        <w:r w:rsidR="00976F4E">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w:t>
      </w:r>
    </w:p>
    <w:p w14:paraId="5D6122B0"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Abah</w:t>
      </w:r>
      <w:proofErr w:type="spellEnd"/>
      <w:r>
        <w:rPr>
          <w:rFonts w:ascii="Times New Roman" w:eastAsia="Times New Roman" w:hAnsi="Times New Roman" w:cs="Times New Roman"/>
          <w:sz w:val="24"/>
          <w:szCs w:val="24"/>
        </w:rPr>
        <w:t xml:space="preserve">, C.R.; </w:t>
      </w:r>
      <w:proofErr w:type="spellStart"/>
      <w:r>
        <w:rPr>
          <w:rFonts w:ascii="Times New Roman" w:eastAsia="Times New Roman" w:hAnsi="Times New Roman" w:cs="Times New Roman"/>
          <w:sz w:val="24"/>
          <w:szCs w:val="24"/>
        </w:rPr>
        <w:t>Ishiwu</w:t>
      </w:r>
      <w:proofErr w:type="spellEnd"/>
      <w:r>
        <w:rPr>
          <w:rFonts w:ascii="Times New Roman" w:eastAsia="Times New Roman" w:hAnsi="Times New Roman" w:cs="Times New Roman"/>
          <w:sz w:val="24"/>
          <w:szCs w:val="24"/>
        </w:rPr>
        <w:t xml:space="preserve">, C.N.; </w:t>
      </w:r>
      <w:proofErr w:type="spellStart"/>
      <w:r>
        <w:rPr>
          <w:rFonts w:ascii="Times New Roman" w:eastAsia="Times New Roman" w:hAnsi="Times New Roman" w:cs="Times New Roman"/>
          <w:sz w:val="24"/>
          <w:szCs w:val="24"/>
        </w:rPr>
        <w:t>Obiegbuna</w:t>
      </w:r>
      <w:proofErr w:type="spellEnd"/>
      <w:r>
        <w:rPr>
          <w:rFonts w:ascii="Times New Roman" w:eastAsia="Times New Roman" w:hAnsi="Times New Roman" w:cs="Times New Roman"/>
          <w:sz w:val="24"/>
          <w:szCs w:val="24"/>
        </w:rPr>
        <w:t xml:space="preserve">, J.E.; </w:t>
      </w:r>
      <w:proofErr w:type="spellStart"/>
      <w:r>
        <w:rPr>
          <w:rFonts w:ascii="Times New Roman" w:eastAsia="Times New Roman" w:hAnsi="Times New Roman" w:cs="Times New Roman"/>
          <w:sz w:val="24"/>
          <w:szCs w:val="24"/>
        </w:rPr>
        <w:t>Oladejo</w:t>
      </w:r>
      <w:proofErr w:type="spellEnd"/>
      <w:r>
        <w:rPr>
          <w:rFonts w:ascii="Times New Roman" w:eastAsia="Times New Roman" w:hAnsi="Times New Roman" w:cs="Times New Roman"/>
          <w:sz w:val="24"/>
          <w:szCs w:val="24"/>
        </w:rPr>
        <w:t>, A.A. Nutritional Composition, Functional Properties, and Food Applications of Millet Grains. Asian Food Sci. J. 2020, 14, 9–19. [</w:t>
      </w:r>
      <w:hyperlink r:id="rId19">
        <w:r w:rsidR="00976F4E">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"https://doi.org/10.9734/afsj/2020/v14i230124"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727CA994"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 A.S.; Zhang, Q.; Chen, J.; Shen, Q. Millet Grains: Nutritional Quality, Processing, and Potential Health Benefits. </w:t>
      </w:r>
      <w:proofErr w:type="spellStart"/>
      <w:r>
        <w:rPr>
          <w:rFonts w:ascii="Times New Roman" w:eastAsia="Times New Roman" w:hAnsi="Times New Roman" w:cs="Times New Roman"/>
          <w:sz w:val="24"/>
          <w:szCs w:val="24"/>
        </w:rPr>
        <w:t>Compr</w:t>
      </w:r>
      <w:proofErr w:type="spellEnd"/>
      <w:r>
        <w:rPr>
          <w:rFonts w:ascii="Times New Roman" w:eastAsia="Times New Roman" w:hAnsi="Times New Roman" w:cs="Times New Roman"/>
          <w:sz w:val="24"/>
          <w:szCs w:val="24"/>
        </w:rPr>
        <w:t>. Rev. Food Sci. Food Saf. 2013, 12, 281–295. [</w:t>
      </w:r>
      <w:hyperlink r:id="rId20">
        <w:r w:rsidR="00976F4E">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"https://doi.org/10.1111/1541-4337.12012"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33828555"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Amadou, I.; </w:t>
      </w:r>
      <w:proofErr w:type="spellStart"/>
      <w:r>
        <w:rPr>
          <w:rFonts w:ascii="Times New Roman" w:eastAsia="Times New Roman" w:hAnsi="Times New Roman" w:cs="Times New Roman"/>
          <w:sz w:val="24"/>
          <w:szCs w:val="24"/>
        </w:rPr>
        <w:t>Gounga</w:t>
      </w:r>
      <w:proofErr w:type="spellEnd"/>
      <w:r>
        <w:rPr>
          <w:rFonts w:ascii="Times New Roman" w:eastAsia="Times New Roman" w:hAnsi="Times New Roman" w:cs="Times New Roman"/>
          <w:sz w:val="24"/>
          <w:szCs w:val="24"/>
        </w:rPr>
        <w:t>, M.E.; Le, G.-W. Millets: Nutritional Composition, Some Health Benefits, and Processing—A Review. Emir. J. Food Agric. 2013, 25, 501–508. [</w:t>
      </w:r>
      <w:hyperlink r:id="rId21">
        <w:r w:rsidR="00976F4E">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"https://doi.org/10.9755/ejfa.v25i7.12045"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3141DD61"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Baliga MS and Dsouza JJ. “</w:t>
      </w: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Emblica</w:t>
      </w:r>
      <w:proofErr w:type="spellEnd"/>
      <w:r>
        <w:rPr>
          <w:rFonts w:ascii="Times New Roman" w:eastAsia="Times New Roman" w:hAnsi="Times New Roman" w:cs="Times New Roman"/>
          <w:sz w:val="24"/>
          <w:szCs w:val="24"/>
        </w:rPr>
        <w:t xml:space="preserve"> officinalis </w:t>
      </w:r>
      <w:proofErr w:type="spellStart"/>
      <w:r>
        <w:rPr>
          <w:rFonts w:ascii="Times New Roman" w:eastAsia="Times New Roman" w:hAnsi="Times New Roman" w:cs="Times New Roman"/>
          <w:sz w:val="24"/>
          <w:szCs w:val="24"/>
        </w:rPr>
        <w:t>Gaertn</w:t>
      </w:r>
      <w:proofErr w:type="spellEnd"/>
      <w:r>
        <w:rPr>
          <w:rFonts w:ascii="Times New Roman" w:eastAsia="Times New Roman" w:hAnsi="Times New Roman" w:cs="Times New Roman"/>
          <w:sz w:val="24"/>
          <w:szCs w:val="24"/>
        </w:rPr>
        <w:t>), a wonder berry in the treatment and prevention of cancer." European Journal of Cancer Prevention 20.3 (2011): 225-239.</w:t>
      </w:r>
    </w:p>
    <w:p w14:paraId="46D6A15D"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&amp; Singh, S. (2020). The benefit of Indian jaggery over sugar on human health. Dietary sugar, salt, and fat in human health (pp. 347-359). Academic Press.</w:t>
      </w:r>
    </w:p>
    <w:p w14:paraId="32F93F6F"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X., Wu, Z., Wang, J., Bian, N., Zhao, P., Sun, N., &amp; Chen, J. (2024). Insight into elevated quality of whole millet (Pennisetum glaucum) cake through the process of extrusion. Journal of Cereal Science, 118, 103931.</w:t>
      </w:r>
    </w:p>
    <w:p w14:paraId="1F034637"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Gupta P, Singh N, Nanda A. Nutritional Profiling and Characterization of developed cake premix using finger millets (Eleusine coracana) and sweet potato (Ipomea batatas L.). European Journal of Nutrition &amp; Food Safety. 2024;16(1): 1-11.</w:t>
      </w:r>
    </w:p>
    <w:p w14:paraId="5BA96AFE"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Kaviya TS. Development of nutraceutical jelly gummies from </w:t>
      </w:r>
      <w:proofErr w:type="spellStart"/>
      <w:r>
        <w:rPr>
          <w:rFonts w:ascii="Times New Roman" w:eastAsia="Times New Roman" w:hAnsi="Times New Roman" w:cs="Times New Roman"/>
          <w:sz w:val="24"/>
          <w:szCs w:val="24"/>
        </w:rPr>
        <w:t>amla</w:t>
      </w:r>
      <w:proofErr w:type="spellEnd"/>
      <w:r>
        <w:rPr>
          <w:rFonts w:ascii="Times New Roman" w:eastAsia="Times New Roman" w:hAnsi="Times New Roman" w:cs="Times New Roman"/>
          <w:sz w:val="24"/>
          <w:szCs w:val="24"/>
        </w:rPr>
        <w:t xml:space="preserve"> (Phyllanthus </w:t>
      </w:r>
      <w:proofErr w:type="spellStart"/>
      <w:r>
        <w:rPr>
          <w:rFonts w:ascii="Times New Roman" w:eastAsia="Times New Roman" w:hAnsi="Times New Roman" w:cs="Times New Roman"/>
          <w:sz w:val="24"/>
          <w:szCs w:val="24"/>
        </w:rPr>
        <w:t>emblica</w:t>
      </w:r>
      <w:proofErr w:type="spellEnd"/>
      <w:r>
        <w:rPr>
          <w:rFonts w:ascii="Times New Roman" w:eastAsia="Times New Roman" w:hAnsi="Times New Roman" w:cs="Times New Roman"/>
          <w:sz w:val="24"/>
          <w:szCs w:val="24"/>
        </w:rPr>
        <w:t xml:space="preserve"> L.) using natural sugar sources; 2023.</w:t>
      </w:r>
    </w:p>
    <w:p w14:paraId="0D7A8943"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Onyeike</w:t>
      </w:r>
      <w:proofErr w:type="spellEnd"/>
      <w:r>
        <w:rPr>
          <w:rFonts w:ascii="Times New Roman" w:eastAsia="Times New Roman" w:hAnsi="Times New Roman" w:cs="Times New Roman"/>
          <w:sz w:val="24"/>
          <w:szCs w:val="24"/>
        </w:rPr>
        <w:t xml:space="preserve">, E. N., </w:t>
      </w:r>
      <w:proofErr w:type="spellStart"/>
      <w:r>
        <w:rPr>
          <w:rFonts w:ascii="Times New Roman" w:eastAsia="Times New Roman" w:hAnsi="Times New Roman" w:cs="Times New Roman"/>
          <w:sz w:val="24"/>
          <w:szCs w:val="24"/>
        </w:rPr>
        <w:t>Anyalogbu</w:t>
      </w:r>
      <w:proofErr w:type="spellEnd"/>
      <w:r>
        <w:rPr>
          <w:rFonts w:ascii="Times New Roman" w:eastAsia="Times New Roman" w:hAnsi="Times New Roman" w:cs="Times New Roman"/>
          <w:sz w:val="24"/>
          <w:szCs w:val="24"/>
        </w:rPr>
        <w:t xml:space="preserve">, E. A., &amp; </w:t>
      </w:r>
      <w:proofErr w:type="spellStart"/>
      <w:r>
        <w:rPr>
          <w:rFonts w:ascii="Times New Roman" w:eastAsia="Times New Roman" w:hAnsi="Times New Roman" w:cs="Times New Roman"/>
          <w:sz w:val="24"/>
          <w:szCs w:val="24"/>
        </w:rPr>
        <w:t>Monanu</w:t>
      </w:r>
      <w:proofErr w:type="spellEnd"/>
      <w:r>
        <w:rPr>
          <w:rFonts w:ascii="Times New Roman" w:eastAsia="Times New Roman" w:hAnsi="Times New Roman" w:cs="Times New Roman"/>
          <w:sz w:val="24"/>
          <w:szCs w:val="24"/>
        </w:rPr>
        <w:t>, M. O. (2015). Effect of heat processing on the proximate composition and energy values of African walnut (</w:t>
      </w:r>
      <w:proofErr w:type="spellStart"/>
      <w:r>
        <w:rPr>
          <w:rFonts w:ascii="Times New Roman" w:eastAsia="Times New Roman" w:hAnsi="Times New Roman" w:cs="Times New Roman"/>
          <w:sz w:val="24"/>
          <w:szCs w:val="24"/>
        </w:rPr>
        <w:t>Plukenetia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conophora</w:t>
      </w:r>
      <w:proofErr w:type="spellEnd"/>
      <w:r>
        <w:rPr>
          <w:rFonts w:ascii="Times New Roman" w:eastAsia="Times New Roman" w:hAnsi="Times New Roman" w:cs="Times New Roman"/>
          <w:sz w:val="24"/>
          <w:szCs w:val="24"/>
        </w:rPr>
        <w:t>) and African Elemi (</w:t>
      </w:r>
      <w:proofErr w:type="spellStart"/>
      <w:r>
        <w:rPr>
          <w:rFonts w:ascii="Times New Roman" w:eastAsia="Times New Roman" w:hAnsi="Times New Roman" w:cs="Times New Roman"/>
          <w:sz w:val="24"/>
          <w:szCs w:val="24"/>
        </w:rPr>
        <w:t>Canarium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schweinfurthii</w:t>
      </w:r>
      <w:proofErr w:type="spellEnd"/>
      <w:r>
        <w:rPr>
          <w:rFonts w:ascii="Times New Roman" w:eastAsia="Times New Roman" w:hAnsi="Times New Roman" w:cs="Times New Roman"/>
          <w:sz w:val="24"/>
          <w:szCs w:val="24"/>
        </w:rPr>
        <w:t>) consumed as masticatories in Nigeria. International Journal of Scientific and Technology Research, 4(8), 295-301.</w:t>
      </w:r>
    </w:p>
    <w:p w14:paraId="30F093E7"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Sozer, N., Bruins, R., Dietzel, C., Franke, W., &amp; </w:t>
      </w:r>
      <w:proofErr w:type="spellStart"/>
      <w:r>
        <w:rPr>
          <w:rFonts w:ascii="Times New Roman" w:eastAsia="Times New Roman" w:hAnsi="Times New Roman" w:cs="Times New Roman"/>
          <w:sz w:val="24"/>
          <w:szCs w:val="24"/>
        </w:rPr>
        <w:t>Kokini</w:t>
      </w:r>
      <w:proofErr w:type="spellEnd"/>
      <w:r>
        <w:rPr>
          <w:rFonts w:ascii="Times New Roman" w:eastAsia="Times New Roman" w:hAnsi="Times New Roman" w:cs="Times New Roman"/>
          <w:sz w:val="24"/>
          <w:szCs w:val="24"/>
        </w:rPr>
        <w:t>, J. L. (2011). Improvement of shelf life stability of cakes. Journal of Food Quality, 34(3), 151-162.</w:t>
      </w:r>
    </w:p>
    <w:p w14:paraId="1866C01D"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Adanse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Bıgson</w:t>
      </w:r>
      <w:proofErr w:type="spellEnd"/>
      <w:r>
        <w:rPr>
          <w:rFonts w:ascii="Times New Roman" w:eastAsia="Times New Roman" w:hAnsi="Times New Roman" w:cs="Times New Roman"/>
          <w:sz w:val="24"/>
          <w:szCs w:val="24"/>
        </w:rPr>
        <w:t>, K., Maureen, N. A., &amp; Dorothy, A. (2021). Quality characteristics and sensory evaluation of cakes produced from composite blends of wheat (</w:t>
      </w:r>
      <w:proofErr w:type="spellStart"/>
      <w:r>
        <w:rPr>
          <w:rFonts w:ascii="Times New Roman" w:eastAsia="Times New Roman" w:hAnsi="Times New Roman" w:cs="Times New Roman"/>
          <w:sz w:val="24"/>
          <w:szCs w:val="24"/>
        </w:rPr>
        <w:t>Titricum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aestivum</w:t>
      </w:r>
      <w:proofErr w:type="spellEnd"/>
      <w:r>
        <w:rPr>
          <w:rFonts w:ascii="Times New Roman" w:eastAsia="Times New Roman" w:hAnsi="Times New Roman" w:cs="Times New Roman"/>
          <w:sz w:val="24"/>
          <w:szCs w:val="24"/>
        </w:rPr>
        <w:t xml:space="preserve"> L.) and finger millet (Pennisetum glaucum) flour. Eurasian Journal of Food Science and Technology, 5(2), 190-204.</w:t>
      </w:r>
    </w:p>
    <w:p w14:paraId="38E4DF0B"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Emmanuel, K., &amp; </w:t>
      </w:r>
      <w:proofErr w:type="spellStart"/>
      <w:r>
        <w:rPr>
          <w:rFonts w:ascii="Times New Roman" w:eastAsia="Times New Roman" w:hAnsi="Times New Roman" w:cs="Times New Roman"/>
          <w:sz w:val="24"/>
          <w:szCs w:val="24"/>
        </w:rPr>
        <w:t>Sackle</w:t>
      </w:r>
      <w:proofErr w:type="spellEnd"/>
      <w:r>
        <w:rPr>
          <w:rFonts w:ascii="Times New Roman" w:eastAsia="Times New Roman" w:hAnsi="Times New Roman" w:cs="Times New Roman"/>
          <w:sz w:val="24"/>
          <w:szCs w:val="24"/>
        </w:rPr>
        <w:t>, A. (2013). Nutritional and sensory analysis of millet-based sponge cake. International Journal of Nutrition and Food Science, 2(6), 287-293.</w:t>
      </w:r>
    </w:p>
    <w:p w14:paraId="3F4D7FEA"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Fathi, B., </w:t>
      </w:r>
      <w:proofErr w:type="spellStart"/>
      <w:r>
        <w:rPr>
          <w:rFonts w:ascii="Times New Roman" w:eastAsia="Times New Roman" w:hAnsi="Times New Roman" w:cs="Times New Roman"/>
          <w:sz w:val="24"/>
          <w:szCs w:val="24"/>
        </w:rPr>
        <w:t>Aalami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Kashaninejad</w:t>
      </w:r>
      <w:proofErr w:type="spellEnd"/>
      <w:r>
        <w:rPr>
          <w:rFonts w:ascii="Times New Roman" w:eastAsia="Times New Roman" w:hAnsi="Times New Roman" w:cs="Times New Roman"/>
          <w:sz w:val="24"/>
          <w:szCs w:val="24"/>
        </w:rPr>
        <w:t xml:space="preserve">, M., &amp; Sadeghi </w:t>
      </w:r>
      <w:proofErr w:type="spellStart"/>
      <w:r>
        <w:rPr>
          <w:rFonts w:ascii="Times New Roman" w:eastAsia="Times New Roman" w:hAnsi="Times New Roman" w:cs="Times New Roman"/>
          <w:sz w:val="24"/>
          <w:szCs w:val="24"/>
        </w:rPr>
        <w:t>Mahoonak</w:t>
      </w:r>
      <w:proofErr w:type="spellEnd"/>
      <w:r>
        <w:rPr>
          <w:rFonts w:ascii="Times New Roman" w:eastAsia="Times New Roman" w:hAnsi="Times New Roman" w:cs="Times New Roman"/>
          <w:sz w:val="24"/>
          <w:szCs w:val="24"/>
        </w:rPr>
        <w:t xml:space="preserve">, A. (2016). Utilization of heat‐moisture treated </w:t>
      </w:r>
      <w:proofErr w:type="spellStart"/>
      <w:r>
        <w:rPr>
          <w:rFonts w:ascii="Times New Roman" w:eastAsia="Times New Roman" w:hAnsi="Times New Roman" w:cs="Times New Roman"/>
          <w:sz w:val="24"/>
          <w:szCs w:val="24"/>
        </w:rPr>
        <w:t>proso</w:t>
      </w:r>
      <w:proofErr w:type="spellEnd"/>
      <w:r>
        <w:rPr>
          <w:rFonts w:ascii="Times New Roman" w:eastAsia="Times New Roman" w:hAnsi="Times New Roman" w:cs="Times New Roman"/>
          <w:sz w:val="24"/>
          <w:szCs w:val="24"/>
        </w:rPr>
        <w:t xml:space="preserve"> millet flour in production of gluten‐free pound cake. Journal of Food quality, 39(6), 611-619.</w:t>
      </w:r>
    </w:p>
    <w:p w14:paraId="1B310276" w14:textId="77777777" w:rsidR="00976F4E" w:rsidRDefault="00BF0F73">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w:t>
      </w:r>
      <w:proofErr w:type="spellStart"/>
      <w:r>
        <w:rPr>
          <w:rFonts w:ascii="Times New Roman" w:eastAsia="Times New Roman" w:hAnsi="Times New Roman" w:cs="Times New Roman"/>
          <w:sz w:val="24"/>
          <w:szCs w:val="24"/>
        </w:rPr>
        <w:t>Trishali</w:t>
      </w:r>
      <w:proofErr w:type="spellEnd"/>
      <w:r>
        <w:rPr>
          <w:rFonts w:ascii="Times New Roman" w:eastAsia="Times New Roman" w:hAnsi="Times New Roman" w:cs="Times New Roman"/>
          <w:sz w:val="24"/>
          <w:szCs w:val="24"/>
        </w:rPr>
        <w:t xml:space="preserve"> &amp; Singh, Neetu &amp; Sagar, Prashant &amp; Nanda, Alka. (2024). Development of Jelly Cake and Its Sensory Evaluation by Using Millet and Amla. Asian Food Science Journal. 23. 44-56. 10.9734/</w:t>
      </w:r>
      <w:proofErr w:type="spellStart"/>
      <w:r>
        <w:rPr>
          <w:rFonts w:ascii="Times New Roman" w:eastAsia="Times New Roman" w:hAnsi="Times New Roman" w:cs="Times New Roman"/>
          <w:sz w:val="24"/>
          <w:szCs w:val="24"/>
        </w:rPr>
        <w:t>afsj</w:t>
      </w:r>
      <w:proofErr w:type="spellEnd"/>
      <w:r>
        <w:rPr>
          <w:rFonts w:ascii="Times New Roman" w:eastAsia="Times New Roman" w:hAnsi="Times New Roman" w:cs="Times New Roman"/>
          <w:sz w:val="24"/>
          <w:szCs w:val="24"/>
        </w:rPr>
        <w:t xml:space="preserve">/2024/v23i9743. </w:t>
      </w:r>
    </w:p>
    <w:p w14:paraId="42382329" w14:textId="77777777" w:rsidR="00976F4E" w:rsidRDefault="00976F4E">
      <w:pPr>
        <w:spacing w:line="360" w:lineRule="auto"/>
        <w:jc w:val="both"/>
        <w:rPr>
          <w:rFonts w:ascii="Times New Roman" w:eastAsia="Times New Roman" w:hAnsi="Times New Roman" w:cs="Times New Roman"/>
          <w:sz w:val="24"/>
          <w:szCs w:val="24"/>
        </w:rPr>
      </w:pPr>
    </w:p>
    <w:sectPr w:rsidR="00976F4E">
      <w:headerReference w:type="even" r:id="rId22"/>
      <w:headerReference w:type="default" r:id="rId23"/>
      <w:footerReference w:type="even" r:id="rId24"/>
      <w:footerReference w:type="default" r:id="rId25"/>
      <w:headerReference w:type="first" r:id="rId26"/>
      <w:footerReference w:type="firs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B31AB" w14:textId="77777777" w:rsidR="00C73685" w:rsidRDefault="00C73685" w:rsidP="00B76AD5">
      <w:pPr>
        <w:spacing w:line="240" w:lineRule="auto"/>
      </w:pPr>
      <w:r>
        <w:separator/>
      </w:r>
    </w:p>
  </w:endnote>
  <w:endnote w:type="continuationSeparator" w:id="0">
    <w:p w14:paraId="015C9769" w14:textId="77777777" w:rsidR="00C73685" w:rsidRDefault="00C73685" w:rsidP="00B76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62CB" w14:textId="77777777" w:rsidR="00B76AD5" w:rsidRDefault="00B76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C4F29" w14:textId="77777777" w:rsidR="00B76AD5" w:rsidRDefault="00B76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584C3" w14:textId="77777777" w:rsidR="00B76AD5" w:rsidRDefault="00B76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AFEF3" w14:textId="77777777" w:rsidR="00C73685" w:rsidRDefault="00C73685" w:rsidP="00B76AD5">
      <w:pPr>
        <w:spacing w:line="240" w:lineRule="auto"/>
      </w:pPr>
      <w:r>
        <w:separator/>
      </w:r>
    </w:p>
  </w:footnote>
  <w:footnote w:type="continuationSeparator" w:id="0">
    <w:p w14:paraId="3FCD7BF0" w14:textId="77777777" w:rsidR="00C73685" w:rsidRDefault="00C73685" w:rsidP="00B76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236F" w14:textId="1115FE4A" w:rsidR="00B76AD5" w:rsidRDefault="00B76AD5">
    <w:pPr>
      <w:pStyle w:val="Header"/>
    </w:pPr>
    <w:r>
      <w:rPr>
        <w:noProof/>
      </w:rPr>
      <w:pict w14:anchorId="6B4D5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2266"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D66AA" w14:textId="1EBF6545" w:rsidR="00B76AD5" w:rsidRDefault="00B76AD5">
    <w:pPr>
      <w:pStyle w:val="Header"/>
    </w:pPr>
    <w:r>
      <w:rPr>
        <w:noProof/>
      </w:rPr>
      <w:pict w14:anchorId="5C680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2267"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C99C" w14:textId="23BA24FC" w:rsidR="00B76AD5" w:rsidRDefault="00B76AD5">
    <w:pPr>
      <w:pStyle w:val="Header"/>
    </w:pPr>
    <w:r>
      <w:rPr>
        <w:noProof/>
      </w:rPr>
      <w:pict w14:anchorId="67362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2265"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31EE"/>
    <w:multiLevelType w:val="multilevel"/>
    <w:tmpl w:val="6D909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F43C9A"/>
    <w:multiLevelType w:val="multilevel"/>
    <w:tmpl w:val="5D04D1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CA7FCD"/>
    <w:multiLevelType w:val="multilevel"/>
    <w:tmpl w:val="45121C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7AF2BF2"/>
    <w:multiLevelType w:val="multilevel"/>
    <w:tmpl w:val="4D226F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30AC65A3"/>
    <w:multiLevelType w:val="multilevel"/>
    <w:tmpl w:val="E87218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F307A2"/>
    <w:multiLevelType w:val="multilevel"/>
    <w:tmpl w:val="F8043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980AEB"/>
    <w:multiLevelType w:val="multilevel"/>
    <w:tmpl w:val="FB5E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DD5162"/>
    <w:multiLevelType w:val="multilevel"/>
    <w:tmpl w:val="B1B88C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3"/>
  </w:num>
  <w:num w:numId="3">
    <w:abstractNumId w:val="7"/>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3sDCzNDCyMDI1sDRX0lEKTi0uzszPAykwqgUAtcEZFiwAAAA="/>
  </w:docVars>
  <w:rsids>
    <w:rsidRoot w:val="00976F4E"/>
    <w:rsid w:val="000164A5"/>
    <w:rsid w:val="00124370"/>
    <w:rsid w:val="00234D44"/>
    <w:rsid w:val="00260D7C"/>
    <w:rsid w:val="00330A40"/>
    <w:rsid w:val="003B3277"/>
    <w:rsid w:val="003F734B"/>
    <w:rsid w:val="00411A26"/>
    <w:rsid w:val="00426F21"/>
    <w:rsid w:val="004532AC"/>
    <w:rsid w:val="004A67C9"/>
    <w:rsid w:val="005A18CF"/>
    <w:rsid w:val="006F635F"/>
    <w:rsid w:val="007B278F"/>
    <w:rsid w:val="007E06B1"/>
    <w:rsid w:val="007F0A4D"/>
    <w:rsid w:val="00807F17"/>
    <w:rsid w:val="00865AC1"/>
    <w:rsid w:val="00976F4E"/>
    <w:rsid w:val="00AC2F9A"/>
    <w:rsid w:val="00B62A1E"/>
    <w:rsid w:val="00B76AD5"/>
    <w:rsid w:val="00BE08B7"/>
    <w:rsid w:val="00BF0F73"/>
    <w:rsid w:val="00C73685"/>
    <w:rsid w:val="00DF7798"/>
    <w:rsid w:val="00E75DA8"/>
    <w:rsid w:val="00F50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DE9BF2"/>
  <w15:docId w15:val="{6B6E85FD-797B-488C-9C3D-4B475A74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62A1E"/>
    <w:rPr>
      <w:color w:val="0000FF" w:themeColor="hyperlink"/>
      <w:u w:val="single"/>
    </w:rPr>
  </w:style>
  <w:style w:type="character" w:customStyle="1" w:styleId="UnresolvedMention1">
    <w:name w:val="Unresolved Mention1"/>
    <w:basedOn w:val="DefaultParagraphFont"/>
    <w:uiPriority w:val="99"/>
    <w:semiHidden/>
    <w:unhideWhenUsed/>
    <w:rsid w:val="00B62A1E"/>
    <w:rPr>
      <w:color w:val="605E5C"/>
      <w:shd w:val="clear" w:color="auto" w:fill="E1DFDD"/>
    </w:rPr>
  </w:style>
  <w:style w:type="paragraph" w:styleId="Header">
    <w:name w:val="header"/>
    <w:basedOn w:val="Normal"/>
    <w:link w:val="HeaderChar"/>
    <w:uiPriority w:val="99"/>
    <w:unhideWhenUsed/>
    <w:rsid w:val="00B76AD5"/>
    <w:pPr>
      <w:tabs>
        <w:tab w:val="center" w:pos="4680"/>
        <w:tab w:val="right" w:pos="9360"/>
      </w:tabs>
      <w:spacing w:line="240" w:lineRule="auto"/>
    </w:pPr>
  </w:style>
  <w:style w:type="character" w:customStyle="1" w:styleId="HeaderChar">
    <w:name w:val="Header Char"/>
    <w:basedOn w:val="DefaultParagraphFont"/>
    <w:link w:val="Header"/>
    <w:uiPriority w:val="99"/>
    <w:rsid w:val="00B76AD5"/>
  </w:style>
  <w:style w:type="paragraph" w:styleId="Footer">
    <w:name w:val="footer"/>
    <w:basedOn w:val="Normal"/>
    <w:link w:val="FooterChar"/>
    <w:uiPriority w:val="99"/>
    <w:unhideWhenUsed/>
    <w:rsid w:val="00B76AD5"/>
    <w:pPr>
      <w:tabs>
        <w:tab w:val="center" w:pos="4680"/>
        <w:tab w:val="right" w:pos="9360"/>
      </w:tabs>
      <w:spacing w:line="240" w:lineRule="auto"/>
    </w:pPr>
  </w:style>
  <w:style w:type="character" w:customStyle="1" w:styleId="FooterChar">
    <w:name w:val="Footer Char"/>
    <w:basedOn w:val="DefaultParagraphFont"/>
    <w:link w:val="Footer"/>
    <w:uiPriority w:val="99"/>
    <w:rsid w:val="00B7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34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sugarcane-juice" TargetMode="External"/><Relationship Id="rId13" Type="http://schemas.openxmlformats.org/officeDocument/2006/relationships/hyperlink" Target="https://www.sciencedirect.com/topics/pharmacology-toxicology-and-pharmaceutical-science/non-insulin-dependent-diabetes-mellitus" TargetMode="External"/><Relationship Id="rId18" Type="http://schemas.openxmlformats.org/officeDocument/2006/relationships/hyperlink" Target="https://scholar.google.com/scholar_lookup?title=Nutritional+Composition+of+Millets&amp;author=Tripathi,+M.K.&amp;author=Mohapatra,+D.&amp;author=Jadam,+R.S.&amp;author=Pandey,+S.&amp;author=Singh,+V.&amp;author=Kumar,+V.&amp;author=Kumar,+A.&amp;publication_year=2021&amp;pages=101%E2%80%93119"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scholar.google.com/scholar_lookup?title=Millets:+Nutritional+Composition,+Some+Health+Benefits+and+Processing%E2%80%94A+Review&amp;author=Amadou,+I.&amp;author=Gounga,+M.E.&amp;author=Le,+G.-W.&amp;publication_year=2013&amp;journal=Emir.+J.+Food+Agric.&amp;volume=25&amp;pages=501%E2%80%93508&amp;doi=10.9755/ejfa.v25i7.12045" TargetMode="External"/><Relationship Id="rId7" Type="http://schemas.openxmlformats.org/officeDocument/2006/relationships/hyperlink" Target="https://www.sciencedirect.com/topics/pharmacology-toxicology-and-pharmaceutical-science/sugarcane-juice" TargetMode="External"/><Relationship Id="rId12" Type="http://schemas.openxmlformats.org/officeDocument/2006/relationships/hyperlink" Target="https://www.sciencedirect.com/topics/pharmacology-toxicology-and-pharmaceutical-science/chronic-diseas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scholar.google.com/scholar_lookup?title=Millet+Grains:+Nutritional+Quality,+Processing,+and+Potential+Health+Benefits&amp;author=Saleh,+A.S.&amp;author=Zhang,+Q.&amp;author=Chen,+J.&amp;author=Shen,+Q.&amp;publication_year=2013&amp;journal=Compr.+Rev.+Food+Sci.+Food+Saf.&amp;volume=12&amp;pages=281%E2%80%93295&amp;doi=10.1111/1541-4337.1201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pharmacology-toxicology-and-pharmaceutical-science/fatty-live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ciencedirect.com/topics/agricultural-and-biological-sciences/adiposity" TargetMode="External"/><Relationship Id="rId19" Type="http://schemas.openxmlformats.org/officeDocument/2006/relationships/hyperlink" Target="https://scholar.google.com/scholar_lookup?title=Nutritional+Composition,+Functional+Properties+and+Food+Applications+of+Millet+Grains&amp;author=Abah,+C.R.&amp;author=Ishiwu,+C.N.&amp;author=Obiegbuna,+J.E.&amp;author=Oladejo,+A.A.&amp;publication_year=2020&amp;journal=Asian+Food+Sci.+J.&amp;volume=14&amp;pages=9%E2%80%9319&amp;doi=10.9734/afsj/2020/v14i230124" TargetMode="Externa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trace-element"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3697</Words>
  <Characters>21076</Characters>
  <Application>Microsoft Office Word</Application>
  <DocSecurity>0</DocSecurity>
  <Lines>175</Lines>
  <Paragraphs>49</Paragraphs>
  <ScaleCrop>false</ScaleCrop>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34</cp:revision>
  <dcterms:created xsi:type="dcterms:W3CDTF">2025-03-29T06:52:00Z</dcterms:created>
  <dcterms:modified xsi:type="dcterms:W3CDTF">2025-03-29T10:59:00Z</dcterms:modified>
</cp:coreProperties>
</file>