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15744" w14:textId="77777777" w:rsidR="00F70479" w:rsidRPr="00F70479" w:rsidRDefault="00F70479" w:rsidP="00F70479">
      <w:pPr>
        <w:spacing w:line="240" w:lineRule="auto"/>
        <w:jc w:val="center"/>
        <w:rPr>
          <w:rFonts w:ascii="Arial" w:eastAsiaTheme="minorHAnsi" w:hAnsi="Arial" w:cs="Arial"/>
          <w:b/>
          <w:bCs/>
          <w:i/>
          <w:iCs/>
          <w:sz w:val="22"/>
          <w:szCs w:val="22"/>
          <w:u w:val="single"/>
          <w:lang w:bidi="ar-SA"/>
        </w:rPr>
      </w:pPr>
      <w:bookmarkStart w:id="0" w:name="_Hlk193719720"/>
      <w:bookmarkStart w:id="1" w:name="_Toc136335853"/>
      <w:bookmarkStart w:id="2" w:name="_Hlk117631367"/>
      <w:bookmarkEnd w:id="0"/>
      <w:r w:rsidRPr="00F70479">
        <w:rPr>
          <w:rFonts w:ascii="Arial" w:eastAsiaTheme="minorHAnsi" w:hAnsi="Arial" w:cs="Arial"/>
          <w:b/>
          <w:bCs/>
          <w:i/>
          <w:iCs/>
          <w:sz w:val="22"/>
          <w:szCs w:val="22"/>
          <w:u w:val="single"/>
          <w:lang w:bidi="ar-SA"/>
        </w:rPr>
        <w:t>Original Research Article</w:t>
      </w:r>
    </w:p>
    <w:p w14:paraId="0858FEE7" w14:textId="77777777" w:rsidR="00F14C65" w:rsidRDefault="00F14C65" w:rsidP="009E5B6C">
      <w:pPr>
        <w:spacing w:line="240" w:lineRule="auto"/>
        <w:jc w:val="center"/>
        <w:rPr>
          <w:rFonts w:ascii="Arial" w:eastAsiaTheme="minorHAnsi" w:hAnsi="Arial" w:cs="Arial"/>
          <w:b/>
          <w:bCs/>
          <w:sz w:val="22"/>
          <w:szCs w:val="22"/>
          <w:lang w:bidi="ar-SA"/>
        </w:rPr>
      </w:pPr>
    </w:p>
    <w:p w14:paraId="33C13BB5" w14:textId="002AE327" w:rsidR="009E5B6C" w:rsidRDefault="009E5B6C" w:rsidP="009E5B6C">
      <w:pPr>
        <w:spacing w:line="240" w:lineRule="auto"/>
        <w:jc w:val="center"/>
        <w:rPr>
          <w:rFonts w:ascii="Arial" w:eastAsiaTheme="minorHAnsi" w:hAnsi="Arial" w:cs="Arial"/>
          <w:b/>
          <w:bCs/>
          <w:sz w:val="22"/>
          <w:szCs w:val="22"/>
          <w:lang w:bidi="ar-SA"/>
        </w:rPr>
      </w:pPr>
      <w:r w:rsidRPr="00A85918">
        <w:rPr>
          <w:rFonts w:ascii="Arial" w:eastAsiaTheme="minorHAnsi" w:hAnsi="Arial" w:cs="Arial"/>
          <w:b/>
          <w:bCs/>
          <w:sz w:val="22"/>
          <w:szCs w:val="22"/>
          <w:lang w:bidi="ar-SA"/>
        </w:rPr>
        <w:t xml:space="preserve">Study on Nutrient Provision of Sunn hemp at </w:t>
      </w:r>
      <w:r w:rsidR="000A0C76">
        <w:rPr>
          <w:rFonts w:ascii="Arial" w:eastAsiaTheme="minorHAnsi" w:hAnsi="Arial" w:cs="Arial"/>
          <w:b/>
          <w:bCs/>
          <w:sz w:val="22"/>
          <w:szCs w:val="22"/>
          <w:lang w:bidi="ar-SA"/>
        </w:rPr>
        <w:t>Various</w:t>
      </w:r>
      <w:r w:rsidRPr="00A85918">
        <w:rPr>
          <w:rFonts w:ascii="Arial" w:eastAsiaTheme="minorHAnsi" w:hAnsi="Arial" w:cs="Arial"/>
          <w:b/>
          <w:bCs/>
          <w:sz w:val="22"/>
          <w:szCs w:val="22"/>
          <w:lang w:bidi="ar-SA"/>
        </w:rPr>
        <w:t xml:space="preserve"> Ages on Paddy Soil</w:t>
      </w:r>
    </w:p>
    <w:p w14:paraId="12DADF70" w14:textId="77777777" w:rsidR="00F70479" w:rsidRPr="00A85918" w:rsidRDefault="00F70479" w:rsidP="009E5B6C">
      <w:pPr>
        <w:spacing w:line="240" w:lineRule="auto"/>
        <w:jc w:val="center"/>
        <w:rPr>
          <w:rFonts w:ascii="Arial" w:eastAsiaTheme="minorHAnsi" w:hAnsi="Arial" w:cs="Arial"/>
          <w:b/>
          <w:bCs/>
          <w:sz w:val="22"/>
          <w:szCs w:val="22"/>
          <w:lang w:bidi="ar-SA"/>
        </w:rPr>
      </w:pPr>
    </w:p>
    <w:p w14:paraId="5E588F1F" w14:textId="77777777" w:rsidR="00F70479" w:rsidRDefault="00F70479" w:rsidP="000B09D5">
      <w:pPr>
        <w:autoSpaceDE w:val="0"/>
        <w:autoSpaceDN w:val="0"/>
        <w:adjustRightInd w:val="0"/>
        <w:spacing w:line="240" w:lineRule="auto"/>
        <w:jc w:val="center"/>
        <w:rPr>
          <w:rFonts w:ascii="Arial" w:hAnsi="Arial" w:cs="Arial"/>
          <w:sz w:val="22"/>
          <w:szCs w:val="22"/>
          <w:lang w:bidi="ar-SA"/>
        </w:rPr>
      </w:pPr>
    </w:p>
    <w:p w14:paraId="0531E489" w14:textId="77777777" w:rsidR="00F14C65" w:rsidRDefault="00F14C65" w:rsidP="000B09D5">
      <w:pPr>
        <w:autoSpaceDE w:val="0"/>
        <w:autoSpaceDN w:val="0"/>
        <w:adjustRightInd w:val="0"/>
        <w:spacing w:line="240" w:lineRule="auto"/>
        <w:jc w:val="center"/>
        <w:rPr>
          <w:rFonts w:ascii="Arial" w:hAnsi="Arial" w:cs="Arial"/>
          <w:sz w:val="22"/>
          <w:szCs w:val="22"/>
          <w:lang w:bidi="ar-SA"/>
        </w:rPr>
      </w:pPr>
    </w:p>
    <w:p w14:paraId="6A2B7867" w14:textId="77777777" w:rsidR="00F14C65" w:rsidRDefault="00F14C65" w:rsidP="000B09D5">
      <w:pPr>
        <w:autoSpaceDE w:val="0"/>
        <w:autoSpaceDN w:val="0"/>
        <w:adjustRightInd w:val="0"/>
        <w:spacing w:line="240" w:lineRule="auto"/>
        <w:jc w:val="center"/>
        <w:rPr>
          <w:rFonts w:ascii="Arial" w:hAnsi="Arial" w:cs="Arial"/>
          <w:sz w:val="22"/>
          <w:szCs w:val="22"/>
          <w:lang w:bidi="ar-SA"/>
        </w:rPr>
      </w:pPr>
    </w:p>
    <w:p w14:paraId="24F1DB5F" w14:textId="77777777" w:rsidR="00F14C65" w:rsidRDefault="00F14C65" w:rsidP="000B09D5">
      <w:pPr>
        <w:autoSpaceDE w:val="0"/>
        <w:autoSpaceDN w:val="0"/>
        <w:adjustRightInd w:val="0"/>
        <w:spacing w:line="240" w:lineRule="auto"/>
        <w:jc w:val="center"/>
        <w:rPr>
          <w:rFonts w:ascii="Arial" w:hAnsi="Arial" w:cs="Arial"/>
          <w:sz w:val="22"/>
          <w:szCs w:val="22"/>
          <w:lang w:bidi="ar-SA"/>
        </w:rPr>
      </w:pPr>
    </w:p>
    <w:p w14:paraId="6CC99662" w14:textId="77777777" w:rsidR="00F14C65" w:rsidRDefault="00F14C65" w:rsidP="000B09D5">
      <w:pPr>
        <w:autoSpaceDE w:val="0"/>
        <w:autoSpaceDN w:val="0"/>
        <w:adjustRightInd w:val="0"/>
        <w:spacing w:line="240" w:lineRule="auto"/>
        <w:jc w:val="center"/>
        <w:rPr>
          <w:rFonts w:ascii="Arial" w:hAnsi="Arial" w:cs="Arial"/>
          <w:sz w:val="22"/>
          <w:szCs w:val="22"/>
          <w:lang w:bidi="ar-SA"/>
        </w:rPr>
      </w:pPr>
    </w:p>
    <w:p w14:paraId="38DA0257" w14:textId="77777777" w:rsidR="00F14C65" w:rsidRDefault="00F14C65" w:rsidP="000B09D5">
      <w:pPr>
        <w:autoSpaceDE w:val="0"/>
        <w:autoSpaceDN w:val="0"/>
        <w:adjustRightInd w:val="0"/>
        <w:spacing w:line="240" w:lineRule="auto"/>
        <w:jc w:val="center"/>
        <w:rPr>
          <w:rFonts w:ascii="Arial" w:hAnsi="Arial" w:cs="Arial"/>
          <w:sz w:val="22"/>
          <w:szCs w:val="22"/>
          <w:lang w:bidi="ar-SA"/>
        </w:rPr>
      </w:pPr>
    </w:p>
    <w:p w14:paraId="5CBE6787" w14:textId="2C23C08A" w:rsidR="001D04E0" w:rsidRPr="007E1501" w:rsidRDefault="001D04E0" w:rsidP="009E5B6C">
      <w:pPr>
        <w:spacing w:line="240" w:lineRule="auto"/>
        <w:jc w:val="center"/>
        <w:rPr>
          <w:rFonts w:ascii="Arial" w:hAnsi="Arial" w:cs="Arial"/>
          <w:b/>
          <w:bCs/>
          <w:kern w:val="24"/>
          <w:sz w:val="22"/>
          <w:szCs w:val="22"/>
        </w:rPr>
      </w:pPr>
    </w:p>
    <w:bookmarkEnd w:id="1"/>
    <w:p w14:paraId="58CBE5B4" w14:textId="792C3116" w:rsidR="00A85918" w:rsidRDefault="00A85918" w:rsidP="009E5B6C">
      <w:pPr>
        <w:spacing w:line="240" w:lineRule="auto"/>
        <w:rPr>
          <w:rFonts w:ascii="Arial" w:eastAsiaTheme="minorHAnsi" w:hAnsi="Arial" w:cs="Arial"/>
          <w:b/>
          <w:bCs/>
          <w:sz w:val="22"/>
          <w:szCs w:val="22"/>
          <w:lang w:bidi="ar-SA"/>
        </w:rPr>
      </w:pPr>
      <w:r w:rsidRPr="00A85918">
        <w:rPr>
          <w:rFonts w:ascii="Arial" w:eastAsiaTheme="minorHAnsi" w:hAnsi="Arial" w:cs="Arial"/>
          <w:b/>
          <w:bCs/>
          <w:sz w:val="22"/>
          <w:szCs w:val="22"/>
          <w:lang w:bidi="ar-SA"/>
        </w:rPr>
        <w:t>Abstract</w:t>
      </w:r>
    </w:p>
    <w:p w14:paraId="2F6407E3" w14:textId="77777777" w:rsidR="00C97832" w:rsidRPr="00A85918" w:rsidRDefault="00C97832" w:rsidP="009E5B6C">
      <w:pPr>
        <w:spacing w:line="240" w:lineRule="auto"/>
        <w:rPr>
          <w:rFonts w:ascii="Arial" w:eastAsiaTheme="minorHAnsi" w:hAnsi="Arial" w:cs="Arial"/>
          <w:b/>
          <w:bCs/>
          <w:sz w:val="22"/>
          <w:szCs w:val="22"/>
          <w:lang w:bidi="ar-SA"/>
        </w:rPr>
      </w:pPr>
    </w:p>
    <w:p w14:paraId="62C97B22" w14:textId="30C4B81E" w:rsidR="002F3723" w:rsidRDefault="002F3723" w:rsidP="002F3723">
      <w:pPr>
        <w:spacing w:line="240" w:lineRule="auto"/>
        <w:jc w:val="both"/>
        <w:rPr>
          <w:rFonts w:ascii="Arial" w:eastAsiaTheme="minorHAnsi" w:hAnsi="Arial" w:cs="Arial"/>
          <w:sz w:val="20"/>
          <w:lang w:bidi="ar-SA"/>
        </w:rPr>
      </w:pPr>
      <w:r w:rsidRPr="002F3723">
        <w:rPr>
          <w:rFonts w:ascii="Arial" w:eastAsiaTheme="minorHAnsi" w:hAnsi="Arial" w:cs="Arial"/>
          <w:sz w:val="20"/>
          <w:lang w:bidi="ar-SA"/>
        </w:rPr>
        <w:t xml:space="preserve">Nitrogen and carbon are essential elements for sustainable agricultural production. Green manuring provides nitrogen through decomposition while also increases soil carbon concentration. The study aimed to estimate biomass contribution of Sunn hemp at various ages and the mineralization of Sunn hemp after incorporation into paddy soil under submerged condition, focusing on synchronizing nitrogen supply with rice crop demand. Sunn hemp was harvested at different growth stages (45, 60, and 75 days) to assess its biomass and nutrient contributions, particularly nitrogen and carbon. The harvested plants were incorporated into the soil, and rice seedlings were transplanted a week later. Nitrogen mineralization was monitored over eight weeks, alongside rice plant nitrogen uptake. The study was conducted at the Department of Agricultural Research, Nay </w:t>
      </w:r>
      <w:proofErr w:type="spellStart"/>
      <w:r w:rsidRPr="002F3723">
        <w:rPr>
          <w:rFonts w:ascii="Arial" w:eastAsiaTheme="minorHAnsi" w:hAnsi="Arial" w:cs="Arial"/>
          <w:sz w:val="20"/>
          <w:lang w:bidi="ar-SA"/>
        </w:rPr>
        <w:t>Pyi</w:t>
      </w:r>
      <w:proofErr w:type="spellEnd"/>
      <w:r w:rsidRPr="002F3723">
        <w:rPr>
          <w:rFonts w:ascii="Arial" w:eastAsiaTheme="minorHAnsi" w:hAnsi="Arial" w:cs="Arial"/>
          <w:sz w:val="20"/>
          <w:lang w:bidi="ar-SA"/>
        </w:rPr>
        <w:t xml:space="preserve"> Taw, with four treatments: control (no Sunn hemp), SH45 (45 days old Sunn hemp), SH60 (60 days old Sunn hemp), and SH75 (75 days old Sunn hemp). Chemical composition analysis of Sunn hemp at different growth stages showed minimal variation, but significant differences in fresh and dry biomass. SH75 and SH60 contributed fresh biomass together with nitrogen and carbon three times higher than that of SH45. Nitrogen mineralization from different ages of Sunn hemp reached maximum within first two weeks. Consideration to mineralization percentages, SH60 and SH75 were continuously happen from 1</w:t>
      </w:r>
      <w:r w:rsidRPr="001628B0">
        <w:rPr>
          <w:rFonts w:ascii="Arial" w:eastAsiaTheme="minorHAnsi" w:hAnsi="Arial" w:cs="Arial"/>
          <w:sz w:val="20"/>
          <w:vertAlign w:val="superscript"/>
          <w:lang w:bidi="ar-SA"/>
        </w:rPr>
        <w:t>st</w:t>
      </w:r>
      <w:r w:rsidRPr="002F3723">
        <w:rPr>
          <w:rFonts w:ascii="Arial" w:eastAsiaTheme="minorHAnsi" w:hAnsi="Arial" w:cs="Arial"/>
          <w:sz w:val="20"/>
          <w:lang w:bidi="ar-SA"/>
        </w:rPr>
        <w:t xml:space="preserve"> to 8</w:t>
      </w:r>
      <w:r w:rsidRPr="001628B0">
        <w:rPr>
          <w:rFonts w:ascii="Arial" w:eastAsiaTheme="minorHAnsi" w:hAnsi="Arial" w:cs="Arial"/>
          <w:sz w:val="20"/>
          <w:vertAlign w:val="superscript"/>
          <w:lang w:bidi="ar-SA"/>
        </w:rPr>
        <w:t>th</w:t>
      </w:r>
      <w:r w:rsidRPr="002F3723">
        <w:rPr>
          <w:rFonts w:ascii="Arial" w:eastAsiaTheme="minorHAnsi" w:hAnsi="Arial" w:cs="Arial"/>
          <w:sz w:val="20"/>
          <w:lang w:bidi="ar-SA"/>
        </w:rPr>
        <w:t xml:space="preserve"> week, however that from SH45 was approached to 0 from the 5</w:t>
      </w:r>
      <w:r w:rsidRPr="001628B0">
        <w:rPr>
          <w:rFonts w:ascii="Arial" w:eastAsiaTheme="minorHAnsi" w:hAnsi="Arial" w:cs="Arial"/>
          <w:sz w:val="20"/>
          <w:vertAlign w:val="superscript"/>
          <w:lang w:bidi="ar-SA"/>
        </w:rPr>
        <w:t>th</w:t>
      </w:r>
      <w:r w:rsidRPr="002F3723">
        <w:rPr>
          <w:rFonts w:ascii="Arial" w:eastAsiaTheme="minorHAnsi" w:hAnsi="Arial" w:cs="Arial"/>
          <w:sz w:val="20"/>
          <w:lang w:bidi="ar-SA"/>
        </w:rPr>
        <w:t xml:space="preserve"> week to 8</w:t>
      </w:r>
      <w:r w:rsidRPr="001628B0">
        <w:rPr>
          <w:rFonts w:ascii="Arial" w:eastAsiaTheme="minorHAnsi" w:hAnsi="Arial" w:cs="Arial"/>
          <w:sz w:val="20"/>
          <w:vertAlign w:val="superscript"/>
          <w:lang w:bidi="ar-SA"/>
        </w:rPr>
        <w:t>th</w:t>
      </w:r>
      <w:r w:rsidRPr="002F3723">
        <w:rPr>
          <w:rFonts w:ascii="Arial" w:eastAsiaTheme="minorHAnsi" w:hAnsi="Arial" w:cs="Arial"/>
          <w:sz w:val="20"/>
          <w:lang w:bidi="ar-SA"/>
        </w:rPr>
        <w:t xml:space="preserve"> week. Meanwhile, demand of rice plants started at 3</w:t>
      </w:r>
      <w:r w:rsidRPr="001628B0">
        <w:rPr>
          <w:rFonts w:ascii="Arial" w:eastAsiaTheme="minorHAnsi" w:hAnsi="Arial" w:cs="Arial"/>
          <w:sz w:val="20"/>
          <w:vertAlign w:val="superscript"/>
          <w:lang w:bidi="ar-SA"/>
        </w:rPr>
        <w:t>rd</w:t>
      </w:r>
      <w:r w:rsidRPr="002F3723">
        <w:rPr>
          <w:rFonts w:ascii="Arial" w:eastAsiaTheme="minorHAnsi" w:hAnsi="Arial" w:cs="Arial"/>
          <w:sz w:val="20"/>
          <w:lang w:bidi="ar-SA"/>
        </w:rPr>
        <w:t xml:space="preserve"> week and was maximum at 6</w:t>
      </w:r>
      <w:r w:rsidRPr="001628B0">
        <w:rPr>
          <w:rFonts w:ascii="Arial" w:eastAsiaTheme="minorHAnsi" w:hAnsi="Arial" w:cs="Arial"/>
          <w:sz w:val="20"/>
          <w:vertAlign w:val="superscript"/>
          <w:lang w:bidi="ar-SA"/>
        </w:rPr>
        <w:t>th</w:t>
      </w:r>
      <w:r w:rsidRPr="002F3723">
        <w:rPr>
          <w:rFonts w:ascii="Arial" w:eastAsiaTheme="minorHAnsi" w:hAnsi="Arial" w:cs="Arial"/>
          <w:sz w:val="20"/>
          <w:lang w:bidi="ar-SA"/>
        </w:rPr>
        <w:t xml:space="preserve"> week, thereafter continued to 8</w:t>
      </w:r>
      <w:r w:rsidRPr="001628B0">
        <w:rPr>
          <w:rFonts w:ascii="Arial" w:eastAsiaTheme="minorHAnsi" w:hAnsi="Arial" w:cs="Arial"/>
          <w:sz w:val="20"/>
          <w:vertAlign w:val="superscript"/>
          <w:lang w:bidi="ar-SA"/>
        </w:rPr>
        <w:t>th</w:t>
      </w:r>
      <w:r w:rsidRPr="002F3723">
        <w:rPr>
          <w:rFonts w:ascii="Arial" w:eastAsiaTheme="minorHAnsi" w:hAnsi="Arial" w:cs="Arial"/>
          <w:sz w:val="20"/>
          <w:lang w:bidi="ar-SA"/>
        </w:rPr>
        <w:t xml:space="preserve"> week. The synchronization of nitrogen supply from SH60 and SH75 were from 3</w:t>
      </w:r>
      <w:r w:rsidRPr="001628B0">
        <w:rPr>
          <w:rFonts w:ascii="Arial" w:eastAsiaTheme="minorHAnsi" w:hAnsi="Arial" w:cs="Arial"/>
          <w:sz w:val="20"/>
          <w:vertAlign w:val="superscript"/>
          <w:lang w:bidi="ar-SA"/>
        </w:rPr>
        <w:t>rd</w:t>
      </w:r>
      <w:r w:rsidRPr="002F3723">
        <w:rPr>
          <w:rFonts w:ascii="Arial" w:eastAsiaTheme="minorHAnsi" w:hAnsi="Arial" w:cs="Arial"/>
          <w:sz w:val="20"/>
          <w:lang w:bidi="ar-SA"/>
        </w:rPr>
        <w:t xml:space="preserve"> week to 8</w:t>
      </w:r>
      <w:r w:rsidRPr="001628B0">
        <w:rPr>
          <w:rFonts w:ascii="Arial" w:eastAsiaTheme="minorHAnsi" w:hAnsi="Arial" w:cs="Arial"/>
          <w:sz w:val="20"/>
          <w:vertAlign w:val="superscript"/>
          <w:lang w:bidi="ar-SA"/>
        </w:rPr>
        <w:t>th</w:t>
      </w:r>
      <w:r w:rsidRPr="002F3723">
        <w:rPr>
          <w:rFonts w:ascii="Arial" w:eastAsiaTheme="minorHAnsi" w:hAnsi="Arial" w:cs="Arial"/>
          <w:sz w:val="20"/>
          <w:lang w:bidi="ar-SA"/>
        </w:rPr>
        <w:t xml:space="preserve"> week whereas that from SH45 were from 3</w:t>
      </w:r>
      <w:r w:rsidRPr="001628B0">
        <w:rPr>
          <w:rFonts w:ascii="Arial" w:eastAsiaTheme="minorHAnsi" w:hAnsi="Arial" w:cs="Arial"/>
          <w:sz w:val="20"/>
          <w:vertAlign w:val="superscript"/>
          <w:lang w:bidi="ar-SA"/>
        </w:rPr>
        <w:t>rd</w:t>
      </w:r>
      <w:r w:rsidRPr="002F3723">
        <w:rPr>
          <w:rFonts w:ascii="Arial" w:eastAsiaTheme="minorHAnsi" w:hAnsi="Arial" w:cs="Arial"/>
          <w:sz w:val="20"/>
          <w:lang w:bidi="ar-SA"/>
        </w:rPr>
        <w:t xml:space="preserve"> week to 5</w:t>
      </w:r>
      <w:r w:rsidRPr="001628B0">
        <w:rPr>
          <w:rFonts w:ascii="Arial" w:eastAsiaTheme="minorHAnsi" w:hAnsi="Arial" w:cs="Arial"/>
          <w:sz w:val="20"/>
          <w:vertAlign w:val="superscript"/>
          <w:lang w:bidi="ar-SA"/>
        </w:rPr>
        <w:t>th</w:t>
      </w:r>
      <w:r w:rsidRPr="002F3723">
        <w:rPr>
          <w:rFonts w:ascii="Arial" w:eastAsiaTheme="minorHAnsi" w:hAnsi="Arial" w:cs="Arial"/>
          <w:sz w:val="20"/>
          <w:lang w:bidi="ar-SA"/>
        </w:rPr>
        <w:t xml:space="preserve"> week. Also, apparent nitrogen recovery (ANR) was the lowest in the SH45. The research highlighted the nutrient provision of Sunn hemp at different ages to rice plant under submerged paddy soil. </w:t>
      </w:r>
    </w:p>
    <w:p w14:paraId="05D83337" w14:textId="77777777" w:rsidR="002F3723" w:rsidRPr="002F3723" w:rsidRDefault="002F3723" w:rsidP="002F3723">
      <w:pPr>
        <w:spacing w:line="240" w:lineRule="auto"/>
        <w:jc w:val="both"/>
        <w:rPr>
          <w:rFonts w:ascii="Arial" w:eastAsiaTheme="minorHAnsi" w:hAnsi="Arial" w:cs="Arial"/>
          <w:sz w:val="20"/>
          <w:lang w:bidi="ar-SA"/>
        </w:rPr>
      </w:pPr>
    </w:p>
    <w:p w14:paraId="63C6FC5C" w14:textId="6685A981" w:rsidR="002E2713" w:rsidRPr="007E1501" w:rsidRDefault="002F3723" w:rsidP="002F3723">
      <w:pPr>
        <w:spacing w:line="240" w:lineRule="auto"/>
        <w:jc w:val="both"/>
        <w:rPr>
          <w:rFonts w:ascii="Arial" w:hAnsi="Arial" w:cs="Arial"/>
          <w:sz w:val="22"/>
          <w:szCs w:val="22"/>
        </w:rPr>
      </w:pPr>
      <w:r w:rsidRPr="002F3723">
        <w:rPr>
          <w:rFonts w:ascii="Arial" w:eastAsiaTheme="minorHAnsi" w:hAnsi="Arial" w:cs="Arial"/>
          <w:sz w:val="20"/>
          <w:lang w:bidi="ar-SA"/>
        </w:rPr>
        <w:t>Key words; Sunn hemp, Biomass, Nitrogen, Carbon, Mineralization, Paddy soil</w:t>
      </w:r>
    </w:p>
    <w:p w14:paraId="060D5A16" w14:textId="77777777" w:rsidR="00A85918" w:rsidRPr="007E1501" w:rsidRDefault="00A85918" w:rsidP="009E5B6C">
      <w:pPr>
        <w:spacing w:line="240" w:lineRule="auto"/>
        <w:jc w:val="center"/>
        <w:rPr>
          <w:rFonts w:ascii="Arial" w:eastAsiaTheme="minorHAnsi" w:hAnsi="Arial" w:cs="Arial"/>
          <w:b/>
          <w:bCs/>
          <w:sz w:val="22"/>
          <w:szCs w:val="22"/>
          <w:lang w:bidi="ar-SA"/>
        </w:rPr>
      </w:pPr>
      <w:bookmarkStart w:id="3" w:name="_Hlk192532485"/>
      <w:bookmarkEnd w:id="3"/>
    </w:p>
    <w:p w14:paraId="12B30EE3" w14:textId="77777777" w:rsidR="00A85918" w:rsidRPr="007E1501" w:rsidRDefault="00A85918" w:rsidP="009E5B6C">
      <w:pPr>
        <w:spacing w:line="240" w:lineRule="auto"/>
        <w:jc w:val="center"/>
        <w:rPr>
          <w:rFonts w:ascii="Arial" w:eastAsiaTheme="minorHAnsi" w:hAnsi="Arial" w:cs="Arial"/>
          <w:b/>
          <w:bCs/>
          <w:sz w:val="22"/>
          <w:szCs w:val="22"/>
          <w:lang w:bidi="ar-SA"/>
        </w:rPr>
      </w:pPr>
    </w:p>
    <w:p w14:paraId="3F5304CA" w14:textId="77777777" w:rsidR="00A85918" w:rsidRPr="007E1501" w:rsidRDefault="00A85918" w:rsidP="009E5B6C">
      <w:pPr>
        <w:spacing w:line="240" w:lineRule="auto"/>
        <w:jc w:val="center"/>
        <w:rPr>
          <w:rFonts w:ascii="Arial" w:eastAsiaTheme="minorHAnsi" w:hAnsi="Arial" w:cs="Arial"/>
          <w:b/>
          <w:bCs/>
          <w:sz w:val="22"/>
          <w:szCs w:val="22"/>
          <w:lang w:bidi="ar-SA"/>
        </w:rPr>
      </w:pPr>
    </w:p>
    <w:p w14:paraId="5BEC60DD" w14:textId="77777777" w:rsidR="00A85918" w:rsidRPr="007E1501" w:rsidRDefault="00A85918" w:rsidP="009E5B6C">
      <w:pPr>
        <w:spacing w:line="240" w:lineRule="auto"/>
        <w:jc w:val="center"/>
        <w:rPr>
          <w:rFonts w:ascii="Arial" w:eastAsiaTheme="minorHAnsi" w:hAnsi="Arial" w:cs="Arial"/>
          <w:b/>
          <w:bCs/>
          <w:sz w:val="22"/>
          <w:szCs w:val="22"/>
          <w:lang w:bidi="ar-SA"/>
        </w:rPr>
      </w:pPr>
    </w:p>
    <w:p w14:paraId="1FD4F53A" w14:textId="171C5C15" w:rsidR="00A85918" w:rsidRDefault="00A85918" w:rsidP="009E5B6C">
      <w:pPr>
        <w:spacing w:line="240" w:lineRule="auto"/>
        <w:jc w:val="center"/>
        <w:rPr>
          <w:rFonts w:ascii="Arial" w:eastAsiaTheme="minorHAnsi" w:hAnsi="Arial" w:cs="Arial"/>
          <w:b/>
          <w:bCs/>
          <w:sz w:val="22"/>
          <w:szCs w:val="22"/>
          <w:lang w:bidi="ar-SA"/>
        </w:rPr>
      </w:pPr>
    </w:p>
    <w:p w14:paraId="3605567D" w14:textId="05D3D07B" w:rsidR="009E5B6C" w:rsidRDefault="009E5B6C" w:rsidP="009E5B6C">
      <w:pPr>
        <w:spacing w:line="240" w:lineRule="auto"/>
        <w:jc w:val="center"/>
        <w:rPr>
          <w:rFonts w:ascii="Arial" w:eastAsiaTheme="minorHAnsi" w:hAnsi="Arial" w:cs="Arial"/>
          <w:b/>
          <w:bCs/>
          <w:sz w:val="22"/>
          <w:szCs w:val="22"/>
          <w:lang w:bidi="ar-SA"/>
        </w:rPr>
      </w:pPr>
    </w:p>
    <w:p w14:paraId="29F1B4B5" w14:textId="38AE5C2C" w:rsidR="009E5B6C" w:rsidRDefault="009E5B6C" w:rsidP="009E5B6C">
      <w:pPr>
        <w:spacing w:line="240" w:lineRule="auto"/>
        <w:jc w:val="center"/>
        <w:rPr>
          <w:rFonts w:ascii="Arial" w:eastAsiaTheme="minorHAnsi" w:hAnsi="Arial" w:cs="Arial"/>
          <w:b/>
          <w:bCs/>
          <w:sz w:val="22"/>
          <w:szCs w:val="22"/>
          <w:lang w:bidi="ar-SA"/>
        </w:rPr>
      </w:pPr>
    </w:p>
    <w:p w14:paraId="1412C45A" w14:textId="2B8F62B6" w:rsidR="009E5B6C" w:rsidRDefault="009E5B6C" w:rsidP="009E5B6C">
      <w:pPr>
        <w:spacing w:line="240" w:lineRule="auto"/>
        <w:jc w:val="center"/>
        <w:rPr>
          <w:rFonts w:ascii="Arial" w:eastAsiaTheme="minorHAnsi" w:hAnsi="Arial" w:cs="Arial"/>
          <w:b/>
          <w:bCs/>
          <w:sz w:val="22"/>
          <w:szCs w:val="22"/>
          <w:lang w:bidi="ar-SA"/>
        </w:rPr>
      </w:pPr>
    </w:p>
    <w:p w14:paraId="36CAB264" w14:textId="192A6ABE" w:rsidR="00C97832" w:rsidRDefault="00C97832" w:rsidP="009E5B6C">
      <w:pPr>
        <w:spacing w:line="240" w:lineRule="auto"/>
        <w:jc w:val="center"/>
        <w:rPr>
          <w:rFonts w:ascii="Arial" w:eastAsiaTheme="minorHAnsi" w:hAnsi="Arial" w:cs="Arial"/>
          <w:b/>
          <w:bCs/>
          <w:sz w:val="22"/>
          <w:szCs w:val="22"/>
          <w:lang w:bidi="ar-SA"/>
        </w:rPr>
      </w:pPr>
    </w:p>
    <w:p w14:paraId="0B4DA849" w14:textId="3D3DA0E8" w:rsidR="00C97832" w:rsidRDefault="00C97832" w:rsidP="009E5B6C">
      <w:pPr>
        <w:spacing w:line="240" w:lineRule="auto"/>
        <w:jc w:val="center"/>
        <w:rPr>
          <w:rFonts w:ascii="Arial" w:eastAsiaTheme="minorHAnsi" w:hAnsi="Arial" w:cs="Arial"/>
          <w:b/>
          <w:bCs/>
          <w:sz w:val="22"/>
          <w:szCs w:val="22"/>
          <w:lang w:bidi="ar-SA"/>
        </w:rPr>
      </w:pPr>
    </w:p>
    <w:p w14:paraId="0052BA74" w14:textId="00C7A346" w:rsidR="00C97832" w:rsidRDefault="00C97832" w:rsidP="009E5B6C">
      <w:pPr>
        <w:spacing w:line="240" w:lineRule="auto"/>
        <w:jc w:val="center"/>
        <w:rPr>
          <w:rFonts w:ascii="Arial" w:eastAsiaTheme="minorHAnsi" w:hAnsi="Arial" w:cs="Arial"/>
          <w:b/>
          <w:bCs/>
          <w:sz w:val="22"/>
          <w:szCs w:val="22"/>
          <w:lang w:bidi="ar-SA"/>
        </w:rPr>
      </w:pPr>
    </w:p>
    <w:p w14:paraId="05CF7194" w14:textId="0244DEA6" w:rsidR="00C97832" w:rsidRDefault="00C97832" w:rsidP="009E5B6C">
      <w:pPr>
        <w:spacing w:line="240" w:lineRule="auto"/>
        <w:jc w:val="center"/>
        <w:rPr>
          <w:rFonts w:ascii="Arial" w:eastAsiaTheme="minorHAnsi" w:hAnsi="Arial" w:cs="Arial"/>
          <w:b/>
          <w:bCs/>
          <w:sz w:val="22"/>
          <w:szCs w:val="22"/>
          <w:lang w:bidi="ar-SA"/>
        </w:rPr>
      </w:pPr>
    </w:p>
    <w:p w14:paraId="271E2E9E" w14:textId="4BEF3299" w:rsidR="00C97832" w:rsidRDefault="00C97832" w:rsidP="009E5B6C">
      <w:pPr>
        <w:spacing w:line="240" w:lineRule="auto"/>
        <w:jc w:val="center"/>
        <w:rPr>
          <w:rFonts w:ascii="Arial" w:eastAsiaTheme="minorHAnsi" w:hAnsi="Arial" w:cs="Arial"/>
          <w:b/>
          <w:bCs/>
          <w:sz w:val="22"/>
          <w:szCs w:val="22"/>
          <w:lang w:bidi="ar-SA"/>
        </w:rPr>
      </w:pPr>
    </w:p>
    <w:p w14:paraId="32750833" w14:textId="4EC86697" w:rsidR="00C97832" w:rsidRDefault="00C97832" w:rsidP="009E5B6C">
      <w:pPr>
        <w:spacing w:line="240" w:lineRule="auto"/>
        <w:jc w:val="center"/>
        <w:rPr>
          <w:rFonts w:ascii="Arial" w:eastAsiaTheme="minorHAnsi" w:hAnsi="Arial" w:cs="Arial"/>
          <w:b/>
          <w:bCs/>
          <w:sz w:val="22"/>
          <w:szCs w:val="22"/>
          <w:lang w:bidi="ar-SA"/>
        </w:rPr>
      </w:pPr>
    </w:p>
    <w:p w14:paraId="7914956E" w14:textId="25B5905A" w:rsidR="00C97832" w:rsidRDefault="00C97832" w:rsidP="009E5B6C">
      <w:pPr>
        <w:spacing w:line="240" w:lineRule="auto"/>
        <w:jc w:val="center"/>
        <w:rPr>
          <w:rFonts w:ascii="Arial" w:eastAsiaTheme="minorHAnsi" w:hAnsi="Arial" w:cs="Arial"/>
          <w:b/>
          <w:bCs/>
          <w:sz w:val="22"/>
          <w:szCs w:val="22"/>
          <w:lang w:bidi="ar-SA"/>
        </w:rPr>
      </w:pPr>
    </w:p>
    <w:p w14:paraId="416F9C0B" w14:textId="71C2398B" w:rsidR="00C97832" w:rsidRDefault="00C97832" w:rsidP="009E5B6C">
      <w:pPr>
        <w:spacing w:line="240" w:lineRule="auto"/>
        <w:jc w:val="center"/>
        <w:rPr>
          <w:rFonts w:ascii="Arial" w:eastAsiaTheme="minorHAnsi" w:hAnsi="Arial" w:cs="Arial"/>
          <w:b/>
          <w:bCs/>
          <w:sz w:val="22"/>
          <w:szCs w:val="22"/>
          <w:lang w:bidi="ar-SA"/>
        </w:rPr>
      </w:pPr>
    </w:p>
    <w:p w14:paraId="43268ABF" w14:textId="77777777" w:rsidR="00C97832" w:rsidRDefault="00C97832" w:rsidP="009E5B6C">
      <w:pPr>
        <w:spacing w:line="240" w:lineRule="auto"/>
        <w:jc w:val="center"/>
        <w:rPr>
          <w:rFonts w:ascii="Arial" w:eastAsiaTheme="minorHAnsi" w:hAnsi="Arial" w:cs="Arial"/>
          <w:b/>
          <w:bCs/>
          <w:sz w:val="22"/>
          <w:szCs w:val="22"/>
          <w:lang w:bidi="ar-SA"/>
        </w:rPr>
      </w:pPr>
    </w:p>
    <w:p w14:paraId="3051DBB8" w14:textId="4F66E3C8" w:rsidR="009E5B6C" w:rsidRDefault="009E5B6C" w:rsidP="009E5B6C">
      <w:pPr>
        <w:spacing w:line="240" w:lineRule="auto"/>
        <w:jc w:val="center"/>
        <w:rPr>
          <w:rFonts w:ascii="Arial" w:eastAsiaTheme="minorHAnsi" w:hAnsi="Arial" w:cs="Arial"/>
          <w:b/>
          <w:bCs/>
          <w:sz w:val="22"/>
          <w:szCs w:val="22"/>
          <w:lang w:bidi="ar-SA"/>
        </w:rPr>
      </w:pPr>
    </w:p>
    <w:p w14:paraId="393D4380" w14:textId="77777777" w:rsidR="009E5B6C" w:rsidRPr="007E1501" w:rsidRDefault="009E5B6C" w:rsidP="009E5B6C">
      <w:pPr>
        <w:spacing w:line="240" w:lineRule="auto"/>
        <w:jc w:val="center"/>
        <w:rPr>
          <w:rFonts w:ascii="Arial" w:eastAsiaTheme="minorHAnsi" w:hAnsi="Arial" w:cs="Arial"/>
          <w:b/>
          <w:bCs/>
          <w:sz w:val="22"/>
          <w:szCs w:val="22"/>
          <w:lang w:bidi="ar-SA"/>
        </w:rPr>
      </w:pPr>
    </w:p>
    <w:p w14:paraId="22D42683" w14:textId="77777777" w:rsidR="00A85918" w:rsidRPr="007E1501" w:rsidRDefault="00A85918" w:rsidP="009E5B6C">
      <w:pPr>
        <w:spacing w:line="240" w:lineRule="auto"/>
        <w:jc w:val="center"/>
        <w:rPr>
          <w:rFonts w:ascii="Arial" w:eastAsiaTheme="minorHAnsi" w:hAnsi="Arial" w:cs="Arial"/>
          <w:b/>
          <w:bCs/>
          <w:sz w:val="22"/>
          <w:szCs w:val="22"/>
          <w:lang w:bidi="ar-SA"/>
        </w:rPr>
      </w:pPr>
    </w:p>
    <w:p w14:paraId="55723063" w14:textId="38A5A7F7" w:rsidR="00A85918" w:rsidRDefault="00A85918" w:rsidP="009E5B6C">
      <w:pPr>
        <w:keepNext/>
        <w:keepLines/>
        <w:spacing w:line="240" w:lineRule="auto"/>
        <w:outlineLvl w:val="0"/>
        <w:rPr>
          <w:rFonts w:ascii="Arial" w:eastAsiaTheme="majorEastAsia" w:hAnsi="Arial" w:cs="Arial"/>
          <w:b/>
          <w:bCs/>
          <w:sz w:val="22"/>
          <w:szCs w:val="22"/>
          <w:lang w:bidi="ar-SA"/>
        </w:rPr>
      </w:pPr>
      <w:r w:rsidRPr="00A85918">
        <w:rPr>
          <w:rFonts w:ascii="Arial" w:eastAsiaTheme="majorEastAsia" w:hAnsi="Arial" w:cs="Arial"/>
          <w:b/>
          <w:bCs/>
          <w:sz w:val="22"/>
          <w:szCs w:val="22"/>
          <w:lang w:bidi="ar-SA"/>
        </w:rPr>
        <w:t>1. Introduction</w:t>
      </w:r>
    </w:p>
    <w:p w14:paraId="46297BC2" w14:textId="77777777" w:rsidR="00C97832" w:rsidRPr="00A85918" w:rsidRDefault="00C97832" w:rsidP="009E5B6C">
      <w:pPr>
        <w:keepNext/>
        <w:keepLines/>
        <w:spacing w:line="240" w:lineRule="auto"/>
        <w:outlineLvl w:val="0"/>
        <w:rPr>
          <w:rFonts w:ascii="Arial" w:eastAsiaTheme="majorEastAsia" w:hAnsi="Arial" w:cs="Arial"/>
          <w:b/>
          <w:bCs/>
          <w:sz w:val="22"/>
          <w:szCs w:val="22"/>
          <w:lang w:bidi="ar-SA"/>
        </w:rPr>
      </w:pPr>
    </w:p>
    <w:p w14:paraId="1A085B6E" w14:textId="291A80B1" w:rsidR="00A85918" w:rsidRDefault="002F3723" w:rsidP="009E5B6C">
      <w:pPr>
        <w:spacing w:line="240" w:lineRule="auto"/>
        <w:jc w:val="both"/>
        <w:rPr>
          <w:rFonts w:ascii="Arial" w:hAnsi="Arial" w:cs="Arial"/>
          <w:sz w:val="20"/>
        </w:rPr>
      </w:pPr>
      <w:r w:rsidRPr="002F3723">
        <w:rPr>
          <w:rFonts w:ascii="Arial" w:hAnsi="Arial" w:cs="Arial"/>
          <w:sz w:val="20"/>
        </w:rPr>
        <w:t>Green manuring is one of the soil conservations practices as well as it can provide nitrogen (N) from decomposition process in the soil. Legume green manuring is alternative incorporation of organic matter into soil and it can enhance agricultural sustainability by improving nutrient retention (</w:t>
      </w:r>
      <w:r w:rsidR="008047E7">
        <w:rPr>
          <w:rFonts w:ascii="Arial" w:hAnsi="Arial" w:cs="Arial"/>
          <w:sz w:val="20"/>
        </w:rPr>
        <w:t>1</w:t>
      </w:r>
      <w:r w:rsidRPr="002F3723">
        <w:rPr>
          <w:rFonts w:ascii="Arial" w:hAnsi="Arial" w:cs="Arial"/>
          <w:sz w:val="20"/>
        </w:rPr>
        <w:t xml:space="preserve">), enhancing soil fertility </w:t>
      </w:r>
      <w:r w:rsidR="008047E7">
        <w:rPr>
          <w:rFonts w:ascii="Arial" w:hAnsi="Arial" w:cs="Arial"/>
          <w:sz w:val="20"/>
        </w:rPr>
        <w:t>(2</w:t>
      </w:r>
      <w:r w:rsidRPr="002F3723">
        <w:rPr>
          <w:rFonts w:ascii="Arial" w:hAnsi="Arial" w:cs="Arial"/>
          <w:sz w:val="20"/>
        </w:rPr>
        <w:t>). It is the practice of incorporating undecomposed fresh/dry plant materials into soil and it can offer economically attractive and ecologically sound option of reducing external inputs and improving internal resources (</w:t>
      </w:r>
      <w:r w:rsidR="008047E7">
        <w:rPr>
          <w:rFonts w:ascii="Arial" w:hAnsi="Arial" w:cs="Arial"/>
          <w:sz w:val="20"/>
        </w:rPr>
        <w:t>3</w:t>
      </w:r>
      <w:r w:rsidRPr="002F3723">
        <w:rPr>
          <w:rFonts w:ascii="Arial" w:hAnsi="Arial" w:cs="Arial"/>
          <w:sz w:val="20"/>
        </w:rPr>
        <w:t>). Incorporation of legume green manure into soil undergoes decomposition and mineralization process (</w:t>
      </w:r>
      <w:r w:rsidR="008047E7">
        <w:rPr>
          <w:rFonts w:ascii="Arial" w:hAnsi="Arial" w:cs="Arial"/>
          <w:sz w:val="20"/>
        </w:rPr>
        <w:t>4</w:t>
      </w:r>
      <w:r w:rsidRPr="002F3723">
        <w:rPr>
          <w:rFonts w:ascii="Arial" w:hAnsi="Arial" w:cs="Arial"/>
          <w:sz w:val="20"/>
        </w:rPr>
        <w:t>). The dominant factors of decomposition and mineralization are the quantity and quality of green manure crops and it mainly depends upon the availability of N in soil (</w:t>
      </w:r>
      <w:r w:rsidR="008047E7">
        <w:rPr>
          <w:rFonts w:ascii="Arial" w:hAnsi="Arial" w:cs="Arial"/>
          <w:sz w:val="20"/>
        </w:rPr>
        <w:t>4</w:t>
      </w:r>
      <w:r w:rsidRPr="002F3723">
        <w:rPr>
          <w:rFonts w:ascii="Arial" w:hAnsi="Arial" w:cs="Arial"/>
          <w:sz w:val="20"/>
        </w:rPr>
        <w:t>). Also, it is a kind of soil organic matter and can provide various benefits to soil physical, chemical and biological properties (</w:t>
      </w:r>
      <w:r w:rsidR="000A6944">
        <w:rPr>
          <w:rFonts w:ascii="Arial" w:hAnsi="Arial" w:cs="Arial"/>
          <w:sz w:val="20"/>
        </w:rPr>
        <w:t>5</w:t>
      </w:r>
      <w:r w:rsidRPr="002F3723">
        <w:rPr>
          <w:rFonts w:ascii="Arial" w:hAnsi="Arial" w:cs="Arial"/>
          <w:sz w:val="20"/>
        </w:rPr>
        <w:t>).</w:t>
      </w:r>
    </w:p>
    <w:p w14:paraId="743474A4" w14:textId="77777777" w:rsidR="002F3723" w:rsidRPr="00A85918" w:rsidRDefault="002F3723" w:rsidP="009E5B6C">
      <w:pPr>
        <w:spacing w:line="240" w:lineRule="auto"/>
        <w:jc w:val="both"/>
        <w:rPr>
          <w:rFonts w:ascii="Arial" w:hAnsi="Arial" w:cs="Arial"/>
          <w:sz w:val="22"/>
          <w:szCs w:val="22"/>
        </w:rPr>
      </w:pPr>
    </w:p>
    <w:p w14:paraId="0A921DCF" w14:textId="31571AC5" w:rsidR="002F3723" w:rsidRDefault="002F3723" w:rsidP="009E5B6C">
      <w:pPr>
        <w:spacing w:line="240" w:lineRule="auto"/>
        <w:jc w:val="both"/>
        <w:rPr>
          <w:rFonts w:ascii="Arial" w:hAnsi="Arial" w:cs="Arial"/>
          <w:sz w:val="20"/>
        </w:rPr>
      </w:pPr>
      <w:r w:rsidRPr="002F3723">
        <w:rPr>
          <w:rFonts w:ascii="Arial" w:hAnsi="Arial" w:cs="Arial"/>
          <w:sz w:val="20"/>
        </w:rPr>
        <w:t>Sunn hemp is an excellent, rapid-growing green manure to be included in rotation with vegetable, ornamental, and other plants to add nitrogen and organic matter, to suppress weeds, and to reduce root-knot nematodes (</w:t>
      </w:r>
      <w:r w:rsidR="008047E7">
        <w:rPr>
          <w:rFonts w:ascii="Arial" w:hAnsi="Arial" w:cs="Arial"/>
          <w:sz w:val="20"/>
        </w:rPr>
        <w:t>6</w:t>
      </w:r>
      <w:r w:rsidRPr="002F3723">
        <w:rPr>
          <w:rFonts w:ascii="Arial" w:hAnsi="Arial" w:cs="Arial"/>
          <w:sz w:val="20"/>
        </w:rPr>
        <w:t>). It has ability to provide plant major nutrients as well as soil organic carbon. Sunn Hemp incorporation significantly increased soil NO</w:t>
      </w:r>
      <w:r w:rsidRPr="00C6346B">
        <w:rPr>
          <w:rFonts w:ascii="Arial" w:hAnsi="Arial" w:cs="Arial"/>
          <w:sz w:val="20"/>
          <w:vertAlign w:val="subscript"/>
        </w:rPr>
        <w:t>3</w:t>
      </w:r>
      <w:r w:rsidRPr="002F3723">
        <w:rPr>
          <w:rFonts w:ascii="Arial" w:hAnsi="Arial" w:cs="Arial"/>
          <w:sz w:val="20"/>
        </w:rPr>
        <w:t>-N fluxes and also enhanced extractable soil NO</w:t>
      </w:r>
      <w:r w:rsidRPr="00C6346B">
        <w:rPr>
          <w:rFonts w:ascii="Arial" w:hAnsi="Arial" w:cs="Arial"/>
          <w:sz w:val="20"/>
          <w:vertAlign w:val="subscript"/>
        </w:rPr>
        <w:t>3</w:t>
      </w:r>
      <w:r w:rsidRPr="002F3723">
        <w:rPr>
          <w:rFonts w:ascii="Arial" w:hAnsi="Arial" w:cs="Arial"/>
          <w:sz w:val="20"/>
        </w:rPr>
        <w:t>-N concentration compared with the weedy fallow control during the first 3 weeks after incorporation (</w:t>
      </w:r>
      <w:r w:rsidR="008047E7">
        <w:rPr>
          <w:rFonts w:ascii="Arial" w:hAnsi="Arial" w:cs="Arial"/>
          <w:sz w:val="20"/>
        </w:rPr>
        <w:t>7</w:t>
      </w:r>
      <w:r w:rsidRPr="002F3723">
        <w:rPr>
          <w:rFonts w:ascii="Arial" w:hAnsi="Arial" w:cs="Arial"/>
          <w:sz w:val="20"/>
        </w:rPr>
        <w:t>). Nitrogen content of the plant increased gradually up to 60 days of sowing and thereafter it declined. The percentage of ash in the dry matter was gradually increased in the same directions as that of nitrogen. Thus, mineral elements reached maximum amount at two months stage (</w:t>
      </w:r>
      <w:r w:rsidR="008047E7">
        <w:rPr>
          <w:rFonts w:ascii="Arial" w:hAnsi="Arial" w:cs="Arial"/>
          <w:sz w:val="20"/>
        </w:rPr>
        <w:t>8</w:t>
      </w:r>
      <w:r w:rsidRPr="002F3723">
        <w:rPr>
          <w:rFonts w:ascii="Arial" w:hAnsi="Arial" w:cs="Arial"/>
          <w:sz w:val="20"/>
        </w:rPr>
        <w:t>). Schomberg (2007)</w:t>
      </w:r>
      <w:r w:rsidR="00C6346B">
        <w:rPr>
          <w:rFonts w:ascii="Arial" w:hAnsi="Arial" w:cs="Arial"/>
          <w:sz w:val="20"/>
        </w:rPr>
        <w:t xml:space="preserve"> </w:t>
      </w:r>
      <w:r w:rsidR="00DC0FE3">
        <w:rPr>
          <w:rFonts w:ascii="Arial" w:hAnsi="Arial" w:cs="Arial"/>
          <w:sz w:val="20"/>
        </w:rPr>
        <w:t>(9)</w:t>
      </w:r>
      <w:r w:rsidRPr="002F3723">
        <w:rPr>
          <w:rFonts w:ascii="Arial" w:hAnsi="Arial" w:cs="Arial"/>
          <w:sz w:val="20"/>
        </w:rPr>
        <w:t xml:space="preserve"> mentioned that date of planting and length of growing period influenced the biomass and N content of Sunn hemp. Moreover, other organic substances such as total carbohydrate and sucrose attained maximum at 60-75 day and consideration of optimum harvesting days was reported that green manuring at 60 days after sowing was the best (</w:t>
      </w:r>
      <w:r w:rsidR="00DC0FE3">
        <w:rPr>
          <w:rFonts w:ascii="Arial" w:hAnsi="Arial" w:cs="Arial"/>
          <w:sz w:val="20"/>
        </w:rPr>
        <w:t>10</w:t>
      </w:r>
      <w:r w:rsidRPr="002F3723">
        <w:rPr>
          <w:rFonts w:ascii="Arial" w:hAnsi="Arial" w:cs="Arial"/>
          <w:sz w:val="20"/>
        </w:rPr>
        <w:t xml:space="preserve">). </w:t>
      </w:r>
    </w:p>
    <w:p w14:paraId="44CB2EEB" w14:textId="77777777" w:rsidR="002F3723" w:rsidRDefault="002F3723" w:rsidP="009E5B6C">
      <w:pPr>
        <w:spacing w:line="240" w:lineRule="auto"/>
        <w:jc w:val="both"/>
        <w:rPr>
          <w:rFonts w:ascii="Arial" w:hAnsi="Arial" w:cs="Arial"/>
          <w:sz w:val="20"/>
        </w:rPr>
      </w:pPr>
    </w:p>
    <w:p w14:paraId="267F2965" w14:textId="4E0BBBCE" w:rsidR="00C97832" w:rsidRDefault="002F3723" w:rsidP="009E5B6C">
      <w:pPr>
        <w:spacing w:line="240" w:lineRule="auto"/>
        <w:jc w:val="both"/>
        <w:rPr>
          <w:rFonts w:ascii="Arial" w:hAnsi="Arial" w:cs="Arial"/>
          <w:sz w:val="20"/>
        </w:rPr>
      </w:pPr>
      <w:r w:rsidRPr="002F3723">
        <w:rPr>
          <w:rFonts w:ascii="Arial" w:hAnsi="Arial" w:cs="Arial"/>
          <w:sz w:val="20"/>
        </w:rPr>
        <w:t>In a two-year study, green manure incorporation at 50 DAS differed acid detergent fiber yields to that at 60 DAS. These results suggested that the seeding and harvest time were important for decomposition estimations (</w:t>
      </w:r>
      <w:r w:rsidR="00DC0FE3">
        <w:rPr>
          <w:rFonts w:ascii="Arial" w:hAnsi="Arial" w:cs="Arial"/>
          <w:sz w:val="20"/>
        </w:rPr>
        <w:t>11</w:t>
      </w:r>
      <w:r w:rsidRPr="002F3723">
        <w:rPr>
          <w:rFonts w:ascii="Arial" w:hAnsi="Arial" w:cs="Arial"/>
          <w:sz w:val="20"/>
        </w:rPr>
        <w:t>). Rice plant demands N maximum amount between the early to mid-tillering and panicle initiation stages (</w:t>
      </w:r>
      <w:r w:rsidR="00DC0FE3">
        <w:rPr>
          <w:rFonts w:ascii="Arial" w:hAnsi="Arial" w:cs="Arial"/>
          <w:sz w:val="20"/>
        </w:rPr>
        <w:t>12</w:t>
      </w:r>
      <w:r w:rsidRPr="002F3723">
        <w:rPr>
          <w:rFonts w:ascii="Arial" w:hAnsi="Arial" w:cs="Arial"/>
          <w:sz w:val="20"/>
        </w:rPr>
        <w:t>). Thus, quantifying the amount of mineral N supply at a particular period was essential for synchronization with crop demand. The study was undertaken to estimate potential provision of biomass &amp; nutrients and to investigate mineralization rate after incorporation of Sunn hemp regarding with different ages into paddy soil.</w:t>
      </w:r>
    </w:p>
    <w:p w14:paraId="2EA93409" w14:textId="77777777" w:rsidR="002F3723" w:rsidRPr="00A85918" w:rsidRDefault="002F3723" w:rsidP="009E5B6C">
      <w:pPr>
        <w:spacing w:line="240" w:lineRule="auto"/>
        <w:jc w:val="both"/>
        <w:rPr>
          <w:rFonts w:ascii="Arial" w:hAnsi="Arial" w:cs="Arial"/>
          <w:sz w:val="20"/>
        </w:rPr>
      </w:pPr>
    </w:p>
    <w:p w14:paraId="7A4C07B7" w14:textId="7763BEE9" w:rsidR="00A85918" w:rsidRDefault="00A85918" w:rsidP="009E5B6C">
      <w:pPr>
        <w:keepNext/>
        <w:keepLines/>
        <w:spacing w:line="240" w:lineRule="auto"/>
        <w:outlineLvl w:val="0"/>
        <w:rPr>
          <w:rFonts w:ascii="Arial" w:eastAsiaTheme="majorEastAsia" w:hAnsi="Arial" w:cs="Arial"/>
          <w:b/>
          <w:bCs/>
          <w:sz w:val="22"/>
          <w:szCs w:val="22"/>
          <w:lang w:bidi="ar-SA"/>
        </w:rPr>
      </w:pPr>
      <w:r w:rsidRPr="00A85918">
        <w:rPr>
          <w:rFonts w:ascii="Arial" w:eastAsiaTheme="majorEastAsia" w:hAnsi="Arial" w:cs="Arial"/>
          <w:b/>
          <w:bCs/>
          <w:sz w:val="22"/>
          <w:szCs w:val="22"/>
          <w:lang w:bidi="ar-SA"/>
        </w:rPr>
        <w:t xml:space="preserve">2. Materials and Methods </w:t>
      </w:r>
    </w:p>
    <w:p w14:paraId="489FEBD4" w14:textId="77777777" w:rsidR="00C97832" w:rsidRPr="00A85918" w:rsidRDefault="00C97832" w:rsidP="009E5B6C">
      <w:pPr>
        <w:keepNext/>
        <w:keepLines/>
        <w:spacing w:line="240" w:lineRule="auto"/>
        <w:outlineLvl w:val="0"/>
        <w:rPr>
          <w:rFonts w:ascii="Arial" w:eastAsiaTheme="majorEastAsia" w:hAnsi="Arial" w:cs="Arial"/>
          <w:b/>
          <w:bCs/>
          <w:sz w:val="22"/>
          <w:szCs w:val="22"/>
          <w:lang w:bidi="ar-SA"/>
        </w:rPr>
      </w:pPr>
    </w:p>
    <w:p w14:paraId="02B22595" w14:textId="584EDA3D" w:rsidR="00C97832" w:rsidRDefault="002F3723" w:rsidP="009E5B6C">
      <w:pPr>
        <w:spacing w:line="240" w:lineRule="auto"/>
        <w:jc w:val="both"/>
        <w:rPr>
          <w:rFonts w:ascii="Arial" w:hAnsi="Arial" w:cs="Arial"/>
          <w:sz w:val="20"/>
        </w:rPr>
      </w:pPr>
      <w:r w:rsidRPr="002F3723">
        <w:rPr>
          <w:rFonts w:ascii="Arial" w:hAnsi="Arial" w:cs="Arial"/>
          <w:sz w:val="20"/>
        </w:rPr>
        <w:t>In this study, there were two experiments for estimation of biomass production from Sunn hemp at various ages and for investigation of mineralization from the incorporated these Sunn hemps with living rice plants.</w:t>
      </w:r>
    </w:p>
    <w:p w14:paraId="6417491A" w14:textId="77777777" w:rsidR="002F3723" w:rsidRPr="009E5B6C" w:rsidRDefault="002F3723" w:rsidP="009E5B6C">
      <w:pPr>
        <w:spacing w:line="240" w:lineRule="auto"/>
        <w:jc w:val="both"/>
        <w:rPr>
          <w:rFonts w:ascii="Arial" w:hAnsi="Arial" w:cs="Arial"/>
          <w:sz w:val="20"/>
        </w:rPr>
      </w:pPr>
    </w:p>
    <w:p w14:paraId="57C9512F" w14:textId="07587A42" w:rsidR="00A85918" w:rsidRDefault="00A85918" w:rsidP="009E5B6C">
      <w:pPr>
        <w:keepNext/>
        <w:keepLines/>
        <w:spacing w:line="240" w:lineRule="auto"/>
        <w:outlineLvl w:val="1"/>
        <w:rPr>
          <w:rFonts w:ascii="Arial" w:hAnsi="Arial" w:cs="Arial"/>
          <w:b/>
          <w:bCs/>
          <w:sz w:val="22"/>
          <w:szCs w:val="22"/>
        </w:rPr>
      </w:pPr>
      <w:r w:rsidRPr="00A85918">
        <w:rPr>
          <w:rFonts w:ascii="Arial" w:hAnsi="Arial" w:cs="Arial"/>
          <w:b/>
          <w:bCs/>
          <w:sz w:val="22"/>
          <w:szCs w:val="22"/>
        </w:rPr>
        <w:t xml:space="preserve">2.1 Experimental Site </w:t>
      </w:r>
    </w:p>
    <w:p w14:paraId="6856E123" w14:textId="77777777" w:rsidR="00C97832" w:rsidRPr="00A85918" w:rsidRDefault="00C97832" w:rsidP="009E5B6C">
      <w:pPr>
        <w:keepNext/>
        <w:keepLines/>
        <w:spacing w:line="240" w:lineRule="auto"/>
        <w:outlineLvl w:val="1"/>
        <w:rPr>
          <w:rFonts w:ascii="Arial" w:hAnsi="Arial" w:cs="Arial"/>
          <w:b/>
          <w:bCs/>
          <w:sz w:val="22"/>
          <w:szCs w:val="22"/>
        </w:rPr>
      </w:pPr>
    </w:p>
    <w:p w14:paraId="613C5954" w14:textId="48337EBD" w:rsidR="00A85918" w:rsidRPr="009E5B6C" w:rsidRDefault="00A85918" w:rsidP="009E5B6C">
      <w:pPr>
        <w:spacing w:line="240" w:lineRule="auto"/>
        <w:jc w:val="both"/>
        <w:rPr>
          <w:rFonts w:ascii="Arial" w:hAnsi="Arial" w:cs="Arial"/>
          <w:sz w:val="20"/>
        </w:rPr>
      </w:pPr>
      <w:r w:rsidRPr="00A85918">
        <w:rPr>
          <w:rFonts w:ascii="Arial" w:hAnsi="Arial" w:cs="Arial"/>
          <w:sz w:val="20"/>
        </w:rPr>
        <w:t>The tank-experiment (2 x 1 m</w:t>
      </w:r>
      <w:r w:rsidRPr="00A85918">
        <w:rPr>
          <w:rFonts w:ascii="Arial" w:hAnsi="Arial" w:cs="Arial"/>
          <w:sz w:val="20"/>
          <w:vertAlign w:val="superscript"/>
        </w:rPr>
        <w:t>2</w:t>
      </w:r>
      <w:r w:rsidRPr="00A85918">
        <w:rPr>
          <w:rFonts w:ascii="Arial" w:hAnsi="Arial" w:cs="Arial"/>
          <w:sz w:val="20"/>
        </w:rPr>
        <w:t>) was carried out in 15 Feb to 30 June 2024. The experiment was conducted at Water Utilization Research Section, Department of Agricultural Research, DAR (</w:t>
      </w:r>
      <w:proofErr w:type="spellStart"/>
      <w:r w:rsidRPr="00A85918">
        <w:rPr>
          <w:rFonts w:ascii="Arial" w:hAnsi="Arial" w:cs="Arial"/>
          <w:sz w:val="20"/>
        </w:rPr>
        <w:t>Yezin</w:t>
      </w:r>
      <w:proofErr w:type="spellEnd"/>
      <w:r w:rsidRPr="00A85918">
        <w:rPr>
          <w:rFonts w:ascii="Arial" w:hAnsi="Arial" w:cs="Arial"/>
          <w:sz w:val="20"/>
        </w:rPr>
        <w:t>). It is situated at</w:t>
      </w:r>
      <w:r w:rsidRPr="00A85918">
        <w:rPr>
          <w:rFonts w:ascii="Arial" w:eastAsiaTheme="minorHAnsi" w:hAnsi="Arial" w:cs="Arial"/>
          <w:sz w:val="20"/>
          <w:lang w:bidi="ar-SA"/>
        </w:rPr>
        <w:t xml:space="preserve"> latitude </w:t>
      </w:r>
      <w:r w:rsidRPr="00A85918">
        <w:rPr>
          <w:rFonts w:ascii="Arial" w:hAnsi="Arial" w:cs="Arial"/>
          <w:sz w:val="20"/>
        </w:rPr>
        <w:t xml:space="preserve">19.82415° or 19° 49' 27" north and longitude of 96.27597° or 96° 16' 34" east. </w:t>
      </w:r>
    </w:p>
    <w:p w14:paraId="7A91F80A" w14:textId="77777777" w:rsidR="00A85918" w:rsidRPr="00A85918" w:rsidRDefault="00A85918" w:rsidP="009E5B6C">
      <w:pPr>
        <w:spacing w:line="240" w:lineRule="auto"/>
        <w:jc w:val="both"/>
        <w:rPr>
          <w:rFonts w:ascii="Arial" w:hAnsi="Arial" w:cs="Arial"/>
          <w:sz w:val="20"/>
        </w:rPr>
      </w:pPr>
    </w:p>
    <w:p w14:paraId="633BE2E0" w14:textId="10E2AF60" w:rsidR="00A85918" w:rsidRDefault="00A85918" w:rsidP="009E5B6C">
      <w:pPr>
        <w:spacing w:line="240" w:lineRule="auto"/>
        <w:jc w:val="both"/>
        <w:rPr>
          <w:rFonts w:ascii="Arial" w:hAnsi="Arial" w:cs="Arial"/>
          <w:b/>
          <w:bCs/>
          <w:sz w:val="22"/>
          <w:szCs w:val="22"/>
        </w:rPr>
      </w:pPr>
      <w:r w:rsidRPr="00A85918">
        <w:rPr>
          <w:rFonts w:ascii="Arial" w:hAnsi="Arial" w:cs="Arial"/>
          <w:b/>
          <w:bCs/>
          <w:sz w:val="22"/>
          <w:szCs w:val="22"/>
        </w:rPr>
        <w:t>2.2 Experimental Design</w:t>
      </w:r>
      <w:r w:rsidR="00C97832">
        <w:rPr>
          <w:rFonts w:ascii="Arial" w:hAnsi="Arial" w:cs="Arial"/>
          <w:b/>
          <w:bCs/>
          <w:sz w:val="22"/>
          <w:szCs w:val="22"/>
        </w:rPr>
        <w:t xml:space="preserve"> </w:t>
      </w:r>
    </w:p>
    <w:p w14:paraId="636EBF9A" w14:textId="77777777" w:rsidR="00C97832" w:rsidRPr="00A85918" w:rsidRDefault="00C97832" w:rsidP="009E5B6C">
      <w:pPr>
        <w:spacing w:line="240" w:lineRule="auto"/>
        <w:jc w:val="both"/>
        <w:rPr>
          <w:rFonts w:ascii="Arial" w:hAnsi="Arial" w:cs="Arial"/>
          <w:b/>
          <w:bCs/>
          <w:sz w:val="22"/>
          <w:szCs w:val="22"/>
        </w:rPr>
      </w:pPr>
    </w:p>
    <w:p w14:paraId="204F0F49" w14:textId="482AC1FA" w:rsidR="00A85918" w:rsidRDefault="002F3723" w:rsidP="009E5B6C">
      <w:pPr>
        <w:spacing w:line="240" w:lineRule="auto"/>
        <w:jc w:val="both"/>
        <w:rPr>
          <w:rFonts w:ascii="Arial" w:hAnsi="Arial" w:cs="Arial"/>
          <w:sz w:val="20"/>
        </w:rPr>
      </w:pPr>
      <w:r w:rsidRPr="002F3723">
        <w:rPr>
          <w:rFonts w:ascii="Arial" w:hAnsi="Arial" w:cs="Arial"/>
          <w:sz w:val="20"/>
        </w:rPr>
        <w:t>There were four treatments such as control, Sunn hemp at 45 days (SH45), 60 days (SH60) and 75 days (SH75). The experiment was designed as randomized completely block with 3 replications.</w:t>
      </w:r>
    </w:p>
    <w:p w14:paraId="2B608018" w14:textId="77777777" w:rsidR="002F3723" w:rsidRPr="00A85918" w:rsidRDefault="002F3723" w:rsidP="009E5B6C">
      <w:pPr>
        <w:spacing w:line="240" w:lineRule="auto"/>
        <w:jc w:val="both"/>
        <w:rPr>
          <w:rFonts w:ascii="Arial" w:hAnsi="Arial" w:cs="Arial"/>
          <w:sz w:val="22"/>
          <w:szCs w:val="22"/>
        </w:rPr>
      </w:pPr>
    </w:p>
    <w:p w14:paraId="1EBAA93F" w14:textId="2AB96CF6" w:rsidR="00A85918" w:rsidRDefault="00A85918" w:rsidP="009E5B6C">
      <w:pPr>
        <w:keepNext/>
        <w:keepLines/>
        <w:spacing w:line="240" w:lineRule="auto"/>
        <w:outlineLvl w:val="1"/>
        <w:rPr>
          <w:rFonts w:ascii="Arial" w:hAnsi="Arial" w:cs="Arial"/>
          <w:b/>
          <w:bCs/>
          <w:sz w:val="22"/>
          <w:szCs w:val="22"/>
        </w:rPr>
      </w:pPr>
      <w:r w:rsidRPr="00A85918">
        <w:rPr>
          <w:rFonts w:ascii="Arial" w:hAnsi="Arial" w:cs="Arial"/>
          <w:b/>
          <w:bCs/>
          <w:sz w:val="22"/>
          <w:szCs w:val="22"/>
        </w:rPr>
        <w:t xml:space="preserve">2.3 Cultivation of Sunn hemp </w:t>
      </w:r>
    </w:p>
    <w:p w14:paraId="2695D011" w14:textId="77777777" w:rsidR="00C97832" w:rsidRPr="00A85918" w:rsidRDefault="00C97832" w:rsidP="009E5B6C">
      <w:pPr>
        <w:keepNext/>
        <w:keepLines/>
        <w:spacing w:line="240" w:lineRule="auto"/>
        <w:outlineLvl w:val="1"/>
        <w:rPr>
          <w:rFonts w:ascii="Arial" w:hAnsi="Arial" w:cs="Arial"/>
          <w:b/>
          <w:bCs/>
          <w:sz w:val="22"/>
          <w:szCs w:val="22"/>
        </w:rPr>
      </w:pPr>
    </w:p>
    <w:p w14:paraId="648B0A80" w14:textId="76E219D3" w:rsidR="00A85918" w:rsidRDefault="002F3723" w:rsidP="009E5B6C">
      <w:pPr>
        <w:spacing w:line="240" w:lineRule="auto"/>
        <w:jc w:val="both"/>
        <w:rPr>
          <w:rFonts w:ascii="Arial" w:hAnsi="Arial" w:cs="Arial"/>
          <w:sz w:val="20"/>
        </w:rPr>
      </w:pPr>
      <w:r w:rsidRPr="002F3723">
        <w:rPr>
          <w:rFonts w:ascii="Arial" w:hAnsi="Arial" w:cs="Arial"/>
          <w:sz w:val="20"/>
        </w:rPr>
        <w:t>The soil in all tanks were mixed to be homogenous and samples were taken and analyzed at the laboratory of Land Use Division, Department of Agriculture (DOA). Seed rate of Sunn hemp</w:t>
      </w:r>
      <w:r w:rsidR="000B66D8">
        <w:rPr>
          <w:rFonts w:ascii="Arial" w:hAnsi="Arial" w:cs="Arial"/>
          <w:sz w:val="20"/>
        </w:rPr>
        <w:t xml:space="preserve"> was</w:t>
      </w:r>
      <w:r w:rsidRPr="002F3723">
        <w:rPr>
          <w:rFonts w:ascii="Arial" w:hAnsi="Arial" w:cs="Arial"/>
          <w:sz w:val="20"/>
        </w:rPr>
        <w:t xml:space="preserve"> 44.9 kg ha</w:t>
      </w:r>
      <w:r w:rsidRPr="000B66D8">
        <w:rPr>
          <w:rFonts w:ascii="Arial" w:hAnsi="Arial" w:cs="Arial"/>
          <w:sz w:val="20"/>
          <w:vertAlign w:val="superscript"/>
        </w:rPr>
        <w:t>-1</w:t>
      </w:r>
      <w:r w:rsidRPr="002F3723">
        <w:rPr>
          <w:rFonts w:ascii="Arial" w:hAnsi="Arial" w:cs="Arial"/>
          <w:sz w:val="20"/>
        </w:rPr>
        <w:t xml:space="preserve">. Seed was broadcasted and other management such as irrigation were done based on requirement. Sunn hemp biomasses were separately collected at their different age by cutting plant near the soil surface. Fresh weights of biomass were recorded within 1 hour after harvest. Terminated Sunn hemp </w:t>
      </w:r>
      <w:proofErr w:type="gramStart"/>
      <w:r w:rsidRPr="002F3723">
        <w:rPr>
          <w:rFonts w:ascii="Arial" w:hAnsi="Arial" w:cs="Arial"/>
          <w:sz w:val="20"/>
        </w:rPr>
        <w:t>were</w:t>
      </w:r>
      <w:proofErr w:type="gramEnd"/>
      <w:r w:rsidRPr="002F3723">
        <w:rPr>
          <w:rFonts w:ascii="Arial" w:hAnsi="Arial" w:cs="Arial"/>
          <w:sz w:val="20"/>
        </w:rPr>
        <w:t xml:space="preserve"> chopped into 5 cm long pieces of residue using chopper and then incorporated into the soil at a depth of 10</w:t>
      </w:r>
      <w:r w:rsidR="0006050F">
        <w:rPr>
          <w:rFonts w:ascii="Arial" w:hAnsi="Arial" w:cs="Arial"/>
          <w:sz w:val="20"/>
        </w:rPr>
        <w:t>-15</w:t>
      </w:r>
      <w:r w:rsidRPr="002F3723">
        <w:rPr>
          <w:rFonts w:ascii="Arial" w:hAnsi="Arial" w:cs="Arial"/>
          <w:sz w:val="20"/>
        </w:rPr>
        <w:t xml:space="preserve"> cm (</w:t>
      </w:r>
      <w:r w:rsidR="00DC0FE3">
        <w:rPr>
          <w:rFonts w:ascii="Arial" w:hAnsi="Arial" w:cs="Arial"/>
          <w:sz w:val="20"/>
        </w:rPr>
        <w:t>7</w:t>
      </w:r>
      <w:r w:rsidRPr="002F3723">
        <w:rPr>
          <w:rFonts w:ascii="Arial" w:hAnsi="Arial" w:cs="Arial"/>
          <w:sz w:val="20"/>
        </w:rPr>
        <w:t>). After Sunn hemp incorporation into soil, left the soil a week for decomposition.</w:t>
      </w:r>
    </w:p>
    <w:p w14:paraId="57454676" w14:textId="77777777" w:rsidR="002F3723" w:rsidRPr="00A85918" w:rsidRDefault="002F3723" w:rsidP="009E5B6C">
      <w:pPr>
        <w:spacing w:line="240" w:lineRule="auto"/>
        <w:jc w:val="both"/>
        <w:rPr>
          <w:rFonts w:ascii="Arial" w:hAnsi="Arial" w:cs="Arial"/>
          <w:sz w:val="22"/>
          <w:szCs w:val="22"/>
        </w:rPr>
      </w:pPr>
    </w:p>
    <w:p w14:paraId="44F38260" w14:textId="4CA9A3C4" w:rsidR="00A85918" w:rsidRDefault="00A85918" w:rsidP="009E5B6C">
      <w:pPr>
        <w:keepNext/>
        <w:keepLines/>
        <w:spacing w:line="240" w:lineRule="auto"/>
        <w:outlineLvl w:val="1"/>
        <w:rPr>
          <w:rFonts w:ascii="Arial" w:hAnsi="Arial" w:cs="Arial"/>
          <w:b/>
          <w:bCs/>
          <w:sz w:val="22"/>
          <w:szCs w:val="22"/>
        </w:rPr>
      </w:pPr>
      <w:r w:rsidRPr="00A85918">
        <w:rPr>
          <w:rFonts w:ascii="Arial" w:hAnsi="Arial" w:cs="Arial"/>
          <w:b/>
          <w:bCs/>
          <w:sz w:val="22"/>
          <w:szCs w:val="22"/>
        </w:rPr>
        <w:t>2.4 Cultivation of Rice</w:t>
      </w:r>
      <w:r w:rsidR="00C97832">
        <w:rPr>
          <w:rFonts w:ascii="Arial" w:hAnsi="Arial" w:cs="Arial"/>
          <w:b/>
          <w:bCs/>
          <w:sz w:val="22"/>
          <w:szCs w:val="22"/>
        </w:rPr>
        <w:t xml:space="preserve"> </w:t>
      </w:r>
    </w:p>
    <w:p w14:paraId="22FC748A" w14:textId="77777777" w:rsidR="00C97832" w:rsidRPr="00A85918" w:rsidRDefault="00C97832" w:rsidP="009E5B6C">
      <w:pPr>
        <w:keepNext/>
        <w:keepLines/>
        <w:spacing w:line="240" w:lineRule="auto"/>
        <w:outlineLvl w:val="1"/>
        <w:rPr>
          <w:rFonts w:ascii="Arial" w:hAnsi="Arial" w:cs="Arial"/>
          <w:color w:val="2F5496" w:themeColor="accent1" w:themeShade="BF"/>
          <w:sz w:val="22"/>
          <w:szCs w:val="22"/>
        </w:rPr>
      </w:pPr>
    </w:p>
    <w:p w14:paraId="499B422D" w14:textId="33877358" w:rsidR="00A85918" w:rsidRDefault="002F3723" w:rsidP="009E5B6C">
      <w:pPr>
        <w:spacing w:line="240" w:lineRule="auto"/>
        <w:jc w:val="both"/>
        <w:rPr>
          <w:rFonts w:ascii="Arial" w:hAnsi="Arial" w:cs="Arial"/>
          <w:sz w:val="20"/>
        </w:rPr>
      </w:pPr>
      <w:r w:rsidRPr="002F3723">
        <w:rPr>
          <w:rFonts w:ascii="Arial" w:hAnsi="Arial" w:cs="Arial"/>
          <w:sz w:val="20"/>
        </w:rPr>
        <w:t>Sin Thu kha (Oryza sativa. L), life span of 135 days, was cultivated in the treated tanks. Before cultivation, seeds were soaked in water for 24 hours and then incubated for 48 hours. The sprouted seeds were sown on a well-prepared seed bed using wet bed method. Then, 25 days old seedlings were transplanted one seedling per hill with the spacing of 20 cm x 15 cm. Thus, there were 60 hills in a tank.</w:t>
      </w:r>
    </w:p>
    <w:p w14:paraId="6E60D60D" w14:textId="77777777" w:rsidR="002F3723" w:rsidRPr="00A85918" w:rsidRDefault="002F3723" w:rsidP="009E5B6C">
      <w:pPr>
        <w:spacing w:line="240" w:lineRule="auto"/>
        <w:jc w:val="both"/>
        <w:rPr>
          <w:rFonts w:ascii="Arial" w:hAnsi="Arial" w:cs="Arial"/>
          <w:sz w:val="22"/>
          <w:szCs w:val="22"/>
        </w:rPr>
      </w:pPr>
    </w:p>
    <w:p w14:paraId="673CDADB" w14:textId="4A0F9FE8" w:rsidR="00A85918" w:rsidRDefault="00A85918" w:rsidP="009E5B6C">
      <w:pPr>
        <w:spacing w:line="240" w:lineRule="auto"/>
        <w:jc w:val="both"/>
        <w:rPr>
          <w:rFonts w:ascii="Arial" w:hAnsi="Arial" w:cs="Arial"/>
          <w:b/>
          <w:bCs/>
          <w:sz w:val="22"/>
          <w:szCs w:val="22"/>
        </w:rPr>
      </w:pPr>
      <w:r w:rsidRPr="00A85918">
        <w:rPr>
          <w:rFonts w:ascii="Arial" w:hAnsi="Arial" w:cs="Arial"/>
          <w:b/>
          <w:bCs/>
          <w:sz w:val="22"/>
          <w:szCs w:val="22"/>
        </w:rPr>
        <w:t xml:space="preserve">2.5 Physicochemical properties of experimental soil </w:t>
      </w:r>
    </w:p>
    <w:p w14:paraId="547675F3" w14:textId="77777777" w:rsidR="00C97832" w:rsidRPr="00A85918" w:rsidRDefault="00C97832" w:rsidP="009E5B6C">
      <w:pPr>
        <w:spacing w:line="240" w:lineRule="auto"/>
        <w:jc w:val="both"/>
        <w:rPr>
          <w:rFonts w:ascii="Arial" w:hAnsi="Arial" w:cs="Arial"/>
          <w:b/>
          <w:bCs/>
          <w:sz w:val="22"/>
          <w:szCs w:val="22"/>
        </w:rPr>
      </w:pPr>
    </w:p>
    <w:p w14:paraId="24A50077" w14:textId="77777777" w:rsidR="00A85918" w:rsidRPr="00A85918" w:rsidRDefault="00A85918" w:rsidP="009E5B6C">
      <w:pPr>
        <w:spacing w:line="240" w:lineRule="auto"/>
        <w:contextualSpacing/>
        <w:jc w:val="both"/>
        <w:rPr>
          <w:rFonts w:ascii="Arial" w:hAnsi="Arial" w:cs="Arial"/>
          <w:sz w:val="20"/>
        </w:rPr>
      </w:pPr>
      <w:r w:rsidRPr="00A85918">
        <w:rPr>
          <w:rFonts w:ascii="Arial" w:hAnsi="Arial" w:cs="Arial"/>
          <w:sz w:val="20"/>
        </w:rPr>
        <w:t>Composite soil samples were collected prior to the experiments and analyzed for their physicochemical characteristics as shown in the table 1.</w:t>
      </w:r>
    </w:p>
    <w:p w14:paraId="18DA24A7" w14:textId="77777777" w:rsidR="00A85918" w:rsidRPr="00A85918" w:rsidRDefault="00A85918" w:rsidP="009E5B6C">
      <w:pPr>
        <w:spacing w:line="240" w:lineRule="auto"/>
        <w:contextualSpacing/>
        <w:jc w:val="both"/>
        <w:rPr>
          <w:rFonts w:ascii="Arial" w:hAnsi="Arial" w:cs="Arial"/>
          <w:strike/>
          <w:sz w:val="22"/>
          <w:szCs w:val="22"/>
        </w:rPr>
      </w:pPr>
    </w:p>
    <w:p w14:paraId="03BCCFA5" w14:textId="77777777" w:rsidR="00A85918" w:rsidRPr="00A85918" w:rsidRDefault="00A85918" w:rsidP="009E5B6C">
      <w:pPr>
        <w:spacing w:line="240" w:lineRule="auto"/>
        <w:contextualSpacing/>
        <w:rPr>
          <w:rFonts w:ascii="Arial" w:eastAsiaTheme="minorHAnsi" w:hAnsi="Arial" w:cs="Arial"/>
          <w:b/>
          <w:bCs/>
          <w:sz w:val="22"/>
          <w:szCs w:val="22"/>
          <w:lang w:bidi="ar-SA"/>
        </w:rPr>
      </w:pPr>
      <w:r w:rsidRPr="00A85918">
        <w:rPr>
          <w:rFonts w:ascii="Arial" w:eastAsiaTheme="minorHAnsi" w:hAnsi="Arial" w:cs="Arial"/>
          <w:b/>
          <w:bCs/>
          <w:sz w:val="22"/>
          <w:szCs w:val="22"/>
          <w:lang w:bidi="ar-SA"/>
        </w:rPr>
        <w:t xml:space="preserve">Table 1. Physicochemical properties of experimental soil </w:t>
      </w:r>
    </w:p>
    <w:p w14:paraId="7D76B086" w14:textId="77777777" w:rsidR="00A85918" w:rsidRPr="00A85918" w:rsidRDefault="00A85918" w:rsidP="009E5B6C">
      <w:pPr>
        <w:spacing w:line="240" w:lineRule="auto"/>
        <w:contextualSpacing/>
        <w:rPr>
          <w:rFonts w:ascii="Arial" w:eastAsiaTheme="minorHAnsi" w:hAnsi="Arial" w:cs="Arial"/>
          <w:b/>
          <w:bCs/>
          <w:sz w:val="22"/>
          <w:szCs w:val="22"/>
          <w:lang w:bidi="ar-SA"/>
        </w:rPr>
      </w:pPr>
    </w:p>
    <w:tbl>
      <w:tblPr>
        <w:tblStyle w:val="TableGrid1"/>
        <w:tblW w:w="7629" w:type="dxa"/>
        <w:jc w:val="center"/>
        <w:tblLook w:val="04A0" w:firstRow="1" w:lastRow="0" w:firstColumn="1" w:lastColumn="0" w:noHBand="0" w:noVBand="1"/>
      </w:tblPr>
      <w:tblGrid>
        <w:gridCol w:w="2330"/>
        <w:gridCol w:w="808"/>
        <w:gridCol w:w="1617"/>
        <w:gridCol w:w="2874"/>
      </w:tblGrid>
      <w:tr w:rsidR="009E5B6C" w:rsidRPr="00C97832" w14:paraId="4F67BB24" w14:textId="77777777" w:rsidTr="00C97832">
        <w:trPr>
          <w:trHeight w:val="411"/>
          <w:jc w:val="center"/>
        </w:trPr>
        <w:tc>
          <w:tcPr>
            <w:tcW w:w="2330" w:type="dxa"/>
            <w:vAlign w:val="center"/>
          </w:tcPr>
          <w:p w14:paraId="4D5EFEBD" w14:textId="77777777" w:rsidR="009E5B6C" w:rsidRPr="00A85918" w:rsidRDefault="009E5B6C" w:rsidP="009E5B6C">
            <w:pPr>
              <w:spacing w:line="240" w:lineRule="auto"/>
              <w:contextualSpacing/>
              <w:jc w:val="center"/>
              <w:rPr>
                <w:rFonts w:ascii="Arial" w:hAnsi="Arial" w:cs="Arial"/>
                <w:b/>
                <w:bCs/>
                <w:sz w:val="20"/>
                <w:szCs w:val="20"/>
              </w:rPr>
            </w:pPr>
            <w:r w:rsidRPr="00A85918">
              <w:rPr>
                <w:rFonts w:ascii="Arial" w:hAnsi="Arial" w:cs="Arial"/>
                <w:b/>
                <w:bCs/>
                <w:sz w:val="20"/>
                <w:szCs w:val="20"/>
              </w:rPr>
              <w:t>Parameter</w:t>
            </w:r>
          </w:p>
        </w:tc>
        <w:tc>
          <w:tcPr>
            <w:tcW w:w="808" w:type="dxa"/>
            <w:vAlign w:val="center"/>
          </w:tcPr>
          <w:p w14:paraId="505F6E74" w14:textId="77777777" w:rsidR="009E5B6C" w:rsidRPr="00A85918" w:rsidRDefault="009E5B6C" w:rsidP="009E5B6C">
            <w:pPr>
              <w:spacing w:line="240" w:lineRule="auto"/>
              <w:contextualSpacing/>
              <w:jc w:val="center"/>
              <w:rPr>
                <w:rFonts w:ascii="Arial" w:hAnsi="Arial" w:cs="Arial"/>
                <w:b/>
                <w:bCs/>
                <w:sz w:val="20"/>
                <w:szCs w:val="20"/>
              </w:rPr>
            </w:pPr>
            <w:r w:rsidRPr="00A85918">
              <w:rPr>
                <w:rFonts w:ascii="Arial" w:hAnsi="Arial" w:cs="Arial"/>
                <w:b/>
                <w:bCs/>
                <w:sz w:val="20"/>
                <w:szCs w:val="20"/>
              </w:rPr>
              <w:t>Value</w:t>
            </w:r>
          </w:p>
        </w:tc>
        <w:tc>
          <w:tcPr>
            <w:tcW w:w="1617" w:type="dxa"/>
            <w:vAlign w:val="center"/>
          </w:tcPr>
          <w:p w14:paraId="781D3127" w14:textId="77777777" w:rsidR="009E5B6C" w:rsidRPr="00A85918" w:rsidRDefault="009E5B6C" w:rsidP="009E5B6C">
            <w:pPr>
              <w:spacing w:line="240" w:lineRule="auto"/>
              <w:contextualSpacing/>
              <w:jc w:val="center"/>
              <w:rPr>
                <w:rFonts w:ascii="Arial" w:hAnsi="Arial" w:cs="Arial"/>
                <w:b/>
                <w:bCs/>
                <w:sz w:val="20"/>
                <w:szCs w:val="20"/>
              </w:rPr>
            </w:pPr>
            <w:r w:rsidRPr="00A85918">
              <w:rPr>
                <w:rFonts w:ascii="Arial" w:hAnsi="Arial" w:cs="Arial"/>
                <w:b/>
                <w:bCs/>
                <w:sz w:val="20"/>
                <w:szCs w:val="20"/>
              </w:rPr>
              <w:t>Rating</w:t>
            </w:r>
          </w:p>
        </w:tc>
        <w:tc>
          <w:tcPr>
            <w:tcW w:w="2874" w:type="dxa"/>
            <w:vAlign w:val="center"/>
          </w:tcPr>
          <w:p w14:paraId="12F39D48" w14:textId="77777777" w:rsidR="009E5B6C" w:rsidRPr="00A85918" w:rsidRDefault="009E5B6C" w:rsidP="009E5B6C">
            <w:pPr>
              <w:spacing w:line="240" w:lineRule="auto"/>
              <w:contextualSpacing/>
              <w:jc w:val="center"/>
              <w:rPr>
                <w:rFonts w:ascii="Arial" w:hAnsi="Arial" w:cs="Arial"/>
                <w:b/>
                <w:bCs/>
                <w:sz w:val="20"/>
                <w:szCs w:val="20"/>
              </w:rPr>
            </w:pPr>
            <w:r w:rsidRPr="00A85918">
              <w:rPr>
                <w:rFonts w:ascii="Arial" w:hAnsi="Arial" w:cs="Arial"/>
                <w:b/>
                <w:bCs/>
                <w:sz w:val="20"/>
                <w:szCs w:val="20"/>
              </w:rPr>
              <w:t>Methods</w:t>
            </w:r>
          </w:p>
        </w:tc>
      </w:tr>
      <w:tr w:rsidR="009E5B6C" w:rsidRPr="00C97832" w14:paraId="6FB3A800" w14:textId="77777777" w:rsidTr="00C97832">
        <w:trPr>
          <w:trHeight w:val="377"/>
          <w:jc w:val="center"/>
        </w:trPr>
        <w:tc>
          <w:tcPr>
            <w:tcW w:w="2330" w:type="dxa"/>
            <w:vAlign w:val="center"/>
          </w:tcPr>
          <w:p w14:paraId="59834272" w14:textId="77777777" w:rsidR="009E5B6C" w:rsidRPr="00A85918" w:rsidRDefault="009E5B6C" w:rsidP="009E5B6C">
            <w:pPr>
              <w:spacing w:line="240" w:lineRule="auto"/>
              <w:contextualSpacing/>
              <w:rPr>
                <w:rFonts w:ascii="Arial" w:hAnsi="Arial" w:cs="Arial"/>
                <w:b/>
                <w:bCs/>
                <w:sz w:val="20"/>
                <w:szCs w:val="20"/>
              </w:rPr>
            </w:pPr>
            <w:r w:rsidRPr="00A85918">
              <w:rPr>
                <w:rFonts w:ascii="Arial" w:hAnsi="Arial" w:cs="Arial"/>
                <w:sz w:val="20"/>
                <w:szCs w:val="20"/>
              </w:rPr>
              <w:t>pH</w:t>
            </w:r>
          </w:p>
        </w:tc>
        <w:tc>
          <w:tcPr>
            <w:tcW w:w="808" w:type="dxa"/>
            <w:vAlign w:val="center"/>
          </w:tcPr>
          <w:p w14:paraId="1B98FE9C" w14:textId="77777777" w:rsidR="009E5B6C" w:rsidRPr="00A85918" w:rsidRDefault="009E5B6C" w:rsidP="009E5B6C">
            <w:pPr>
              <w:spacing w:line="240" w:lineRule="auto"/>
              <w:contextualSpacing/>
              <w:jc w:val="center"/>
              <w:rPr>
                <w:rFonts w:ascii="Arial" w:hAnsi="Arial" w:cs="Arial"/>
                <w:b/>
                <w:bCs/>
                <w:sz w:val="20"/>
                <w:szCs w:val="20"/>
              </w:rPr>
            </w:pPr>
            <w:r w:rsidRPr="00A85918">
              <w:rPr>
                <w:rFonts w:ascii="Arial" w:hAnsi="Arial" w:cs="Arial"/>
                <w:sz w:val="20"/>
                <w:szCs w:val="20"/>
              </w:rPr>
              <w:t>7.53</w:t>
            </w:r>
          </w:p>
        </w:tc>
        <w:tc>
          <w:tcPr>
            <w:tcW w:w="1617" w:type="dxa"/>
            <w:vAlign w:val="center"/>
          </w:tcPr>
          <w:p w14:paraId="576C6F6D"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Slightly alkaline</w:t>
            </w:r>
          </w:p>
        </w:tc>
        <w:tc>
          <w:tcPr>
            <w:tcW w:w="2874" w:type="dxa"/>
            <w:vAlign w:val="center"/>
          </w:tcPr>
          <w:p w14:paraId="75FB90BF" w14:textId="443C0C23" w:rsidR="009E5B6C" w:rsidRPr="00A85918" w:rsidRDefault="00C97832" w:rsidP="009E5B6C">
            <w:pPr>
              <w:spacing w:line="240" w:lineRule="auto"/>
              <w:contextualSpacing/>
              <w:jc w:val="center"/>
              <w:rPr>
                <w:rFonts w:ascii="Arial" w:hAnsi="Arial" w:cs="Arial"/>
                <w:sz w:val="20"/>
                <w:szCs w:val="20"/>
              </w:rPr>
            </w:pPr>
            <w:r>
              <w:rPr>
                <w:rFonts w:ascii="Arial" w:hAnsi="Arial" w:cs="Arial"/>
                <w:sz w:val="20"/>
                <w:szCs w:val="20"/>
              </w:rPr>
              <w:t>1:2.5 (water)</w:t>
            </w:r>
          </w:p>
        </w:tc>
      </w:tr>
      <w:tr w:rsidR="009E5B6C" w:rsidRPr="00C97832" w14:paraId="689A8066" w14:textId="77777777" w:rsidTr="00C97832">
        <w:trPr>
          <w:trHeight w:val="305"/>
          <w:jc w:val="center"/>
        </w:trPr>
        <w:tc>
          <w:tcPr>
            <w:tcW w:w="2330" w:type="dxa"/>
            <w:vAlign w:val="center"/>
          </w:tcPr>
          <w:p w14:paraId="5A40FE63" w14:textId="77777777" w:rsidR="009E5B6C" w:rsidRPr="00A85918" w:rsidRDefault="009E5B6C" w:rsidP="009E5B6C">
            <w:pPr>
              <w:spacing w:line="240" w:lineRule="auto"/>
              <w:rPr>
                <w:rFonts w:ascii="Arial" w:hAnsi="Arial" w:cs="Arial"/>
                <w:b/>
                <w:bCs/>
                <w:sz w:val="20"/>
                <w:szCs w:val="20"/>
              </w:rPr>
            </w:pPr>
            <w:r w:rsidRPr="00A85918">
              <w:rPr>
                <w:rFonts w:ascii="Arial" w:hAnsi="Arial" w:cs="Arial"/>
                <w:sz w:val="20"/>
                <w:szCs w:val="20"/>
              </w:rPr>
              <w:t>EC (mS cm</w:t>
            </w:r>
            <w:r w:rsidRPr="00A85918">
              <w:rPr>
                <w:rFonts w:ascii="Arial" w:hAnsi="Arial" w:cs="Arial"/>
                <w:sz w:val="20"/>
                <w:szCs w:val="20"/>
                <w:vertAlign w:val="superscript"/>
              </w:rPr>
              <w:t>-1</w:t>
            </w:r>
            <w:r w:rsidRPr="00A85918">
              <w:rPr>
                <w:rFonts w:ascii="Arial" w:hAnsi="Arial" w:cs="Arial"/>
                <w:sz w:val="20"/>
                <w:szCs w:val="20"/>
              </w:rPr>
              <w:t>)</w:t>
            </w:r>
          </w:p>
        </w:tc>
        <w:tc>
          <w:tcPr>
            <w:tcW w:w="808" w:type="dxa"/>
            <w:vAlign w:val="center"/>
          </w:tcPr>
          <w:p w14:paraId="0A6BF582" w14:textId="77777777" w:rsidR="009E5B6C" w:rsidRPr="00A85918" w:rsidRDefault="009E5B6C" w:rsidP="009E5B6C">
            <w:pPr>
              <w:spacing w:line="240" w:lineRule="auto"/>
              <w:contextualSpacing/>
              <w:jc w:val="center"/>
              <w:rPr>
                <w:rFonts w:ascii="Arial" w:hAnsi="Arial" w:cs="Arial"/>
                <w:b/>
                <w:bCs/>
                <w:sz w:val="20"/>
                <w:szCs w:val="20"/>
              </w:rPr>
            </w:pPr>
            <w:r w:rsidRPr="00A85918">
              <w:rPr>
                <w:rFonts w:ascii="Arial" w:hAnsi="Arial" w:cs="Arial"/>
                <w:sz w:val="20"/>
                <w:szCs w:val="20"/>
              </w:rPr>
              <w:t>0.1</w:t>
            </w:r>
          </w:p>
        </w:tc>
        <w:tc>
          <w:tcPr>
            <w:tcW w:w="1617" w:type="dxa"/>
            <w:vAlign w:val="center"/>
          </w:tcPr>
          <w:p w14:paraId="6AB63206"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Very low</w:t>
            </w:r>
          </w:p>
        </w:tc>
        <w:tc>
          <w:tcPr>
            <w:tcW w:w="2874" w:type="dxa"/>
            <w:vAlign w:val="center"/>
          </w:tcPr>
          <w:p w14:paraId="6AA9FA0D" w14:textId="7CDBDD1A" w:rsidR="009E5B6C" w:rsidRPr="00A85918" w:rsidRDefault="00C6346B" w:rsidP="009E5B6C">
            <w:pPr>
              <w:spacing w:line="240" w:lineRule="auto"/>
              <w:contextualSpacing/>
              <w:jc w:val="center"/>
              <w:rPr>
                <w:rFonts w:ascii="Arial" w:hAnsi="Arial" w:cs="Arial"/>
                <w:sz w:val="20"/>
                <w:szCs w:val="20"/>
              </w:rPr>
            </w:pPr>
            <w:r>
              <w:rPr>
                <w:rFonts w:ascii="Arial" w:hAnsi="Arial" w:cs="Arial"/>
                <w:sz w:val="20"/>
                <w:szCs w:val="20"/>
              </w:rPr>
              <w:t>E</w:t>
            </w:r>
            <w:r w:rsidR="00C97832">
              <w:rPr>
                <w:rFonts w:ascii="Arial" w:hAnsi="Arial" w:cs="Arial"/>
                <w:sz w:val="20"/>
                <w:szCs w:val="20"/>
              </w:rPr>
              <w:t>lectro</w:t>
            </w:r>
            <w:r>
              <w:rPr>
                <w:rFonts w:ascii="Arial" w:hAnsi="Arial" w:cs="Arial"/>
                <w:sz w:val="20"/>
                <w:szCs w:val="20"/>
              </w:rPr>
              <w:t>d</w:t>
            </w:r>
            <w:r w:rsidR="00C97832">
              <w:rPr>
                <w:rFonts w:ascii="Arial" w:hAnsi="Arial" w:cs="Arial"/>
                <w:sz w:val="20"/>
                <w:szCs w:val="20"/>
              </w:rPr>
              <w:t>e</w:t>
            </w:r>
            <w:r>
              <w:rPr>
                <w:rFonts w:ascii="Arial" w:hAnsi="Arial" w:cs="Arial"/>
                <w:sz w:val="20"/>
                <w:szCs w:val="20"/>
              </w:rPr>
              <w:t xml:space="preserve"> method</w:t>
            </w:r>
          </w:p>
        </w:tc>
      </w:tr>
      <w:tr w:rsidR="009E5B6C" w:rsidRPr="00C97832" w14:paraId="34C0424E" w14:textId="77777777" w:rsidTr="00C97832">
        <w:trPr>
          <w:trHeight w:val="395"/>
          <w:jc w:val="center"/>
        </w:trPr>
        <w:tc>
          <w:tcPr>
            <w:tcW w:w="2330" w:type="dxa"/>
            <w:vAlign w:val="center"/>
          </w:tcPr>
          <w:p w14:paraId="0A3CC118" w14:textId="77777777" w:rsidR="009E5B6C" w:rsidRPr="00A85918" w:rsidRDefault="009E5B6C" w:rsidP="009E5B6C">
            <w:pPr>
              <w:spacing w:line="240" w:lineRule="auto"/>
              <w:contextualSpacing/>
              <w:rPr>
                <w:rFonts w:ascii="Arial" w:hAnsi="Arial" w:cs="Arial"/>
                <w:b/>
                <w:bCs/>
                <w:sz w:val="20"/>
                <w:szCs w:val="20"/>
              </w:rPr>
            </w:pPr>
            <w:r w:rsidRPr="00A85918">
              <w:rPr>
                <w:rFonts w:ascii="Arial" w:hAnsi="Arial" w:cs="Arial"/>
                <w:sz w:val="20"/>
                <w:szCs w:val="20"/>
              </w:rPr>
              <w:t>Total N%</w:t>
            </w:r>
          </w:p>
        </w:tc>
        <w:tc>
          <w:tcPr>
            <w:tcW w:w="808" w:type="dxa"/>
            <w:vAlign w:val="center"/>
          </w:tcPr>
          <w:p w14:paraId="57C868BE" w14:textId="77777777" w:rsidR="009E5B6C" w:rsidRPr="00A85918" w:rsidRDefault="009E5B6C" w:rsidP="009E5B6C">
            <w:pPr>
              <w:spacing w:line="240" w:lineRule="auto"/>
              <w:contextualSpacing/>
              <w:jc w:val="center"/>
              <w:rPr>
                <w:rFonts w:ascii="Arial" w:hAnsi="Arial" w:cs="Arial"/>
                <w:b/>
                <w:bCs/>
                <w:sz w:val="20"/>
                <w:szCs w:val="20"/>
              </w:rPr>
            </w:pPr>
            <w:r w:rsidRPr="00A85918">
              <w:rPr>
                <w:rFonts w:ascii="Arial" w:hAnsi="Arial" w:cs="Arial"/>
                <w:sz w:val="20"/>
                <w:szCs w:val="20"/>
              </w:rPr>
              <w:t>0.07</w:t>
            </w:r>
          </w:p>
        </w:tc>
        <w:tc>
          <w:tcPr>
            <w:tcW w:w="1617" w:type="dxa"/>
            <w:vAlign w:val="center"/>
          </w:tcPr>
          <w:p w14:paraId="3E67359D"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Very low</w:t>
            </w:r>
          </w:p>
        </w:tc>
        <w:tc>
          <w:tcPr>
            <w:tcW w:w="2874" w:type="dxa"/>
            <w:vAlign w:val="center"/>
          </w:tcPr>
          <w:p w14:paraId="188093CA" w14:textId="52AF3832"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Kjeldahl digestion,</w:t>
            </w:r>
            <w:r w:rsidRPr="00C97832">
              <w:rPr>
                <w:rFonts w:ascii="Arial" w:hAnsi="Arial" w:cs="Arial"/>
                <w:sz w:val="20"/>
                <w:szCs w:val="20"/>
              </w:rPr>
              <w:t xml:space="preserve"> </w:t>
            </w:r>
            <w:r w:rsidRPr="00A85918">
              <w:rPr>
                <w:rFonts w:ascii="Arial" w:hAnsi="Arial" w:cs="Arial"/>
                <w:sz w:val="20"/>
                <w:szCs w:val="20"/>
              </w:rPr>
              <w:t>distillation</w:t>
            </w:r>
          </w:p>
        </w:tc>
      </w:tr>
      <w:tr w:rsidR="009E5B6C" w:rsidRPr="00C97832" w14:paraId="622CD04E" w14:textId="77777777" w:rsidTr="00C97832">
        <w:trPr>
          <w:trHeight w:val="403"/>
          <w:jc w:val="center"/>
        </w:trPr>
        <w:tc>
          <w:tcPr>
            <w:tcW w:w="2330" w:type="dxa"/>
            <w:vAlign w:val="center"/>
          </w:tcPr>
          <w:p w14:paraId="4EBC7EDB" w14:textId="77777777" w:rsidR="009E5B6C" w:rsidRPr="00A85918" w:rsidRDefault="009E5B6C" w:rsidP="009E5B6C">
            <w:pPr>
              <w:spacing w:line="240" w:lineRule="auto"/>
              <w:contextualSpacing/>
              <w:rPr>
                <w:rFonts w:ascii="Arial" w:hAnsi="Arial" w:cs="Arial"/>
                <w:sz w:val="20"/>
                <w:szCs w:val="20"/>
              </w:rPr>
            </w:pPr>
            <w:r w:rsidRPr="00A85918">
              <w:rPr>
                <w:rFonts w:ascii="Arial" w:hAnsi="Arial" w:cs="Arial"/>
                <w:sz w:val="20"/>
                <w:szCs w:val="20"/>
              </w:rPr>
              <w:t>Available P</w:t>
            </w:r>
            <w:r w:rsidRPr="00A85918">
              <w:rPr>
                <w:rFonts w:ascii="Arial" w:hAnsi="Arial" w:cs="Arial"/>
                <w:sz w:val="20"/>
                <w:szCs w:val="20"/>
                <w:vertAlign w:val="subscript"/>
              </w:rPr>
              <w:t>2</w:t>
            </w:r>
            <w:r w:rsidRPr="00A85918">
              <w:rPr>
                <w:rFonts w:ascii="Arial" w:hAnsi="Arial" w:cs="Arial"/>
                <w:sz w:val="20"/>
                <w:szCs w:val="20"/>
              </w:rPr>
              <w:t>O</w:t>
            </w:r>
            <w:r w:rsidRPr="00A85918">
              <w:rPr>
                <w:rFonts w:ascii="Arial" w:hAnsi="Arial" w:cs="Arial"/>
                <w:sz w:val="20"/>
                <w:szCs w:val="20"/>
                <w:vertAlign w:val="subscript"/>
              </w:rPr>
              <w:t>5</w:t>
            </w:r>
            <w:r w:rsidRPr="00A85918">
              <w:rPr>
                <w:rFonts w:ascii="Arial" w:hAnsi="Arial" w:cs="Arial"/>
                <w:sz w:val="20"/>
                <w:szCs w:val="20"/>
              </w:rPr>
              <w:t xml:space="preserve"> (ppm)</w:t>
            </w:r>
          </w:p>
        </w:tc>
        <w:tc>
          <w:tcPr>
            <w:tcW w:w="808" w:type="dxa"/>
            <w:vAlign w:val="center"/>
          </w:tcPr>
          <w:p w14:paraId="305B6D34" w14:textId="77777777" w:rsidR="009E5B6C" w:rsidRPr="00A85918" w:rsidRDefault="009E5B6C" w:rsidP="009E5B6C">
            <w:pPr>
              <w:spacing w:line="240" w:lineRule="auto"/>
              <w:contextualSpacing/>
              <w:jc w:val="center"/>
              <w:rPr>
                <w:rFonts w:ascii="Arial" w:hAnsi="Arial" w:cs="Arial"/>
                <w:b/>
                <w:bCs/>
                <w:sz w:val="20"/>
                <w:szCs w:val="20"/>
              </w:rPr>
            </w:pPr>
            <w:r w:rsidRPr="00A85918">
              <w:rPr>
                <w:rFonts w:ascii="Arial" w:hAnsi="Arial" w:cs="Arial"/>
                <w:sz w:val="20"/>
                <w:szCs w:val="20"/>
              </w:rPr>
              <w:t>51</w:t>
            </w:r>
          </w:p>
        </w:tc>
        <w:tc>
          <w:tcPr>
            <w:tcW w:w="1617" w:type="dxa"/>
            <w:vAlign w:val="center"/>
          </w:tcPr>
          <w:p w14:paraId="3E792EF8"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Very high</w:t>
            </w:r>
          </w:p>
        </w:tc>
        <w:tc>
          <w:tcPr>
            <w:tcW w:w="2874" w:type="dxa"/>
            <w:vAlign w:val="center"/>
          </w:tcPr>
          <w:p w14:paraId="4A0BBA15"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Olsen</w:t>
            </w:r>
          </w:p>
        </w:tc>
      </w:tr>
      <w:tr w:rsidR="009E5B6C" w:rsidRPr="00C97832" w14:paraId="1BAFE16D" w14:textId="77777777" w:rsidTr="00C97832">
        <w:trPr>
          <w:trHeight w:val="635"/>
          <w:jc w:val="center"/>
        </w:trPr>
        <w:tc>
          <w:tcPr>
            <w:tcW w:w="2330" w:type="dxa"/>
            <w:vAlign w:val="center"/>
          </w:tcPr>
          <w:p w14:paraId="6C4035AC" w14:textId="77777777" w:rsidR="009E5B6C" w:rsidRPr="00A85918" w:rsidRDefault="009E5B6C" w:rsidP="009E5B6C">
            <w:pPr>
              <w:spacing w:line="240" w:lineRule="auto"/>
              <w:rPr>
                <w:rFonts w:ascii="Arial" w:hAnsi="Arial" w:cs="Arial"/>
                <w:sz w:val="20"/>
                <w:szCs w:val="20"/>
              </w:rPr>
            </w:pPr>
            <w:r w:rsidRPr="00A85918">
              <w:rPr>
                <w:rFonts w:ascii="Arial" w:hAnsi="Arial" w:cs="Arial"/>
                <w:sz w:val="20"/>
                <w:szCs w:val="20"/>
              </w:rPr>
              <w:t>Exchangeable K</w:t>
            </w:r>
            <w:r w:rsidRPr="00A85918">
              <w:rPr>
                <w:rFonts w:ascii="Arial" w:hAnsi="Arial" w:cs="Arial"/>
                <w:sz w:val="20"/>
                <w:szCs w:val="20"/>
                <w:vertAlign w:val="subscript"/>
              </w:rPr>
              <w:t xml:space="preserve">2 </w:t>
            </w:r>
            <w:r w:rsidRPr="00A85918">
              <w:rPr>
                <w:rFonts w:ascii="Arial" w:hAnsi="Arial" w:cs="Arial"/>
                <w:sz w:val="20"/>
                <w:szCs w:val="20"/>
              </w:rPr>
              <w:t>O (mg 100gm</w:t>
            </w:r>
            <w:r w:rsidRPr="00A85918">
              <w:rPr>
                <w:rFonts w:ascii="Arial" w:hAnsi="Arial" w:cs="Arial"/>
                <w:sz w:val="20"/>
                <w:szCs w:val="20"/>
                <w:vertAlign w:val="superscript"/>
              </w:rPr>
              <w:t>-1</w:t>
            </w:r>
            <w:r w:rsidRPr="00A85918">
              <w:rPr>
                <w:rFonts w:ascii="Arial" w:hAnsi="Arial" w:cs="Arial"/>
                <w:sz w:val="20"/>
                <w:szCs w:val="20"/>
              </w:rPr>
              <w:t>)</w:t>
            </w:r>
          </w:p>
        </w:tc>
        <w:tc>
          <w:tcPr>
            <w:tcW w:w="808" w:type="dxa"/>
            <w:vAlign w:val="center"/>
          </w:tcPr>
          <w:p w14:paraId="7657F28E" w14:textId="77777777" w:rsidR="009E5B6C" w:rsidRPr="00A85918" w:rsidRDefault="009E5B6C" w:rsidP="009E5B6C">
            <w:pPr>
              <w:spacing w:line="240" w:lineRule="auto"/>
              <w:contextualSpacing/>
              <w:jc w:val="center"/>
              <w:rPr>
                <w:rFonts w:ascii="Arial" w:hAnsi="Arial" w:cs="Arial"/>
                <w:b/>
                <w:bCs/>
                <w:sz w:val="20"/>
                <w:szCs w:val="20"/>
              </w:rPr>
            </w:pPr>
            <w:r w:rsidRPr="00A85918">
              <w:rPr>
                <w:rFonts w:ascii="Arial" w:hAnsi="Arial" w:cs="Arial"/>
                <w:sz w:val="20"/>
                <w:szCs w:val="20"/>
              </w:rPr>
              <w:t>7.23</w:t>
            </w:r>
          </w:p>
        </w:tc>
        <w:tc>
          <w:tcPr>
            <w:tcW w:w="1617" w:type="dxa"/>
            <w:vAlign w:val="center"/>
          </w:tcPr>
          <w:p w14:paraId="27012128"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Low</w:t>
            </w:r>
          </w:p>
        </w:tc>
        <w:tc>
          <w:tcPr>
            <w:tcW w:w="2874" w:type="dxa"/>
            <w:vAlign w:val="center"/>
          </w:tcPr>
          <w:p w14:paraId="7161C0D6"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Ammonium acetate extraction</w:t>
            </w:r>
          </w:p>
        </w:tc>
      </w:tr>
      <w:tr w:rsidR="009E5B6C" w:rsidRPr="00C97832" w14:paraId="64332890" w14:textId="77777777" w:rsidTr="00C97832">
        <w:trPr>
          <w:trHeight w:val="429"/>
          <w:jc w:val="center"/>
        </w:trPr>
        <w:tc>
          <w:tcPr>
            <w:tcW w:w="2330" w:type="dxa"/>
            <w:vAlign w:val="center"/>
          </w:tcPr>
          <w:p w14:paraId="4567C6E6" w14:textId="77777777" w:rsidR="009E5B6C" w:rsidRPr="00A85918" w:rsidRDefault="009E5B6C" w:rsidP="009E5B6C">
            <w:pPr>
              <w:spacing w:line="240" w:lineRule="auto"/>
              <w:rPr>
                <w:rFonts w:ascii="Arial" w:hAnsi="Arial" w:cs="Arial"/>
                <w:sz w:val="20"/>
                <w:szCs w:val="20"/>
              </w:rPr>
            </w:pPr>
            <w:r w:rsidRPr="00A85918">
              <w:rPr>
                <w:rFonts w:ascii="Arial" w:hAnsi="Arial" w:cs="Arial"/>
                <w:sz w:val="20"/>
                <w:szCs w:val="20"/>
              </w:rPr>
              <w:t>CEC (</w:t>
            </w:r>
            <w:proofErr w:type="spellStart"/>
            <w:r w:rsidRPr="00A85918">
              <w:rPr>
                <w:rFonts w:ascii="Arial" w:hAnsi="Arial" w:cs="Arial"/>
                <w:sz w:val="20"/>
                <w:szCs w:val="20"/>
              </w:rPr>
              <w:t>meq</w:t>
            </w:r>
            <w:proofErr w:type="spellEnd"/>
            <w:r w:rsidRPr="00A85918">
              <w:rPr>
                <w:rFonts w:ascii="Arial" w:hAnsi="Arial" w:cs="Arial"/>
                <w:sz w:val="20"/>
                <w:szCs w:val="20"/>
              </w:rPr>
              <w:t xml:space="preserve"> 100g</w:t>
            </w:r>
            <w:r w:rsidRPr="00A85918">
              <w:rPr>
                <w:rFonts w:ascii="Arial" w:hAnsi="Arial" w:cs="Arial"/>
                <w:sz w:val="20"/>
                <w:szCs w:val="20"/>
                <w:vertAlign w:val="superscript"/>
              </w:rPr>
              <w:t>-1</w:t>
            </w:r>
            <w:r w:rsidRPr="00A85918">
              <w:rPr>
                <w:rFonts w:ascii="Arial" w:hAnsi="Arial" w:cs="Arial"/>
                <w:sz w:val="20"/>
                <w:szCs w:val="20"/>
              </w:rPr>
              <w:t>)</w:t>
            </w:r>
          </w:p>
        </w:tc>
        <w:tc>
          <w:tcPr>
            <w:tcW w:w="808" w:type="dxa"/>
            <w:vAlign w:val="center"/>
          </w:tcPr>
          <w:p w14:paraId="39463727" w14:textId="77777777" w:rsidR="009E5B6C" w:rsidRPr="00A85918" w:rsidRDefault="009E5B6C" w:rsidP="009E5B6C">
            <w:pPr>
              <w:spacing w:line="240" w:lineRule="auto"/>
              <w:contextualSpacing/>
              <w:jc w:val="center"/>
              <w:rPr>
                <w:rFonts w:ascii="Arial" w:hAnsi="Arial" w:cs="Arial"/>
                <w:b/>
                <w:bCs/>
                <w:sz w:val="20"/>
                <w:szCs w:val="20"/>
              </w:rPr>
            </w:pPr>
            <w:r w:rsidRPr="00A85918">
              <w:rPr>
                <w:rFonts w:ascii="Arial" w:hAnsi="Arial" w:cs="Arial"/>
                <w:sz w:val="20"/>
                <w:szCs w:val="20"/>
              </w:rPr>
              <w:t>20.90</w:t>
            </w:r>
          </w:p>
        </w:tc>
        <w:tc>
          <w:tcPr>
            <w:tcW w:w="1617" w:type="dxa"/>
            <w:vAlign w:val="center"/>
          </w:tcPr>
          <w:p w14:paraId="55BEA597"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Medium</w:t>
            </w:r>
          </w:p>
        </w:tc>
        <w:tc>
          <w:tcPr>
            <w:tcW w:w="2874" w:type="dxa"/>
            <w:vAlign w:val="center"/>
          </w:tcPr>
          <w:p w14:paraId="0DE36434"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Leaching</w:t>
            </w:r>
          </w:p>
        </w:tc>
      </w:tr>
      <w:tr w:rsidR="009E5B6C" w:rsidRPr="00C97832" w14:paraId="0787EB97" w14:textId="77777777" w:rsidTr="00C97832">
        <w:trPr>
          <w:trHeight w:val="296"/>
          <w:jc w:val="center"/>
        </w:trPr>
        <w:tc>
          <w:tcPr>
            <w:tcW w:w="2330" w:type="dxa"/>
            <w:vAlign w:val="center"/>
          </w:tcPr>
          <w:p w14:paraId="19A811CD" w14:textId="77777777" w:rsidR="009E5B6C" w:rsidRPr="00A85918" w:rsidRDefault="009E5B6C" w:rsidP="009E5B6C">
            <w:pPr>
              <w:spacing w:line="240" w:lineRule="auto"/>
              <w:rPr>
                <w:rFonts w:ascii="Arial" w:hAnsi="Arial" w:cs="Arial"/>
                <w:sz w:val="20"/>
                <w:szCs w:val="20"/>
              </w:rPr>
            </w:pPr>
            <w:r w:rsidRPr="00A85918">
              <w:rPr>
                <w:rFonts w:ascii="Arial" w:hAnsi="Arial" w:cs="Arial"/>
                <w:sz w:val="20"/>
                <w:szCs w:val="20"/>
              </w:rPr>
              <w:t>Organic matter (%)</w:t>
            </w:r>
          </w:p>
        </w:tc>
        <w:tc>
          <w:tcPr>
            <w:tcW w:w="808" w:type="dxa"/>
            <w:vAlign w:val="center"/>
          </w:tcPr>
          <w:p w14:paraId="5FBFB81E" w14:textId="77777777" w:rsidR="009E5B6C" w:rsidRPr="00A85918" w:rsidRDefault="009E5B6C" w:rsidP="009E5B6C">
            <w:pPr>
              <w:spacing w:line="240" w:lineRule="auto"/>
              <w:contextualSpacing/>
              <w:jc w:val="center"/>
              <w:rPr>
                <w:rFonts w:ascii="Arial" w:hAnsi="Arial" w:cs="Arial"/>
                <w:b/>
                <w:bCs/>
                <w:sz w:val="20"/>
                <w:szCs w:val="20"/>
              </w:rPr>
            </w:pPr>
            <w:r w:rsidRPr="00A85918">
              <w:rPr>
                <w:rFonts w:ascii="Arial" w:hAnsi="Arial" w:cs="Arial"/>
                <w:sz w:val="20"/>
                <w:szCs w:val="20"/>
              </w:rPr>
              <w:t>1.96</w:t>
            </w:r>
          </w:p>
        </w:tc>
        <w:tc>
          <w:tcPr>
            <w:tcW w:w="1617" w:type="dxa"/>
            <w:vAlign w:val="center"/>
          </w:tcPr>
          <w:p w14:paraId="59073E26"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Low</w:t>
            </w:r>
          </w:p>
        </w:tc>
        <w:tc>
          <w:tcPr>
            <w:tcW w:w="2874" w:type="dxa"/>
            <w:vAlign w:val="center"/>
          </w:tcPr>
          <w:p w14:paraId="05E81D30" w14:textId="6823F2B8"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Weight loss and ignition</w:t>
            </w:r>
          </w:p>
        </w:tc>
      </w:tr>
      <w:tr w:rsidR="009E5B6C" w:rsidRPr="00C97832" w14:paraId="39205236" w14:textId="77777777" w:rsidTr="00C97832">
        <w:trPr>
          <w:trHeight w:val="395"/>
          <w:jc w:val="center"/>
        </w:trPr>
        <w:tc>
          <w:tcPr>
            <w:tcW w:w="2330" w:type="dxa"/>
            <w:vAlign w:val="center"/>
          </w:tcPr>
          <w:p w14:paraId="0465BB0E" w14:textId="77777777" w:rsidR="009E5B6C" w:rsidRPr="00A85918" w:rsidRDefault="009E5B6C" w:rsidP="009E5B6C">
            <w:pPr>
              <w:spacing w:line="240" w:lineRule="auto"/>
              <w:rPr>
                <w:rFonts w:ascii="Arial" w:hAnsi="Arial" w:cs="Arial"/>
                <w:sz w:val="20"/>
                <w:szCs w:val="20"/>
              </w:rPr>
            </w:pPr>
            <w:r w:rsidRPr="00A85918">
              <w:rPr>
                <w:rFonts w:ascii="Arial" w:hAnsi="Arial" w:cs="Arial"/>
                <w:sz w:val="20"/>
                <w:szCs w:val="20"/>
              </w:rPr>
              <w:t>Bulk density (g cm</w:t>
            </w:r>
            <w:r w:rsidRPr="00A85918">
              <w:rPr>
                <w:rFonts w:ascii="Arial" w:hAnsi="Arial" w:cs="Arial"/>
                <w:sz w:val="20"/>
                <w:szCs w:val="20"/>
                <w:vertAlign w:val="superscript"/>
              </w:rPr>
              <w:t>-3</w:t>
            </w:r>
            <w:r w:rsidRPr="00A85918">
              <w:rPr>
                <w:rFonts w:ascii="Arial" w:hAnsi="Arial" w:cs="Arial"/>
                <w:sz w:val="20"/>
                <w:szCs w:val="20"/>
              </w:rPr>
              <w:t>)</w:t>
            </w:r>
          </w:p>
        </w:tc>
        <w:tc>
          <w:tcPr>
            <w:tcW w:w="808" w:type="dxa"/>
            <w:vAlign w:val="center"/>
          </w:tcPr>
          <w:p w14:paraId="4DC5A83B" w14:textId="77777777" w:rsidR="009E5B6C" w:rsidRPr="00A85918" w:rsidRDefault="009E5B6C" w:rsidP="009E5B6C">
            <w:pPr>
              <w:spacing w:line="240" w:lineRule="auto"/>
              <w:contextualSpacing/>
              <w:jc w:val="center"/>
              <w:rPr>
                <w:rFonts w:ascii="Arial" w:hAnsi="Arial" w:cs="Arial"/>
                <w:b/>
                <w:bCs/>
                <w:sz w:val="20"/>
                <w:szCs w:val="20"/>
              </w:rPr>
            </w:pPr>
            <w:r w:rsidRPr="00A85918">
              <w:rPr>
                <w:rFonts w:ascii="Arial" w:hAnsi="Arial" w:cs="Arial"/>
                <w:sz w:val="20"/>
                <w:szCs w:val="20"/>
              </w:rPr>
              <w:t>1.39</w:t>
            </w:r>
          </w:p>
        </w:tc>
        <w:tc>
          <w:tcPr>
            <w:tcW w:w="1617" w:type="dxa"/>
            <w:vAlign w:val="center"/>
          </w:tcPr>
          <w:p w14:paraId="32D3B65A" w14:textId="77777777" w:rsidR="009E5B6C" w:rsidRPr="00A85918" w:rsidRDefault="009E5B6C" w:rsidP="009E5B6C">
            <w:pPr>
              <w:spacing w:line="240" w:lineRule="auto"/>
              <w:contextualSpacing/>
              <w:jc w:val="center"/>
              <w:rPr>
                <w:rFonts w:ascii="Arial" w:hAnsi="Arial" w:cs="Arial"/>
                <w:sz w:val="20"/>
                <w:szCs w:val="20"/>
              </w:rPr>
            </w:pPr>
          </w:p>
        </w:tc>
        <w:tc>
          <w:tcPr>
            <w:tcW w:w="2874" w:type="dxa"/>
            <w:vAlign w:val="center"/>
          </w:tcPr>
          <w:p w14:paraId="7F076924" w14:textId="4517A233" w:rsidR="009E5B6C" w:rsidRPr="00A85918" w:rsidRDefault="00C97832" w:rsidP="009E5B6C">
            <w:pPr>
              <w:spacing w:line="240" w:lineRule="auto"/>
              <w:contextualSpacing/>
              <w:jc w:val="center"/>
              <w:rPr>
                <w:rFonts w:ascii="Arial" w:hAnsi="Arial" w:cs="Arial"/>
                <w:sz w:val="20"/>
                <w:szCs w:val="20"/>
              </w:rPr>
            </w:pPr>
            <w:r>
              <w:rPr>
                <w:rFonts w:ascii="Arial" w:hAnsi="Arial" w:cs="Arial"/>
                <w:sz w:val="20"/>
                <w:szCs w:val="20"/>
              </w:rPr>
              <w:t>Disturb sample method</w:t>
            </w:r>
          </w:p>
        </w:tc>
      </w:tr>
      <w:tr w:rsidR="009E5B6C" w:rsidRPr="00C97832" w14:paraId="35B3957F" w14:textId="77777777" w:rsidTr="00C97832">
        <w:trPr>
          <w:trHeight w:val="305"/>
          <w:jc w:val="center"/>
        </w:trPr>
        <w:tc>
          <w:tcPr>
            <w:tcW w:w="2330" w:type="dxa"/>
            <w:vAlign w:val="center"/>
          </w:tcPr>
          <w:p w14:paraId="27FEAB33" w14:textId="77777777" w:rsidR="009E5B6C" w:rsidRPr="00A85918" w:rsidRDefault="009E5B6C" w:rsidP="009E5B6C">
            <w:pPr>
              <w:spacing w:line="240" w:lineRule="auto"/>
              <w:rPr>
                <w:rFonts w:ascii="Arial" w:hAnsi="Arial" w:cs="Arial"/>
                <w:sz w:val="20"/>
                <w:szCs w:val="20"/>
              </w:rPr>
            </w:pPr>
            <w:r w:rsidRPr="00A85918">
              <w:rPr>
                <w:rFonts w:ascii="Arial" w:hAnsi="Arial" w:cs="Arial"/>
                <w:sz w:val="20"/>
                <w:szCs w:val="20"/>
              </w:rPr>
              <w:t>Sand %</w:t>
            </w:r>
          </w:p>
        </w:tc>
        <w:tc>
          <w:tcPr>
            <w:tcW w:w="808" w:type="dxa"/>
            <w:vAlign w:val="center"/>
          </w:tcPr>
          <w:p w14:paraId="6FFA853D"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85.90</w:t>
            </w:r>
          </w:p>
        </w:tc>
        <w:tc>
          <w:tcPr>
            <w:tcW w:w="1617" w:type="dxa"/>
            <w:vAlign w:val="center"/>
          </w:tcPr>
          <w:p w14:paraId="78D65A76" w14:textId="77777777" w:rsidR="009E5B6C" w:rsidRPr="00A85918" w:rsidRDefault="009E5B6C" w:rsidP="009E5B6C">
            <w:pPr>
              <w:spacing w:line="240" w:lineRule="auto"/>
              <w:contextualSpacing/>
              <w:jc w:val="center"/>
              <w:rPr>
                <w:rFonts w:ascii="Arial" w:hAnsi="Arial" w:cs="Arial"/>
                <w:sz w:val="20"/>
                <w:szCs w:val="20"/>
              </w:rPr>
            </w:pPr>
          </w:p>
        </w:tc>
        <w:tc>
          <w:tcPr>
            <w:tcW w:w="2874" w:type="dxa"/>
            <w:vAlign w:val="center"/>
          </w:tcPr>
          <w:p w14:paraId="525950E2" w14:textId="77777777" w:rsidR="009E5B6C" w:rsidRPr="00A85918" w:rsidRDefault="009E5B6C" w:rsidP="009E5B6C">
            <w:pPr>
              <w:spacing w:line="240" w:lineRule="auto"/>
              <w:contextualSpacing/>
              <w:jc w:val="center"/>
              <w:rPr>
                <w:rFonts w:ascii="Arial" w:hAnsi="Arial" w:cs="Arial"/>
                <w:sz w:val="20"/>
                <w:szCs w:val="20"/>
              </w:rPr>
            </w:pPr>
          </w:p>
        </w:tc>
      </w:tr>
      <w:tr w:rsidR="009E5B6C" w:rsidRPr="00C97832" w14:paraId="4C17C956" w14:textId="77777777" w:rsidTr="00C97832">
        <w:trPr>
          <w:trHeight w:val="260"/>
          <w:jc w:val="center"/>
        </w:trPr>
        <w:tc>
          <w:tcPr>
            <w:tcW w:w="2330" w:type="dxa"/>
            <w:vAlign w:val="center"/>
          </w:tcPr>
          <w:p w14:paraId="457AEF0B" w14:textId="77777777" w:rsidR="009E5B6C" w:rsidRPr="00A85918" w:rsidRDefault="009E5B6C" w:rsidP="009E5B6C">
            <w:pPr>
              <w:spacing w:line="240" w:lineRule="auto"/>
              <w:rPr>
                <w:rFonts w:ascii="Arial" w:hAnsi="Arial" w:cs="Arial"/>
                <w:sz w:val="20"/>
                <w:szCs w:val="20"/>
              </w:rPr>
            </w:pPr>
            <w:r w:rsidRPr="00A85918">
              <w:rPr>
                <w:rFonts w:ascii="Arial" w:hAnsi="Arial" w:cs="Arial"/>
                <w:sz w:val="20"/>
                <w:szCs w:val="20"/>
              </w:rPr>
              <w:t>Silt%</w:t>
            </w:r>
          </w:p>
        </w:tc>
        <w:tc>
          <w:tcPr>
            <w:tcW w:w="808" w:type="dxa"/>
            <w:vAlign w:val="center"/>
          </w:tcPr>
          <w:p w14:paraId="183164E5"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9.08</w:t>
            </w:r>
          </w:p>
        </w:tc>
        <w:tc>
          <w:tcPr>
            <w:tcW w:w="1617" w:type="dxa"/>
            <w:vAlign w:val="center"/>
          </w:tcPr>
          <w:p w14:paraId="39F86E3F" w14:textId="77777777" w:rsidR="009E5B6C" w:rsidRPr="00A85918" w:rsidRDefault="009E5B6C" w:rsidP="009E5B6C">
            <w:pPr>
              <w:spacing w:line="240" w:lineRule="auto"/>
              <w:contextualSpacing/>
              <w:jc w:val="center"/>
              <w:rPr>
                <w:rFonts w:ascii="Arial" w:hAnsi="Arial" w:cs="Arial"/>
                <w:sz w:val="20"/>
                <w:szCs w:val="20"/>
              </w:rPr>
            </w:pPr>
          </w:p>
        </w:tc>
        <w:tc>
          <w:tcPr>
            <w:tcW w:w="2874" w:type="dxa"/>
            <w:vAlign w:val="center"/>
          </w:tcPr>
          <w:p w14:paraId="0AAA448D" w14:textId="77777777" w:rsidR="009E5B6C" w:rsidRPr="00A85918" w:rsidRDefault="009E5B6C" w:rsidP="009E5B6C">
            <w:pPr>
              <w:spacing w:line="240" w:lineRule="auto"/>
              <w:contextualSpacing/>
              <w:jc w:val="center"/>
              <w:rPr>
                <w:rFonts w:ascii="Arial" w:hAnsi="Arial" w:cs="Arial"/>
                <w:sz w:val="20"/>
                <w:szCs w:val="20"/>
              </w:rPr>
            </w:pPr>
          </w:p>
        </w:tc>
      </w:tr>
      <w:tr w:rsidR="009E5B6C" w:rsidRPr="00C97832" w14:paraId="2AE63117" w14:textId="77777777" w:rsidTr="00C97832">
        <w:trPr>
          <w:trHeight w:val="260"/>
          <w:jc w:val="center"/>
        </w:trPr>
        <w:tc>
          <w:tcPr>
            <w:tcW w:w="2330" w:type="dxa"/>
            <w:vAlign w:val="center"/>
          </w:tcPr>
          <w:p w14:paraId="4793C993" w14:textId="77777777" w:rsidR="009E5B6C" w:rsidRPr="00A85918" w:rsidRDefault="009E5B6C" w:rsidP="009E5B6C">
            <w:pPr>
              <w:spacing w:line="240" w:lineRule="auto"/>
              <w:rPr>
                <w:rFonts w:ascii="Arial" w:hAnsi="Arial" w:cs="Arial"/>
                <w:sz w:val="20"/>
                <w:szCs w:val="20"/>
              </w:rPr>
            </w:pPr>
            <w:r w:rsidRPr="00A85918">
              <w:rPr>
                <w:rFonts w:ascii="Arial" w:hAnsi="Arial" w:cs="Arial"/>
                <w:sz w:val="20"/>
                <w:szCs w:val="20"/>
              </w:rPr>
              <w:t>Clay %</w:t>
            </w:r>
          </w:p>
        </w:tc>
        <w:tc>
          <w:tcPr>
            <w:tcW w:w="808" w:type="dxa"/>
            <w:vAlign w:val="center"/>
          </w:tcPr>
          <w:p w14:paraId="0BA8E45F"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5.02</w:t>
            </w:r>
          </w:p>
        </w:tc>
        <w:tc>
          <w:tcPr>
            <w:tcW w:w="1617" w:type="dxa"/>
            <w:vAlign w:val="center"/>
          </w:tcPr>
          <w:p w14:paraId="694DCD6D" w14:textId="77777777" w:rsidR="009E5B6C" w:rsidRPr="00A85918" w:rsidRDefault="009E5B6C" w:rsidP="009E5B6C">
            <w:pPr>
              <w:spacing w:line="240" w:lineRule="auto"/>
              <w:contextualSpacing/>
              <w:jc w:val="center"/>
              <w:rPr>
                <w:rFonts w:ascii="Arial" w:hAnsi="Arial" w:cs="Arial"/>
                <w:sz w:val="20"/>
                <w:szCs w:val="20"/>
              </w:rPr>
            </w:pPr>
          </w:p>
        </w:tc>
        <w:tc>
          <w:tcPr>
            <w:tcW w:w="2874" w:type="dxa"/>
            <w:vAlign w:val="center"/>
          </w:tcPr>
          <w:p w14:paraId="68CEC249" w14:textId="77777777" w:rsidR="009E5B6C" w:rsidRPr="00A85918" w:rsidRDefault="009E5B6C" w:rsidP="009E5B6C">
            <w:pPr>
              <w:spacing w:line="240" w:lineRule="auto"/>
              <w:contextualSpacing/>
              <w:jc w:val="center"/>
              <w:rPr>
                <w:rFonts w:ascii="Arial" w:hAnsi="Arial" w:cs="Arial"/>
                <w:sz w:val="20"/>
                <w:szCs w:val="20"/>
              </w:rPr>
            </w:pPr>
          </w:p>
        </w:tc>
      </w:tr>
      <w:tr w:rsidR="009E5B6C" w:rsidRPr="00C97832" w14:paraId="2A42E330" w14:textId="77777777" w:rsidTr="00C97832">
        <w:trPr>
          <w:trHeight w:val="260"/>
          <w:jc w:val="center"/>
        </w:trPr>
        <w:tc>
          <w:tcPr>
            <w:tcW w:w="2330" w:type="dxa"/>
            <w:vAlign w:val="center"/>
          </w:tcPr>
          <w:p w14:paraId="5BF61BBE" w14:textId="611EB33D" w:rsidR="009E5B6C" w:rsidRPr="00A85918" w:rsidRDefault="009E5B6C" w:rsidP="009E5B6C">
            <w:pPr>
              <w:spacing w:line="240" w:lineRule="auto"/>
              <w:rPr>
                <w:rFonts w:ascii="Arial" w:hAnsi="Arial" w:cs="Arial"/>
                <w:sz w:val="20"/>
                <w:szCs w:val="20"/>
              </w:rPr>
            </w:pPr>
            <w:r w:rsidRPr="00A85918">
              <w:rPr>
                <w:rFonts w:ascii="Arial" w:hAnsi="Arial" w:cs="Arial"/>
                <w:sz w:val="20"/>
                <w:szCs w:val="20"/>
              </w:rPr>
              <w:t>Soil texture</w:t>
            </w:r>
            <w:r w:rsidRPr="00C97832">
              <w:rPr>
                <w:rFonts w:ascii="Arial" w:hAnsi="Arial" w:cs="Arial"/>
                <w:sz w:val="20"/>
                <w:szCs w:val="20"/>
              </w:rPr>
              <w:t xml:space="preserve"> </w:t>
            </w:r>
          </w:p>
        </w:tc>
        <w:tc>
          <w:tcPr>
            <w:tcW w:w="808" w:type="dxa"/>
            <w:vAlign w:val="center"/>
          </w:tcPr>
          <w:p w14:paraId="0B932071" w14:textId="77777777" w:rsidR="009E5B6C" w:rsidRPr="00A85918" w:rsidRDefault="009E5B6C" w:rsidP="009E5B6C">
            <w:pPr>
              <w:spacing w:line="240" w:lineRule="auto"/>
              <w:contextualSpacing/>
              <w:jc w:val="center"/>
              <w:rPr>
                <w:rFonts w:ascii="Arial" w:hAnsi="Arial" w:cs="Arial"/>
                <w:sz w:val="20"/>
                <w:szCs w:val="20"/>
              </w:rPr>
            </w:pPr>
          </w:p>
        </w:tc>
        <w:tc>
          <w:tcPr>
            <w:tcW w:w="1617" w:type="dxa"/>
            <w:vAlign w:val="center"/>
          </w:tcPr>
          <w:p w14:paraId="26504F6B"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Loamy Sand</w:t>
            </w:r>
          </w:p>
        </w:tc>
        <w:tc>
          <w:tcPr>
            <w:tcW w:w="2874" w:type="dxa"/>
            <w:vAlign w:val="center"/>
          </w:tcPr>
          <w:p w14:paraId="72037078"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Pipette method</w:t>
            </w:r>
          </w:p>
        </w:tc>
      </w:tr>
    </w:tbl>
    <w:p w14:paraId="58420DC8" w14:textId="131D12CE" w:rsidR="00A85918" w:rsidRDefault="00A85918" w:rsidP="009E5B6C">
      <w:pPr>
        <w:keepNext/>
        <w:keepLines/>
        <w:spacing w:line="240" w:lineRule="auto"/>
        <w:outlineLvl w:val="1"/>
        <w:rPr>
          <w:rFonts w:ascii="Arial" w:hAnsi="Arial" w:cs="Arial"/>
          <w:b/>
          <w:bCs/>
          <w:sz w:val="22"/>
          <w:szCs w:val="22"/>
        </w:rPr>
      </w:pPr>
      <w:r w:rsidRPr="00A85918">
        <w:rPr>
          <w:rFonts w:ascii="Arial" w:hAnsi="Arial" w:cs="Arial"/>
          <w:b/>
          <w:bCs/>
          <w:sz w:val="22"/>
          <w:szCs w:val="22"/>
        </w:rPr>
        <w:lastRenderedPageBreak/>
        <w:t xml:space="preserve">2.6 Chemical composition of Sunn hemp </w:t>
      </w:r>
    </w:p>
    <w:p w14:paraId="5D67196B" w14:textId="77777777" w:rsidR="00C97832" w:rsidRPr="00A85918" w:rsidRDefault="00C97832" w:rsidP="009E5B6C">
      <w:pPr>
        <w:keepNext/>
        <w:keepLines/>
        <w:spacing w:line="240" w:lineRule="auto"/>
        <w:outlineLvl w:val="1"/>
        <w:rPr>
          <w:rFonts w:ascii="Arial" w:hAnsi="Arial" w:cs="Arial"/>
          <w:b/>
          <w:bCs/>
          <w:sz w:val="22"/>
          <w:szCs w:val="22"/>
        </w:rPr>
      </w:pPr>
    </w:p>
    <w:p w14:paraId="1F239D59" w14:textId="2F15A9F1" w:rsidR="002F3723" w:rsidRDefault="002F3723" w:rsidP="009E5B6C">
      <w:pPr>
        <w:spacing w:line="240" w:lineRule="auto"/>
        <w:jc w:val="both"/>
        <w:rPr>
          <w:rFonts w:ascii="Arial" w:eastAsiaTheme="minorHAnsi" w:hAnsi="Arial" w:cs="Arial"/>
          <w:sz w:val="20"/>
          <w:lang w:bidi="ar-SA"/>
        </w:rPr>
      </w:pPr>
      <w:r w:rsidRPr="002F3723">
        <w:rPr>
          <w:rFonts w:ascii="Arial" w:eastAsiaTheme="minorHAnsi" w:hAnsi="Arial" w:cs="Arial"/>
          <w:sz w:val="20"/>
          <w:lang w:bidi="ar-SA"/>
        </w:rPr>
        <w:t>Total biomass contribution of Sunn hemp was calculated as multiplication of remaining dried biomass percent and total fresh weight. Subsamples consisting of 10 -20 whole plants (depending on treatment) were randomly selected, weighted and placed in the oven at 66 °C for at least 72 hours to dry. Dry weights of subsamples were recorded to estimate the total sample dry weight. Dried samples were ground to pass a 1.0 mm sieve and then analyzed at the Laboratory (</w:t>
      </w:r>
      <w:r w:rsidR="00DC0FE3">
        <w:rPr>
          <w:rFonts w:ascii="Arial" w:eastAsiaTheme="minorHAnsi" w:hAnsi="Arial" w:cs="Arial"/>
          <w:sz w:val="20"/>
          <w:lang w:bidi="ar-SA"/>
        </w:rPr>
        <w:t>9</w:t>
      </w:r>
      <w:r w:rsidRPr="002F3723">
        <w:rPr>
          <w:rFonts w:ascii="Arial" w:eastAsiaTheme="minorHAnsi" w:hAnsi="Arial" w:cs="Arial"/>
          <w:sz w:val="20"/>
          <w:lang w:bidi="ar-SA"/>
        </w:rPr>
        <w:t>). Nitrogen and Carbon content of Sunn hemp samples were calculated as multiplication of dry matter weight and N%</w:t>
      </w:r>
      <w:r w:rsidR="00C6346B">
        <w:rPr>
          <w:rFonts w:ascii="Arial" w:eastAsiaTheme="minorHAnsi" w:hAnsi="Arial" w:cs="Arial"/>
          <w:sz w:val="20"/>
          <w:lang w:bidi="ar-SA"/>
        </w:rPr>
        <w:t xml:space="preserve"> and C%</w:t>
      </w:r>
      <w:r w:rsidRPr="002F3723">
        <w:rPr>
          <w:rFonts w:ascii="Arial" w:eastAsiaTheme="minorHAnsi" w:hAnsi="Arial" w:cs="Arial"/>
          <w:sz w:val="20"/>
          <w:lang w:bidi="ar-SA"/>
        </w:rPr>
        <w:t xml:space="preserve"> of sample</w:t>
      </w:r>
      <w:r w:rsidR="00C6346B">
        <w:rPr>
          <w:rFonts w:ascii="Arial" w:eastAsiaTheme="minorHAnsi" w:hAnsi="Arial" w:cs="Arial"/>
          <w:sz w:val="20"/>
          <w:lang w:bidi="ar-SA"/>
        </w:rPr>
        <w:t xml:space="preserve"> respectively</w:t>
      </w:r>
      <w:r w:rsidRPr="002F3723">
        <w:rPr>
          <w:rFonts w:ascii="Arial" w:eastAsiaTheme="minorHAnsi" w:hAnsi="Arial" w:cs="Arial"/>
          <w:sz w:val="20"/>
          <w:lang w:bidi="ar-SA"/>
        </w:rPr>
        <w:t>.  The nutrient contents of each treatment were summarized in the table 2.</w:t>
      </w:r>
    </w:p>
    <w:p w14:paraId="33A52C0D" w14:textId="77777777" w:rsidR="002F3723" w:rsidRDefault="002F3723" w:rsidP="009E5B6C">
      <w:pPr>
        <w:spacing w:line="240" w:lineRule="auto"/>
        <w:jc w:val="both"/>
        <w:rPr>
          <w:rFonts w:ascii="Arial" w:eastAsiaTheme="minorHAnsi" w:hAnsi="Arial" w:cs="Arial"/>
          <w:b/>
          <w:bCs/>
          <w:sz w:val="22"/>
          <w:szCs w:val="22"/>
          <w:lang w:bidi="ar-SA"/>
        </w:rPr>
      </w:pPr>
    </w:p>
    <w:p w14:paraId="1AB651A0" w14:textId="34581EDF" w:rsidR="00A85918" w:rsidRPr="00A85918" w:rsidRDefault="00A85918" w:rsidP="009E5B6C">
      <w:pPr>
        <w:spacing w:line="240" w:lineRule="auto"/>
        <w:jc w:val="both"/>
        <w:rPr>
          <w:rFonts w:ascii="Arial" w:eastAsiaTheme="minorHAnsi" w:hAnsi="Arial" w:cs="Arial"/>
          <w:b/>
          <w:bCs/>
          <w:sz w:val="22"/>
          <w:szCs w:val="22"/>
          <w:lang w:bidi="ar-SA"/>
        </w:rPr>
      </w:pPr>
      <w:r w:rsidRPr="00A85918">
        <w:rPr>
          <w:rFonts w:ascii="Arial" w:eastAsiaTheme="minorHAnsi" w:hAnsi="Arial" w:cs="Arial"/>
          <w:b/>
          <w:bCs/>
          <w:sz w:val="22"/>
          <w:szCs w:val="22"/>
          <w:lang w:bidi="ar-SA"/>
        </w:rPr>
        <w:t xml:space="preserve">Table 2. Nutrient contents of Sunn hemp at different ages </w:t>
      </w:r>
    </w:p>
    <w:tbl>
      <w:tblPr>
        <w:tblStyle w:val="TableGrid1"/>
        <w:tblW w:w="0" w:type="auto"/>
        <w:tblLook w:val="04A0" w:firstRow="1" w:lastRow="0" w:firstColumn="1" w:lastColumn="0" w:noHBand="0" w:noVBand="1"/>
      </w:tblPr>
      <w:tblGrid>
        <w:gridCol w:w="1269"/>
        <w:gridCol w:w="977"/>
        <w:gridCol w:w="1205"/>
        <w:gridCol w:w="1140"/>
        <w:gridCol w:w="1075"/>
        <w:gridCol w:w="876"/>
        <w:gridCol w:w="1322"/>
      </w:tblGrid>
      <w:tr w:rsidR="009E5B6C" w:rsidRPr="00A85918" w14:paraId="70FD6D87" w14:textId="77777777" w:rsidTr="00372952">
        <w:trPr>
          <w:trHeight w:val="512"/>
        </w:trPr>
        <w:tc>
          <w:tcPr>
            <w:tcW w:w="1296" w:type="dxa"/>
            <w:tcBorders>
              <w:top w:val="single" w:sz="4" w:space="0" w:color="auto"/>
            </w:tcBorders>
            <w:vAlign w:val="center"/>
          </w:tcPr>
          <w:p w14:paraId="5F662B88"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Treatments</w:t>
            </w:r>
          </w:p>
        </w:tc>
        <w:tc>
          <w:tcPr>
            <w:tcW w:w="1177" w:type="dxa"/>
            <w:tcBorders>
              <w:top w:val="single" w:sz="4" w:space="0" w:color="auto"/>
            </w:tcBorders>
            <w:vAlign w:val="center"/>
          </w:tcPr>
          <w:p w14:paraId="6DA0FA63"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Total N%</w:t>
            </w:r>
          </w:p>
        </w:tc>
        <w:tc>
          <w:tcPr>
            <w:tcW w:w="1443" w:type="dxa"/>
            <w:tcBorders>
              <w:top w:val="single" w:sz="4" w:space="0" w:color="auto"/>
            </w:tcBorders>
            <w:vAlign w:val="center"/>
          </w:tcPr>
          <w:p w14:paraId="53B29D14"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Total P</w:t>
            </w:r>
            <w:r w:rsidRPr="00A85918">
              <w:rPr>
                <w:rFonts w:ascii="Arial" w:hAnsi="Arial" w:cs="Arial"/>
                <w:sz w:val="20"/>
                <w:szCs w:val="20"/>
                <w:vertAlign w:val="subscript"/>
              </w:rPr>
              <w:t>2</w:t>
            </w:r>
            <w:r w:rsidRPr="00A85918">
              <w:rPr>
                <w:rFonts w:ascii="Arial" w:hAnsi="Arial" w:cs="Arial"/>
                <w:sz w:val="20"/>
                <w:szCs w:val="20"/>
              </w:rPr>
              <w:t>O</w:t>
            </w:r>
            <w:r w:rsidRPr="00A85918">
              <w:rPr>
                <w:rFonts w:ascii="Arial" w:hAnsi="Arial" w:cs="Arial"/>
                <w:sz w:val="20"/>
                <w:szCs w:val="20"/>
                <w:vertAlign w:val="subscript"/>
              </w:rPr>
              <w:t>5</w:t>
            </w:r>
            <w:r w:rsidRPr="00A85918">
              <w:rPr>
                <w:rFonts w:ascii="Arial" w:hAnsi="Arial" w:cs="Arial"/>
                <w:sz w:val="20"/>
                <w:szCs w:val="20"/>
              </w:rPr>
              <w:t>%</w:t>
            </w:r>
          </w:p>
        </w:tc>
        <w:tc>
          <w:tcPr>
            <w:tcW w:w="1383" w:type="dxa"/>
            <w:tcBorders>
              <w:top w:val="single" w:sz="4" w:space="0" w:color="auto"/>
            </w:tcBorders>
            <w:vAlign w:val="center"/>
          </w:tcPr>
          <w:p w14:paraId="0640DE83"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Total K</w:t>
            </w:r>
            <w:r w:rsidRPr="00A85918">
              <w:rPr>
                <w:rFonts w:ascii="Arial" w:hAnsi="Arial" w:cs="Arial"/>
                <w:sz w:val="20"/>
                <w:szCs w:val="20"/>
                <w:vertAlign w:val="subscript"/>
              </w:rPr>
              <w:t>2</w:t>
            </w:r>
            <w:r w:rsidRPr="00A85918">
              <w:rPr>
                <w:rFonts w:ascii="Arial" w:hAnsi="Arial" w:cs="Arial"/>
                <w:sz w:val="20"/>
                <w:szCs w:val="20"/>
              </w:rPr>
              <w:t>O%</w:t>
            </w:r>
          </w:p>
        </w:tc>
        <w:tc>
          <w:tcPr>
            <w:tcW w:w="1203" w:type="dxa"/>
            <w:tcBorders>
              <w:top w:val="single" w:sz="4" w:space="0" w:color="auto"/>
            </w:tcBorders>
            <w:vAlign w:val="center"/>
          </w:tcPr>
          <w:p w14:paraId="01A4FDB1"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Carbon %</w:t>
            </w:r>
          </w:p>
        </w:tc>
        <w:tc>
          <w:tcPr>
            <w:tcW w:w="976" w:type="dxa"/>
            <w:tcBorders>
              <w:top w:val="single" w:sz="4" w:space="0" w:color="auto"/>
            </w:tcBorders>
            <w:vAlign w:val="center"/>
          </w:tcPr>
          <w:p w14:paraId="31A52853" w14:textId="77777777" w:rsidR="00A85918" w:rsidRPr="00A85918" w:rsidRDefault="00A85918" w:rsidP="009E5B6C">
            <w:pPr>
              <w:spacing w:line="240" w:lineRule="auto"/>
              <w:jc w:val="center"/>
              <w:rPr>
                <w:rFonts w:ascii="Arial" w:hAnsi="Arial" w:cs="Arial"/>
                <w:sz w:val="20"/>
                <w:szCs w:val="20"/>
              </w:rPr>
            </w:pPr>
            <w:proofErr w:type="gramStart"/>
            <w:r w:rsidRPr="00A85918">
              <w:rPr>
                <w:rFonts w:ascii="Arial" w:hAnsi="Arial" w:cs="Arial"/>
                <w:sz w:val="20"/>
                <w:szCs w:val="20"/>
              </w:rPr>
              <w:t>C :</w:t>
            </w:r>
            <w:proofErr w:type="gramEnd"/>
            <w:r w:rsidRPr="00A85918">
              <w:rPr>
                <w:rFonts w:ascii="Arial" w:hAnsi="Arial" w:cs="Arial"/>
                <w:sz w:val="20"/>
                <w:szCs w:val="20"/>
              </w:rPr>
              <w:t xml:space="preserve"> N</w:t>
            </w:r>
          </w:p>
        </w:tc>
        <w:tc>
          <w:tcPr>
            <w:tcW w:w="1607" w:type="dxa"/>
            <w:tcBorders>
              <w:top w:val="single" w:sz="4" w:space="0" w:color="auto"/>
            </w:tcBorders>
            <w:vAlign w:val="center"/>
          </w:tcPr>
          <w:p w14:paraId="2808B466"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Fiber content (%)</w:t>
            </w:r>
          </w:p>
        </w:tc>
      </w:tr>
      <w:tr w:rsidR="009E5B6C" w:rsidRPr="00A85918" w14:paraId="11EBBF28" w14:textId="77777777" w:rsidTr="00372952">
        <w:trPr>
          <w:trHeight w:val="165"/>
        </w:trPr>
        <w:tc>
          <w:tcPr>
            <w:tcW w:w="1296" w:type="dxa"/>
          </w:tcPr>
          <w:p w14:paraId="455FCCA4"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SH45</w:t>
            </w:r>
          </w:p>
        </w:tc>
        <w:tc>
          <w:tcPr>
            <w:tcW w:w="1177" w:type="dxa"/>
          </w:tcPr>
          <w:p w14:paraId="073A83BA"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2.73</w:t>
            </w:r>
          </w:p>
        </w:tc>
        <w:tc>
          <w:tcPr>
            <w:tcW w:w="1443" w:type="dxa"/>
          </w:tcPr>
          <w:p w14:paraId="6ADC295F"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0.4</w:t>
            </w:r>
          </w:p>
        </w:tc>
        <w:tc>
          <w:tcPr>
            <w:tcW w:w="1383" w:type="dxa"/>
          </w:tcPr>
          <w:p w14:paraId="1B2C0133"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0.28</w:t>
            </w:r>
          </w:p>
        </w:tc>
        <w:tc>
          <w:tcPr>
            <w:tcW w:w="1203" w:type="dxa"/>
          </w:tcPr>
          <w:p w14:paraId="0236B35C"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51.9</w:t>
            </w:r>
          </w:p>
        </w:tc>
        <w:tc>
          <w:tcPr>
            <w:tcW w:w="976" w:type="dxa"/>
          </w:tcPr>
          <w:p w14:paraId="078B7BE2"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19.01</w:t>
            </w:r>
          </w:p>
        </w:tc>
        <w:tc>
          <w:tcPr>
            <w:tcW w:w="1607" w:type="dxa"/>
          </w:tcPr>
          <w:p w14:paraId="0D1C4E12"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18.64</w:t>
            </w:r>
          </w:p>
        </w:tc>
      </w:tr>
      <w:tr w:rsidR="009E5B6C" w:rsidRPr="00A85918" w14:paraId="1EE811BF" w14:textId="77777777" w:rsidTr="00372952">
        <w:trPr>
          <w:trHeight w:val="172"/>
        </w:trPr>
        <w:tc>
          <w:tcPr>
            <w:tcW w:w="1296" w:type="dxa"/>
          </w:tcPr>
          <w:p w14:paraId="1C1115B6"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SH60</w:t>
            </w:r>
          </w:p>
        </w:tc>
        <w:tc>
          <w:tcPr>
            <w:tcW w:w="1177" w:type="dxa"/>
          </w:tcPr>
          <w:p w14:paraId="567AB232"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2.76</w:t>
            </w:r>
          </w:p>
        </w:tc>
        <w:tc>
          <w:tcPr>
            <w:tcW w:w="1443" w:type="dxa"/>
          </w:tcPr>
          <w:p w14:paraId="3C130227"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0.75</w:t>
            </w:r>
          </w:p>
        </w:tc>
        <w:tc>
          <w:tcPr>
            <w:tcW w:w="1383" w:type="dxa"/>
          </w:tcPr>
          <w:p w14:paraId="404671C7"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0.25</w:t>
            </w:r>
          </w:p>
        </w:tc>
        <w:tc>
          <w:tcPr>
            <w:tcW w:w="1203" w:type="dxa"/>
          </w:tcPr>
          <w:p w14:paraId="6987B070"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52.9</w:t>
            </w:r>
          </w:p>
        </w:tc>
        <w:tc>
          <w:tcPr>
            <w:tcW w:w="976" w:type="dxa"/>
          </w:tcPr>
          <w:p w14:paraId="1588AE07"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19.17</w:t>
            </w:r>
          </w:p>
        </w:tc>
        <w:tc>
          <w:tcPr>
            <w:tcW w:w="1607" w:type="dxa"/>
          </w:tcPr>
          <w:p w14:paraId="37890741"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20.13</w:t>
            </w:r>
          </w:p>
        </w:tc>
      </w:tr>
      <w:tr w:rsidR="009E5B6C" w:rsidRPr="00A85918" w14:paraId="0882228A" w14:textId="77777777" w:rsidTr="00372952">
        <w:trPr>
          <w:trHeight w:val="172"/>
        </w:trPr>
        <w:tc>
          <w:tcPr>
            <w:tcW w:w="1296" w:type="dxa"/>
          </w:tcPr>
          <w:p w14:paraId="47FD8AA7"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SH75</w:t>
            </w:r>
          </w:p>
        </w:tc>
        <w:tc>
          <w:tcPr>
            <w:tcW w:w="1177" w:type="dxa"/>
          </w:tcPr>
          <w:p w14:paraId="64BD0055"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2.83</w:t>
            </w:r>
          </w:p>
        </w:tc>
        <w:tc>
          <w:tcPr>
            <w:tcW w:w="1443" w:type="dxa"/>
          </w:tcPr>
          <w:p w14:paraId="41C2AAA6"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0.4</w:t>
            </w:r>
          </w:p>
        </w:tc>
        <w:tc>
          <w:tcPr>
            <w:tcW w:w="1383" w:type="dxa"/>
          </w:tcPr>
          <w:p w14:paraId="6419801D"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0.05</w:t>
            </w:r>
          </w:p>
        </w:tc>
        <w:tc>
          <w:tcPr>
            <w:tcW w:w="1203" w:type="dxa"/>
          </w:tcPr>
          <w:p w14:paraId="4154C242"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54.9</w:t>
            </w:r>
          </w:p>
        </w:tc>
        <w:tc>
          <w:tcPr>
            <w:tcW w:w="976" w:type="dxa"/>
          </w:tcPr>
          <w:p w14:paraId="6BAD4321"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19.40</w:t>
            </w:r>
          </w:p>
        </w:tc>
        <w:tc>
          <w:tcPr>
            <w:tcW w:w="1607" w:type="dxa"/>
          </w:tcPr>
          <w:p w14:paraId="70F52B11"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34.50</w:t>
            </w:r>
          </w:p>
        </w:tc>
      </w:tr>
    </w:tbl>
    <w:p w14:paraId="0373C940" w14:textId="77777777" w:rsidR="00A85918" w:rsidRPr="00A85918" w:rsidRDefault="00A85918" w:rsidP="009E5B6C">
      <w:pPr>
        <w:spacing w:line="240" w:lineRule="auto"/>
        <w:jc w:val="both"/>
        <w:rPr>
          <w:rFonts w:ascii="Arial" w:eastAsiaTheme="minorHAnsi" w:hAnsi="Arial" w:cs="Arial"/>
          <w:b/>
          <w:bCs/>
          <w:sz w:val="22"/>
          <w:szCs w:val="22"/>
          <w:lang w:bidi="ar-SA"/>
        </w:rPr>
      </w:pPr>
    </w:p>
    <w:p w14:paraId="0BFC49CF" w14:textId="4BA47C91" w:rsidR="00A85918" w:rsidRDefault="00A85918" w:rsidP="009E5B6C">
      <w:pPr>
        <w:keepNext/>
        <w:keepLines/>
        <w:spacing w:line="240" w:lineRule="auto"/>
        <w:outlineLvl w:val="1"/>
        <w:rPr>
          <w:rFonts w:ascii="Arial" w:hAnsi="Arial" w:cs="Arial"/>
          <w:b/>
          <w:bCs/>
          <w:sz w:val="22"/>
          <w:szCs w:val="22"/>
        </w:rPr>
      </w:pPr>
      <w:r w:rsidRPr="00A85918">
        <w:rPr>
          <w:rFonts w:ascii="Arial" w:hAnsi="Arial" w:cs="Arial"/>
          <w:b/>
          <w:bCs/>
          <w:sz w:val="22"/>
          <w:szCs w:val="22"/>
        </w:rPr>
        <w:t>2.7 Weather Condition</w:t>
      </w:r>
    </w:p>
    <w:p w14:paraId="004BA76A" w14:textId="77777777" w:rsidR="00C97832" w:rsidRPr="00A85918" w:rsidRDefault="00C97832" w:rsidP="009E5B6C">
      <w:pPr>
        <w:keepNext/>
        <w:keepLines/>
        <w:spacing w:line="240" w:lineRule="auto"/>
        <w:outlineLvl w:val="1"/>
        <w:rPr>
          <w:rFonts w:ascii="Arial" w:hAnsi="Arial" w:cs="Arial"/>
          <w:b/>
          <w:bCs/>
          <w:sz w:val="22"/>
          <w:szCs w:val="22"/>
        </w:rPr>
      </w:pPr>
    </w:p>
    <w:p w14:paraId="68A84E75" w14:textId="0FF82EBC" w:rsidR="00A85918" w:rsidRDefault="0006050F" w:rsidP="009E5B6C">
      <w:pPr>
        <w:spacing w:line="240" w:lineRule="auto"/>
        <w:rPr>
          <w:rFonts w:ascii="Arial" w:eastAsiaTheme="minorHAnsi" w:hAnsi="Arial" w:cs="Arial"/>
          <w:sz w:val="20"/>
        </w:rPr>
      </w:pPr>
      <w:r>
        <w:rPr>
          <w:rFonts w:ascii="Arial" w:eastAsiaTheme="minorHAnsi" w:hAnsi="Arial" w:cs="Arial"/>
          <w:sz w:val="20"/>
        </w:rPr>
        <w:t>R</w:t>
      </w:r>
      <w:r w:rsidR="00A85918" w:rsidRPr="00A85918">
        <w:rPr>
          <w:rFonts w:ascii="Arial" w:eastAsiaTheme="minorHAnsi" w:hAnsi="Arial" w:cs="Arial"/>
          <w:sz w:val="20"/>
        </w:rPr>
        <w:t xml:space="preserve">ainfall, minimum and maximum temperature at the research location during the study was mentioned in the figure 1. </w:t>
      </w:r>
    </w:p>
    <w:p w14:paraId="5E811675" w14:textId="77777777" w:rsidR="00C97832" w:rsidRPr="00A85918" w:rsidRDefault="00C97832" w:rsidP="009E5B6C">
      <w:pPr>
        <w:spacing w:line="240" w:lineRule="auto"/>
        <w:rPr>
          <w:rFonts w:ascii="Arial" w:eastAsiaTheme="minorHAnsi" w:hAnsi="Arial" w:cs="Arial"/>
          <w:sz w:val="20"/>
        </w:rPr>
      </w:pPr>
    </w:p>
    <w:p w14:paraId="1BD6CA8E" w14:textId="77777777" w:rsidR="00A85918" w:rsidRPr="00A85918" w:rsidRDefault="00A85918" w:rsidP="009E5B6C">
      <w:pPr>
        <w:spacing w:line="240" w:lineRule="auto"/>
        <w:contextualSpacing/>
        <w:jc w:val="both"/>
        <w:rPr>
          <w:rFonts w:ascii="Arial" w:eastAsiaTheme="minorHAnsi" w:hAnsi="Arial" w:cs="Arial"/>
          <w:sz w:val="22"/>
          <w:szCs w:val="22"/>
          <w:lang w:bidi="ar-SA"/>
        </w:rPr>
      </w:pPr>
      <w:r w:rsidRPr="00A85918">
        <w:rPr>
          <w:rFonts w:ascii="Arial" w:eastAsiaTheme="minorHAnsi" w:hAnsi="Arial" w:cs="Arial"/>
          <w:noProof/>
          <w:sz w:val="22"/>
          <w:szCs w:val="22"/>
          <w:lang w:bidi="ar-SA"/>
        </w:rPr>
        <w:drawing>
          <wp:inline distT="0" distB="0" distL="0" distR="0" wp14:anchorId="39DB060C" wp14:editId="0F2D943F">
            <wp:extent cx="5368907" cy="2359660"/>
            <wp:effectExtent l="0" t="0" r="3810" b="2540"/>
            <wp:docPr id="1" name="Chart 1">
              <a:extLst xmlns:a="http://schemas.openxmlformats.org/drawingml/2006/main">
                <a:ext uri="{FF2B5EF4-FFF2-40B4-BE49-F238E27FC236}">
                  <a16:creationId xmlns:a16="http://schemas.microsoft.com/office/drawing/2014/main" id="{471BF680-EAA0-460A-A273-051682A883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A255A38" w14:textId="38B0631C" w:rsidR="00A85918" w:rsidRDefault="00A85918" w:rsidP="009E5B6C">
      <w:pPr>
        <w:spacing w:line="240" w:lineRule="auto"/>
        <w:rPr>
          <w:rFonts w:ascii="Arial" w:eastAsiaTheme="minorHAnsi" w:hAnsi="Arial" w:cs="Arial"/>
          <w:b/>
          <w:bCs/>
          <w:sz w:val="22"/>
          <w:szCs w:val="22"/>
          <w:lang w:bidi="ar-SA"/>
        </w:rPr>
      </w:pPr>
      <w:r w:rsidRPr="00A85918">
        <w:rPr>
          <w:rFonts w:ascii="Arial" w:eastAsiaTheme="minorHAnsi" w:hAnsi="Arial" w:cs="Arial"/>
          <w:b/>
          <w:bCs/>
          <w:sz w:val="22"/>
          <w:szCs w:val="22"/>
          <w:lang w:bidi="ar-SA"/>
        </w:rPr>
        <w:t>Fig. 1. Rainfall (mm) and Minimum &amp; Maximum Temperature (°C) during the study</w:t>
      </w:r>
    </w:p>
    <w:p w14:paraId="621FA373" w14:textId="77777777" w:rsidR="00C97832" w:rsidRPr="00A85918" w:rsidRDefault="00C97832" w:rsidP="009E5B6C">
      <w:pPr>
        <w:spacing w:line="240" w:lineRule="auto"/>
        <w:rPr>
          <w:rFonts w:ascii="Arial" w:eastAsiaTheme="minorHAnsi" w:hAnsi="Arial" w:cs="Arial"/>
          <w:sz w:val="22"/>
          <w:szCs w:val="22"/>
          <w:lang w:bidi="ar-SA"/>
        </w:rPr>
      </w:pPr>
    </w:p>
    <w:p w14:paraId="2602C567" w14:textId="4FD9ED04" w:rsidR="00A85918" w:rsidRPr="00A85918" w:rsidRDefault="00A85918" w:rsidP="009E5B6C">
      <w:pPr>
        <w:keepNext/>
        <w:keepLines/>
        <w:spacing w:line="240" w:lineRule="auto"/>
        <w:outlineLvl w:val="1"/>
        <w:rPr>
          <w:rFonts w:ascii="Arial" w:hAnsi="Arial" w:cs="Arial"/>
          <w:b/>
          <w:bCs/>
          <w:sz w:val="22"/>
          <w:szCs w:val="22"/>
        </w:rPr>
      </w:pPr>
      <w:r w:rsidRPr="00A85918">
        <w:rPr>
          <w:rFonts w:ascii="Arial" w:hAnsi="Arial" w:cs="Arial"/>
          <w:b/>
          <w:bCs/>
          <w:sz w:val="22"/>
          <w:szCs w:val="22"/>
        </w:rPr>
        <w:t>2.</w:t>
      </w:r>
      <w:r w:rsidR="002F3723">
        <w:rPr>
          <w:rFonts w:ascii="Arial" w:hAnsi="Arial" w:cs="Arial"/>
          <w:b/>
          <w:bCs/>
          <w:sz w:val="22"/>
          <w:szCs w:val="22"/>
        </w:rPr>
        <w:t>8</w:t>
      </w:r>
      <w:r w:rsidRPr="00A85918">
        <w:rPr>
          <w:rFonts w:ascii="Arial" w:hAnsi="Arial" w:cs="Arial"/>
          <w:b/>
          <w:bCs/>
          <w:sz w:val="22"/>
          <w:szCs w:val="22"/>
        </w:rPr>
        <w:t xml:space="preserve"> Analysis of Rice Plant Uptake and </w:t>
      </w:r>
      <w:r w:rsidR="00DA7D65">
        <w:rPr>
          <w:rFonts w:ascii="Arial" w:hAnsi="Arial" w:cs="Arial"/>
          <w:b/>
          <w:bCs/>
          <w:sz w:val="22"/>
          <w:szCs w:val="22"/>
        </w:rPr>
        <w:t xml:space="preserve">Soil Available </w:t>
      </w:r>
      <w:r w:rsidRPr="00A85918">
        <w:rPr>
          <w:rFonts w:ascii="Arial" w:hAnsi="Arial" w:cs="Arial"/>
          <w:b/>
          <w:bCs/>
          <w:sz w:val="22"/>
          <w:szCs w:val="22"/>
        </w:rPr>
        <w:t>Nitrogen</w:t>
      </w:r>
    </w:p>
    <w:p w14:paraId="535BB697" w14:textId="5F5B2E45" w:rsidR="00A85918" w:rsidRDefault="00A85918" w:rsidP="009E5B6C">
      <w:pPr>
        <w:keepNext/>
        <w:keepLines/>
        <w:spacing w:line="240" w:lineRule="auto"/>
        <w:outlineLvl w:val="2"/>
        <w:rPr>
          <w:rFonts w:ascii="Arial" w:eastAsiaTheme="majorEastAsia" w:hAnsi="Arial" w:cs="Arial"/>
          <w:b/>
          <w:bCs/>
          <w:sz w:val="20"/>
          <w:lang w:bidi="ar-SA"/>
        </w:rPr>
      </w:pPr>
      <w:r w:rsidRPr="00A85918">
        <w:rPr>
          <w:rFonts w:ascii="Arial" w:eastAsiaTheme="majorEastAsia" w:hAnsi="Arial" w:cs="Arial"/>
          <w:b/>
          <w:bCs/>
          <w:sz w:val="20"/>
          <w:lang w:bidi="ar-SA"/>
        </w:rPr>
        <w:t>2.</w:t>
      </w:r>
      <w:r w:rsidR="002F3723">
        <w:rPr>
          <w:rFonts w:ascii="Arial" w:eastAsiaTheme="majorEastAsia" w:hAnsi="Arial" w:cs="Arial"/>
          <w:b/>
          <w:bCs/>
          <w:sz w:val="20"/>
          <w:lang w:bidi="ar-SA"/>
        </w:rPr>
        <w:t>8</w:t>
      </w:r>
      <w:r w:rsidRPr="00A85918">
        <w:rPr>
          <w:rFonts w:ascii="Arial" w:eastAsiaTheme="majorEastAsia" w:hAnsi="Arial" w:cs="Arial"/>
          <w:b/>
          <w:bCs/>
          <w:sz w:val="20"/>
          <w:lang w:bidi="ar-SA"/>
        </w:rPr>
        <w:t xml:space="preserve">.1 Analysis of </w:t>
      </w:r>
      <w:r w:rsidR="00DA7D65">
        <w:rPr>
          <w:rFonts w:ascii="Arial" w:eastAsiaTheme="majorEastAsia" w:hAnsi="Arial" w:cs="Arial"/>
          <w:b/>
          <w:bCs/>
          <w:sz w:val="20"/>
          <w:lang w:bidi="ar-SA"/>
        </w:rPr>
        <w:t>R</w:t>
      </w:r>
      <w:r w:rsidRPr="00A85918">
        <w:rPr>
          <w:rFonts w:ascii="Arial" w:eastAsiaTheme="majorEastAsia" w:hAnsi="Arial" w:cs="Arial"/>
          <w:b/>
          <w:bCs/>
          <w:sz w:val="20"/>
          <w:lang w:bidi="ar-SA"/>
        </w:rPr>
        <w:t xml:space="preserve">ice </w:t>
      </w:r>
      <w:r w:rsidR="00DA7D65">
        <w:rPr>
          <w:rFonts w:ascii="Arial" w:eastAsiaTheme="majorEastAsia" w:hAnsi="Arial" w:cs="Arial"/>
          <w:b/>
          <w:bCs/>
          <w:sz w:val="20"/>
          <w:lang w:bidi="ar-SA"/>
        </w:rPr>
        <w:t>P</w:t>
      </w:r>
      <w:r w:rsidRPr="00A85918">
        <w:rPr>
          <w:rFonts w:ascii="Arial" w:eastAsiaTheme="majorEastAsia" w:hAnsi="Arial" w:cs="Arial"/>
          <w:b/>
          <w:bCs/>
          <w:sz w:val="20"/>
          <w:lang w:bidi="ar-SA"/>
        </w:rPr>
        <w:t xml:space="preserve">lant </w:t>
      </w:r>
      <w:r w:rsidR="00DA7D65">
        <w:rPr>
          <w:rFonts w:ascii="Arial" w:eastAsiaTheme="majorEastAsia" w:hAnsi="Arial" w:cs="Arial"/>
          <w:b/>
          <w:bCs/>
          <w:sz w:val="20"/>
          <w:lang w:bidi="ar-SA"/>
        </w:rPr>
        <w:t>U</w:t>
      </w:r>
      <w:r w:rsidRPr="00A85918">
        <w:rPr>
          <w:rFonts w:ascii="Arial" w:eastAsiaTheme="majorEastAsia" w:hAnsi="Arial" w:cs="Arial"/>
          <w:b/>
          <w:bCs/>
          <w:sz w:val="20"/>
          <w:lang w:bidi="ar-SA"/>
        </w:rPr>
        <w:t xml:space="preserve">ptake </w:t>
      </w:r>
      <w:r w:rsidR="00DA7D65">
        <w:rPr>
          <w:rFonts w:ascii="Arial" w:eastAsiaTheme="majorEastAsia" w:hAnsi="Arial" w:cs="Arial"/>
          <w:b/>
          <w:bCs/>
          <w:sz w:val="20"/>
          <w:lang w:bidi="ar-SA"/>
        </w:rPr>
        <w:t>N</w:t>
      </w:r>
      <w:r w:rsidRPr="00A85918">
        <w:rPr>
          <w:rFonts w:ascii="Arial" w:eastAsiaTheme="majorEastAsia" w:hAnsi="Arial" w:cs="Arial"/>
          <w:b/>
          <w:bCs/>
          <w:sz w:val="20"/>
          <w:lang w:bidi="ar-SA"/>
        </w:rPr>
        <w:t>itrogen</w:t>
      </w:r>
    </w:p>
    <w:p w14:paraId="72327A7A" w14:textId="77777777" w:rsidR="00C97832" w:rsidRPr="00A85918" w:rsidRDefault="00C97832" w:rsidP="009E5B6C">
      <w:pPr>
        <w:keepNext/>
        <w:keepLines/>
        <w:spacing w:line="240" w:lineRule="auto"/>
        <w:outlineLvl w:val="2"/>
        <w:rPr>
          <w:rFonts w:ascii="Arial" w:eastAsiaTheme="majorEastAsia" w:hAnsi="Arial" w:cs="Arial"/>
          <w:b/>
          <w:bCs/>
          <w:sz w:val="20"/>
          <w:lang w:bidi="ar-SA"/>
        </w:rPr>
      </w:pPr>
    </w:p>
    <w:p w14:paraId="29D4AD1F" w14:textId="7C269408" w:rsidR="001D5FF2" w:rsidRDefault="002F3723" w:rsidP="009E5B6C">
      <w:pPr>
        <w:spacing w:line="240" w:lineRule="auto"/>
        <w:jc w:val="both"/>
        <w:rPr>
          <w:rFonts w:ascii="Arial" w:eastAsiaTheme="minorHAnsi" w:hAnsi="Arial" w:cs="Arial"/>
          <w:sz w:val="20"/>
          <w:lang w:bidi="ar-SA"/>
        </w:rPr>
      </w:pPr>
      <w:r w:rsidRPr="002F3723">
        <w:rPr>
          <w:rFonts w:ascii="Arial" w:eastAsiaTheme="minorHAnsi" w:hAnsi="Arial" w:cs="Arial"/>
          <w:sz w:val="20"/>
          <w:lang w:bidi="ar-SA"/>
        </w:rPr>
        <w:t>Analysis of rice plant uptake nitrogen and soil available mineral nitrogen were undertaken at the laboratory under Water Utilization Research Section, Department of Agricultural Research. Rice plant samples were weekly collected to measure nitrogen uptake until the eighth week after the recovery period. Randomly selected rice plants were cut just above the soil surface, dried at 70°C, and analyzed for total nitrogen using the Kjeldahl method.</w:t>
      </w:r>
    </w:p>
    <w:p w14:paraId="6F09E2BA" w14:textId="694BE218" w:rsidR="006C2F09" w:rsidRDefault="006C2F09" w:rsidP="009E5B6C">
      <w:pPr>
        <w:spacing w:line="240" w:lineRule="auto"/>
        <w:jc w:val="both"/>
        <w:rPr>
          <w:rFonts w:ascii="Arial" w:eastAsiaTheme="minorHAnsi" w:hAnsi="Arial" w:cs="Arial"/>
          <w:sz w:val="20"/>
          <w:lang w:bidi="ar-SA"/>
        </w:rPr>
      </w:pPr>
    </w:p>
    <w:p w14:paraId="1F2D9B8C" w14:textId="3FA2E555" w:rsidR="006C2F09" w:rsidRPr="006C2F09" w:rsidRDefault="006C2F09" w:rsidP="009E5B6C">
      <w:pPr>
        <w:spacing w:line="240" w:lineRule="auto"/>
        <w:jc w:val="both"/>
        <w:rPr>
          <w:rFonts w:ascii="Arial" w:eastAsiaTheme="minorHAnsi" w:hAnsi="Arial" w:cs="Arial"/>
          <w:b/>
          <w:bCs/>
          <w:sz w:val="20"/>
          <w:lang w:bidi="ar-SA"/>
        </w:rPr>
      </w:pPr>
      <w:r w:rsidRPr="006C2F09">
        <w:rPr>
          <w:rFonts w:ascii="Arial" w:eastAsiaTheme="minorHAnsi" w:hAnsi="Arial" w:cs="Arial"/>
          <w:b/>
          <w:bCs/>
          <w:sz w:val="20"/>
          <w:lang w:bidi="ar-SA"/>
        </w:rPr>
        <w:t xml:space="preserve">2.8.2 </w:t>
      </w:r>
      <w:r w:rsidR="00DA7D65">
        <w:rPr>
          <w:rFonts w:ascii="Arial" w:eastAsiaTheme="minorHAnsi" w:hAnsi="Arial" w:cs="Arial"/>
          <w:b/>
          <w:bCs/>
          <w:sz w:val="20"/>
          <w:lang w:bidi="ar-SA"/>
        </w:rPr>
        <w:t>Detection</w:t>
      </w:r>
      <w:r w:rsidRPr="006C2F09">
        <w:rPr>
          <w:rFonts w:ascii="Arial" w:eastAsiaTheme="minorHAnsi" w:hAnsi="Arial" w:cs="Arial"/>
          <w:b/>
          <w:bCs/>
          <w:sz w:val="20"/>
          <w:lang w:bidi="ar-SA"/>
        </w:rPr>
        <w:t xml:space="preserve"> of </w:t>
      </w:r>
      <w:r w:rsidR="00DA7D65">
        <w:rPr>
          <w:rFonts w:ascii="Arial" w:eastAsiaTheme="minorHAnsi" w:hAnsi="Arial" w:cs="Arial"/>
          <w:b/>
          <w:bCs/>
          <w:sz w:val="20"/>
          <w:lang w:bidi="ar-SA"/>
        </w:rPr>
        <w:t>Available N (</w:t>
      </w:r>
      <w:r w:rsidRPr="006C2F09">
        <w:rPr>
          <w:rFonts w:ascii="Arial" w:eastAsiaTheme="minorHAnsi" w:hAnsi="Arial" w:cs="Arial"/>
          <w:b/>
          <w:bCs/>
          <w:sz w:val="20"/>
          <w:lang w:bidi="ar-SA"/>
        </w:rPr>
        <w:t>Mineral N</w:t>
      </w:r>
      <w:r w:rsidR="00DA7D65">
        <w:rPr>
          <w:rFonts w:ascii="Arial" w:eastAsiaTheme="minorHAnsi" w:hAnsi="Arial" w:cs="Arial"/>
          <w:b/>
          <w:bCs/>
          <w:sz w:val="20"/>
          <w:lang w:bidi="ar-SA"/>
        </w:rPr>
        <w:t xml:space="preserve">) </w:t>
      </w:r>
      <w:r w:rsidRPr="006C2F09">
        <w:rPr>
          <w:rFonts w:ascii="Arial" w:eastAsiaTheme="minorHAnsi" w:hAnsi="Arial" w:cs="Arial"/>
          <w:b/>
          <w:bCs/>
          <w:sz w:val="20"/>
          <w:lang w:bidi="ar-SA"/>
        </w:rPr>
        <w:t>from Experimental Soil</w:t>
      </w:r>
    </w:p>
    <w:p w14:paraId="63B0C1BF" w14:textId="77777777" w:rsidR="006C2F09" w:rsidRDefault="006C2F09" w:rsidP="009E5B6C">
      <w:pPr>
        <w:spacing w:line="240" w:lineRule="auto"/>
        <w:jc w:val="both"/>
        <w:rPr>
          <w:rFonts w:ascii="Arial" w:eastAsiaTheme="minorHAnsi" w:hAnsi="Arial" w:cs="Arial"/>
          <w:sz w:val="20"/>
          <w:lang w:bidi="ar-SA"/>
        </w:rPr>
      </w:pPr>
    </w:p>
    <w:p w14:paraId="19083319" w14:textId="6AF21A00" w:rsidR="006C2F09" w:rsidRDefault="006C2F09" w:rsidP="006C2F09">
      <w:pPr>
        <w:spacing w:line="240" w:lineRule="auto"/>
        <w:jc w:val="both"/>
        <w:rPr>
          <w:rFonts w:ascii="Arial" w:eastAsiaTheme="minorHAnsi" w:hAnsi="Arial" w:cs="Arial"/>
          <w:sz w:val="20"/>
          <w:lang w:bidi="ar-SA"/>
        </w:rPr>
      </w:pPr>
      <w:r w:rsidRPr="006C2F09">
        <w:rPr>
          <w:rFonts w:ascii="Arial" w:eastAsiaTheme="minorHAnsi" w:hAnsi="Arial" w:cs="Arial"/>
          <w:sz w:val="20"/>
          <w:lang w:bidi="ar-SA"/>
        </w:rPr>
        <w:t xml:space="preserve">Composite soil samples were separately collected for each treatment to determine mineral N. This was done weekly from the first to the eighth week after Sunn hemp incorporation. Samples were taken from a 15 cm depth, air-dried, and sieved through a 2 mm sieve. </w:t>
      </w:r>
      <w:r w:rsidRPr="006C2F09">
        <w:rPr>
          <w:rFonts w:ascii="Arial" w:eastAsiaTheme="minorHAnsi" w:hAnsi="Arial" w:cs="Arial"/>
          <w:sz w:val="20"/>
          <w:lang w:bidi="ar-SA"/>
        </w:rPr>
        <w:lastRenderedPageBreak/>
        <w:t>Available nitrogen was determined using the Alkaline Permanganate Method.</w:t>
      </w:r>
      <w:r w:rsidR="009E1525">
        <w:rPr>
          <w:rFonts w:ascii="Arial" w:eastAsiaTheme="minorHAnsi" w:hAnsi="Arial" w:cs="Arial"/>
          <w:sz w:val="20"/>
          <w:lang w:bidi="ar-SA"/>
        </w:rPr>
        <w:t xml:space="preserve"> </w:t>
      </w:r>
      <w:r w:rsidRPr="006C2F09">
        <w:rPr>
          <w:rFonts w:ascii="Arial" w:eastAsiaTheme="minorHAnsi" w:hAnsi="Arial" w:cs="Arial"/>
          <w:sz w:val="20"/>
          <w:lang w:bidi="ar-SA"/>
        </w:rPr>
        <w:t>For the analysis, 20 grams of dried soil were weighed and placed into a 250 ml flat-bottom flask. Then, 20 ml of distilled water was added, and the mixture was left to stand for 30 minutes. Subsequently, 100 ml of KMnO</w:t>
      </w:r>
      <w:r w:rsidRPr="009E1525">
        <w:rPr>
          <w:rFonts w:ascii="Arial" w:eastAsiaTheme="minorHAnsi" w:hAnsi="Arial" w:cs="Arial"/>
          <w:sz w:val="20"/>
          <w:vertAlign w:val="subscript"/>
          <w:lang w:bidi="ar-SA"/>
        </w:rPr>
        <w:t>4</w:t>
      </w:r>
      <w:r w:rsidRPr="006C2F09">
        <w:rPr>
          <w:rFonts w:ascii="Arial" w:eastAsiaTheme="minorHAnsi" w:hAnsi="Arial" w:cs="Arial"/>
          <w:sz w:val="20"/>
          <w:lang w:bidi="ar-SA"/>
        </w:rPr>
        <w:t xml:space="preserve"> and 100 ml of NaOH were added, and the flask was connected to a distillation apparatus. A 250 ml receiving conical flask containing 10 ml of 3% H</w:t>
      </w:r>
      <w:r w:rsidRPr="00F60C4B">
        <w:rPr>
          <w:rFonts w:ascii="Arial" w:eastAsiaTheme="minorHAnsi" w:hAnsi="Arial" w:cs="Arial"/>
          <w:sz w:val="20"/>
          <w:vertAlign w:val="subscript"/>
          <w:lang w:bidi="ar-SA"/>
        </w:rPr>
        <w:t>3</w:t>
      </w:r>
      <w:r w:rsidRPr="006C2F09">
        <w:rPr>
          <w:rFonts w:ascii="Arial" w:eastAsiaTheme="minorHAnsi" w:hAnsi="Arial" w:cs="Arial"/>
          <w:sz w:val="20"/>
          <w:lang w:bidi="ar-SA"/>
        </w:rPr>
        <w:t>BO</w:t>
      </w:r>
      <w:r w:rsidRPr="00F60C4B">
        <w:rPr>
          <w:rFonts w:ascii="Arial" w:eastAsiaTheme="minorHAnsi" w:hAnsi="Arial" w:cs="Arial"/>
          <w:sz w:val="20"/>
          <w:vertAlign w:val="subscript"/>
          <w:lang w:bidi="ar-SA"/>
        </w:rPr>
        <w:t>3</w:t>
      </w:r>
      <w:r w:rsidRPr="006C2F09">
        <w:rPr>
          <w:rFonts w:ascii="Arial" w:eastAsiaTheme="minorHAnsi" w:hAnsi="Arial" w:cs="Arial"/>
          <w:sz w:val="20"/>
          <w:lang w:bidi="ar-SA"/>
        </w:rPr>
        <w:t xml:space="preserve"> and three drops of a mixed indicator was simultaneously connected. The distillation process was carried out to obtain 100 ml of (NH</w:t>
      </w:r>
      <w:r w:rsidRPr="009E1525">
        <w:rPr>
          <w:rFonts w:ascii="Arial" w:eastAsiaTheme="minorHAnsi" w:hAnsi="Arial" w:cs="Arial"/>
          <w:sz w:val="20"/>
          <w:vertAlign w:val="subscript"/>
          <w:lang w:bidi="ar-SA"/>
        </w:rPr>
        <w:t>4</w:t>
      </w:r>
      <w:r w:rsidRPr="006C2F09">
        <w:rPr>
          <w:rFonts w:ascii="Arial" w:eastAsiaTheme="minorHAnsi" w:hAnsi="Arial" w:cs="Arial"/>
          <w:sz w:val="20"/>
          <w:lang w:bidi="ar-SA"/>
        </w:rPr>
        <w:t>)</w:t>
      </w:r>
      <w:r w:rsidRPr="009E1525">
        <w:rPr>
          <w:rFonts w:ascii="Arial" w:eastAsiaTheme="minorHAnsi" w:hAnsi="Arial" w:cs="Arial"/>
          <w:sz w:val="20"/>
          <w:vertAlign w:val="subscript"/>
          <w:lang w:bidi="ar-SA"/>
        </w:rPr>
        <w:t>3</w:t>
      </w:r>
      <w:r w:rsidRPr="006C2F09">
        <w:rPr>
          <w:rFonts w:ascii="Arial" w:eastAsiaTheme="minorHAnsi" w:hAnsi="Arial" w:cs="Arial"/>
          <w:sz w:val="20"/>
          <w:lang w:bidi="ar-SA"/>
        </w:rPr>
        <w:t>BO</w:t>
      </w:r>
      <w:r w:rsidRPr="009E1525">
        <w:rPr>
          <w:rFonts w:ascii="Arial" w:eastAsiaTheme="minorHAnsi" w:hAnsi="Arial" w:cs="Arial"/>
          <w:sz w:val="20"/>
          <w:vertAlign w:val="subscript"/>
          <w:lang w:bidi="ar-SA"/>
        </w:rPr>
        <w:t>3</w:t>
      </w:r>
      <w:r w:rsidRPr="006C2F09">
        <w:rPr>
          <w:rFonts w:ascii="Arial" w:eastAsiaTheme="minorHAnsi" w:hAnsi="Arial" w:cs="Arial"/>
          <w:sz w:val="20"/>
          <w:lang w:bidi="ar-SA"/>
        </w:rPr>
        <w:t xml:space="preserve"> solution. Afterward, the apparatus was rinsed with a wash bottle and disconnected from the distillation setup. The conical flask was then cooled and titrated with normal H</w:t>
      </w:r>
      <w:r w:rsidRPr="009E1525">
        <w:rPr>
          <w:rFonts w:ascii="Arial" w:eastAsiaTheme="minorHAnsi" w:hAnsi="Arial" w:cs="Arial"/>
          <w:sz w:val="20"/>
          <w:vertAlign w:val="subscript"/>
          <w:lang w:bidi="ar-SA"/>
        </w:rPr>
        <w:t>2</w:t>
      </w:r>
      <w:r w:rsidRPr="006C2F09">
        <w:rPr>
          <w:rFonts w:ascii="Arial" w:eastAsiaTheme="minorHAnsi" w:hAnsi="Arial" w:cs="Arial"/>
          <w:sz w:val="20"/>
          <w:lang w:bidi="ar-SA"/>
        </w:rPr>
        <w:t>SO</w:t>
      </w:r>
      <w:r w:rsidRPr="009E1525">
        <w:rPr>
          <w:rFonts w:ascii="Arial" w:eastAsiaTheme="minorHAnsi" w:hAnsi="Arial" w:cs="Arial"/>
          <w:sz w:val="20"/>
          <w:vertAlign w:val="subscript"/>
          <w:lang w:bidi="ar-SA"/>
        </w:rPr>
        <w:t>4</w:t>
      </w:r>
      <w:r w:rsidRPr="006C2F09">
        <w:rPr>
          <w:rFonts w:ascii="Arial" w:eastAsiaTheme="minorHAnsi" w:hAnsi="Arial" w:cs="Arial"/>
          <w:sz w:val="20"/>
          <w:lang w:bidi="ar-SA"/>
        </w:rPr>
        <w:t>. Available nitrogen content (ppm) was calculated as following formula;</w:t>
      </w:r>
    </w:p>
    <w:p w14:paraId="7E8CE702" w14:textId="77777777" w:rsidR="006C2F09" w:rsidRDefault="006C2F09" w:rsidP="006C2F09">
      <w:pPr>
        <w:spacing w:line="240" w:lineRule="auto"/>
        <w:jc w:val="both"/>
        <w:rPr>
          <w:rFonts w:ascii="Arial" w:eastAsiaTheme="minorHAnsi" w:hAnsi="Arial" w:cs="Arial"/>
          <w:sz w:val="20"/>
          <w:lang w:bidi="ar-SA"/>
        </w:rPr>
      </w:pPr>
    </w:p>
    <w:p w14:paraId="288D3BC3" w14:textId="77777777" w:rsidR="006C2F09" w:rsidRPr="00A85918" w:rsidRDefault="006C2F09" w:rsidP="006C2F09">
      <w:pPr>
        <w:spacing w:line="240" w:lineRule="auto"/>
        <w:jc w:val="both"/>
        <w:rPr>
          <w:rFonts w:ascii="Arial" w:hAnsi="Arial" w:cs="Arial"/>
          <w:sz w:val="22"/>
          <w:szCs w:val="22"/>
          <w:lang w:bidi="ar-SA"/>
        </w:rPr>
      </w:pPr>
      <m:oMath>
        <m:r>
          <w:rPr>
            <w:rFonts w:ascii="Cambria Math" w:eastAsiaTheme="minorHAnsi" w:hAnsi="Cambria Math" w:cs="Arial"/>
            <w:sz w:val="22"/>
            <w:szCs w:val="22"/>
            <w:lang w:bidi="ar-SA"/>
          </w:rPr>
          <m:t xml:space="preserve">N </m:t>
        </m:r>
        <m:d>
          <m:dPr>
            <m:ctrlPr>
              <w:rPr>
                <w:rFonts w:ascii="Cambria Math" w:eastAsiaTheme="minorHAnsi" w:hAnsi="Cambria Math" w:cs="Arial"/>
                <w:i/>
                <w:sz w:val="22"/>
                <w:szCs w:val="22"/>
                <w:lang w:bidi="ar-SA"/>
              </w:rPr>
            </m:ctrlPr>
          </m:dPr>
          <m:e>
            <m:r>
              <w:rPr>
                <w:rFonts w:ascii="Cambria Math" w:eastAsiaTheme="minorHAnsi" w:hAnsi="Cambria Math" w:cs="Arial"/>
                <w:sz w:val="22"/>
                <w:szCs w:val="22"/>
                <w:lang w:bidi="ar-SA"/>
              </w:rPr>
              <m:t>ppm</m:t>
            </m:r>
          </m:e>
        </m:d>
        <m:r>
          <w:rPr>
            <w:rFonts w:ascii="Cambria Math" w:eastAsiaTheme="minorHAnsi" w:hAnsi="Cambria Math" w:cs="Arial"/>
            <w:sz w:val="22"/>
            <w:szCs w:val="22"/>
            <w:lang w:bidi="ar-SA"/>
          </w:rPr>
          <m:t>=</m:t>
        </m:r>
        <m:f>
          <m:fPr>
            <m:ctrlPr>
              <w:rPr>
                <w:rFonts w:ascii="Cambria Math" w:eastAsiaTheme="minorHAnsi" w:hAnsi="Cambria Math" w:cs="Arial"/>
                <w:i/>
                <w:sz w:val="22"/>
                <w:szCs w:val="22"/>
                <w:lang w:bidi="ar-SA"/>
              </w:rPr>
            </m:ctrlPr>
          </m:fPr>
          <m:num>
            <m:r>
              <w:rPr>
                <w:rFonts w:ascii="Cambria Math" w:eastAsiaTheme="minorHAnsi" w:hAnsi="Cambria Math" w:cs="Arial"/>
                <w:sz w:val="22"/>
                <w:szCs w:val="22"/>
                <w:lang w:bidi="ar-SA"/>
              </w:rPr>
              <m:t>x*0.02 N H2SO4*14*100</m:t>
            </m:r>
          </m:num>
          <m:den>
            <m:r>
              <w:rPr>
                <w:rFonts w:ascii="Cambria Math" w:eastAsiaTheme="minorHAnsi" w:hAnsi="Cambria Math" w:cs="Arial"/>
                <w:sz w:val="22"/>
                <w:szCs w:val="22"/>
                <w:lang w:bidi="ar-SA"/>
              </w:rPr>
              <m:t xml:space="preserve">1000*20 </m:t>
            </m:r>
          </m:den>
        </m:f>
        <m:r>
          <w:rPr>
            <w:rFonts w:ascii="Cambria Math" w:eastAsiaTheme="minorHAnsi" w:hAnsi="Cambria Math" w:cs="Arial"/>
            <w:sz w:val="22"/>
            <w:szCs w:val="22"/>
            <w:lang w:bidi="ar-SA"/>
          </w:rPr>
          <m:t>*10000</m:t>
        </m:r>
      </m:oMath>
      <w:r w:rsidRPr="00A85918">
        <w:rPr>
          <w:rFonts w:ascii="Arial" w:hAnsi="Arial" w:cs="Arial"/>
          <w:sz w:val="22"/>
          <w:szCs w:val="22"/>
          <w:lang w:bidi="ar-SA"/>
        </w:rPr>
        <w:t xml:space="preserve"> </w:t>
      </w:r>
    </w:p>
    <w:p w14:paraId="1B6C65E1" w14:textId="77777777" w:rsidR="006C2F09" w:rsidRDefault="006C2F09" w:rsidP="006C2F09">
      <w:pPr>
        <w:spacing w:line="240" w:lineRule="auto"/>
        <w:jc w:val="both"/>
        <w:rPr>
          <w:rFonts w:ascii="Arial" w:eastAsiaTheme="minorHAnsi" w:hAnsi="Arial" w:cs="Arial"/>
          <w:sz w:val="20"/>
          <w:lang w:bidi="ar-SA"/>
        </w:rPr>
      </w:pPr>
    </w:p>
    <w:p w14:paraId="4B6CDA32" w14:textId="77777777" w:rsidR="006C2F09" w:rsidRPr="006C2F09" w:rsidRDefault="006C2F09" w:rsidP="006C2F09">
      <w:pPr>
        <w:spacing w:line="240" w:lineRule="auto"/>
        <w:jc w:val="both"/>
        <w:rPr>
          <w:rFonts w:ascii="Arial" w:eastAsiaTheme="minorHAnsi" w:hAnsi="Arial" w:cs="Arial"/>
          <w:sz w:val="20"/>
          <w:lang w:bidi="ar-SA"/>
        </w:rPr>
      </w:pPr>
    </w:p>
    <w:p w14:paraId="29FB9984" w14:textId="2E66A593" w:rsidR="006C2F09" w:rsidRDefault="006C2F09" w:rsidP="006C2F09">
      <w:pPr>
        <w:spacing w:line="240" w:lineRule="auto"/>
        <w:jc w:val="both"/>
        <w:rPr>
          <w:rFonts w:ascii="Arial" w:eastAsiaTheme="minorHAnsi" w:hAnsi="Arial" w:cs="Arial"/>
          <w:sz w:val="20"/>
          <w:lang w:bidi="ar-SA"/>
        </w:rPr>
      </w:pPr>
      <w:r w:rsidRPr="006C2F09">
        <w:rPr>
          <w:rFonts w:ascii="Arial" w:eastAsiaTheme="minorHAnsi" w:hAnsi="Arial" w:cs="Arial"/>
          <w:sz w:val="20"/>
          <w:lang w:bidi="ar-SA"/>
        </w:rPr>
        <w:t>Nitrogen mineralization % was calculated as follows;</w:t>
      </w:r>
    </w:p>
    <w:p w14:paraId="32EAD085" w14:textId="754E492B" w:rsidR="006C2F09" w:rsidRDefault="006C2F09" w:rsidP="006C2F09">
      <w:pPr>
        <w:spacing w:line="240" w:lineRule="auto"/>
        <w:jc w:val="both"/>
        <w:rPr>
          <w:rFonts w:ascii="Arial" w:eastAsiaTheme="minorHAnsi" w:hAnsi="Arial" w:cs="Arial"/>
          <w:sz w:val="20"/>
          <w:lang w:bidi="ar-SA"/>
        </w:rPr>
      </w:pPr>
    </w:p>
    <w:p w14:paraId="5CE5CB5A" w14:textId="3375C79D" w:rsidR="009E1525" w:rsidRPr="00790037" w:rsidRDefault="006C2F09" w:rsidP="006C2F09">
      <w:pPr>
        <w:spacing w:line="240" w:lineRule="auto"/>
        <w:jc w:val="both"/>
        <w:rPr>
          <w:rFonts w:ascii="Arial" w:hAnsi="Arial" w:cs="Arial"/>
          <w:sz w:val="16"/>
          <w:szCs w:val="16"/>
          <w:lang w:bidi="ar-SA"/>
        </w:rPr>
      </w:pPr>
      <m:oMathPara>
        <m:oMath>
          <m:r>
            <w:rPr>
              <w:rFonts w:ascii="Cambria Math" w:eastAsiaTheme="minorHAnsi" w:hAnsi="Cambria Math" w:cs="Arial"/>
              <w:sz w:val="16"/>
              <w:szCs w:val="16"/>
              <w:lang w:bidi="ar-SA"/>
            </w:rPr>
            <m:t>Mineralization %=</m:t>
          </m:r>
          <m:f>
            <m:fPr>
              <m:ctrlPr>
                <w:rPr>
                  <w:rFonts w:ascii="Cambria Math" w:eastAsiaTheme="minorHAnsi" w:hAnsi="Cambria Math" w:cs="Arial"/>
                  <w:i/>
                  <w:sz w:val="16"/>
                  <w:szCs w:val="16"/>
                  <w:lang w:bidi="ar-SA"/>
                </w:rPr>
              </m:ctrlPr>
            </m:fPr>
            <m:num>
              <m:r>
                <w:rPr>
                  <w:rFonts w:ascii="Cambria Math" w:eastAsiaTheme="minorHAnsi" w:hAnsi="Cambria Math" w:cs="Arial"/>
                  <w:sz w:val="16"/>
                  <w:szCs w:val="16"/>
                  <w:lang w:bidi="ar-SA"/>
                </w:rPr>
                <m:t xml:space="preserve">Available N from SH treatments </m:t>
              </m:r>
              <m:d>
                <m:dPr>
                  <m:ctrlPr>
                    <w:rPr>
                      <w:rFonts w:ascii="Cambria Math" w:eastAsiaTheme="minorHAnsi" w:hAnsi="Cambria Math" w:cs="Arial"/>
                      <w:i/>
                      <w:sz w:val="16"/>
                      <w:szCs w:val="16"/>
                      <w:lang w:bidi="ar-SA"/>
                    </w:rPr>
                  </m:ctrlPr>
                </m:dPr>
                <m:e>
                  <m:f>
                    <m:fPr>
                      <m:ctrlPr>
                        <w:rPr>
                          <w:rFonts w:ascii="Cambria Math" w:eastAsiaTheme="minorHAnsi" w:hAnsi="Cambria Math" w:cs="Arial"/>
                          <w:i/>
                          <w:sz w:val="16"/>
                          <w:szCs w:val="16"/>
                          <w:lang w:bidi="ar-SA"/>
                        </w:rPr>
                      </m:ctrlPr>
                    </m:fPr>
                    <m:num>
                      <m:r>
                        <w:rPr>
                          <w:rFonts w:ascii="Cambria Math" w:eastAsiaTheme="minorHAnsi" w:hAnsi="Cambria Math" w:cs="Arial"/>
                          <w:sz w:val="16"/>
                          <w:szCs w:val="16"/>
                          <w:lang w:bidi="ar-SA"/>
                        </w:rPr>
                        <m:t>g</m:t>
                      </m:r>
                    </m:num>
                    <m:den>
                      <m:r>
                        <w:rPr>
                          <w:rFonts w:ascii="Cambria Math" w:eastAsiaTheme="minorHAnsi" w:hAnsi="Cambria Math" w:cs="Arial"/>
                          <w:sz w:val="16"/>
                          <w:szCs w:val="16"/>
                          <w:lang w:bidi="ar-SA"/>
                        </w:rPr>
                        <m:t>tank</m:t>
                      </m:r>
                    </m:den>
                  </m:f>
                </m:e>
              </m:d>
              <m:r>
                <w:rPr>
                  <w:rFonts w:ascii="Cambria Math" w:eastAsiaTheme="minorHAnsi" w:hAnsi="Cambria Math" w:cs="Arial"/>
                  <w:sz w:val="16"/>
                  <w:szCs w:val="16"/>
                  <w:lang w:bidi="ar-SA"/>
                </w:rPr>
                <m:t>-Ava</m:t>
              </m:r>
              <m:r>
                <m:rPr>
                  <m:sty m:val="p"/>
                </m:rPr>
                <w:rPr>
                  <w:rFonts w:ascii="Cambria Math" w:eastAsiaTheme="minorHAnsi" w:hAnsi="Cambria Math" w:cs="Arial"/>
                  <w:sz w:val="16"/>
                  <w:szCs w:val="16"/>
                  <w:lang w:bidi="ar-SA"/>
                </w:rPr>
                <m:t xml:space="preserve">ilable </m:t>
              </m:r>
              <m:r>
                <w:rPr>
                  <w:rFonts w:ascii="Cambria Math" w:eastAsiaTheme="minorHAnsi" w:hAnsi="Cambria Math" w:cs="Arial"/>
                  <w:sz w:val="16"/>
                  <w:szCs w:val="16"/>
                  <w:lang w:bidi="ar-SA"/>
                </w:rPr>
                <m:t xml:space="preserve">N  from control </m:t>
              </m:r>
              <m:d>
                <m:dPr>
                  <m:ctrlPr>
                    <w:rPr>
                      <w:rFonts w:ascii="Cambria Math" w:eastAsiaTheme="minorHAnsi" w:hAnsi="Cambria Math" w:cs="Arial"/>
                      <w:i/>
                      <w:sz w:val="16"/>
                      <w:szCs w:val="16"/>
                      <w:lang w:bidi="ar-SA"/>
                    </w:rPr>
                  </m:ctrlPr>
                </m:dPr>
                <m:e>
                  <m:f>
                    <m:fPr>
                      <m:ctrlPr>
                        <w:rPr>
                          <w:rFonts w:ascii="Cambria Math" w:eastAsiaTheme="minorHAnsi" w:hAnsi="Cambria Math" w:cs="Arial"/>
                          <w:i/>
                          <w:sz w:val="16"/>
                          <w:szCs w:val="16"/>
                          <w:lang w:bidi="ar-SA"/>
                        </w:rPr>
                      </m:ctrlPr>
                    </m:fPr>
                    <m:num>
                      <m:r>
                        <w:rPr>
                          <w:rFonts w:ascii="Cambria Math" w:eastAsiaTheme="minorHAnsi" w:hAnsi="Cambria Math" w:cs="Arial"/>
                          <w:sz w:val="16"/>
                          <w:szCs w:val="16"/>
                          <w:lang w:bidi="ar-SA"/>
                        </w:rPr>
                        <m:t>g</m:t>
                      </m:r>
                    </m:num>
                    <m:den>
                      <m:r>
                        <w:rPr>
                          <w:rFonts w:ascii="Cambria Math" w:eastAsiaTheme="minorHAnsi" w:hAnsi="Cambria Math" w:cs="Arial"/>
                          <w:sz w:val="16"/>
                          <w:szCs w:val="16"/>
                          <w:lang w:bidi="ar-SA"/>
                        </w:rPr>
                        <m:t>tank</m:t>
                      </m:r>
                    </m:den>
                  </m:f>
                </m:e>
              </m:d>
            </m:num>
            <m:den>
              <m:r>
                <w:rPr>
                  <w:rFonts w:ascii="Cambria Math" w:eastAsiaTheme="minorHAnsi" w:hAnsi="Cambria Math" w:cs="Arial"/>
                  <w:sz w:val="16"/>
                  <w:szCs w:val="16"/>
                  <w:lang w:bidi="ar-SA"/>
                </w:rPr>
                <m:t xml:space="preserve">Applied N from SH treatments </m:t>
              </m:r>
              <m:d>
                <m:dPr>
                  <m:ctrlPr>
                    <w:rPr>
                      <w:rFonts w:ascii="Cambria Math" w:eastAsiaTheme="minorHAnsi" w:hAnsi="Cambria Math" w:cs="Arial"/>
                      <w:i/>
                      <w:sz w:val="16"/>
                      <w:szCs w:val="16"/>
                      <w:lang w:bidi="ar-SA"/>
                    </w:rPr>
                  </m:ctrlPr>
                </m:dPr>
                <m:e>
                  <m:f>
                    <m:fPr>
                      <m:ctrlPr>
                        <w:rPr>
                          <w:rFonts w:ascii="Cambria Math" w:eastAsiaTheme="minorHAnsi" w:hAnsi="Cambria Math" w:cs="Arial"/>
                          <w:i/>
                          <w:sz w:val="16"/>
                          <w:szCs w:val="16"/>
                          <w:lang w:bidi="ar-SA"/>
                        </w:rPr>
                      </m:ctrlPr>
                    </m:fPr>
                    <m:num>
                      <m:r>
                        <w:rPr>
                          <w:rFonts w:ascii="Cambria Math" w:eastAsiaTheme="minorHAnsi" w:hAnsi="Cambria Math" w:cs="Arial"/>
                          <w:sz w:val="16"/>
                          <w:szCs w:val="16"/>
                          <w:lang w:bidi="ar-SA"/>
                        </w:rPr>
                        <m:t>g</m:t>
                      </m:r>
                    </m:num>
                    <m:den>
                      <m:r>
                        <w:rPr>
                          <w:rFonts w:ascii="Cambria Math" w:eastAsiaTheme="minorHAnsi" w:hAnsi="Cambria Math" w:cs="Arial"/>
                          <w:sz w:val="16"/>
                          <w:szCs w:val="16"/>
                          <w:lang w:bidi="ar-SA"/>
                        </w:rPr>
                        <m:t>tank</m:t>
                      </m:r>
                    </m:den>
                  </m:f>
                </m:e>
              </m:d>
            </m:den>
          </m:f>
          <m:r>
            <w:rPr>
              <w:rFonts w:ascii="Cambria Math" w:eastAsiaTheme="minorHAnsi" w:hAnsi="Cambria Math" w:cs="Arial"/>
              <w:sz w:val="16"/>
              <w:szCs w:val="16"/>
              <w:lang w:bidi="ar-SA"/>
            </w:rPr>
            <m:t xml:space="preserve"> *100</m:t>
          </m:r>
        </m:oMath>
      </m:oMathPara>
    </w:p>
    <w:p w14:paraId="5759E211" w14:textId="00209B32" w:rsidR="006C2F09" w:rsidRDefault="006C2F09" w:rsidP="006C2F09">
      <w:pPr>
        <w:spacing w:line="240" w:lineRule="auto"/>
        <w:jc w:val="both"/>
        <w:rPr>
          <w:rFonts w:ascii="Arial" w:eastAsiaTheme="minorHAnsi" w:hAnsi="Arial" w:cs="Arial"/>
          <w:sz w:val="20"/>
          <w:lang w:bidi="ar-SA"/>
        </w:rPr>
      </w:pPr>
      <w:r>
        <w:rPr>
          <w:rFonts w:ascii="Arial" w:hAnsi="Arial" w:cs="Arial"/>
          <w:sz w:val="20"/>
          <w:lang w:bidi="ar-SA"/>
        </w:rPr>
        <w:t>[</w:t>
      </w:r>
      <w:r w:rsidR="00891C46">
        <w:rPr>
          <w:rFonts w:ascii="Arial" w:hAnsi="Arial" w:cs="Arial"/>
          <w:sz w:val="20"/>
          <w:lang w:bidi="ar-SA"/>
        </w:rPr>
        <w:t>7</w:t>
      </w:r>
      <w:r>
        <w:rPr>
          <w:rFonts w:ascii="Arial" w:hAnsi="Arial" w:cs="Arial"/>
          <w:sz w:val="20"/>
          <w:lang w:bidi="ar-SA"/>
        </w:rPr>
        <w:t>]</w:t>
      </w:r>
    </w:p>
    <w:p w14:paraId="5E243734" w14:textId="77777777" w:rsidR="006C2F09" w:rsidRDefault="006C2F09" w:rsidP="006C2F09">
      <w:pPr>
        <w:spacing w:line="240" w:lineRule="auto"/>
        <w:jc w:val="both"/>
        <w:rPr>
          <w:rFonts w:ascii="Arial" w:eastAsiaTheme="minorHAnsi" w:hAnsi="Arial" w:cs="Arial"/>
          <w:sz w:val="20"/>
          <w:lang w:bidi="ar-SA"/>
        </w:rPr>
      </w:pPr>
    </w:p>
    <w:p w14:paraId="216F8F98" w14:textId="77777777" w:rsidR="006C2F09" w:rsidRPr="006C2F09" w:rsidRDefault="006C2F09" w:rsidP="006C2F09">
      <w:pPr>
        <w:spacing w:line="240" w:lineRule="auto"/>
        <w:jc w:val="both"/>
        <w:rPr>
          <w:rFonts w:ascii="Arial" w:eastAsiaTheme="minorHAnsi" w:hAnsi="Arial" w:cs="Arial"/>
          <w:sz w:val="20"/>
          <w:lang w:bidi="ar-SA"/>
        </w:rPr>
      </w:pPr>
    </w:p>
    <w:p w14:paraId="2F66C0BD" w14:textId="4EF893D6" w:rsidR="00A85918" w:rsidRDefault="00A85918" w:rsidP="009E5B6C">
      <w:pPr>
        <w:spacing w:line="240" w:lineRule="auto"/>
        <w:jc w:val="both"/>
        <w:rPr>
          <w:rFonts w:ascii="Arial" w:eastAsiaTheme="minorHAnsi" w:hAnsi="Arial" w:cs="Arial"/>
          <w:b/>
          <w:bCs/>
          <w:sz w:val="22"/>
          <w:szCs w:val="22"/>
          <w:lang w:bidi="ar-SA"/>
        </w:rPr>
      </w:pPr>
      <w:r w:rsidRPr="00A85918">
        <w:rPr>
          <w:rFonts w:ascii="Arial" w:eastAsiaTheme="minorHAnsi" w:hAnsi="Arial" w:cs="Arial"/>
          <w:b/>
          <w:bCs/>
          <w:sz w:val="22"/>
          <w:szCs w:val="22"/>
          <w:lang w:bidi="ar-SA"/>
        </w:rPr>
        <w:t>2.</w:t>
      </w:r>
      <w:r w:rsidR="002F3723">
        <w:rPr>
          <w:rFonts w:ascii="Arial" w:eastAsiaTheme="minorHAnsi" w:hAnsi="Arial" w:cs="Arial"/>
          <w:b/>
          <w:bCs/>
          <w:sz w:val="22"/>
          <w:szCs w:val="22"/>
          <w:lang w:bidi="ar-SA"/>
        </w:rPr>
        <w:t>8</w:t>
      </w:r>
      <w:r w:rsidRPr="00A85918">
        <w:rPr>
          <w:rFonts w:ascii="Arial" w:eastAsiaTheme="minorHAnsi" w:hAnsi="Arial" w:cs="Arial"/>
          <w:b/>
          <w:bCs/>
          <w:sz w:val="22"/>
          <w:szCs w:val="22"/>
          <w:lang w:bidi="ar-SA"/>
        </w:rPr>
        <w:t>.</w:t>
      </w:r>
      <w:r w:rsidR="006C2F09">
        <w:rPr>
          <w:rFonts w:ascii="Arial" w:eastAsiaTheme="minorHAnsi" w:hAnsi="Arial" w:cs="Arial"/>
          <w:b/>
          <w:bCs/>
          <w:sz w:val="22"/>
          <w:szCs w:val="22"/>
          <w:lang w:bidi="ar-SA"/>
        </w:rPr>
        <w:t>3</w:t>
      </w:r>
      <w:r w:rsidRPr="00A85918">
        <w:rPr>
          <w:rFonts w:ascii="Arial" w:eastAsiaTheme="minorHAnsi" w:hAnsi="Arial" w:cs="Arial"/>
          <w:b/>
          <w:bCs/>
          <w:sz w:val="22"/>
          <w:szCs w:val="22"/>
          <w:lang w:bidi="ar-SA"/>
        </w:rPr>
        <w:t xml:space="preserve"> Apparent N recovery </w:t>
      </w:r>
      <w:r w:rsidR="00C97832">
        <w:rPr>
          <w:rFonts w:ascii="Arial" w:eastAsiaTheme="minorHAnsi" w:hAnsi="Arial" w:cs="Arial"/>
          <w:b/>
          <w:bCs/>
          <w:sz w:val="22"/>
          <w:szCs w:val="22"/>
          <w:lang w:bidi="ar-SA"/>
        </w:rPr>
        <w:t>(ANR)</w:t>
      </w:r>
    </w:p>
    <w:p w14:paraId="0D6EDD9A" w14:textId="77777777" w:rsidR="00C97832" w:rsidRPr="00A85918" w:rsidRDefault="00C97832" w:rsidP="009E5B6C">
      <w:pPr>
        <w:spacing w:line="240" w:lineRule="auto"/>
        <w:jc w:val="both"/>
        <w:rPr>
          <w:rFonts w:ascii="Arial" w:eastAsiaTheme="minorHAnsi" w:hAnsi="Arial" w:cs="Arial"/>
          <w:b/>
          <w:bCs/>
          <w:sz w:val="22"/>
          <w:szCs w:val="22"/>
          <w:lang w:bidi="ar-SA"/>
        </w:rPr>
      </w:pPr>
    </w:p>
    <w:p w14:paraId="13FCEE60" w14:textId="41C950EB" w:rsidR="00A85918" w:rsidRPr="00782A03" w:rsidRDefault="00A85918" w:rsidP="009E5B6C">
      <w:pPr>
        <w:spacing w:line="240" w:lineRule="auto"/>
        <w:jc w:val="both"/>
        <w:rPr>
          <w:rFonts w:ascii="Arial" w:eastAsiaTheme="minorHAnsi" w:hAnsi="Arial" w:cs="Arial"/>
          <w:sz w:val="20"/>
          <w:lang w:bidi="ar-SA"/>
        </w:rPr>
      </w:pPr>
      <w:r w:rsidRPr="00A85918">
        <w:rPr>
          <w:rFonts w:ascii="Arial" w:eastAsiaTheme="minorHAnsi" w:hAnsi="Arial" w:cs="Arial"/>
          <w:sz w:val="20"/>
          <w:lang w:bidi="ar-SA"/>
        </w:rPr>
        <w:t xml:space="preserve">There are several indicators to assess the nutrient performance on crop yield.  Nutrient uptake efficiency that is the proportion of nutrient added to the soil and that taken up by the plant is used </w:t>
      </w:r>
      <w:r w:rsidR="00E140C2">
        <w:rPr>
          <w:rFonts w:ascii="Arial" w:eastAsiaTheme="minorHAnsi" w:hAnsi="Arial" w:cs="Arial"/>
          <w:sz w:val="20"/>
          <w:lang w:bidi="ar-SA"/>
        </w:rPr>
        <w:t>[1</w:t>
      </w:r>
      <w:r w:rsidR="00DC0FE3">
        <w:rPr>
          <w:rFonts w:ascii="Arial" w:eastAsiaTheme="minorHAnsi" w:hAnsi="Arial" w:cs="Arial"/>
          <w:sz w:val="20"/>
          <w:lang w:bidi="ar-SA"/>
        </w:rPr>
        <w:t>3</w:t>
      </w:r>
      <w:r w:rsidR="00E140C2">
        <w:rPr>
          <w:rFonts w:ascii="Arial" w:eastAsiaTheme="minorHAnsi" w:hAnsi="Arial" w:cs="Arial"/>
          <w:sz w:val="20"/>
          <w:lang w:bidi="ar-SA"/>
        </w:rPr>
        <w:t>]</w:t>
      </w:r>
      <w:r w:rsidRPr="00A85918">
        <w:rPr>
          <w:rFonts w:ascii="Arial" w:eastAsiaTheme="minorHAnsi" w:hAnsi="Arial" w:cs="Arial"/>
          <w:sz w:val="20"/>
          <w:lang w:bidi="ar-SA"/>
        </w:rPr>
        <w:t xml:space="preserve">. The proportion of nitrogen absorbed and derived from the applied fertilizer nitrogen cannot be precisely determined. Therefore, it is referred to as the "apparent" recovery of fertilizer nitrogen </w:t>
      </w:r>
      <w:r w:rsidR="00E140C2">
        <w:rPr>
          <w:rFonts w:ascii="Arial" w:eastAsiaTheme="minorHAnsi" w:hAnsi="Arial" w:cs="Arial"/>
          <w:sz w:val="20"/>
          <w:lang w:bidi="ar-SA"/>
        </w:rPr>
        <w:t>[1</w:t>
      </w:r>
      <w:r w:rsidR="00DC0FE3">
        <w:rPr>
          <w:rFonts w:ascii="Arial" w:eastAsiaTheme="minorHAnsi" w:hAnsi="Arial" w:cs="Arial"/>
          <w:sz w:val="20"/>
          <w:lang w:bidi="ar-SA"/>
        </w:rPr>
        <w:t>4</w:t>
      </w:r>
      <w:r w:rsidR="00E140C2">
        <w:rPr>
          <w:rFonts w:ascii="Arial" w:eastAsiaTheme="minorHAnsi" w:hAnsi="Arial" w:cs="Arial"/>
          <w:sz w:val="20"/>
          <w:lang w:bidi="ar-SA"/>
        </w:rPr>
        <w:t>]</w:t>
      </w:r>
      <w:r w:rsidRPr="00A85918">
        <w:rPr>
          <w:rFonts w:ascii="Arial" w:eastAsiaTheme="minorHAnsi" w:hAnsi="Arial" w:cs="Arial"/>
          <w:sz w:val="20"/>
          <w:lang w:bidi="ar-SA"/>
        </w:rPr>
        <w:t>. Apparent N recovery is commonly used and calculated as follow;</w:t>
      </w:r>
    </w:p>
    <w:p w14:paraId="04757E3F" w14:textId="77777777" w:rsidR="00782A03" w:rsidRPr="00A85918" w:rsidRDefault="00782A03" w:rsidP="009E5B6C">
      <w:pPr>
        <w:spacing w:line="240" w:lineRule="auto"/>
        <w:jc w:val="both"/>
        <w:rPr>
          <w:rFonts w:ascii="Arial" w:eastAsiaTheme="minorHAnsi" w:hAnsi="Arial" w:cs="Arial"/>
          <w:sz w:val="22"/>
          <w:szCs w:val="22"/>
          <w:lang w:bidi="ar-SA"/>
        </w:rPr>
      </w:pPr>
    </w:p>
    <w:p w14:paraId="626D5914" w14:textId="6945F009" w:rsidR="00782A03" w:rsidRDefault="00A85918" w:rsidP="009E5B6C">
      <w:pPr>
        <w:spacing w:line="240" w:lineRule="auto"/>
        <w:jc w:val="both"/>
        <w:rPr>
          <w:rFonts w:ascii="Arial" w:eastAsiaTheme="minorHAnsi" w:hAnsi="Arial" w:cs="Arial"/>
          <w:sz w:val="22"/>
          <w:szCs w:val="22"/>
          <w:lang w:bidi="ar-SA"/>
        </w:rPr>
      </w:pPr>
      <m:oMath>
        <m:r>
          <w:rPr>
            <w:rFonts w:ascii="Cambria Math" w:eastAsiaTheme="minorHAnsi" w:hAnsi="Cambria Math" w:cs="Arial"/>
            <w:sz w:val="20"/>
            <w:lang w:bidi="ar-SA"/>
          </w:rPr>
          <m:t>ANR %=</m:t>
        </m:r>
        <m:f>
          <m:fPr>
            <m:ctrlPr>
              <w:rPr>
                <w:rFonts w:ascii="Cambria Math" w:eastAsiaTheme="minorHAnsi" w:hAnsi="Cambria Math" w:cs="Arial"/>
                <w:i/>
                <w:sz w:val="20"/>
                <w:lang w:bidi="ar-SA"/>
              </w:rPr>
            </m:ctrlPr>
          </m:fPr>
          <m:num>
            <m:r>
              <w:rPr>
                <w:rFonts w:ascii="Cambria Math" w:eastAsiaTheme="minorHAnsi" w:hAnsi="Cambria Math" w:cs="Arial"/>
                <w:sz w:val="20"/>
                <w:lang w:bidi="ar-SA"/>
              </w:rPr>
              <m:t xml:space="preserve">N uptake from SH treatments </m:t>
            </m:r>
            <m:d>
              <m:dPr>
                <m:ctrlPr>
                  <w:rPr>
                    <w:rFonts w:ascii="Cambria Math" w:eastAsiaTheme="minorHAnsi" w:hAnsi="Cambria Math" w:cs="Arial"/>
                    <w:i/>
                    <w:sz w:val="20"/>
                    <w:lang w:bidi="ar-SA"/>
                  </w:rPr>
                </m:ctrlPr>
              </m:dPr>
              <m:e>
                <m:f>
                  <m:fPr>
                    <m:ctrlPr>
                      <w:rPr>
                        <w:rFonts w:ascii="Cambria Math" w:eastAsiaTheme="minorHAnsi" w:hAnsi="Cambria Math" w:cs="Arial"/>
                        <w:i/>
                        <w:sz w:val="20"/>
                        <w:lang w:bidi="ar-SA"/>
                      </w:rPr>
                    </m:ctrlPr>
                  </m:fPr>
                  <m:num>
                    <m:r>
                      <w:rPr>
                        <w:rFonts w:ascii="Cambria Math" w:eastAsiaTheme="minorHAnsi" w:hAnsi="Cambria Math" w:cs="Arial"/>
                        <w:sz w:val="20"/>
                        <w:lang w:bidi="ar-SA"/>
                      </w:rPr>
                      <m:t>g</m:t>
                    </m:r>
                  </m:num>
                  <m:den>
                    <m:r>
                      <w:rPr>
                        <w:rFonts w:ascii="Cambria Math" w:eastAsiaTheme="minorHAnsi" w:hAnsi="Cambria Math" w:cs="Arial"/>
                        <w:sz w:val="20"/>
                        <w:lang w:bidi="ar-SA"/>
                      </w:rPr>
                      <m:t>tank</m:t>
                    </m:r>
                  </m:den>
                </m:f>
              </m:e>
            </m:d>
            <m:r>
              <w:rPr>
                <w:rFonts w:ascii="Cambria Math" w:eastAsiaTheme="minorHAnsi" w:hAnsi="Cambria Math" w:cs="Arial"/>
                <w:sz w:val="20"/>
                <w:lang w:bidi="ar-SA"/>
              </w:rPr>
              <m:t xml:space="preserve">-N uptake from control </m:t>
            </m:r>
            <m:d>
              <m:dPr>
                <m:ctrlPr>
                  <w:rPr>
                    <w:rFonts w:ascii="Cambria Math" w:eastAsiaTheme="minorHAnsi" w:hAnsi="Cambria Math" w:cs="Arial"/>
                    <w:i/>
                    <w:sz w:val="20"/>
                    <w:lang w:bidi="ar-SA"/>
                  </w:rPr>
                </m:ctrlPr>
              </m:dPr>
              <m:e>
                <m:f>
                  <m:fPr>
                    <m:ctrlPr>
                      <w:rPr>
                        <w:rFonts w:ascii="Cambria Math" w:eastAsiaTheme="minorHAnsi" w:hAnsi="Cambria Math" w:cs="Arial"/>
                        <w:i/>
                        <w:sz w:val="20"/>
                        <w:lang w:bidi="ar-SA"/>
                      </w:rPr>
                    </m:ctrlPr>
                  </m:fPr>
                  <m:num>
                    <m:r>
                      <w:rPr>
                        <w:rFonts w:ascii="Cambria Math" w:eastAsiaTheme="minorHAnsi" w:hAnsi="Cambria Math" w:cs="Arial"/>
                        <w:sz w:val="20"/>
                        <w:lang w:bidi="ar-SA"/>
                      </w:rPr>
                      <m:t>g</m:t>
                    </m:r>
                  </m:num>
                  <m:den>
                    <m:r>
                      <w:rPr>
                        <w:rFonts w:ascii="Cambria Math" w:eastAsiaTheme="minorHAnsi" w:hAnsi="Cambria Math" w:cs="Arial"/>
                        <w:sz w:val="20"/>
                        <w:lang w:bidi="ar-SA"/>
                      </w:rPr>
                      <m:t>tank</m:t>
                    </m:r>
                  </m:den>
                </m:f>
              </m:e>
            </m:d>
          </m:num>
          <m:den>
            <m:r>
              <w:rPr>
                <w:rFonts w:ascii="Cambria Math" w:eastAsiaTheme="minorHAnsi" w:hAnsi="Cambria Math" w:cs="Arial"/>
                <w:sz w:val="20"/>
                <w:lang w:bidi="ar-SA"/>
              </w:rPr>
              <m:t xml:space="preserve">Applied N from SH </m:t>
            </m:r>
            <m:d>
              <m:dPr>
                <m:ctrlPr>
                  <w:rPr>
                    <w:rFonts w:ascii="Cambria Math" w:eastAsiaTheme="minorHAnsi" w:hAnsi="Cambria Math" w:cs="Arial"/>
                    <w:i/>
                    <w:sz w:val="20"/>
                    <w:lang w:bidi="ar-SA"/>
                  </w:rPr>
                </m:ctrlPr>
              </m:dPr>
              <m:e>
                <m:f>
                  <m:fPr>
                    <m:ctrlPr>
                      <w:rPr>
                        <w:rFonts w:ascii="Cambria Math" w:eastAsiaTheme="minorHAnsi" w:hAnsi="Cambria Math" w:cs="Arial"/>
                        <w:i/>
                        <w:sz w:val="20"/>
                        <w:lang w:bidi="ar-SA"/>
                      </w:rPr>
                    </m:ctrlPr>
                  </m:fPr>
                  <m:num>
                    <m:r>
                      <w:rPr>
                        <w:rFonts w:ascii="Cambria Math" w:eastAsiaTheme="minorHAnsi" w:hAnsi="Cambria Math" w:cs="Arial"/>
                        <w:sz w:val="20"/>
                        <w:lang w:bidi="ar-SA"/>
                      </w:rPr>
                      <m:t>g</m:t>
                    </m:r>
                  </m:num>
                  <m:den>
                    <m:r>
                      <w:rPr>
                        <w:rFonts w:ascii="Cambria Math" w:eastAsiaTheme="minorHAnsi" w:hAnsi="Cambria Math" w:cs="Arial"/>
                        <w:sz w:val="20"/>
                        <w:lang w:bidi="ar-SA"/>
                      </w:rPr>
                      <m:t>tank</m:t>
                    </m:r>
                  </m:den>
                </m:f>
              </m:e>
            </m:d>
          </m:den>
        </m:f>
        <m:r>
          <w:rPr>
            <w:rFonts w:ascii="Cambria Math" w:eastAsiaTheme="minorHAnsi" w:hAnsi="Cambria Math" w:cs="Arial"/>
            <w:sz w:val="20"/>
            <w:lang w:bidi="ar-SA"/>
          </w:rPr>
          <m:t xml:space="preserve">* 100   </m:t>
        </m:r>
      </m:oMath>
      <w:r w:rsidR="00E140C2">
        <w:rPr>
          <w:rFonts w:ascii="Arial" w:eastAsiaTheme="minorHAnsi" w:hAnsi="Arial" w:cs="Arial"/>
          <w:sz w:val="20"/>
          <w:lang w:bidi="ar-SA"/>
        </w:rPr>
        <w:t>[</w:t>
      </w:r>
      <w:r w:rsidR="00DC0FE3">
        <w:rPr>
          <w:rFonts w:ascii="Arial" w:eastAsiaTheme="minorHAnsi" w:hAnsi="Arial" w:cs="Arial"/>
          <w:sz w:val="20"/>
          <w:lang w:bidi="ar-SA"/>
        </w:rPr>
        <w:t>15</w:t>
      </w:r>
      <w:r w:rsidR="00E140C2">
        <w:rPr>
          <w:rFonts w:ascii="Arial" w:eastAsiaTheme="minorHAnsi" w:hAnsi="Arial" w:cs="Arial"/>
          <w:sz w:val="20"/>
          <w:lang w:bidi="ar-SA"/>
        </w:rPr>
        <w:t>]</w:t>
      </w:r>
    </w:p>
    <w:p w14:paraId="7644F727" w14:textId="77777777" w:rsidR="006C2F09" w:rsidRDefault="006C2F09" w:rsidP="009E5B6C">
      <w:pPr>
        <w:spacing w:line="240" w:lineRule="auto"/>
        <w:jc w:val="both"/>
        <w:rPr>
          <w:rFonts w:ascii="Arial" w:eastAsiaTheme="minorHAnsi" w:hAnsi="Arial" w:cs="Arial"/>
          <w:sz w:val="20"/>
          <w:lang w:bidi="ar-SA"/>
        </w:rPr>
      </w:pPr>
    </w:p>
    <w:p w14:paraId="2C2EAEDA" w14:textId="0A7F3FD6" w:rsidR="00A85918" w:rsidRDefault="00A85918" w:rsidP="009E5B6C">
      <w:pPr>
        <w:keepNext/>
        <w:keepLines/>
        <w:spacing w:line="240" w:lineRule="auto"/>
        <w:outlineLvl w:val="0"/>
        <w:rPr>
          <w:rFonts w:ascii="Arial" w:eastAsiaTheme="majorEastAsia" w:hAnsi="Arial" w:cs="Arial"/>
          <w:b/>
          <w:bCs/>
          <w:sz w:val="22"/>
          <w:szCs w:val="22"/>
          <w:lang w:bidi="ar-SA"/>
        </w:rPr>
      </w:pPr>
      <w:r w:rsidRPr="00A85918">
        <w:rPr>
          <w:rFonts w:ascii="Arial" w:eastAsiaTheme="majorEastAsia" w:hAnsi="Arial" w:cs="Arial"/>
          <w:b/>
          <w:bCs/>
          <w:sz w:val="22"/>
          <w:szCs w:val="22"/>
          <w:lang w:bidi="ar-SA"/>
        </w:rPr>
        <w:t>3. Statistical Analysis</w:t>
      </w:r>
    </w:p>
    <w:p w14:paraId="4EC09F13" w14:textId="77777777" w:rsidR="00C97832" w:rsidRPr="00A85918" w:rsidRDefault="00C97832" w:rsidP="009E5B6C">
      <w:pPr>
        <w:keepNext/>
        <w:keepLines/>
        <w:spacing w:line="240" w:lineRule="auto"/>
        <w:outlineLvl w:val="0"/>
        <w:rPr>
          <w:rFonts w:ascii="Arial" w:eastAsiaTheme="majorEastAsia" w:hAnsi="Arial" w:cs="Arial"/>
          <w:b/>
          <w:bCs/>
          <w:sz w:val="22"/>
          <w:szCs w:val="22"/>
          <w:lang w:bidi="ar-SA"/>
        </w:rPr>
      </w:pPr>
    </w:p>
    <w:p w14:paraId="1356BFD6" w14:textId="3194618D" w:rsidR="00A85918" w:rsidRDefault="006C2F09" w:rsidP="009E5B6C">
      <w:pPr>
        <w:spacing w:line="240" w:lineRule="auto"/>
        <w:jc w:val="both"/>
        <w:rPr>
          <w:rFonts w:ascii="Arial" w:eastAsiaTheme="minorHAnsi" w:hAnsi="Arial" w:cs="Arial"/>
          <w:sz w:val="20"/>
          <w:lang w:bidi="ar-SA"/>
        </w:rPr>
      </w:pPr>
      <w:r w:rsidRPr="006C2F09">
        <w:rPr>
          <w:rFonts w:ascii="Arial" w:eastAsiaTheme="minorHAnsi" w:hAnsi="Arial" w:cs="Arial"/>
          <w:sz w:val="20"/>
          <w:lang w:bidi="ar-SA"/>
        </w:rPr>
        <w:t xml:space="preserve">Experimental data were analyzed with Analysis of Variance (ANOVA) by using </w:t>
      </w:r>
      <w:proofErr w:type="spellStart"/>
      <w:r w:rsidRPr="006C2F09">
        <w:rPr>
          <w:rFonts w:ascii="Arial" w:eastAsiaTheme="minorHAnsi" w:hAnsi="Arial" w:cs="Arial"/>
          <w:sz w:val="20"/>
          <w:lang w:bidi="ar-SA"/>
        </w:rPr>
        <w:t>Statistix</w:t>
      </w:r>
      <w:proofErr w:type="spellEnd"/>
      <w:r w:rsidRPr="006C2F09">
        <w:rPr>
          <w:rFonts w:ascii="Arial" w:eastAsiaTheme="minorHAnsi" w:hAnsi="Arial" w:cs="Arial"/>
          <w:sz w:val="20"/>
          <w:lang w:bidi="ar-SA"/>
        </w:rPr>
        <w:t xml:space="preserve"> 8.0. Treatment means were compared using least significant difference (LSD) test at P = 0.05 level (</w:t>
      </w:r>
      <w:r w:rsidR="00DC0FE3">
        <w:rPr>
          <w:rFonts w:ascii="Arial" w:eastAsiaTheme="minorHAnsi" w:hAnsi="Arial" w:cs="Arial"/>
          <w:sz w:val="20"/>
          <w:lang w:bidi="ar-SA"/>
        </w:rPr>
        <w:t>16</w:t>
      </w:r>
      <w:r w:rsidRPr="006C2F09">
        <w:rPr>
          <w:rFonts w:ascii="Arial" w:eastAsiaTheme="minorHAnsi" w:hAnsi="Arial" w:cs="Arial"/>
          <w:sz w:val="20"/>
          <w:lang w:bidi="ar-SA"/>
        </w:rPr>
        <w:t>).</w:t>
      </w:r>
    </w:p>
    <w:p w14:paraId="779AEBD8" w14:textId="77777777" w:rsidR="006C2F09" w:rsidRPr="00A85918" w:rsidRDefault="006C2F09" w:rsidP="009E5B6C">
      <w:pPr>
        <w:spacing w:line="240" w:lineRule="auto"/>
        <w:jc w:val="both"/>
        <w:rPr>
          <w:rFonts w:ascii="Arial" w:eastAsiaTheme="minorHAnsi" w:hAnsi="Arial" w:cs="Arial"/>
          <w:sz w:val="22"/>
          <w:szCs w:val="22"/>
          <w:lang w:bidi="ar-SA"/>
        </w:rPr>
      </w:pPr>
    </w:p>
    <w:p w14:paraId="34D1212F" w14:textId="77777777" w:rsidR="00A85918" w:rsidRPr="00A85918" w:rsidRDefault="00A85918" w:rsidP="009E5B6C">
      <w:pPr>
        <w:keepNext/>
        <w:keepLines/>
        <w:spacing w:line="240" w:lineRule="auto"/>
        <w:outlineLvl w:val="0"/>
        <w:rPr>
          <w:rFonts w:ascii="Arial" w:eastAsiaTheme="majorEastAsia" w:hAnsi="Arial" w:cs="Arial"/>
          <w:b/>
          <w:bCs/>
          <w:sz w:val="22"/>
          <w:szCs w:val="22"/>
          <w:lang w:bidi="ar-SA"/>
        </w:rPr>
      </w:pPr>
      <w:r w:rsidRPr="00A85918">
        <w:rPr>
          <w:rFonts w:ascii="Arial" w:eastAsiaTheme="majorEastAsia" w:hAnsi="Arial" w:cs="Arial"/>
          <w:b/>
          <w:bCs/>
          <w:sz w:val="22"/>
          <w:szCs w:val="22"/>
          <w:lang w:bidi="ar-SA"/>
        </w:rPr>
        <w:t>4.Results and Discussion</w:t>
      </w:r>
    </w:p>
    <w:p w14:paraId="55F2E210" w14:textId="7383822E" w:rsidR="00A85918" w:rsidRDefault="00A85918" w:rsidP="009E5B6C">
      <w:pPr>
        <w:keepNext/>
        <w:keepLines/>
        <w:spacing w:line="240" w:lineRule="auto"/>
        <w:outlineLvl w:val="1"/>
        <w:rPr>
          <w:rFonts w:ascii="Arial" w:eastAsiaTheme="majorEastAsia" w:hAnsi="Arial" w:cs="Arial"/>
          <w:b/>
          <w:bCs/>
          <w:sz w:val="22"/>
          <w:szCs w:val="22"/>
          <w:lang w:bidi="ar-SA"/>
        </w:rPr>
      </w:pPr>
      <w:r w:rsidRPr="00A85918">
        <w:rPr>
          <w:rFonts w:ascii="Arial" w:eastAsiaTheme="majorEastAsia" w:hAnsi="Arial" w:cs="Arial"/>
          <w:b/>
          <w:bCs/>
          <w:sz w:val="22"/>
          <w:szCs w:val="22"/>
          <w:lang w:bidi="ar-SA"/>
        </w:rPr>
        <w:t>4.1 Estimation of Biomass and Nutrient Contributions</w:t>
      </w:r>
      <w:r w:rsidR="00C97832">
        <w:rPr>
          <w:rFonts w:ascii="Arial" w:eastAsiaTheme="majorEastAsia" w:hAnsi="Arial" w:cs="Arial"/>
          <w:b/>
          <w:bCs/>
          <w:sz w:val="22"/>
          <w:szCs w:val="22"/>
          <w:lang w:bidi="ar-SA"/>
        </w:rPr>
        <w:t xml:space="preserve"> </w:t>
      </w:r>
    </w:p>
    <w:p w14:paraId="17260BF6" w14:textId="77777777" w:rsidR="00C97832" w:rsidRPr="00A85918" w:rsidRDefault="00C97832" w:rsidP="009E5B6C">
      <w:pPr>
        <w:keepNext/>
        <w:keepLines/>
        <w:spacing w:line="240" w:lineRule="auto"/>
        <w:outlineLvl w:val="1"/>
        <w:rPr>
          <w:rFonts w:ascii="Arial" w:eastAsiaTheme="majorEastAsia" w:hAnsi="Arial" w:cs="Arial"/>
          <w:b/>
          <w:bCs/>
          <w:sz w:val="22"/>
          <w:szCs w:val="22"/>
          <w:lang w:bidi="ar-SA"/>
        </w:rPr>
      </w:pPr>
    </w:p>
    <w:p w14:paraId="5B22F91A" w14:textId="3C4BCD5A" w:rsidR="00A85918" w:rsidRDefault="00C4136E" w:rsidP="009E5B6C">
      <w:pPr>
        <w:spacing w:line="240" w:lineRule="auto"/>
        <w:contextualSpacing/>
        <w:jc w:val="both"/>
        <w:rPr>
          <w:rFonts w:ascii="Arial" w:eastAsiaTheme="minorHAnsi" w:hAnsi="Arial" w:cs="Arial"/>
          <w:sz w:val="20"/>
          <w:lang w:bidi="ar-SA"/>
        </w:rPr>
      </w:pPr>
      <w:r w:rsidRPr="00C4136E">
        <w:rPr>
          <w:rFonts w:ascii="Arial" w:eastAsiaTheme="minorHAnsi" w:hAnsi="Arial" w:cs="Arial"/>
          <w:sz w:val="20"/>
          <w:lang w:bidi="ar-SA"/>
        </w:rPr>
        <w:t xml:space="preserve">Measured parameters of plant heights, root length, fresh weight, dry weight, moisture content, carbon and nitrogen contents were significantly different at p&lt;0.01 among cultivated Sunn hemps (Table 3). Minimum plant height occurred at SH45. There was no statistically difference between SH60 and SH75 for plant height, fresh weight, dry weight and N &amp; C contribution but SH75 was numerically higher than SH60 except for fresh weight. The root length of SH45 was the shortest, 2.45 cm and 5 cm shorter than the SH60 and SH75 respectively. The weighted fresh biomass contribution of SH60 was significantly greater than that of SH45. SH60 provided fresh biomass weight 140% greater than SH45 while it was 4.6% greater than SH75. SH75 did 129.6% greater than SH45. However, dry matter contribution was the highest for the SH75 and it was 6.62% higher than SH60 and 224% higher than SH45. Although SH60 produced a higher fresh biomass than SH75, SH75 surpassed SH60 in dry biomass contribution. The reason of higher dry biomass in </w:t>
      </w:r>
      <w:r w:rsidRPr="00C4136E">
        <w:rPr>
          <w:rFonts w:ascii="Arial" w:eastAsiaTheme="minorHAnsi" w:hAnsi="Arial" w:cs="Arial"/>
          <w:sz w:val="20"/>
          <w:lang w:bidi="ar-SA"/>
        </w:rPr>
        <w:lastRenderedPageBreak/>
        <w:t>SH75 was related to its low moisture content (Table 3). Therefore, SH75 revealed superior dry biomass and nutrient contributions compared to SH60 and SH45.</w:t>
      </w:r>
    </w:p>
    <w:p w14:paraId="4311DC1F" w14:textId="77777777" w:rsidR="00C4136E" w:rsidRPr="00A85918" w:rsidRDefault="00C4136E" w:rsidP="009E5B6C">
      <w:pPr>
        <w:spacing w:line="240" w:lineRule="auto"/>
        <w:contextualSpacing/>
        <w:jc w:val="both"/>
        <w:rPr>
          <w:rFonts w:ascii="Arial" w:eastAsiaTheme="minorHAnsi" w:hAnsi="Arial" w:cs="Arial"/>
          <w:sz w:val="20"/>
          <w:lang w:bidi="ar-SA"/>
        </w:rPr>
      </w:pPr>
    </w:p>
    <w:p w14:paraId="1347C368" w14:textId="561C8759" w:rsidR="00A85918" w:rsidRDefault="00C4136E" w:rsidP="009E5B6C">
      <w:pPr>
        <w:spacing w:line="240" w:lineRule="auto"/>
        <w:contextualSpacing/>
        <w:jc w:val="both"/>
        <w:rPr>
          <w:rFonts w:ascii="Arial" w:eastAsiaTheme="minorHAnsi" w:hAnsi="Arial" w:cs="Arial"/>
          <w:sz w:val="20"/>
          <w:lang w:bidi="ar-SA"/>
        </w:rPr>
      </w:pPr>
      <w:r w:rsidRPr="00C4136E">
        <w:rPr>
          <w:rFonts w:ascii="Arial" w:eastAsiaTheme="minorHAnsi" w:hAnsi="Arial" w:cs="Arial"/>
          <w:sz w:val="20"/>
          <w:lang w:bidi="ar-SA"/>
        </w:rPr>
        <w:t>Consequently, the nitrogen contribution of SH75 was 53.78 g tank</w:t>
      </w:r>
      <w:r w:rsidRPr="00D95A41">
        <w:rPr>
          <w:rFonts w:ascii="Arial" w:eastAsiaTheme="minorHAnsi" w:hAnsi="Arial" w:cs="Arial"/>
          <w:sz w:val="20"/>
          <w:vertAlign w:val="superscript"/>
          <w:lang w:bidi="ar-SA"/>
        </w:rPr>
        <w:t>-1</w:t>
      </w:r>
      <w:r w:rsidRPr="00C4136E">
        <w:rPr>
          <w:rFonts w:ascii="Arial" w:eastAsiaTheme="minorHAnsi" w:hAnsi="Arial" w:cs="Arial"/>
          <w:sz w:val="20"/>
          <w:lang w:bidi="ar-SA"/>
        </w:rPr>
        <w:t>, representing 236% increase over SH45 and 9.3% higher than SH60’s contribution. The N contributions of SH45, SH60 and SH75 were equivalent to the 80 kg ha</w:t>
      </w:r>
      <w:r w:rsidRPr="00D95A41">
        <w:rPr>
          <w:rFonts w:ascii="Arial" w:eastAsiaTheme="minorHAnsi" w:hAnsi="Arial" w:cs="Arial"/>
          <w:sz w:val="20"/>
          <w:vertAlign w:val="superscript"/>
          <w:lang w:bidi="ar-SA"/>
        </w:rPr>
        <w:t>-1</w:t>
      </w:r>
      <w:r w:rsidRPr="00C4136E">
        <w:rPr>
          <w:rFonts w:ascii="Arial" w:eastAsiaTheme="minorHAnsi" w:hAnsi="Arial" w:cs="Arial"/>
          <w:sz w:val="20"/>
          <w:lang w:bidi="ar-SA"/>
        </w:rPr>
        <w:t>, 245.9 kg ha</w:t>
      </w:r>
      <w:r w:rsidRPr="00D95A41">
        <w:rPr>
          <w:rFonts w:ascii="Arial" w:eastAsiaTheme="minorHAnsi" w:hAnsi="Arial" w:cs="Arial"/>
          <w:sz w:val="20"/>
          <w:vertAlign w:val="superscript"/>
          <w:lang w:bidi="ar-SA"/>
        </w:rPr>
        <w:t>-1</w:t>
      </w:r>
      <w:r w:rsidRPr="00C4136E">
        <w:rPr>
          <w:rFonts w:ascii="Arial" w:eastAsiaTheme="minorHAnsi" w:hAnsi="Arial" w:cs="Arial"/>
          <w:sz w:val="20"/>
          <w:lang w:bidi="ar-SA"/>
        </w:rPr>
        <w:t xml:space="preserve"> and 268.9 kg ha</w:t>
      </w:r>
      <w:r w:rsidRPr="00D95A41">
        <w:rPr>
          <w:rFonts w:ascii="Arial" w:eastAsiaTheme="minorHAnsi" w:hAnsi="Arial" w:cs="Arial"/>
          <w:sz w:val="20"/>
          <w:vertAlign w:val="superscript"/>
          <w:lang w:bidi="ar-SA"/>
        </w:rPr>
        <w:t xml:space="preserve">-1 </w:t>
      </w:r>
      <w:r w:rsidRPr="00C4136E">
        <w:rPr>
          <w:rFonts w:ascii="Arial" w:eastAsiaTheme="minorHAnsi" w:hAnsi="Arial" w:cs="Arial"/>
          <w:sz w:val="20"/>
          <w:lang w:bidi="ar-SA"/>
        </w:rPr>
        <w:t>respectively. Similarly, carbon contribution of SH75 was 243% higher than SH45 and 10.7% higher than SH60. The C contribution data from SH45, SH60 and SH75 were equivalent to 1520 kg ha-1, 4710 kg ha-1, 5215.5 kg ha-1 respectively. The results were similar to the research results that Sunn hemp biomass and N content increased with days after plantation (DAP) at two research location (</w:t>
      </w:r>
      <w:r w:rsidR="00DC0FE3">
        <w:rPr>
          <w:rFonts w:ascii="Arial" w:eastAsiaTheme="minorHAnsi" w:hAnsi="Arial" w:cs="Arial"/>
          <w:sz w:val="20"/>
          <w:lang w:bidi="ar-SA"/>
        </w:rPr>
        <w:t>9</w:t>
      </w:r>
      <w:r w:rsidRPr="00C4136E">
        <w:rPr>
          <w:rFonts w:ascii="Arial" w:eastAsiaTheme="minorHAnsi" w:hAnsi="Arial" w:cs="Arial"/>
          <w:sz w:val="20"/>
          <w:lang w:bidi="ar-SA"/>
        </w:rPr>
        <w:t>).  Pereira (2018)</w:t>
      </w:r>
      <w:r w:rsidR="00DC0FE3">
        <w:rPr>
          <w:rFonts w:ascii="Arial" w:eastAsiaTheme="minorHAnsi" w:hAnsi="Arial" w:cs="Arial"/>
          <w:sz w:val="20"/>
          <w:lang w:bidi="ar-SA"/>
        </w:rPr>
        <w:t xml:space="preserve"> (17)</w:t>
      </w:r>
      <w:r w:rsidRPr="00C4136E">
        <w:rPr>
          <w:rFonts w:ascii="Arial" w:eastAsiaTheme="minorHAnsi" w:hAnsi="Arial" w:cs="Arial"/>
          <w:sz w:val="20"/>
          <w:lang w:bidi="ar-SA"/>
        </w:rPr>
        <w:t xml:space="preserve"> mentioned that carbon stock was positively changed at almost all of the evaluation times and he concluded that fertilization with Sunn hemp increased the C stock in labile and recalcitrant fractions of soil organic matter. The research finding indicated that all treatments provided the nitrogen and carbon to the soil, but in comparison, plant height, fresh weight, dry weight provisions of SH60 and SH75 were not significantly different to each other whereas SH45 consistently recorded the lowest values across all parameters.</w:t>
      </w:r>
    </w:p>
    <w:p w14:paraId="14D4D5A5" w14:textId="77777777" w:rsidR="00C4136E" w:rsidRPr="00A85918" w:rsidRDefault="00C4136E" w:rsidP="009E5B6C">
      <w:pPr>
        <w:spacing w:line="240" w:lineRule="auto"/>
        <w:contextualSpacing/>
        <w:jc w:val="both"/>
        <w:rPr>
          <w:rFonts w:ascii="Arial" w:eastAsiaTheme="minorHAnsi" w:hAnsi="Arial" w:cs="Arial"/>
          <w:sz w:val="22"/>
          <w:szCs w:val="22"/>
          <w:lang w:bidi="ar-SA"/>
        </w:rPr>
      </w:pPr>
    </w:p>
    <w:tbl>
      <w:tblPr>
        <w:tblStyle w:val="TableGrid1"/>
        <w:tblW w:w="8371" w:type="dxa"/>
        <w:tblLayout w:type="fixed"/>
        <w:tblLook w:val="04A0" w:firstRow="1" w:lastRow="0" w:firstColumn="1" w:lastColumn="0" w:noHBand="0" w:noVBand="1"/>
      </w:tblPr>
      <w:tblGrid>
        <w:gridCol w:w="900"/>
        <w:gridCol w:w="1080"/>
        <w:gridCol w:w="990"/>
        <w:gridCol w:w="1170"/>
        <w:gridCol w:w="1061"/>
        <w:gridCol w:w="985"/>
        <w:gridCol w:w="1136"/>
        <w:gridCol w:w="1037"/>
        <w:gridCol w:w="12"/>
      </w:tblGrid>
      <w:tr w:rsidR="00A85918" w:rsidRPr="00A85918" w14:paraId="54F77886" w14:textId="77777777" w:rsidTr="00DA1117">
        <w:trPr>
          <w:trHeight w:val="552"/>
        </w:trPr>
        <w:tc>
          <w:tcPr>
            <w:tcW w:w="8371" w:type="dxa"/>
            <w:gridSpan w:val="9"/>
            <w:tcBorders>
              <w:top w:val="nil"/>
              <w:left w:val="nil"/>
              <w:bottom w:val="single" w:sz="4" w:space="0" w:color="auto"/>
              <w:right w:val="nil"/>
            </w:tcBorders>
            <w:vAlign w:val="center"/>
          </w:tcPr>
          <w:p w14:paraId="3405937A" w14:textId="77777777" w:rsidR="00A85918" w:rsidRPr="00A85918" w:rsidRDefault="00A85918" w:rsidP="009E5B6C">
            <w:pPr>
              <w:spacing w:line="240" w:lineRule="auto"/>
              <w:rPr>
                <w:rFonts w:ascii="Arial" w:hAnsi="Arial" w:cs="Arial"/>
                <w:b/>
                <w:bCs/>
                <w:sz w:val="20"/>
                <w:szCs w:val="20"/>
              </w:rPr>
            </w:pPr>
            <w:r w:rsidRPr="00A85918">
              <w:rPr>
                <w:rFonts w:ascii="Arial" w:hAnsi="Arial" w:cs="Arial"/>
                <w:b/>
                <w:bCs/>
                <w:sz w:val="20"/>
                <w:szCs w:val="20"/>
              </w:rPr>
              <w:t xml:space="preserve">Table 3. Contributions Biomass and Nutrients at Different Ages of Sunn hemp </w:t>
            </w:r>
          </w:p>
        </w:tc>
      </w:tr>
      <w:tr w:rsidR="007E1501" w:rsidRPr="007E1501" w14:paraId="73DE08B0" w14:textId="77777777" w:rsidTr="00DA1117">
        <w:trPr>
          <w:gridAfter w:val="1"/>
          <w:wAfter w:w="12" w:type="dxa"/>
          <w:trHeight w:val="955"/>
        </w:trPr>
        <w:tc>
          <w:tcPr>
            <w:tcW w:w="900" w:type="dxa"/>
            <w:tcBorders>
              <w:top w:val="single" w:sz="4" w:space="0" w:color="auto"/>
            </w:tcBorders>
            <w:vAlign w:val="center"/>
          </w:tcPr>
          <w:p w14:paraId="34D79847" w14:textId="4F3DBD12"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Treat</w:t>
            </w:r>
            <w:r w:rsidR="00DA1117">
              <w:rPr>
                <w:rFonts w:ascii="Arial" w:hAnsi="Arial" w:cs="Arial"/>
                <w:b/>
                <w:bCs/>
                <w:sz w:val="20"/>
                <w:szCs w:val="20"/>
              </w:rPr>
              <w:t>-</w:t>
            </w:r>
            <w:proofErr w:type="spellStart"/>
            <w:r w:rsidRPr="00A85918">
              <w:rPr>
                <w:rFonts w:ascii="Arial" w:hAnsi="Arial" w:cs="Arial"/>
                <w:b/>
                <w:bCs/>
                <w:sz w:val="20"/>
                <w:szCs w:val="20"/>
              </w:rPr>
              <w:t>ments</w:t>
            </w:r>
            <w:proofErr w:type="spellEnd"/>
          </w:p>
        </w:tc>
        <w:tc>
          <w:tcPr>
            <w:tcW w:w="1080" w:type="dxa"/>
            <w:tcBorders>
              <w:top w:val="single" w:sz="4" w:space="0" w:color="auto"/>
            </w:tcBorders>
            <w:vAlign w:val="center"/>
          </w:tcPr>
          <w:p w14:paraId="4DF9AF56" w14:textId="77777777"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Plant height (cm)</w:t>
            </w:r>
          </w:p>
        </w:tc>
        <w:tc>
          <w:tcPr>
            <w:tcW w:w="990" w:type="dxa"/>
            <w:tcBorders>
              <w:top w:val="single" w:sz="4" w:space="0" w:color="auto"/>
            </w:tcBorders>
            <w:vAlign w:val="center"/>
          </w:tcPr>
          <w:p w14:paraId="7EC86462" w14:textId="77777777"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Root Length (cm)</w:t>
            </w:r>
          </w:p>
        </w:tc>
        <w:tc>
          <w:tcPr>
            <w:tcW w:w="1170" w:type="dxa"/>
            <w:tcBorders>
              <w:top w:val="single" w:sz="4" w:space="0" w:color="auto"/>
            </w:tcBorders>
            <w:vAlign w:val="center"/>
          </w:tcPr>
          <w:p w14:paraId="5028FB4E" w14:textId="77777777" w:rsidR="00DA1117"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Fresh Weigh</w:t>
            </w:r>
            <w:r w:rsidR="007E1501" w:rsidRPr="00782A03">
              <w:rPr>
                <w:rFonts w:ascii="Arial" w:hAnsi="Arial" w:cs="Arial"/>
                <w:b/>
                <w:bCs/>
                <w:sz w:val="20"/>
                <w:szCs w:val="20"/>
              </w:rPr>
              <w:t xml:space="preserve"> </w:t>
            </w:r>
          </w:p>
          <w:p w14:paraId="68C00440" w14:textId="38C7482F"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(g</w:t>
            </w:r>
            <w:r w:rsidR="00DA1117">
              <w:rPr>
                <w:rFonts w:ascii="Arial" w:hAnsi="Arial" w:cs="Arial"/>
                <w:b/>
                <w:bCs/>
                <w:sz w:val="20"/>
                <w:szCs w:val="20"/>
              </w:rPr>
              <w:t xml:space="preserve"> </w:t>
            </w:r>
            <w:r w:rsidRPr="00A85918">
              <w:rPr>
                <w:rFonts w:ascii="Arial" w:hAnsi="Arial" w:cs="Arial"/>
                <w:b/>
                <w:bCs/>
                <w:sz w:val="20"/>
                <w:szCs w:val="20"/>
              </w:rPr>
              <w:t>tank</w:t>
            </w:r>
            <w:r w:rsidRPr="00A85918">
              <w:rPr>
                <w:rFonts w:ascii="Arial" w:hAnsi="Arial" w:cs="Arial"/>
                <w:b/>
                <w:bCs/>
                <w:sz w:val="20"/>
                <w:szCs w:val="20"/>
                <w:vertAlign w:val="superscript"/>
              </w:rPr>
              <w:t>-1</w:t>
            </w:r>
            <w:r w:rsidRPr="00A85918">
              <w:rPr>
                <w:rFonts w:ascii="Arial" w:hAnsi="Arial" w:cs="Arial"/>
                <w:b/>
                <w:bCs/>
                <w:sz w:val="20"/>
                <w:szCs w:val="20"/>
              </w:rPr>
              <w:t>)</w:t>
            </w:r>
          </w:p>
        </w:tc>
        <w:tc>
          <w:tcPr>
            <w:tcW w:w="1061" w:type="dxa"/>
            <w:tcBorders>
              <w:top w:val="single" w:sz="4" w:space="0" w:color="auto"/>
            </w:tcBorders>
            <w:vAlign w:val="center"/>
          </w:tcPr>
          <w:p w14:paraId="297006CF" w14:textId="77777777"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Dry Weight</w:t>
            </w:r>
          </w:p>
          <w:p w14:paraId="49C1FAD5" w14:textId="06EAFD3F"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(g</w:t>
            </w:r>
            <w:r w:rsidR="00DA1117">
              <w:rPr>
                <w:rFonts w:ascii="Arial" w:hAnsi="Arial" w:cs="Arial"/>
                <w:b/>
                <w:bCs/>
                <w:sz w:val="20"/>
                <w:szCs w:val="20"/>
              </w:rPr>
              <w:t xml:space="preserve"> </w:t>
            </w:r>
            <w:r w:rsidRPr="00A85918">
              <w:rPr>
                <w:rFonts w:ascii="Arial" w:hAnsi="Arial" w:cs="Arial"/>
                <w:b/>
                <w:bCs/>
                <w:sz w:val="20"/>
                <w:szCs w:val="20"/>
              </w:rPr>
              <w:t>tank</w:t>
            </w:r>
            <w:r w:rsidRPr="00A85918">
              <w:rPr>
                <w:rFonts w:ascii="Arial" w:hAnsi="Arial" w:cs="Arial"/>
                <w:b/>
                <w:bCs/>
                <w:sz w:val="20"/>
                <w:szCs w:val="20"/>
                <w:vertAlign w:val="superscript"/>
              </w:rPr>
              <w:t>-1</w:t>
            </w:r>
            <w:r w:rsidRPr="00A85918">
              <w:rPr>
                <w:rFonts w:ascii="Arial" w:hAnsi="Arial" w:cs="Arial"/>
                <w:b/>
                <w:bCs/>
                <w:sz w:val="20"/>
                <w:szCs w:val="20"/>
              </w:rPr>
              <w:t>)</w:t>
            </w:r>
          </w:p>
        </w:tc>
        <w:tc>
          <w:tcPr>
            <w:tcW w:w="985" w:type="dxa"/>
            <w:tcBorders>
              <w:top w:val="single" w:sz="4" w:space="0" w:color="auto"/>
            </w:tcBorders>
            <w:vAlign w:val="center"/>
          </w:tcPr>
          <w:p w14:paraId="3A16EE60" w14:textId="1CC39EEF" w:rsidR="001D5FF2" w:rsidRDefault="00A85918" w:rsidP="009E5B6C">
            <w:pPr>
              <w:spacing w:line="240" w:lineRule="auto"/>
              <w:jc w:val="center"/>
              <w:rPr>
                <w:rFonts w:ascii="Arial" w:hAnsi="Arial" w:cs="Arial"/>
                <w:b/>
                <w:bCs/>
                <w:sz w:val="20"/>
                <w:szCs w:val="20"/>
              </w:rPr>
            </w:pPr>
            <w:proofErr w:type="spellStart"/>
            <w:r w:rsidRPr="00A85918">
              <w:rPr>
                <w:rFonts w:ascii="Arial" w:hAnsi="Arial" w:cs="Arial"/>
                <w:b/>
                <w:bCs/>
                <w:sz w:val="20"/>
                <w:szCs w:val="20"/>
              </w:rPr>
              <w:t>Mois</w:t>
            </w:r>
            <w:proofErr w:type="spellEnd"/>
            <w:r w:rsidR="001D5FF2">
              <w:rPr>
                <w:rFonts w:ascii="Arial" w:hAnsi="Arial" w:cs="Arial"/>
                <w:b/>
                <w:bCs/>
                <w:sz w:val="20"/>
                <w:szCs w:val="20"/>
              </w:rPr>
              <w:t>-</w:t>
            </w:r>
            <w:r w:rsidR="007E1501" w:rsidRPr="00782A03">
              <w:rPr>
                <w:rFonts w:ascii="Arial" w:hAnsi="Arial" w:cs="Arial"/>
                <w:b/>
                <w:bCs/>
                <w:sz w:val="20"/>
                <w:szCs w:val="20"/>
              </w:rPr>
              <w:t xml:space="preserve"> </w:t>
            </w:r>
            <w:proofErr w:type="spellStart"/>
            <w:r w:rsidRPr="00A85918">
              <w:rPr>
                <w:rFonts w:ascii="Arial" w:hAnsi="Arial" w:cs="Arial"/>
                <w:b/>
                <w:bCs/>
                <w:sz w:val="20"/>
                <w:szCs w:val="20"/>
              </w:rPr>
              <w:t>ture</w:t>
            </w:r>
            <w:proofErr w:type="spellEnd"/>
            <w:r w:rsidRPr="00A85918">
              <w:rPr>
                <w:rFonts w:ascii="Arial" w:hAnsi="Arial" w:cs="Arial"/>
                <w:b/>
                <w:bCs/>
                <w:sz w:val="20"/>
                <w:szCs w:val="20"/>
              </w:rPr>
              <w:t xml:space="preserve"> </w:t>
            </w:r>
          </w:p>
          <w:p w14:paraId="31C089BB" w14:textId="15640B6C"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w:t>
            </w:r>
          </w:p>
        </w:tc>
        <w:tc>
          <w:tcPr>
            <w:tcW w:w="1136" w:type="dxa"/>
            <w:tcBorders>
              <w:top w:val="single" w:sz="4" w:space="0" w:color="auto"/>
            </w:tcBorders>
            <w:vAlign w:val="center"/>
          </w:tcPr>
          <w:p w14:paraId="4270A84B" w14:textId="57CD6B79"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 xml:space="preserve">N </w:t>
            </w:r>
            <w:proofErr w:type="spellStart"/>
            <w:r w:rsidRPr="00A85918">
              <w:rPr>
                <w:rFonts w:ascii="Arial" w:hAnsi="Arial" w:cs="Arial"/>
                <w:b/>
                <w:bCs/>
                <w:sz w:val="20"/>
                <w:szCs w:val="20"/>
              </w:rPr>
              <w:t>contri-bution</w:t>
            </w:r>
            <w:proofErr w:type="spellEnd"/>
          </w:p>
          <w:p w14:paraId="76F52B85" w14:textId="464CAF39"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(g</w:t>
            </w:r>
            <w:r w:rsidR="00DA1117">
              <w:rPr>
                <w:rFonts w:ascii="Arial" w:hAnsi="Arial" w:cs="Arial"/>
                <w:b/>
                <w:bCs/>
                <w:sz w:val="20"/>
                <w:szCs w:val="20"/>
              </w:rPr>
              <w:t xml:space="preserve"> </w:t>
            </w:r>
            <w:r w:rsidRPr="00A85918">
              <w:rPr>
                <w:rFonts w:ascii="Arial" w:hAnsi="Arial" w:cs="Arial"/>
                <w:b/>
                <w:bCs/>
                <w:sz w:val="20"/>
                <w:szCs w:val="20"/>
              </w:rPr>
              <w:t>tank</w:t>
            </w:r>
            <w:r w:rsidRPr="00A85918">
              <w:rPr>
                <w:rFonts w:ascii="Arial" w:hAnsi="Arial" w:cs="Arial"/>
                <w:b/>
                <w:bCs/>
                <w:sz w:val="20"/>
                <w:szCs w:val="20"/>
                <w:vertAlign w:val="superscript"/>
              </w:rPr>
              <w:t>-1</w:t>
            </w:r>
            <w:r w:rsidRPr="00A85918">
              <w:rPr>
                <w:rFonts w:ascii="Arial" w:hAnsi="Arial" w:cs="Arial"/>
                <w:b/>
                <w:bCs/>
                <w:sz w:val="20"/>
                <w:szCs w:val="20"/>
              </w:rPr>
              <w:t>)</w:t>
            </w:r>
          </w:p>
        </w:tc>
        <w:tc>
          <w:tcPr>
            <w:tcW w:w="1037" w:type="dxa"/>
            <w:tcBorders>
              <w:top w:val="single" w:sz="4" w:space="0" w:color="auto"/>
            </w:tcBorders>
            <w:vAlign w:val="center"/>
          </w:tcPr>
          <w:p w14:paraId="5A0D309B" w14:textId="77777777" w:rsidR="001D5FF2" w:rsidRDefault="00A85918" w:rsidP="001D5FF2">
            <w:pPr>
              <w:spacing w:line="240" w:lineRule="auto"/>
              <w:jc w:val="center"/>
              <w:rPr>
                <w:rFonts w:ascii="Arial" w:hAnsi="Arial" w:cs="Arial"/>
                <w:b/>
                <w:bCs/>
                <w:sz w:val="20"/>
                <w:szCs w:val="20"/>
              </w:rPr>
            </w:pPr>
            <w:r w:rsidRPr="00A85918">
              <w:rPr>
                <w:rFonts w:ascii="Arial" w:hAnsi="Arial" w:cs="Arial"/>
                <w:b/>
                <w:bCs/>
                <w:sz w:val="20"/>
                <w:szCs w:val="20"/>
              </w:rPr>
              <w:t xml:space="preserve">C </w:t>
            </w:r>
            <w:proofErr w:type="spellStart"/>
            <w:r w:rsidRPr="00A85918">
              <w:rPr>
                <w:rFonts w:ascii="Arial" w:hAnsi="Arial" w:cs="Arial"/>
                <w:b/>
                <w:bCs/>
                <w:sz w:val="20"/>
                <w:szCs w:val="20"/>
              </w:rPr>
              <w:t>contri-bution</w:t>
            </w:r>
            <w:proofErr w:type="spellEnd"/>
          </w:p>
          <w:p w14:paraId="554FDCFF" w14:textId="470E90E3" w:rsidR="00A85918" w:rsidRPr="00A85918" w:rsidRDefault="00A85918" w:rsidP="001D5FF2">
            <w:pPr>
              <w:spacing w:line="240" w:lineRule="auto"/>
              <w:rPr>
                <w:rFonts w:ascii="Arial" w:hAnsi="Arial" w:cs="Arial"/>
                <w:b/>
                <w:bCs/>
                <w:sz w:val="20"/>
                <w:szCs w:val="20"/>
              </w:rPr>
            </w:pPr>
            <w:r w:rsidRPr="00A85918">
              <w:rPr>
                <w:rFonts w:ascii="Arial" w:hAnsi="Arial" w:cs="Arial"/>
                <w:b/>
                <w:bCs/>
                <w:sz w:val="20"/>
                <w:szCs w:val="20"/>
              </w:rPr>
              <w:t>(g tank</w:t>
            </w:r>
            <w:r w:rsidRPr="00A85918">
              <w:rPr>
                <w:rFonts w:ascii="Arial" w:hAnsi="Arial" w:cs="Arial"/>
                <w:b/>
                <w:bCs/>
                <w:sz w:val="20"/>
                <w:szCs w:val="20"/>
                <w:vertAlign w:val="superscript"/>
              </w:rPr>
              <w:t>-</w:t>
            </w:r>
            <w:r w:rsidRPr="00A85918">
              <w:rPr>
                <w:rFonts w:ascii="Arial" w:hAnsi="Arial" w:cs="Arial"/>
                <w:b/>
                <w:bCs/>
                <w:sz w:val="20"/>
                <w:szCs w:val="20"/>
              </w:rPr>
              <w:t>)</w:t>
            </w:r>
          </w:p>
        </w:tc>
      </w:tr>
      <w:tr w:rsidR="007E1501" w:rsidRPr="007E1501" w14:paraId="1819123C" w14:textId="77777777" w:rsidTr="00DA1117">
        <w:trPr>
          <w:gridAfter w:val="1"/>
          <w:wAfter w:w="12" w:type="dxa"/>
          <w:trHeight w:val="165"/>
        </w:trPr>
        <w:tc>
          <w:tcPr>
            <w:tcW w:w="900" w:type="dxa"/>
          </w:tcPr>
          <w:p w14:paraId="280030EA"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SH45</w:t>
            </w:r>
          </w:p>
        </w:tc>
        <w:tc>
          <w:tcPr>
            <w:tcW w:w="1080" w:type="dxa"/>
          </w:tcPr>
          <w:p w14:paraId="2A6146EB"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 xml:space="preserve"> 103.27b</w:t>
            </w:r>
          </w:p>
        </w:tc>
        <w:tc>
          <w:tcPr>
            <w:tcW w:w="990" w:type="dxa"/>
          </w:tcPr>
          <w:p w14:paraId="70EA6AE7"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15.950c</w:t>
            </w:r>
          </w:p>
        </w:tc>
        <w:tc>
          <w:tcPr>
            <w:tcW w:w="1170" w:type="dxa"/>
          </w:tcPr>
          <w:p w14:paraId="6C140F55"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 xml:space="preserve"> 2320.0b</w:t>
            </w:r>
          </w:p>
        </w:tc>
        <w:tc>
          <w:tcPr>
            <w:tcW w:w="1061" w:type="dxa"/>
          </w:tcPr>
          <w:p w14:paraId="589D33FA"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586.0b</w:t>
            </w:r>
          </w:p>
        </w:tc>
        <w:tc>
          <w:tcPr>
            <w:tcW w:w="985" w:type="dxa"/>
          </w:tcPr>
          <w:p w14:paraId="21DFE0A7" w14:textId="1328EF85"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7</w:t>
            </w:r>
            <w:r w:rsidR="00FC1BD1">
              <w:rPr>
                <w:rFonts w:ascii="Arial" w:hAnsi="Arial" w:cs="Arial"/>
                <w:sz w:val="20"/>
                <w:szCs w:val="20"/>
              </w:rPr>
              <w:t>4.7</w:t>
            </w:r>
            <w:r w:rsidRPr="00A85918">
              <w:rPr>
                <w:rFonts w:ascii="Arial" w:hAnsi="Arial" w:cs="Arial"/>
                <w:sz w:val="20"/>
                <w:szCs w:val="20"/>
              </w:rPr>
              <w:t xml:space="preserve"> a</w:t>
            </w:r>
          </w:p>
        </w:tc>
        <w:tc>
          <w:tcPr>
            <w:tcW w:w="1136" w:type="dxa"/>
          </w:tcPr>
          <w:p w14:paraId="24BA308D"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 xml:space="preserve"> 16.0b</w:t>
            </w:r>
          </w:p>
        </w:tc>
        <w:tc>
          <w:tcPr>
            <w:tcW w:w="1037" w:type="dxa"/>
          </w:tcPr>
          <w:p w14:paraId="15E54873"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304.1b</w:t>
            </w:r>
          </w:p>
        </w:tc>
      </w:tr>
      <w:tr w:rsidR="007E1501" w:rsidRPr="007E1501" w14:paraId="3BBE977E" w14:textId="77777777" w:rsidTr="00DA1117">
        <w:trPr>
          <w:gridAfter w:val="1"/>
          <w:wAfter w:w="12" w:type="dxa"/>
          <w:trHeight w:val="222"/>
        </w:trPr>
        <w:tc>
          <w:tcPr>
            <w:tcW w:w="900" w:type="dxa"/>
          </w:tcPr>
          <w:p w14:paraId="14DD52F4"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SH60</w:t>
            </w:r>
          </w:p>
        </w:tc>
        <w:tc>
          <w:tcPr>
            <w:tcW w:w="1080" w:type="dxa"/>
          </w:tcPr>
          <w:p w14:paraId="09C4153D"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 xml:space="preserve"> 139.17a</w:t>
            </w:r>
          </w:p>
        </w:tc>
        <w:tc>
          <w:tcPr>
            <w:tcW w:w="990" w:type="dxa"/>
          </w:tcPr>
          <w:p w14:paraId="426F7A49"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18.400b</w:t>
            </w:r>
          </w:p>
        </w:tc>
        <w:tc>
          <w:tcPr>
            <w:tcW w:w="1170" w:type="dxa"/>
          </w:tcPr>
          <w:p w14:paraId="49B3140B"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 xml:space="preserve"> 5570.0a</w:t>
            </w:r>
          </w:p>
        </w:tc>
        <w:tc>
          <w:tcPr>
            <w:tcW w:w="1061" w:type="dxa"/>
          </w:tcPr>
          <w:p w14:paraId="7614B572"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1782.1a</w:t>
            </w:r>
          </w:p>
        </w:tc>
        <w:tc>
          <w:tcPr>
            <w:tcW w:w="985" w:type="dxa"/>
          </w:tcPr>
          <w:p w14:paraId="1381D33F"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68.0 b</w:t>
            </w:r>
          </w:p>
        </w:tc>
        <w:tc>
          <w:tcPr>
            <w:tcW w:w="1136" w:type="dxa"/>
          </w:tcPr>
          <w:p w14:paraId="7691E309"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 xml:space="preserve"> 49.18a</w:t>
            </w:r>
          </w:p>
        </w:tc>
        <w:tc>
          <w:tcPr>
            <w:tcW w:w="1037" w:type="dxa"/>
          </w:tcPr>
          <w:p w14:paraId="55BFD797"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 xml:space="preserve"> 942.7a</w:t>
            </w:r>
          </w:p>
        </w:tc>
      </w:tr>
      <w:tr w:rsidR="007E1501" w:rsidRPr="007E1501" w14:paraId="3FBD8693" w14:textId="77777777" w:rsidTr="00DA1117">
        <w:trPr>
          <w:gridAfter w:val="1"/>
          <w:wAfter w:w="12" w:type="dxa"/>
          <w:trHeight w:val="165"/>
        </w:trPr>
        <w:tc>
          <w:tcPr>
            <w:tcW w:w="900" w:type="dxa"/>
          </w:tcPr>
          <w:p w14:paraId="19C69C3C"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SH75</w:t>
            </w:r>
          </w:p>
        </w:tc>
        <w:tc>
          <w:tcPr>
            <w:tcW w:w="1080" w:type="dxa"/>
          </w:tcPr>
          <w:p w14:paraId="73646D01"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145.38a</w:t>
            </w:r>
          </w:p>
        </w:tc>
        <w:tc>
          <w:tcPr>
            <w:tcW w:w="990" w:type="dxa"/>
          </w:tcPr>
          <w:p w14:paraId="6EB6BCF1"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20.950a</w:t>
            </w:r>
          </w:p>
        </w:tc>
        <w:tc>
          <w:tcPr>
            <w:tcW w:w="1170" w:type="dxa"/>
          </w:tcPr>
          <w:p w14:paraId="737B53DF"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 xml:space="preserve"> 5326.7a</w:t>
            </w:r>
          </w:p>
        </w:tc>
        <w:tc>
          <w:tcPr>
            <w:tcW w:w="1061" w:type="dxa"/>
          </w:tcPr>
          <w:p w14:paraId="5D4D889F"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1900.0a</w:t>
            </w:r>
          </w:p>
        </w:tc>
        <w:tc>
          <w:tcPr>
            <w:tcW w:w="985" w:type="dxa"/>
          </w:tcPr>
          <w:p w14:paraId="027F2A49"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64.33 c</w:t>
            </w:r>
          </w:p>
        </w:tc>
        <w:tc>
          <w:tcPr>
            <w:tcW w:w="1136" w:type="dxa"/>
          </w:tcPr>
          <w:p w14:paraId="6385E2EC"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 xml:space="preserve"> 53.78a</w:t>
            </w:r>
          </w:p>
        </w:tc>
        <w:tc>
          <w:tcPr>
            <w:tcW w:w="1037" w:type="dxa"/>
          </w:tcPr>
          <w:p w14:paraId="225F5E9E"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1043.1a</w:t>
            </w:r>
          </w:p>
        </w:tc>
      </w:tr>
      <w:tr w:rsidR="007E1501" w:rsidRPr="007E1501" w14:paraId="0835680B" w14:textId="77777777" w:rsidTr="00DA1117">
        <w:trPr>
          <w:gridAfter w:val="1"/>
          <w:wAfter w:w="12" w:type="dxa"/>
          <w:trHeight w:val="165"/>
        </w:trPr>
        <w:tc>
          <w:tcPr>
            <w:tcW w:w="900" w:type="dxa"/>
          </w:tcPr>
          <w:p w14:paraId="64E09190"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LSD</w:t>
            </w:r>
          </w:p>
        </w:tc>
        <w:tc>
          <w:tcPr>
            <w:tcW w:w="1080" w:type="dxa"/>
          </w:tcPr>
          <w:p w14:paraId="163D2B30"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14.323</w:t>
            </w:r>
          </w:p>
        </w:tc>
        <w:tc>
          <w:tcPr>
            <w:tcW w:w="990" w:type="dxa"/>
          </w:tcPr>
          <w:p w14:paraId="43AE9D2A"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2.2313</w:t>
            </w:r>
          </w:p>
        </w:tc>
        <w:tc>
          <w:tcPr>
            <w:tcW w:w="1170" w:type="dxa"/>
          </w:tcPr>
          <w:p w14:paraId="1CD02E19"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588.15</w:t>
            </w:r>
          </w:p>
        </w:tc>
        <w:tc>
          <w:tcPr>
            <w:tcW w:w="1061" w:type="dxa"/>
          </w:tcPr>
          <w:p w14:paraId="798546C0"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170.0</w:t>
            </w:r>
          </w:p>
        </w:tc>
        <w:tc>
          <w:tcPr>
            <w:tcW w:w="985" w:type="dxa"/>
          </w:tcPr>
          <w:p w14:paraId="08F83382"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1.51</w:t>
            </w:r>
          </w:p>
        </w:tc>
        <w:tc>
          <w:tcPr>
            <w:tcW w:w="1136" w:type="dxa"/>
          </w:tcPr>
          <w:p w14:paraId="34DCAA2A"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4.6964</w:t>
            </w:r>
          </w:p>
        </w:tc>
        <w:tc>
          <w:tcPr>
            <w:tcW w:w="1037" w:type="dxa"/>
          </w:tcPr>
          <w:p w14:paraId="1078DFFB"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89.615</w:t>
            </w:r>
          </w:p>
        </w:tc>
      </w:tr>
      <w:tr w:rsidR="007E1501" w:rsidRPr="007E1501" w14:paraId="71F967E9" w14:textId="77777777" w:rsidTr="00DA1117">
        <w:trPr>
          <w:gridAfter w:val="1"/>
          <w:wAfter w:w="12" w:type="dxa"/>
          <w:trHeight w:val="165"/>
        </w:trPr>
        <w:tc>
          <w:tcPr>
            <w:tcW w:w="900" w:type="dxa"/>
          </w:tcPr>
          <w:p w14:paraId="03E528E5" w14:textId="392212DB" w:rsidR="00A85918" w:rsidRPr="00A85918" w:rsidRDefault="00A85918" w:rsidP="009E5B6C">
            <w:pPr>
              <w:spacing w:line="240" w:lineRule="auto"/>
              <w:rPr>
                <w:rFonts w:ascii="Arial" w:hAnsi="Arial" w:cs="Arial"/>
                <w:sz w:val="20"/>
                <w:szCs w:val="20"/>
              </w:rPr>
            </w:pPr>
            <w:r w:rsidRPr="00A85918">
              <w:rPr>
                <w:rFonts w:ascii="Arial" w:hAnsi="Arial" w:cs="Arial"/>
                <w:i/>
                <w:iCs/>
                <w:sz w:val="20"/>
                <w:szCs w:val="20"/>
              </w:rPr>
              <w:t>P</w:t>
            </w:r>
            <w:r w:rsidR="00782A03">
              <w:rPr>
                <w:rFonts w:ascii="Arial" w:hAnsi="Arial" w:cs="Arial"/>
                <w:sz w:val="20"/>
                <w:szCs w:val="20"/>
              </w:rPr>
              <w:t xml:space="preserve"> </w:t>
            </w:r>
            <w:r w:rsidRPr="00A85918">
              <w:rPr>
                <w:rFonts w:ascii="Arial" w:hAnsi="Arial" w:cs="Arial"/>
                <w:sz w:val="20"/>
                <w:szCs w:val="20"/>
              </w:rPr>
              <w:t>value</w:t>
            </w:r>
          </w:p>
        </w:tc>
        <w:tc>
          <w:tcPr>
            <w:tcW w:w="1080" w:type="dxa"/>
          </w:tcPr>
          <w:p w14:paraId="095E83D4" w14:textId="7405569F" w:rsidR="00A85918" w:rsidRPr="00A85918" w:rsidRDefault="00DA1117" w:rsidP="009E5B6C">
            <w:pPr>
              <w:spacing w:line="240" w:lineRule="auto"/>
              <w:jc w:val="right"/>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9E3751">
              <w:rPr>
                <w:rFonts w:ascii="Arial" w:hAnsi="Arial" w:cs="Arial"/>
                <w:sz w:val="20"/>
                <w:szCs w:val="20"/>
              </w:rPr>
              <w:t>=</w:t>
            </w:r>
            <w:r w:rsidR="00A85918" w:rsidRPr="00A85918">
              <w:rPr>
                <w:rFonts w:ascii="Arial" w:hAnsi="Arial" w:cs="Arial"/>
                <w:sz w:val="20"/>
                <w:szCs w:val="20"/>
              </w:rPr>
              <w:t>0.01</w:t>
            </w:r>
          </w:p>
        </w:tc>
        <w:tc>
          <w:tcPr>
            <w:tcW w:w="990" w:type="dxa"/>
          </w:tcPr>
          <w:p w14:paraId="09F41D0F" w14:textId="1FE6CCC1" w:rsidR="00A85918" w:rsidRPr="00A85918" w:rsidRDefault="00DA1117" w:rsidP="009E5B6C">
            <w:pPr>
              <w:spacing w:line="240" w:lineRule="auto"/>
              <w:jc w:val="right"/>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9E3751">
              <w:rPr>
                <w:rFonts w:ascii="Arial" w:hAnsi="Arial" w:cs="Arial"/>
                <w:sz w:val="20"/>
                <w:szCs w:val="20"/>
              </w:rPr>
              <w:t>=</w:t>
            </w:r>
            <w:r w:rsidR="00A85918" w:rsidRPr="00A85918">
              <w:rPr>
                <w:rFonts w:ascii="Arial" w:hAnsi="Arial" w:cs="Arial"/>
                <w:sz w:val="20"/>
                <w:szCs w:val="20"/>
              </w:rPr>
              <w:t>0.01</w:t>
            </w:r>
          </w:p>
        </w:tc>
        <w:tc>
          <w:tcPr>
            <w:tcW w:w="1170" w:type="dxa"/>
          </w:tcPr>
          <w:p w14:paraId="750B6F09" w14:textId="4B554589" w:rsidR="00A85918" w:rsidRPr="00A85918" w:rsidRDefault="00DA1117" w:rsidP="009E5B6C">
            <w:pPr>
              <w:spacing w:line="240" w:lineRule="auto"/>
              <w:jc w:val="right"/>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9E3751">
              <w:rPr>
                <w:rFonts w:ascii="Arial" w:hAnsi="Arial" w:cs="Arial"/>
                <w:sz w:val="20"/>
                <w:szCs w:val="20"/>
              </w:rPr>
              <w:t>=</w:t>
            </w:r>
            <w:r w:rsidR="00A85918" w:rsidRPr="00A85918">
              <w:rPr>
                <w:rFonts w:ascii="Arial" w:hAnsi="Arial" w:cs="Arial"/>
                <w:sz w:val="20"/>
                <w:szCs w:val="20"/>
              </w:rPr>
              <w:t>0.01</w:t>
            </w:r>
          </w:p>
        </w:tc>
        <w:tc>
          <w:tcPr>
            <w:tcW w:w="1061" w:type="dxa"/>
          </w:tcPr>
          <w:p w14:paraId="52AF9B03" w14:textId="01660723" w:rsidR="00A85918" w:rsidRPr="00A85918" w:rsidRDefault="00DA1117" w:rsidP="009E5B6C">
            <w:pPr>
              <w:spacing w:line="240" w:lineRule="auto"/>
              <w:jc w:val="right"/>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9E3751">
              <w:rPr>
                <w:rFonts w:ascii="Arial" w:hAnsi="Arial" w:cs="Arial"/>
                <w:sz w:val="20"/>
                <w:szCs w:val="20"/>
              </w:rPr>
              <w:t>=</w:t>
            </w:r>
            <w:r w:rsidR="00A85918" w:rsidRPr="00A85918">
              <w:rPr>
                <w:rFonts w:ascii="Arial" w:hAnsi="Arial" w:cs="Arial"/>
                <w:sz w:val="20"/>
                <w:szCs w:val="20"/>
              </w:rPr>
              <w:t>0.01</w:t>
            </w:r>
          </w:p>
        </w:tc>
        <w:tc>
          <w:tcPr>
            <w:tcW w:w="985" w:type="dxa"/>
          </w:tcPr>
          <w:p w14:paraId="35DAADEA" w14:textId="41EDB9E7" w:rsidR="00A85918" w:rsidRPr="00A85918" w:rsidRDefault="00DA1117" w:rsidP="009E5B6C">
            <w:pPr>
              <w:spacing w:line="240" w:lineRule="auto"/>
              <w:jc w:val="right"/>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9E3751">
              <w:rPr>
                <w:rFonts w:ascii="Arial" w:hAnsi="Arial" w:cs="Arial"/>
                <w:sz w:val="20"/>
                <w:szCs w:val="20"/>
              </w:rPr>
              <w:t>=</w:t>
            </w:r>
            <w:r w:rsidR="00A85918" w:rsidRPr="00A85918">
              <w:rPr>
                <w:rFonts w:ascii="Arial" w:hAnsi="Arial" w:cs="Arial"/>
                <w:sz w:val="20"/>
                <w:szCs w:val="20"/>
              </w:rPr>
              <w:t>0.01</w:t>
            </w:r>
          </w:p>
        </w:tc>
        <w:tc>
          <w:tcPr>
            <w:tcW w:w="1136" w:type="dxa"/>
          </w:tcPr>
          <w:p w14:paraId="214EAC19" w14:textId="5298484C" w:rsidR="00A85918" w:rsidRPr="00A85918" w:rsidRDefault="00DA1117" w:rsidP="009E5B6C">
            <w:pPr>
              <w:spacing w:line="240" w:lineRule="auto"/>
              <w:jc w:val="right"/>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9E3751">
              <w:rPr>
                <w:rFonts w:ascii="Arial" w:hAnsi="Arial" w:cs="Arial"/>
                <w:sz w:val="20"/>
                <w:szCs w:val="20"/>
              </w:rPr>
              <w:t>=</w:t>
            </w:r>
            <w:r w:rsidR="00A85918" w:rsidRPr="00A85918">
              <w:rPr>
                <w:rFonts w:ascii="Arial" w:hAnsi="Arial" w:cs="Arial"/>
                <w:sz w:val="20"/>
                <w:szCs w:val="20"/>
              </w:rPr>
              <w:t>0.01</w:t>
            </w:r>
          </w:p>
        </w:tc>
        <w:tc>
          <w:tcPr>
            <w:tcW w:w="1037" w:type="dxa"/>
          </w:tcPr>
          <w:p w14:paraId="622CF680" w14:textId="094B6E9E" w:rsidR="00A85918" w:rsidRPr="00A85918" w:rsidRDefault="00DA1117" w:rsidP="009E5B6C">
            <w:pPr>
              <w:spacing w:line="240" w:lineRule="auto"/>
              <w:jc w:val="right"/>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9E3751">
              <w:rPr>
                <w:rFonts w:ascii="Arial" w:hAnsi="Arial" w:cs="Arial"/>
                <w:sz w:val="20"/>
                <w:szCs w:val="20"/>
              </w:rPr>
              <w:t>=</w:t>
            </w:r>
            <w:r w:rsidR="00A85918" w:rsidRPr="00A85918">
              <w:rPr>
                <w:rFonts w:ascii="Arial" w:hAnsi="Arial" w:cs="Arial"/>
                <w:sz w:val="20"/>
                <w:szCs w:val="20"/>
              </w:rPr>
              <w:t>0.01</w:t>
            </w:r>
          </w:p>
        </w:tc>
      </w:tr>
      <w:tr w:rsidR="007E1501" w:rsidRPr="007E1501" w14:paraId="2BBD6811" w14:textId="77777777" w:rsidTr="00DA1117">
        <w:trPr>
          <w:gridAfter w:val="1"/>
          <w:wAfter w:w="12" w:type="dxa"/>
          <w:trHeight w:val="165"/>
        </w:trPr>
        <w:tc>
          <w:tcPr>
            <w:tcW w:w="900" w:type="dxa"/>
          </w:tcPr>
          <w:p w14:paraId="08144691"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CV%</w:t>
            </w:r>
          </w:p>
        </w:tc>
        <w:tc>
          <w:tcPr>
            <w:tcW w:w="1080" w:type="dxa"/>
          </w:tcPr>
          <w:p w14:paraId="0CE3D1F7"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8.61</w:t>
            </w:r>
          </w:p>
        </w:tc>
        <w:tc>
          <w:tcPr>
            <w:tcW w:w="990" w:type="dxa"/>
          </w:tcPr>
          <w:p w14:paraId="1AFAA76E"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9.75</w:t>
            </w:r>
          </w:p>
        </w:tc>
        <w:tc>
          <w:tcPr>
            <w:tcW w:w="1170" w:type="dxa"/>
          </w:tcPr>
          <w:p w14:paraId="1CF5F15E"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10.38</w:t>
            </w:r>
          </w:p>
        </w:tc>
        <w:tc>
          <w:tcPr>
            <w:tcW w:w="1061" w:type="dxa"/>
          </w:tcPr>
          <w:p w14:paraId="223964CA"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10.81</w:t>
            </w:r>
          </w:p>
        </w:tc>
        <w:tc>
          <w:tcPr>
            <w:tcW w:w="985" w:type="dxa"/>
          </w:tcPr>
          <w:p w14:paraId="0EDC515C"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3.85</w:t>
            </w:r>
          </w:p>
        </w:tc>
        <w:tc>
          <w:tcPr>
            <w:tcW w:w="1136" w:type="dxa"/>
          </w:tcPr>
          <w:p w14:paraId="3529DDD6"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10.75</w:t>
            </w:r>
          </w:p>
        </w:tc>
        <w:tc>
          <w:tcPr>
            <w:tcW w:w="1037" w:type="dxa"/>
          </w:tcPr>
          <w:p w14:paraId="2230230D"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10.66</w:t>
            </w:r>
          </w:p>
        </w:tc>
      </w:tr>
    </w:tbl>
    <w:p w14:paraId="1C4E0C73" w14:textId="546448B9" w:rsidR="00A85918" w:rsidRDefault="00A85918" w:rsidP="009E5B6C">
      <w:pPr>
        <w:spacing w:line="240" w:lineRule="auto"/>
        <w:rPr>
          <w:rFonts w:ascii="Arial" w:eastAsiaTheme="minorHAnsi" w:hAnsi="Arial" w:cs="Arial"/>
          <w:sz w:val="22"/>
          <w:szCs w:val="22"/>
          <w:lang w:bidi="ar-SA"/>
        </w:rPr>
      </w:pPr>
    </w:p>
    <w:p w14:paraId="79405B0F" w14:textId="77777777" w:rsidR="00A85918" w:rsidRPr="00A85918" w:rsidRDefault="00A85918" w:rsidP="009E5B6C">
      <w:pPr>
        <w:keepNext/>
        <w:keepLines/>
        <w:spacing w:line="240" w:lineRule="auto"/>
        <w:outlineLvl w:val="1"/>
        <w:rPr>
          <w:rFonts w:ascii="Arial" w:eastAsiaTheme="majorEastAsia" w:hAnsi="Arial" w:cs="Arial"/>
          <w:b/>
          <w:bCs/>
          <w:sz w:val="22"/>
          <w:szCs w:val="22"/>
          <w:lang w:bidi="ar-SA"/>
        </w:rPr>
      </w:pPr>
      <w:r w:rsidRPr="00A85918">
        <w:rPr>
          <w:rFonts w:ascii="Arial" w:eastAsiaTheme="majorEastAsia" w:hAnsi="Arial" w:cs="Arial"/>
          <w:b/>
          <w:bCs/>
          <w:sz w:val="22"/>
          <w:szCs w:val="22"/>
          <w:lang w:bidi="ar-SA"/>
        </w:rPr>
        <w:t>4.2 Rice Plant Uptake Nitrogen and Apparent Nitrogen Recovery (ANR)</w:t>
      </w:r>
    </w:p>
    <w:p w14:paraId="34F25300" w14:textId="4E9AAE01" w:rsidR="00A85918" w:rsidRDefault="00A85918" w:rsidP="009E5B6C">
      <w:pPr>
        <w:keepNext/>
        <w:keepLines/>
        <w:spacing w:line="240" w:lineRule="auto"/>
        <w:outlineLvl w:val="2"/>
        <w:rPr>
          <w:rFonts w:ascii="Arial" w:eastAsiaTheme="majorEastAsia" w:hAnsi="Arial" w:cs="Arial"/>
          <w:b/>
          <w:bCs/>
          <w:sz w:val="20"/>
          <w:lang w:bidi="ar-SA"/>
        </w:rPr>
      </w:pPr>
      <w:r w:rsidRPr="00A85918">
        <w:rPr>
          <w:rFonts w:ascii="Arial" w:eastAsiaTheme="majorEastAsia" w:hAnsi="Arial" w:cs="Arial"/>
          <w:b/>
          <w:bCs/>
          <w:sz w:val="20"/>
          <w:lang w:bidi="ar-SA"/>
        </w:rPr>
        <w:t>4.2.1 Rice Plant Uptake Nitrogen</w:t>
      </w:r>
      <w:r w:rsidR="00C97832">
        <w:rPr>
          <w:rFonts w:ascii="Arial" w:eastAsiaTheme="majorEastAsia" w:hAnsi="Arial" w:cs="Arial"/>
          <w:b/>
          <w:bCs/>
          <w:sz w:val="20"/>
          <w:lang w:bidi="ar-SA"/>
        </w:rPr>
        <w:t xml:space="preserve"> </w:t>
      </w:r>
    </w:p>
    <w:p w14:paraId="1F1236A7" w14:textId="1ECE1382" w:rsidR="00C97832" w:rsidRPr="00A85918" w:rsidRDefault="00C97832" w:rsidP="009E5B6C">
      <w:pPr>
        <w:keepNext/>
        <w:keepLines/>
        <w:spacing w:line="240" w:lineRule="auto"/>
        <w:outlineLvl w:val="2"/>
        <w:rPr>
          <w:rFonts w:ascii="Arial" w:eastAsiaTheme="majorEastAsia" w:hAnsi="Arial" w:cs="Arial"/>
          <w:b/>
          <w:bCs/>
          <w:sz w:val="20"/>
          <w:lang w:bidi="ar-S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4"/>
      </w:tblGrid>
      <w:tr w:rsidR="00A85918" w:rsidRPr="00A85918" w14:paraId="39B57686" w14:textId="77777777" w:rsidTr="00372952">
        <w:tc>
          <w:tcPr>
            <w:tcW w:w="9595" w:type="dxa"/>
          </w:tcPr>
          <w:p w14:paraId="283645EF" w14:textId="77777777" w:rsidR="004F6121" w:rsidRDefault="004F6121" w:rsidP="004F6121">
            <w:pPr>
              <w:rPr>
                <w:noProof/>
                <w:szCs w:val="20"/>
              </w:rPr>
            </w:pPr>
            <w:r>
              <w:rPr>
                <w:noProof/>
              </w:rPr>
              <w:drawing>
                <wp:inline distT="0" distB="0" distL="0" distR="0" wp14:anchorId="4525A5EF" wp14:editId="43FF2732">
                  <wp:extent cx="4846320" cy="2560320"/>
                  <wp:effectExtent l="0" t="0" r="11430" b="11430"/>
                  <wp:docPr id="17" name="Chart 17">
                    <a:extLst xmlns:a="http://schemas.openxmlformats.org/drawingml/2006/main">
                      <a:ext uri="{FF2B5EF4-FFF2-40B4-BE49-F238E27FC236}">
                        <a16:creationId xmlns:a16="http://schemas.microsoft.com/office/drawing/2014/main" id="{7B688C48-3717-4BF2-9245-6CF35F1B7F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66E6EA" w14:textId="3EEFA508" w:rsidR="00A85918" w:rsidRPr="00A85918" w:rsidRDefault="00A85918" w:rsidP="009E5B6C">
            <w:pPr>
              <w:spacing w:line="240" w:lineRule="auto"/>
              <w:rPr>
                <w:rFonts w:ascii="Arial" w:hAnsi="Arial" w:cs="Arial"/>
                <w:noProof/>
                <w:sz w:val="22"/>
              </w:rPr>
            </w:pPr>
          </w:p>
        </w:tc>
      </w:tr>
    </w:tbl>
    <w:p w14:paraId="0190D284" w14:textId="189C27C9" w:rsidR="00A85918" w:rsidRDefault="00A85918" w:rsidP="009E5B6C">
      <w:pPr>
        <w:spacing w:line="240" w:lineRule="auto"/>
        <w:jc w:val="both"/>
        <w:rPr>
          <w:rFonts w:ascii="Arial" w:eastAsiaTheme="minorHAnsi" w:hAnsi="Arial" w:cs="Arial"/>
          <w:b/>
          <w:bCs/>
          <w:sz w:val="20"/>
          <w:lang w:bidi="ar-SA"/>
        </w:rPr>
      </w:pPr>
      <w:r w:rsidRPr="00A85918">
        <w:rPr>
          <w:rFonts w:ascii="Arial" w:eastAsiaTheme="minorHAnsi" w:hAnsi="Arial" w:cs="Arial"/>
          <w:b/>
          <w:bCs/>
          <w:sz w:val="20"/>
          <w:lang w:bidi="ar-SA"/>
        </w:rPr>
        <w:t>Fig. 2. Plant Uptake Nitrogen (g tank</w:t>
      </w:r>
      <w:r w:rsidRPr="00A85918">
        <w:rPr>
          <w:rFonts w:ascii="Arial" w:eastAsiaTheme="minorHAnsi" w:hAnsi="Arial" w:cs="Arial"/>
          <w:b/>
          <w:bCs/>
          <w:sz w:val="20"/>
          <w:vertAlign w:val="superscript"/>
          <w:lang w:bidi="ar-SA"/>
        </w:rPr>
        <w:t>-1</w:t>
      </w:r>
      <w:r w:rsidRPr="00A85918">
        <w:rPr>
          <w:rFonts w:ascii="Arial" w:eastAsiaTheme="minorHAnsi" w:hAnsi="Arial" w:cs="Arial"/>
          <w:b/>
          <w:bCs/>
          <w:sz w:val="20"/>
          <w:lang w:bidi="ar-SA"/>
        </w:rPr>
        <w:t>)</w:t>
      </w:r>
      <w:r w:rsidRPr="00A85918">
        <w:rPr>
          <w:rFonts w:ascii="Arial" w:eastAsiaTheme="minorHAnsi" w:hAnsi="Arial" w:cs="Arial"/>
          <w:noProof/>
          <w:sz w:val="20"/>
          <w:lang w:bidi="ar-SA"/>
        </w:rPr>
        <w:t xml:space="preserve"> </w:t>
      </w:r>
      <w:r w:rsidRPr="00A85918">
        <w:rPr>
          <w:rFonts w:ascii="Arial" w:eastAsiaTheme="minorHAnsi" w:hAnsi="Arial" w:cs="Arial"/>
          <w:b/>
          <w:bCs/>
          <w:sz w:val="20"/>
          <w:lang w:bidi="ar-SA"/>
        </w:rPr>
        <w:t>by Rice plant</w:t>
      </w:r>
      <w:r w:rsidRPr="00A85918">
        <w:rPr>
          <w:rFonts w:ascii="Arial" w:eastAsiaTheme="minorHAnsi" w:hAnsi="Arial" w:cs="Arial"/>
          <w:noProof/>
          <w:sz w:val="20"/>
          <w:lang w:bidi="ar-SA"/>
        </w:rPr>
        <w:t xml:space="preserve"> </w:t>
      </w:r>
      <w:r w:rsidRPr="00A85918">
        <w:rPr>
          <w:rFonts w:ascii="Arial" w:eastAsiaTheme="minorHAnsi" w:hAnsi="Arial" w:cs="Arial"/>
          <w:b/>
          <w:bCs/>
          <w:sz w:val="20"/>
          <w:lang w:bidi="ar-SA"/>
        </w:rPr>
        <w:t xml:space="preserve">during incorporation period of 8 weeks. SH45= incorporation of Sunn hemp at the age of 45 days, SH60= incorporation of Sunn hemp at the age of 60 days, SH75= incorporation of Sunn </w:t>
      </w:r>
      <w:r w:rsidRPr="00A85918">
        <w:rPr>
          <w:rFonts w:ascii="Arial" w:eastAsiaTheme="minorHAnsi" w:hAnsi="Arial" w:cs="Arial"/>
          <w:b/>
          <w:bCs/>
          <w:sz w:val="20"/>
          <w:lang w:bidi="ar-SA"/>
        </w:rPr>
        <w:lastRenderedPageBreak/>
        <w:t xml:space="preserve">hemp at the age of 75. Rice plant </w:t>
      </w:r>
      <w:proofErr w:type="gramStart"/>
      <w:r w:rsidRPr="00A85918">
        <w:rPr>
          <w:rFonts w:ascii="Arial" w:eastAsiaTheme="minorHAnsi" w:hAnsi="Arial" w:cs="Arial"/>
          <w:b/>
          <w:bCs/>
          <w:sz w:val="20"/>
          <w:lang w:bidi="ar-SA"/>
        </w:rPr>
        <w:t>were</w:t>
      </w:r>
      <w:proofErr w:type="gramEnd"/>
      <w:r w:rsidRPr="00A85918">
        <w:rPr>
          <w:rFonts w:ascii="Arial" w:eastAsiaTheme="minorHAnsi" w:hAnsi="Arial" w:cs="Arial"/>
          <w:b/>
          <w:bCs/>
          <w:sz w:val="20"/>
          <w:lang w:bidi="ar-SA"/>
        </w:rPr>
        <w:t xml:space="preserve"> transplanted at 1</w:t>
      </w:r>
      <w:r w:rsidRPr="00A85918">
        <w:rPr>
          <w:rFonts w:ascii="Arial" w:eastAsiaTheme="minorHAnsi" w:hAnsi="Arial" w:cs="Arial"/>
          <w:b/>
          <w:bCs/>
          <w:sz w:val="20"/>
          <w:vertAlign w:val="superscript"/>
          <w:lang w:bidi="ar-SA"/>
        </w:rPr>
        <w:t>st</w:t>
      </w:r>
      <w:r w:rsidRPr="00A85918">
        <w:rPr>
          <w:rFonts w:ascii="Arial" w:eastAsiaTheme="minorHAnsi" w:hAnsi="Arial" w:cs="Arial"/>
          <w:b/>
          <w:bCs/>
          <w:sz w:val="20"/>
          <w:lang w:bidi="ar-SA"/>
        </w:rPr>
        <w:t xml:space="preserve"> week after incorporation and recover at the second week, afterwards, uptake was measured after the incorporation of 3</w:t>
      </w:r>
      <w:r w:rsidRPr="00A85918">
        <w:rPr>
          <w:rFonts w:ascii="Arial" w:eastAsiaTheme="minorHAnsi" w:hAnsi="Arial" w:cs="Arial"/>
          <w:b/>
          <w:bCs/>
          <w:sz w:val="20"/>
          <w:vertAlign w:val="superscript"/>
          <w:lang w:bidi="ar-SA"/>
        </w:rPr>
        <w:t>rd</w:t>
      </w:r>
      <w:r w:rsidRPr="00A85918">
        <w:rPr>
          <w:rFonts w:ascii="Arial" w:eastAsiaTheme="minorHAnsi" w:hAnsi="Arial" w:cs="Arial"/>
          <w:b/>
          <w:bCs/>
          <w:sz w:val="20"/>
          <w:lang w:bidi="ar-SA"/>
        </w:rPr>
        <w:t xml:space="preserve"> week until 8</w:t>
      </w:r>
      <w:r w:rsidRPr="00A85918">
        <w:rPr>
          <w:rFonts w:ascii="Arial" w:eastAsiaTheme="minorHAnsi" w:hAnsi="Arial" w:cs="Arial"/>
          <w:b/>
          <w:bCs/>
          <w:sz w:val="20"/>
          <w:vertAlign w:val="superscript"/>
          <w:lang w:bidi="ar-SA"/>
        </w:rPr>
        <w:t>th</w:t>
      </w:r>
      <w:r w:rsidRPr="00A85918">
        <w:rPr>
          <w:rFonts w:ascii="Arial" w:eastAsiaTheme="minorHAnsi" w:hAnsi="Arial" w:cs="Arial"/>
          <w:b/>
          <w:bCs/>
          <w:sz w:val="20"/>
          <w:lang w:bidi="ar-SA"/>
        </w:rPr>
        <w:t xml:space="preserve"> week</w:t>
      </w:r>
    </w:p>
    <w:p w14:paraId="39AEF7BA" w14:textId="77777777" w:rsidR="00782A03" w:rsidRPr="00A85918" w:rsidRDefault="00782A03" w:rsidP="009E5B6C">
      <w:pPr>
        <w:spacing w:line="240" w:lineRule="auto"/>
        <w:jc w:val="both"/>
        <w:rPr>
          <w:rFonts w:ascii="Arial" w:eastAsiaTheme="minorHAnsi" w:hAnsi="Arial" w:cs="Arial"/>
          <w:sz w:val="20"/>
          <w:lang w:bidi="ar-SA"/>
        </w:rPr>
      </w:pPr>
    </w:p>
    <w:p w14:paraId="792E94F7" w14:textId="51DCD213" w:rsidR="00782A03" w:rsidRDefault="004F6121" w:rsidP="009E5B6C">
      <w:pPr>
        <w:spacing w:line="240" w:lineRule="auto"/>
        <w:jc w:val="both"/>
        <w:rPr>
          <w:rFonts w:ascii="Arial" w:eastAsiaTheme="minorHAnsi" w:hAnsi="Arial" w:cs="Arial"/>
          <w:sz w:val="20"/>
          <w:lang w:bidi="ar-SA"/>
        </w:rPr>
      </w:pPr>
      <w:r w:rsidRPr="004F6121">
        <w:rPr>
          <w:rFonts w:ascii="Arial" w:eastAsiaTheme="minorHAnsi" w:hAnsi="Arial" w:cs="Arial"/>
          <w:sz w:val="20"/>
          <w:lang w:bidi="ar-SA"/>
        </w:rPr>
        <w:t>Regarding nitrogen uptake, rice with SH75 mostly achieved the highest values across all weeks, followed by SH60 and SH45. Nitrogen uptake of rice from the soil incorporated with SH60 and SH75 steadily increased from 1</w:t>
      </w:r>
      <w:r w:rsidRPr="00D95A41">
        <w:rPr>
          <w:rFonts w:ascii="Arial" w:eastAsiaTheme="minorHAnsi" w:hAnsi="Arial" w:cs="Arial"/>
          <w:sz w:val="20"/>
          <w:vertAlign w:val="superscript"/>
          <w:lang w:bidi="ar-SA"/>
        </w:rPr>
        <w:t>st</w:t>
      </w:r>
      <w:r w:rsidRPr="004F6121">
        <w:rPr>
          <w:rFonts w:ascii="Arial" w:eastAsiaTheme="minorHAnsi" w:hAnsi="Arial" w:cs="Arial"/>
          <w:sz w:val="20"/>
          <w:lang w:bidi="ar-SA"/>
        </w:rPr>
        <w:t xml:space="preserve"> week, peaking at 6</w:t>
      </w:r>
      <w:r w:rsidRPr="00D95A41">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after which it declined in weeks 7 and 8. These results were coincided with ANR (Figure 3). Plant uptake in the control plot was the lowest at all week. N mineralization percentage from SH45 (Figure 4) was approaching to 0 from 5th week to 8th week.</w:t>
      </w:r>
    </w:p>
    <w:p w14:paraId="1F73F88C" w14:textId="77777777" w:rsidR="004F6121" w:rsidRPr="00A85918" w:rsidRDefault="004F6121" w:rsidP="009E5B6C">
      <w:pPr>
        <w:spacing w:line="240" w:lineRule="auto"/>
        <w:jc w:val="both"/>
        <w:rPr>
          <w:rFonts w:ascii="Arial" w:eastAsiaTheme="minorHAnsi" w:hAnsi="Arial" w:cs="Arial"/>
          <w:sz w:val="22"/>
          <w:szCs w:val="22"/>
          <w:lang w:bidi="ar-SA"/>
        </w:rPr>
      </w:pPr>
    </w:p>
    <w:p w14:paraId="1DBF698E" w14:textId="3797FB0C" w:rsidR="00A85918" w:rsidRDefault="00A85918" w:rsidP="009E5B6C">
      <w:pPr>
        <w:keepNext/>
        <w:keepLines/>
        <w:spacing w:line="240" w:lineRule="auto"/>
        <w:outlineLvl w:val="2"/>
        <w:rPr>
          <w:rFonts w:ascii="Arial" w:eastAsiaTheme="majorEastAsia" w:hAnsi="Arial" w:cs="Arial"/>
          <w:b/>
          <w:bCs/>
          <w:sz w:val="22"/>
          <w:szCs w:val="22"/>
          <w:lang w:bidi="ar-SA"/>
        </w:rPr>
      </w:pPr>
      <w:r w:rsidRPr="00A85918">
        <w:rPr>
          <w:rFonts w:ascii="Arial" w:eastAsiaTheme="majorEastAsia" w:hAnsi="Arial" w:cs="Arial"/>
          <w:b/>
          <w:bCs/>
          <w:sz w:val="22"/>
          <w:szCs w:val="22"/>
          <w:lang w:bidi="ar-SA"/>
        </w:rPr>
        <w:t>4.2.2 Apparent Nitrogen Recovery (ANR)</w:t>
      </w:r>
      <w:r w:rsidR="00C97832">
        <w:rPr>
          <w:rFonts w:ascii="Arial" w:eastAsiaTheme="majorEastAsia" w:hAnsi="Arial" w:cs="Arial"/>
          <w:b/>
          <w:bCs/>
          <w:sz w:val="22"/>
          <w:szCs w:val="22"/>
          <w:lang w:bidi="ar-SA"/>
        </w:rPr>
        <w:t xml:space="preserve"> </w:t>
      </w:r>
    </w:p>
    <w:p w14:paraId="5C86CBD5" w14:textId="77777777" w:rsidR="00C97832" w:rsidRPr="00A85918" w:rsidRDefault="00C97832" w:rsidP="009E5B6C">
      <w:pPr>
        <w:keepNext/>
        <w:keepLines/>
        <w:spacing w:line="240" w:lineRule="auto"/>
        <w:outlineLvl w:val="2"/>
        <w:rPr>
          <w:rFonts w:ascii="Arial" w:eastAsiaTheme="majorEastAsia" w:hAnsi="Arial" w:cs="Arial"/>
          <w:b/>
          <w:bCs/>
          <w:sz w:val="22"/>
          <w:szCs w:val="22"/>
          <w:lang w:bidi="ar-S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4"/>
      </w:tblGrid>
      <w:tr w:rsidR="00A85918" w:rsidRPr="00A85918" w14:paraId="2D2E5EE8" w14:textId="77777777" w:rsidTr="00372952">
        <w:tc>
          <w:tcPr>
            <w:tcW w:w="9595" w:type="dxa"/>
          </w:tcPr>
          <w:p w14:paraId="53413DEB" w14:textId="77777777" w:rsidR="00A85918" w:rsidRPr="00A85918" w:rsidRDefault="00A85918" w:rsidP="009E5B6C">
            <w:pPr>
              <w:spacing w:line="240" w:lineRule="auto"/>
              <w:jc w:val="both"/>
              <w:rPr>
                <w:rFonts w:ascii="Arial" w:hAnsi="Arial" w:cs="Arial"/>
                <w:sz w:val="22"/>
              </w:rPr>
            </w:pPr>
          </w:p>
          <w:p w14:paraId="08F153F4" w14:textId="5A1DD624" w:rsidR="00A85918" w:rsidRPr="00A85918" w:rsidRDefault="004F6121" w:rsidP="009E5B6C">
            <w:pPr>
              <w:spacing w:line="240" w:lineRule="auto"/>
              <w:jc w:val="both"/>
              <w:rPr>
                <w:rFonts w:ascii="Arial" w:hAnsi="Arial" w:cs="Arial"/>
                <w:sz w:val="22"/>
              </w:rPr>
            </w:pPr>
            <w:r>
              <w:rPr>
                <w:noProof/>
              </w:rPr>
              <w:drawing>
                <wp:inline distT="0" distB="0" distL="0" distR="0" wp14:anchorId="45AD0E27" wp14:editId="136D3AF1">
                  <wp:extent cx="4846320" cy="2560320"/>
                  <wp:effectExtent l="0" t="0" r="11430" b="11430"/>
                  <wp:docPr id="2" name="Chart 2">
                    <a:extLst xmlns:a="http://schemas.openxmlformats.org/drawingml/2006/main">
                      <a:ext uri="{FF2B5EF4-FFF2-40B4-BE49-F238E27FC236}">
                        <a16:creationId xmlns:a16="http://schemas.microsoft.com/office/drawing/2014/main" id="{45BD4493-937F-4F45-A873-55999E91A5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66FBA4A6" w14:textId="76A07351" w:rsidR="00A85918" w:rsidRDefault="00A85918" w:rsidP="009E5B6C">
      <w:pPr>
        <w:spacing w:line="240" w:lineRule="auto"/>
        <w:jc w:val="both"/>
        <w:rPr>
          <w:rFonts w:ascii="Arial" w:eastAsiaTheme="minorHAnsi" w:hAnsi="Arial" w:cs="Arial"/>
          <w:b/>
          <w:bCs/>
          <w:sz w:val="20"/>
          <w:lang w:bidi="ar-SA"/>
        </w:rPr>
      </w:pPr>
      <w:r w:rsidRPr="00A85918">
        <w:rPr>
          <w:rFonts w:ascii="Arial" w:eastAsiaTheme="minorHAnsi" w:hAnsi="Arial" w:cs="Arial"/>
          <w:b/>
          <w:bCs/>
          <w:sz w:val="20"/>
          <w:lang w:bidi="ar-SA"/>
        </w:rPr>
        <w:t xml:space="preserve">Fig. 3. Apparent Nitrogen Recovery % (ANR) by Rice Plant during incorporation period of 8 weeks. </w:t>
      </w:r>
    </w:p>
    <w:p w14:paraId="66EA194F" w14:textId="77777777" w:rsidR="004F6121" w:rsidRDefault="004F6121" w:rsidP="009E5B6C">
      <w:pPr>
        <w:spacing w:line="240" w:lineRule="auto"/>
        <w:jc w:val="both"/>
        <w:rPr>
          <w:rFonts w:ascii="Arial" w:eastAsiaTheme="minorHAnsi" w:hAnsi="Arial" w:cs="Arial"/>
          <w:sz w:val="20"/>
          <w:lang w:bidi="ar-SA"/>
        </w:rPr>
      </w:pPr>
    </w:p>
    <w:p w14:paraId="3DF7DFD3" w14:textId="29D5BF42" w:rsidR="00782A03" w:rsidRDefault="004F6121" w:rsidP="009E5B6C">
      <w:pPr>
        <w:spacing w:line="240" w:lineRule="auto"/>
        <w:jc w:val="both"/>
        <w:rPr>
          <w:rFonts w:ascii="Arial" w:eastAsiaTheme="minorHAnsi" w:hAnsi="Arial" w:cs="Arial"/>
          <w:sz w:val="20"/>
          <w:lang w:bidi="ar-SA"/>
        </w:rPr>
      </w:pPr>
      <w:r w:rsidRPr="004F6121">
        <w:rPr>
          <w:rFonts w:ascii="Arial" w:eastAsiaTheme="minorHAnsi" w:hAnsi="Arial" w:cs="Arial"/>
          <w:sz w:val="20"/>
          <w:lang w:bidi="ar-SA"/>
        </w:rPr>
        <w:t>ANR is the indicator for efficient N release and uptake by plant, leading to better Nitrogen Use Efficiency (NUE). Aulakh (2000)</w:t>
      </w:r>
      <w:r w:rsidR="008C396F">
        <w:rPr>
          <w:rFonts w:ascii="Arial" w:eastAsiaTheme="minorHAnsi" w:hAnsi="Arial" w:cs="Arial"/>
          <w:sz w:val="20"/>
          <w:lang w:bidi="ar-SA"/>
        </w:rPr>
        <w:t xml:space="preserve"> (18)</w:t>
      </w:r>
      <w:r w:rsidRPr="004F6121">
        <w:rPr>
          <w:rFonts w:ascii="Arial" w:eastAsiaTheme="minorHAnsi" w:hAnsi="Arial" w:cs="Arial"/>
          <w:sz w:val="20"/>
          <w:lang w:bidi="ar-SA"/>
        </w:rPr>
        <w:t xml:space="preserve"> and Morris et al. (1986)</w:t>
      </w:r>
      <w:r w:rsidR="008C396F">
        <w:rPr>
          <w:rFonts w:ascii="Arial" w:eastAsiaTheme="minorHAnsi" w:hAnsi="Arial" w:cs="Arial"/>
          <w:sz w:val="20"/>
          <w:lang w:bidi="ar-SA"/>
        </w:rPr>
        <w:t xml:space="preserve"> (19)</w:t>
      </w:r>
      <w:r w:rsidRPr="004F6121">
        <w:rPr>
          <w:rFonts w:ascii="Arial" w:eastAsiaTheme="minorHAnsi" w:hAnsi="Arial" w:cs="Arial"/>
          <w:sz w:val="20"/>
          <w:lang w:bidi="ar-SA"/>
        </w:rPr>
        <w:t xml:space="preserve"> discussed that the value of ANR decreased by greater application of green manure to the rice field and NUE was reduced. ANR % was calculated based on rice plant uptake and N contribution from different ages of Sunn hemp within the period of incorporation of 60 days as shown in the fig. 3. It was found that apparent N recovery from SH45 was 18.94%, the highest at the 7</w:t>
      </w:r>
      <w:r w:rsidRPr="00EB637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throughout the incorporation period whereas SH60 and SH75 were the highest at the 6</w:t>
      </w:r>
      <w:r w:rsidRPr="00EB637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and the values were 33.79 and 32.06. Then, ANR values of them were decreasing to the 8</w:t>
      </w:r>
      <w:r w:rsidRPr="00EB637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as 26.31 and 26.85.  Hu et al., (2023)</w:t>
      </w:r>
      <w:r w:rsidR="008C396F">
        <w:rPr>
          <w:rFonts w:ascii="Arial" w:eastAsiaTheme="minorHAnsi" w:hAnsi="Arial" w:cs="Arial"/>
          <w:sz w:val="20"/>
          <w:lang w:bidi="ar-SA"/>
        </w:rPr>
        <w:t xml:space="preserve"> (20)</w:t>
      </w:r>
      <w:r w:rsidRPr="004F6121">
        <w:rPr>
          <w:rFonts w:ascii="Arial" w:eastAsiaTheme="minorHAnsi" w:hAnsi="Arial" w:cs="Arial"/>
          <w:sz w:val="20"/>
          <w:lang w:bidi="ar-SA"/>
        </w:rPr>
        <w:t xml:space="preserve"> and Ladha et al., (2020)</w:t>
      </w:r>
      <w:r w:rsidR="00D95A41">
        <w:rPr>
          <w:rFonts w:ascii="Arial" w:eastAsiaTheme="minorHAnsi" w:hAnsi="Arial" w:cs="Arial"/>
          <w:sz w:val="20"/>
          <w:lang w:bidi="ar-SA"/>
        </w:rPr>
        <w:t xml:space="preserve"> </w:t>
      </w:r>
      <w:r w:rsidR="008C396F">
        <w:rPr>
          <w:rFonts w:ascii="Arial" w:eastAsiaTheme="minorHAnsi" w:hAnsi="Arial" w:cs="Arial"/>
          <w:sz w:val="20"/>
          <w:lang w:bidi="ar-SA"/>
        </w:rPr>
        <w:t>(21)</w:t>
      </w:r>
      <w:r w:rsidRPr="004F6121">
        <w:rPr>
          <w:rFonts w:ascii="Arial" w:eastAsiaTheme="minorHAnsi" w:hAnsi="Arial" w:cs="Arial"/>
          <w:sz w:val="20"/>
          <w:lang w:bidi="ar-SA"/>
        </w:rPr>
        <w:t xml:space="preserve"> mentioned that rice taken up 30 -50% of N inputs and improving NUE was remaining as a challenge in the rice production. In this study, ANR value were less than 50% for all treatments. It was explained that mineralization from Sunn hemp at all treatments was highest within first two weeks and decreased later on (Table 4). </w:t>
      </w:r>
      <w:proofErr w:type="spellStart"/>
      <w:r w:rsidRPr="004F6121">
        <w:rPr>
          <w:rFonts w:ascii="Arial" w:eastAsiaTheme="minorHAnsi" w:hAnsi="Arial" w:cs="Arial"/>
          <w:sz w:val="20"/>
          <w:lang w:bidi="ar-SA"/>
        </w:rPr>
        <w:t>Fageria</w:t>
      </w:r>
      <w:proofErr w:type="spellEnd"/>
      <w:r w:rsidRPr="004F6121">
        <w:rPr>
          <w:rFonts w:ascii="Arial" w:eastAsiaTheme="minorHAnsi" w:hAnsi="Arial" w:cs="Arial"/>
          <w:sz w:val="20"/>
          <w:lang w:bidi="ar-SA"/>
        </w:rPr>
        <w:t xml:space="preserve"> and </w:t>
      </w:r>
      <w:proofErr w:type="spellStart"/>
      <w:r w:rsidRPr="004F6121">
        <w:rPr>
          <w:rFonts w:ascii="Arial" w:eastAsiaTheme="minorHAnsi" w:hAnsi="Arial" w:cs="Arial"/>
          <w:sz w:val="20"/>
          <w:lang w:bidi="ar-SA"/>
        </w:rPr>
        <w:t>Baligar</w:t>
      </w:r>
      <w:proofErr w:type="spellEnd"/>
      <w:r w:rsidRPr="004F6121">
        <w:rPr>
          <w:rFonts w:ascii="Arial" w:eastAsiaTheme="minorHAnsi" w:hAnsi="Arial" w:cs="Arial"/>
          <w:sz w:val="20"/>
          <w:lang w:bidi="ar-SA"/>
        </w:rPr>
        <w:t>, (2005)</w:t>
      </w:r>
      <w:r w:rsidR="008C396F">
        <w:rPr>
          <w:rFonts w:ascii="Arial" w:eastAsiaTheme="minorHAnsi" w:hAnsi="Arial" w:cs="Arial"/>
          <w:sz w:val="20"/>
          <w:lang w:bidi="ar-SA"/>
        </w:rPr>
        <w:t xml:space="preserve"> (22)</w:t>
      </w:r>
      <w:r w:rsidRPr="004F6121">
        <w:rPr>
          <w:rFonts w:ascii="Arial" w:eastAsiaTheme="minorHAnsi" w:hAnsi="Arial" w:cs="Arial"/>
          <w:sz w:val="20"/>
          <w:lang w:bidi="ar-SA"/>
        </w:rPr>
        <w:t xml:space="preserve"> explained that synchrony of N supply with crop demand could ensure adequate quantity of uptake.</w:t>
      </w:r>
    </w:p>
    <w:p w14:paraId="6A6FE348" w14:textId="77777777" w:rsidR="004F6121" w:rsidRPr="00A85918" w:rsidRDefault="004F6121" w:rsidP="009E5B6C">
      <w:pPr>
        <w:spacing w:line="240" w:lineRule="auto"/>
        <w:jc w:val="both"/>
        <w:rPr>
          <w:rFonts w:ascii="Arial" w:eastAsiaTheme="minorHAnsi" w:hAnsi="Arial" w:cs="Arial"/>
          <w:sz w:val="20"/>
          <w:lang w:bidi="ar-SA"/>
        </w:rPr>
      </w:pPr>
    </w:p>
    <w:p w14:paraId="13E7B223" w14:textId="6FB0C04B" w:rsidR="00A85918" w:rsidRPr="009E3751" w:rsidRDefault="00A85918" w:rsidP="009E5B6C">
      <w:pPr>
        <w:spacing w:line="240" w:lineRule="auto"/>
        <w:jc w:val="both"/>
        <w:rPr>
          <w:rFonts w:ascii="Arial" w:eastAsiaTheme="minorHAnsi" w:hAnsi="Arial" w:cs="Arial"/>
          <w:b/>
          <w:bCs/>
          <w:w w:val="95"/>
          <w:sz w:val="22"/>
          <w:szCs w:val="22"/>
          <w:lang w:bidi="ar-SA"/>
        </w:rPr>
      </w:pPr>
      <w:r w:rsidRPr="00A85918">
        <w:rPr>
          <w:rFonts w:ascii="Arial" w:eastAsiaTheme="minorHAnsi" w:hAnsi="Arial" w:cs="Arial"/>
          <w:color w:val="1F1F1F"/>
          <w:sz w:val="22"/>
          <w:szCs w:val="22"/>
          <w:lang w:bidi="ar-SA"/>
        </w:rPr>
        <w:t> </w:t>
      </w:r>
      <w:r w:rsidRPr="00A85918">
        <w:rPr>
          <w:rFonts w:ascii="Arial" w:eastAsiaTheme="minorHAnsi" w:hAnsi="Arial" w:cs="Arial"/>
          <w:b/>
          <w:bCs/>
          <w:sz w:val="22"/>
          <w:szCs w:val="22"/>
          <w:lang w:bidi="ar-SA"/>
        </w:rPr>
        <w:t xml:space="preserve">3.3 </w:t>
      </w:r>
      <w:r w:rsidRPr="00A85918">
        <w:rPr>
          <w:rFonts w:ascii="Arial" w:eastAsiaTheme="minorHAnsi" w:hAnsi="Arial" w:cs="Arial"/>
          <w:b/>
          <w:bCs/>
          <w:w w:val="95"/>
          <w:sz w:val="22"/>
          <w:szCs w:val="22"/>
          <w:lang w:bidi="ar-SA"/>
        </w:rPr>
        <w:t>Nitrogen mineralization after Sunn hemp incorporation into soil</w:t>
      </w:r>
      <w:r w:rsidR="009E3751" w:rsidRPr="009E3751">
        <w:rPr>
          <w:rFonts w:ascii="Arial" w:eastAsiaTheme="minorHAnsi" w:hAnsi="Arial" w:cs="Arial"/>
          <w:b/>
          <w:bCs/>
          <w:w w:val="95"/>
          <w:sz w:val="22"/>
          <w:szCs w:val="22"/>
          <w:lang w:bidi="ar-SA"/>
        </w:rPr>
        <w:t xml:space="preserve"> </w:t>
      </w:r>
      <w:r w:rsidRPr="00A85918">
        <w:rPr>
          <w:rFonts w:ascii="Arial" w:eastAsiaTheme="minorHAnsi" w:hAnsi="Arial" w:cs="Arial"/>
          <w:b/>
          <w:bCs/>
          <w:w w:val="95"/>
          <w:sz w:val="22"/>
          <w:szCs w:val="22"/>
          <w:lang w:bidi="ar-SA"/>
        </w:rPr>
        <w:t>(g tank</w:t>
      </w:r>
      <w:r w:rsidRPr="00A85918">
        <w:rPr>
          <w:rFonts w:ascii="Arial" w:eastAsiaTheme="minorHAnsi" w:hAnsi="Arial" w:cs="Arial"/>
          <w:b/>
          <w:bCs/>
          <w:w w:val="95"/>
          <w:sz w:val="22"/>
          <w:szCs w:val="22"/>
          <w:vertAlign w:val="superscript"/>
          <w:lang w:bidi="ar-SA"/>
        </w:rPr>
        <w:t>-1</w:t>
      </w:r>
      <w:r w:rsidRPr="00A85918">
        <w:rPr>
          <w:rFonts w:ascii="Arial" w:eastAsiaTheme="minorHAnsi" w:hAnsi="Arial" w:cs="Arial"/>
          <w:b/>
          <w:bCs/>
          <w:w w:val="95"/>
          <w:sz w:val="22"/>
          <w:szCs w:val="22"/>
          <w:lang w:bidi="ar-SA"/>
        </w:rPr>
        <w:t>)</w:t>
      </w:r>
      <w:r w:rsidR="00C97832" w:rsidRPr="009E3751">
        <w:rPr>
          <w:rFonts w:ascii="Arial" w:eastAsiaTheme="minorHAnsi" w:hAnsi="Arial" w:cs="Arial"/>
          <w:b/>
          <w:bCs/>
          <w:w w:val="95"/>
          <w:sz w:val="22"/>
          <w:szCs w:val="22"/>
          <w:lang w:bidi="ar-SA"/>
        </w:rPr>
        <w:t xml:space="preserve"> </w:t>
      </w:r>
    </w:p>
    <w:p w14:paraId="7C25143F" w14:textId="77777777" w:rsidR="00C97832" w:rsidRPr="00A85918" w:rsidRDefault="00C97832" w:rsidP="009E5B6C">
      <w:pPr>
        <w:spacing w:line="240" w:lineRule="auto"/>
        <w:jc w:val="both"/>
        <w:rPr>
          <w:rFonts w:ascii="Arial" w:eastAsiaTheme="minorHAnsi" w:hAnsi="Arial" w:cs="Arial"/>
          <w:b/>
          <w:bCs/>
          <w:sz w:val="22"/>
          <w:szCs w:val="22"/>
          <w:lang w:bidi="ar-SA"/>
        </w:rPr>
      </w:pPr>
    </w:p>
    <w:p w14:paraId="15D9E0A9" w14:textId="37DFBAC0" w:rsidR="00782A03" w:rsidRDefault="004F6121" w:rsidP="009E5B6C">
      <w:pPr>
        <w:spacing w:line="240" w:lineRule="auto"/>
        <w:jc w:val="both"/>
        <w:rPr>
          <w:rFonts w:ascii="Arial" w:eastAsiaTheme="minorHAnsi" w:hAnsi="Arial" w:cs="Arial"/>
          <w:sz w:val="20"/>
          <w:lang w:bidi="ar-SA"/>
        </w:rPr>
      </w:pPr>
      <w:r w:rsidRPr="004F6121">
        <w:rPr>
          <w:rFonts w:ascii="Arial" w:eastAsiaTheme="minorHAnsi" w:hAnsi="Arial" w:cs="Arial"/>
          <w:sz w:val="20"/>
          <w:lang w:bidi="ar-SA"/>
        </w:rPr>
        <w:t>Except at 8</w:t>
      </w:r>
      <w:r w:rsidRPr="00DE020E">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mineral Nitrogen at 1</w:t>
      </w:r>
      <w:r w:rsidRPr="00DE020E">
        <w:rPr>
          <w:rFonts w:ascii="Arial" w:eastAsiaTheme="minorHAnsi" w:hAnsi="Arial" w:cs="Arial"/>
          <w:sz w:val="20"/>
          <w:vertAlign w:val="superscript"/>
          <w:lang w:bidi="ar-SA"/>
        </w:rPr>
        <w:t>st</w:t>
      </w:r>
      <w:r w:rsidRPr="004F6121">
        <w:rPr>
          <w:rFonts w:ascii="Arial" w:eastAsiaTheme="minorHAnsi" w:hAnsi="Arial" w:cs="Arial"/>
          <w:sz w:val="20"/>
          <w:lang w:bidi="ar-SA"/>
        </w:rPr>
        <w:t xml:space="preserve"> to 7</w:t>
      </w:r>
      <w:r w:rsidRPr="00DE020E">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were statistically different at p&lt;0.05 and p&lt;0.01 respectively (table 4). Control showed the minimum amount of mineral N at every week and SH45 placed at the second. Comparing the amount of available N including (NH</w:t>
      </w:r>
      <w:r w:rsidRPr="00DE020E">
        <w:rPr>
          <w:rFonts w:ascii="Arial" w:eastAsiaTheme="minorHAnsi" w:hAnsi="Arial" w:cs="Arial"/>
          <w:sz w:val="20"/>
          <w:vertAlign w:val="subscript"/>
          <w:lang w:bidi="ar-SA"/>
        </w:rPr>
        <w:t>4</w:t>
      </w:r>
      <w:r w:rsidRPr="004F6121">
        <w:rPr>
          <w:rFonts w:ascii="Arial" w:eastAsiaTheme="minorHAnsi" w:hAnsi="Arial" w:cs="Arial"/>
          <w:sz w:val="20"/>
          <w:lang w:bidi="ar-SA"/>
        </w:rPr>
        <w:t>-N and NO</w:t>
      </w:r>
      <w:r w:rsidRPr="00DE020E">
        <w:rPr>
          <w:rFonts w:ascii="Arial" w:eastAsiaTheme="minorHAnsi" w:hAnsi="Arial" w:cs="Arial"/>
          <w:sz w:val="20"/>
          <w:vertAlign w:val="subscript"/>
          <w:lang w:bidi="ar-SA"/>
        </w:rPr>
        <w:t>3</w:t>
      </w:r>
      <w:r w:rsidRPr="004F6121">
        <w:rPr>
          <w:rFonts w:ascii="Arial" w:eastAsiaTheme="minorHAnsi" w:hAnsi="Arial" w:cs="Arial"/>
          <w:sz w:val="20"/>
          <w:lang w:bidi="ar-SA"/>
        </w:rPr>
        <w:t>-N), SH60 was the highest at 1</w:t>
      </w:r>
      <w:r w:rsidRPr="008C396F">
        <w:rPr>
          <w:rFonts w:ascii="Arial" w:eastAsiaTheme="minorHAnsi" w:hAnsi="Arial" w:cs="Arial"/>
          <w:sz w:val="20"/>
          <w:vertAlign w:val="superscript"/>
          <w:lang w:bidi="ar-SA"/>
        </w:rPr>
        <w:t>st</w:t>
      </w:r>
      <w:r w:rsidRPr="004F6121">
        <w:rPr>
          <w:rFonts w:ascii="Arial" w:eastAsiaTheme="minorHAnsi" w:hAnsi="Arial" w:cs="Arial"/>
          <w:sz w:val="20"/>
          <w:lang w:bidi="ar-SA"/>
        </w:rPr>
        <w:t xml:space="preserve"> ,3</w:t>
      </w:r>
      <w:r w:rsidRPr="008C396F">
        <w:rPr>
          <w:rFonts w:ascii="Arial" w:eastAsiaTheme="minorHAnsi" w:hAnsi="Arial" w:cs="Arial"/>
          <w:sz w:val="20"/>
          <w:vertAlign w:val="superscript"/>
          <w:lang w:bidi="ar-SA"/>
        </w:rPr>
        <w:t>rd</w:t>
      </w:r>
      <w:r w:rsidRPr="004F6121">
        <w:rPr>
          <w:rFonts w:ascii="Arial" w:eastAsiaTheme="minorHAnsi" w:hAnsi="Arial" w:cs="Arial"/>
          <w:sz w:val="20"/>
          <w:lang w:bidi="ar-SA"/>
        </w:rPr>
        <w:t xml:space="preserve"> ,4</w:t>
      </w:r>
      <w:r w:rsidRPr="008C396F">
        <w:rPr>
          <w:rFonts w:ascii="Arial" w:eastAsiaTheme="minorHAnsi" w:hAnsi="Arial" w:cs="Arial"/>
          <w:sz w:val="20"/>
          <w:vertAlign w:val="superscript"/>
          <w:lang w:bidi="ar-SA"/>
        </w:rPr>
        <w:t xml:space="preserve">th </w:t>
      </w:r>
      <w:r w:rsidRPr="004F6121">
        <w:rPr>
          <w:rFonts w:ascii="Arial" w:eastAsiaTheme="minorHAnsi" w:hAnsi="Arial" w:cs="Arial"/>
          <w:sz w:val="20"/>
          <w:lang w:bidi="ar-SA"/>
        </w:rPr>
        <w:t>,6</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,7</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and 8</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w:t>
      </w:r>
      <w:r w:rsidRPr="004F6121">
        <w:rPr>
          <w:rFonts w:ascii="Arial" w:eastAsiaTheme="minorHAnsi" w:hAnsi="Arial" w:cs="Arial"/>
          <w:sz w:val="20"/>
          <w:lang w:bidi="ar-SA"/>
        </w:rPr>
        <w:lastRenderedPageBreak/>
        <w:t>followed by SH75 which was highest at the week of 2</w:t>
      </w:r>
      <w:r w:rsidRPr="008C396F">
        <w:rPr>
          <w:rFonts w:ascii="Arial" w:eastAsiaTheme="minorHAnsi" w:hAnsi="Arial" w:cs="Arial"/>
          <w:sz w:val="20"/>
          <w:vertAlign w:val="superscript"/>
          <w:lang w:bidi="ar-SA"/>
        </w:rPr>
        <w:t>nd</w:t>
      </w:r>
      <w:r w:rsidRPr="004F6121">
        <w:rPr>
          <w:rFonts w:ascii="Arial" w:eastAsiaTheme="minorHAnsi" w:hAnsi="Arial" w:cs="Arial"/>
          <w:sz w:val="20"/>
          <w:lang w:bidi="ar-SA"/>
        </w:rPr>
        <w:t>, 4</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5</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8</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According to the results, the net mineral N remained the highest in the first two week; the highest mineral N amount </w:t>
      </w:r>
      <w:proofErr w:type="gramStart"/>
      <w:r w:rsidRPr="004F6121">
        <w:rPr>
          <w:rFonts w:ascii="Arial" w:eastAsiaTheme="minorHAnsi" w:hAnsi="Arial" w:cs="Arial"/>
          <w:sz w:val="20"/>
          <w:lang w:bidi="ar-SA"/>
        </w:rPr>
        <w:t>were</w:t>
      </w:r>
      <w:proofErr w:type="gramEnd"/>
      <w:r w:rsidRPr="004F6121">
        <w:rPr>
          <w:rFonts w:ascii="Arial" w:eastAsiaTheme="minorHAnsi" w:hAnsi="Arial" w:cs="Arial"/>
          <w:sz w:val="20"/>
          <w:lang w:bidi="ar-SA"/>
        </w:rPr>
        <w:t xml:space="preserve"> produced by SH45 and SH75 at the 2</w:t>
      </w:r>
      <w:r w:rsidRPr="008C396F">
        <w:rPr>
          <w:rFonts w:ascii="Arial" w:eastAsiaTheme="minorHAnsi" w:hAnsi="Arial" w:cs="Arial"/>
          <w:sz w:val="20"/>
          <w:vertAlign w:val="superscript"/>
          <w:lang w:bidi="ar-SA"/>
        </w:rPr>
        <w:t>st</w:t>
      </w:r>
      <w:r w:rsidRPr="004F6121">
        <w:rPr>
          <w:rFonts w:ascii="Arial" w:eastAsiaTheme="minorHAnsi" w:hAnsi="Arial" w:cs="Arial"/>
          <w:sz w:val="20"/>
          <w:lang w:bidi="ar-SA"/>
        </w:rPr>
        <w:t xml:space="preserve"> week and that of SH60 was produced at the 1</w:t>
      </w:r>
      <w:r w:rsidRPr="008C396F">
        <w:rPr>
          <w:rFonts w:ascii="Arial" w:eastAsiaTheme="minorHAnsi" w:hAnsi="Arial" w:cs="Arial"/>
          <w:sz w:val="20"/>
          <w:vertAlign w:val="superscript"/>
          <w:lang w:bidi="ar-SA"/>
        </w:rPr>
        <w:t>st</w:t>
      </w:r>
      <w:r w:rsidRPr="004F6121">
        <w:rPr>
          <w:rFonts w:ascii="Arial" w:eastAsiaTheme="minorHAnsi" w:hAnsi="Arial" w:cs="Arial"/>
          <w:sz w:val="20"/>
          <w:lang w:bidi="ar-SA"/>
        </w:rPr>
        <w:t xml:space="preserve"> week. The research findings were consistent with the research of Aulakh (2000)</w:t>
      </w:r>
      <w:r w:rsidR="008C396F">
        <w:rPr>
          <w:rFonts w:ascii="Arial" w:eastAsiaTheme="minorHAnsi" w:hAnsi="Arial" w:cs="Arial"/>
          <w:sz w:val="20"/>
          <w:lang w:bidi="ar-SA"/>
        </w:rPr>
        <w:t xml:space="preserve"> (18)</w:t>
      </w:r>
      <w:r w:rsidRPr="004F6121">
        <w:rPr>
          <w:rFonts w:ascii="Arial" w:eastAsiaTheme="minorHAnsi" w:hAnsi="Arial" w:cs="Arial"/>
          <w:sz w:val="20"/>
          <w:lang w:bidi="ar-SA"/>
        </w:rPr>
        <w:t xml:space="preserve"> and Brar &amp; Sidhu (1995)</w:t>
      </w:r>
      <w:r w:rsidR="008C396F">
        <w:rPr>
          <w:rFonts w:ascii="Arial" w:eastAsiaTheme="minorHAnsi" w:hAnsi="Arial" w:cs="Arial"/>
          <w:sz w:val="20"/>
          <w:lang w:bidi="ar-SA"/>
        </w:rPr>
        <w:t xml:space="preserve"> (13)</w:t>
      </w:r>
      <w:r w:rsidRPr="004F6121">
        <w:rPr>
          <w:rFonts w:ascii="Arial" w:eastAsiaTheme="minorHAnsi" w:hAnsi="Arial" w:cs="Arial"/>
          <w:sz w:val="20"/>
          <w:lang w:bidi="ar-SA"/>
        </w:rPr>
        <w:t>. In their finding, the incorporation of fresh green manure accumulated mineral N in soil during 1-2 weeks, followed by a slow decline during 2 to 3 weeks period.</w:t>
      </w:r>
    </w:p>
    <w:p w14:paraId="5ABE4655" w14:textId="77777777" w:rsidR="004F6121" w:rsidRPr="00A85918" w:rsidRDefault="004F6121" w:rsidP="009E5B6C">
      <w:pPr>
        <w:spacing w:line="240" w:lineRule="auto"/>
        <w:jc w:val="both"/>
        <w:rPr>
          <w:rFonts w:ascii="Arial" w:eastAsiaTheme="minorHAnsi" w:hAnsi="Arial" w:cs="Arial"/>
          <w:sz w:val="20"/>
          <w:lang w:bidi="ar-SA"/>
        </w:rPr>
      </w:pPr>
    </w:p>
    <w:p w14:paraId="3E8453FF" w14:textId="2BA179C0" w:rsidR="00782A03" w:rsidRDefault="004F6121" w:rsidP="009E5B6C">
      <w:pPr>
        <w:spacing w:line="240" w:lineRule="auto"/>
        <w:jc w:val="both"/>
        <w:rPr>
          <w:rFonts w:ascii="Arial" w:eastAsiaTheme="minorHAnsi" w:hAnsi="Arial" w:cs="Arial"/>
          <w:sz w:val="20"/>
          <w:lang w:bidi="ar-SA"/>
        </w:rPr>
      </w:pPr>
      <w:r w:rsidRPr="004F6121">
        <w:rPr>
          <w:rFonts w:ascii="Arial" w:eastAsiaTheme="minorHAnsi" w:hAnsi="Arial" w:cs="Arial"/>
          <w:sz w:val="20"/>
          <w:lang w:bidi="ar-SA"/>
        </w:rPr>
        <w:t>Moreover, nitrogen mineralization % from Sunn hemp contribution was showed in the figure 3. N mineralization % from SH45 was very low at the week of 5</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6</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7</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and 8</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whereas, SH60 and SH75 showed some mineralization % at all weeks. According to the findings, SH45 amendment mineralized 54.99% after 14 days whereas SH60 and SH70 did 15.16% and 27.86%, respectively. These results were likely explained by the greater moisture content of SH45 (74.7%) which decompose rapidly than SH60 (68%) and SH75 (64.33%) (Table 3). On the other hand, fiber content of SH45 was the lowest (18.64%) and SH60 &amp; SH75 contain 20.13% and 34.5% (Table 2). The fleshy portions of Sunn hemp were decomposed at first, leaving behind recalcitrant high fiber tissues that were resistant to decomposition and high level of carbon content which decomposed gradually at the later weeks (</w:t>
      </w:r>
      <w:r w:rsidR="008C396F">
        <w:rPr>
          <w:rFonts w:ascii="Arial" w:eastAsiaTheme="minorHAnsi" w:hAnsi="Arial" w:cs="Arial"/>
          <w:sz w:val="20"/>
          <w:lang w:bidi="ar-SA"/>
        </w:rPr>
        <w:t>2</w:t>
      </w:r>
      <w:r w:rsidR="00891C46">
        <w:rPr>
          <w:rFonts w:ascii="Arial" w:eastAsiaTheme="minorHAnsi" w:hAnsi="Arial" w:cs="Arial"/>
          <w:sz w:val="20"/>
          <w:lang w:bidi="ar-SA"/>
        </w:rPr>
        <w:t>3</w:t>
      </w:r>
      <w:r w:rsidRPr="004F6121">
        <w:rPr>
          <w:rFonts w:ascii="Arial" w:eastAsiaTheme="minorHAnsi" w:hAnsi="Arial" w:cs="Arial"/>
          <w:sz w:val="20"/>
          <w:lang w:bidi="ar-SA"/>
        </w:rPr>
        <w:t>).</w:t>
      </w:r>
    </w:p>
    <w:p w14:paraId="2FCF1BAF" w14:textId="77777777" w:rsidR="004F6121" w:rsidRPr="00A85918" w:rsidRDefault="004F6121" w:rsidP="009E5B6C">
      <w:pPr>
        <w:spacing w:line="240" w:lineRule="auto"/>
        <w:jc w:val="both"/>
        <w:rPr>
          <w:rFonts w:ascii="Arial" w:eastAsiaTheme="minorHAnsi" w:hAnsi="Arial" w:cs="Arial"/>
          <w:sz w:val="20"/>
          <w:lang w:bidi="ar-SA"/>
        </w:rPr>
      </w:pPr>
    </w:p>
    <w:tbl>
      <w:tblPr>
        <w:tblStyle w:val="TableGrid1"/>
        <w:tblW w:w="7900" w:type="dxa"/>
        <w:tblInd w:w="-5" w:type="dxa"/>
        <w:tblLook w:val="04A0" w:firstRow="1" w:lastRow="0" w:firstColumn="1" w:lastColumn="0" w:noHBand="0" w:noVBand="1"/>
      </w:tblPr>
      <w:tblGrid>
        <w:gridCol w:w="1295"/>
        <w:gridCol w:w="928"/>
        <w:gridCol w:w="828"/>
        <w:gridCol w:w="939"/>
        <w:gridCol w:w="828"/>
        <w:gridCol w:w="828"/>
        <w:gridCol w:w="828"/>
        <w:gridCol w:w="828"/>
        <w:gridCol w:w="828"/>
      </w:tblGrid>
      <w:tr w:rsidR="00A85918" w:rsidRPr="00A85918" w14:paraId="73D21E66" w14:textId="77777777" w:rsidTr="00782A03">
        <w:trPr>
          <w:trHeight w:val="438"/>
        </w:trPr>
        <w:tc>
          <w:tcPr>
            <w:tcW w:w="7900" w:type="dxa"/>
            <w:gridSpan w:val="9"/>
            <w:vAlign w:val="center"/>
          </w:tcPr>
          <w:p w14:paraId="7CC384FF" w14:textId="77777777" w:rsidR="00A85918" w:rsidRPr="00A85918" w:rsidRDefault="00A85918" w:rsidP="009E5B6C">
            <w:pPr>
              <w:spacing w:line="240" w:lineRule="auto"/>
              <w:rPr>
                <w:rFonts w:ascii="Arial" w:hAnsi="Arial" w:cs="Arial"/>
                <w:b/>
                <w:bCs/>
                <w:sz w:val="20"/>
                <w:szCs w:val="20"/>
              </w:rPr>
            </w:pPr>
            <w:r w:rsidRPr="00A85918">
              <w:rPr>
                <w:rFonts w:ascii="Arial" w:hAnsi="Arial" w:cs="Arial"/>
                <w:b/>
                <w:bCs/>
                <w:sz w:val="20"/>
                <w:szCs w:val="20"/>
              </w:rPr>
              <w:t>Table 4. N mineralization after Sunn hemp incorporation into soil (g tank</w:t>
            </w:r>
            <w:r w:rsidRPr="00A85918">
              <w:rPr>
                <w:rFonts w:ascii="Arial" w:hAnsi="Arial" w:cs="Arial"/>
                <w:b/>
                <w:bCs/>
                <w:sz w:val="20"/>
                <w:szCs w:val="20"/>
                <w:vertAlign w:val="superscript"/>
              </w:rPr>
              <w:t>-1</w:t>
            </w:r>
            <w:r w:rsidRPr="00A85918">
              <w:rPr>
                <w:rFonts w:ascii="Arial" w:hAnsi="Arial" w:cs="Arial"/>
                <w:b/>
                <w:bCs/>
                <w:sz w:val="20"/>
                <w:szCs w:val="20"/>
              </w:rPr>
              <w:t>)</w:t>
            </w:r>
          </w:p>
        </w:tc>
      </w:tr>
      <w:tr w:rsidR="00782A03" w:rsidRPr="00A85918" w14:paraId="167C302F" w14:textId="77777777" w:rsidTr="00782A03">
        <w:trPr>
          <w:trHeight w:val="363"/>
        </w:trPr>
        <w:tc>
          <w:tcPr>
            <w:tcW w:w="1170" w:type="dxa"/>
          </w:tcPr>
          <w:p w14:paraId="5EE52152" w14:textId="77777777"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Treatments</w:t>
            </w:r>
          </w:p>
        </w:tc>
        <w:tc>
          <w:tcPr>
            <w:tcW w:w="980" w:type="dxa"/>
          </w:tcPr>
          <w:p w14:paraId="173C20C8" w14:textId="77777777"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1</w:t>
            </w:r>
            <w:r w:rsidRPr="00A85918">
              <w:rPr>
                <w:rFonts w:ascii="Arial" w:hAnsi="Arial" w:cs="Arial"/>
                <w:b/>
                <w:bCs/>
                <w:sz w:val="20"/>
                <w:szCs w:val="20"/>
                <w:vertAlign w:val="superscript"/>
              </w:rPr>
              <w:t>st</w:t>
            </w:r>
            <w:r w:rsidRPr="00A85918">
              <w:rPr>
                <w:rFonts w:ascii="Arial" w:hAnsi="Arial" w:cs="Arial"/>
                <w:b/>
                <w:bCs/>
                <w:sz w:val="20"/>
                <w:szCs w:val="20"/>
              </w:rPr>
              <w:t xml:space="preserve"> Week</w:t>
            </w:r>
          </w:p>
        </w:tc>
        <w:tc>
          <w:tcPr>
            <w:tcW w:w="828" w:type="dxa"/>
          </w:tcPr>
          <w:p w14:paraId="78C251E6" w14:textId="77777777"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2</w:t>
            </w:r>
            <w:r w:rsidRPr="00A85918">
              <w:rPr>
                <w:rFonts w:ascii="Arial" w:hAnsi="Arial" w:cs="Arial"/>
                <w:b/>
                <w:bCs/>
                <w:sz w:val="20"/>
                <w:szCs w:val="20"/>
                <w:vertAlign w:val="superscript"/>
              </w:rPr>
              <w:t>nd</w:t>
            </w:r>
            <w:r w:rsidRPr="00A85918">
              <w:rPr>
                <w:rFonts w:ascii="Arial" w:hAnsi="Arial" w:cs="Arial"/>
                <w:b/>
                <w:bCs/>
                <w:sz w:val="20"/>
                <w:szCs w:val="20"/>
              </w:rPr>
              <w:t xml:space="preserve"> Week</w:t>
            </w:r>
          </w:p>
        </w:tc>
        <w:tc>
          <w:tcPr>
            <w:tcW w:w="806" w:type="dxa"/>
          </w:tcPr>
          <w:p w14:paraId="51CCDC11" w14:textId="77777777"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3</w:t>
            </w:r>
            <w:r w:rsidRPr="00A85918">
              <w:rPr>
                <w:rFonts w:ascii="Arial" w:hAnsi="Arial" w:cs="Arial"/>
                <w:b/>
                <w:bCs/>
                <w:sz w:val="20"/>
                <w:szCs w:val="20"/>
                <w:vertAlign w:val="superscript"/>
              </w:rPr>
              <w:t>rd</w:t>
            </w:r>
            <w:r w:rsidRPr="00A85918">
              <w:rPr>
                <w:rFonts w:ascii="Arial" w:hAnsi="Arial" w:cs="Arial"/>
                <w:b/>
                <w:bCs/>
                <w:sz w:val="20"/>
                <w:szCs w:val="20"/>
              </w:rPr>
              <w:t xml:space="preserve"> Week</w:t>
            </w:r>
          </w:p>
        </w:tc>
        <w:tc>
          <w:tcPr>
            <w:tcW w:w="862" w:type="dxa"/>
          </w:tcPr>
          <w:p w14:paraId="3B23473A" w14:textId="77777777"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4</w:t>
            </w:r>
            <w:r w:rsidRPr="00A85918">
              <w:rPr>
                <w:rFonts w:ascii="Arial" w:hAnsi="Arial" w:cs="Arial"/>
                <w:b/>
                <w:bCs/>
                <w:sz w:val="20"/>
                <w:szCs w:val="20"/>
                <w:vertAlign w:val="superscript"/>
              </w:rPr>
              <w:t>th</w:t>
            </w:r>
            <w:r w:rsidRPr="00A85918">
              <w:rPr>
                <w:rFonts w:ascii="Arial" w:hAnsi="Arial" w:cs="Arial"/>
                <w:b/>
                <w:bCs/>
                <w:sz w:val="20"/>
                <w:szCs w:val="20"/>
              </w:rPr>
              <w:t xml:space="preserve"> Week</w:t>
            </w:r>
          </w:p>
        </w:tc>
        <w:tc>
          <w:tcPr>
            <w:tcW w:w="806" w:type="dxa"/>
          </w:tcPr>
          <w:p w14:paraId="537047BF" w14:textId="77777777"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5</w:t>
            </w:r>
            <w:r w:rsidRPr="00A85918">
              <w:rPr>
                <w:rFonts w:ascii="Arial" w:hAnsi="Arial" w:cs="Arial"/>
                <w:b/>
                <w:bCs/>
                <w:sz w:val="20"/>
                <w:szCs w:val="20"/>
                <w:vertAlign w:val="superscript"/>
              </w:rPr>
              <w:t>th</w:t>
            </w:r>
            <w:r w:rsidRPr="00A85918">
              <w:rPr>
                <w:rFonts w:ascii="Arial" w:hAnsi="Arial" w:cs="Arial"/>
                <w:b/>
                <w:bCs/>
                <w:sz w:val="20"/>
                <w:szCs w:val="20"/>
              </w:rPr>
              <w:t xml:space="preserve"> Week</w:t>
            </w:r>
          </w:p>
        </w:tc>
        <w:tc>
          <w:tcPr>
            <w:tcW w:w="806" w:type="dxa"/>
          </w:tcPr>
          <w:p w14:paraId="157D55C3" w14:textId="77777777"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6</w:t>
            </w:r>
            <w:r w:rsidRPr="00A85918">
              <w:rPr>
                <w:rFonts w:ascii="Arial" w:hAnsi="Arial" w:cs="Arial"/>
                <w:b/>
                <w:bCs/>
                <w:sz w:val="20"/>
                <w:szCs w:val="20"/>
                <w:vertAlign w:val="superscript"/>
              </w:rPr>
              <w:t>th</w:t>
            </w:r>
            <w:r w:rsidRPr="00A85918">
              <w:rPr>
                <w:rFonts w:ascii="Arial" w:hAnsi="Arial" w:cs="Arial"/>
                <w:b/>
                <w:bCs/>
                <w:sz w:val="20"/>
                <w:szCs w:val="20"/>
              </w:rPr>
              <w:t xml:space="preserve"> Week</w:t>
            </w:r>
          </w:p>
        </w:tc>
        <w:tc>
          <w:tcPr>
            <w:tcW w:w="806" w:type="dxa"/>
          </w:tcPr>
          <w:p w14:paraId="044FD87C" w14:textId="77777777"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7</w:t>
            </w:r>
            <w:r w:rsidRPr="00A85918">
              <w:rPr>
                <w:rFonts w:ascii="Arial" w:hAnsi="Arial" w:cs="Arial"/>
                <w:b/>
                <w:bCs/>
                <w:sz w:val="20"/>
                <w:szCs w:val="20"/>
                <w:vertAlign w:val="superscript"/>
              </w:rPr>
              <w:t>th</w:t>
            </w:r>
            <w:r w:rsidRPr="00A85918">
              <w:rPr>
                <w:rFonts w:ascii="Arial" w:hAnsi="Arial" w:cs="Arial"/>
                <w:b/>
                <w:bCs/>
                <w:sz w:val="20"/>
                <w:szCs w:val="20"/>
              </w:rPr>
              <w:t xml:space="preserve"> Week</w:t>
            </w:r>
          </w:p>
        </w:tc>
        <w:tc>
          <w:tcPr>
            <w:tcW w:w="836" w:type="dxa"/>
          </w:tcPr>
          <w:p w14:paraId="0630BAD5" w14:textId="77777777"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8</w:t>
            </w:r>
            <w:r w:rsidRPr="00A85918">
              <w:rPr>
                <w:rFonts w:ascii="Arial" w:hAnsi="Arial" w:cs="Arial"/>
                <w:b/>
                <w:bCs/>
                <w:sz w:val="20"/>
                <w:szCs w:val="20"/>
                <w:vertAlign w:val="superscript"/>
              </w:rPr>
              <w:t>th</w:t>
            </w:r>
            <w:r w:rsidRPr="00A85918">
              <w:rPr>
                <w:rFonts w:ascii="Arial" w:hAnsi="Arial" w:cs="Arial"/>
                <w:b/>
                <w:bCs/>
                <w:sz w:val="20"/>
                <w:szCs w:val="20"/>
              </w:rPr>
              <w:t xml:space="preserve"> Week</w:t>
            </w:r>
          </w:p>
        </w:tc>
      </w:tr>
      <w:tr w:rsidR="00782A03" w:rsidRPr="00A85918" w14:paraId="262D149C" w14:textId="77777777" w:rsidTr="00782A03">
        <w:trPr>
          <w:trHeight w:val="302"/>
        </w:trPr>
        <w:tc>
          <w:tcPr>
            <w:tcW w:w="1170" w:type="dxa"/>
            <w:vAlign w:val="center"/>
          </w:tcPr>
          <w:p w14:paraId="35513465"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Control</w:t>
            </w:r>
          </w:p>
        </w:tc>
        <w:tc>
          <w:tcPr>
            <w:tcW w:w="980" w:type="dxa"/>
            <w:vAlign w:val="center"/>
          </w:tcPr>
          <w:p w14:paraId="0753DED0"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14.77c</w:t>
            </w:r>
          </w:p>
        </w:tc>
        <w:tc>
          <w:tcPr>
            <w:tcW w:w="828" w:type="dxa"/>
            <w:vAlign w:val="center"/>
          </w:tcPr>
          <w:p w14:paraId="3797760E"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8.80 c</w:t>
            </w:r>
          </w:p>
        </w:tc>
        <w:tc>
          <w:tcPr>
            <w:tcW w:w="806" w:type="dxa"/>
            <w:vAlign w:val="center"/>
          </w:tcPr>
          <w:p w14:paraId="4898BC2B"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7.64 c</w:t>
            </w:r>
          </w:p>
        </w:tc>
        <w:tc>
          <w:tcPr>
            <w:tcW w:w="862" w:type="dxa"/>
            <w:vAlign w:val="center"/>
          </w:tcPr>
          <w:p w14:paraId="2677A998" w14:textId="1097C71E"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5.31b</w:t>
            </w:r>
          </w:p>
        </w:tc>
        <w:tc>
          <w:tcPr>
            <w:tcW w:w="806" w:type="dxa"/>
            <w:vAlign w:val="center"/>
          </w:tcPr>
          <w:p w14:paraId="57B1FC3E" w14:textId="29BE7FA0"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6.64b</w:t>
            </w:r>
          </w:p>
        </w:tc>
        <w:tc>
          <w:tcPr>
            <w:tcW w:w="806" w:type="dxa"/>
            <w:vAlign w:val="center"/>
          </w:tcPr>
          <w:p w14:paraId="6226B010" w14:textId="7A045E12"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6.64c</w:t>
            </w:r>
          </w:p>
        </w:tc>
        <w:tc>
          <w:tcPr>
            <w:tcW w:w="806" w:type="dxa"/>
            <w:vAlign w:val="center"/>
          </w:tcPr>
          <w:p w14:paraId="013D31FA" w14:textId="79E66B9A"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8.13b</w:t>
            </w:r>
          </w:p>
        </w:tc>
        <w:tc>
          <w:tcPr>
            <w:tcW w:w="836" w:type="dxa"/>
            <w:vAlign w:val="center"/>
          </w:tcPr>
          <w:p w14:paraId="23B30755"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7.64 a</w:t>
            </w:r>
          </w:p>
        </w:tc>
      </w:tr>
      <w:tr w:rsidR="00782A03" w:rsidRPr="00A85918" w14:paraId="45BE912D" w14:textId="77777777" w:rsidTr="00782A03">
        <w:trPr>
          <w:trHeight w:val="325"/>
        </w:trPr>
        <w:tc>
          <w:tcPr>
            <w:tcW w:w="1170" w:type="dxa"/>
            <w:vAlign w:val="center"/>
          </w:tcPr>
          <w:p w14:paraId="2A7C63A7"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SH45</w:t>
            </w:r>
          </w:p>
        </w:tc>
        <w:tc>
          <w:tcPr>
            <w:tcW w:w="980" w:type="dxa"/>
            <w:vAlign w:val="center"/>
          </w:tcPr>
          <w:p w14:paraId="0107B7A1" w14:textId="492E7AE2"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17.16bc</w:t>
            </w:r>
          </w:p>
        </w:tc>
        <w:tc>
          <w:tcPr>
            <w:tcW w:w="828" w:type="dxa"/>
            <w:vAlign w:val="center"/>
          </w:tcPr>
          <w:p w14:paraId="201C4EEE" w14:textId="254452F0"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17.59b</w:t>
            </w:r>
          </w:p>
        </w:tc>
        <w:tc>
          <w:tcPr>
            <w:tcW w:w="806" w:type="dxa"/>
            <w:vAlign w:val="center"/>
          </w:tcPr>
          <w:p w14:paraId="790CBB77" w14:textId="402D4F34"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16.27ab</w:t>
            </w:r>
          </w:p>
        </w:tc>
        <w:tc>
          <w:tcPr>
            <w:tcW w:w="862" w:type="dxa"/>
            <w:vAlign w:val="center"/>
          </w:tcPr>
          <w:p w14:paraId="7880BE5C" w14:textId="411653C0"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7.64ab</w:t>
            </w:r>
          </w:p>
        </w:tc>
        <w:tc>
          <w:tcPr>
            <w:tcW w:w="806" w:type="dxa"/>
            <w:vAlign w:val="center"/>
          </w:tcPr>
          <w:p w14:paraId="7E13D29E" w14:textId="0C32D9AC"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7.14b</w:t>
            </w:r>
          </w:p>
        </w:tc>
        <w:tc>
          <w:tcPr>
            <w:tcW w:w="806" w:type="dxa"/>
            <w:vAlign w:val="center"/>
          </w:tcPr>
          <w:p w14:paraId="5983F9B3" w14:textId="7C238724"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6.73c</w:t>
            </w:r>
          </w:p>
        </w:tc>
        <w:tc>
          <w:tcPr>
            <w:tcW w:w="806" w:type="dxa"/>
            <w:vAlign w:val="center"/>
          </w:tcPr>
          <w:p w14:paraId="370F1D12" w14:textId="17BAECDB"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8.38b</w:t>
            </w:r>
          </w:p>
        </w:tc>
        <w:tc>
          <w:tcPr>
            <w:tcW w:w="836" w:type="dxa"/>
            <w:vAlign w:val="center"/>
          </w:tcPr>
          <w:p w14:paraId="59DB1B99"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7.96 a</w:t>
            </w:r>
          </w:p>
        </w:tc>
      </w:tr>
      <w:tr w:rsidR="00782A03" w:rsidRPr="00A85918" w14:paraId="22D6AB04" w14:textId="77777777" w:rsidTr="00782A03">
        <w:trPr>
          <w:trHeight w:val="378"/>
        </w:trPr>
        <w:tc>
          <w:tcPr>
            <w:tcW w:w="1170" w:type="dxa"/>
            <w:vAlign w:val="center"/>
          </w:tcPr>
          <w:p w14:paraId="3AD447F6"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SH60</w:t>
            </w:r>
          </w:p>
        </w:tc>
        <w:tc>
          <w:tcPr>
            <w:tcW w:w="980" w:type="dxa"/>
            <w:vAlign w:val="center"/>
          </w:tcPr>
          <w:p w14:paraId="7CD96F52"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24.17a</w:t>
            </w:r>
          </w:p>
        </w:tc>
        <w:tc>
          <w:tcPr>
            <w:tcW w:w="828" w:type="dxa"/>
            <w:vAlign w:val="center"/>
          </w:tcPr>
          <w:p w14:paraId="3C909D84"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16.60b</w:t>
            </w:r>
          </w:p>
        </w:tc>
        <w:tc>
          <w:tcPr>
            <w:tcW w:w="806" w:type="dxa"/>
            <w:vAlign w:val="center"/>
          </w:tcPr>
          <w:p w14:paraId="12F7AD31" w14:textId="097DF504"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19.75a</w:t>
            </w:r>
          </w:p>
        </w:tc>
        <w:tc>
          <w:tcPr>
            <w:tcW w:w="862" w:type="dxa"/>
            <w:vAlign w:val="center"/>
          </w:tcPr>
          <w:p w14:paraId="42BBFB48" w14:textId="3519FD4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10.62a</w:t>
            </w:r>
          </w:p>
        </w:tc>
        <w:tc>
          <w:tcPr>
            <w:tcW w:w="806" w:type="dxa"/>
            <w:vAlign w:val="center"/>
          </w:tcPr>
          <w:p w14:paraId="40A3C1C3" w14:textId="15D545F9"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7.30b</w:t>
            </w:r>
          </w:p>
        </w:tc>
        <w:tc>
          <w:tcPr>
            <w:tcW w:w="806" w:type="dxa"/>
            <w:vAlign w:val="center"/>
          </w:tcPr>
          <w:p w14:paraId="654D300D" w14:textId="6B175A0C"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18.26a</w:t>
            </w:r>
          </w:p>
        </w:tc>
        <w:tc>
          <w:tcPr>
            <w:tcW w:w="806" w:type="dxa"/>
            <w:vAlign w:val="center"/>
          </w:tcPr>
          <w:p w14:paraId="5D39573C" w14:textId="791D5569"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16.10a</w:t>
            </w:r>
          </w:p>
        </w:tc>
        <w:tc>
          <w:tcPr>
            <w:tcW w:w="836" w:type="dxa"/>
            <w:vAlign w:val="center"/>
          </w:tcPr>
          <w:p w14:paraId="7BD483F1"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8.30 a</w:t>
            </w:r>
          </w:p>
        </w:tc>
      </w:tr>
      <w:tr w:rsidR="00782A03" w:rsidRPr="00A85918" w14:paraId="7D19B2F8" w14:textId="77777777" w:rsidTr="00782A03">
        <w:trPr>
          <w:trHeight w:val="333"/>
        </w:trPr>
        <w:tc>
          <w:tcPr>
            <w:tcW w:w="1170" w:type="dxa"/>
            <w:vAlign w:val="center"/>
          </w:tcPr>
          <w:p w14:paraId="206B72AD"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SH75</w:t>
            </w:r>
          </w:p>
        </w:tc>
        <w:tc>
          <w:tcPr>
            <w:tcW w:w="980" w:type="dxa"/>
            <w:vAlign w:val="center"/>
          </w:tcPr>
          <w:p w14:paraId="551B0F7E"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18.82 b</w:t>
            </w:r>
          </w:p>
        </w:tc>
        <w:tc>
          <w:tcPr>
            <w:tcW w:w="828" w:type="dxa"/>
            <w:vAlign w:val="center"/>
          </w:tcPr>
          <w:p w14:paraId="0A2E3AE8" w14:textId="172D04B3"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23.41a</w:t>
            </w:r>
          </w:p>
        </w:tc>
        <w:tc>
          <w:tcPr>
            <w:tcW w:w="806" w:type="dxa"/>
            <w:vAlign w:val="center"/>
          </w:tcPr>
          <w:p w14:paraId="2A967980"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12.78 b</w:t>
            </w:r>
          </w:p>
        </w:tc>
        <w:tc>
          <w:tcPr>
            <w:tcW w:w="862" w:type="dxa"/>
            <w:vAlign w:val="center"/>
          </w:tcPr>
          <w:p w14:paraId="69BFE536"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9.46 a</w:t>
            </w:r>
          </w:p>
        </w:tc>
        <w:tc>
          <w:tcPr>
            <w:tcW w:w="806" w:type="dxa"/>
            <w:vAlign w:val="center"/>
          </w:tcPr>
          <w:p w14:paraId="01C92DED" w14:textId="31EA148F"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10.79a</w:t>
            </w:r>
          </w:p>
        </w:tc>
        <w:tc>
          <w:tcPr>
            <w:tcW w:w="806" w:type="dxa"/>
            <w:vAlign w:val="center"/>
          </w:tcPr>
          <w:p w14:paraId="1DF38064" w14:textId="1499CB42"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16.38b</w:t>
            </w:r>
          </w:p>
        </w:tc>
        <w:tc>
          <w:tcPr>
            <w:tcW w:w="806" w:type="dxa"/>
            <w:vAlign w:val="center"/>
          </w:tcPr>
          <w:p w14:paraId="21914503"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9.63 b</w:t>
            </w:r>
          </w:p>
        </w:tc>
        <w:tc>
          <w:tcPr>
            <w:tcW w:w="836" w:type="dxa"/>
            <w:vAlign w:val="center"/>
          </w:tcPr>
          <w:p w14:paraId="5D1155E9"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8.47 a</w:t>
            </w:r>
          </w:p>
        </w:tc>
      </w:tr>
      <w:tr w:rsidR="00782A03" w:rsidRPr="00A85918" w14:paraId="20DD9FA7" w14:textId="77777777" w:rsidTr="00782A03">
        <w:trPr>
          <w:trHeight w:val="311"/>
        </w:trPr>
        <w:tc>
          <w:tcPr>
            <w:tcW w:w="1170" w:type="dxa"/>
            <w:vAlign w:val="center"/>
          </w:tcPr>
          <w:p w14:paraId="5DF3C070"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LSD</w:t>
            </w:r>
          </w:p>
        </w:tc>
        <w:tc>
          <w:tcPr>
            <w:tcW w:w="980" w:type="dxa"/>
            <w:vAlign w:val="center"/>
          </w:tcPr>
          <w:p w14:paraId="6B2A7BB3"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1.17</w:t>
            </w:r>
          </w:p>
        </w:tc>
        <w:tc>
          <w:tcPr>
            <w:tcW w:w="828" w:type="dxa"/>
            <w:vAlign w:val="center"/>
          </w:tcPr>
          <w:p w14:paraId="57D87B43"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0.46</w:t>
            </w:r>
          </w:p>
        </w:tc>
        <w:tc>
          <w:tcPr>
            <w:tcW w:w="806" w:type="dxa"/>
            <w:vAlign w:val="center"/>
          </w:tcPr>
          <w:p w14:paraId="26FD8F49"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1.71</w:t>
            </w:r>
          </w:p>
        </w:tc>
        <w:tc>
          <w:tcPr>
            <w:tcW w:w="862" w:type="dxa"/>
            <w:vAlign w:val="center"/>
          </w:tcPr>
          <w:p w14:paraId="686EA41B"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1.31</w:t>
            </w:r>
          </w:p>
        </w:tc>
        <w:tc>
          <w:tcPr>
            <w:tcW w:w="806" w:type="dxa"/>
            <w:vAlign w:val="center"/>
          </w:tcPr>
          <w:p w14:paraId="779A8FAC"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0.531</w:t>
            </w:r>
          </w:p>
        </w:tc>
        <w:tc>
          <w:tcPr>
            <w:tcW w:w="806" w:type="dxa"/>
            <w:vAlign w:val="center"/>
          </w:tcPr>
          <w:p w14:paraId="7F86C0F3"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0.707</w:t>
            </w:r>
          </w:p>
        </w:tc>
        <w:tc>
          <w:tcPr>
            <w:tcW w:w="806" w:type="dxa"/>
            <w:vAlign w:val="center"/>
          </w:tcPr>
          <w:p w14:paraId="6FA53A10"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0.648</w:t>
            </w:r>
          </w:p>
        </w:tc>
        <w:tc>
          <w:tcPr>
            <w:tcW w:w="836" w:type="dxa"/>
            <w:vAlign w:val="center"/>
          </w:tcPr>
          <w:p w14:paraId="30B16788"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0.7073</w:t>
            </w:r>
          </w:p>
        </w:tc>
      </w:tr>
      <w:tr w:rsidR="00782A03" w:rsidRPr="00A85918" w14:paraId="4C2B5C22" w14:textId="77777777" w:rsidTr="00782A03">
        <w:trPr>
          <w:trHeight w:val="292"/>
        </w:trPr>
        <w:tc>
          <w:tcPr>
            <w:tcW w:w="1170" w:type="dxa"/>
            <w:vAlign w:val="center"/>
          </w:tcPr>
          <w:p w14:paraId="71429BF0"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CV%</w:t>
            </w:r>
          </w:p>
        </w:tc>
        <w:tc>
          <w:tcPr>
            <w:tcW w:w="980" w:type="dxa"/>
            <w:vAlign w:val="center"/>
          </w:tcPr>
          <w:p w14:paraId="236530F6"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7.66</w:t>
            </w:r>
          </w:p>
        </w:tc>
        <w:tc>
          <w:tcPr>
            <w:tcW w:w="828" w:type="dxa"/>
            <w:vAlign w:val="center"/>
          </w:tcPr>
          <w:p w14:paraId="7C14210F"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3.36</w:t>
            </w:r>
          </w:p>
        </w:tc>
        <w:tc>
          <w:tcPr>
            <w:tcW w:w="806" w:type="dxa"/>
            <w:vAlign w:val="center"/>
          </w:tcPr>
          <w:p w14:paraId="2B453888"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14.91</w:t>
            </w:r>
          </w:p>
        </w:tc>
        <w:tc>
          <w:tcPr>
            <w:tcW w:w="862" w:type="dxa"/>
            <w:vAlign w:val="center"/>
          </w:tcPr>
          <w:p w14:paraId="19968B75"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19.37</w:t>
            </w:r>
          </w:p>
        </w:tc>
        <w:tc>
          <w:tcPr>
            <w:tcW w:w="806" w:type="dxa"/>
            <w:vAlign w:val="center"/>
          </w:tcPr>
          <w:p w14:paraId="3F70B702"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8.16</w:t>
            </w:r>
          </w:p>
        </w:tc>
        <w:tc>
          <w:tcPr>
            <w:tcW w:w="806" w:type="dxa"/>
            <w:vAlign w:val="center"/>
          </w:tcPr>
          <w:p w14:paraId="6229A7B5"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7.21</w:t>
            </w:r>
          </w:p>
        </w:tc>
        <w:tc>
          <w:tcPr>
            <w:tcW w:w="806" w:type="dxa"/>
            <w:vAlign w:val="center"/>
          </w:tcPr>
          <w:p w14:paraId="7313BEBD"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8.34</w:t>
            </w:r>
          </w:p>
        </w:tc>
        <w:tc>
          <w:tcPr>
            <w:tcW w:w="836" w:type="dxa"/>
            <w:vAlign w:val="center"/>
          </w:tcPr>
          <w:p w14:paraId="57895FC1"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10.70</w:t>
            </w:r>
          </w:p>
        </w:tc>
      </w:tr>
      <w:tr w:rsidR="00782A03" w:rsidRPr="00A85918" w14:paraId="16FD8BF2" w14:textId="77777777" w:rsidTr="00782A03">
        <w:trPr>
          <w:trHeight w:val="366"/>
        </w:trPr>
        <w:tc>
          <w:tcPr>
            <w:tcW w:w="1170" w:type="dxa"/>
            <w:vAlign w:val="center"/>
          </w:tcPr>
          <w:p w14:paraId="367A6935" w14:textId="77777777" w:rsidR="00A85918" w:rsidRPr="00A85918" w:rsidRDefault="00A85918" w:rsidP="009E5B6C">
            <w:pPr>
              <w:spacing w:line="240" w:lineRule="auto"/>
              <w:rPr>
                <w:rFonts w:ascii="Arial" w:hAnsi="Arial" w:cs="Arial"/>
                <w:sz w:val="20"/>
                <w:szCs w:val="20"/>
              </w:rPr>
            </w:pPr>
            <w:r w:rsidRPr="00A85918">
              <w:rPr>
                <w:rFonts w:ascii="Arial" w:hAnsi="Arial" w:cs="Arial"/>
                <w:i/>
                <w:iCs/>
                <w:sz w:val="20"/>
                <w:szCs w:val="20"/>
              </w:rPr>
              <w:t>P</w:t>
            </w:r>
            <w:r w:rsidRPr="00A85918">
              <w:rPr>
                <w:rFonts w:ascii="Arial" w:hAnsi="Arial" w:cs="Arial"/>
                <w:sz w:val="20"/>
                <w:szCs w:val="20"/>
              </w:rPr>
              <w:t xml:space="preserve"> value</w:t>
            </w:r>
          </w:p>
        </w:tc>
        <w:tc>
          <w:tcPr>
            <w:tcW w:w="980" w:type="dxa"/>
            <w:vAlign w:val="center"/>
          </w:tcPr>
          <w:p w14:paraId="1122DC77" w14:textId="0DD210E9" w:rsidR="00A85918" w:rsidRPr="00A85918" w:rsidRDefault="00DA1117" w:rsidP="009E5B6C">
            <w:pPr>
              <w:spacing w:line="240" w:lineRule="auto"/>
              <w:jc w:val="center"/>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FD31E6">
              <w:rPr>
                <w:rFonts w:ascii="Arial" w:hAnsi="Arial" w:cs="Arial"/>
                <w:sz w:val="20"/>
                <w:szCs w:val="20"/>
              </w:rPr>
              <w:t>=</w:t>
            </w:r>
            <w:r w:rsidR="00A85918" w:rsidRPr="00A85918">
              <w:rPr>
                <w:rFonts w:ascii="Arial" w:hAnsi="Arial" w:cs="Arial"/>
                <w:sz w:val="20"/>
                <w:szCs w:val="20"/>
              </w:rPr>
              <w:t>.01</w:t>
            </w:r>
          </w:p>
        </w:tc>
        <w:tc>
          <w:tcPr>
            <w:tcW w:w="828" w:type="dxa"/>
            <w:vAlign w:val="center"/>
          </w:tcPr>
          <w:p w14:paraId="01707C47" w14:textId="6F50E79B" w:rsidR="00A85918" w:rsidRPr="00A85918" w:rsidRDefault="00DA1117" w:rsidP="009E5B6C">
            <w:pPr>
              <w:spacing w:line="240" w:lineRule="auto"/>
              <w:jc w:val="center"/>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FD31E6">
              <w:rPr>
                <w:rFonts w:ascii="Arial" w:hAnsi="Arial" w:cs="Arial"/>
                <w:sz w:val="20"/>
                <w:szCs w:val="20"/>
              </w:rPr>
              <w:t>=</w:t>
            </w:r>
            <w:r w:rsidR="00A85918" w:rsidRPr="00A85918">
              <w:rPr>
                <w:rFonts w:ascii="Arial" w:hAnsi="Arial" w:cs="Arial"/>
                <w:sz w:val="20"/>
                <w:szCs w:val="20"/>
              </w:rPr>
              <w:t>.01</w:t>
            </w:r>
          </w:p>
        </w:tc>
        <w:tc>
          <w:tcPr>
            <w:tcW w:w="806" w:type="dxa"/>
            <w:vAlign w:val="center"/>
          </w:tcPr>
          <w:p w14:paraId="535C685D" w14:textId="10F70393" w:rsidR="00A85918" w:rsidRPr="00A85918" w:rsidRDefault="00DA1117" w:rsidP="009E5B6C">
            <w:pPr>
              <w:spacing w:line="240" w:lineRule="auto"/>
              <w:jc w:val="center"/>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FD31E6">
              <w:rPr>
                <w:rFonts w:ascii="Arial" w:hAnsi="Arial" w:cs="Arial"/>
                <w:sz w:val="20"/>
                <w:szCs w:val="20"/>
              </w:rPr>
              <w:t>=</w:t>
            </w:r>
            <w:r w:rsidR="00A85918" w:rsidRPr="00A85918">
              <w:rPr>
                <w:rFonts w:ascii="Arial" w:hAnsi="Arial" w:cs="Arial"/>
                <w:sz w:val="20"/>
                <w:szCs w:val="20"/>
              </w:rPr>
              <w:t>.01</w:t>
            </w:r>
          </w:p>
        </w:tc>
        <w:tc>
          <w:tcPr>
            <w:tcW w:w="862" w:type="dxa"/>
            <w:vAlign w:val="center"/>
          </w:tcPr>
          <w:p w14:paraId="1B1C96F3" w14:textId="1BD9E370" w:rsidR="00A85918" w:rsidRPr="00A85918" w:rsidRDefault="00DA1117" w:rsidP="009E5B6C">
            <w:pPr>
              <w:spacing w:line="240" w:lineRule="auto"/>
              <w:jc w:val="center"/>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FD31E6">
              <w:rPr>
                <w:rFonts w:ascii="Arial" w:hAnsi="Arial" w:cs="Arial"/>
                <w:sz w:val="20"/>
                <w:szCs w:val="20"/>
              </w:rPr>
              <w:t>=</w:t>
            </w:r>
            <w:r w:rsidR="00A85918" w:rsidRPr="00A85918">
              <w:rPr>
                <w:rFonts w:ascii="Arial" w:hAnsi="Arial" w:cs="Arial"/>
                <w:sz w:val="20"/>
                <w:szCs w:val="20"/>
              </w:rPr>
              <w:t>.05</w:t>
            </w:r>
          </w:p>
        </w:tc>
        <w:tc>
          <w:tcPr>
            <w:tcW w:w="806" w:type="dxa"/>
            <w:vAlign w:val="center"/>
          </w:tcPr>
          <w:p w14:paraId="32D79B14" w14:textId="4EDF67D3" w:rsidR="00A85918" w:rsidRPr="00A85918" w:rsidRDefault="00DA1117" w:rsidP="009E5B6C">
            <w:pPr>
              <w:spacing w:line="240" w:lineRule="auto"/>
              <w:jc w:val="center"/>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FD31E6">
              <w:rPr>
                <w:rFonts w:ascii="Arial" w:hAnsi="Arial" w:cs="Arial"/>
                <w:sz w:val="20"/>
                <w:szCs w:val="20"/>
              </w:rPr>
              <w:t>=</w:t>
            </w:r>
            <w:r w:rsidR="00A85918" w:rsidRPr="00A85918">
              <w:rPr>
                <w:rFonts w:ascii="Arial" w:hAnsi="Arial" w:cs="Arial"/>
                <w:sz w:val="20"/>
                <w:szCs w:val="20"/>
              </w:rPr>
              <w:t>.01</w:t>
            </w:r>
          </w:p>
        </w:tc>
        <w:tc>
          <w:tcPr>
            <w:tcW w:w="806" w:type="dxa"/>
            <w:vAlign w:val="center"/>
          </w:tcPr>
          <w:p w14:paraId="14652DF4" w14:textId="6B9EF7CB" w:rsidR="00A85918" w:rsidRPr="00A85918" w:rsidRDefault="00DA1117" w:rsidP="009E5B6C">
            <w:pPr>
              <w:spacing w:line="240" w:lineRule="auto"/>
              <w:jc w:val="center"/>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FD31E6">
              <w:rPr>
                <w:rFonts w:ascii="Arial" w:hAnsi="Arial" w:cs="Arial"/>
                <w:sz w:val="20"/>
                <w:szCs w:val="20"/>
              </w:rPr>
              <w:t>=</w:t>
            </w:r>
            <w:r w:rsidR="00A85918" w:rsidRPr="00A85918">
              <w:rPr>
                <w:rFonts w:ascii="Arial" w:hAnsi="Arial" w:cs="Arial"/>
                <w:sz w:val="20"/>
                <w:szCs w:val="20"/>
              </w:rPr>
              <w:t>.01</w:t>
            </w:r>
          </w:p>
        </w:tc>
        <w:tc>
          <w:tcPr>
            <w:tcW w:w="806" w:type="dxa"/>
            <w:vAlign w:val="center"/>
          </w:tcPr>
          <w:p w14:paraId="08A09B66" w14:textId="4C952766" w:rsidR="00A85918" w:rsidRPr="00A85918" w:rsidRDefault="00DA1117" w:rsidP="009E5B6C">
            <w:pPr>
              <w:spacing w:line="240" w:lineRule="auto"/>
              <w:jc w:val="center"/>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FD31E6">
              <w:rPr>
                <w:rFonts w:ascii="Arial" w:hAnsi="Arial" w:cs="Arial"/>
                <w:sz w:val="20"/>
                <w:szCs w:val="20"/>
              </w:rPr>
              <w:t>=</w:t>
            </w:r>
            <w:r w:rsidR="00A85918" w:rsidRPr="00A85918">
              <w:rPr>
                <w:rFonts w:ascii="Arial" w:hAnsi="Arial" w:cs="Arial"/>
                <w:sz w:val="20"/>
                <w:szCs w:val="20"/>
              </w:rPr>
              <w:t>.01</w:t>
            </w:r>
          </w:p>
        </w:tc>
        <w:tc>
          <w:tcPr>
            <w:tcW w:w="836" w:type="dxa"/>
            <w:vAlign w:val="center"/>
          </w:tcPr>
          <w:p w14:paraId="14763C8C"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ns</w:t>
            </w:r>
          </w:p>
        </w:tc>
      </w:tr>
    </w:tbl>
    <w:p w14:paraId="17EE8886" w14:textId="77777777" w:rsidR="00A85918" w:rsidRPr="00A85918" w:rsidRDefault="00A85918" w:rsidP="009E5B6C">
      <w:pPr>
        <w:spacing w:line="240" w:lineRule="auto"/>
        <w:rPr>
          <w:rFonts w:ascii="Arial" w:eastAsiaTheme="minorHAnsi" w:hAnsi="Arial" w:cs="Arial"/>
          <w:sz w:val="22"/>
          <w:szCs w:val="22"/>
          <w:lang w:bidi="ar-SA"/>
        </w:rPr>
      </w:pPr>
    </w:p>
    <w:p w14:paraId="34F84CB4" w14:textId="43A53572" w:rsidR="00A85918" w:rsidRPr="00A85918" w:rsidRDefault="004F6121" w:rsidP="009E5B6C">
      <w:pPr>
        <w:spacing w:line="240" w:lineRule="auto"/>
        <w:jc w:val="center"/>
        <w:rPr>
          <w:rFonts w:ascii="Arial" w:eastAsiaTheme="minorHAnsi" w:hAnsi="Arial" w:cs="Arial"/>
          <w:sz w:val="22"/>
          <w:szCs w:val="22"/>
          <w:lang w:bidi="ar-SA"/>
        </w:rPr>
      </w:pPr>
      <w:r>
        <w:rPr>
          <w:noProof/>
        </w:rPr>
        <w:drawing>
          <wp:inline distT="0" distB="0" distL="0" distR="0" wp14:anchorId="34003B91" wp14:editId="07FA0BC3">
            <wp:extent cx="3850640" cy="2407920"/>
            <wp:effectExtent l="0" t="0" r="16510" b="11430"/>
            <wp:docPr id="4" name="Chart 4">
              <a:extLst xmlns:a="http://schemas.openxmlformats.org/drawingml/2006/main">
                <a:ext uri="{FF2B5EF4-FFF2-40B4-BE49-F238E27FC236}">
                  <a16:creationId xmlns:a16="http://schemas.microsoft.com/office/drawing/2014/main" id="{090B1F79-6C41-4D73-8D26-7A18AB97E7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A36EEE" w14:textId="7D0E8CB7" w:rsidR="00A85918" w:rsidRDefault="00A85918" w:rsidP="009E5B6C">
      <w:pPr>
        <w:spacing w:line="240" w:lineRule="auto"/>
        <w:jc w:val="both"/>
        <w:rPr>
          <w:rFonts w:ascii="Arial" w:eastAsiaTheme="minorHAnsi" w:hAnsi="Arial" w:cs="Arial"/>
          <w:b/>
          <w:bCs/>
          <w:sz w:val="20"/>
          <w:lang w:bidi="ar-SA"/>
        </w:rPr>
      </w:pPr>
      <w:r w:rsidRPr="00A85918">
        <w:rPr>
          <w:rFonts w:ascii="Arial" w:eastAsiaTheme="minorHAnsi" w:hAnsi="Arial" w:cs="Arial"/>
          <w:b/>
          <w:bCs/>
          <w:sz w:val="20"/>
          <w:lang w:bidi="ar-SA"/>
        </w:rPr>
        <w:t>Fig. 4. Nitrogen Mineralization % by Sunn hemp during incorporation period of 8 weeks SH45= incorporation of Sunn hemp at the age of 45 days, SH60= incorporation of Sunn hemp at the age of 60 days, SH75= incorporation of Sunn hemp at the age of 75, mineral N was measured after a week incorporation of Sunn hemp until 8</w:t>
      </w:r>
      <w:r w:rsidRPr="00A85918">
        <w:rPr>
          <w:rFonts w:ascii="Arial" w:eastAsiaTheme="minorHAnsi" w:hAnsi="Arial" w:cs="Arial"/>
          <w:b/>
          <w:bCs/>
          <w:sz w:val="20"/>
          <w:vertAlign w:val="superscript"/>
          <w:lang w:bidi="ar-SA"/>
        </w:rPr>
        <w:t>th</w:t>
      </w:r>
      <w:r w:rsidRPr="00A85918">
        <w:rPr>
          <w:rFonts w:ascii="Arial" w:eastAsiaTheme="minorHAnsi" w:hAnsi="Arial" w:cs="Arial"/>
          <w:b/>
          <w:bCs/>
          <w:sz w:val="20"/>
          <w:lang w:bidi="ar-SA"/>
        </w:rPr>
        <w:t xml:space="preserve"> week</w:t>
      </w:r>
    </w:p>
    <w:p w14:paraId="323939B3" w14:textId="77777777" w:rsidR="00782A03" w:rsidRPr="00A85918" w:rsidRDefault="00782A03" w:rsidP="009E5B6C">
      <w:pPr>
        <w:spacing w:line="240" w:lineRule="auto"/>
        <w:jc w:val="both"/>
        <w:rPr>
          <w:rFonts w:ascii="Arial" w:eastAsiaTheme="minorHAnsi" w:hAnsi="Arial" w:cs="Arial"/>
          <w:b/>
          <w:bCs/>
          <w:sz w:val="20"/>
          <w:lang w:bidi="ar-SA"/>
        </w:rPr>
      </w:pPr>
    </w:p>
    <w:p w14:paraId="60C005DE" w14:textId="77777777" w:rsidR="00F14C65" w:rsidRDefault="00F14C65" w:rsidP="009E5B6C">
      <w:pPr>
        <w:spacing w:line="240" w:lineRule="auto"/>
        <w:jc w:val="both"/>
        <w:rPr>
          <w:rFonts w:ascii="Arial" w:eastAsiaTheme="minorHAnsi" w:hAnsi="Arial" w:cs="Arial"/>
          <w:b/>
          <w:bCs/>
          <w:sz w:val="22"/>
          <w:szCs w:val="22"/>
          <w:lang w:bidi="ar-SA"/>
        </w:rPr>
      </w:pPr>
    </w:p>
    <w:p w14:paraId="4BAC1ED8" w14:textId="77777777" w:rsidR="00F14C65" w:rsidRDefault="00F14C65" w:rsidP="009E5B6C">
      <w:pPr>
        <w:spacing w:line="240" w:lineRule="auto"/>
        <w:jc w:val="both"/>
        <w:rPr>
          <w:rFonts w:ascii="Arial" w:eastAsiaTheme="minorHAnsi" w:hAnsi="Arial" w:cs="Arial"/>
          <w:b/>
          <w:bCs/>
          <w:sz w:val="22"/>
          <w:szCs w:val="22"/>
          <w:lang w:bidi="ar-SA"/>
        </w:rPr>
      </w:pPr>
    </w:p>
    <w:p w14:paraId="11501528" w14:textId="77777777" w:rsidR="00F14C65" w:rsidRDefault="00F14C65" w:rsidP="009E5B6C">
      <w:pPr>
        <w:spacing w:line="240" w:lineRule="auto"/>
        <w:jc w:val="both"/>
        <w:rPr>
          <w:rFonts w:ascii="Arial" w:eastAsiaTheme="minorHAnsi" w:hAnsi="Arial" w:cs="Arial"/>
          <w:b/>
          <w:bCs/>
          <w:sz w:val="22"/>
          <w:szCs w:val="22"/>
          <w:lang w:bidi="ar-SA"/>
        </w:rPr>
      </w:pPr>
    </w:p>
    <w:p w14:paraId="19E1A2AF" w14:textId="77777777" w:rsidR="00F14C65" w:rsidRDefault="00F14C65" w:rsidP="009E5B6C">
      <w:pPr>
        <w:spacing w:line="240" w:lineRule="auto"/>
        <w:jc w:val="both"/>
        <w:rPr>
          <w:rFonts w:ascii="Arial" w:eastAsiaTheme="minorHAnsi" w:hAnsi="Arial" w:cs="Arial"/>
          <w:b/>
          <w:bCs/>
          <w:sz w:val="22"/>
          <w:szCs w:val="22"/>
          <w:lang w:bidi="ar-SA"/>
        </w:rPr>
      </w:pPr>
    </w:p>
    <w:p w14:paraId="7CE37C9F" w14:textId="48485495" w:rsidR="00A85918" w:rsidRDefault="00A85918" w:rsidP="009E5B6C">
      <w:pPr>
        <w:spacing w:line="240" w:lineRule="auto"/>
        <w:jc w:val="both"/>
        <w:rPr>
          <w:rFonts w:ascii="Arial" w:eastAsiaTheme="minorHAnsi" w:hAnsi="Arial" w:cs="Arial"/>
          <w:b/>
          <w:bCs/>
          <w:sz w:val="22"/>
          <w:szCs w:val="22"/>
          <w:lang w:bidi="ar-SA"/>
        </w:rPr>
      </w:pPr>
      <w:r w:rsidRPr="00A85918">
        <w:rPr>
          <w:rFonts w:ascii="Arial" w:eastAsiaTheme="minorHAnsi" w:hAnsi="Arial" w:cs="Arial"/>
          <w:b/>
          <w:bCs/>
          <w:sz w:val="22"/>
          <w:szCs w:val="22"/>
          <w:lang w:bidi="ar-SA"/>
        </w:rPr>
        <w:t>5. Conclusion and Recommendations</w:t>
      </w:r>
      <w:r w:rsidR="00C97832">
        <w:rPr>
          <w:rFonts w:ascii="Arial" w:eastAsiaTheme="minorHAnsi" w:hAnsi="Arial" w:cs="Arial"/>
          <w:b/>
          <w:bCs/>
          <w:sz w:val="22"/>
          <w:szCs w:val="22"/>
          <w:lang w:bidi="ar-SA"/>
        </w:rPr>
        <w:t xml:space="preserve"> </w:t>
      </w:r>
    </w:p>
    <w:p w14:paraId="109A36AA" w14:textId="77777777" w:rsidR="00C97832" w:rsidRPr="00A85918" w:rsidRDefault="00C97832" w:rsidP="009E5B6C">
      <w:pPr>
        <w:spacing w:line="240" w:lineRule="auto"/>
        <w:jc w:val="both"/>
        <w:rPr>
          <w:rFonts w:ascii="Arial" w:eastAsiaTheme="minorHAnsi" w:hAnsi="Arial" w:cs="Arial"/>
          <w:b/>
          <w:bCs/>
          <w:sz w:val="22"/>
          <w:szCs w:val="22"/>
          <w:lang w:bidi="ar-SA"/>
        </w:rPr>
      </w:pPr>
    </w:p>
    <w:p w14:paraId="13EEE345" w14:textId="513DF97A" w:rsidR="000D2599" w:rsidRDefault="004F6121" w:rsidP="009E5B6C">
      <w:pPr>
        <w:spacing w:line="240" w:lineRule="auto"/>
        <w:jc w:val="both"/>
        <w:rPr>
          <w:rFonts w:ascii="Arial" w:eastAsiaTheme="minorHAnsi" w:hAnsi="Arial" w:cs="Arial"/>
          <w:sz w:val="22"/>
          <w:szCs w:val="22"/>
          <w:lang w:bidi="ar-SA"/>
        </w:rPr>
      </w:pPr>
      <w:r w:rsidRPr="004F6121">
        <w:rPr>
          <w:rFonts w:ascii="Arial" w:eastAsiaTheme="minorHAnsi" w:hAnsi="Arial" w:cs="Arial"/>
          <w:sz w:val="20"/>
          <w:lang w:bidi="ar-SA"/>
        </w:rPr>
        <w:t>This study estimated nutrient provision of Sunn hemp at different ages to rice plant under submerged paddy soil. For fresh biomass provision, SH60 contributed the maximum amount to paddy soil while SH75 provided the maximum amount of dry weight. Chemical composition analysis of Sunn hemp at different growth stages showed minimal variation. As fresh and dry weight production differed significantly, it leads to variations in nutrient inputs, particularly nitrogen and carbon.  Under 2-month study of mineralization in submerged paddy soil, nitrogen mineralization of all treatments was the highest at the 1</w:t>
      </w:r>
      <w:r w:rsidRPr="000C5E24">
        <w:rPr>
          <w:rFonts w:ascii="Arial" w:eastAsiaTheme="minorHAnsi" w:hAnsi="Arial" w:cs="Arial"/>
          <w:sz w:val="20"/>
          <w:vertAlign w:val="superscript"/>
          <w:lang w:bidi="ar-SA"/>
        </w:rPr>
        <w:t xml:space="preserve">st </w:t>
      </w:r>
      <w:r w:rsidRPr="004F6121">
        <w:rPr>
          <w:rFonts w:ascii="Arial" w:eastAsiaTheme="minorHAnsi" w:hAnsi="Arial" w:cs="Arial"/>
          <w:sz w:val="20"/>
          <w:lang w:bidi="ar-SA"/>
        </w:rPr>
        <w:t>and 2</w:t>
      </w:r>
      <w:r w:rsidRPr="008C396F">
        <w:rPr>
          <w:rFonts w:ascii="Arial" w:eastAsiaTheme="minorHAnsi" w:hAnsi="Arial" w:cs="Arial"/>
          <w:sz w:val="20"/>
          <w:vertAlign w:val="superscript"/>
          <w:lang w:bidi="ar-SA"/>
        </w:rPr>
        <w:t>nd</w:t>
      </w:r>
      <w:r w:rsidRPr="004F6121">
        <w:rPr>
          <w:rFonts w:ascii="Arial" w:eastAsiaTheme="minorHAnsi" w:hAnsi="Arial" w:cs="Arial"/>
          <w:sz w:val="20"/>
          <w:lang w:bidi="ar-SA"/>
        </w:rPr>
        <w:t xml:space="preserve"> week, afterwards, it declined. N mineralization percentages of SH45 was very low from the 5</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to 8</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while SH60 and SH75 continued relatively higher amount until 8</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Regrading to the nitrogen input, SH60 and SH75 covered until 8</w:t>
      </w:r>
      <w:r w:rsidRPr="000C5E24">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while SH 45 as low as control from 5</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to 8</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In addition, plant uptake was maximum at 6</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in SH60 and SH75. Considering the average N recovery percentages, the treatment of SH60 and SH75 provided all weeks and it was the maximum at 6</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The results in this study have revealed that incorporation of Sunn hemp into paddy soil decomposed and released nitrogen rapidly and the high available nitrogen was found at the first 2 weeks, the plant’s demand was started at the 3</w:t>
      </w:r>
      <w:r w:rsidRPr="008C396F">
        <w:rPr>
          <w:rFonts w:ascii="Arial" w:eastAsiaTheme="minorHAnsi" w:hAnsi="Arial" w:cs="Arial"/>
          <w:sz w:val="20"/>
          <w:vertAlign w:val="superscript"/>
          <w:lang w:bidi="ar-SA"/>
        </w:rPr>
        <w:t>rd</w:t>
      </w:r>
      <w:r w:rsidRPr="004F6121">
        <w:rPr>
          <w:rFonts w:ascii="Arial" w:eastAsiaTheme="minorHAnsi" w:hAnsi="Arial" w:cs="Arial"/>
          <w:sz w:val="20"/>
          <w:lang w:bidi="ar-SA"/>
        </w:rPr>
        <w:t xml:space="preserve"> week. Therefore, synchronization of the supply nitrogen and demand of crops was minimum for the first two weeks, afterwards, some synchronization occurred especially in SH60 and SH75. In conclusion, incorporation of Sunn hemp at different ages into paddy soil provided carbon and nitrogen with different proportions. By maximizing the synchronization of N supply and demand, it benefits to rice crop production. It can be suggested that the study focused on better synchronization of N supply and crop demands is still required.</w:t>
      </w:r>
    </w:p>
    <w:p w14:paraId="42178128" w14:textId="1AC2AB42" w:rsidR="000D2599" w:rsidRDefault="000D2599" w:rsidP="009E5B6C">
      <w:pPr>
        <w:spacing w:line="240" w:lineRule="auto"/>
        <w:jc w:val="both"/>
        <w:rPr>
          <w:rFonts w:ascii="Arial" w:eastAsiaTheme="minorHAnsi" w:hAnsi="Arial" w:cs="Arial"/>
          <w:sz w:val="22"/>
          <w:szCs w:val="22"/>
          <w:lang w:bidi="ar-SA"/>
        </w:rPr>
      </w:pPr>
    </w:p>
    <w:p w14:paraId="3930C0A5" w14:textId="1E5B403A" w:rsidR="000D2599" w:rsidRDefault="000D2599" w:rsidP="009E5B6C">
      <w:pPr>
        <w:spacing w:line="240" w:lineRule="auto"/>
        <w:jc w:val="both"/>
        <w:rPr>
          <w:rFonts w:ascii="Arial" w:eastAsiaTheme="minorHAnsi" w:hAnsi="Arial" w:cs="Arial"/>
          <w:sz w:val="22"/>
          <w:szCs w:val="22"/>
          <w:lang w:bidi="ar-SA"/>
        </w:rPr>
      </w:pPr>
    </w:p>
    <w:p w14:paraId="2DBBB315" w14:textId="14D20772" w:rsidR="000D2599" w:rsidRDefault="000D2599" w:rsidP="009E5B6C">
      <w:pPr>
        <w:spacing w:line="240" w:lineRule="auto"/>
        <w:jc w:val="both"/>
        <w:rPr>
          <w:rFonts w:ascii="Arial" w:eastAsiaTheme="minorHAnsi" w:hAnsi="Arial" w:cs="Arial"/>
          <w:sz w:val="22"/>
          <w:szCs w:val="22"/>
          <w:lang w:bidi="ar-SA"/>
        </w:rPr>
      </w:pPr>
    </w:p>
    <w:p w14:paraId="58745995" w14:textId="029D99AD" w:rsidR="000D2599" w:rsidRDefault="000D2599" w:rsidP="009E5B6C">
      <w:pPr>
        <w:spacing w:line="240" w:lineRule="auto"/>
        <w:jc w:val="both"/>
        <w:rPr>
          <w:rFonts w:ascii="Arial" w:eastAsiaTheme="minorHAnsi" w:hAnsi="Arial" w:cs="Arial"/>
          <w:sz w:val="22"/>
          <w:szCs w:val="22"/>
          <w:lang w:bidi="ar-SA"/>
        </w:rPr>
      </w:pPr>
    </w:p>
    <w:p w14:paraId="01372E3B" w14:textId="3CF5512B" w:rsidR="000D2599" w:rsidRDefault="000D2599" w:rsidP="009E5B6C">
      <w:pPr>
        <w:spacing w:line="240" w:lineRule="auto"/>
        <w:jc w:val="both"/>
        <w:rPr>
          <w:rFonts w:ascii="Arial" w:eastAsiaTheme="minorHAnsi" w:hAnsi="Arial" w:cs="Arial"/>
          <w:sz w:val="22"/>
          <w:szCs w:val="22"/>
          <w:lang w:bidi="ar-SA"/>
        </w:rPr>
      </w:pPr>
    </w:p>
    <w:p w14:paraId="2A37C041" w14:textId="77777777" w:rsidR="000D2599" w:rsidRPr="00A85918" w:rsidRDefault="000D2599" w:rsidP="009E5B6C">
      <w:pPr>
        <w:spacing w:line="240" w:lineRule="auto"/>
        <w:jc w:val="both"/>
        <w:rPr>
          <w:rFonts w:ascii="Arial" w:eastAsiaTheme="minorHAnsi" w:hAnsi="Arial" w:cs="Arial"/>
          <w:sz w:val="22"/>
          <w:szCs w:val="22"/>
          <w:lang w:bidi="ar-SA"/>
        </w:rPr>
      </w:pPr>
    </w:p>
    <w:p w14:paraId="301B6244" w14:textId="5B20505D" w:rsidR="00A85918" w:rsidRDefault="00A85918" w:rsidP="009E5B6C">
      <w:pPr>
        <w:spacing w:line="240" w:lineRule="auto"/>
        <w:rPr>
          <w:rFonts w:ascii="Arial" w:eastAsiaTheme="minorHAnsi" w:hAnsi="Arial" w:cs="Arial"/>
          <w:b/>
          <w:bCs/>
          <w:sz w:val="20"/>
          <w:lang w:bidi="ar-SA"/>
        </w:rPr>
      </w:pPr>
      <w:r w:rsidRPr="00A85918">
        <w:rPr>
          <w:rFonts w:ascii="Arial" w:eastAsiaTheme="minorHAnsi" w:hAnsi="Arial" w:cs="Arial"/>
          <w:b/>
          <w:bCs/>
          <w:sz w:val="20"/>
          <w:lang w:bidi="ar-SA"/>
        </w:rPr>
        <w:t>Reference</w:t>
      </w:r>
      <w:r w:rsidR="000D2599">
        <w:rPr>
          <w:rFonts w:ascii="Arial" w:eastAsiaTheme="minorHAnsi" w:hAnsi="Arial" w:cs="Arial"/>
          <w:b/>
          <w:bCs/>
          <w:sz w:val="20"/>
          <w:lang w:bidi="ar-SA"/>
        </w:rPr>
        <w:t xml:space="preserve"> </w:t>
      </w:r>
    </w:p>
    <w:p w14:paraId="01B7E445" w14:textId="77777777" w:rsidR="000D2599" w:rsidRPr="00A85918" w:rsidRDefault="000D2599" w:rsidP="009E5B6C">
      <w:pPr>
        <w:spacing w:line="240" w:lineRule="auto"/>
        <w:rPr>
          <w:rFonts w:ascii="Arial" w:eastAsiaTheme="minorHAnsi" w:hAnsi="Arial" w:cs="Arial"/>
          <w:b/>
          <w:bCs/>
          <w:sz w:val="20"/>
          <w:lang w:bidi="ar-SA"/>
        </w:rPr>
      </w:pPr>
    </w:p>
    <w:p w14:paraId="259590BA" w14:textId="2EF617FF" w:rsidR="00A85918" w:rsidRPr="00A85918" w:rsidRDefault="00A85918" w:rsidP="009E5B6C">
      <w:pPr>
        <w:spacing w:line="240" w:lineRule="auto"/>
        <w:jc w:val="both"/>
        <w:rPr>
          <w:rFonts w:ascii="Arial" w:eastAsiaTheme="minorHAnsi" w:hAnsi="Arial" w:cs="Arial"/>
          <w:sz w:val="20"/>
          <w:shd w:val="clear" w:color="auto" w:fill="FFFFFF"/>
          <w:lang w:bidi="ar-SA"/>
        </w:rPr>
      </w:pPr>
      <w:r w:rsidRPr="00A85918">
        <w:rPr>
          <w:rFonts w:ascii="Arial" w:eastAsiaTheme="minorHAnsi" w:hAnsi="Arial" w:cs="Arial"/>
          <w:sz w:val="20"/>
          <w:shd w:val="clear" w:color="auto" w:fill="FFFFFF"/>
          <w:lang w:bidi="ar-SA"/>
        </w:rPr>
        <w:t xml:space="preserve">1.Dinnes, D. L., Karlen, D. L., Jaynes, D. B., Kaspar, T. C., Hatfield, J. L., Colvin, T. S., &amp; </w:t>
      </w:r>
      <w:proofErr w:type="spellStart"/>
      <w:r w:rsidRPr="00A85918">
        <w:rPr>
          <w:rFonts w:ascii="Arial" w:eastAsiaTheme="minorHAnsi" w:hAnsi="Arial" w:cs="Arial"/>
          <w:sz w:val="20"/>
          <w:shd w:val="clear" w:color="auto" w:fill="FFFFFF"/>
          <w:lang w:bidi="ar-SA"/>
        </w:rPr>
        <w:t>Cambardella</w:t>
      </w:r>
      <w:proofErr w:type="spellEnd"/>
      <w:r w:rsidRPr="00A85918">
        <w:rPr>
          <w:rFonts w:ascii="Arial" w:eastAsiaTheme="minorHAnsi" w:hAnsi="Arial" w:cs="Arial"/>
          <w:sz w:val="20"/>
          <w:shd w:val="clear" w:color="auto" w:fill="FFFFFF"/>
          <w:lang w:bidi="ar-SA"/>
        </w:rPr>
        <w:t>, C. A. (2002). Nitrogen management strategies to reduce nitrate leaching in tile</w:t>
      </w:r>
      <w:r w:rsidRPr="00A85918">
        <w:rPr>
          <w:rFonts w:ascii="Cambria Math" w:eastAsiaTheme="minorHAnsi" w:hAnsi="Cambria Math" w:cs="Cambria Math"/>
          <w:sz w:val="20"/>
          <w:shd w:val="clear" w:color="auto" w:fill="FFFFFF"/>
          <w:lang w:bidi="ar-SA"/>
        </w:rPr>
        <w:t>‐</w:t>
      </w:r>
      <w:r w:rsidRPr="00A85918">
        <w:rPr>
          <w:rFonts w:ascii="Arial" w:eastAsiaTheme="minorHAnsi" w:hAnsi="Arial" w:cs="Arial"/>
          <w:sz w:val="20"/>
          <w:shd w:val="clear" w:color="auto" w:fill="FFFFFF"/>
          <w:lang w:bidi="ar-SA"/>
        </w:rPr>
        <w:t>drained Midwestern soils. </w:t>
      </w:r>
      <w:r w:rsidRPr="00A85918">
        <w:rPr>
          <w:rFonts w:ascii="Arial" w:eastAsiaTheme="minorHAnsi" w:hAnsi="Arial" w:cs="Arial"/>
          <w:i/>
          <w:iCs/>
          <w:sz w:val="20"/>
          <w:shd w:val="clear" w:color="auto" w:fill="FFFFFF"/>
          <w:lang w:bidi="ar-SA"/>
        </w:rPr>
        <w:t>Agronomy journal</w:t>
      </w:r>
      <w:r w:rsidRPr="00A85918">
        <w:rPr>
          <w:rFonts w:ascii="Arial" w:eastAsiaTheme="minorHAnsi" w:hAnsi="Arial" w:cs="Arial"/>
          <w:sz w:val="20"/>
          <w:shd w:val="clear" w:color="auto" w:fill="FFFFFF"/>
          <w:lang w:bidi="ar-SA"/>
        </w:rPr>
        <w:t>, </w:t>
      </w:r>
      <w:r w:rsidRPr="00A85918">
        <w:rPr>
          <w:rFonts w:ascii="Arial" w:eastAsiaTheme="minorHAnsi" w:hAnsi="Arial" w:cs="Arial"/>
          <w:i/>
          <w:iCs/>
          <w:sz w:val="20"/>
          <w:shd w:val="clear" w:color="auto" w:fill="FFFFFF"/>
          <w:lang w:bidi="ar-SA"/>
        </w:rPr>
        <w:t>94</w:t>
      </w:r>
      <w:r w:rsidRPr="00A85918">
        <w:rPr>
          <w:rFonts w:ascii="Arial" w:eastAsiaTheme="minorHAnsi" w:hAnsi="Arial" w:cs="Arial"/>
          <w:sz w:val="20"/>
          <w:shd w:val="clear" w:color="auto" w:fill="FFFFFF"/>
          <w:lang w:bidi="ar-SA"/>
        </w:rPr>
        <w:t>(1), 153-171.</w:t>
      </w:r>
    </w:p>
    <w:p w14:paraId="75DDEC5F" w14:textId="77777777" w:rsidR="00A85918" w:rsidRPr="00A85918" w:rsidRDefault="00A85918" w:rsidP="009E5B6C">
      <w:pPr>
        <w:spacing w:line="240" w:lineRule="auto"/>
        <w:jc w:val="both"/>
        <w:rPr>
          <w:rFonts w:ascii="Arial" w:eastAsiaTheme="minorHAnsi" w:hAnsi="Arial" w:cs="Arial"/>
          <w:sz w:val="20"/>
          <w:shd w:val="clear" w:color="auto" w:fill="FFFFFF"/>
          <w:lang w:bidi="ar-SA"/>
        </w:rPr>
      </w:pPr>
      <w:r w:rsidRPr="00A85918">
        <w:rPr>
          <w:rFonts w:ascii="Arial" w:eastAsiaTheme="minorHAnsi" w:hAnsi="Arial" w:cs="Arial"/>
          <w:sz w:val="20"/>
          <w:shd w:val="clear" w:color="auto" w:fill="FFFFFF"/>
          <w:lang w:bidi="ar-SA"/>
        </w:rPr>
        <w:t xml:space="preserve">2.Fageria, N. K., </w:t>
      </w:r>
      <w:proofErr w:type="spellStart"/>
      <w:r w:rsidRPr="00A85918">
        <w:rPr>
          <w:rFonts w:ascii="Arial" w:eastAsiaTheme="minorHAnsi" w:hAnsi="Arial" w:cs="Arial"/>
          <w:sz w:val="20"/>
          <w:shd w:val="clear" w:color="auto" w:fill="FFFFFF"/>
          <w:lang w:bidi="ar-SA"/>
        </w:rPr>
        <w:t>Baligar</w:t>
      </w:r>
      <w:proofErr w:type="spellEnd"/>
      <w:r w:rsidRPr="00A85918">
        <w:rPr>
          <w:rFonts w:ascii="Arial" w:eastAsiaTheme="minorHAnsi" w:hAnsi="Arial" w:cs="Arial"/>
          <w:sz w:val="20"/>
          <w:shd w:val="clear" w:color="auto" w:fill="FFFFFF"/>
          <w:lang w:bidi="ar-SA"/>
        </w:rPr>
        <w:t>, V. C., &amp; Bailey, B. A. (2005). Role of cover crops in improving soil and row crop productivity. </w:t>
      </w:r>
      <w:r w:rsidRPr="00A85918">
        <w:rPr>
          <w:rFonts w:ascii="Arial" w:eastAsiaTheme="minorHAnsi" w:hAnsi="Arial" w:cs="Arial"/>
          <w:i/>
          <w:iCs/>
          <w:sz w:val="20"/>
          <w:shd w:val="clear" w:color="auto" w:fill="FFFFFF"/>
          <w:lang w:bidi="ar-SA"/>
        </w:rPr>
        <w:t>Communications in soil science and plant analysis</w:t>
      </w:r>
      <w:r w:rsidRPr="00A85918">
        <w:rPr>
          <w:rFonts w:ascii="Arial" w:eastAsiaTheme="minorHAnsi" w:hAnsi="Arial" w:cs="Arial"/>
          <w:sz w:val="20"/>
          <w:shd w:val="clear" w:color="auto" w:fill="FFFFFF"/>
          <w:lang w:bidi="ar-SA"/>
        </w:rPr>
        <w:t>, </w:t>
      </w:r>
      <w:r w:rsidRPr="00A85918">
        <w:rPr>
          <w:rFonts w:ascii="Arial" w:eastAsiaTheme="minorHAnsi" w:hAnsi="Arial" w:cs="Arial"/>
          <w:i/>
          <w:iCs/>
          <w:sz w:val="20"/>
          <w:shd w:val="clear" w:color="auto" w:fill="FFFFFF"/>
          <w:lang w:bidi="ar-SA"/>
        </w:rPr>
        <w:t>36</w:t>
      </w:r>
      <w:r w:rsidRPr="00A85918">
        <w:rPr>
          <w:rFonts w:ascii="Arial" w:eastAsiaTheme="minorHAnsi" w:hAnsi="Arial" w:cs="Arial"/>
          <w:sz w:val="20"/>
          <w:shd w:val="clear" w:color="auto" w:fill="FFFFFF"/>
          <w:lang w:bidi="ar-SA"/>
        </w:rPr>
        <w:t>(19-20), 2733-2757.</w:t>
      </w:r>
    </w:p>
    <w:p w14:paraId="081A69CB" w14:textId="22753B3B" w:rsidR="008047E7" w:rsidRDefault="008047E7" w:rsidP="008047E7">
      <w:pPr>
        <w:spacing w:line="240" w:lineRule="auto"/>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3</w:t>
      </w:r>
      <w:r w:rsidRPr="00A85918">
        <w:rPr>
          <w:rFonts w:ascii="Arial" w:eastAsiaTheme="minorHAnsi" w:hAnsi="Arial" w:cs="Arial"/>
          <w:sz w:val="20"/>
          <w:shd w:val="clear" w:color="auto" w:fill="FFFFFF"/>
          <w:lang w:bidi="ar-SA"/>
        </w:rPr>
        <w:t>.Sulieman, S., &amp; Tran, L. S. P. (2014). Symbiotic nitrogen fixation in legume nodules:   metabolism and regulatory mechanisms. </w:t>
      </w:r>
      <w:r w:rsidRPr="00A85918">
        <w:rPr>
          <w:rFonts w:ascii="Arial" w:eastAsiaTheme="minorHAnsi" w:hAnsi="Arial" w:cs="Arial"/>
          <w:i/>
          <w:iCs/>
          <w:sz w:val="20"/>
          <w:shd w:val="clear" w:color="auto" w:fill="FFFFFF"/>
          <w:lang w:bidi="ar-SA"/>
        </w:rPr>
        <w:t>International Journal of Molecular Sciences</w:t>
      </w:r>
      <w:r w:rsidRPr="00A85918">
        <w:rPr>
          <w:rFonts w:ascii="Arial" w:eastAsiaTheme="minorHAnsi" w:hAnsi="Arial" w:cs="Arial"/>
          <w:sz w:val="20"/>
          <w:shd w:val="clear" w:color="auto" w:fill="FFFFFF"/>
          <w:lang w:bidi="ar-SA"/>
        </w:rPr>
        <w:t>, </w:t>
      </w:r>
      <w:r w:rsidRPr="00A85918">
        <w:rPr>
          <w:rFonts w:ascii="Arial" w:eastAsiaTheme="minorHAnsi" w:hAnsi="Arial" w:cs="Arial"/>
          <w:i/>
          <w:iCs/>
          <w:sz w:val="20"/>
          <w:shd w:val="clear" w:color="auto" w:fill="FFFFFF"/>
          <w:lang w:bidi="ar-SA"/>
        </w:rPr>
        <w:t>15</w:t>
      </w:r>
      <w:r w:rsidRPr="00A85918">
        <w:rPr>
          <w:rFonts w:ascii="Arial" w:eastAsiaTheme="minorHAnsi" w:hAnsi="Arial" w:cs="Arial"/>
          <w:sz w:val="20"/>
          <w:shd w:val="clear" w:color="auto" w:fill="FFFFFF"/>
          <w:lang w:bidi="ar-SA"/>
        </w:rPr>
        <w:t>(11), 19389-19393.</w:t>
      </w:r>
    </w:p>
    <w:p w14:paraId="311D3523" w14:textId="47B11829" w:rsidR="008047E7" w:rsidRPr="00A85918" w:rsidRDefault="008047E7" w:rsidP="008047E7">
      <w:pPr>
        <w:spacing w:line="240" w:lineRule="auto"/>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4</w:t>
      </w:r>
      <w:r w:rsidRPr="00A85918">
        <w:rPr>
          <w:rFonts w:ascii="Arial" w:eastAsiaTheme="minorHAnsi" w:hAnsi="Arial" w:cs="Arial"/>
          <w:sz w:val="20"/>
          <w:shd w:val="clear" w:color="auto" w:fill="FFFFFF"/>
          <w:lang w:bidi="ar-SA"/>
        </w:rPr>
        <w:t xml:space="preserve">.Meena, B. L., </w:t>
      </w:r>
      <w:proofErr w:type="spellStart"/>
      <w:r w:rsidRPr="00A85918">
        <w:rPr>
          <w:rFonts w:ascii="Arial" w:eastAsiaTheme="minorHAnsi" w:hAnsi="Arial" w:cs="Arial"/>
          <w:sz w:val="20"/>
          <w:shd w:val="clear" w:color="auto" w:fill="FFFFFF"/>
          <w:lang w:bidi="ar-SA"/>
        </w:rPr>
        <w:t>Fagodiya</w:t>
      </w:r>
      <w:proofErr w:type="spellEnd"/>
      <w:r w:rsidRPr="00A85918">
        <w:rPr>
          <w:rFonts w:ascii="Arial" w:eastAsiaTheme="minorHAnsi" w:hAnsi="Arial" w:cs="Arial"/>
          <w:sz w:val="20"/>
          <w:shd w:val="clear" w:color="auto" w:fill="FFFFFF"/>
          <w:lang w:bidi="ar-SA"/>
        </w:rPr>
        <w:t xml:space="preserve">, R. K., Prajapat, K., </w:t>
      </w:r>
      <w:proofErr w:type="spellStart"/>
      <w:r w:rsidRPr="00A85918">
        <w:rPr>
          <w:rFonts w:ascii="Arial" w:eastAsiaTheme="minorHAnsi" w:hAnsi="Arial" w:cs="Arial"/>
          <w:sz w:val="20"/>
          <w:shd w:val="clear" w:color="auto" w:fill="FFFFFF"/>
          <w:lang w:bidi="ar-SA"/>
        </w:rPr>
        <w:t>Dotaniya</w:t>
      </w:r>
      <w:proofErr w:type="spellEnd"/>
      <w:r w:rsidRPr="00A85918">
        <w:rPr>
          <w:rFonts w:ascii="Arial" w:eastAsiaTheme="minorHAnsi" w:hAnsi="Arial" w:cs="Arial"/>
          <w:sz w:val="20"/>
          <w:shd w:val="clear" w:color="auto" w:fill="FFFFFF"/>
          <w:lang w:bidi="ar-SA"/>
        </w:rPr>
        <w:t xml:space="preserve">, M. L., </w:t>
      </w:r>
      <w:proofErr w:type="spellStart"/>
      <w:r w:rsidRPr="00A85918">
        <w:rPr>
          <w:rFonts w:ascii="Arial" w:eastAsiaTheme="minorHAnsi" w:hAnsi="Arial" w:cs="Arial"/>
          <w:sz w:val="20"/>
          <w:shd w:val="clear" w:color="auto" w:fill="FFFFFF"/>
          <w:lang w:bidi="ar-SA"/>
        </w:rPr>
        <w:t>Kaledhonkar</w:t>
      </w:r>
      <w:proofErr w:type="spellEnd"/>
      <w:r w:rsidRPr="00A85918">
        <w:rPr>
          <w:rFonts w:ascii="Arial" w:eastAsiaTheme="minorHAnsi" w:hAnsi="Arial" w:cs="Arial"/>
          <w:sz w:val="20"/>
          <w:shd w:val="clear" w:color="auto" w:fill="FFFFFF"/>
          <w:lang w:bidi="ar-SA"/>
        </w:rPr>
        <w:t>, M. J., Sharma, P. C., ... &amp; Kumar, S. (2018). Legume green manuring: an option for soil sustainability. </w:t>
      </w:r>
      <w:r w:rsidRPr="00A85918">
        <w:rPr>
          <w:rFonts w:ascii="Arial" w:eastAsiaTheme="minorHAnsi" w:hAnsi="Arial" w:cs="Arial"/>
          <w:i/>
          <w:iCs/>
          <w:sz w:val="20"/>
          <w:shd w:val="clear" w:color="auto" w:fill="FFFFFF"/>
          <w:lang w:bidi="ar-SA"/>
        </w:rPr>
        <w:t>Legumes for soil health and sustainable management</w:t>
      </w:r>
      <w:r w:rsidRPr="00A85918">
        <w:rPr>
          <w:rFonts w:ascii="Arial" w:eastAsiaTheme="minorHAnsi" w:hAnsi="Arial" w:cs="Arial"/>
          <w:sz w:val="20"/>
          <w:shd w:val="clear" w:color="auto" w:fill="FFFFFF"/>
          <w:lang w:bidi="ar-SA"/>
        </w:rPr>
        <w:t>, 387-408.</w:t>
      </w:r>
    </w:p>
    <w:p w14:paraId="54DA3B0A" w14:textId="50F44CD4" w:rsidR="008047E7" w:rsidRPr="00A85918" w:rsidRDefault="008047E7" w:rsidP="008047E7">
      <w:pPr>
        <w:spacing w:line="240" w:lineRule="auto"/>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5</w:t>
      </w:r>
      <w:r w:rsidRPr="00A85918">
        <w:rPr>
          <w:rFonts w:ascii="Arial" w:eastAsiaTheme="minorHAnsi" w:hAnsi="Arial" w:cs="Arial"/>
          <w:sz w:val="20"/>
          <w:shd w:val="clear" w:color="auto" w:fill="FFFFFF"/>
          <w:lang w:bidi="ar-SA"/>
        </w:rPr>
        <w:t>.Lal, R. (1991). Soil structure and sustainability. </w:t>
      </w:r>
      <w:r w:rsidRPr="00A85918">
        <w:rPr>
          <w:rFonts w:ascii="Arial" w:eastAsiaTheme="minorHAnsi" w:hAnsi="Arial" w:cs="Arial"/>
          <w:i/>
          <w:iCs/>
          <w:sz w:val="20"/>
          <w:shd w:val="clear" w:color="auto" w:fill="FFFFFF"/>
          <w:lang w:bidi="ar-SA"/>
        </w:rPr>
        <w:t>Journal of sustainable agriculture</w:t>
      </w:r>
      <w:r w:rsidRPr="00A85918">
        <w:rPr>
          <w:rFonts w:ascii="Arial" w:eastAsiaTheme="minorHAnsi" w:hAnsi="Arial" w:cs="Arial"/>
          <w:sz w:val="20"/>
          <w:shd w:val="clear" w:color="auto" w:fill="FFFFFF"/>
          <w:lang w:bidi="ar-SA"/>
        </w:rPr>
        <w:t>, </w:t>
      </w:r>
      <w:r w:rsidRPr="00A85918">
        <w:rPr>
          <w:rFonts w:ascii="Arial" w:eastAsiaTheme="minorHAnsi" w:hAnsi="Arial" w:cs="Arial"/>
          <w:i/>
          <w:iCs/>
          <w:sz w:val="20"/>
          <w:shd w:val="clear" w:color="auto" w:fill="FFFFFF"/>
          <w:lang w:bidi="ar-SA"/>
        </w:rPr>
        <w:t>1</w:t>
      </w:r>
      <w:r w:rsidRPr="00A85918">
        <w:rPr>
          <w:rFonts w:ascii="Arial" w:eastAsiaTheme="minorHAnsi" w:hAnsi="Arial" w:cs="Arial"/>
          <w:sz w:val="20"/>
          <w:shd w:val="clear" w:color="auto" w:fill="FFFFFF"/>
          <w:lang w:bidi="ar-SA"/>
        </w:rPr>
        <w:t>(4), 7-</w:t>
      </w:r>
      <w:proofErr w:type="gramStart"/>
      <w:r w:rsidRPr="00A85918">
        <w:rPr>
          <w:rFonts w:ascii="Arial" w:eastAsiaTheme="minorHAnsi" w:hAnsi="Arial" w:cs="Arial"/>
          <w:sz w:val="20"/>
          <w:shd w:val="clear" w:color="auto" w:fill="FFFFFF"/>
          <w:lang w:bidi="ar-SA"/>
        </w:rPr>
        <w:t>92.Li</w:t>
      </w:r>
      <w:proofErr w:type="gramEnd"/>
      <w:r w:rsidRPr="00A85918">
        <w:rPr>
          <w:rFonts w:ascii="Arial" w:eastAsiaTheme="minorHAnsi" w:hAnsi="Arial" w:cs="Arial"/>
          <w:sz w:val="20"/>
          <w:shd w:val="clear" w:color="auto" w:fill="FFFFFF"/>
          <w:lang w:bidi="ar-SA"/>
        </w:rPr>
        <w:t xml:space="preserve">, J., Zhao, X., Maltais-Landry, G., &amp; Paudel, B. R. (2021). Dynamics of soil nitrogen availability following </w:t>
      </w:r>
      <w:proofErr w:type="spellStart"/>
      <w:r w:rsidRPr="00A85918">
        <w:rPr>
          <w:rFonts w:ascii="Arial" w:eastAsiaTheme="minorHAnsi" w:hAnsi="Arial" w:cs="Arial"/>
          <w:sz w:val="20"/>
          <w:shd w:val="clear" w:color="auto" w:fill="FFFFFF"/>
          <w:lang w:bidi="ar-SA"/>
        </w:rPr>
        <w:t>sunn</w:t>
      </w:r>
      <w:proofErr w:type="spellEnd"/>
      <w:r w:rsidRPr="00A85918">
        <w:rPr>
          <w:rFonts w:ascii="Arial" w:eastAsiaTheme="minorHAnsi" w:hAnsi="Arial" w:cs="Arial"/>
          <w:sz w:val="20"/>
          <w:shd w:val="clear" w:color="auto" w:fill="FFFFFF"/>
          <w:lang w:bidi="ar-SA"/>
        </w:rPr>
        <w:t xml:space="preserve"> hemp residue incorporation in organic strawberry production systems. </w:t>
      </w:r>
      <w:proofErr w:type="spellStart"/>
      <w:r w:rsidRPr="00A85918">
        <w:rPr>
          <w:rFonts w:ascii="Arial" w:eastAsiaTheme="minorHAnsi" w:hAnsi="Arial" w:cs="Arial"/>
          <w:i/>
          <w:iCs/>
          <w:sz w:val="20"/>
          <w:shd w:val="clear" w:color="auto" w:fill="FFFFFF"/>
          <w:lang w:bidi="ar-SA"/>
        </w:rPr>
        <w:t>HortScience</w:t>
      </w:r>
      <w:proofErr w:type="spellEnd"/>
      <w:r w:rsidRPr="00A85918">
        <w:rPr>
          <w:rFonts w:ascii="Arial" w:eastAsiaTheme="minorHAnsi" w:hAnsi="Arial" w:cs="Arial"/>
          <w:sz w:val="20"/>
          <w:shd w:val="clear" w:color="auto" w:fill="FFFFFF"/>
          <w:lang w:bidi="ar-SA"/>
        </w:rPr>
        <w:t>, </w:t>
      </w:r>
      <w:r w:rsidRPr="00A85918">
        <w:rPr>
          <w:rFonts w:ascii="Arial" w:eastAsiaTheme="minorHAnsi" w:hAnsi="Arial" w:cs="Arial"/>
          <w:i/>
          <w:iCs/>
          <w:sz w:val="20"/>
          <w:shd w:val="clear" w:color="auto" w:fill="FFFFFF"/>
          <w:lang w:bidi="ar-SA"/>
        </w:rPr>
        <w:t>56</w:t>
      </w:r>
      <w:r w:rsidRPr="00A85918">
        <w:rPr>
          <w:rFonts w:ascii="Arial" w:eastAsiaTheme="minorHAnsi" w:hAnsi="Arial" w:cs="Arial"/>
          <w:sz w:val="20"/>
          <w:shd w:val="clear" w:color="auto" w:fill="FFFFFF"/>
          <w:lang w:bidi="ar-SA"/>
        </w:rPr>
        <w:t>(2), 138-146.</w:t>
      </w:r>
    </w:p>
    <w:p w14:paraId="2983BF6B" w14:textId="1AC8D2C0" w:rsidR="008047E7" w:rsidRPr="00A85918" w:rsidRDefault="008047E7" w:rsidP="008047E7">
      <w:pPr>
        <w:spacing w:line="240" w:lineRule="auto"/>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6</w:t>
      </w:r>
      <w:r w:rsidRPr="00A85918">
        <w:rPr>
          <w:rFonts w:ascii="Arial" w:eastAsiaTheme="minorHAnsi" w:hAnsi="Arial" w:cs="Arial"/>
          <w:sz w:val="20"/>
          <w:shd w:val="clear" w:color="auto" w:fill="FFFFFF"/>
          <w:lang w:bidi="ar-SA"/>
        </w:rPr>
        <w:t>.Rotar, P.P. and Joy, R.J. (1983) “Tropic Sun” Sunn Hemp; Crotalaria juncea L.</w:t>
      </w:r>
    </w:p>
    <w:p w14:paraId="6302DF52" w14:textId="6FCC2D13" w:rsidR="008047E7" w:rsidRPr="00A85918" w:rsidRDefault="008047E7" w:rsidP="008047E7">
      <w:pPr>
        <w:spacing w:line="240" w:lineRule="auto"/>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7</w:t>
      </w:r>
      <w:r w:rsidRPr="00A85918">
        <w:rPr>
          <w:rFonts w:ascii="Arial" w:eastAsiaTheme="minorHAnsi" w:hAnsi="Arial" w:cs="Arial"/>
          <w:sz w:val="20"/>
          <w:shd w:val="clear" w:color="auto" w:fill="FFFFFF"/>
          <w:lang w:bidi="ar-SA"/>
        </w:rPr>
        <w:t xml:space="preserve">.Li, J., Zhao, X., Maltais-Landry, G., &amp; Paudel, B. R. (2021). Dynamics of soil nitrogen availability following </w:t>
      </w:r>
      <w:proofErr w:type="spellStart"/>
      <w:r w:rsidRPr="00A85918">
        <w:rPr>
          <w:rFonts w:ascii="Arial" w:eastAsiaTheme="minorHAnsi" w:hAnsi="Arial" w:cs="Arial"/>
          <w:sz w:val="20"/>
          <w:shd w:val="clear" w:color="auto" w:fill="FFFFFF"/>
          <w:lang w:bidi="ar-SA"/>
        </w:rPr>
        <w:t>sunn</w:t>
      </w:r>
      <w:proofErr w:type="spellEnd"/>
      <w:r w:rsidRPr="00A85918">
        <w:rPr>
          <w:rFonts w:ascii="Arial" w:eastAsiaTheme="minorHAnsi" w:hAnsi="Arial" w:cs="Arial"/>
          <w:sz w:val="20"/>
          <w:shd w:val="clear" w:color="auto" w:fill="FFFFFF"/>
          <w:lang w:bidi="ar-SA"/>
        </w:rPr>
        <w:t xml:space="preserve"> hemp residue incorporation in organic strawberry production systems. </w:t>
      </w:r>
      <w:proofErr w:type="spellStart"/>
      <w:r w:rsidRPr="00A85918">
        <w:rPr>
          <w:rFonts w:ascii="Arial" w:eastAsiaTheme="minorHAnsi" w:hAnsi="Arial" w:cs="Arial"/>
          <w:sz w:val="20"/>
          <w:shd w:val="clear" w:color="auto" w:fill="FFFFFF"/>
          <w:lang w:bidi="ar-SA"/>
        </w:rPr>
        <w:t>HortScience</w:t>
      </w:r>
      <w:proofErr w:type="spellEnd"/>
      <w:r w:rsidRPr="00A85918">
        <w:rPr>
          <w:rFonts w:ascii="Arial" w:eastAsiaTheme="minorHAnsi" w:hAnsi="Arial" w:cs="Arial"/>
          <w:sz w:val="20"/>
          <w:shd w:val="clear" w:color="auto" w:fill="FFFFFF"/>
          <w:lang w:bidi="ar-SA"/>
        </w:rPr>
        <w:t>, 56(2), 138-146.</w:t>
      </w:r>
    </w:p>
    <w:p w14:paraId="03E8488C" w14:textId="05690D6B" w:rsidR="008047E7" w:rsidRPr="00A85918" w:rsidRDefault="008047E7" w:rsidP="008047E7">
      <w:pPr>
        <w:spacing w:line="240" w:lineRule="auto"/>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lastRenderedPageBreak/>
        <w:t>8</w:t>
      </w:r>
      <w:r w:rsidRPr="00A85918">
        <w:rPr>
          <w:rFonts w:ascii="Arial" w:eastAsiaTheme="minorHAnsi" w:hAnsi="Arial" w:cs="Arial"/>
          <w:sz w:val="20"/>
          <w:shd w:val="clear" w:color="auto" w:fill="FFFFFF"/>
          <w:lang w:bidi="ar-SA"/>
        </w:rPr>
        <w:t xml:space="preserve">.Srivastava, S. C., &amp; Pandit, S. N. (1968). Relative role of </w:t>
      </w:r>
      <w:proofErr w:type="spellStart"/>
      <w:r w:rsidRPr="00A85918">
        <w:rPr>
          <w:rFonts w:ascii="Arial" w:eastAsiaTheme="minorHAnsi" w:hAnsi="Arial" w:cs="Arial"/>
          <w:sz w:val="20"/>
          <w:shd w:val="clear" w:color="auto" w:fill="FFFFFF"/>
          <w:lang w:bidi="ar-SA"/>
        </w:rPr>
        <w:t>sunnhemp</w:t>
      </w:r>
      <w:proofErr w:type="spellEnd"/>
      <w:r w:rsidRPr="00A85918">
        <w:rPr>
          <w:rFonts w:ascii="Arial" w:eastAsiaTheme="minorHAnsi" w:hAnsi="Arial" w:cs="Arial"/>
          <w:sz w:val="20"/>
          <w:shd w:val="clear" w:color="auto" w:fill="FFFFFF"/>
          <w:lang w:bidi="ar-SA"/>
        </w:rPr>
        <w:t xml:space="preserve"> tops and roots in contributing to the green-manuring benefits to sugarcane.</w:t>
      </w:r>
    </w:p>
    <w:p w14:paraId="500309E1" w14:textId="057F3867" w:rsidR="00DC0FE3" w:rsidRDefault="00DC0FE3" w:rsidP="00DC0FE3">
      <w:pPr>
        <w:spacing w:line="240" w:lineRule="auto"/>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9</w:t>
      </w:r>
      <w:r w:rsidRPr="00A85918">
        <w:rPr>
          <w:rFonts w:ascii="Arial" w:eastAsiaTheme="minorHAnsi" w:hAnsi="Arial" w:cs="Arial"/>
          <w:sz w:val="20"/>
          <w:shd w:val="clear" w:color="auto" w:fill="FFFFFF"/>
          <w:lang w:bidi="ar-SA"/>
        </w:rPr>
        <w:t>.Schomberg, H. H., Martini, N. L., Diaz</w:t>
      </w:r>
      <w:r w:rsidRPr="00A85918">
        <w:rPr>
          <w:rFonts w:ascii="Cambria Math" w:eastAsiaTheme="minorHAnsi" w:hAnsi="Cambria Math" w:cs="Cambria Math"/>
          <w:sz w:val="20"/>
          <w:shd w:val="clear" w:color="auto" w:fill="FFFFFF"/>
          <w:lang w:bidi="ar-SA"/>
        </w:rPr>
        <w:t>‐</w:t>
      </w:r>
      <w:r w:rsidRPr="00A85918">
        <w:rPr>
          <w:rFonts w:ascii="Arial" w:eastAsiaTheme="minorHAnsi" w:hAnsi="Arial" w:cs="Arial"/>
          <w:sz w:val="20"/>
          <w:shd w:val="clear" w:color="auto" w:fill="FFFFFF"/>
          <w:lang w:bidi="ar-SA"/>
        </w:rPr>
        <w:t xml:space="preserve">Perez, J. C., Phatak, S. C., Balkcom, K. S., &amp; Bhardwaj, H. L. (2007). Potential for using </w:t>
      </w:r>
      <w:proofErr w:type="spellStart"/>
      <w:r w:rsidRPr="00A85918">
        <w:rPr>
          <w:rFonts w:ascii="Arial" w:eastAsiaTheme="minorHAnsi" w:hAnsi="Arial" w:cs="Arial"/>
          <w:sz w:val="20"/>
          <w:shd w:val="clear" w:color="auto" w:fill="FFFFFF"/>
          <w:lang w:bidi="ar-SA"/>
        </w:rPr>
        <w:t>sunn</w:t>
      </w:r>
      <w:proofErr w:type="spellEnd"/>
      <w:r w:rsidRPr="00A85918">
        <w:rPr>
          <w:rFonts w:ascii="Arial" w:eastAsiaTheme="minorHAnsi" w:hAnsi="Arial" w:cs="Arial"/>
          <w:sz w:val="20"/>
          <w:shd w:val="clear" w:color="auto" w:fill="FFFFFF"/>
          <w:lang w:bidi="ar-SA"/>
        </w:rPr>
        <w:t xml:space="preserve"> hemp as a source of biomass   and nitrogen for the Piedmont and Coastal Plain regions of the southeastern USA. </w:t>
      </w:r>
      <w:r w:rsidRPr="00A85918">
        <w:rPr>
          <w:rFonts w:ascii="Arial" w:eastAsiaTheme="minorHAnsi" w:hAnsi="Arial" w:cs="Arial"/>
          <w:i/>
          <w:iCs/>
          <w:sz w:val="20"/>
          <w:shd w:val="clear" w:color="auto" w:fill="FFFFFF"/>
          <w:lang w:bidi="ar-SA"/>
        </w:rPr>
        <w:t>Agronomy Journal</w:t>
      </w:r>
      <w:r w:rsidRPr="00A85918">
        <w:rPr>
          <w:rFonts w:ascii="Arial" w:eastAsiaTheme="minorHAnsi" w:hAnsi="Arial" w:cs="Arial"/>
          <w:sz w:val="20"/>
          <w:shd w:val="clear" w:color="auto" w:fill="FFFFFF"/>
          <w:lang w:bidi="ar-SA"/>
        </w:rPr>
        <w:t>, </w:t>
      </w:r>
      <w:r w:rsidRPr="00A85918">
        <w:rPr>
          <w:rFonts w:ascii="Arial" w:eastAsiaTheme="minorHAnsi" w:hAnsi="Arial" w:cs="Arial"/>
          <w:i/>
          <w:iCs/>
          <w:sz w:val="20"/>
          <w:shd w:val="clear" w:color="auto" w:fill="FFFFFF"/>
          <w:lang w:bidi="ar-SA"/>
        </w:rPr>
        <w:t>99</w:t>
      </w:r>
      <w:r w:rsidRPr="00A85918">
        <w:rPr>
          <w:rFonts w:ascii="Arial" w:eastAsiaTheme="minorHAnsi" w:hAnsi="Arial" w:cs="Arial"/>
          <w:sz w:val="20"/>
          <w:shd w:val="clear" w:color="auto" w:fill="FFFFFF"/>
          <w:lang w:bidi="ar-SA"/>
        </w:rPr>
        <w:t>(6), 1448-1457.</w:t>
      </w:r>
    </w:p>
    <w:p w14:paraId="33E918AF" w14:textId="046C83BD" w:rsidR="00DC0FE3" w:rsidRDefault="00DC0FE3" w:rsidP="00DC0FE3">
      <w:pPr>
        <w:spacing w:line="240" w:lineRule="auto"/>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 xml:space="preserve">10. </w:t>
      </w:r>
      <w:r w:rsidRPr="00A85918">
        <w:rPr>
          <w:rFonts w:ascii="Arial" w:eastAsiaTheme="minorHAnsi" w:hAnsi="Arial" w:cs="Arial"/>
          <w:sz w:val="20"/>
          <w:shd w:val="clear" w:color="auto" w:fill="FFFFFF"/>
          <w:lang w:bidi="ar-SA"/>
        </w:rPr>
        <w:t xml:space="preserve">Sarkar, S. K., &amp; Ghoroi, A. K. (2007). </w:t>
      </w:r>
      <w:proofErr w:type="spellStart"/>
      <w:r w:rsidRPr="00A85918">
        <w:rPr>
          <w:rFonts w:ascii="Arial" w:eastAsiaTheme="minorHAnsi" w:hAnsi="Arial" w:cs="Arial"/>
          <w:sz w:val="20"/>
          <w:shd w:val="clear" w:color="auto" w:fill="FFFFFF"/>
          <w:lang w:bidi="ar-SA"/>
        </w:rPr>
        <w:t>Sunnhemp</w:t>
      </w:r>
      <w:proofErr w:type="spellEnd"/>
      <w:r w:rsidRPr="00A85918">
        <w:rPr>
          <w:rFonts w:ascii="Arial" w:eastAsiaTheme="minorHAnsi" w:hAnsi="Arial" w:cs="Arial"/>
          <w:sz w:val="20"/>
          <w:shd w:val="clear" w:color="auto" w:fill="FFFFFF"/>
          <w:lang w:bidi="ar-SA"/>
        </w:rPr>
        <w:t xml:space="preserve"> as green manure.</w:t>
      </w:r>
    </w:p>
    <w:p w14:paraId="541FFBB1" w14:textId="1A9FFC04" w:rsidR="00DC0FE3" w:rsidRDefault="00DC0FE3" w:rsidP="00DC0FE3">
      <w:pPr>
        <w:spacing w:line="240" w:lineRule="auto"/>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 xml:space="preserve">11. </w:t>
      </w:r>
      <w:r w:rsidRPr="00A85918">
        <w:rPr>
          <w:rFonts w:ascii="Arial" w:eastAsiaTheme="minorHAnsi" w:hAnsi="Arial" w:cs="Arial"/>
          <w:sz w:val="20"/>
          <w:shd w:val="clear" w:color="auto" w:fill="FFFFFF"/>
          <w:lang w:bidi="ar-SA"/>
        </w:rPr>
        <w:t xml:space="preserve">Kaneko, M., Kato, N., Hattori, I., Matsuoka, M., &amp; </w:t>
      </w:r>
      <w:proofErr w:type="spellStart"/>
      <w:r w:rsidRPr="00A85918">
        <w:rPr>
          <w:rFonts w:ascii="Arial" w:eastAsiaTheme="minorHAnsi" w:hAnsi="Arial" w:cs="Arial"/>
          <w:sz w:val="20"/>
          <w:shd w:val="clear" w:color="auto" w:fill="FFFFFF"/>
          <w:lang w:bidi="ar-SA"/>
        </w:rPr>
        <w:t>Vendramini</w:t>
      </w:r>
      <w:proofErr w:type="spellEnd"/>
      <w:r w:rsidRPr="00A85918">
        <w:rPr>
          <w:rFonts w:ascii="Arial" w:eastAsiaTheme="minorHAnsi" w:hAnsi="Arial" w:cs="Arial"/>
          <w:sz w:val="20"/>
          <w:shd w:val="clear" w:color="auto" w:fill="FFFFFF"/>
          <w:lang w:bidi="ar-SA"/>
        </w:rPr>
        <w:t xml:space="preserve">, J. M. (2023). Seeding and harvesting times and climate conditions are important for improving nitrogen and fiber contents of green manure </w:t>
      </w:r>
      <w:proofErr w:type="spellStart"/>
      <w:r w:rsidRPr="00A85918">
        <w:rPr>
          <w:rFonts w:ascii="Arial" w:eastAsiaTheme="minorHAnsi" w:hAnsi="Arial" w:cs="Arial"/>
          <w:sz w:val="20"/>
          <w:shd w:val="clear" w:color="auto" w:fill="FFFFFF"/>
          <w:lang w:bidi="ar-SA"/>
        </w:rPr>
        <w:t>sunn</w:t>
      </w:r>
      <w:proofErr w:type="spellEnd"/>
      <w:r w:rsidRPr="00A85918">
        <w:rPr>
          <w:rFonts w:ascii="Arial" w:eastAsiaTheme="minorHAnsi" w:hAnsi="Arial" w:cs="Arial"/>
          <w:sz w:val="20"/>
          <w:shd w:val="clear" w:color="auto" w:fill="FFFFFF"/>
          <w:lang w:bidi="ar-SA"/>
        </w:rPr>
        <w:t xml:space="preserve"> hemp. Sustainability, 15(9), 7103.</w:t>
      </w:r>
    </w:p>
    <w:p w14:paraId="0693E61F" w14:textId="47218482" w:rsidR="00DC0FE3" w:rsidRPr="00A85918" w:rsidRDefault="00DC0FE3" w:rsidP="00DC0FE3">
      <w:pPr>
        <w:spacing w:line="240" w:lineRule="auto"/>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 xml:space="preserve">12. </w:t>
      </w:r>
      <w:r w:rsidR="00A50E53">
        <w:rPr>
          <w:rFonts w:ascii="Arial" w:hAnsi="Arial" w:cs="Arial"/>
          <w:color w:val="222222"/>
          <w:sz w:val="20"/>
          <w:shd w:val="clear" w:color="auto" w:fill="FFFFFF"/>
        </w:rPr>
        <w:t>Sims, J. L., &amp; Place, G. A. (1968). Growth and Nutrient Uptake of Rice at Different Growth Stages and Nitrogen Levels 1. </w:t>
      </w:r>
      <w:r w:rsidR="00A50E53">
        <w:rPr>
          <w:rFonts w:ascii="Arial" w:hAnsi="Arial" w:cs="Arial"/>
          <w:i/>
          <w:iCs/>
          <w:color w:val="222222"/>
          <w:sz w:val="20"/>
          <w:shd w:val="clear" w:color="auto" w:fill="FFFFFF"/>
        </w:rPr>
        <w:t>Agronomy Journal</w:t>
      </w:r>
      <w:r w:rsidR="00A50E53">
        <w:rPr>
          <w:rFonts w:ascii="Arial" w:hAnsi="Arial" w:cs="Arial"/>
          <w:color w:val="222222"/>
          <w:sz w:val="20"/>
          <w:shd w:val="clear" w:color="auto" w:fill="FFFFFF"/>
        </w:rPr>
        <w:t>, </w:t>
      </w:r>
      <w:r w:rsidR="00A50E53">
        <w:rPr>
          <w:rFonts w:ascii="Arial" w:hAnsi="Arial" w:cs="Arial"/>
          <w:i/>
          <w:iCs/>
          <w:color w:val="222222"/>
          <w:sz w:val="20"/>
          <w:shd w:val="clear" w:color="auto" w:fill="FFFFFF"/>
        </w:rPr>
        <w:t>60</w:t>
      </w:r>
      <w:r w:rsidR="00A50E53">
        <w:rPr>
          <w:rFonts w:ascii="Arial" w:hAnsi="Arial" w:cs="Arial"/>
          <w:color w:val="222222"/>
          <w:sz w:val="20"/>
          <w:shd w:val="clear" w:color="auto" w:fill="FFFFFF"/>
        </w:rPr>
        <w:t>(6), 692-696.</w:t>
      </w:r>
    </w:p>
    <w:p w14:paraId="2727485A" w14:textId="4EE9C84F" w:rsidR="00DC0FE3" w:rsidRPr="00A85918" w:rsidRDefault="00DC0FE3" w:rsidP="00DC0FE3">
      <w:pPr>
        <w:spacing w:line="240" w:lineRule="auto"/>
        <w:jc w:val="both"/>
        <w:rPr>
          <w:rFonts w:ascii="Arial" w:eastAsiaTheme="minorHAnsi" w:hAnsi="Arial" w:cs="Arial"/>
          <w:sz w:val="20"/>
          <w:shd w:val="clear" w:color="auto" w:fill="FFFFFF"/>
          <w:lang w:bidi="ar-SA"/>
        </w:rPr>
      </w:pPr>
      <w:r w:rsidRPr="00A85918">
        <w:rPr>
          <w:rFonts w:ascii="Arial" w:eastAsiaTheme="minorHAnsi" w:hAnsi="Arial" w:cs="Arial"/>
          <w:sz w:val="20"/>
          <w:shd w:val="clear" w:color="auto" w:fill="FFFFFF"/>
          <w:lang w:bidi="ar-SA"/>
        </w:rPr>
        <w:t>1</w:t>
      </w:r>
      <w:r>
        <w:rPr>
          <w:rFonts w:ascii="Arial" w:eastAsiaTheme="minorHAnsi" w:hAnsi="Arial" w:cs="Arial"/>
          <w:sz w:val="20"/>
          <w:shd w:val="clear" w:color="auto" w:fill="FFFFFF"/>
          <w:lang w:bidi="ar-SA"/>
        </w:rPr>
        <w:t>3</w:t>
      </w:r>
      <w:r w:rsidRPr="00A85918">
        <w:rPr>
          <w:rFonts w:ascii="Arial" w:eastAsiaTheme="minorHAnsi" w:hAnsi="Arial" w:cs="Arial"/>
          <w:sz w:val="20"/>
          <w:shd w:val="clear" w:color="auto" w:fill="FFFFFF"/>
          <w:lang w:bidi="ar-SA"/>
        </w:rPr>
        <w:t>. Barber, S. A. (1995). Soil nutrient bioavailability: a mechanistic approach. John Wiley &amp; Sons.</w:t>
      </w:r>
    </w:p>
    <w:p w14:paraId="50398BD7" w14:textId="63321239" w:rsidR="00DC0FE3" w:rsidRDefault="00DC0FE3" w:rsidP="00DC0FE3">
      <w:pPr>
        <w:spacing w:line="240" w:lineRule="auto"/>
        <w:jc w:val="both"/>
        <w:rPr>
          <w:rFonts w:ascii="Arial" w:eastAsiaTheme="minorHAnsi" w:hAnsi="Arial" w:cs="Arial"/>
          <w:sz w:val="20"/>
          <w:shd w:val="clear" w:color="auto" w:fill="FFFFFF"/>
          <w:lang w:bidi="ar-SA"/>
        </w:rPr>
      </w:pPr>
      <w:r w:rsidRPr="00A85918">
        <w:rPr>
          <w:rFonts w:ascii="Arial" w:eastAsiaTheme="minorHAnsi" w:hAnsi="Arial" w:cs="Arial"/>
          <w:sz w:val="20"/>
          <w:shd w:val="clear" w:color="auto" w:fill="FFFFFF"/>
          <w:lang w:bidi="ar-SA"/>
        </w:rPr>
        <w:t>1</w:t>
      </w:r>
      <w:r>
        <w:rPr>
          <w:rFonts w:ascii="Arial" w:eastAsiaTheme="minorHAnsi" w:hAnsi="Arial" w:cs="Arial"/>
          <w:sz w:val="20"/>
          <w:shd w:val="clear" w:color="auto" w:fill="FFFFFF"/>
          <w:lang w:bidi="ar-SA"/>
        </w:rPr>
        <w:t>4</w:t>
      </w:r>
      <w:r w:rsidRPr="00A85918">
        <w:rPr>
          <w:rFonts w:ascii="Arial" w:eastAsiaTheme="minorHAnsi" w:hAnsi="Arial" w:cs="Arial"/>
          <w:sz w:val="20"/>
          <w:shd w:val="clear" w:color="auto" w:fill="FFFFFF"/>
          <w:lang w:bidi="ar-SA"/>
        </w:rPr>
        <w:t>. Rao, A. C. S., Smith, J. L., Parr, J. F., &amp; Papendick, R. I. (1992). Considerations in estimating nitrogen recovery efficiency by the difference and isotopic dilution methods. Fertilizer Research, 33, 209-217.</w:t>
      </w:r>
    </w:p>
    <w:p w14:paraId="12F20028" w14:textId="3CA54B69" w:rsidR="00DC0FE3" w:rsidRDefault="00DC0FE3" w:rsidP="00DC0FE3">
      <w:pPr>
        <w:spacing w:line="240" w:lineRule="auto"/>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 xml:space="preserve">15. </w:t>
      </w:r>
      <w:r w:rsidR="00DE149F" w:rsidRPr="00DE149F">
        <w:rPr>
          <w:rFonts w:ascii="Arial" w:eastAsiaTheme="minorHAnsi" w:hAnsi="Arial" w:cs="Arial"/>
          <w:sz w:val="20"/>
          <w:shd w:val="clear" w:color="auto" w:fill="FFFFFF"/>
          <w:lang w:bidi="ar-SA"/>
        </w:rPr>
        <w:t xml:space="preserve">Jalpa, L., Mylavarapu, R. S., Hochmuth, G. J., Wright, A. L., &amp; van Santen, E. (2020). Apparent recovery and efficiency of nitrogen fertilization in tomato grown on sandy soils. </w:t>
      </w:r>
      <w:proofErr w:type="spellStart"/>
      <w:r w:rsidR="00DE149F" w:rsidRPr="00DE149F">
        <w:rPr>
          <w:rFonts w:ascii="Arial" w:eastAsiaTheme="minorHAnsi" w:hAnsi="Arial" w:cs="Arial"/>
          <w:sz w:val="20"/>
          <w:shd w:val="clear" w:color="auto" w:fill="FFFFFF"/>
          <w:lang w:bidi="ar-SA"/>
        </w:rPr>
        <w:t>HortTechnology</w:t>
      </w:r>
      <w:proofErr w:type="spellEnd"/>
      <w:r w:rsidR="00DE149F" w:rsidRPr="00DE149F">
        <w:rPr>
          <w:rFonts w:ascii="Arial" w:eastAsiaTheme="minorHAnsi" w:hAnsi="Arial" w:cs="Arial"/>
          <w:sz w:val="20"/>
          <w:shd w:val="clear" w:color="auto" w:fill="FFFFFF"/>
          <w:lang w:bidi="ar-SA"/>
        </w:rPr>
        <w:t>, 30(2), 204-211.</w:t>
      </w:r>
    </w:p>
    <w:p w14:paraId="7C1136F1" w14:textId="11C802B0" w:rsidR="00DC0FE3" w:rsidRPr="00A85918" w:rsidRDefault="00DC0FE3" w:rsidP="00DC0FE3">
      <w:pPr>
        <w:spacing w:line="240" w:lineRule="auto"/>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 xml:space="preserve">16. </w:t>
      </w:r>
      <w:r w:rsidRPr="00A85918">
        <w:rPr>
          <w:rFonts w:ascii="Arial" w:eastAsiaTheme="minorHAnsi" w:hAnsi="Arial" w:cs="Arial"/>
          <w:sz w:val="20"/>
          <w:shd w:val="clear" w:color="auto" w:fill="FFFFFF"/>
          <w:lang w:bidi="ar-SA"/>
        </w:rPr>
        <w:t xml:space="preserve">Gomez, K. A., &amp; Gomez, A. A. (1984). Statistical procedures for agricultural research. John </w:t>
      </w:r>
      <w:proofErr w:type="spellStart"/>
      <w:r w:rsidRPr="00A85918">
        <w:rPr>
          <w:rFonts w:ascii="Arial" w:eastAsiaTheme="minorHAnsi" w:hAnsi="Arial" w:cs="Arial"/>
          <w:sz w:val="20"/>
          <w:shd w:val="clear" w:color="auto" w:fill="FFFFFF"/>
          <w:lang w:bidi="ar-SA"/>
        </w:rPr>
        <w:t>wiley</w:t>
      </w:r>
      <w:proofErr w:type="spellEnd"/>
      <w:r w:rsidRPr="00A85918">
        <w:rPr>
          <w:rFonts w:ascii="Arial" w:eastAsiaTheme="minorHAnsi" w:hAnsi="Arial" w:cs="Arial"/>
          <w:sz w:val="20"/>
          <w:shd w:val="clear" w:color="auto" w:fill="FFFFFF"/>
          <w:lang w:bidi="ar-SA"/>
        </w:rPr>
        <w:t xml:space="preserve"> &amp; sons.</w:t>
      </w:r>
    </w:p>
    <w:p w14:paraId="2788980F" w14:textId="77821866" w:rsidR="00DC0FE3" w:rsidRPr="00A85918" w:rsidRDefault="00DC0FE3" w:rsidP="00DC0FE3">
      <w:pPr>
        <w:spacing w:line="240" w:lineRule="auto"/>
        <w:jc w:val="both"/>
        <w:rPr>
          <w:rFonts w:ascii="Arial" w:eastAsiaTheme="minorHAnsi" w:hAnsi="Arial" w:cs="Arial"/>
          <w:sz w:val="20"/>
          <w:shd w:val="clear" w:color="auto" w:fill="FFFFFF"/>
          <w:lang w:bidi="ar-SA"/>
        </w:rPr>
      </w:pPr>
      <w:r w:rsidRPr="00A85918">
        <w:rPr>
          <w:rFonts w:ascii="Arial" w:eastAsiaTheme="minorHAnsi" w:hAnsi="Arial" w:cs="Arial"/>
          <w:sz w:val="20"/>
          <w:shd w:val="clear" w:color="auto" w:fill="FFFFFF"/>
          <w:lang w:bidi="ar-SA"/>
        </w:rPr>
        <w:t>1</w:t>
      </w:r>
      <w:r>
        <w:rPr>
          <w:rFonts w:ascii="Arial" w:eastAsiaTheme="minorHAnsi" w:hAnsi="Arial" w:cs="Arial"/>
          <w:sz w:val="20"/>
          <w:shd w:val="clear" w:color="auto" w:fill="FFFFFF"/>
          <w:lang w:bidi="ar-SA"/>
        </w:rPr>
        <w:t>7</w:t>
      </w:r>
      <w:r w:rsidRPr="00A85918">
        <w:rPr>
          <w:rFonts w:ascii="Arial" w:eastAsiaTheme="minorHAnsi" w:hAnsi="Arial" w:cs="Arial"/>
          <w:sz w:val="20"/>
          <w:shd w:val="clear" w:color="auto" w:fill="FFFFFF"/>
          <w:lang w:bidi="ar-SA"/>
        </w:rPr>
        <w:t xml:space="preserve">. Pereira, W. D., Martins, F. L., Santos, R. H. S., de Oliveira, T. S., &amp; Caballero, S. S. U. (2018). Changes in the stocks of C and N in organic matter fractions in soil cropped with coffee and fertilized with </w:t>
      </w:r>
      <w:proofErr w:type="spellStart"/>
      <w:r w:rsidRPr="00A85918">
        <w:rPr>
          <w:rFonts w:ascii="Arial" w:eastAsiaTheme="minorHAnsi" w:hAnsi="Arial" w:cs="Arial"/>
          <w:sz w:val="20"/>
          <w:shd w:val="clear" w:color="auto" w:fill="FFFFFF"/>
          <w:lang w:bidi="ar-SA"/>
        </w:rPr>
        <w:t>sunn</w:t>
      </w:r>
      <w:proofErr w:type="spellEnd"/>
      <w:r w:rsidRPr="00A85918">
        <w:rPr>
          <w:rFonts w:ascii="Arial" w:eastAsiaTheme="minorHAnsi" w:hAnsi="Arial" w:cs="Arial"/>
          <w:sz w:val="20"/>
          <w:shd w:val="clear" w:color="auto" w:fill="FFFFFF"/>
          <w:lang w:bidi="ar-SA"/>
        </w:rPr>
        <w:t xml:space="preserve"> hemp and ammonium sulfate. Semina: </w:t>
      </w:r>
      <w:proofErr w:type="spellStart"/>
      <w:r w:rsidRPr="00A85918">
        <w:rPr>
          <w:rFonts w:ascii="Arial" w:eastAsiaTheme="minorHAnsi" w:hAnsi="Arial" w:cs="Arial"/>
          <w:sz w:val="20"/>
          <w:shd w:val="clear" w:color="auto" w:fill="FFFFFF"/>
          <w:lang w:bidi="ar-SA"/>
        </w:rPr>
        <w:t>Ciências</w:t>
      </w:r>
      <w:proofErr w:type="spellEnd"/>
      <w:r w:rsidRPr="00A85918">
        <w:rPr>
          <w:rFonts w:ascii="Arial" w:eastAsiaTheme="minorHAnsi" w:hAnsi="Arial" w:cs="Arial"/>
          <w:sz w:val="20"/>
          <w:shd w:val="clear" w:color="auto" w:fill="FFFFFF"/>
          <w:lang w:bidi="ar-SA"/>
        </w:rPr>
        <w:t xml:space="preserve"> </w:t>
      </w:r>
      <w:proofErr w:type="spellStart"/>
      <w:r w:rsidRPr="00A85918">
        <w:rPr>
          <w:rFonts w:ascii="Arial" w:eastAsiaTheme="minorHAnsi" w:hAnsi="Arial" w:cs="Arial"/>
          <w:sz w:val="20"/>
          <w:shd w:val="clear" w:color="auto" w:fill="FFFFFF"/>
          <w:lang w:bidi="ar-SA"/>
        </w:rPr>
        <w:t>Agrárias</w:t>
      </w:r>
      <w:proofErr w:type="spellEnd"/>
      <w:r w:rsidRPr="00A85918">
        <w:rPr>
          <w:rFonts w:ascii="Arial" w:eastAsiaTheme="minorHAnsi" w:hAnsi="Arial" w:cs="Arial"/>
          <w:sz w:val="20"/>
          <w:shd w:val="clear" w:color="auto" w:fill="FFFFFF"/>
          <w:lang w:bidi="ar-SA"/>
        </w:rPr>
        <w:t>, 39(3), 999-1014.</w:t>
      </w:r>
    </w:p>
    <w:p w14:paraId="74DE2CCB" w14:textId="0BC07879" w:rsidR="00A85918" w:rsidRPr="00DC0FE3" w:rsidRDefault="00DC0FE3" w:rsidP="009E5B6C">
      <w:pPr>
        <w:spacing w:line="240" w:lineRule="auto"/>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18</w:t>
      </w:r>
      <w:r w:rsidR="00A85918" w:rsidRPr="00A85918">
        <w:rPr>
          <w:rFonts w:ascii="Arial" w:eastAsiaTheme="minorHAnsi" w:hAnsi="Arial" w:cs="Arial"/>
          <w:sz w:val="20"/>
          <w:shd w:val="clear" w:color="auto" w:fill="FFFFFF"/>
          <w:lang w:bidi="ar-SA"/>
        </w:rPr>
        <w:t>.</w:t>
      </w:r>
      <w:r w:rsidR="00A85918" w:rsidRPr="00A85918">
        <w:rPr>
          <w:rFonts w:ascii="Arial" w:hAnsi="Arial" w:cs="Arial"/>
          <w:sz w:val="20"/>
          <w:shd w:val="clear" w:color="auto" w:fill="FFFFFF"/>
        </w:rPr>
        <w:t>Aulakh, M. S., Khera, T. S., &amp; Doran, J. W. (2000). Yields and nitrogen dynamics in a rice–wheat system using green manure and inorganic fertilizer. Soil Science Society of America Journal, 64(5), 1867-1876.</w:t>
      </w:r>
      <w:r w:rsidR="00A85918" w:rsidRPr="00A85918">
        <w:rPr>
          <w:rFonts w:ascii="Arial" w:eastAsiaTheme="minorHAnsi" w:hAnsi="Arial" w:cs="Arial"/>
          <w:sz w:val="20"/>
          <w:lang w:bidi="ar-SA"/>
        </w:rPr>
        <w:t xml:space="preserve"> </w:t>
      </w:r>
    </w:p>
    <w:p w14:paraId="3CF30068" w14:textId="32BF6115" w:rsidR="00A85918" w:rsidRDefault="00A85918" w:rsidP="009E5B6C">
      <w:pPr>
        <w:spacing w:line="240" w:lineRule="auto"/>
        <w:jc w:val="both"/>
        <w:rPr>
          <w:rFonts w:ascii="Arial" w:eastAsiaTheme="minorHAnsi" w:hAnsi="Arial" w:cs="Arial"/>
          <w:sz w:val="20"/>
          <w:shd w:val="clear" w:color="auto" w:fill="FFFFFF"/>
          <w:lang w:bidi="ar-SA"/>
        </w:rPr>
      </w:pPr>
      <w:r w:rsidRPr="00A85918">
        <w:rPr>
          <w:rFonts w:ascii="Arial" w:eastAsiaTheme="minorHAnsi" w:hAnsi="Arial" w:cs="Arial"/>
          <w:sz w:val="20"/>
          <w:shd w:val="clear" w:color="auto" w:fill="FFFFFF"/>
          <w:lang w:bidi="ar-SA"/>
        </w:rPr>
        <w:t>1</w:t>
      </w:r>
      <w:r w:rsidR="008C396F">
        <w:rPr>
          <w:rFonts w:ascii="Arial" w:eastAsiaTheme="minorHAnsi" w:hAnsi="Arial" w:cs="Arial"/>
          <w:sz w:val="20"/>
          <w:shd w:val="clear" w:color="auto" w:fill="FFFFFF"/>
          <w:lang w:bidi="ar-SA"/>
        </w:rPr>
        <w:t>9.</w:t>
      </w:r>
      <w:r w:rsidR="00E140C2" w:rsidRPr="00E140C2">
        <w:rPr>
          <w:rFonts w:ascii="Arial" w:eastAsiaTheme="minorHAnsi" w:hAnsi="Arial" w:cs="Arial"/>
          <w:sz w:val="20"/>
          <w:shd w:val="clear" w:color="auto" w:fill="FFFFFF"/>
          <w:lang w:bidi="ar-SA"/>
        </w:rPr>
        <w:t xml:space="preserve"> </w:t>
      </w:r>
      <w:r w:rsidR="00E140C2" w:rsidRPr="00A85918">
        <w:rPr>
          <w:rFonts w:ascii="Arial" w:eastAsiaTheme="minorHAnsi" w:hAnsi="Arial" w:cs="Arial"/>
          <w:sz w:val="20"/>
          <w:shd w:val="clear" w:color="auto" w:fill="FFFFFF"/>
          <w:lang w:bidi="ar-SA"/>
        </w:rPr>
        <w:t xml:space="preserve">Morris, R. A., </w:t>
      </w:r>
      <w:proofErr w:type="spellStart"/>
      <w:r w:rsidR="00E140C2" w:rsidRPr="00A85918">
        <w:rPr>
          <w:rFonts w:ascii="Arial" w:eastAsiaTheme="minorHAnsi" w:hAnsi="Arial" w:cs="Arial"/>
          <w:sz w:val="20"/>
          <w:shd w:val="clear" w:color="auto" w:fill="FFFFFF"/>
          <w:lang w:bidi="ar-SA"/>
        </w:rPr>
        <w:t>Furoc</w:t>
      </w:r>
      <w:proofErr w:type="spellEnd"/>
      <w:r w:rsidR="00E140C2" w:rsidRPr="00A85918">
        <w:rPr>
          <w:rFonts w:ascii="Arial" w:eastAsiaTheme="minorHAnsi" w:hAnsi="Arial" w:cs="Arial"/>
          <w:sz w:val="20"/>
          <w:shd w:val="clear" w:color="auto" w:fill="FFFFFF"/>
          <w:lang w:bidi="ar-SA"/>
        </w:rPr>
        <w:t>, R. E., &amp; Dizon, M. A. (1986). Rice Responses to a Short</w:t>
      </w:r>
      <w:r w:rsidR="00E140C2" w:rsidRPr="00A85918">
        <w:rPr>
          <w:rFonts w:ascii="Cambria Math" w:eastAsiaTheme="minorHAnsi" w:hAnsi="Cambria Math" w:cs="Cambria Math"/>
          <w:sz w:val="20"/>
          <w:shd w:val="clear" w:color="auto" w:fill="FFFFFF"/>
          <w:lang w:bidi="ar-SA"/>
        </w:rPr>
        <w:t>‐</w:t>
      </w:r>
      <w:r w:rsidR="00E140C2" w:rsidRPr="00A85918">
        <w:rPr>
          <w:rFonts w:ascii="Arial" w:eastAsiaTheme="minorHAnsi" w:hAnsi="Arial" w:cs="Arial"/>
          <w:sz w:val="20"/>
          <w:shd w:val="clear" w:color="auto" w:fill="FFFFFF"/>
          <w:lang w:bidi="ar-SA"/>
        </w:rPr>
        <w:t>Duration Green Manure. II. N Recovery and Utilization 1. Agronomy Journal, 78(3), 413-416.</w:t>
      </w:r>
    </w:p>
    <w:p w14:paraId="5B44CACE" w14:textId="6F3950A8" w:rsidR="008C396F" w:rsidRPr="00A85918" w:rsidRDefault="008C396F" w:rsidP="008C396F">
      <w:pPr>
        <w:spacing w:line="240" w:lineRule="auto"/>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20</w:t>
      </w:r>
      <w:r w:rsidRPr="00A85918">
        <w:rPr>
          <w:rFonts w:ascii="Arial" w:eastAsiaTheme="minorHAnsi" w:hAnsi="Arial" w:cs="Arial"/>
          <w:sz w:val="20"/>
          <w:shd w:val="clear" w:color="auto" w:fill="FFFFFF"/>
          <w:lang w:bidi="ar-SA"/>
        </w:rPr>
        <w:t>.</w:t>
      </w:r>
      <w:r w:rsidRPr="00A85918">
        <w:rPr>
          <w:rFonts w:ascii="Arial" w:eastAsiaTheme="minorHAnsi" w:hAnsi="Arial" w:cs="Arial"/>
          <w:sz w:val="20"/>
          <w:lang w:bidi="ar-SA"/>
        </w:rPr>
        <w:t xml:space="preserve"> </w:t>
      </w:r>
      <w:r w:rsidRPr="00A85918">
        <w:rPr>
          <w:rFonts w:ascii="Arial" w:eastAsiaTheme="minorHAnsi" w:hAnsi="Arial" w:cs="Arial"/>
          <w:sz w:val="20"/>
          <w:shd w:val="clear" w:color="auto" w:fill="FFFFFF"/>
          <w:lang w:bidi="ar-SA"/>
        </w:rPr>
        <w:t>Hu, B., Wang, W., Chen, J., Liu, Y., &amp; Chu, C. (2023). Genetic improvement toward nitrogen-use efficiency in rice: Lessons and perspectives. Molecular plant, 16(1), 64-74.</w:t>
      </w:r>
    </w:p>
    <w:p w14:paraId="79252DEE" w14:textId="3E9B6EAA" w:rsidR="008C396F" w:rsidRPr="00A85918" w:rsidRDefault="008C396F" w:rsidP="008C396F">
      <w:pPr>
        <w:spacing w:line="240" w:lineRule="auto"/>
        <w:jc w:val="both"/>
        <w:rPr>
          <w:rFonts w:ascii="Arial" w:eastAsiaTheme="minorHAnsi" w:hAnsi="Arial" w:cs="Arial"/>
          <w:sz w:val="20"/>
          <w:shd w:val="clear" w:color="auto" w:fill="FFFFFF"/>
          <w:lang w:bidi="ar-SA"/>
        </w:rPr>
      </w:pPr>
      <w:r w:rsidRPr="00A85918">
        <w:rPr>
          <w:rFonts w:ascii="Arial" w:eastAsiaTheme="minorHAnsi" w:hAnsi="Arial" w:cs="Arial"/>
          <w:sz w:val="20"/>
          <w:shd w:val="clear" w:color="auto" w:fill="FFFFFF"/>
          <w:lang w:bidi="ar-SA"/>
        </w:rPr>
        <w:t>2</w:t>
      </w:r>
      <w:r>
        <w:rPr>
          <w:rFonts w:ascii="Arial" w:eastAsiaTheme="minorHAnsi" w:hAnsi="Arial" w:cs="Arial"/>
          <w:sz w:val="20"/>
          <w:shd w:val="clear" w:color="auto" w:fill="FFFFFF"/>
          <w:lang w:bidi="ar-SA"/>
        </w:rPr>
        <w:t>1</w:t>
      </w:r>
      <w:r w:rsidRPr="00A85918">
        <w:rPr>
          <w:rFonts w:ascii="Arial" w:eastAsiaTheme="minorHAnsi" w:hAnsi="Arial" w:cs="Arial"/>
          <w:sz w:val="20"/>
          <w:shd w:val="clear" w:color="auto" w:fill="FFFFFF"/>
          <w:lang w:bidi="ar-SA"/>
        </w:rPr>
        <w:t>. Ladha, J. K., Jat, M. L., Stirling, C. M., Chakraborty, D., Pradhan, P., Krupnik, T. J., ... &amp; Gerard, B. (2020). Achieving the sustainable development goals in agriculture: The crucial role of nitrogen in cereal-based systems. Advances in agronomy, 163, 39-116.</w:t>
      </w:r>
    </w:p>
    <w:p w14:paraId="1A3C92B7" w14:textId="4FB7BE20" w:rsidR="008C396F" w:rsidRPr="00A85918" w:rsidRDefault="008C396F" w:rsidP="008C396F">
      <w:pPr>
        <w:spacing w:line="240" w:lineRule="auto"/>
        <w:jc w:val="both"/>
        <w:rPr>
          <w:rFonts w:ascii="Arial" w:eastAsiaTheme="minorHAnsi" w:hAnsi="Arial" w:cs="Arial"/>
          <w:sz w:val="20"/>
          <w:shd w:val="clear" w:color="auto" w:fill="FFFFFF"/>
          <w:lang w:bidi="ar-SA"/>
        </w:rPr>
      </w:pPr>
      <w:r w:rsidRPr="00A85918">
        <w:rPr>
          <w:rFonts w:ascii="Arial" w:eastAsiaTheme="minorHAnsi" w:hAnsi="Arial" w:cs="Arial"/>
          <w:sz w:val="20"/>
          <w:shd w:val="clear" w:color="auto" w:fill="FFFFFF"/>
          <w:lang w:bidi="ar-SA"/>
        </w:rPr>
        <w:t>2</w:t>
      </w:r>
      <w:r>
        <w:rPr>
          <w:rFonts w:ascii="Arial" w:eastAsiaTheme="minorHAnsi" w:hAnsi="Arial" w:cs="Arial"/>
          <w:sz w:val="20"/>
          <w:shd w:val="clear" w:color="auto" w:fill="FFFFFF"/>
          <w:lang w:bidi="ar-SA"/>
        </w:rPr>
        <w:t>2</w:t>
      </w:r>
      <w:r w:rsidRPr="00A85918">
        <w:rPr>
          <w:rFonts w:ascii="Arial" w:eastAsiaTheme="minorHAnsi" w:hAnsi="Arial" w:cs="Arial"/>
          <w:sz w:val="20"/>
          <w:shd w:val="clear" w:color="auto" w:fill="FFFFFF"/>
          <w:lang w:bidi="ar-SA"/>
        </w:rPr>
        <w:t xml:space="preserve">. </w:t>
      </w:r>
      <w:proofErr w:type="spellStart"/>
      <w:r w:rsidRPr="00A85918">
        <w:rPr>
          <w:rFonts w:ascii="Arial" w:eastAsiaTheme="minorHAnsi" w:hAnsi="Arial" w:cs="Arial"/>
          <w:sz w:val="20"/>
          <w:shd w:val="clear" w:color="auto" w:fill="FFFFFF"/>
          <w:lang w:bidi="ar-SA"/>
        </w:rPr>
        <w:t>Fageria</w:t>
      </w:r>
      <w:proofErr w:type="spellEnd"/>
      <w:r w:rsidRPr="00A85918">
        <w:rPr>
          <w:rFonts w:ascii="Arial" w:eastAsiaTheme="minorHAnsi" w:hAnsi="Arial" w:cs="Arial"/>
          <w:sz w:val="20"/>
          <w:shd w:val="clear" w:color="auto" w:fill="FFFFFF"/>
          <w:lang w:bidi="ar-SA"/>
        </w:rPr>
        <w:t xml:space="preserve">, N. K., &amp; </w:t>
      </w:r>
      <w:proofErr w:type="spellStart"/>
      <w:r w:rsidRPr="00A85918">
        <w:rPr>
          <w:rFonts w:ascii="Arial" w:eastAsiaTheme="minorHAnsi" w:hAnsi="Arial" w:cs="Arial"/>
          <w:sz w:val="20"/>
          <w:shd w:val="clear" w:color="auto" w:fill="FFFFFF"/>
          <w:lang w:bidi="ar-SA"/>
        </w:rPr>
        <w:t>Baligar</w:t>
      </w:r>
      <w:proofErr w:type="spellEnd"/>
      <w:r w:rsidRPr="00A85918">
        <w:rPr>
          <w:rFonts w:ascii="Arial" w:eastAsiaTheme="minorHAnsi" w:hAnsi="Arial" w:cs="Arial"/>
          <w:sz w:val="20"/>
          <w:shd w:val="clear" w:color="auto" w:fill="FFFFFF"/>
          <w:lang w:bidi="ar-SA"/>
        </w:rPr>
        <w:t>, V. C. (2005). Enhancing nitrogen use efficiency in crop plants. Advances in agronomy, 88, 97-185.</w:t>
      </w:r>
    </w:p>
    <w:p w14:paraId="390B47DB" w14:textId="77777777" w:rsidR="00891C46" w:rsidRPr="00A85918" w:rsidRDefault="00891C46" w:rsidP="00891C46">
      <w:pPr>
        <w:spacing w:line="240" w:lineRule="auto"/>
        <w:jc w:val="both"/>
        <w:rPr>
          <w:rFonts w:ascii="Arial" w:eastAsiaTheme="minorHAnsi" w:hAnsi="Arial" w:cs="Arial"/>
          <w:sz w:val="20"/>
          <w:shd w:val="clear" w:color="auto" w:fill="FFFFFF"/>
          <w:lang w:bidi="ar-SA"/>
        </w:rPr>
      </w:pPr>
      <w:r w:rsidRPr="00A85918">
        <w:rPr>
          <w:rFonts w:ascii="Arial" w:eastAsiaTheme="minorHAnsi" w:hAnsi="Arial" w:cs="Arial"/>
          <w:sz w:val="20"/>
          <w:shd w:val="clear" w:color="auto" w:fill="FFFFFF"/>
          <w:lang w:bidi="ar-SA"/>
        </w:rPr>
        <w:t xml:space="preserve">23. Ladha, J. K., </w:t>
      </w:r>
      <w:proofErr w:type="spellStart"/>
      <w:r w:rsidRPr="00A85918">
        <w:rPr>
          <w:rFonts w:ascii="Arial" w:eastAsiaTheme="minorHAnsi" w:hAnsi="Arial" w:cs="Arial"/>
          <w:sz w:val="20"/>
          <w:shd w:val="clear" w:color="auto" w:fill="FFFFFF"/>
          <w:lang w:bidi="ar-SA"/>
        </w:rPr>
        <w:t>Khind</w:t>
      </w:r>
      <w:proofErr w:type="spellEnd"/>
      <w:r w:rsidRPr="00A85918">
        <w:rPr>
          <w:rFonts w:ascii="Arial" w:eastAsiaTheme="minorHAnsi" w:hAnsi="Arial" w:cs="Arial"/>
          <w:sz w:val="20"/>
          <w:shd w:val="clear" w:color="auto" w:fill="FFFFFF"/>
          <w:lang w:bidi="ar-SA"/>
        </w:rPr>
        <w:t>, C. S., Khera, T. S., &amp; Bueno, C. S. (2004). Effects of residue decomposition on productivity and soil fertility in rice–wheat rotation. Soil Science Society of America Journal, 68(3), 854-864.</w:t>
      </w:r>
    </w:p>
    <w:p w14:paraId="00D0640B" w14:textId="77777777" w:rsidR="00891C46" w:rsidRPr="007E1501" w:rsidRDefault="00891C46" w:rsidP="00891C46">
      <w:pPr>
        <w:spacing w:line="240" w:lineRule="auto"/>
        <w:ind w:left="720" w:hanging="720"/>
        <w:jc w:val="both"/>
        <w:rPr>
          <w:rFonts w:ascii="Arial" w:hAnsi="Arial" w:cs="Arial"/>
          <w:color w:val="222222"/>
          <w:sz w:val="22"/>
          <w:szCs w:val="22"/>
          <w:shd w:val="clear" w:color="auto" w:fill="FFFFFF"/>
        </w:rPr>
      </w:pPr>
    </w:p>
    <w:bookmarkEnd w:id="2"/>
    <w:p w14:paraId="72FC2F0E" w14:textId="77777777" w:rsidR="008C396F" w:rsidRPr="00A85918" w:rsidRDefault="008C396F" w:rsidP="009E5B6C">
      <w:pPr>
        <w:spacing w:line="240" w:lineRule="auto"/>
        <w:jc w:val="both"/>
        <w:rPr>
          <w:rFonts w:ascii="Arial" w:eastAsiaTheme="minorHAnsi" w:hAnsi="Arial" w:cs="Arial"/>
          <w:sz w:val="20"/>
          <w:shd w:val="clear" w:color="auto" w:fill="FFFFFF"/>
          <w:lang w:bidi="ar-SA"/>
        </w:rPr>
      </w:pPr>
    </w:p>
    <w:sectPr w:rsidR="008C396F" w:rsidRPr="00A85918" w:rsidSect="002E2713">
      <w:headerReference w:type="even" r:id="rId12"/>
      <w:headerReference w:type="default" r:id="rId13"/>
      <w:footerReference w:type="even" r:id="rId14"/>
      <w:footerReference w:type="default" r:id="rId15"/>
      <w:headerReference w:type="first" r:id="rId16"/>
      <w:footerReference w:type="first" r:id="rId17"/>
      <w:pgSz w:w="11906" w:h="16838" w:code="9"/>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C0948" w14:textId="77777777" w:rsidR="00F12073" w:rsidRDefault="00F12073" w:rsidP="00164E2A">
      <w:pPr>
        <w:spacing w:line="240" w:lineRule="auto"/>
      </w:pPr>
      <w:r>
        <w:separator/>
      </w:r>
    </w:p>
  </w:endnote>
  <w:endnote w:type="continuationSeparator" w:id="0">
    <w:p w14:paraId="76421FE3" w14:textId="77777777" w:rsidR="00F12073" w:rsidRDefault="00F12073" w:rsidP="00164E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venir">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6A07C" w14:textId="77777777" w:rsidR="00F14C65" w:rsidRDefault="00F14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Times New Roman"/>
        <w:sz w:val="24"/>
        <w:szCs w:val="24"/>
      </w:rPr>
      <w:id w:val="1816678510"/>
      <w:docPartObj>
        <w:docPartGallery w:val="Page Numbers (Bottom of Page)"/>
        <w:docPartUnique/>
      </w:docPartObj>
    </w:sdtPr>
    <w:sdtEndPr>
      <w:rPr>
        <w:rStyle w:val="PageNumber"/>
        <w:b/>
        <w:bCs/>
      </w:rPr>
    </w:sdtEndPr>
    <w:sdtContent>
      <w:p w14:paraId="7093E4BF" w14:textId="4AA51896" w:rsidR="002B2E49" w:rsidRPr="006D5830" w:rsidRDefault="002B2E49" w:rsidP="00B35F34">
        <w:pPr>
          <w:pStyle w:val="Footer"/>
          <w:framePr w:wrap="none" w:vAnchor="text" w:hAnchor="margin" w:xAlign="center" w:y="1"/>
          <w:rPr>
            <w:rStyle w:val="PageNumber"/>
            <w:rFonts w:cs="Times New Roman"/>
            <w:b/>
            <w:bCs/>
            <w:sz w:val="24"/>
            <w:szCs w:val="24"/>
          </w:rPr>
        </w:pPr>
        <w:r w:rsidRPr="006D5830">
          <w:rPr>
            <w:rStyle w:val="PageNumber"/>
            <w:rFonts w:cs="Times New Roman"/>
            <w:b/>
            <w:bCs/>
            <w:sz w:val="24"/>
            <w:szCs w:val="24"/>
          </w:rPr>
          <w:fldChar w:fldCharType="begin"/>
        </w:r>
        <w:r w:rsidRPr="006D5830">
          <w:rPr>
            <w:rStyle w:val="PageNumber"/>
            <w:rFonts w:cs="Times New Roman"/>
            <w:b/>
            <w:bCs/>
            <w:sz w:val="24"/>
            <w:szCs w:val="24"/>
          </w:rPr>
          <w:instrText xml:space="preserve"> PAGE </w:instrText>
        </w:r>
        <w:r w:rsidRPr="006D5830">
          <w:rPr>
            <w:rStyle w:val="PageNumber"/>
            <w:rFonts w:cs="Times New Roman"/>
            <w:b/>
            <w:bCs/>
            <w:sz w:val="24"/>
            <w:szCs w:val="24"/>
          </w:rPr>
          <w:fldChar w:fldCharType="separate"/>
        </w:r>
        <w:r w:rsidR="00F05056">
          <w:rPr>
            <w:rStyle w:val="PageNumber"/>
            <w:rFonts w:cs="Times New Roman"/>
            <w:b/>
            <w:bCs/>
            <w:noProof/>
            <w:sz w:val="24"/>
            <w:szCs w:val="24"/>
          </w:rPr>
          <w:t>12</w:t>
        </w:r>
        <w:r w:rsidRPr="006D5830">
          <w:rPr>
            <w:rStyle w:val="PageNumber"/>
            <w:rFonts w:cs="Times New Roman"/>
            <w:b/>
            <w:bCs/>
            <w:sz w:val="24"/>
            <w:szCs w:val="24"/>
          </w:rPr>
          <w:fldChar w:fldCharType="end"/>
        </w:r>
      </w:p>
    </w:sdtContent>
  </w:sdt>
  <w:p w14:paraId="56A475B9" w14:textId="77777777" w:rsidR="002B2E49" w:rsidRDefault="002B2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47554" w14:textId="77777777" w:rsidR="00F14C65" w:rsidRDefault="00F14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E99E4" w14:textId="77777777" w:rsidR="00F12073" w:rsidRDefault="00F12073" w:rsidP="00164E2A">
      <w:pPr>
        <w:spacing w:line="240" w:lineRule="auto"/>
      </w:pPr>
      <w:r>
        <w:separator/>
      </w:r>
    </w:p>
  </w:footnote>
  <w:footnote w:type="continuationSeparator" w:id="0">
    <w:p w14:paraId="00B60AD3" w14:textId="77777777" w:rsidR="00F12073" w:rsidRDefault="00F12073" w:rsidP="00164E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5D145" w14:textId="28F04CC7" w:rsidR="00F14C65" w:rsidRDefault="00F14C65">
    <w:pPr>
      <w:pStyle w:val="Header"/>
    </w:pPr>
    <w:r>
      <w:rPr>
        <w:noProof/>
      </w:rPr>
      <w:pict w14:anchorId="2596E5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359719" o:spid="_x0000_s1026" type="#_x0000_t136" style="position:absolute;margin-left:0;margin-top:0;width:499.5pt;height:55.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B53C6" w14:textId="7ABAC03E" w:rsidR="00F14C65" w:rsidRDefault="00F14C65">
    <w:pPr>
      <w:pStyle w:val="Header"/>
    </w:pPr>
    <w:r>
      <w:rPr>
        <w:noProof/>
      </w:rPr>
      <w:pict w14:anchorId="2F9ED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359720" o:spid="_x0000_s1027" type="#_x0000_t136" style="position:absolute;margin-left:0;margin-top:0;width:499.5pt;height:55.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007D9" w14:textId="4A338246" w:rsidR="00F14C65" w:rsidRDefault="00F14C65">
    <w:pPr>
      <w:pStyle w:val="Header"/>
    </w:pPr>
    <w:r>
      <w:rPr>
        <w:noProof/>
      </w:rPr>
      <w:pict w14:anchorId="77C48B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359718" o:spid="_x0000_s1025" type="#_x0000_t136" style="position:absolute;margin-left:0;margin-top:0;width:499.5pt;height:55.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016F"/>
    <w:multiLevelType w:val="multilevel"/>
    <w:tmpl w:val="2DB042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8583872"/>
    <w:multiLevelType w:val="hybridMultilevel"/>
    <w:tmpl w:val="5740C81E"/>
    <w:lvl w:ilvl="0" w:tplc="D1F65552">
      <w:start w:val="1"/>
      <w:numFmt w:val="bullet"/>
      <w:lvlText w:val=""/>
      <w:lvlJc w:val="left"/>
      <w:pPr>
        <w:tabs>
          <w:tab w:val="num" w:pos="720"/>
        </w:tabs>
        <w:ind w:left="720" w:hanging="360"/>
      </w:pPr>
      <w:rPr>
        <w:rFonts w:ascii="Wingdings" w:hAnsi="Wingdings" w:hint="default"/>
      </w:rPr>
    </w:lvl>
    <w:lvl w:ilvl="1" w:tplc="C6C63C42" w:tentative="1">
      <w:start w:val="1"/>
      <w:numFmt w:val="bullet"/>
      <w:lvlText w:val=""/>
      <w:lvlJc w:val="left"/>
      <w:pPr>
        <w:tabs>
          <w:tab w:val="num" w:pos="1440"/>
        </w:tabs>
        <w:ind w:left="1440" w:hanging="360"/>
      </w:pPr>
      <w:rPr>
        <w:rFonts w:ascii="Wingdings" w:hAnsi="Wingdings" w:hint="default"/>
      </w:rPr>
    </w:lvl>
    <w:lvl w:ilvl="2" w:tplc="1D90A22A" w:tentative="1">
      <w:start w:val="1"/>
      <w:numFmt w:val="bullet"/>
      <w:lvlText w:val=""/>
      <w:lvlJc w:val="left"/>
      <w:pPr>
        <w:tabs>
          <w:tab w:val="num" w:pos="2160"/>
        </w:tabs>
        <w:ind w:left="2160" w:hanging="360"/>
      </w:pPr>
      <w:rPr>
        <w:rFonts w:ascii="Wingdings" w:hAnsi="Wingdings" w:hint="default"/>
      </w:rPr>
    </w:lvl>
    <w:lvl w:ilvl="3" w:tplc="9A76133C" w:tentative="1">
      <w:start w:val="1"/>
      <w:numFmt w:val="bullet"/>
      <w:lvlText w:val=""/>
      <w:lvlJc w:val="left"/>
      <w:pPr>
        <w:tabs>
          <w:tab w:val="num" w:pos="2880"/>
        </w:tabs>
        <w:ind w:left="2880" w:hanging="360"/>
      </w:pPr>
      <w:rPr>
        <w:rFonts w:ascii="Wingdings" w:hAnsi="Wingdings" w:hint="default"/>
      </w:rPr>
    </w:lvl>
    <w:lvl w:ilvl="4" w:tplc="25DE0B74" w:tentative="1">
      <w:start w:val="1"/>
      <w:numFmt w:val="bullet"/>
      <w:lvlText w:val=""/>
      <w:lvlJc w:val="left"/>
      <w:pPr>
        <w:tabs>
          <w:tab w:val="num" w:pos="3600"/>
        </w:tabs>
        <w:ind w:left="3600" w:hanging="360"/>
      </w:pPr>
      <w:rPr>
        <w:rFonts w:ascii="Wingdings" w:hAnsi="Wingdings" w:hint="default"/>
      </w:rPr>
    </w:lvl>
    <w:lvl w:ilvl="5" w:tplc="9F146954" w:tentative="1">
      <w:start w:val="1"/>
      <w:numFmt w:val="bullet"/>
      <w:lvlText w:val=""/>
      <w:lvlJc w:val="left"/>
      <w:pPr>
        <w:tabs>
          <w:tab w:val="num" w:pos="4320"/>
        </w:tabs>
        <w:ind w:left="4320" w:hanging="360"/>
      </w:pPr>
      <w:rPr>
        <w:rFonts w:ascii="Wingdings" w:hAnsi="Wingdings" w:hint="default"/>
      </w:rPr>
    </w:lvl>
    <w:lvl w:ilvl="6" w:tplc="49B86800" w:tentative="1">
      <w:start w:val="1"/>
      <w:numFmt w:val="bullet"/>
      <w:lvlText w:val=""/>
      <w:lvlJc w:val="left"/>
      <w:pPr>
        <w:tabs>
          <w:tab w:val="num" w:pos="5040"/>
        </w:tabs>
        <w:ind w:left="5040" w:hanging="360"/>
      </w:pPr>
      <w:rPr>
        <w:rFonts w:ascii="Wingdings" w:hAnsi="Wingdings" w:hint="default"/>
      </w:rPr>
    </w:lvl>
    <w:lvl w:ilvl="7" w:tplc="49186F2A" w:tentative="1">
      <w:start w:val="1"/>
      <w:numFmt w:val="bullet"/>
      <w:lvlText w:val=""/>
      <w:lvlJc w:val="left"/>
      <w:pPr>
        <w:tabs>
          <w:tab w:val="num" w:pos="5760"/>
        </w:tabs>
        <w:ind w:left="5760" w:hanging="360"/>
      </w:pPr>
      <w:rPr>
        <w:rFonts w:ascii="Wingdings" w:hAnsi="Wingdings" w:hint="default"/>
      </w:rPr>
    </w:lvl>
    <w:lvl w:ilvl="8" w:tplc="1AD6D9F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A0876"/>
    <w:multiLevelType w:val="hybridMultilevel"/>
    <w:tmpl w:val="14F09CCE"/>
    <w:lvl w:ilvl="0" w:tplc="176E51AE">
      <w:start w:val="4"/>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0400BF3"/>
    <w:multiLevelType w:val="multilevel"/>
    <w:tmpl w:val="263E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0A4C26"/>
    <w:multiLevelType w:val="hybridMultilevel"/>
    <w:tmpl w:val="4E9C4B90"/>
    <w:lvl w:ilvl="0" w:tplc="BB7ADD2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5CF6CA9"/>
    <w:multiLevelType w:val="hybridMultilevel"/>
    <w:tmpl w:val="AC305EA4"/>
    <w:lvl w:ilvl="0" w:tplc="69BE066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BCD473A"/>
    <w:multiLevelType w:val="hybridMultilevel"/>
    <w:tmpl w:val="85D6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66505"/>
    <w:multiLevelType w:val="hybridMultilevel"/>
    <w:tmpl w:val="14AA1EEA"/>
    <w:lvl w:ilvl="0" w:tplc="6E867E9E">
      <w:start w:val="1"/>
      <w:numFmt w:val="lowerLetter"/>
      <w:lvlText w:val="(%1)"/>
      <w:lvlJc w:val="left"/>
      <w:pPr>
        <w:ind w:left="36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1880996"/>
    <w:multiLevelType w:val="hybridMultilevel"/>
    <w:tmpl w:val="C468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521BB"/>
    <w:multiLevelType w:val="hybridMultilevel"/>
    <w:tmpl w:val="5D7A9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4879A3"/>
    <w:multiLevelType w:val="hybridMultilevel"/>
    <w:tmpl w:val="80FA90E6"/>
    <w:lvl w:ilvl="0" w:tplc="50ECD7D2">
      <w:start w:val="1"/>
      <w:numFmt w:val="bullet"/>
      <w:lvlText w:val=""/>
      <w:lvlJc w:val="left"/>
      <w:pPr>
        <w:tabs>
          <w:tab w:val="num" w:pos="720"/>
        </w:tabs>
        <w:ind w:left="720" w:hanging="360"/>
      </w:pPr>
      <w:rPr>
        <w:rFonts w:ascii="Wingdings" w:hAnsi="Wingdings" w:hint="default"/>
      </w:rPr>
    </w:lvl>
    <w:lvl w:ilvl="1" w:tplc="0F3A81FC" w:tentative="1">
      <w:start w:val="1"/>
      <w:numFmt w:val="bullet"/>
      <w:lvlText w:val=""/>
      <w:lvlJc w:val="left"/>
      <w:pPr>
        <w:tabs>
          <w:tab w:val="num" w:pos="1440"/>
        </w:tabs>
        <w:ind w:left="1440" w:hanging="360"/>
      </w:pPr>
      <w:rPr>
        <w:rFonts w:ascii="Wingdings" w:hAnsi="Wingdings" w:hint="default"/>
      </w:rPr>
    </w:lvl>
    <w:lvl w:ilvl="2" w:tplc="1D3CD7F6" w:tentative="1">
      <w:start w:val="1"/>
      <w:numFmt w:val="bullet"/>
      <w:lvlText w:val=""/>
      <w:lvlJc w:val="left"/>
      <w:pPr>
        <w:tabs>
          <w:tab w:val="num" w:pos="2160"/>
        </w:tabs>
        <w:ind w:left="2160" w:hanging="360"/>
      </w:pPr>
      <w:rPr>
        <w:rFonts w:ascii="Wingdings" w:hAnsi="Wingdings" w:hint="default"/>
      </w:rPr>
    </w:lvl>
    <w:lvl w:ilvl="3" w:tplc="8F3A40D8" w:tentative="1">
      <w:start w:val="1"/>
      <w:numFmt w:val="bullet"/>
      <w:lvlText w:val=""/>
      <w:lvlJc w:val="left"/>
      <w:pPr>
        <w:tabs>
          <w:tab w:val="num" w:pos="2880"/>
        </w:tabs>
        <w:ind w:left="2880" w:hanging="360"/>
      </w:pPr>
      <w:rPr>
        <w:rFonts w:ascii="Wingdings" w:hAnsi="Wingdings" w:hint="default"/>
      </w:rPr>
    </w:lvl>
    <w:lvl w:ilvl="4" w:tplc="32A2F116" w:tentative="1">
      <w:start w:val="1"/>
      <w:numFmt w:val="bullet"/>
      <w:lvlText w:val=""/>
      <w:lvlJc w:val="left"/>
      <w:pPr>
        <w:tabs>
          <w:tab w:val="num" w:pos="3600"/>
        </w:tabs>
        <w:ind w:left="3600" w:hanging="360"/>
      </w:pPr>
      <w:rPr>
        <w:rFonts w:ascii="Wingdings" w:hAnsi="Wingdings" w:hint="default"/>
      </w:rPr>
    </w:lvl>
    <w:lvl w:ilvl="5" w:tplc="627233A0" w:tentative="1">
      <w:start w:val="1"/>
      <w:numFmt w:val="bullet"/>
      <w:lvlText w:val=""/>
      <w:lvlJc w:val="left"/>
      <w:pPr>
        <w:tabs>
          <w:tab w:val="num" w:pos="4320"/>
        </w:tabs>
        <w:ind w:left="4320" w:hanging="360"/>
      </w:pPr>
      <w:rPr>
        <w:rFonts w:ascii="Wingdings" w:hAnsi="Wingdings" w:hint="default"/>
      </w:rPr>
    </w:lvl>
    <w:lvl w:ilvl="6" w:tplc="0A98B172" w:tentative="1">
      <w:start w:val="1"/>
      <w:numFmt w:val="bullet"/>
      <w:lvlText w:val=""/>
      <w:lvlJc w:val="left"/>
      <w:pPr>
        <w:tabs>
          <w:tab w:val="num" w:pos="5040"/>
        </w:tabs>
        <w:ind w:left="5040" w:hanging="360"/>
      </w:pPr>
      <w:rPr>
        <w:rFonts w:ascii="Wingdings" w:hAnsi="Wingdings" w:hint="default"/>
      </w:rPr>
    </w:lvl>
    <w:lvl w:ilvl="7" w:tplc="D0D2C77A" w:tentative="1">
      <w:start w:val="1"/>
      <w:numFmt w:val="bullet"/>
      <w:lvlText w:val=""/>
      <w:lvlJc w:val="left"/>
      <w:pPr>
        <w:tabs>
          <w:tab w:val="num" w:pos="5760"/>
        </w:tabs>
        <w:ind w:left="5760" w:hanging="360"/>
      </w:pPr>
      <w:rPr>
        <w:rFonts w:ascii="Wingdings" w:hAnsi="Wingdings" w:hint="default"/>
      </w:rPr>
    </w:lvl>
    <w:lvl w:ilvl="8" w:tplc="487084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DA5376"/>
    <w:multiLevelType w:val="hybridMultilevel"/>
    <w:tmpl w:val="5EB22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D849D4"/>
    <w:multiLevelType w:val="multilevel"/>
    <w:tmpl w:val="FE98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C415A1"/>
    <w:multiLevelType w:val="multilevel"/>
    <w:tmpl w:val="CA60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945477"/>
    <w:multiLevelType w:val="hybridMultilevel"/>
    <w:tmpl w:val="5590043A"/>
    <w:lvl w:ilvl="0" w:tplc="6BC4BAEA">
      <w:start w:val="1"/>
      <w:numFmt w:val="decimal"/>
      <w:lvlText w:val="%1."/>
      <w:lvlJc w:val="left"/>
      <w:pPr>
        <w:ind w:left="99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5C1237"/>
    <w:multiLevelType w:val="hybridMultilevel"/>
    <w:tmpl w:val="44A6DFF8"/>
    <w:lvl w:ilvl="0" w:tplc="E1F2B4C8">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286460"/>
    <w:multiLevelType w:val="hybridMultilevel"/>
    <w:tmpl w:val="E4EA91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7085C"/>
    <w:multiLevelType w:val="multilevel"/>
    <w:tmpl w:val="AB48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B72A64"/>
    <w:multiLevelType w:val="hybridMultilevel"/>
    <w:tmpl w:val="D1DA10F4"/>
    <w:lvl w:ilvl="0" w:tplc="12FCC11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E596A5B"/>
    <w:multiLevelType w:val="multilevel"/>
    <w:tmpl w:val="C2F8326E"/>
    <w:lvl w:ilvl="0">
      <w:start w:val="4"/>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2DD2D8C"/>
    <w:multiLevelType w:val="hybridMultilevel"/>
    <w:tmpl w:val="AC305EA4"/>
    <w:lvl w:ilvl="0" w:tplc="69BE06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C4F02"/>
    <w:multiLevelType w:val="hybridMultilevel"/>
    <w:tmpl w:val="847C02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C5158B"/>
    <w:multiLevelType w:val="hybridMultilevel"/>
    <w:tmpl w:val="62D2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0506F9"/>
    <w:multiLevelType w:val="hybridMultilevel"/>
    <w:tmpl w:val="784A1CAE"/>
    <w:lvl w:ilvl="0" w:tplc="B552B7F8">
      <w:start w:val="1"/>
      <w:numFmt w:val="decimal"/>
      <w:lvlText w:val="%1."/>
      <w:lvlJc w:val="left"/>
      <w:pPr>
        <w:tabs>
          <w:tab w:val="num" w:pos="720"/>
        </w:tabs>
        <w:ind w:left="720" w:hanging="360"/>
      </w:pPr>
    </w:lvl>
    <w:lvl w:ilvl="1" w:tplc="4CB08D42" w:tentative="1">
      <w:start w:val="1"/>
      <w:numFmt w:val="decimal"/>
      <w:lvlText w:val="%2."/>
      <w:lvlJc w:val="left"/>
      <w:pPr>
        <w:tabs>
          <w:tab w:val="num" w:pos="1440"/>
        </w:tabs>
        <w:ind w:left="1440" w:hanging="360"/>
      </w:pPr>
    </w:lvl>
    <w:lvl w:ilvl="2" w:tplc="BE9E3418" w:tentative="1">
      <w:start w:val="1"/>
      <w:numFmt w:val="decimal"/>
      <w:lvlText w:val="%3."/>
      <w:lvlJc w:val="left"/>
      <w:pPr>
        <w:tabs>
          <w:tab w:val="num" w:pos="2160"/>
        </w:tabs>
        <w:ind w:left="2160" w:hanging="360"/>
      </w:pPr>
    </w:lvl>
    <w:lvl w:ilvl="3" w:tplc="EB2483B2" w:tentative="1">
      <w:start w:val="1"/>
      <w:numFmt w:val="decimal"/>
      <w:lvlText w:val="%4."/>
      <w:lvlJc w:val="left"/>
      <w:pPr>
        <w:tabs>
          <w:tab w:val="num" w:pos="2880"/>
        </w:tabs>
        <w:ind w:left="2880" w:hanging="360"/>
      </w:pPr>
    </w:lvl>
    <w:lvl w:ilvl="4" w:tplc="AF0284BE" w:tentative="1">
      <w:start w:val="1"/>
      <w:numFmt w:val="decimal"/>
      <w:lvlText w:val="%5."/>
      <w:lvlJc w:val="left"/>
      <w:pPr>
        <w:tabs>
          <w:tab w:val="num" w:pos="3600"/>
        </w:tabs>
        <w:ind w:left="3600" w:hanging="360"/>
      </w:pPr>
    </w:lvl>
    <w:lvl w:ilvl="5" w:tplc="ECBEC186" w:tentative="1">
      <w:start w:val="1"/>
      <w:numFmt w:val="decimal"/>
      <w:lvlText w:val="%6."/>
      <w:lvlJc w:val="left"/>
      <w:pPr>
        <w:tabs>
          <w:tab w:val="num" w:pos="4320"/>
        </w:tabs>
        <w:ind w:left="4320" w:hanging="360"/>
      </w:pPr>
    </w:lvl>
    <w:lvl w:ilvl="6" w:tplc="AA2AA05C" w:tentative="1">
      <w:start w:val="1"/>
      <w:numFmt w:val="decimal"/>
      <w:lvlText w:val="%7."/>
      <w:lvlJc w:val="left"/>
      <w:pPr>
        <w:tabs>
          <w:tab w:val="num" w:pos="5040"/>
        </w:tabs>
        <w:ind w:left="5040" w:hanging="360"/>
      </w:pPr>
    </w:lvl>
    <w:lvl w:ilvl="7" w:tplc="582E49AA" w:tentative="1">
      <w:start w:val="1"/>
      <w:numFmt w:val="decimal"/>
      <w:lvlText w:val="%8."/>
      <w:lvlJc w:val="left"/>
      <w:pPr>
        <w:tabs>
          <w:tab w:val="num" w:pos="5760"/>
        </w:tabs>
        <w:ind w:left="5760" w:hanging="360"/>
      </w:pPr>
    </w:lvl>
    <w:lvl w:ilvl="8" w:tplc="91C0DD66" w:tentative="1">
      <w:start w:val="1"/>
      <w:numFmt w:val="decimal"/>
      <w:lvlText w:val="%9."/>
      <w:lvlJc w:val="left"/>
      <w:pPr>
        <w:tabs>
          <w:tab w:val="num" w:pos="6480"/>
        </w:tabs>
        <w:ind w:left="6480" w:hanging="360"/>
      </w:pPr>
    </w:lvl>
  </w:abstractNum>
  <w:abstractNum w:abstractNumId="24" w15:restartNumberingAfterBreak="0">
    <w:nsid w:val="5C7B33F9"/>
    <w:multiLevelType w:val="hybridMultilevel"/>
    <w:tmpl w:val="66DEE4C4"/>
    <w:lvl w:ilvl="0" w:tplc="DC7E76DA">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566CB7"/>
    <w:multiLevelType w:val="multilevel"/>
    <w:tmpl w:val="DC60DDDA"/>
    <w:lvl w:ilvl="0">
      <w:start w:val="4"/>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8122FE"/>
    <w:multiLevelType w:val="multilevel"/>
    <w:tmpl w:val="59FA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314FE6"/>
    <w:multiLevelType w:val="hybridMultilevel"/>
    <w:tmpl w:val="AFD635A0"/>
    <w:lvl w:ilvl="0" w:tplc="0409000F">
      <w:start w:val="1"/>
      <w:numFmt w:val="decimal"/>
      <w:lvlText w:val="%1."/>
      <w:lvlJc w:val="left"/>
      <w:pPr>
        <w:ind w:left="1080" w:hanging="360"/>
      </w:pPr>
    </w:lvl>
    <w:lvl w:ilvl="1" w:tplc="BCD83E40">
      <w:start w:val="1"/>
      <w:numFmt w:val="decimal"/>
      <w:lvlText w:val="%2."/>
      <w:lvlJc w:val="left"/>
      <w:pPr>
        <w:ind w:left="810" w:hanging="360"/>
      </w:pPr>
      <w:rPr>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F36639"/>
    <w:multiLevelType w:val="hybridMultilevel"/>
    <w:tmpl w:val="EF5EAFEA"/>
    <w:lvl w:ilvl="0" w:tplc="32682590">
      <w:start w:val="1"/>
      <w:numFmt w:val="bullet"/>
      <w:lvlText w:val="-"/>
      <w:lvlJc w:val="left"/>
      <w:pPr>
        <w:tabs>
          <w:tab w:val="num" w:pos="720"/>
        </w:tabs>
        <w:ind w:left="720" w:hanging="360"/>
      </w:pPr>
      <w:rPr>
        <w:rFonts w:ascii="Times New Roman" w:hAnsi="Times New Roman" w:hint="default"/>
      </w:rPr>
    </w:lvl>
    <w:lvl w:ilvl="1" w:tplc="8F1E0FFC" w:tentative="1">
      <w:start w:val="1"/>
      <w:numFmt w:val="bullet"/>
      <w:lvlText w:val="-"/>
      <w:lvlJc w:val="left"/>
      <w:pPr>
        <w:tabs>
          <w:tab w:val="num" w:pos="1440"/>
        </w:tabs>
        <w:ind w:left="1440" w:hanging="360"/>
      </w:pPr>
      <w:rPr>
        <w:rFonts w:ascii="Times New Roman" w:hAnsi="Times New Roman" w:hint="default"/>
      </w:rPr>
    </w:lvl>
    <w:lvl w:ilvl="2" w:tplc="8FECCF74" w:tentative="1">
      <w:start w:val="1"/>
      <w:numFmt w:val="bullet"/>
      <w:lvlText w:val="-"/>
      <w:lvlJc w:val="left"/>
      <w:pPr>
        <w:tabs>
          <w:tab w:val="num" w:pos="2160"/>
        </w:tabs>
        <w:ind w:left="2160" w:hanging="360"/>
      </w:pPr>
      <w:rPr>
        <w:rFonts w:ascii="Times New Roman" w:hAnsi="Times New Roman" w:hint="default"/>
      </w:rPr>
    </w:lvl>
    <w:lvl w:ilvl="3" w:tplc="339A1ED0" w:tentative="1">
      <w:start w:val="1"/>
      <w:numFmt w:val="bullet"/>
      <w:lvlText w:val="-"/>
      <w:lvlJc w:val="left"/>
      <w:pPr>
        <w:tabs>
          <w:tab w:val="num" w:pos="2880"/>
        </w:tabs>
        <w:ind w:left="2880" w:hanging="360"/>
      </w:pPr>
      <w:rPr>
        <w:rFonts w:ascii="Times New Roman" w:hAnsi="Times New Roman" w:hint="default"/>
      </w:rPr>
    </w:lvl>
    <w:lvl w:ilvl="4" w:tplc="95C2B070" w:tentative="1">
      <w:start w:val="1"/>
      <w:numFmt w:val="bullet"/>
      <w:lvlText w:val="-"/>
      <w:lvlJc w:val="left"/>
      <w:pPr>
        <w:tabs>
          <w:tab w:val="num" w:pos="3600"/>
        </w:tabs>
        <w:ind w:left="3600" w:hanging="360"/>
      </w:pPr>
      <w:rPr>
        <w:rFonts w:ascii="Times New Roman" w:hAnsi="Times New Roman" w:hint="default"/>
      </w:rPr>
    </w:lvl>
    <w:lvl w:ilvl="5" w:tplc="25FE01AC" w:tentative="1">
      <w:start w:val="1"/>
      <w:numFmt w:val="bullet"/>
      <w:lvlText w:val="-"/>
      <w:lvlJc w:val="left"/>
      <w:pPr>
        <w:tabs>
          <w:tab w:val="num" w:pos="4320"/>
        </w:tabs>
        <w:ind w:left="4320" w:hanging="360"/>
      </w:pPr>
      <w:rPr>
        <w:rFonts w:ascii="Times New Roman" w:hAnsi="Times New Roman" w:hint="default"/>
      </w:rPr>
    </w:lvl>
    <w:lvl w:ilvl="6" w:tplc="84701DA0" w:tentative="1">
      <w:start w:val="1"/>
      <w:numFmt w:val="bullet"/>
      <w:lvlText w:val="-"/>
      <w:lvlJc w:val="left"/>
      <w:pPr>
        <w:tabs>
          <w:tab w:val="num" w:pos="5040"/>
        </w:tabs>
        <w:ind w:left="5040" w:hanging="360"/>
      </w:pPr>
      <w:rPr>
        <w:rFonts w:ascii="Times New Roman" w:hAnsi="Times New Roman" w:hint="default"/>
      </w:rPr>
    </w:lvl>
    <w:lvl w:ilvl="7" w:tplc="F7BC9004" w:tentative="1">
      <w:start w:val="1"/>
      <w:numFmt w:val="bullet"/>
      <w:lvlText w:val="-"/>
      <w:lvlJc w:val="left"/>
      <w:pPr>
        <w:tabs>
          <w:tab w:val="num" w:pos="5760"/>
        </w:tabs>
        <w:ind w:left="5760" w:hanging="360"/>
      </w:pPr>
      <w:rPr>
        <w:rFonts w:ascii="Times New Roman" w:hAnsi="Times New Roman" w:hint="default"/>
      </w:rPr>
    </w:lvl>
    <w:lvl w:ilvl="8" w:tplc="7D36245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469567E"/>
    <w:multiLevelType w:val="hybridMultilevel"/>
    <w:tmpl w:val="AC164772"/>
    <w:lvl w:ilvl="0" w:tplc="0409000F">
      <w:start w:val="1"/>
      <w:numFmt w:val="decimal"/>
      <w:lvlText w:val="%1."/>
      <w:lvlJc w:val="left"/>
      <w:pPr>
        <w:ind w:left="126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650F41B8"/>
    <w:multiLevelType w:val="multilevel"/>
    <w:tmpl w:val="D234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253902"/>
    <w:multiLevelType w:val="multilevel"/>
    <w:tmpl w:val="774AC5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B13AC8"/>
    <w:multiLevelType w:val="hybridMultilevel"/>
    <w:tmpl w:val="83283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148FB"/>
    <w:multiLevelType w:val="hybridMultilevel"/>
    <w:tmpl w:val="767A835C"/>
    <w:lvl w:ilvl="0" w:tplc="11149DC8">
      <w:start w:val="3"/>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C8200E6"/>
    <w:multiLevelType w:val="multilevel"/>
    <w:tmpl w:val="464C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17539A"/>
    <w:multiLevelType w:val="hybridMultilevel"/>
    <w:tmpl w:val="1C82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DE21CA"/>
    <w:multiLevelType w:val="hybridMultilevel"/>
    <w:tmpl w:val="11D4647A"/>
    <w:lvl w:ilvl="0" w:tplc="2E90D6BC">
      <w:start w:val="1"/>
      <w:numFmt w:val="bullet"/>
      <w:lvlText w:val="-"/>
      <w:lvlJc w:val="left"/>
      <w:pPr>
        <w:tabs>
          <w:tab w:val="num" w:pos="720"/>
        </w:tabs>
        <w:ind w:left="720" w:hanging="360"/>
      </w:pPr>
      <w:rPr>
        <w:rFonts w:ascii="Times New Roman" w:hAnsi="Times New Roman" w:hint="default"/>
      </w:rPr>
    </w:lvl>
    <w:lvl w:ilvl="1" w:tplc="6F963816" w:tentative="1">
      <w:start w:val="1"/>
      <w:numFmt w:val="bullet"/>
      <w:lvlText w:val="-"/>
      <w:lvlJc w:val="left"/>
      <w:pPr>
        <w:tabs>
          <w:tab w:val="num" w:pos="1440"/>
        </w:tabs>
        <w:ind w:left="1440" w:hanging="360"/>
      </w:pPr>
      <w:rPr>
        <w:rFonts w:ascii="Times New Roman" w:hAnsi="Times New Roman" w:hint="default"/>
      </w:rPr>
    </w:lvl>
    <w:lvl w:ilvl="2" w:tplc="ECCA95D2" w:tentative="1">
      <w:start w:val="1"/>
      <w:numFmt w:val="bullet"/>
      <w:lvlText w:val="-"/>
      <w:lvlJc w:val="left"/>
      <w:pPr>
        <w:tabs>
          <w:tab w:val="num" w:pos="2160"/>
        </w:tabs>
        <w:ind w:left="2160" w:hanging="360"/>
      </w:pPr>
      <w:rPr>
        <w:rFonts w:ascii="Times New Roman" w:hAnsi="Times New Roman" w:hint="default"/>
      </w:rPr>
    </w:lvl>
    <w:lvl w:ilvl="3" w:tplc="0D723088" w:tentative="1">
      <w:start w:val="1"/>
      <w:numFmt w:val="bullet"/>
      <w:lvlText w:val="-"/>
      <w:lvlJc w:val="left"/>
      <w:pPr>
        <w:tabs>
          <w:tab w:val="num" w:pos="2880"/>
        </w:tabs>
        <w:ind w:left="2880" w:hanging="360"/>
      </w:pPr>
      <w:rPr>
        <w:rFonts w:ascii="Times New Roman" w:hAnsi="Times New Roman" w:hint="default"/>
      </w:rPr>
    </w:lvl>
    <w:lvl w:ilvl="4" w:tplc="1DE66E64" w:tentative="1">
      <w:start w:val="1"/>
      <w:numFmt w:val="bullet"/>
      <w:lvlText w:val="-"/>
      <w:lvlJc w:val="left"/>
      <w:pPr>
        <w:tabs>
          <w:tab w:val="num" w:pos="3600"/>
        </w:tabs>
        <w:ind w:left="3600" w:hanging="360"/>
      </w:pPr>
      <w:rPr>
        <w:rFonts w:ascii="Times New Roman" w:hAnsi="Times New Roman" w:hint="default"/>
      </w:rPr>
    </w:lvl>
    <w:lvl w:ilvl="5" w:tplc="5ACA6F06" w:tentative="1">
      <w:start w:val="1"/>
      <w:numFmt w:val="bullet"/>
      <w:lvlText w:val="-"/>
      <w:lvlJc w:val="left"/>
      <w:pPr>
        <w:tabs>
          <w:tab w:val="num" w:pos="4320"/>
        </w:tabs>
        <w:ind w:left="4320" w:hanging="360"/>
      </w:pPr>
      <w:rPr>
        <w:rFonts w:ascii="Times New Roman" w:hAnsi="Times New Roman" w:hint="default"/>
      </w:rPr>
    </w:lvl>
    <w:lvl w:ilvl="6" w:tplc="C56690B8" w:tentative="1">
      <w:start w:val="1"/>
      <w:numFmt w:val="bullet"/>
      <w:lvlText w:val="-"/>
      <w:lvlJc w:val="left"/>
      <w:pPr>
        <w:tabs>
          <w:tab w:val="num" w:pos="5040"/>
        </w:tabs>
        <w:ind w:left="5040" w:hanging="360"/>
      </w:pPr>
      <w:rPr>
        <w:rFonts w:ascii="Times New Roman" w:hAnsi="Times New Roman" w:hint="default"/>
      </w:rPr>
    </w:lvl>
    <w:lvl w:ilvl="7" w:tplc="4502CEB8" w:tentative="1">
      <w:start w:val="1"/>
      <w:numFmt w:val="bullet"/>
      <w:lvlText w:val="-"/>
      <w:lvlJc w:val="left"/>
      <w:pPr>
        <w:tabs>
          <w:tab w:val="num" w:pos="5760"/>
        </w:tabs>
        <w:ind w:left="5760" w:hanging="360"/>
      </w:pPr>
      <w:rPr>
        <w:rFonts w:ascii="Times New Roman" w:hAnsi="Times New Roman" w:hint="default"/>
      </w:rPr>
    </w:lvl>
    <w:lvl w:ilvl="8" w:tplc="E5DCC5C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E841CE3"/>
    <w:multiLevelType w:val="hybridMultilevel"/>
    <w:tmpl w:val="836E966C"/>
    <w:lvl w:ilvl="0" w:tplc="A6C204E8">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8" w15:restartNumberingAfterBreak="0">
    <w:nsid w:val="70801D45"/>
    <w:multiLevelType w:val="hybridMultilevel"/>
    <w:tmpl w:val="1F7C634C"/>
    <w:lvl w:ilvl="0" w:tplc="44A25068">
      <w:start w:val="1"/>
      <w:numFmt w:val="decimal"/>
      <w:lvlText w:val="%1."/>
      <w:lvlJc w:val="left"/>
      <w:pPr>
        <w:ind w:left="720" w:hanging="360"/>
      </w:pPr>
      <w:rPr>
        <w:rFonts w:eastAsiaTheme="minorEastAsia"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6B549C"/>
    <w:multiLevelType w:val="hybridMultilevel"/>
    <w:tmpl w:val="4CBC1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865C5B"/>
    <w:multiLevelType w:val="hybridMultilevel"/>
    <w:tmpl w:val="92265338"/>
    <w:lvl w:ilvl="0" w:tplc="1E2E462A">
      <w:start w:val="1"/>
      <w:numFmt w:val="bullet"/>
      <w:lvlText w:val=""/>
      <w:lvlJc w:val="left"/>
      <w:pPr>
        <w:tabs>
          <w:tab w:val="num" w:pos="720"/>
        </w:tabs>
        <w:ind w:left="720" w:hanging="360"/>
      </w:pPr>
      <w:rPr>
        <w:rFonts w:ascii="Wingdings" w:hAnsi="Wingdings" w:hint="default"/>
      </w:rPr>
    </w:lvl>
    <w:lvl w:ilvl="1" w:tplc="3B2EA654" w:tentative="1">
      <w:start w:val="1"/>
      <w:numFmt w:val="bullet"/>
      <w:lvlText w:val=""/>
      <w:lvlJc w:val="left"/>
      <w:pPr>
        <w:tabs>
          <w:tab w:val="num" w:pos="1440"/>
        </w:tabs>
        <w:ind w:left="1440" w:hanging="360"/>
      </w:pPr>
      <w:rPr>
        <w:rFonts w:ascii="Wingdings" w:hAnsi="Wingdings" w:hint="default"/>
      </w:rPr>
    </w:lvl>
    <w:lvl w:ilvl="2" w:tplc="88D60630" w:tentative="1">
      <w:start w:val="1"/>
      <w:numFmt w:val="bullet"/>
      <w:lvlText w:val=""/>
      <w:lvlJc w:val="left"/>
      <w:pPr>
        <w:tabs>
          <w:tab w:val="num" w:pos="2160"/>
        </w:tabs>
        <w:ind w:left="2160" w:hanging="360"/>
      </w:pPr>
      <w:rPr>
        <w:rFonts w:ascii="Wingdings" w:hAnsi="Wingdings" w:hint="default"/>
      </w:rPr>
    </w:lvl>
    <w:lvl w:ilvl="3" w:tplc="AEBE2F96" w:tentative="1">
      <w:start w:val="1"/>
      <w:numFmt w:val="bullet"/>
      <w:lvlText w:val=""/>
      <w:lvlJc w:val="left"/>
      <w:pPr>
        <w:tabs>
          <w:tab w:val="num" w:pos="2880"/>
        </w:tabs>
        <w:ind w:left="2880" w:hanging="360"/>
      </w:pPr>
      <w:rPr>
        <w:rFonts w:ascii="Wingdings" w:hAnsi="Wingdings" w:hint="default"/>
      </w:rPr>
    </w:lvl>
    <w:lvl w:ilvl="4" w:tplc="F3AE060A" w:tentative="1">
      <w:start w:val="1"/>
      <w:numFmt w:val="bullet"/>
      <w:lvlText w:val=""/>
      <w:lvlJc w:val="left"/>
      <w:pPr>
        <w:tabs>
          <w:tab w:val="num" w:pos="3600"/>
        </w:tabs>
        <w:ind w:left="3600" w:hanging="360"/>
      </w:pPr>
      <w:rPr>
        <w:rFonts w:ascii="Wingdings" w:hAnsi="Wingdings" w:hint="default"/>
      </w:rPr>
    </w:lvl>
    <w:lvl w:ilvl="5" w:tplc="10DE89FE" w:tentative="1">
      <w:start w:val="1"/>
      <w:numFmt w:val="bullet"/>
      <w:lvlText w:val=""/>
      <w:lvlJc w:val="left"/>
      <w:pPr>
        <w:tabs>
          <w:tab w:val="num" w:pos="4320"/>
        </w:tabs>
        <w:ind w:left="4320" w:hanging="360"/>
      </w:pPr>
      <w:rPr>
        <w:rFonts w:ascii="Wingdings" w:hAnsi="Wingdings" w:hint="default"/>
      </w:rPr>
    </w:lvl>
    <w:lvl w:ilvl="6" w:tplc="4DC026E8" w:tentative="1">
      <w:start w:val="1"/>
      <w:numFmt w:val="bullet"/>
      <w:lvlText w:val=""/>
      <w:lvlJc w:val="left"/>
      <w:pPr>
        <w:tabs>
          <w:tab w:val="num" w:pos="5040"/>
        </w:tabs>
        <w:ind w:left="5040" w:hanging="360"/>
      </w:pPr>
      <w:rPr>
        <w:rFonts w:ascii="Wingdings" w:hAnsi="Wingdings" w:hint="default"/>
      </w:rPr>
    </w:lvl>
    <w:lvl w:ilvl="7" w:tplc="D76CF8F6" w:tentative="1">
      <w:start w:val="1"/>
      <w:numFmt w:val="bullet"/>
      <w:lvlText w:val=""/>
      <w:lvlJc w:val="left"/>
      <w:pPr>
        <w:tabs>
          <w:tab w:val="num" w:pos="5760"/>
        </w:tabs>
        <w:ind w:left="5760" w:hanging="360"/>
      </w:pPr>
      <w:rPr>
        <w:rFonts w:ascii="Wingdings" w:hAnsi="Wingdings" w:hint="default"/>
      </w:rPr>
    </w:lvl>
    <w:lvl w:ilvl="8" w:tplc="B07028A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C0698A"/>
    <w:multiLevelType w:val="hybridMultilevel"/>
    <w:tmpl w:val="4EC42F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B27199"/>
    <w:multiLevelType w:val="hybridMultilevel"/>
    <w:tmpl w:val="8244EE90"/>
    <w:lvl w:ilvl="0" w:tplc="D478B82C">
      <w:start w:val="1"/>
      <w:numFmt w:val="bullet"/>
      <w:lvlText w:val="•"/>
      <w:lvlJc w:val="left"/>
      <w:pPr>
        <w:tabs>
          <w:tab w:val="num" w:pos="720"/>
        </w:tabs>
        <w:ind w:left="720" w:hanging="360"/>
      </w:pPr>
      <w:rPr>
        <w:rFonts w:ascii="Arial" w:hAnsi="Arial" w:hint="default"/>
      </w:rPr>
    </w:lvl>
    <w:lvl w:ilvl="1" w:tplc="035416D4" w:tentative="1">
      <w:start w:val="1"/>
      <w:numFmt w:val="bullet"/>
      <w:lvlText w:val="•"/>
      <w:lvlJc w:val="left"/>
      <w:pPr>
        <w:tabs>
          <w:tab w:val="num" w:pos="1440"/>
        </w:tabs>
        <w:ind w:left="1440" w:hanging="360"/>
      </w:pPr>
      <w:rPr>
        <w:rFonts w:ascii="Arial" w:hAnsi="Arial" w:hint="default"/>
      </w:rPr>
    </w:lvl>
    <w:lvl w:ilvl="2" w:tplc="129098C6" w:tentative="1">
      <w:start w:val="1"/>
      <w:numFmt w:val="bullet"/>
      <w:lvlText w:val="•"/>
      <w:lvlJc w:val="left"/>
      <w:pPr>
        <w:tabs>
          <w:tab w:val="num" w:pos="2160"/>
        </w:tabs>
        <w:ind w:left="2160" w:hanging="360"/>
      </w:pPr>
      <w:rPr>
        <w:rFonts w:ascii="Arial" w:hAnsi="Arial" w:hint="default"/>
      </w:rPr>
    </w:lvl>
    <w:lvl w:ilvl="3" w:tplc="64AEFC72" w:tentative="1">
      <w:start w:val="1"/>
      <w:numFmt w:val="bullet"/>
      <w:lvlText w:val="•"/>
      <w:lvlJc w:val="left"/>
      <w:pPr>
        <w:tabs>
          <w:tab w:val="num" w:pos="2880"/>
        </w:tabs>
        <w:ind w:left="2880" w:hanging="360"/>
      </w:pPr>
      <w:rPr>
        <w:rFonts w:ascii="Arial" w:hAnsi="Arial" w:hint="default"/>
      </w:rPr>
    </w:lvl>
    <w:lvl w:ilvl="4" w:tplc="441EA09A" w:tentative="1">
      <w:start w:val="1"/>
      <w:numFmt w:val="bullet"/>
      <w:lvlText w:val="•"/>
      <w:lvlJc w:val="left"/>
      <w:pPr>
        <w:tabs>
          <w:tab w:val="num" w:pos="3600"/>
        </w:tabs>
        <w:ind w:left="3600" w:hanging="360"/>
      </w:pPr>
      <w:rPr>
        <w:rFonts w:ascii="Arial" w:hAnsi="Arial" w:hint="default"/>
      </w:rPr>
    </w:lvl>
    <w:lvl w:ilvl="5" w:tplc="B1185D7A" w:tentative="1">
      <w:start w:val="1"/>
      <w:numFmt w:val="bullet"/>
      <w:lvlText w:val="•"/>
      <w:lvlJc w:val="left"/>
      <w:pPr>
        <w:tabs>
          <w:tab w:val="num" w:pos="4320"/>
        </w:tabs>
        <w:ind w:left="4320" w:hanging="360"/>
      </w:pPr>
      <w:rPr>
        <w:rFonts w:ascii="Arial" w:hAnsi="Arial" w:hint="default"/>
      </w:rPr>
    </w:lvl>
    <w:lvl w:ilvl="6" w:tplc="ABDE139E" w:tentative="1">
      <w:start w:val="1"/>
      <w:numFmt w:val="bullet"/>
      <w:lvlText w:val="•"/>
      <w:lvlJc w:val="left"/>
      <w:pPr>
        <w:tabs>
          <w:tab w:val="num" w:pos="5040"/>
        </w:tabs>
        <w:ind w:left="5040" w:hanging="360"/>
      </w:pPr>
      <w:rPr>
        <w:rFonts w:ascii="Arial" w:hAnsi="Arial" w:hint="default"/>
      </w:rPr>
    </w:lvl>
    <w:lvl w:ilvl="7" w:tplc="0D98E0B4" w:tentative="1">
      <w:start w:val="1"/>
      <w:numFmt w:val="bullet"/>
      <w:lvlText w:val="•"/>
      <w:lvlJc w:val="left"/>
      <w:pPr>
        <w:tabs>
          <w:tab w:val="num" w:pos="5760"/>
        </w:tabs>
        <w:ind w:left="5760" w:hanging="360"/>
      </w:pPr>
      <w:rPr>
        <w:rFonts w:ascii="Arial" w:hAnsi="Arial" w:hint="default"/>
      </w:rPr>
    </w:lvl>
    <w:lvl w:ilvl="8" w:tplc="10E2F1D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9031CA"/>
    <w:multiLevelType w:val="hybridMultilevel"/>
    <w:tmpl w:val="7EFADDE4"/>
    <w:lvl w:ilvl="0" w:tplc="28FA859E">
      <w:start w:val="1"/>
      <w:numFmt w:val="decimal"/>
      <w:lvlText w:val="%1."/>
      <w:lvlJc w:val="left"/>
      <w:pPr>
        <w:tabs>
          <w:tab w:val="num" w:pos="720"/>
        </w:tabs>
        <w:ind w:left="720" w:hanging="360"/>
      </w:pPr>
    </w:lvl>
    <w:lvl w:ilvl="1" w:tplc="A0D0FDFC" w:tentative="1">
      <w:start w:val="1"/>
      <w:numFmt w:val="decimal"/>
      <w:lvlText w:val="%2."/>
      <w:lvlJc w:val="left"/>
      <w:pPr>
        <w:tabs>
          <w:tab w:val="num" w:pos="1440"/>
        </w:tabs>
        <w:ind w:left="1440" w:hanging="360"/>
      </w:pPr>
    </w:lvl>
    <w:lvl w:ilvl="2" w:tplc="551CAB0A" w:tentative="1">
      <w:start w:val="1"/>
      <w:numFmt w:val="decimal"/>
      <w:lvlText w:val="%3."/>
      <w:lvlJc w:val="left"/>
      <w:pPr>
        <w:tabs>
          <w:tab w:val="num" w:pos="2160"/>
        </w:tabs>
        <w:ind w:left="2160" w:hanging="360"/>
      </w:pPr>
    </w:lvl>
    <w:lvl w:ilvl="3" w:tplc="46685C6E" w:tentative="1">
      <w:start w:val="1"/>
      <w:numFmt w:val="decimal"/>
      <w:lvlText w:val="%4."/>
      <w:lvlJc w:val="left"/>
      <w:pPr>
        <w:tabs>
          <w:tab w:val="num" w:pos="2880"/>
        </w:tabs>
        <w:ind w:left="2880" w:hanging="360"/>
      </w:pPr>
    </w:lvl>
    <w:lvl w:ilvl="4" w:tplc="55F8A162" w:tentative="1">
      <w:start w:val="1"/>
      <w:numFmt w:val="decimal"/>
      <w:lvlText w:val="%5."/>
      <w:lvlJc w:val="left"/>
      <w:pPr>
        <w:tabs>
          <w:tab w:val="num" w:pos="3600"/>
        </w:tabs>
        <w:ind w:left="3600" w:hanging="360"/>
      </w:pPr>
    </w:lvl>
    <w:lvl w:ilvl="5" w:tplc="B734DC76" w:tentative="1">
      <w:start w:val="1"/>
      <w:numFmt w:val="decimal"/>
      <w:lvlText w:val="%6."/>
      <w:lvlJc w:val="left"/>
      <w:pPr>
        <w:tabs>
          <w:tab w:val="num" w:pos="4320"/>
        </w:tabs>
        <w:ind w:left="4320" w:hanging="360"/>
      </w:pPr>
    </w:lvl>
    <w:lvl w:ilvl="6" w:tplc="53903176" w:tentative="1">
      <w:start w:val="1"/>
      <w:numFmt w:val="decimal"/>
      <w:lvlText w:val="%7."/>
      <w:lvlJc w:val="left"/>
      <w:pPr>
        <w:tabs>
          <w:tab w:val="num" w:pos="5040"/>
        </w:tabs>
        <w:ind w:left="5040" w:hanging="360"/>
      </w:pPr>
    </w:lvl>
    <w:lvl w:ilvl="7" w:tplc="F00ECC66" w:tentative="1">
      <w:start w:val="1"/>
      <w:numFmt w:val="decimal"/>
      <w:lvlText w:val="%8."/>
      <w:lvlJc w:val="left"/>
      <w:pPr>
        <w:tabs>
          <w:tab w:val="num" w:pos="5760"/>
        </w:tabs>
        <w:ind w:left="5760" w:hanging="360"/>
      </w:pPr>
    </w:lvl>
    <w:lvl w:ilvl="8" w:tplc="0F78B6B6" w:tentative="1">
      <w:start w:val="1"/>
      <w:numFmt w:val="decimal"/>
      <w:lvlText w:val="%9."/>
      <w:lvlJc w:val="left"/>
      <w:pPr>
        <w:tabs>
          <w:tab w:val="num" w:pos="6480"/>
        </w:tabs>
        <w:ind w:left="6480" w:hanging="360"/>
      </w:pPr>
    </w:lvl>
  </w:abstractNum>
  <w:abstractNum w:abstractNumId="44" w15:restartNumberingAfterBreak="0">
    <w:nsid w:val="77E00FA6"/>
    <w:multiLevelType w:val="hybridMultilevel"/>
    <w:tmpl w:val="432A3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0C3145"/>
    <w:multiLevelType w:val="hybridMultilevel"/>
    <w:tmpl w:val="CF3CD73A"/>
    <w:lvl w:ilvl="0" w:tplc="4C502BF0">
      <w:start w:val="1"/>
      <w:numFmt w:val="bullet"/>
      <w:lvlText w:val="•"/>
      <w:lvlJc w:val="left"/>
      <w:pPr>
        <w:tabs>
          <w:tab w:val="num" w:pos="720"/>
        </w:tabs>
        <w:ind w:left="720" w:hanging="360"/>
      </w:pPr>
      <w:rPr>
        <w:rFonts w:ascii="Arial" w:hAnsi="Arial" w:hint="default"/>
      </w:rPr>
    </w:lvl>
    <w:lvl w:ilvl="1" w:tplc="F8D24640" w:tentative="1">
      <w:start w:val="1"/>
      <w:numFmt w:val="bullet"/>
      <w:lvlText w:val="•"/>
      <w:lvlJc w:val="left"/>
      <w:pPr>
        <w:tabs>
          <w:tab w:val="num" w:pos="1440"/>
        </w:tabs>
        <w:ind w:left="1440" w:hanging="360"/>
      </w:pPr>
      <w:rPr>
        <w:rFonts w:ascii="Arial" w:hAnsi="Arial" w:hint="default"/>
      </w:rPr>
    </w:lvl>
    <w:lvl w:ilvl="2" w:tplc="5CF82998" w:tentative="1">
      <w:start w:val="1"/>
      <w:numFmt w:val="bullet"/>
      <w:lvlText w:val="•"/>
      <w:lvlJc w:val="left"/>
      <w:pPr>
        <w:tabs>
          <w:tab w:val="num" w:pos="2160"/>
        </w:tabs>
        <w:ind w:left="2160" w:hanging="360"/>
      </w:pPr>
      <w:rPr>
        <w:rFonts w:ascii="Arial" w:hAnsi="Arial" w:hint="default"/>
      </w:rPr>
    </w:lvl>
    <w:lvl w:ilvl="3" w:tplc="332C8690" w:tentative="1">
      <w:start w:val="1"/>
      <w:numFmt w:val="bullet"/>
      <w:lvlText w:val="•"/>
      <w:lvlJc w:val="left"/>
      <w:pPr>
        <w:tabs>
          <w:tab w:val="num" w:pos="2880"/>
        </w:tabs>
        <w:ind w:left="2880" w:hanging="360"/>
      </w:pPr>
      <w:rPr>
        <w:rFonts w:ascii="Arial" w:hAnsi="Arial" w:hint="default"/>
      </w:rPr>
    </w:lvl>
    <w:lvl w:ilvl="4" w:tplc="E5AC9170" w:tentative="1">
      <w:start w:val="1"/>
      <w:numFmt w:val="bullet"/>
      <w:lvlText w:val="•"/>
      <w:lvlJc w:val="left"/>
      <w:pPr>
        <w:tabs>
          <w:tab w:val="num" w:pos="3600"/>
        </w:tabs>
        <w:ind w:left="3600" w:hanging="360"/>
      </w:pPr>
      <w:rPr>
        <w:rFonts w:ascii="Arial" w:hAnsi="Arial" w:hint="default"/>
      </w:rPr>
    </w:lvl>
    <w:lvl w:ilvl="5" w:tplc="1136C834" w:tentative="1">
      <w:start w:val="1"/>
      <w:numFmt w:val="bullet"/>
      <w:lvlText w:val="•"/>
      <w:lvlJc w:val="left"/>
      <w:pPr>
        <w:tabs>
          <w:tab w:val="num" w:pos="4320"/>
        </w:tabs>
        <w:ind w:left="4320" w:hanging="360"/>
      </w:pPr>
      <w:rPr>
        <w:rFonts w:ascii="Arial" w:hAnsi="Arial" w:hint="default"/>
      </w:rPr>
    </w:lvl>
    <w:lvl w:ilvl="6" w:tplc="2F228B8C" w:tentative="1">
      <w:start w:val="1"/>
      <w:numFmt w:val="bullet"/>
      <w:lvlText w:val="•"/>
      <w:lvlJc w:val="left"/>
      <w:pPr>
        <w:tabs>
          <w:tab w:val="num" w:pos="5040"/>
        </w:tabs>
        <w:ind w:left="5040" w:hanging="360"/>
      </w:pPr>
      <w:rPr>
        <w:rFonts w:ascii="Arial" w:hAnsi="Arial" w:hint="default"/>
      </w:rPr>
    </w:lvl>
    <w:lvl w:ilvl="7" w:tplc="EF58B796" w:tentative="1">
      <w:start w:val="1"/>
      <w:numFmt w:val="bullet"/>
      <w:lvlText w:val="•"/>
      <w:lvlJc w:val="left"/>
      <w:pPr>
        <w:tabs>
          <w:tab w:val="num" w:pos="5760"/>
        </w:tabs>
        <w:ind w:left="5760" w:hanging="360"/>
      </w:pPr>
      <w:rPr>
        <w:rFonts w:ascii="Arial" w:hAnsi="Arial" w:hint="default"/>
      </w:rPr>
    </w:lvl>
    <w:lvl w:ilvl="8" w:tplc="79983C5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F9A1AE5"/>
    <w:multiLevelType w:val="multilevel"/>
    <w:tmpl w:val="E6A6056E"/>
    <w:lvl w:ilvl="0">
      <w:start w:val="4"/>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818181657">
    <w:abstractNumId w:val="21"/>
  </w:num>
  <w:num w:numId="2" w16cid:durableId="391461941">
    <w:abstractNumId w:val="7"/>
  </w:num>
  <w:num w:numId="3" w16cid:durableId="1451439440">
    <w:abstractNumId w:val="0"/>
  </w:num>
  <w:num w:numId="4" w16cid:durableId="910508463">
    <w:abstractNumId w:val="29"/>
  </w:num>
  <w:num w:numId="5" w16cid:durableId="2103142683">
    <w:abstractNumId w:val="27"/>
  </w:num>
  <w:num w:numId="6" w16cid:durableId="171530090">
    <w:abstractNumId w:val="39"/>
  </w:num>
  <w:num w:numId="7" w16cid:durableId="457913325">
    <w:abstractNumId w:val="24"/>
  </w:num>
  <w:num w:numId="8" w16cid:durableId="1263681552">
    <w:abstractNumId w:val="14"/>
  </w:num>
  <w:num w:numId="9" w16cid:durableId="2137406624">
    <w:abstractNumId w:val="15"/>
  </w:num>
  <w:num w:numId="10" w16cid:durableId="1065765527">
    <w:abstractNumId w:val="43"/>
  </w:num>
  <w:num w:numId="11" w16cid:durableId="1826974077">
    <w:abstractNumId w:val="23"/>
  </w:num>
  <w:num w:numId="12" w16cid:durableId="855314485">
    <w:abstractNumId w:val="4"/>
  </w:num>
  <w:num w:numId="13" w16cid:durableId="720397290">
    <w:abstractNumId w:val="37"/>
  </w:num>
  <w:num w:numId="14" w16cid:durableId="1096052366">
    <w:abstractNumId w:val="25"/>
  </w:num>
  <w:num w:numId="15" w16cid:durableId="591933038">
    <w:abstractNumId w:val="19"/>
  </w:num>
  <w:num w:numId="16" w16cid:durableId="1956860959">
    <w:abstractNumId w:val="46"/>
  </w:num>
  <w:num w:numId="17" w16cid:durableId="609826094">
    <w:abstractNumId w:val="45"/>
  </w:num>
  <w:num w:numId="18" w16cid:durableId="1248883290">
    <w:abstractNumId w:val="10"/>
  </w:num>
  <w:num w:numId="19" w16cid:durableId="1901087402">
    <w:abstractNumId w:val="18"/>
  </w:num>
  <w:num w:numId="20" w16cid:durableId="2083526391">
    <w:abstractNumId w:val="42"/>
  </w:num>
  <w:num w:numId="21" w16cid:durableId="103691890">
    <w:abstractNumId w:val="40"/>
  </w:num>
  <w:num w:numId="22" w16cid:durableId="1256750508">
    <w:abstractNumId w:val="1"/>
  </w:num>
  <w:num w:numId="23" w16cid:durableId="1372799562">
    <w:abstractNumId w:val="38"/>
  </w:num>
  <w:num w:numId="24" w16cid:durableId="124931016">
    <w:abstractNumId w:val="11"/>
  </w:num>
  <w:num w:numId="25" w16cid:durableId="1488086613">
    <w:abstractNumId w:val="36"/>
  </w:num>
  <w:num w:numId="26" w16cid:durableId="1999577985">
    <w:abstractNumId w:val="28"/>
  </w:num>
  <w:num w:numId="27" w16cid:durableId="1778476779">
    <w:abstractNumId w:val="9"/>
  </w:num>
  <w:num w:numId="28" w16cid:durableId="1692563048">
    <w:abstractNumId w:val="41"/>
  </w:num>
  <w:num w:numId="29" w16cid:durableId="340745288">
    <w:abstractNumId w:val="16"/>
  </w:num>
  <w:num w:numId="30" w16cid:durableId="1461991179">
    <w:abstractNumId w:val="32"/>
  </w:num>
  <w:num w:numId="31" w16cid:durableId="1894809242">
    <w:abstractNumId w:val="35"/>
  </w:num>
  <w:num w:numId="32" w16cid:durableId="1201363029">
    <w:abstractNumId w:val="3"/>
  </w:num>
  <w:num w:numId="33" w16cid:durableId="2133471492">
    <w:abstractNumId w:val="31"/>
  </w:num>
  <w:num w:numId="34" w16cid:durableId="282079189">
    <w:abstractNumId w:val="17"/>
  </w:num>
  <w:num w:numId="35" w16cid:durableId="1103644804">
    <w:abstractNumId w:val="30"/>
  </w:num>
  <w:num w:numId="36" w16cid:durableId="973484218">
    <w:abstractNumId w:val="34"/>
  </w:num>
  <w:num w:numId="37" w16cid:durableId="1567840205">
    <w:abstractNumId w:val="26"/>
  </w:num>
  <w:num w:numId="38" w16cid:durableId="697699594">
    <w:abstractNumId w:val="12"/>
  </w:num>
  <w:num w:numId="39" w16cid:durableId="26026490">
    <w:abstractNumId w:val="13"/>
  </w:num>
  <w:num w:numId="40" w16cid:durableId="215355557">
    <w:abstractNumId w:val="6"/>
  </w:num>
  <w:num w:numId="41" w16cid:durableId="506989365">
    <w:abstractNumId w:val="8"/>
  </w:num>
  <w:num w:numId="42" w16cid:durableId="901914307">
    <w:abstractNumId w:val="22"/>
  </w:num>
  <w:num w:numId="43" w16cid:durableId="1931113117">
    <w:abstractNumId w:val="5"/>
  </w:num>
  <w:num w:numId="44" w16cid:durableId="1327634358">
    <w:abstractNumId w:val="20"/>
  </w:num>
  <w:num w:numId="45" w16cid:durableId="643391633">
    <w:abstractNumId w:val="44"/>
  </w:num>
  <w:num w:numId="46" w16cid:durableId="1907059272">
    <w:abstractNumId w:val="2"/>
  </w:num>
  <w:num w:numId="47" w16cid:durableId="49354337">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113"/>
    <w:rsid w:val="000004EB"/>
    <w:rsid w:val="000005B7"/>
    <w:rsid w:val="0000076A"/>
    <w:rsid w:val="000009F2"/>
    <w:rsid w:val="00002DE3"/>
    <w:rsid w:val="00002E57"/>
    <w:rsid w:val="00004006"/>
    <w:rsid w:val="000067EC"/>
    <w:rsid w:val="0001432F"/>
    <w:rsid w:val="000165CD"/>
    <w:rsid w:val="00020B09"/>
    <w:rsid w:val="00020E3B"/>
    <w:rsid w:val="00022542"/>
    <w:rsid w:val="00022FF4"/>
    <w:rsid w:val="0002360B"/>
    <w:rsid w:val="00024F65"/>
    <w:rsid w:val="0002589C"/>
    <w:rsid w:val="00026493"/>
    <w:rsid w:val="000335AB"/>
    <w:rsid w:val="0003682A"/>
    <w:rsid w:val="00036AE4"/>
    <w:rsid w:val="00037B8D"/>
    <w:rsid w:val="00040A96"/>
    <w:rsid w:val="000411F4"/>
    <w:rsid w:val="00041749"/>
    <w:rsid w:val="0004188A"/>
    <w:rsid w:val="00042105"/>
    <w:rsid w:val="00044A04"/>
    <w:rsid w:val="00044C40"/>
    <w:rsid w:val="00044DCE"/>
    <w:rsid w:val="000453BD"/>
    <w:rsid w:val="000463BF"/>
    <w:rsid w:val="0004711A"/>
    <w:rsid w:val="00050ED5"/>
    <w:rsid w:val="00052970"/>
    <w:rsid w:val="000532B2"/>
    <w:rsid w:val="000544EA"/>
    <w:rsid w:val="0005695F"/>
    <w:rsid w:val="00056E05"/>
    <w:rsid w:val="000578BE"/>
    <w:rsid w:val="0005794F"/>
    <w:rsid w:val="00057E9D"/>
    <w:rsid w:val="0006009A"/>
    <w:rsid w:val="00060497"/>
    <w:rsid w:val="0006050F"/>
    <w:rsid w:val="00062BF9"/>
    <w:rsid w:val="00062D20"/>
    <w:rsid w:val="000663D0"/>
    <w:rsid w:val="00066598"/>
    <w:rsid w:val="0006674B"/>
    <w:rsid w:val="00070253"/>
    <w:rsid w:val="00070724"/>
    <w:rsid w:val="00074E8F"/>
    <w:rsid w:val="000756E9"/>
    <w:rsid w:val="00077015"/>
    <w:rsid w:val="000801C3"/>
    <w:rsid w:val="0008176E"/>
    <w:rsid w:val="00082A44"/>
    <w:rsid w:val="00082A53"/>
    <w:rsid w:val="00083AB1"/>
    <w:rsid w:val="00086574"/>
    <w:rsid w:val="000904C7"/>
    <w:rsid w:val="00091B26"/>
    <w:rsid w:val="000927B0"/>
    <w:rsid w:val="000927FF"/>
    <w:rsid w:val="00093218"/>
    <w:rsid w:val="000936B9"/>
    <w:rsid w:val="000944BA"/>
    <w:rsid w:val="00096039"/>
    <w:rsid w:val="00096186"/>
    <w:rsid w:val="00097562"/>
    <w:rsid w:val="000A0C76"/>
    <w:rsid w:val="000A1395"/>
    <w:rsid w:val="000A22D8"/>
    <w:rsid w:val="000A24D8"/>
    <w:rsid w:val="000A35EB"/>
    <w:rsid w:val="000A3A40"/>
    <w:rsid w:val="000A3DA8"/>
    <w:rsid w:val="000A464D"/>
    <w:rsid w:val="000A5071"/>
    <w:rsid w:val="000A5656"/>
    <w:rsid w:val="000A6944"/>
    <w:rsid w:val="000A7D84"/>
    <w:rsid w:val="000B0649"/>
    <w:rsid w:val="000B09D5"/>
    <w:rsid w:val="000B0A9A"/>
    <w:rsid w:val="000B1353"/>
    <w:rsid w:val="000B2564"/>
    <w:rsid w:val="000B2E34"/>
    <w:rsid w:val="000B418A"/>
    <w:rsid w:val="000B423F"/>
    <w:rsid w:val="000B498C"/>
    <w:rsid w:val="000B66D8"/>
    <w:rsid w:val="000B6773"/>
    <w:rsid w:val="000B67CE"/>
    <w:rsid w:val="000B6DEC"/>
    <w:rsid w:val="000B70B6"/>
    <w:rsid w:val="000B7D9D"/>
    <w:rsid w:val="000B7DC4"/>
    <w:rsid w:val="000C0104"/>
    <w:rsid w:val="000C0E98"/>
    <w:rsid w:val="000C39DE"/>
    <w:rsid w:val="000C49E7"/>
    <w:rsid w:val="000C5830"/>
    <w:rsid w:val="000C5E24"/>
    <w:rsid w:val="000D103B"/>
    <w:rsid w:val="000D169B"/>
    <w:rsid w:val="000D1727"/>
    <w:rsid w:val="000D2599"/>
    <w:rsid w:val="000D4375"/>
    <w:rsid w:val="000D4EE2"/>
    <w:rsid w:val="000D52D3"/>
    <w:rsid w:val="000D6A9C"/>
    <w:rsid w:val="000D6BC1"/>
    <w:rsid w:val="000E0731"/>
    <w:rsid w:val="000E0D1C"/>
    <w:rsid w:val="000E1066"/>
    <w:rsid w:val="000E1449"/>
    <w:rsid w:val="000E1F3B"/>
    <w:rsid w:val="000E2516"/>
    <w:rsid w:val="000E288F"/>
    <w:rsid w:val="000E2C11"/>
    <w:rsid w:val="000E32A3"/>
    <w:rsid w:val="000E3C5F"/>
    <w:rsid w:val="000E40EB"/>
    <w:rsid w:val="000E4625"/>
    <w:rsid w:val="000E524C"/>
    <w:rsid w:val="000E653B"/>
    <w:rsid w:val="000E7101"/>
    <w:rsid w:val="000E7910"/>
    <w:rsid w:val="000F5A19"/>
    <w:rsid w:val="001041D9"/>
    <w:rsid w:val="00105244"/>
    <w:rsid w:val="00105916"/>
    <w:rsid w:val="00106402"/>
    <w:rsid w:val="00106DEF"/>
    <w:rsid w:val="00107175"/>
    <w:rsid w:val="0011090C"/>
    <w:rsid w:val="00110CA5"/>
    <w:rsid w:val="0011106B"/>
    <w:rsid w:val="001118EB"/>
    <w:rsid w:val="00113005"/>
    <w:rsid w:val="001137E8"/>
    <w:rsid w:val="00115EFD"/>
    <w:rsid w:val="00116EF4"/>
    <w:rsid w:val="00117111"/>
    <w:rsid w:val="00117364"/>
    <w:rsid w:val="001174DB"/>
    <w:rsid w:val="001178C7"/>
    <w:rsid w:val="0012075D"/>
    <w:rsid w:val="00121241"/>
    <w:rsid w:val="001227D4"/>
    <w:rsid w:val="00125BE6"/>
    <w:rsid w:val="00127A5B"/>
    <w:rsid w:val="0013145F"/>
    <w:rsid w:val="00131901"/>
    <w:rsid w:val="00132C0C"/>
    <w:rsid w:val="00133AC1"/>
    <w:rsid w:val="001346F7"/>
    <w:rsid w:val="00134809"/>
    <w:rsid w:val="00135802"/>
    <w:rsid w:val="00135B6C"/>
    <w:rsid w:val="00137F42"/>
    <w:rsid w:val="00140147"/>
    <w:rsid w:val="00141447"/>
    <w:rsid w:val="00141BD4"/>
    <w:rsid w:val="001423CB"/>
    <w:rsid w:val="00144661"/>
    <w:rsid w:val="00144E15"/>
    <w:rsid w:val="00145A90"/>
    <w:rsid w:val="00146510"/>
    <w:rsid w:val="00151EDE"/>
    <w:rsid w:val="001537D1"/>
    <w:rsid w:val="00153B63"/>
    <w:rsid w:val="00153B74"/>
    <w:rsid w:val="00153B84"/>
    <w:rsid w:val="001541B0"/>
    <w:rsid w:val="00154B77"/>
    <w:rsid w:val="0015529D"/>
    <w:rsid w:val="00157138"/>
    <w:rsid w:val="00157727"/>
    <w:rsid w:val="00157BA7"/>
    <w:rsid w:val="001612D0"/>
    <w:rsid w:val="00161372"/>
    <w:rsid w:val="00162499"/>
    <w:rsid w:val="001628B0"/>
    <w:rsid w:val="00162B42"/>
    <w:rsid w:val="00162D71"/>
    <w:rsid w:val="00163E3F"/>
    <w:rsid w:val="00164E2A"/>
    <w:rsid w:val="00166F0A"/>
    <w:rsid w:val="0017040F"/>
    <w:rsid w:val="00171DD4"/>
    <w:rsid w:val="00173654"/>
    <w:rsid w:val="00173B73"/>
    <w:rsid w:val="00174811"/>
    <w:rsid w:val="00174F5F"/>
    <w:rsid w:val="0017523E"/>
    <w:rsid w:val="0017566E"/>
    <w:rsid w:val="00176B20"/>
    <w:rsid w:val="00180412"/>
    <w:rsid w:val="00180A38"/>
    <w:rsid w:val="00182833"/>
    <w:rsid w:val="00182B0E"/>
    <w:rsid w:val="00183149"/>
    <w:rsid w:val="00184531"/>
    <w:rsid w:val="00184E1A"/>
    <w:rsid w:val="0018559C"/>
    <w:rsid w:val="00187096"/>
    <w:rsid w:val="00190CEB"/>
    <w:rsid w:val="0019131E"/>
    <w:rsid w:val="00191FD5"/>
    <w:rsid w:val="00192522"/>
    <w:rsid w:val="00192C1D"/>
    <w:rsid w:val="00193B5D"/>
    <w:rsid w:val="00193D30"/>
    <w:rsid w:val="00193E23"/>
    <w:rsid w:val="00194849"/>
    <w:rsid w:val="00195566"/>
    <w:rsid w:val="00196AC7"/>
    <w:rsid w:val="0019702F"/>
    <w:rsid w:val="001973A6"/>
    <w:rsid w:val="00197868"/>
    <w:rsid w:val="001A07EE"/>
    <w:rsid w:val="001A156C"/>
    <w:rsid w:val="001A183A"/>
    <w:rsid w:val="001A2628"/>
    <w:rsid w:val="001A4B68"/>
    <w:rsid w:val="001A4E44"/>
    <w:rsid w:val="001A514D"/>
    <w:rsid w:val="001A573D"/>
    <w:rsid w:val="001A769B"/>
    <w:rsid w:val="001B00F7"/>
    <w:rsid w:val="001B186E"/>
    <w:rsid w:val="001B3196"/>
    <w:rsid w:val="001B3789"/>
    <w:rsid w:val="001B52FF"/>
    <w:rsid w:val="001B6D4C"/>
    <w:rsid w:val="001C10B1"/>
    <w:rsid w:val="001C2636"/>
    <w:rsid w:val="001C335E"/>
    <w:rsid w:val="001C5AF0"/>
    <w:rsid w:val="001C6385"/>
    <w:rsid w:val="001C6A4E"/>
    <w:rsid w:val="001C7E69"/>
    <w:rsid w:val="001D0074"/>
    <w:rsid w:val="001D02FE"/>
    <w:rsid w:val="001D04E0"/>
    <w:rsid w:val="001D08BB"/>
    <w:rsid w:val="001D0BB4"/>
    <w:rsid w:val="001D1F28"/>
    <w:rsid w:val="001D308E"/>
    <w:rsid w:val="001D388A"/>
    <w:rsid w:val="001D427D"/>
    <w:rsid w:val="001D49FC"/>
    <w:rsid w:val="001D5FF2"/>
    <w:rsid w:val="001D6639"/>
    <w:rsid w:val="001D6C0A"/>
    <w:rsid w:val="001E2CDC"/>
    <w:rsid w:val="001E3549"/>
    <w:rsid w:val="001E444B"/>
    <w:rsid w:val="001E4476"/>
    <w:rsid w:val="001E578E"/>
    <w:rsid w:val="001E699E"/>
    <w:rsid w:val="001E77FB"/>
    <w:rsid w:val="001E7F80"/>
    <w:rsid w:val="001E7FA3"/>
    <w:rsid w:val="001F02E8"/>
    <w:rsid w:val="001F1AC5"/>
    <w:rsid w:val="001F1E4F"/>
    <w:rsid w:val="001F6271"/>
    <w:rsid w:val="001F72E8"/>
    <w:rsid w:val="0020006B"/>
    <w:rsid w:val="002019D1"/>
    <w:rsid w:val="00201AD3"/>
    <w:rsid w:val="00202181"/>
    <w:rsid w:val="0020326B"/>
    <w:rsid w:val="00203B13"/>
    <w:rsid w:val="00203E29"/>
    <w:rsid w:val="0020504A"/>
    <w:rsid w:val="002111BC"/>
    <w:rsid w:val="002115E5"/>
    <w:rsid w:val="002123A7"/>
    <w:rsid w:val="002123D4"/>
    <w:rsid w:val="00213C1C"/>
    <w:rsid w:val="00214B45"/>
    <w:rsid w:val="00214CBE"/>
    <w:rsid w:val="00215580"/>
    <w:rsid w:val="0021611D"/>
    <w:rsid w:val="00216634"/>
    <w:rsid w:val="002167D3"/>
    <w:rsid w:val="00216EEA"/>
    <w:rsid w:val="00217490"/>
    <w:rsid w:val="00220C1B"/>
    <w:rsid w:val="00222122"/>
    <w:rsid w:val="002239B8"/>
    <w:rsid w:val="002252A5"/>
    <w:rsid w:val="002267E6"/>
    <w:rsid w:val="00226C50"/>
    <w:rsid w:val="0023163A"/>
    <w:rsid w:val="0023185E"/>
    <w:rsid w:val="00231C5E"/>
    <w:rsid w:val="00232EA3"/>
    <w:rsid w:val="0023367E"/>
    <w:rsid w:val="0023457E"/>
    <w:rsid w:val="002360AD"/>
    <w:rsid w:val="002377F8"/>
    <w:rsid w:val="00240673"/>
    <w:rsid w:val="002415F8"/>
    <w:rsid w:val="002422D6"/>
    <w:rsid w:val="002432E0"/>
    <w:rsid w:val="002437FB"/>
    <w:rsid w:val="00243CE4"/>
    <w:rsid w:val="00244B4D"/>
    <w:rsid w:val="00244F03"/>
    <w:rsid w:val="00246953"/>
    <w:rsid w:val="002470E0"/>
    <w:rsid w:val="00247198"/>
    <w:rsid w:val="00247571"/>
    <w:rsid w:val="002500ED"/>
    <w:rsid w:val="00250883"/>
    <w:rsid w:val="00252765"/>
    <w:rsid w:val="00253340"/>
    <w:rsid w:val="0025416B"/>
    <w:rsid w:val="00255EB9"/>
    <w:rsid w:val="0025645D"/>
    <w:rsid w:val="00260CB1"/>
    <w:rsid w:val="00262B19"/>
    <w:rsid w:val="00264597"/>
    <w:rsid w:val="00265A17"/>
    <w:rsid w:val="002662BA"/>
    <w:rsid w:val="00267BF9"/>
    <w:rsid w:val="002704C8"/>
    <w:rsid w:val="00272FE2"/>
    <w:rsid w:val="002732E6"/>
    <w:rsid w:val="00275471"/>
    <w:rsid w:val="00275680"/>
    <w:rsid w:val="002779C5"/>
    <w:rsid w:val="00281A0A"/>
    <w:rsid w:val="00282921"/>
    <w:rsid w:val="0028325B"/>
    <w:rsid w:val="00284447"/>
    <w:rsid w:val="00284BAA"/>
    <w:rsid w:val="00284D40"/>
    <w:rsid w:val="00285840"/>
    <w:rsid w:val="00285B1D"/>
    <w:rsid w:val="002860BF"/>
    <w:rsid w:val="00286A83"/>
    <w:rsid w:val="00286B3F"/>
    <w:rsid w:val="00287693"/>
    <w:rsid w:val="00287CC5"/>
    <w:rsid w:val="00290508"/>
    <w:rsid w:val="00290D54"/>
    <w:rsid w:val="002917F8"/>
    <w:rsid w:val="00291CE2"/>
    <w:rsid w:val="00292693"/>
    <w:rsid w:val="00293806"/>
    <w:rsid w:val="00295E5A"/>
    <w:rsid w:val="00295FB2"/>
    <w:rsid w:val="00297552"/>
    <w:rsid w:val="00297C39"/>
    <w:rsid w:val="002A02C4"/>
    <w:rsid w:val="002A3DF8"/>
    <w:rsid w:val="002A405E"/>
    <w:rsid w:val="002A4573"/>
    <w:rsid w:val="002A5105"/>
    <w:rsid w:val="002A5546"/>
    <w:rsid w:val="002A57D0"/>
    <w:rsid w:val="002A5BA6"/>
    <w:rsid w:val="002A6111"/>
    <w:rsid w:val="002A685E"/>
    <w:rsid w:val="002A73D3"/>
    <w:rsid w:val="002A7A90"/>
    <w:rsid w:val="002B0DB0"/>
    <w:rsid w:val="002B139C"/>
    <w:rsid w:val="002B164E"/>
    <w:rsid w:val="002B2E49"/>
    <w:rsid w:val="002B36A1"/>
    <w:rsid w:val="002B39AD"/>
    <w:rsid w:val="002B3D73"/>
    <w:rsid w:val="002C0C2B"/>
    <w:rsid w:val="002C1CE7"/>
    <w:rsid w:val="002C2819"/>
    <w:rsid w:val="002C359D"/>
    <w:rsid w:val="002C3AD6"/>
    <w:rsid w:val="002C3EF5"/>
    <w:rsid w:val="002C3F87"/>
    <w:rsid w:val="002C40B6"/>
    <w:rsid w:val="002C47CB"/>
    <w:rsid w:val="002C4AD7"/>
    <w:rsid w:val="002C5023"/>
    <w:rsid w:val="002C5E4A"/>
    <w:rsid w:val="002C6516"/>
    <w:rsid w:val="002C67A1"/>
    <w:rsid w:val="002C67F6"/>
    <w:rsid w:val="002C6917"/>
    <w:rsid w:val="002C77D7"/>
    <w:rsid w:val="002C794B"/>
    <w:rsid w:val="002C7DDF"/>
    <w:rsid w:val="002D1248"/>
    <w:rsid w:val="002D1661"/>
    <w:rsid w:val="002D1BB7"/>
    <w:rsid w:val="002D1FD1"/>
    <w:rsid w:val="002D340B"/>
    <w:rsid w:val="002D3F55"/>
    <w:rsid w:val="002D4B47"/>
    <w:rsid w:val="002D5700"/>
    <w:rsid w:val="002D7757"/>
    <w:rsid w:val="002E06FD"/>
    <w:rsid w:val="002E0B72"/>
    <w:rsid w:val="002E2713"/>
    <w:rsid w:val="002E27AA"/>
    <w:rsid w:val="002E33A2"/>
    <w:rsid w:val="002E35D6"/>
    <w:rsid w:val="002E38DC"/>
    <w:rsid w:val="002E3F05"/>
    <w:rsid w:val="002E4015"/>
    <w:rsid w:val="002E4BC9"/>
    <w:rsid w:val="002E4D98"/>
    <w:rsid w:val="002E50EE"/>
    <w:rsid w:val="002E54D9"/>
    <w:rsid w:val="002E555C"/>
    <w:rsid w:val="002E62DD"/>
    <w:rsid w:val="002E63A7"/>
    <w:rsid w:val="002E720C"/>
    <w:rsid w:val="002E7AF4"/>
    <w:rsid w:val="002F0B1E"/>
    <w:rsid w:val="002F12D6"/>
    <w:rsid w:val="002F1D01"/>
    <w:rsid w:val="002F307B"/>
    <w:rsid w:val="002F3723"/>
    <w:rsid w:val="002F3C8D"/>
    <w:rsid w:val="002F3F72"/>
    <w:rsid w:val="002F47DD"/>
    <w:rsid w:val="002F4A67"/>
    <w:rsid w:val="002F4BF1"/>
    <w:rsid w:val="002F6866"/>
    <w:rsid w:val="002F7081"/>
    <w:rsid w:val="002F7257"/>
    <w:rsid w:val="002F7660"/>
    <w:rsid w:val="002F7781"/>
    <w:rsid w:val="003019A0"/>
    <w:rsid w:val="003041B4"/>
    <w:rsid w:val="00304348"/>
    <w:rsid w:val="003049F0"/>
    <w:rsid w:val="00305753"/>
    <w:rsid w:val="0030610E"/>
    <w:rsid w:val="00310B0B"/>
    <w:rsid w:val="00310E3A"/>
    <w:rsid w:val="003116FC"/>
    <w:rsid w:val="00311DC8"/>
    <w:rsid w:val="003148F5"/>
    <w:rsid w:val="00315608"/>
    <w:rsid w:val="00315805"/>
    <w:rsid w:val="0031659E"/>
    <w:rsid w:val="00317838"/>
    <w:rsid w:val="00317CF7"/>
    <w:rsid w:val="00317ED3"/>
    <w:rsid w:val="003208C4"/>
    <w:rsid w:val="00321574"/>
    <w:rsid w:val="00322110"/>
    <w:rsid w:val="00322316"/>
    <w:rsid w:val="00322545"/>
    <w:rsid w:val="00322BCF"/>
    <w:rsid w:val="0032476D"/>
    <w:rsid w:val="00324836"/>
    <w:rsid w:val="00324CA4"/>
    <w:rsid w:val="00325E26"/>
    <w:rsid w:val="00325F1F"/>
    <w:rsid w:val="00326BC8"/>
    <w:rsid w:val="00327D9E"/>
    <w:rsid w:val="00330898"/>
    <w:rsid w:val="00330BA8"/>
    <w:rsid w:val="00330F7C"/>
    <w:rsid w:val="00331967"/>
    <w:rsid w:val="0033266B"/>
    <w:rsid w:val="003334FF"/>
    <w:rsid w:val="003337D3"/>
    <w:rsid w:val="003373B3"/>
    <w:rsid w:val="0033767A"/>
    <w:rsid w:val="00341C06"/>
    <w:rsid w:val="003438AD"/>
    <w:rsid w:val="0034401D"/>
    <w:rsid w:val="00345853"/>
    <w:rsid w:val="00345AFA"/>
    <w:rsid w:val="00346224"/>
    <w:rsid w:val="00347674"/>
    <w:rsid w:val="003476DF"/>
    <w:rsid w:val="00347EAC"/>
    <w:rsid w:val="00350C50"/>
    <w:rsid w:val="003520C3"/>
    <w:rsid w:val="0035711B"/>
    <w:rsid w:val="00357652"/>
    <w:rsid w:val="00360021"/>
    <w:rsid w:val="00360576"/>
    <w:rsid w:val="00360C16"/>
    <w:rsid w:val="0036182D"/>
    <w:rsid w:val="00364E50"/>
    <w:rsid w:val="0036513C"/>
    <w:rsid w:val="00365571"/>
    <w:rsid w:val="00366E99"/>
    <w:rsid w:val="003678C1"/>
    <w:rsid w:val="00367CB3"/>
    <w:rsid w:val="003712F1"/>
    <w:rsid w:val="003714AC"/>
    <w:rsid w:val="00372C7D"/>
    <w:rsid w:val="00374B4E"/>
    <w:rsid w:val="00374C7D"/>
    <w:rsid w:val="00374CA5"/>
    <w:rsid w:val="0037527C"/>
    <w:rsid w:val="0037547C"/>
    <w:rsid w:val="00375AD6"/>
    <w:rsid w:val="003769C7"/>
    <w:rsid w:val="0038041B"/>
    <w:rsid w:val="0038121E"/>
    <w:rsid w:val="00383AB2"/>
    <w:rsid w:val="00385328"/>
    <w:rsid w:val="00387DAF"/>
    <w:rsid w:val="00391CBC"/>
    <w:rsid w:val="00392D5D"/>
    <w:rsid w:val="00393C3E"/>
    <w:rsid w:val="00393F68"/>
    <w:rsid w:val="003954CF"/>
    <w:rsid w:val="00395F1E"/>
    <w:rsid w:val="003961AD"/>
    <w:rsid w:val="003977D6"/>
    <w:rsid w:val="00397B96"/>
    <w:rsid w:val="003A0165"/>
    <w:rsid w:val="003A0EB9"/>
    <w:rsid w:val="003A2BDA"/>
    <w:rsid w:val="003A37BE"/>
    <w:rsid w:val="003A5544"/>
    <w:rsid w:val="003A5A48"/>
    <w:rsid w:val="003A5E0C"/>
    <w:rsid w:val="003A6B59"/>
    <w:rsid w:val="003A7F38"/>
    <w:rsid w:val="003B0F53"/>
    <w:rsid w:val="003B1C53"/>
    <w:rsid w:val="003B1DC1"/>
    <w:rsid w:val="003B45C5"/>
    <w:rsid w:val="003B4CA5"/>
    <w:rsid w:val="003B53BF"/>
    <w:rsid w:val="003C07E5"/>
    <w:rsid w:val="003C1A8C"/>
    <w:rsid w:val="003C1C16"/>
    <w:rsid w:val="003C313E"/>
    <w:rsid w:val="003C381C"/>
    <w:rsid w:val="003C4B77"/>
    <w:rsid w:val="003C4CD7"/>
    <w:rsid w:val="003C63A4"/>
    <w:rsid w:val="003C645F"/>
    <w:rsid w:val="003C6BBA"/>
    <w:rsid w:val="003C6F02"/>
    <w:rsid w:val="003C781D"/>
    <w:rsid w:val="003C7B49"/>
    <w:rsid w:val="003D222E"/>
    <w:rsid w:val="003D278D"/>
    <w:rsid w:val="003D286D"/>
    <w:rsid w:val="003D2A45"/>
    <w:rsid w:val="003D388F"/>
    <w:rsid w:val="003D3CE9"/>
    <w:rsid w:val="003D3EA9"/>
    <w:rsid w:val="003D4F4A"/>
    <w:rsid w:val="003D679B"/>
    <w:rsid w:val="003E028A"/>
    <w:rsid w:val="003E1A5A"/>
    <w:rsid w:val="003E232B"/>
    <w:rsid w:val="003E4397"/>
    <w:rsid w:val="003E45CC"/>
    <w:rsid w:val="003E48DA"/>
    <w:rsid w:val="003E5672"/>
    <w:rsid w:val="003E5942"/>
    <w:rsid w:val="003E5E59"/>
    <w:rsid w:val="003E7558"/>
    <w:rsid w:val="003E7A47"/>
    <w:rsid w:val="003E7E44"/>
    <w:rsid w:val="003F2907"/>
    <w:rsid w:val="003F4413"/>
    <w:rsid w:val="003F6765"/>
    <w:rsid w:val="0040132A"/>
    <w:rsid w:val="00401371"/>
    <w:rsid w:val="00402ABF"/>
    <w:rsid w:val="004042AE"/>
    <w:rsid w:val="00404C2F"/>
    <w:rsid w:val="00406E09"/>
    <w:rsid w:val="0040715D"/>
    <w:rsid w:val="0040778A"/>
    <w:rsid w:val="00407E6D"/>
    <w:rsid w:val="0041084A"/>
    <w:rsid w:val="00410E4E"/>
    <w:rsid w:val="00412452"/>
    <w:rsid w:val="00413C8C"/>
    <w:rsid w:val="00414B4C"/>
    <w:rsid w:val="00415A9A"/>
    <w:rsid w:val="004171B6"/>
    <w:rsid w:val="00417C18"/>
    <w:rsid w:val="004209B3"/>
    <w:rsid w:val="004219CC"/>
    <w:rsid w:val="004264A7"/>
    <w:rsid w:val="004264DD"/>
    <w:rsid w:val="00426B86"/>
    <w:rsid w:val="00427345"/>
    <w:rsid w:val="004313CB"/>
    <w:rsid w:val="004347A6"/>
    <w:rsid w:val="004353A8"/>
    <w:rsid w:val="0043627B"/>
    <w:rsid w:val="00437284"/>
    <w:rsid w:val="00437B1C"/>
    <w:rsid w:val="00440985"/>
    <w:rsid w:val="00441E8B"/>
    <w:rsid w:val="00442FC9"/>
    <w:rsid w:val="0044383E"/>
    <w:rsid w:val="00443BF6"/>
    <w:rsid w:val="00444233"/>
    <w:rsid w:val="0044453D"/>
    <w:rsid w:val="00445501"/>
    <w:rsid w:val="0044578D"/>
    <w:rsid w:val="00446BF7"/>
    <w:rsid w:val="00450AAE"/>
    <w:rsid w:val="00450BF5"/>
    <w:rsid w:val="00450DAD"/>
    <w:rsid w:val="00453A95"/>
    <w:rsid w:val="00455EBB"/>
    <w:rsid w:val="00456141"/>
    <w:rsid w:val="004578E1"/>
    <w:rsid w:val="0046055E"/>
    <w:rsid w:val="00461819"/>
    <w:rsid w:val="0046181B"/>
    <w:rsid w:val="0046279F"/>
    <w:rsid w:val="00462A25"/>
    <w:rsid w:val="00462C1D"/>
    <w:rsid w:val="004634EC"/>
    <w:rsid w:val="00463578"/>
    <w:rsid w:val="00464162"/>
    <w:rsid w:val="00464525"/>
    <w:rsid w:val="00464E10"/>
    <w:rsid w:val="00466705"/>
    <w:rsid w:val="00467278"/>
    <w:rsid w:val="00467B3A"/>
    <w:rsid w:val="004708BE"/>
    <w:rsid w:val="0047159B"/>
    <w:rsid w:val="004726FE"/>
    <w:rsid w:val="00472BB2"/>
    <w:rsid w:val="00473E4F"/>
    <w:rsid w:val="00474CAE"/>
    <w:rsid w:val="004752FC"/>
    <w:rsid w:val="004762A3"/>
    <w:rsid w:val="004764BD"/>
    <w:rsid w:val="00476A04"/>
    <w:rsid w:val="004772B8"/>
    <w:rsid w:val="004774FB"/>
    <w:rsid w:val="00480741"/>
    <w:rsid w:val="00480FF7"/>
    <w:rsid w:val="00482913"/>
    <w:rsid w:val="00483074"/>
    <w:rsid w:val="004837D3"/>
    <w:rsid w:val="00485303"/>
    <w:rsid w:val="00485E67"/>
    <w:rsid w:val="00486923"/>
    <w:rsid w:val="004905A7"/>
    <w:rsid w:val="004915F4"/>
    <w:rsid w:val="00491BC8"/>
    <w:rsid w:val="00493E64"/>
    <w:rsid w:val="00494996"/>
    <w:rsid w:val="00495EFA"/>
    <w:rsid w:val="00496F95"/>
    <w:rsid w:val="00497CBB"/>
    <w:rsid w:val="00497DBF"/>
    <w:rsid w:val="004A122A"/>
    <w:rsid w:val="004A1D25"/>
    <w:rsid w:val="004A2BE2"/>
    <w:rsid w:val="004A5694"/>
    <w:rsid w:val="004A6A1B"/>
    <w:rsid w:val="004A7A65"/>
    <w:rsid w:val="004B0554"/>
    <w:rsid w:val="004B0D40"/>
    <w:rsid w:val="004B13DA"/>
    <w:rsid w:val="004B17C1"/>
    <w:rsid w:val="004B3FEC"/>
    <w:rsid w:val="004B4A99"/>
    <w:rsid w:val="004B7051"/>
    <w:rsid w:val="004B7247"/>
    <w:rsid w:val="004B7BBE"/>
    <w:rsid w:val="004B7DAB"/>
    <w:rsid w:val="004C2E45"/>
    <w:rsid w:val="004C3F52"/>
    <w:rsid w:val="004C461F"/>
    <w:rsid w:val="004C6207"/>
    <w:rsid w:val="004D03E8"/>
    <w:rsid w:val="004D0A89"/>
    <w:rsid w:val="004D2D8D"/>
    <w:rsid w:val="004D3277"/>
    <w:rsid w:val="004D3432"/>
    <w:rsid w:val="004D496B"/>
    <w:rsid w:val="004D54AD"/>
    <w:rsid w:val="004D74CB"/>
    <w:rsid w:val="004D750E"/>
    <w:rsid w:val="004E0482"/>
    <w:rsid w:val="004E1095"/>
    <w:rsid w:val="004E1C2E"/>
    <w:rsid w:val="004E1F1D"/>
    <w:rsid w:val="004E4D56"/>
    <w:rsid w:val="004E57A8"/>
    <w:rsid w:val="004E58B2"/>
    <w:rsid w:val="004E5DFD"/>
    <w:rsid w:val="004E7370"/>
    <w:rsid w:val="004E7CEB"/>
    <w:rsid w:val="004F1775"/>
    <w:rsid w:val="004F214A"/>
    <w:rsid w:val="004F2BD3"/>
    <w:rsid w:val="004F37CB"/>
    <w:rsid w:val="004F3BDE"/>
    <w:rsid w:val="004F564B"/>
    <w:rsid w:val="004F5D82"/>
    <w:rsid w:val="004F6121"/>
    <w:rsid w:val="004F680C"/>
    <w:rsid w:val="00500814"/>
    <w:rsid w:val="00501A34"/>
    <w:rsid w:val="00502773"/>
    <w:rsid w:val="00502978"/>
    <w:rsid w:val="00502CD0"/>
    <w:rsid w:val="00502CDF"/>
    <w:rsid w:val="00503271"/>
    <w:rsid w:val="00503FD9"/>
    <w:rsid w:val="00504A2F"/>
    <w:rsid w:val="00504E2F"/>
    <w:rsid w:val="0050527E"/>
    <w:rsid w:val="00505B75"/>
    <w:rsid w:val="00507DE9"/>
    <w:rsid w:val="00510DC5"/>
    <w:rsid w:val="00511879"/>
    <w:rsid w:val="00512010"/>
    <w:rsid w:val="00513F1E"/>
    <w:rsid w:val="005146D8"/>
    <w:rsid w:val="00514C99"/>
    <w:rsid w:val="00517853"/>
    <w:rsid w:val="00517CCA"/>
    <w:rsid w:val="00520352"/>
    <w:rsid w:val="005231F5"/>
    <w:rsid w:val="0052559F"/>
    <w:rsid w:val="005264CB"/>
    <w:rsid w:val="005265C8"/>
    <w:rsid w:val="005274E6"/>
    <w:rsid w:val="005314B3"/>
    <w:rsid w:val="00531C63"/>
    <w:rsid w:val="0053229B"/>
    <w:rsid w:val="00532651"/>
    <w:rsid w:val="0053354F"/>
    <w:rsid w:val="00534250"/>
    <w:rsid w:val="00535012"/>
    <w:rsid w:val="00535E0B"/>
    <w:rsid w:val="00536D7E"/>
    <w:rsid w:val="00537457"/>
    <w:rsid w:val="0053753D"/>
    <w:rsid w:val="0053787E"/>
    <w:rsid w:val="00541820"/>
    <w:rsid w:val="00543940"/>
    <w:rsid w:val="00543D9A"/>
    <w:rsid w:val="005447A6"/>
    <w:rsid w:val="00545417"/>
    <w:rsid w:val="00546886"/>
    <w:rsid w:val="00550C8E"/>
    <w:rsid w:val="00552BF8"/>
    <w:rsid w:val="00554977"/>
    <w:rsid w:val="00555313"/>
    <w:rsid w:val="00555519"/>
    <w:rsid w:val="00557E62"/>
    <w:rsid w:val="00560A0B"/>
    <w:rsid w:val="00561085"/>
    <w:rsid w:val="00561BB1"/>
    <w:rsid w:val="005621E7"/>
    <w:rsid w:val="005622FB"/>
    <w:rsid w:val="005670E0"/>
    <w:rsid w:val="005673DD"/>
    <w:rsid w:val="00567F78"/>
    <w:rsid w:val="005713FE"/>
    <w:rsid w:val="00571A01"/>
    <w:rsid w:val="005722BA"/>
    <w:rsid w:val="00572599"/>
    <w:rsid w:val="00575C87"/>
    <w:rsid w:val="00575D19"/>
    <w:rsid w:val="00576260"/>
    <w:rsid w:val="0057697F"/>
    <w:rsid w:val="005810C0"/>
    <w:rsid w:val="005814EA"/>
    <w:rsid w:val="00581A02"/>
    <w:rsid w:val="00582B6C"/>
    <w:rsid w:val="00582BD9"/>
    <w:rsid w:val="00583718"/>
    <w:rsid w:val="005860D3"/>
    <w:rsid w:val="005860F8"/>
    <w:rsid w:val="00590873"/>
    <w:rsid w:val="00590886"/>
    <w:rsid w:val="0059150C"/>
    <w:rsid w:val="0059183B"/>
    <w:rsid w:val="00591A87"/>
    <w:rsid w:val="00592DDF"/>
    <w:rsid w:val="005936E5"/>
    <w:rsid w:val="0059463B"/>
    <w:rsid w:val="005952CC"/>
    <w:rsid w:val="005953D2"/>
    <w:rsid w:val="00595D75"/>
    <w:rsid w:val="00595F5F"/>
    <w:rsid w:val="00596F7C"/>
    <w:rsid w:val="0059707A"/>
    <w:rsid w:val="00597C71"/>
    <w:rsid w:val="005A03EC"/>
    <w:rsid w:val="005A19D3"/>
    <w:rsid w:val="005A349B"/>
    <w:rsid w:val="005A421A"/>
    <w:rsid w:val="005A53F8"/>
    <w:rsid w:val="005A5A51"/>
    <w:rsid w:val="005A6563"/>
    <w:rsid w:val="005A7430"/>
    <w:rsid w:val="005B177F"/>
    <w:rsid w:val="005B1B80"/>
    <w:rsid w:val="005B2918"/>
    <w:rsid w:val="005B2F34"/>
    <w:rsid w:val="005B3225"/>
    <w:rsid w:val="005B32D5"/>
    <w:rsid w:val="005B3CC9"/>
    <w:rsid w:val="005B46DE"/>
    <w:rsid w:val="005B7531"/>
    <w:rsid w:val="005B7F85"/>
    <w:rsid w:val="005C05CB"/>
    <w:rsid w:val="005C0C27"/>
    <w:rsid w:val="005C1E26"/>
    <w:rsid w:val="005C275A"/>
    <w:rsid w:val="005C3B3F"/>
    <w:rsid w:val="005C497B"/>
    <w:rsid w:val="005C50CC"/>
    <w:rsid w:val="005C570F"/>
    <w:rsid w:val="005C5E09"/>
    <w:rsid w:val="005C6A19"/>
    <w:rsid w:val="005C7D8D"/>
    <w:rsid w:val="005C7E1F"/>
    <w:rsid w:val="005D0BEA"/>
    <w:rsid w:val="005D1F02"/>
    <w:rsid w:val="005D2987"/>
    <w:rsid w:val="005D4092"/>
    <w:rsid w:val="005D4E4B"/>
    <w:rsid w:val="005D5AAA"/>
    <w:rsid w:val="005D69F8"/>
    <w:rsid w:val="005E1A15"/>
    <w:rsid w:val="005E2D68"/>
    <w:rsid w:val="005E43FD"/>
    <w:rsid w:val="005E4701"/>
    <w:rsid w:val="005E598A"/>
    <w:rsid w:val="005E7204"/>
    <w:rsid w:val="005F07BE"/>
    <w:rsid w:val="005F2A10"/>
    <w:rsid w:val="005F2A94"/>
    <w:rsid w:val="005F2BD4"/>
    <w:rsid w:val="005F32AA"/>
    <w:rsid w:val="005F3FB5"/>
    <w:rsid w:val="005F5A94"/>
    <w:rsid w:val="005F621D"/>
    <w:rsid w:val="005F7AC3"/>
    <w:rsid w:val="00600B47"/>
    <w:rsid w:val="00600D2C"/>
    <w:rsid w:val="00601CCD"/>
    <w:rsid w:val="006035D3"/>
    <w:rsid w:val="006035F3"/>
    <w:rsid w:val="006040E3"/>
    <w:rsid w:val="006045B4"/>
    <w:rsid w:val="006060E0"/>
    <w:rsid w:val="006062C2"/>
    <w:rsid w:val="006063D7"/>
    <w:rsid w:val="00606424"/>
    <w:rsid w:val="006065AE"/>
    <w:rsid w:val="00606DBB"/>
    <w:rsid w:val="00607688"/>
    <w:rsid w:val="00607DF0"/>
    <w:rsid w:val="006103D4"/>
    <w:rsid w:val="00610A35"/>
    <w:rsid w:val="0061258C"/>
    <w:rsid w:val="006132CF"/>
    <w:rsid w:val="00614411"/>
    <w:rsid w:val="006205A5"/>
    <w:rsid w:val="00620C09"/>
    <w:rsid w:val="0062113B"/>
    <w:rsid w:val="00621C42"/>
    <w:rsid w:val="00622D47"/>
    <w:rsid w:val="00627BC0"/>
    <w:rsid w:val="00631305"/>
    <w:rsid w:val="00631471"/>
    <w:rsid w:val="006318D3"/>
    <w:rsid w:val="00632E4D"/>
    <w:rsid w:val="00632EB0"/>
    <w:rsid w:val="00633957"/>
    <w:rsid w:val="00633A28"/>
    <w:rsid w:val="00633AB2"/>
    <w:rsid w:val="00633BF5"/>
    <w:rsid w:val="00634185"/>
    <w:rsid w:val="006347FE"/>
    <w:rsid w:val="0063652B"/>
    <w:rsid w:val="00636978"/>
    <w:rsid w:val="00636BC3"/>
    <w:rsid w:val="00637156"/>
    <w:rsid w:val="00640170"/>
    <w:rsid w:val="00640C7C"/>
    <w:rsid w:val="0064155B"/>
    <w:rsid w:val="00642500"/>
    <w:rsid w:val="00642609"/>
    <w:rsid w:val="00643619"/>
    <w:rsid w:val="0064471E"/>
    <w:rsid w:val="00644F75"/>
    <w:rsid w:val="00645533"/>
    <w:rsid w:val="00645D61"/>
    <w:rsid w:val="006460E7"/>
    <w:rsid w:val="0064626A"/>
    <w:rsid w:val="006469EC"/>
    <w:rsid w:val="00647268"/>
    <w:rsid w:val="006511C1"/>
    <w:rsid w:val="00651FBE"/>
    <w:rsid w:val="006525C1"/>
    <w:rsid w:val="006530F2"/>
    <w:rsid w:val="0065313D"/>
    <w:rsid w:val="00653876"/>
    <w:rsid w:val="006547BF"/>
    <w:rsid w:val="00654998"/>
    <w:rsid w:val="00654B6A"/>
    <w:rsid w:val="00656C7F"/>
    <w:rsid w:val="00657988"/>
    <w:rsid w:val="00660071"/>
    <w:rsid w:val="006605E0"/>
    <w:rsid w:val="00661866"/>
    <w:rsid w:val="00661F27"/>
    <w:rsid w:val="0066457A"/>
    <w:rsid w:val="00666194"/>
    <w:rsid w:val="006712C7"/>
    <w:rsid w:val="00671338"/>
    <w:rsid w:val="00671FFF"/>
    <w:rsid w:val="00675F9C"/>
    <w:rsid w:val="00676510"/>
    <w:rsid w:val="00676595"/>
    <w:rsid w:val="00680789"/>
    <w:rsid w:val="00680BE2"/>
    <w:rsid w:val="00681464"/>
    <w:rsid w:val="0068173F"/>
    <w:rsid w:val="00681A32"/>
    <w:rsid w:val="00681FC5"/>
    <w:rsid w:val="006829F5"/>
    <w:rsid w:val="00683C7C"/>
    <w:rsid w:val="006864C1"/>
    <w:rsid w:val="00686F86"/>
    <w:rsid w:val="00690209"/>
    <w:rsid w:val="00692DF5"/>
    <w:rsid w:val="00693761"/>
    <w:rsid w:val="00694100"/>
    <w:rsid w:val="00694EB7"/>
    <w:rsid w:val="00697151"/>
    <w:rsid w:val="006971CC"/>
    <w:rsid w:val="00697C34"/>
    <w:rsid w:val="00697C99"/>
    <w:rsid w:val="006A3223"/>
    <w:rsid w:val="006A3998"/>
    <w:rsid w:val="006A453C"/>
    <w:rsid w:val="006A6C6A"/>
    <w:rsid w:val="006A7F49"/>
    <w:rsid w:val="006B0213"/>
    <w:rsid w:val="006B0AFC"/>
    <w:rsid w:val="006B0BA7"/>
    <w:rsid w:val="006B16DE"/>
    <w:rsid w:val="006B1F38"/>
    <w:rsid w:val="006B318D"/>
    <w:rsid w:val="006B33A0"/>
    <w:rsid w:val="006B576E"/>
    <w:rsid w:val="006B6359"/>
    <w:rsid w:val="006B7F56"/>
    <w:rsid w:val="006C082E"/>
    <w:rsid w:val="006C1919"/>
    <w:rsid w:val="006C19B1"/>
    <w:rsid w:val="006C2898"/>
    <w:rsid w:val="006C2F09"/>
    <w:rsid w:val="006C4A8D"/>
    <w:rsid w:val="006C4E12"/>
    <w:rsid w:val="006C521B"/>
    <w:rsid w:val="006C596B"/>
    <w:rsid w:val="006C677C"/>
    <w:rsid w:val="006C7E0D"/>
    <w:rsid w:val="006C7EB1"/>
    <w:rsid w:val="006D0583"/>
    <w:rsid w:val="006D2BF1"/>
    <w:rsid w:val="006D36C3"/>
    <w:rsid w:val="006D436D"/>
    <w:rsid w:val="006D4A5E"/>
    <w:rsid w:val="006D4A7F"/>
    <w:rsid w:val="006D51B3"/>
    <w:rsid w:val="006D5830"/>
    <w:rsid w:val="006D6AE3"/>
    <w:rsid w:val="006D7ABC"/>
    <w:rsid w:val="006E041C"/>
    <w:rsid w:val="006E3A33"/>
    <w:rsid w:val="006E642A"/>
    <w:rsid w:val="006E7294"/>
    <w:rsid w:val="006F09BB"/>
    <w:rsid w:val="006F137F"/>
    <w:rsid w:val="006F308F"/>
    <w:rsid w:val="006F3464"/>
    <w:rsid w:val="006F4E3A"/>
    <w:rsid w:val="006F5269"/>
    <w:rsid w:val="006F602C"/>
    <w:rsid w:val="006F7E35"/>
    <w:rsid w:val="00701164"/>
    <w:rsid w:val="007069BD"/>
    <w:rsid w:val="00706D44"/>
    <w:rsid w:val="00710494"/>
    <w:rsid w:val="007112EC"/>
    <w:rsid w:val="00711E5C"/>
    <w:rsid w:val="007123BD"/>
    <w:rsid w:val="007125D5"/>
    <w:rsid w:val="0071294A"/>
    <w:rsid w:val="007131AA"/>
    <w:rsid w:val="00713370"/>
    <w:rsid w:val="00714BD0"/>
    <w:rsid w:val="0071633C"/>
    <w:rsid w:val="007179E4"/>
    <w:rsid w:val="0072169F"/>
    <w:rsid w:val="00721B8F"/>
    <w:rsid w:val="00722326"/>
    <w:rsid w:val="00723FFE"/>
    <w:rsid w:val="007241BE"/>
    <w:rsid w:val="00724543"/>
    <w:rsid w:val="00732A7D"/>
    <w:rsid w:val="00733C26"/>
    <w:rsid w:val="007342D5"/>
    <w:rsid w:val="007347FF"/>
    <w:rsid w:val="00737E27"/>
    <w:rsid w:val="0074058B"/>
    <w:rsid w:val="0074085E"/>
    <w:rsid w:val="00743149"/>
    <w:rsid w:val="007440E3"/>
    <w:rsid w:val="0074443C"/>
    <w:rsid w:val="007451AE"/>
    <w:rsid w:val="00745C06"/>
    <w:rsid w:val="00745C5B"/>
    <w:rsid w:val="00747451"/>
    <w:rsid w:val="00750743"/>
    <w:rsid w:val="00750AEC"/>
    <w:rsid w:val="00752BCA"/>
    <w:rsid w:val="00752FC3"/>
    <w:rsid w:val="00753097"/>
    <w:rsid w:val="007539BF"/>
    <w:rsid w:val="00753EF0"/>
    <w:rsid w:val="00756708"/>
    <w:rsid w:val="00757297"/>
    <w:rsid w:val="0075753E"/>
    <w:rsid w:val="007625B9"/>
    <w:rsid w:val="007645A6"/>
    <w:rsid w:val="00764A46"/>
    <w:rsid w:val="00765F58"/>
    <w:rsid w:val="0076669C"/>
    <w:rsid w:val="00766DAC"/>
    <w:rsid w:val="0077062D"/>
    <w:rsid w:val="007708DC"/>
    <w:rsid w:val="007709E4"/>
    <w:rsid w:val="007734B3"/>
    <w:rsid w:val="007751AA"/>
    <w:rsid w:val="007759CA"/>
    <w:rsid w:val="00775FDA"/>
    <w:rsid w:val="007775E8"/>
    <w:rsid w:val="00782A03"/>
    <w:rsid w:val="00783091"/>
    <w:rsid w:val="0078319E"/>
    <w:rsid w:val="00783F46"/>
    <w:rsid w:val="00784B59"/>
    <w:rsid w:val="00786895"/>
    <w:rsid w:val="007875CE"/>
    <w:rsid w:val="00790037"/>
    <w:rsid w:val="007904D4"/>
    <w:rsid w:val="00790A0B"/>
    <w:rsid w:val="00792003"/>
    <w:rsid w:val="00793869"/>
    <w:rsid w:val="0079427B"/>
    <w:rsid w:val="007946E9"/>
    <w:rsid w:val="00794E50"/>
    <w:rsid w:val="007951AC"/>
    <w:rsid w:val="00797AED"/>
    <w:rsid w:val="00797D2A"/>
    <w:rsid w:val="007A17EA"/>
    <w:rsid w:val="007A1DA0"/>
    <w:rsid w:val="007A2050"/>
    <w:rsid w:val="007A216D"/>
    <w:rsid w:val="007A3029"/>
    <w:rsid w:val="007A4703"/>
    <w:rsid w:val="007A5A1C"/>
    <w:rsid w:val="007A7D86"/>
    <w:rsid w:val="007B024C"/>
    <w:rsid w:val="007B0291"/>
    <w:rsid w:val="007B13AC"/>
    <w:rsid w:val="007B2174"/>
    <w:rsid w:val="007B5009"/>
    <w:rsid w:val="007C1E4C"/>
    <w:rsid w:val="007C316B"/>
    <w:rsid w:val="007C35FF"/>
    <w:rsid w:val="007C3F24"/>
    <w:rsid w:val="007C4D6E"/>
    <w:rsid w:val="007C570F"/>
    <w:rsid w:val="007C5A92"/>
    <w:rsid w:val="007C6255"/>
    <w:rsid w:val="007C63D6"/>
    <w:rsid w:val="007C70E7"/>
    <w:rsid w:val="007D0B5F"/>
    <w:rsid w:val="007D1E66"/>
    <w:rsid w:val="007D21AC"/>
    <w:rsid w:val="007D3AFB"/>
    <w:rsid w:val="007D537E"/>
    <w:rsid w:val="007D720A"/>
    <w:rsid w:val="007E05DA"/>
    <w:rsid w:val="007E11F6"/>
    <w:rsid w:val="007E1501"/>
    <w:rsid w:val="007E3388"/>
    <w:rsid w:val="007E3F90"/>
    <w:rsid w:val="007E40FF"/>
    <w:rsid w:val="007E49EE"/>
    <w:rsid w:val="007E5312"/>
    <w:rsid w:val="007E5ECB"/>
    <w:rsid w:val="007E6155"/>
    <w:rsid w:val="007E6AF9"/>
    <w:rsid w:val="007E7234"/>
    <w:rsid w:val="007E75AB"/>
    <w:rsid w:val="007F0DA5"/>
    <w:rsid w:val="007F2EFD"/>
    <w:rsid w:val="007F3102"/>
    <w:rsid w:val="007F31CD"/>
    <w:rsid w:val="007F3B8B"/>
    <w:rsid w:val="007F3CED"/>
    <w:rsid w:val="007F536A"/>
    <w:rsid w:val="007F604E"/>
    <w:rsid w:val="007F6BA7"/>
    <w:rsid w:val="007F7AEA"/>
    <w:rsid w:val="00800AA8"/>
    <w:rsid w:val="008014F5"/>
    <w:rsid w:val="00802CBF"/>
    <w:rsid w:val="00803209"/>
    <w:rsid w:val="0080356B"/>
    <w:rsid w:val="008043D9"/>
    <w:rsid w:val="008047E7"/>
    <w:rsid w:val="00804C13"/>
    <w:rsid w:val="00805184"/>
    <w:rsid w:val="00805A4C"/>
    <w:rsid w:val="00806785"/>
    <w:rsid w:val="00806CA4"/>
    <w:rsid w:val="008078B0"/>
    <w:rsid w:val="00810122"/>
    <w:rsid w:val="00810641"/>
    <w:rsid w:val="0081112E"/>
    <w:rsid w:val="008115E5"/>
    <w:rsid w:val="008123AC"/>
    <w:rsid w:val="00812A0F"/>
    <w:rsid w:val="00813666"/>
    <w:rsid w:val="00813B59"/>
    <w:rsid w:val="00814190"/>
    <w:rsid w:val="0081444A"/>
    <w:rsid w:val="008145BF"/>
    <w:rsid w:val="00815B9E"/>
    <w:rsid w:val="0081717D"/>
    <w:rsid w:val="0081752D"/>
    <w:rsid w:val="008176ED"/>
    <w:rsid w:val="0082182F"/>
    <w:rsid w:val="00821B06"/>
    <w:rsid w:val="00822AAE"/>
    <w:rsid w:val="00822ADD"/>
    <w:rsid w:val="00822AE6"/>
    <w:rsid w:val="00823A6B"/>
    <w:rsid w:val="00823F1E"/>
    <w:rsid w:val="0082401A"/>
    <w:rsid w:val="008243EA"/>
    <w:rsid w:val="00826AA8"/>
    <w:rsid w:val="00826AE8"/>
    <w:rsid w:val="008310A6"/>
    <w:rsid w:val="00832DBA"/>
    <w:rsid w:val="00836663"/>
    <w:rsid w:val="00836D51"/>
    <w:rsid w:val="00836DDB"/>
    <w:rsid w:val="0084004E"/>
    <w:rsid w:val="00841E49"/>
    <w:rsid w:val="0084253A"/>
    <w:rsid w:val="00842FDA"/>
    <w:rsid w:val="008435BA"/>
    <w:rsid w:val="008436FA"/>
    <w:rsid w:val="00843A40"/>
    <w:rsid w:val="00845C26"/>
    <w:rsid w:val="00846734"/>
    <w:rsid w:val="008467CB"/>
    <w:rsid w:val="008517C0"/>
    <w:rsid w:val="00852037"/>
    <w:rsid w:val="00852ED5"/>
    <w:rsid w:val="00854D03"/>
    <w:rsid w:val="00856C94"/>
    <w:rsid w:val="00857E2B"/>
    <w:rsid w:val="008621F5"/>
    <w:rsid w:val="00862749"/>
    <w:rsid w:val="00863A7B"/>
    <w:rsid w:val="008671B1"/>
    <w:rsid w:val="00870DD2"/>
    <w:rsid w:val="00871687"/>
    <w:rsid w:val="00871E5D"/>
    <w:rsid w:val="008754C7"/>
    <w:rsid w:val="008755A4"/>
    <w:rsid w:val="00875E61"/>
    <w:rsid w:val="008761DB"/>
    <w:rsid w:val="0087766A"/>
    <w:rsid w:val="008819B2"/>
    <w:rsid w:val="00882127"/>
    <w:rsid w:val="00883FAC"/>
    <w:rsid w:val="00884BF9"/>
    <w:rsid w:val="008852AA"/>
    <w:rsid w:val="008862FD"/>
    <w:rsid w:val="0088656B"/>
    <w:rsid w:val="00886D49"/>
    <w:rsid w:val="00887C83"/>
    <w:rsid w:val="00887D3D"/>
    <w:rsid w:val="0089192C"/>
    <w:rsid w:val="00891C46"/>
    <w:rsid w:val="00892D8B"/>
    <w:rsid w:val="008945F0"/>
    <w:rsid w:val="00894E25"/>
    <w:rsid w:val="00896802"/>
    <w:rsid w:val="0089696F"/>
    <w:rsid w:val="00896D1D"/>
    <w:rsid w:val="008A02BC"/>
    <w:rsid w:val="008A0BF8"/>
    <w:rsid w:val="008A1F66"/>
    <w:rsid w:val="008A528B"/>
    <w:rsid w:val="008A711F"/>
    <w:rsid w:val="008A77B7"/>
    <w:rsid w:val="008B058B"/>
    <w:rsid w:val="008B1C24"/>
    <w:rsid w:val="008B1C76"/>
    <w:rsid w:val="008B4176"/>
    <w:rsid w:val="008B52B9"/>
    <w:rsid w:val="008B5448"/>
    <w:rsid w:val="008B5E5E"/>
    <w:rsid w:val="008C2686"/>
    <w:rsid w:val="008C2A12"/>
    <w:rsid w:val="008C37F6"/>
    <w:rsid w:val="008C396F"/>
    <w:rsid w:val="008C4527"/>
    <w:rsid w:val="008C7103"/>
    <w:rsid w:val="008D13E4"/>
    <w:rsid w:val="008D1D0C"/>
    <w:rsid w:val="008D2130"/>
    <w:rsid w:val="008D21E1"/>
    <w:rsid w:val="008D4170"/>
    <w:rsid w:val="008D4F26"/>
    <w:rsid w:val="008D56FC"/>
    <w:rsid w:val="008D6033"/>
    <w:rsid w:val="008E2621"/>
    <w:rsid w:val="008E47AF"/>
    <w:rsid w:val="008E5650"/>
    <w:rsid w:val="008F04DE"/>
    <w:rsid w:val="008F1494"/>
    <w:rsid w:val="008F46B2"/>
    <w:rsid w:val="008F4A97"/>
    <w:rsid w:val="008F4AA4"/>
    <w:rsid w:val="008F4AF4"/>
    <w:rsid w:val="008F5FD0"/>
    <w:rsid w:val="008F6499"/>
    <w:rsid w:val="0090011C"/>
    <w:rsid w:val="00901026"/>
    <w:rsid w:val="00902AB2"/>
    <w:rsid w:val="009035BC"/>
    <w:rsid w:val="0090361C"/>
    <w:rsid w:val="00903BE3"/>
    <w:rsid w:val="00903DF8"/>
    <w:rsid w:val="00904689"/>
    <w:rsid w:val="00905D3A"/>
    <w:rsid w:val="00910064"/>
    <w:rsid w:val="00910BC0"/>
    <w:rsid w:val="00911993"/>
    <w:rsid w:val="00911C59"/>
    <w:rsid w:val="009129B2"/>
    <w:rsid w:val="00912F90"/>
    <w:rsid w:val="00913CDB"/>
    <w:rsid w:val="00915C93"/>
    <w:rsid w:val="009160A4"/>
    <w:rsid w:val="00916407"/>
    <w:rsid w:val="009207B9"/>
    <w:rsid w:val="00921CFC"/>
    <w:rsid w:val="00921D0C"/>
    <w:rsid w:val="0092223B"/>
    <w:rsid w:val="0092596E"/>
    <w:rsid w:val="009272A7"/>
    <w:rsid w:val="0092761A"/>
    <w:rsid w:val="0093366A"/>
    <w:rsid w:val="009341CF"/>
    <w:rsid w:val="00934EFC"/>
    <w:rsid w:val="0093618F"/>
    <w:rsid w:val="0093676D"/>
    <w:rsid w:val="00937829"/>
    <w:rsid w:val="00940554"/>
    <w:rsid w:val="00942313"/>
    <w:rsid w:val="0094234E"/>
    <w:rsid w:val="00942520"/>
    <w:rsid w:val="00943EFC"/>
    <w:rsid w:val="00944478"/>
    <w:rsid w:val="00947396"/>
    <w:rsid w:val="00947AF0"/>
    <w:rsid w:val="009500BA"/>
    <w:rsid w:val="00951927"/>
    <w:rsid w:val="00953CDF"/>
    <w:rsid w:val="00954C72"/>
    <w:rsid w:val="0095542B"/>
    <w:rsid w:val="00956C20"/>
    <w:rsid w:val="00956D40"/>
    <w:rsid w:val="00957A9C"/>
    <w:rsid w:val="00960367"/>
    <w:rsid w:val="00960DE7"/>
    <w:rsid w:val="00961790"/>
    <w:rsid w:val="00961C2B"/>
    <w:rsid w:val="00963F48"/>
    <w:rsid w:val="009640F8"/>
    <w:rsid w:val="00967AF3"/>
    <w:rsid w:val="00970285"/>
    <w:rsid w:val="00970A74"/>
    <w:rsid w:val="009711D6"/>
    <w:rsid w:val="009718B6"/>
    <w:rsid w:val="00971DF6"/>
    <w:rsid w:val="00971EF4"/>
    <w:rsid w:val="00972D5E"/>
    <w:rsid w:val="009730E5"/>
    <w:rsid w:val="009732E6"/>
    <w:rsid w:val="009733E0"/>
    <w:rsid w:val="009765AF"/>
    <w:rsid w:val="0097691B"/>
    <w:rsid w:val="00976E2D"/>
    <w:rsid w:val="00977256"/>
    <w:rsid w:val="009776AE"/>
    <w:rsid w:val="00980481"/>
    <w:rsid w:val="0098086C"/>
    <w:rsid w:val="00980A37"/>
    <w:rsid w:val="009820DF"/>
    <w:rsid w:val="00982728"/>
    <w:rsid w:val="0098275F"/>
    <w:rsid w:val="009831C7"/>
    <w:rsid w:val="00984D34"/>
    <w:rsid w:val="00985291"/>
    <w:rsid w:val="00986E49"/>
    <w:rsid w:val="00987436"/>
    <w:rsid w:val="00987DC6"/>
    <w:rsid w:val="00987EBC"/>
    <w:rsid w:val="009912F5"/>
    <w:rsid w:val="009915C2"/>
    <w:rsid w:val="00992925"/>
    <w:rsid w:val="00995866"/>
    <w:rsid w:val="00997658"/>
    <w:rsid w:val="009A541E"/>
    <w:rsid w:val="009A6CF2"/>
    <w:rsid w:val="009A6F54"/>
    <w:rsid w:val="009A773B"/>
    <w:rsid w:val="009B1C0B"/>
    <w:rsid w:val="009B2066"/>
    <w:rsid w:val="009B222F"/>
    <w:rsid w:val="009B2DF5"/>
    <w:rsid w:val="009B5A49"/>
    <w:rsid w:val="009B5C50"/>
    <w:rsid w:val="009B7A2B"/>
    <w:rsid w:val="009C2531"/>
    <w:rsid w:val="009C3CB9"/>
    <w:rsid w:val="009C498D"/>
    <w:rsid w:val="009C6439"/>
    <w:rsid w:val="009C6444"/>
    <w:rsid w:val="009C6CD9"/>
    <w:rsid w:val="009C7B4B"/>
    <w:rsid w:val="009C7ED3"/>
    <w:rsid w:val="009C7EF5"/>
    <w:rsid w:val="009D044F"/>
    <w:rsid w:val="009D06C9"/>
    <w:rsid w:val="009D09A4"/>
    <w:rsid w:val="009D1D3B"/>
    <w:rsid w:val="009D5E81"/>
    <w:rsid w:val="009E019A"/>
    <w:rsid w:val="009E1525"/>
    <w:rsid w:val="009E1E3A"/>
    <w:rsid w:val="009E1F1D"/>
    <w:rsid w:val="009E2152"/>
    <w:rsid w:val="009E2198"/>
    <w:rsid w:val="009E27A1"/>
    <w:rsid w:val="009E2A39"/>
    <w:rsid w:val="009E2A66"/>
    <w:rsid w:val="009E360E"/>
    <w:rsid w:val="009E3751"/>
    <w:rsid w:val="009E3966"/>
    <w:rsid w:val="009E4960"/>
    <w:rsid w:val="009E4A7A"/>
    <w:rsid w:val="009E5525"/>
    <w:rsid w:val="009E5B6C"/>
    <w:rsid w:val="009E6473"/>
    <w:rsid w:val="009E784D"/>
    <w:rsid w:val="009E7FB1"/>
    <w:rsid w:val="009F06A2"/>
    <w:rsid w:val="009F09DD"/>
    <w:rsid w:val="009F0C0C"/>
    <w:rsid w:val="009F19E2"/>
    <w:rsid w:val="009F20D7"/>
    <w:rsid w:val="009F32D4"/>
    <w:rsid w:val="009F3AFB"/>
    <w:rsid w:val="009F51CC"/>
    <w:rsid w:val="009F66AF"/>
    <w:rsid w:val="009F6F45"/>
    <w:rsid w:val="00A001F1"/>
    <w:rsid w:val="00A00F64"/>
    <w:rsid w:val="00A03363"/>
    <w:rsid w:val="00A04896"/>
    <w:rsid w:val="00A04F99"/>
    <w:rsid w:val="00A0775D"/>
    <w:rsid w:val="00A07848"/>
    <w:rsid w:val="00A10A6A"/>
    <w:rsid w:val="00A11776"/>
    <w:rsid w:val="00A123EF"/>
    <w:rsid w:val="00A12837"/>
    <w:rsid w:val="00A129EC"/>
    <w:rsid w:val="00A13419"/>
    <w:rsid w:val="00A139DB"/>
    <w:rsid w:val="00A1425B"/>
    <w:rsid w:val="00A147EC"/>
    <w:rsid w:val="00A14E79"/>
    <w:rsid w:val="00A16019"/>
    <w:rsid w:val="00A16B68"/>
    <w:rsid w:val="00A17127"/>
    <w:rsid w:val="00A225E2"/>
    <w:rsid w:val="00A226F9"/>
    <w:rsid w:val="00A244F4"/>
    <w:rsid w:val="00A24D14"/>
    <w:rsid w:val="00A24D8C"/>
    <w:rsid w:val="00A252B8"/>
    <w:rsid w:val="00A261C5"/>
    <w:rsid w:val="00A314CD"/>
    <w:rsid w:val="00A33639"/>
    <w:rsid w:val="00A33728"/>
    <w:rsid w:val="00A35958"/>
    <w:rsid w:val="00A36AA3"/>
    <w:rsid w:val="00A36EA0"/>
    <w:rsid w:val="00A37526"/>
    <w:rsid w:val="00A379C5"/>
    <w:rsid w:val="00A37D6A"/>
    <w:rsid w:val="00A37DD5"/>
    <w:rsid w:val="00A42C1A"/>
    <w:rsid w:val="00A42E95"/>
    <w:rsid w:val="00A43B50"/>
    <w:rsid w:val="00A43EF9"/>
    <w:rsid w:val="00A45152"/>
    <w:rsid w:val="00A455FF"/>
    <w:rsid w:val="00A473CE"/>
    <w:rsid w:val="00A47C0C"/>
    <w:rsid w:val="00A47CF8"/>
    <w:rsid w:val="00A50E53"/>
    <w:rsid w:val="00A51215"/>
    <w:rsid w:val="00A512D4"/>
    <w:rsid w:val="00A51FA5"/>
    <w:rsid w:val="00A52AEA"/>
    <w:rsid w:val="00A5339C"/>
    <w:rsid w:val="00A54394"/>
    <w:rsid w:val="00A5450F"/>
    <w:rsid w:val="00A55ADF"/>
    <w:rsid w:val="00A56125"/>
    <w:rsid w:val="00A563CE"/>
    <w:rsid w:val="00A5754B"/>
    <w:rsid w:val="00A575C5"/>
    <w:rsid w:val="00A5778D"/>
    <w:rsid w:val="00A60DEE"/>
    <w:rsid w:val="00A61687"/>
    <w:rsid w:val="00A61BB5"/>
    <w:rsid w:val="00A632C8"/>
    <w:rsid w:val="00A6412C"/>
    <w:rsid w:val="00A6460C"/>
    <w:rsid w:val="00A6492E"/>
    <w:rsid w:val="00A64F04"/>
    <w:rsid w:val="00A653BB"/>
    <w:rsid w:val="00A66100"/>
    <w:rsid w:val="00A70872"/>
    <w:rsid w:val="00A725D8"/>
    <w:rsid w:val="00A74902"/>
    <w:rsid w:val="00A77A4D"/>
    <w:rsid w:val="00A85918"/>
    <w:rsid w:val="00A87CF3"/>
    <w:rsid w:val="00A87EFE"/>
    <w:rsid w:val="00A90621"/>
    <w:rsid w:val="00A9081E"/>
    <w:rsid w:val="00A91064"/>
    <w:rsid w:val="00A93D41"/>
    <w:rsid w:val="00A97303"/>
    <w:rsid w:val="00AA113B"/>
    <w:rsid w:val="00AA1268"/>
    <w:rsid w:val="00AA3781"/>
    <w:rsid w:val="00AA4D75"/>
    <w:rsid w:val="00AA5A18"/>
    <w:rsid w:val="00AA5B7E"/>
    <w:rsid w:val="00AA6677"/>
    <w:rsid w:val="00AB0518"/>
    <w:rsid w:val="00AB13F7"/>
    <w:rsid w:val="00AB13FA"/>
    <w:rsid w:val="00AB1A9D"/>
    <w:rsid w:val="00AB363F"/>
    <w:rsid w:val="00AB390B"/>
    <w:rsid w:val="00AB4C61"/>
    <w:rsid w:val="00AB4E4B"/>
    <w:rsid w:val="00AB530E"/>
    <w:rsid w:val="00AB56E3"/>
    <w:rsid w:val="00AB5749"/>
    <w:rsid w:val="00AB5F55"/>
    <w:rsid w:val="00AB7399"/>
    <w:rsid w:val="00AC1F61"/>
    <w:rsid w:val="00AC4171"/>
    <w:rsid w:val="00AC5823"/>
    <w:rsid w:val="00AC5A44"/>
    <w:rsid w:val="00AC5CAB"/>
    <w:rsid w:val="00AC7CF0"/>
    <w:rsid w:val="00AD04C3"/>
    <w:rsid w:val="00AD0AD3"/>
    <w:rsid w:val="00AD146A"/>
    <w:rsid w:val="00AD20FC"/>
    <w:rsid w:val="00AD3117"/>
    <w:rsid w:val="00AD337A"/>
    <w:rsid w:val="00AD387D"/>
    <w:rsid w:val="00AD3F9E"/>
    <w:rsid w:val="00AD422B"/>
    <w:rsid w:val="00AD4914"/>
    <w:rsid w:val="00AD5854"/>
    <w:rsid w:val="00AE0B4F"/>
    <w:rsid w:val="00AE127D"/>
    <w:rsid w:val="00AE1E6E"/>
    <w:rsid w:val="00AE3F0B"/>
    <w:rsid w:val="00AE4294"/>
    <w:rsid w:val="00AE4443"/>
    <w:rsid w:val="00AE5904"/>
    <w:rsid w:val="00AE7A12"/>
    <w:rsid w:val="00AF0F0D"/>
    <w:rsid w:val="00AF1128"/>
    <w:rsid w:val="00AF1293"/>
    <w:rsid w:val="00AF26AE"/>
    <w:rsid w:val="00AF4959"/>
    <w:rsid w:val="00AF6832"/>
    <w:rsid w:val="00AF7071"/>
    <w:rsid w:val="00AF76D4"/>
    <w:rsid w:val="00AF7D03"/>
    <w:rsid w:val="00B0006F"/>
    <w:rsid w:val="00B00BD4"/>
    <w:rsid w:val="00B01CDC"/>
    <w:rsid w:val="00B0780F"/>
    <w:rsid w:val="00B07E91"/>
    <w:rsid w:val="00B109D0"/>
    <w:rsid w:val="00B118F3"/>
    <w:rsid w:val="00B11A05"/>
    <w:rsid w:val="00B11C73"/>
    <w:rsid w:val="00B139DF"/>
    <w:rsid w:val="00B15CDB"/>
    <w:rsid w:val="00B1721F"/>
    <w:rsid w:val="00B176CB"/>
    <w:rsid w:val="00B17BAF"/>
    <w:rsid w:val="00B17F40"/>
    <w:rsid w:val="00B21C39"/>
    <w:rsid w:val="00B22759"/>
    <w:rsid w:val="00B22974"/>
    <w:rsid w:val="00B23382"/>
    <w:rsid w:val="00B23470"/>
    <w:rsid w:val="00B24477"/>
    <w:rsid w:val="00B24CCD"/>
    <w:rsid w:val="00B24CEC"/>
    <w:rsid w:val="00B261A8"/>
    <w:rsid w:val="00B307DD"/>
    <w:rsid w:val="00B315DF"/>
    <w:rsid w:val="00B33113"/>
    <w:rsid w:val="00B33579"/>
    <w:rsid w:val="00B3371A"/>
    <w:rsid w:val="00B33EEC"/>
    <w:rsid w:val="00B342F8"/>
    <w:rsid w:val="00B35917"/>
    <w:rsid w:val="00B35F34"/>
    <w:rsid w:val="00B40ECA"/>
    <w:rsid w:val="00B4234A"/>
    <w:rsid w:val="00B4341B"/>
    <w:rsid w:val="00B43855"/>
    <w:rsid w:val="00B44156"/>
    <w:rsid w:val="00B441B4"/>
    <w:rsid w:val="00B474DE"/>
    <w:rsid w:val="00B477EC"/>
    <w:rsid w:val="00B51DE8"/>
    <w:rsid w:val="00B52B53"/>
    <w:rsid w:val="00B52E0C"/>
    <w:rsid w:val="00B53CE1"/>
    <w:rsid w:val="00B55A18"/>
    <w:rsid w:val="00B55BD5"/>
    <w:rsid w:val="00B5655D"/>
    <w:rsid w:val="00B600C2"/>
    <w:rsid w:val="00B60861"/>
    <w:rsid w:val="00B6140D"/>
    <w:rsid w:val="00B621A0"/>
    <w:rsid w:val="00B63810"/>
    <w:rsid w:val="00B63DFE"/>
    <w:rsid w:val="00B66030"/>
    <w:rsid w:val="00B67915"/>
    <w:rsid w:val="00B71EA2"/>
    <w:rsid w:val="00B726C8"/>
    <w:rsid w:val="00B73D8F"/>
    <w:rsid w:val="00B73F58"/>
    <w:rsid w:val="00B74A84"/>
    <w:rsid w:val="00B75813"/>
    <w:rsid w:val="00B765FE"/>
    <w:rsid w:val="00B76C9D"/>
    <w:rsid w:val="00B77CDC"/>
    <w:rsid w:val="00B77CDE"/>
    <w:rsid w:val="00B826D5"/>
    <w:rsid w:val="00B83619"/>
    <w:rsid w:val="00B84E31"/>
    <w:rsid w:val="00B85955"/>
    <w:rsid w:val="00B865B5"/>
    <w:rsid w:val="00B872E4"/>
    <w:rsid w:val="00B873AA"/>
    <w:rsid w:val="00B91CC1"/>
    <w:rsid w:val="00B927E2"/>
    <w:rsid w:val="00B92C8C"/>
    <w:rsid w:val="00B93DC0"/>
    <w:rsid w:val="00B94949"/>
    <w:rsid w:val="00B94F23"/>
    <w:rsid w:val="00B9511F"/>
    <w:rsid w:val="00B95765"/>
    <w:rsid w:val="00B96508"/>
    <w:rsid w:val="00B969FC"/>
    <w:rsid w:val="00BA0FF9"/>
    <w:rsid w:val="00BA1637"/>
    <w:rsid w:val="00BA2108"/>
    <w:rsid w:val="00BA2C21"/>
    <w:rsid w:val="00BA2EE8"/>
    <w:rsid w:val="00BA39ED"/>
    <w:rsid w:val="00BA400B"/>
    <w:rsid w:val="00BA5599"/>
    <w:rsid w:val="00BA590E"/>
    <w:rsid w:val="00BA5BD2"/>
    <w:rsid w:val="00BA7B5E"/>
    <w:rsid w:val="00BB125A"/>
    <w:rsid w:val="00BB20CF"/>
    <w:rsid w:val="00BB287A"/>
    <w:rsid w:val="00BB4E67"/>
    <w:rsid w:val="00BC0B8D"/>
    <w:rsid w:val="00BC2005"/>
    <w:rsid w:val="00BC317E"/>
    <w:rsid w:val="00BC325A"/>
    <w:rsid w:val="00BC3E8E"/>
    <w:rsid w:val="00BC4A02"/>
    <w:rsid w:val="00BC7C30"/>
    <w:rsid w:val="00BD0C4F"/>
    <w:rsid w:val="00BD1910"/>
    <w:rsid w:val="00BD24BB"/>
    <w:rsid w:val="00BD40DA"/>
    <w:rsid w:val="00BD4AF0"/>
    <w:rsid w:val="00BD4E2B"/>
    <w:rsid w:val="00BD5883"/>
    <w:rsid w:val="00BD6E03"/>
    <w:rsid w:val="00BD7227"/>
    <w:rsid w:val="00BD75A0"/>
    <w:rsid w:val="00BE0DD6"/>
    <w:rsid w:val="00BE18B6"/>
    <w:rsid w:val="00BE1BC7"/>
    <w:rsid w:val="00BE1D91"/>
    <w:rsid w:val="00BE1ED5"/>
    <w:rsid w:val="00BE36C1"/>
    <w:rsid w:val="00BE5306"/>
    <w:rsid w:val="00BE582A"/>
    <w:rsid w:val="00BE6121"/>
    <w:rsid w:val="00BE6BCC"/>
    <w:rsid w:val="00BF146E"/>
    <w:rsid w:val="00BF186A"/>
    <w:rsid w:val="00BF39B8"/>
    <w:rsid w:val="00BF52CD"/>
    <w:rsid w:val="00BF69E2"/>
    <w:rsid w:val="00BF784D"/>
    <w:rsid w:val="00BF7F42"/>
    <w:rsid w:val="00C027E8"/>
    <w:rsid w:val="00C03425"/>
    <w:rsid w:val="00C04152"/>
    <w:rsid w:val="00C05036"/>
    <w:rsid w:val="00C05DBC"/>
    <w:rsid w:val="00C068BC"/>
    <w:rsid w:val="00C1034C"/>
    <w:rsid w:val="00C10892"/>
    <w:rsid w:val="00C11968"/>
    <w:rsid w:val="00C11DBA"/>
    <w:rsid w:val="00C12478"/>
    <w:rsid w:val="00C132B2"/>
    <w:rsid w:val="00C13690"/>
    <w:rsid w:val="00C15886"/>
    <w:rsid w:val="00C15D17"/>
    <w:rsid w:val="00C1653E"/>
    <w:rsid w:val="00C165FF"/>
    <w:rsid w:val="00C16959"/>
    <w:rsid w:val="00C17B7C"/>
    <w:rsid w:val="00C20CCD"/>
    <w:rsid w:val="00C20FC2"/>
    <w:rsid w:val="00C21D37"/>
    <w:rsid w:val="00C21DA3"/>
    <w:rsid w:val="00C21F84"/>
    <w:rsid w:val="00C24697"/>
    <w:rsid w:val="00C26473"/>
    <w:rsid w:val="00C26A5A"/>
    <w:rsid w:val="00C27CBE"/>
    <w:rsid w:val="00C30062"/>
    <w:rsid w:val="00C31B8E"/>
    <w:rsid w:val="00C343B4"/>
    <w:rsid w:val="00C35A5C"/>
    <w:rsid w:val="00C3658D"/>
    <w:rsid w:val="00C36E20"/>
    <w:rsid w:val="00C401EA"/>
    <w:rsid w:val="00C4136E"/>
    <w:rsid w:val="00C441B2"/>
    <w:rsid w:val="00C452EF"/>
    <w:rsid w:val="00C465AE"/>
    <w:rsid w:val="00C46C0F"/>
    <w:rsid w:val="00C50A80"/>
    <w:rsid w:val="00C52A9A"/>
    <w:rsid w:val="00C537BE"/>
    <w:rsid w:val="00C54288"/>
    <w:rsid w:val="00C55554"/>
    <w:rsid w:val="00C55ABA"/>
    <w:rsid w:val="00C565F7"/>
    <w:rsid w:val="00C6346B"/>
    <w:rsid w:val="00C64B4E"/>
    <w:rsid w:val="00C64B93"/>
    <w:rsid w:val="00C70D05"/>
    <w:rsid w:val="00C7225C"/>
    <w:rsid w:val="00C73707"/>
    <w:rsid w:val="00C73EE6"/>
    <w:rsid w:val="00C743BD"/>
    <w:rsid w:val="00C7487F"/>
    <w:rsid w:val="00C7489B"/>
    <w:rsid w:val="00C76434"/>
    <w:rsid w:val="00C76E09"/>
    <w:rsid w:val="00C818D6"/>
    <w:rsid w:val="00C81BDD"/>
    <w:rsid w:val="00C82521"/>
    <w:rsid w:val="00C8258E"/>
    <w:rsid w:val="00C83787"/>
    <w:rsid w:val="00C8427E"/>
    <w:rsid w:val="00C8588C"/>
    <w:rsid w:val="00C86111"/>
    <w:rsid w:val="00C866ED"/>
    <w:rsid w:val="00C870B7"/>
    <w:rsid w:val="00C87CA6"/>
    <w:rsid w:val="00C923CA"/>
    <w:rsid w:val="00C92D04"/>
    <w:rsid w:val="00C935A3"/>
    <w:rsid w:val="00C9547A"/>
    <w:rsid w:val="00C95E75"/>
    <w:rsid w:val="00C966E5"/>
    <w:rsid w:val="00C970F1"/>
    <w:rsid w:val="00C97832"/>
    <w:rsid w:val="00C97E22"/>
    <w:rsid w:val="00CA063B"/>
    <w:rsid w:val="00CA144C"/>
    <w:rsid w:val="00CA241E"/>
    <w:rsid w:val="00CA3AAC"/>
    <w:rsid w:val="00CA67D4"/>
    <w:rsid w:val="00CA6C1C"/>
    <w:rsid w:val="00CA6F68"/>
    <w:rsid w:val="00CA71E9"/>
    <w:rsid w:val="00CB0568"/>
    <w:rsid w:val="00CB3CEE"/>
    <w:rsid w:val="00CB6C75"/>
    <w:rsid w:val="00CC1157"/>
    <w:rsid w:val="00CC1E1D"/>
    <w:rsid w:val="00CC26B3"/>
    <w:rsid w:val="00CC35EE"/>
    <w:rsid w:val="00CC4292"/>
    <w:rsid w:val="00CC4CB1"/>
    <w:rsid w:val="00CC54A9"/>
    <w:rsid w:val="00CC5E3B"/>
    <w:rsid w:val="00CC6386"/>
    <w:rsid w:val="00CC69B2"/>
    <w:rsid w:val="00CC6EF0"/>
    <w:rsid w:val="00CC776F"/>
    <w:rsid w:val="00CD07E0"/>
    <w:rsid w:val="00CD0B43"/>
    <w:rsid w:val="00CD2EDB"/>
    <w:rsid w:val="00CD38A7"/>
    <w:rsid w:val="00CD5B42"/>
    <w:rsid w:val="00CE01FD"/>
    <w:rsid w:val="00CE06E3"/>
    <w:rsid w:val="00CE0C4F"/>
    <w:rsid w:val="00CE107B"/>
    <w:rsid w:val="00CE19DC"/>
    <w:rsid w:val="00CE1AF7"/>
    <w:rsid w:val="00CE228B"/>
    <w:rsid w:val="00CE5090"/>
    <w:rsid w:val="00CE6A1F"/>
    <w:rsid w:val="00CE764A"/>
    <w:rsid w:val="00CF1ECA"/>
    <w:rsid w:val="00CF2284"/>
    <w:rsid w:val="00CF2774"/>
    <w:rsid w:val="00CF33DC"/>
    <w:rsid w:val="00CF3EF6"/>
    <w:rsid w:val="00CF50C2"/>
    <w:rsid w:val="00CF55FF"/>
    <w:rsid w:val="00CF5623"/>
    <w:rsid w:val="00CF5D87"/>
    <w:rsid w:val="00CF635D"/>
    <w:rsid w:val="00CF6460"/>
    <w:rsid w:val="00CF7BD4"/>
    <w:rsid w:val="00CF7CFC"/>
    <w:rsid w:val="00D00170"/>
    <w:rsid w:val="00D008F9"/>
    <w:rsid w:val="00D00AD8"/>
    <w:rsid w:val="00D00DCC"/>
    <w:rsid w:val="00D00F2B"/>
    <w:rsid w:val="00D03369"/>
    <w:rsid w:val="00D03717"/>
    <w:rsid w:val="00D04023"/>
    <w:rsid w:val="00D05905"/>
    <w:rsid w:val="00D10A30"/>
    <w:rsid w:val="00D1171D"/>
    <w:rsid w:val="00D11B85"/>
    <w:rsid w:val="00D14DDF"/>
    <w:rsid w:val="00D154A5"/>
    <w:rsid w:val="00D16B0A"/>
    <w:rsid w:val="00D17051"/>
    <w:rsid w:val="00D2022B"/>
    <w:rsid w:val="00D2165A"/>
    <w:rsid w:val="00D21BAD"/>
    <w:rsid w:val="00D225E0"/>
    <w:rsid w:val="00D2272F"/>
    <w:rsid w:val="00D235C7"/>
    <w:rsid w:val="00D23DBB"/>
    <w:rsid w:val="00D25591"/>
    <w:rsid w:val="00D25DC9"/>
    <w:rsid w:val="00D27A7C"/>
    <w:rsid w:val="00D27E09"/>
    <w:rsid w:val="00D30FE4"/>
    <w:rsid w:val="00D310B4"/>
    <w:rsid w:val="00D31400"/>
    <w:rsid w:val="00D3197A"/>
    <w:rsid w:val="00D32D97"/>
    <w:rsid w:val="00D33086"/>
    <w:rsid w:val="00D330EA"/>
    <w:rsid w:val="00D33AC1"/>
    <w:rsid w:val="00D3427D"/>
    <w:rsid w:val="00D3637F"/>
    <w:rsid w:val="00D3729C"/>
    <w:rsid w:val="00D417C0"/>
    <w:rsid w:val="00D42ECB"/>
    <w:rsid w:val="00D4370C"/>
    <w:rsid w:val="00D43C5A"/>
    <w:rsid w:val="00D43F57"/>
    <w:rsid w:val="00D44C8D"/>
    <w:rsid w:val="00D455B2"/>
    <w:rsid w:val="00D462CF"/>
    <w:rsid w:val="00D46670"/>
    <w:rsid w:val="00D47356"/>
    <w:rsid w:val="00D502BD"/>
    <w:rsid w:val="00D5060B"/>
    <w:rsid w:val="00D547C0"/>
    <w:rsid w:val="00D54886"/>
    <w:rsid w:val="00D56338"/>
    <w:rsid w:val="00D573B8"/>
    <w:rsid w:val="00D57CAD"/>
    <w:rsid w:val="00D57D78"/>
    <w:rsid w:val="00D6016F"/>
    <w:rsid w:val="00D61A9E"/>
    <w:rsid w:val="00D62522"/>
    <w:rsid w:val="00D62A01"/>
    <w:rsid w:val="00D62DAA"/>
    <w:rsid w:val="00D64B79"/>
    <w:rsid w:val="00D655B0"/>
    <w:rsid w:val="00D67918"/>
    <w:rsid w:val="00D67BCE"/>
    <w:rsid w:val="00D708EF"/>
    <w:rsid w:val="00D73C8E"/>
    <w:rsid w:val="00D746C0"/>
    <w:rsid w:val="00D756FD"/>
    <w:rsid w:val="00D77108"/>
    <w:rsid w:val="00D77226"/>
    <w:rsid w:val="00D77BE5"/>
    <w:rsid w:val="00D8113F"/>
    <w:rsid w:val="00D81FB0"/>
    <w:rsid w:val="00D8247B"/>
    <w:rsid w:val="00D8271A"/>
    <w:rsid w:val="00D83583"/>
    <w:rsid w:val="00D83678"/>
    <w:rsid w:val="00D854D0"/>
    <w:rsid w:val="00D85918"/>
    <w:rsid w:val="00D85923"/>
    <w:rsid w:val="00D85EEB"/>
    <w:rsid w:val="00D8641F"/>
    <w:rsid w:val="00D86F38"/>
    <w:rsid w:val="00D87646"/>
    <w:rsid w:val="00D90D84"/>
    <w:rsid w:val="00D91A52"/>
    <w:rsid w:val="00D91C73"/>
    <w:rsid w:val="00D934E2"/>
    <w:rsid w:val="00D945A6"/>
    <w:rsid w:val="00D95396"/>
    <w:rsid w:val="00D95A41"/>
    <w:rsid w:val="00D977E0"/>
    <w:rsid w:val="00D97BA1"/>
    <w:rsid w:val="00DA1117"/>
    <w:rsid w:val="00DA1CA1"/>
    <w:rsid w:val="00DA1FAB"/>
    <w:rsid w:val="00DA2218"/>
    <w:rsid w:val="00DA3228"/>
    <w:rsid w:val="00DA5E47"/>
    <w:rsid w:val="00DA7872"/>
    <w:rsid w:val="00DA7CA8"/>
    <w:rsid w:val="00DA7D65"/>
    <w:rsid w:val="00DB08C0"/>
    <w:rsid w:val="00DB25A3"/>
    <w:rsid w:val="00DB5431"/>
    <w:rsid w:val="00DB565D"/>
    <w:rsid w:val="00DB60C9"/>
    <w:rsid w:val="00DB699A"/>
    <w:rsid w:val="00DB6C1F"/>
    <w:rsid w:val="00DB6D9C"/>
    <w:rsid w:val="00DC06C3"/>
    <w:rsid w:val="00DC0FE3"/>
    <w:rsid w:val="00DC1F59"/>
    <w:rsid w:val="00DC2748"/>
    <w:rsid w:val="00DC3501"/>
    <w:rsid w:val="00DC6510"/>
    <w:rsid w:val="00DC6966"/>
    <w:rsid w:val="00DC7F51"/>
    <w:rsid w:val="00DD0D2B"/>
    <w:rsid w:val="00DD2923"/>
    <w:rsid w:val="00DD327E"/>
    <w:rsid w:val="00DD4D0B"/>
    <w:rsid w:val="00DD566D"/>
    <w:rsid w:val="00DD5A05"/>
    <w:rsid w:val="00DD5B2A"/>
    <w:rsid w:val="00DD5F79"/>
    <w:rsid w:val="00DD7138"/>
    <w:rsid w:val="00DE020E"/>
    <w:rsid w:val="00DE031C"/>
    <w:rsid w:val="00DE149F"/>
    <w:rsid w:val="00DE1B1A"/>
    <w:rsid w:val="00DE28DF"/>
    <w:rsid w:val="00DE2AAE"/>
    <w:rsid w:val="00DE2F2A"/>
    <w:rsid w:val="00DE36C2"/>
    <w:rsid w:val="00DE38C5"/>
    <w:rsid w:val="00DE4807"/>
    <w:rsid w:val="00DE4C16"/>
    <w:rsid w:val="00DE5920"/>
    <w:rsid w:val="00DE6B83"/>
    <w:rsid w:val="00DF0535"/>
    <w:rsid w:val="00DF0E68"/>
    <w:rsid w:val="00DF1F6F"/>
    <w:rsid w:val="00DF20E8"/>
    <w:rsid w:val="00DF3851"/>
    <w:rsid w:val="00DF3BB6"/>
    <w:rsid w:val="00DF3F35"/>
    <w:rsid w:val="00DF3F63"/>
    <w:rsid w:val="00DF4215"/>
    <w:rsid w:val="00DF4CB2"/>
    <w:rsid w:val="00DF5961"/>
    <w:rsid w:val="00DF6984"/>
    <w:rsid w:val="00E00B25"/>
    <w:rsid w:val="00E0155C"/>
    <w:rsid w:val="00E019CF"/>
    <w:rsid w:val="00E02349"/>
    <w:rsid w:val="00E04154"/>
    <w:rsid w:val="00E06AD5"/>
    <w:rsid w:val="00E06D94"/>
    <w:rsid w:val="00E10E2F"/>
    <w:rsid w:val="00E10FAE"/>
    <w:rsid w:val="00E111D6"/>
    <w:rsid w:val="00E11B3A"/>
    <w:rsid w:val="00E12D2A"/>
    <w:rsid w:val="00E132CA"/>
    <w:rsid w:val="00E140C2"/>
    <w:rsid w:val="00E14BF0"/>
    <w:rsid w:val="00E15BA7"/>
    <w:rsid w:val="00E162F1"/>
    <w:rsid w:val="00E16580"/>
    <w:rsid w:val="00E2003B"/>
    <w:rsid w:val="00E20D56"/>
    <w:rsid w:val="00E21274"/>
    <w:rsid w:val="00E2355D"/>
    <w:rsid w:val="00E23DCF"/>
    <w:rsid w:val="00E2442C"/>
    <w:rsid w:val="00E252DD"/>
    <w:rsid w:val="00E25C57"/>
    <w:rsid w:val="00E264A6"/>
    <w:rsid w:val="00E30DBC"/>
    <w:rsid w:val="00E31BF6"/>
    <w:rsid w:val="00E32BAE"/>
    <w:rsid w:val="00E36569"/>
    <w:rsid w:val="00E36C47"/>
    <w:rsid w:val="00E36E8A"/>
    <w:rsid w:val="00E37E03"/>
    <w:rsid w:val="00E40DF8"/>
    <w:rsid w:val="00E40F23"/>
    <w:rsid w:val="00E41218"/>
    <w:rsid w:val="00E43F76"/>
    <w:rsid w:val="00E46FE7"/>
    <w:rsid w:val="00E50883"/>
    <w:rsid w:val="00E5207D"/>
    <w:rsid w:val="00E52177"/>
    <w:rsid w:val="00E524DB"/>
    <w:rsid w:val="00E53DCF"/>
    <w:rsid w:val="00E543AC"/>
    <w:rsid w:val="00E56844"/>
    <w:rsid w:val="00E56BCC"/>
    <w:rsid w:val="00E57549"/>
    <w:rsid w:val="00E57E94"/>
    <w:rsid w:val="00E57F33"/>
    <w:rsid w:val="00E604C8"/>
    <w:rsid w:val="00E60EB6"/>
    <w:rsid w:val="00E62745"/>
    <w:rsid w:val="00E64415"/>
    <w:rsid w:val="00E647BD"/>
    <w:rsid w:val="00E666EE"/>
    <w:rsid w:val="00E66CF8"/>
    <w:rsid w:val="00E710A7"/>
    <w:rsid w:val="00E716DB"/>
    <w:rsid w:val="00E71A8A"/>
    <w:rsid w:val="00E727B0"/>
    <w:rsid w:val="00E73B43"/>
    <w:rsid w:val="00E73FB4"/>
    <w:rsid w:val="00E74B2D"/>
    <w:rsid w:val="00E74E42"/>
    <w:rsid w:val="00E769CA"/>
    <w:rsid w:val="00E77099"/>
    <w:rsid w:val="00E801A3"/>
    <w:rsid w:val="00E8175E"/>
    <w:rsid w:val="00E83D7B"/>
    <w:rsid w:val="00E8404C"/>
    <w:rsid w:val="00E84E2F"/>
    <w:rsid w:val="00E85218"/>
    <w:rsid w:val="00E86B8F"/>
    <w:rsid w:val="00E91BA6"/>
    <w:rsid w:val="00E91D6C"/>
    <w:rsid w:val="00E932F7"/>
    <w:rsid w:val="00E938FD"/>
    <w:rsid w:val="00E97D92"/>
    <w:rsid w:val="00EA0BA6"/>
    <w:rsid w:val="00EA12F1"/>
    <w:rsid w:val="00EA1977"/>
    <w:rsid w:val="00EA36CD"/>
    <w:rsid w:val="00EA526A"/>
    <w:rsid w:val="00EA5921"/>
    <w:rsid w:val="00EA5ED3"/>
    <w:rsid w:val="00EA6113"/>
    <w:rsid w:val="00EA6732"/>
    <w:rsid w:val="00EA6ECE"/>
    <w:rsid w:val="00EA79CD"/>
    <w:rsid w:val="00EB0087"/>
    <w:rsid w:val="00EB00F7"/>
    <w:rsid w:val="00EB1A59"/>
    <w:rsid w:val="00EB2C64"/>
    <w:rsid w:val="00EB31E3"/>
    <w:rsid w:val="00EB4B61"/>
    <w:rsid w:val="00EB5A73"/>
    <w:rsid w:val="00EB637F"/>
    <w:rsid w:val="00EB65FA"/>
    <w:rsid w:val="00EB726F"/>
    <w:rsid w:val="00EC0167"/>
    <w:rsid w:val="00EC0273"/>
    <w:rsid w:val="00EC18B5"/>
    <w:rsid w:val="00EC1E6C"/>
    <w:rsid w:val="00EC21D4"/>
    <w:rsid w:val="00EC2581"/>
    <w:rsid w:val="00EC2F4D"/>
    <w:rsid w:val="00EC3F3F"/>
    <w:rsid w:val="00EC4639"/>
    <w:rsid w:val="00EC53A7"/>
    <w:rsid w:val="00EC5AE3"/>
    <w:rsid w:val="00EC7160"/>
    <w:rsid w:val="00EC7B7D"/>
    <w:rsid w:val="00ED1F32"/>
    <w:rsid w:val="00ED1FDA"/>
    <w:rsid w:val="00ED31D7"/>
    <w:rsid w:val="00ED3C34"/>
    <w:rsid w:val="00ED4375"/>
    <w:rsid w:val="00ED58F5"/>
    <w:rsid w:val="00ED636C"/>
    <w:rsid w:val="00EE139E"/>
    <w:rsid w:val="00EE1941"/>
    <w:rsid w:val="00EE26B1"/>
    <w:rsid w:val="00EE26CC"/>
    <w:rsid w:val="00EE2737"/>
    <w:rsid w:val="00EE2D65"/>
    <w:rsid w:val="00EE42C4"/>
    <w:rsid w:val="00EE5960"/>
    <w:rsid w:val="00EE6D40"/>
    <w:rsid w:val="00EF0FDA"/>
    <w:rsid w:val="00EF197F"/>
    <w:rsid w:val="00EF449A"/>
    <w:rsid w:val="00EF46DF"/>
    <w:rsid w:val="00EF5D6B"/>
    <w:rsid w:val="00EF6F54"/>
    <w:rsid w:val="00EF7388"/>
    <w:rsid w:val="00EF75C9"/>
    <w:rsid w:val="00EF764B"/>
    <w:rsid w:val="00F00EFA"/>
    <w:rsid w:val="00F01754"/>
    <w:rsid w:val="00F03704"/>
    <w:rsid w:val="00F042C3"/>
    <w:rsid w:val="00F04773"/>
    <w:rsid w:val="00F04F08"/>
    <w:rsid w:val="00F04FE4"/>
    <w:rsid w:val="00F05056"/>
    <w:rsid w:val="00F07140"/>
    <w:rsid w:val="00F1080C"/>
    <w:rsid w:val="00F10AA9"/>
    <w:rsid w:val="00F11247"/>
    <w:rsid w:val="00F11ADA"/>
    <w:rsid w:val="00F12073"/>
    <w:rsid w:val="00F13CE7"/>
    <w:rsid w:val="00F147A7"/>
    <w:rsid w:val="00F14C65"/>
    <w:rsid w:val="00F15C32"/>
    <w:rsid w:val="00F17A98"/>
    <w:rsid w:val="00F17F63"/>
    <w:rsid w:val="00F20499"/>
    <w:rsid w:val="00F20683"/>
    <w:rsid w:val="00F21042"/>
    <w:rsid w:val="00F22C49"/>
    <w:rsid w:val="00F2412B"/>
    <w:rsid w:val="00F247E6"/>
    <w:rsid w:val="00F24AC9"/>
    <w:rsid w:val="00F25F33"/>
    <w:rsid w:val="00F260DD"/>
    <w:rsid w:val="00F306C0"/>
    <w:rsid w:val="00F321B4"/>
    <w:rsid w:val="00F34EF2"/>
    <w:rsid w:val="00F36A20"/>
    <w:rsid w:val="00F37E48"/>
    <w:rsid w:val="00F37FBF"/>
    <w:rsid w:val="00F40EC5"/>
    <w:rsid w:val="00F41046"/>
    <w:rsid w:val="00F41196"/>
    <w:rsid w:val="00F417A4"/>
    <w:rsid w:val="00F41BE9"/>
    <w:rsid w:val="00F4531E"/>
    <w:rsid w:val="00F46DAD"/>
    <w:rsid w:val="00F500CD"/>
    <w:rsid w:val="00F5199C"/>
    <w:rsid w:val="00F55361"/>
    <w:rsid w:val="00F56F42"/>
    <w:rsid w:val="00F57FC5"/>
    <w:rsid w:val="00F57FF8"/>
    <w:rsid w:val="00F60C4B"/>
    <w:rsid w:val="00F6344A"/>
    <w:rsid w:val="00F63D69"/>
    <w:rsid w:val="00F642B4"/>
    <w:rsid w:val="00F64F55"/>
    <w:rsid w:val="00F66440"/>
    <w:rsid w:val="00F66C10"/>
    <w:rsid w:val="00F67264"/>
    <w:rsid w:val="00F676BB"/>
    <w:rsid w:val="00F70479"/>
    <w:rsid w:val="00F70604"/>
    <w:rsid w:val="00F717B6"/>
    <w:rsid w:val="00F71F3F"/>
    <w:rsid w:val="00F72753"/>
    <w:rsid w:val="00F74894"/>
    <w:rsid w:val="00F76AC0"/>
    <w:rsid w:val="00F81EAD"/>
    <w:rsid w:val="00F81F04"/>
    <w:rsid w:val="00F82362"/>
    <w:rsid w:val="00F827CD"/>
    <w:rsid w:val="00F83CB7"/>
    <w:rsid w:val="00F83D4F"/>
    <w:rsid w:val="00F84225"/>
    <w:rsid w:val="00F849D9"/>
    <w:rsid w:val="00F85F2C"/>
    <w:rsid w:val="00F86BFC"/>
    <w:rsid w:val="00F90713"/>
    <w:rsid w:val="00F915F3"/>
    <w:rsid w:val="00F94D39"/>
    <w:rsid w:val="00F95A1A"/>
    <w:rsid w:val="00F97D02"/>
    <w:rsid w:val="00FA07ED"/>
    <w:rsid w:val="00FA16A4"/>
    <w:rsid w:val="00FA23D3"/>
    <w:rsid w:val="00FA3AC2"/>
    <w:rsid w:val="00FA474A"/>
    <w:rsid w:val="00FA7797"/>
    <w:rsid w:val="00FB0529"/>
    <w:rsid w:val="00FB0548"/>
    <w:rsid w:val="00FB47DE"/>
    <w:rsid w:val="00FB4AA5"/>
    <w:rsid w:val="00FB53F8"/>
    <w:rsid w:val="00FB6CBC"/>
    <w:rsid w:val="00FB7F2A"/>
    <w:rsid w:val="00FC1403"/>
    <w:rsid w:val="00FC1BD1"/>
    <w:rsid w:val="00FC238D"/>
    <w:rsid w:val="00FC389A"/>
    <w:rsid w:val="00FC4618"/>
    <w:rsid w:val="00FC4873"/>
    <w:rsid w:val="00FC59D1"/>
    <w:rsid w:val="00FC6B43"/>
    <w:rsid w:val="00FC6B9E"/>
    <w:rsid w:val="00FD06A6"/>
    <w:rsid w:val="00FD0A18"/>
    <w:rsid w:val="00FD13DC"/>
    <w:rsid w:val="00FD2AC3"/>
    <w:rsid w:val="00FD31E6"/>
    <w:rsid w:val="00FD4E14"/>
    <w:rsid w:val="00FD50C9"/>
    <w:rsid w:val="00FD7E1C"/>
    <w:rsid w:val="00FE3819"/>
    <w:rsid w:val="00FE5099"/>
    <w:rsid w:val="00FE5535"/>
    <w:rsid w:val="00FE6FCE"/>
    <w:rsid w:val="00FE7C76"/>
    <w:rsid w:val="00FF0BA8"/>
    <w:rsid w:val="00FF151F"/>
    <w:rsid w:val="00FF1B05"/>
    <w:rsid w:val="00FF2BA4"/>
    <w:rsid w:val="00FF39C0"/>
    <w:rsid w:val="00FF4099"/>
    <w:rsid w:val="00FF4A14"/>
    <w:rsid w:val="00FF543E"/>
    <w:rsid w:val="00FF5FEF"/>
    <w:rsid w:val="00FF68A1"/>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363D4"/>
  <w15:docId w15:val="{13A9DF26-B727-4530-AC01-8957ED55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my-MM"/>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AD6"/>
    <w:pPr>
      <w:spacing w:after="0" w:line="360" w:lineRule="auto"/>
    </w:pPr>
    <w:rPr>
      <w:rFonts w:ascii="Times New Roman" w:hAnsi="Times New Roman"/>
      <w:sz w:val="28"/>
    </w:rPr>
  </w:style>
  <w:style w:type="paragraph" w:styleId="Heading1">
    <w:name w:val="heading 1"/>
    <w:basedOn w:val="Normal"/>
    <w:next w:val="Normal"/>
    <w:link w:val="Heading1Char"/>
    <w:uiPriority w:val="9"/>
    <w:qFormat/>
    <w:rsid w:val="002C3AD6"/>
    <w:pPr>
      <w:keepNext/>
      <w:keepLines/>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2C3AD6"/>
    <w:pPr>
      <w:keepNext/>
      <w:keepLines/>
      <w:outlineLvl w:val="1"/>
    </w:pPr>
    <w:rPr>
      <w:rFonts w:eastAsiaTheme="majorEastAsia" w:cstheme="majorBidi"/>
      <w:b/>
      <w:color w:val="000000" w:themeColor="text1"/>
      <w:szCs w:val="28"/>
    </w:rPr>
  </w:style>
  <w:style w:type="paragraph" w:styleId="Heading3">
    <w:name w:val="heading 3"/>
    <w:basedOn w:val="Normal"/>
    <w:next w:val="Normal"/>
    <w:link w:val="Heading3Char"/>
    <w:uiPriority w:val="9"/>
    <w:unhideWhenUsed/>
    <w:qFormat/>
    <w:rsid w:val="002C3AD6"/>
    <w:pPr>
      <w:keepNext/>
      <w:keepLines/>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5D69F8"/>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D69F8"/>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5D69F8"/>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5D69F8"/>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5D69F8"/>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5D69F8"/>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05A5"/>
    <w:pPr>
      <w:autoSpaceDE w:val="0"/>
      <w:autoSpaceDN w:val="0"/>
      <w:adjustRightInd w:val="0"/>
      <w:spacing w:after="0" w:line="240" w:lineRule="auto"/>
    </w:pPr>
    <w:rPr>
      <w:rFonts w:ascii="Souvenir" w:hAnsi="Souvenir" w:cs="Souvenir"/>
      <w:color w:val="000000"/>
      <w:sz w:val="24"/>
      <w:szCs w:val="24"/>
    </w:rPr>
  </w:style>
  <w:style w:type="paragraph" w:styleId="ListParagraph">
    <w:name w:val="List Paragraph"/>
    <w:basedOn w:val="Normal"/>
    <w:uiPriority w:val="34"/>
    <w:qFormat/>
    <w:rsid w:val="00467278"/>
    <w:pPr>
      <w:ind w:left="720"/>
      <w:contextualSpacing/>
    </w:pPr>
  </w:style>
  <w:style w:type="character" w:customStyle="1" w:styleId="Heading1Char">
    <w:name w:val="Heading 1 Char"/>
    <w:basedOn w:val="DefaultParagraphFont"/>
    <w:link w:val="Heading1"/>
    <w:uiPriority w:val="9"/>
    <w:rsid w:val="002C3AD6"/>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2C3AD6"/>
    <w:rPr>
      <w:rFonts w:ascii="Times New Roman" w:eastAsiaTheme="majorEastAsia" w:hAnsi="Times New Roman" w:cstheme="majorBidi"/>
      <w:b/>
      <w:color w:val="000000" w:themeColor="text1"/>
      <w:sz w:val="28"/>
      <w:szCs w:val="28"/>
    </w:rPr>
  </w:style>
  <w:style w:type="character" w:customStyle="1" w:styleId="Heading3Char">
    <w:name w:val="Heading 3 Char"/>
    <w:basedOn w:val="DefaultParagraphFont"/>
    <w:link w:val="Heading3"/>
    <w:uiPriority w:val="9"/>
    <w:rsid w:val="002C3AD6"/>
    <w:rPr>
      <w:rFonts w:ascii="Times New Roman" w:eastAsiaTheme="majorEastAsia" w:hAnsi="Times New Roman" w:cstheme="majorBidi"/>
      <w:b/>
      <w:color w:val="000000" w:themeColor="text1"/>
      <w:sz w:val="28"/>
      <w:szCs w:val="24"/>
    </w:rPr>
  </w:style>
  <w:style w:type="character" w:customStyle="1" w:styleId="Heading4Char">
    <w:name w:val="Heading 4 Char"/>
    <w:basedOn w:val="DefaultParagraphFont"/>
    <w:link w:val="Heading4"/>
    <w:uiPriority w:val="9"/>
    <w:semiHidden/>
    <w:rsid w:val="005D69F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D69F8"/>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5D69F8"/>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5D69F8"/>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5D69F8"/>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5D69F8"/>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unhideWhenUsed/>
    <w:qFormat/>
    <w:rsid w:val="005D69F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5D69F8"/>
    <w:pPr>
      <w:spacing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5D69F8"/>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5D69F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D69F8"/>
    <w:rPr>
      <w:rFonts w:asciiTheme="majorHAnsi" w:eastAsiaTheme="majorEastAsia" w:hAnsiTheme="majorHAnsi" w:cstheme="majorBidi"/>
      <w:sz w:val="24"/>
      <w:szCs w:val="24"/>
    </w:rPr>
  </w:style>
  <w:style w:type="character" w:styleId="Strong">
    <w:name w:val="Strong"/>
    <w:basedOn w:val="DefaultParagraphFont"/>
    <w:uiPriority w:val="22"/>
    <w:qFormat/>
    <w:rsid w:val="005D69F8"/>
    <w:rPr>
      <w:b/>
      <w:bCs/>
    </w:rPr>
  </w:style>
  <w:style w:type="character" w:styleId="Emphasis">
    <w:name w:val="Emphasis"/>
    <w:basedOn w:val="DefaultParagraphFont"/>
    <w:uiPriority w:val="20"/>
    <w:qFormat/>
    <w:rsid w:val="005D69F8"/>
    <w:rPr>
      <w:i/>
      <w:iCs/>
    </w:rPr>
  </w:style>
  <w:style w:type="paragraph" w:styleId="NoSpacing">
    <w:name w:val="No Spacing"/>
    <w:uiPriority w:val="1"/>
    <w:qFormat/>
    <w:rsid w:val="005D69F8"/>
    <w:pPr>
      <w:spacing w:after="0" w:line="240" w:lineRule="auto"/>
    </w:pPr>
  </w:style>
  <w:style w:type="paragraph" w:styleId="Quote">
    <w:name w:val="Quote"/>
    <w:basedOn w:val="Normal"/>
    <w:next w:val="Normal"/>
    <w:link w:val="QuoteChar"/>
    <w:uiPriority w:val="29"/>
    <w:qFormat/>
    <w:rsid w:val="005D69F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D69F8"/>
    <w:rPr>
      <w:i/>
      <w:iCs/>
      <w:color w:val="404040" w:themeColor="text1" w:themeTint="BF"/>
    </w:rPr>
  </w:style>
  <w:style w:type="paragraph" w:styleId="IntenseQuote">
    <w:name w:val="Intense Quote"/>
    <w:basedOn w:val="Normal"/>
    <w:next w:val="Normal"/>
    <w:link w:val="IntenseQuoteChar"/>
    <w:uiPriority w:val="30"/>
    <w:qFormat/>
    <w:rsid w:val="005D69F8"/>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Cs w:val="28"/>
    </w:rPr>
  </w:style>
  <w:style w:type="character" w:customStyle="1" w:styleId="IntenseQuoteChar">
    <w:name w:val="Intense Quote Char"/>
    <w:basedOn w:val="DefaultParagraphFont"/>
    <w:link w:val="IntenseQuote"/>
    <w:uiPriority w:val="30"/>
    <w:rsid w:val="005D69F8"/>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5D69F8"/>
    <w:rPr>
      <w:i/>
      <w:iCs/>
      <w:color w:val="404040" w:themeColor="text1" w:themeTint="BF"/>
    </w:rPr>
  </w:style>
  <w:style w:type="character" w:styleId="IntenseEmphasis">
    <w:name w:val="Intense Emphasis"/>
    <w:basedOn w:val="DefaultParagraphFont"/>
    <w:uiPriority w:val="21"/>
    <w:qFormat/>
    <w:rsid w:val="005D69F8"/>
    <w:rPr>
      <w:b/>
      <w:bCs/>
      <w:i/>
      <w:iCs/>
    </w:rPr>
  </w:style>
  <w:style w:type="character" w:styleId="SubtleReference">
    <w:name w:val="Subtle Reference"/>
    <w:basedOn w:val="DefaultParagraphFont"/>
    <w:uiPriority w:val="31"/>
    <w:qFormat/>
    <w:rsid w:val="005D69F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D69F8"/>
    <w:rPr>
      <w:b/>
      <w:bCs/>
      <w:smallCaps/>
      <w:spacing w:val="5"/>
      <w:u w:val="single"/>
    </w:rPr>
  </w:style>
  <w:style w:type="character" w:styleId="BookTitle">
    <w:name w:val="Book Title"/>
    <w:basedOn w:val="DefaultParagraphFont"/>
    <w:uiPriority w:val="33"/>
    <w:qFormat/>
    <w:rsid w:val="005D69F8"/>
    <w:rPr>
      <w:b/>
      <w:bCs/>
      <w:smallCaps/>
    </w:rPr>
  </w:style>
  <w:style w:type="paragraph" w:styleId="TOCHeading">
    <w:name w:val="TOC Heading"/>
    <w:basedOn w:val="Heading1"/>
    <w:next w:val="Normal"/>
    <w:uiPriority w:val="39"/>
    <w:unhideWhenUsed/>
    <w:qFormat/>
    <w:rsid w:val="005D69F8"/>
    <w:pPr>
      <w:outlineLvl w:val="9"/>
    </w:pPr>
  </w:style>
  <w:style w:type="table" w:styleId="TableGrid">
    <w:name w:val="Table Grid"/>
    <w:basedOn w:val="TableNormal"/>
    <w:uiPriority w:val="59"/>
    <w:rsid w:val="00347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4E2A"/>
    <w:pPr>
      <w:tabs>
        <w:tab w:val="center" w:pos="4680"/>
        <w:tab w:val="right" w:pos="9360"/>
      </w:tabs>
      <w:spacing w:line="240" w:lineRule="auto"/>
    </w:pPr>
  </w:style>
  <w:style w:type="character" w:customStyle="1" w:styleId="HeaderChar">
    <w:name w:val="Header Char"/>
    <w:basedOn w:val="DefaultParagraphFont"/>
    <w:link w:val="Header"/>
    <w:uiPriority w:val="99"/>
    <w:rsid w:val="00164E2A"/>
  </w:style>
  <w:style w:type="paragraph" w:styleId="Footer">
    <w:name w:val="footer"/>
    <w:basedOn w:val="Normal"/>
    <w:link w:val="FooterChar"/>
    <w:uiPriority w:val="99"/>
    <w:unhideWhenUsed/>
    <w:rsid w:val="00164E2A"/>
    <w:pPr>
      <w:tabs>
        <w:tab w:val="center" w:pos="4680"/>
        <w:tab w:val="right" w:pos="9360"/>
      </w:tabs>
      <w:spacing w:line="240" w:lineRule="auto"/>
    </w:pPr>
  </w:style>
  <w:style w:type="character" w:customStyle="1" w:styleId="FooterChar">
    <w:name w:val="Footer Char"/>
    <w:basedOn w:val="DefaultParagraphFont"/>
    <w:link w:val="Footer"/>
    <w:uiPriority w:val="99"/>
    <w:rsid w:val="00164E2A"/>
  </w:style>
  <w:style w:type="table" w:customStyle="1" w:styleId="PlainTable41">
    <w:name w:val="Plain Table 41"/>
    <w:basedOn w:val="TableNormal"/>
    <w:uiPriority w:val="44"/>
    <w:rsid w:val="00C36E2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174F5F"/>
    <w:pPr>
      <w:spacing w:after="0" w:line="240" w:lineRule="auto"/>
    </w:pPr>
  </w:style>
  <w:style w:type="paragraph" w:customStyle="1" w:styleId="Style1">
    <w:name w:val="Style1"/>
    <w:basedOn w:val="Normal"/>
    <w:link w:val="Style1Char"/>
    <w:qFormat/>
    <w:rsid w:val="00C343B4"/>
    <w:pPr>
      <w:spacing w:line="240" w:lineRule="auto"/>
    </w:pPr>
    <w:rPr>
      <w:rFonts w:cs="Times New Roman"/>
      <w:sz w:val="18"/>
      <w:szCs w:val="18"/>
    </w:rPr>
  </w:style>
  <w:style w:type="character" w:customStyle="1" w:styleId="Style1Char">
    <w:name w:val="Style1 Char"/>
    <w:basedOn w:val="DefaultParagraphFont"/>
    <w:link w:val="Style1"/>
    <w:rsid w:val="00C343B4"/>
    <w:rPr>
      <w:rFonts w:ascii="Times New Roman" w:hAnsi="Times New Roman" w:cs="Times New Roman"/>
      <w:sz w:val="18"/>
      <w:szCs w:val="18"/>
    </w:rPr>
  </w:style>
  <w:style w:type="character" w:styleId="Hyperlink">
    <w:name w:val="Hyperlink"/>
    <w:basedOn w:val="DefaultParagraphFont"/>
    <w:uiPriority w:val="99"/>
    <w:unhideWhenUsed/>
    <w:rsid w:val="00676595"/>
    <w:rPr>
      <w:color w:val="0563C1" w:themeColor="hyperlink"/>
      <w:u w:val="single"/>
    </w:rPr>
  </w:style>
  <w:style w:type="character" w:customStyle="1" w:styleId="UnresolvedMention1">
    <w:name w:val="Unresolved Mention1"/>
    <w:basedOn w:val="DefaultParagraphFont"/>
    <w:uiPriority w:val="99"/>
    <w:semiHidden/>
    <w:unhideWhenUsed/>
    <w:rsid w:val="00676595"/>
    <w:rPr>
      <w:color w:val="605E5C"/>
      <w:shd w:val="clear" w:color="auto" w:fill="E1DFDD"/>
    </w:rPr>
  </w:style>
  <w:style w:type="character" w:styleId="PageNumber">
    <w:name w:val="page number"/>
    <w:basedOn w:val="DefaultParagraphFont"/>
    <w:uiPriority w:val="99"/>
    <w:semiHidden/>
    <w:unhideWhenUsed/>
    <w:rsid w:val="00671FFF"/>
  </w:style>
  <w:style w:type="character" w:styleId="CommentReference">
    <w:name w:val="annotation reference"/>
    <w:basedOn w:val="DefaultParagraphFont"/>
    <w:uiPriority w:val="99"/>
    <w:semiHidden/>
    <w:unhideWhenUsed/>
    <w:rsid w:val="00D934E2"/>
    <w:rPr>
      <w:sz w:val="16"/>
      <w:szCs w:val="16"/>
    </w:rPr>
  </w:style>
  <w:style w:type="paragraph" w:styleId="CommentText">
    <w:name w:val="annotation text"/>
    <w:basedOn w:val="Normal"/>
    <w:link w:val="CommentTextChar"/>
    <w:uiPriority w:val="99"/>
    <w:semiHidden/>
    <w:unhideWhenUsed/>
    <w:rsid w:val="00D934E2"/>
    <w:pPr>
      <w:spacing w:line="240" w:lineRule="auto"/>
    </w:pPr>
    <w:rPr>
      <w:sz w:val="20"/>
    </w:rPr>
  </w:style>
  <w:style w:type="character" w:customStyle="1" w:styleId="CommentTextChar">
    <w:name w:val="Comment Text Char"/>
    <w:basedOn w:val="DefaultParagraphFont"/>
    <w:link w:val="CommentText"/>
    <w:uiPriority w:val="99"/>
    <w:semiHidden/>
    <w:rsid w:val="00D934E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934E2"/>
    <w:rPr>
      <w:b/>
      <w:bCs/>
    </w:rPr>
  </w:style>
  <w:style w:type="character" w:customStyle="1" w:styleId="CommentSubjectChar">
    <w:name w:val="Comment Subject Char"/>
    <w:basedOn w:val="CommentTextChar"/>
    <w:link w:val="CommentSubject"/>
    <w:uiPriority w:val="99"/>
    <w:semiHidden/>
    <w:rsid w:val="00D934E2"/>
    <w:rPr>
      <w:rFonts w:ascii="Times New Roman" w:hAnsi="Times New Roman"/>
      <w:b/>
      <w:bCs/>
    </w:rPr>
  </w:style>
  <w:style w:type="paragraph" w:styleId="TOC1">
    <w:name w:val="toc 1"/>
    <w:basedOn w:val="Normal"/>
    <w:next w:val="Normal"/>
    <w:autoRedefine/>
    <w:uiPriority w:val="39"/>
    <w:unhideWhenUsed/>
    <w:rsid w:val="002F6866"/>
    <w:pPr>
      <w:tabs>
        <w:tab w:val="right" w:leader="dot" w:pos="9016"/>
      </w:tabs>
      <w:spacing w:after="100" w:line="276" w:lineRule="auto"/>
      <w:jc w:val="center"/>
    </w:pPr>
  </w:style>
  <w:style w:type="paragraph" w:styleId="TOC2">
    <w:name w:val="toc 2"/>
    <w:basedOn w:val="Normal"/>
    <w:next w:val="Normal"/>
    <w:autoRedefine/>
    <w:uiPriority w:val="39"/>
    <w:unhideWhenUsed/>
    <w:rsid w:val="00217490"/>
    <w:pPr>
      <w:tabs>
        <w:tab w:val="right" w:leader="dot" w:pos="9180"/>
      </w:tabs>
      <w:spacing w:after="100"/>
      <w:ind w:left="280"/>
    </w:pPr>
  </w:style>
  <w:style w:type="paragraph" w:styleId="TOC3">
    <w:name w:val="toc 3"/>
    <w:basedOn w:val="Normal"/>
    <w:next w:val="Normal"/>
    <w:autoRedefine/>
    <w:uiPriority w:val="39"/>
    <w:unhideWhenUsed/>
    <w:rsid w:val="00217490"/>
    <w:pPr>
      <w:tabs>
        <w:tab w:val="right" w:leader="dot" w:pos="9180"/>
      </w:tabs>
      <w:spacing w:after="100"/>
      <w:ind w:left="560"/>
    </w:pPr>
  </w:style>
  <w:style w:type="paragraph" w:styleId="BalloonText">
    <w:name w:val="Balloon Text"/>
    <w:basedOn w:val="Normal"/>
    <w:link w:val="BalloonTextChar"/>
    <w:uiPriority w:val="99"/>
    <w:semiHidden/>
    <w:unhideWhenUsed/>
    <w:rsid w:val="00057E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E9D"/>
    <w:rPr>
      <w:rFonts w:ascii="Tahoma" w:hAnsi="Tahoma" w:cs="Tahoma"/>
      <w:sz w:val="16"/>
      <w:szCs w:val="16"/>
    </w:rPr>
  </w:style>
  <w:style w:type="paragraph" w:styleId="NormalWeb">
    <w:name w:val="Normal (Web)"/>
    <w:basedOn w:val="Normal"/>
    <w:uiPriority w:val="99"/>
    <w:unhideWhenUsed/>
    <w:rsid w:val="009B222F"/>
    <w:pPr>
      <w:spacing w:before="100" w:beforeAutospacing="1" w:after="100" w:afterAutospacing="1" w:line="240" w:lineRule="auto"/>
    </w:pPr>
    <w:rPr>
      <w:rFonts w:cs="Times New Roman"/>
      <w:sz w:val="24"/>
      <w:szCs w:val="24"/>
      <w:lang w:bidi="ar-SA"/>
    </w:rPr>
  </w:style>
  <w:style w:type="paragraph" w:styleId="Bibliography">
    <w:name w:val="Bibliography"/>
    <w:basedOn w:val="Normal"/>
    <w:next w:val="Normal"/>
    <w:uiPriority w:val="37"/>
    <w:unhideWhenUsed/>
    <w:rsid w:val="00214B45"/>
  </w:style>
  <w:style w:type="character" w:styleId="UnresolvedMention">
    <w:name w:val="Unresolved Mention"/>
    <w:basedOn w:val="DefaultParagraphFont"/>
    <w:uiPriority w:val="99"/>
    <w:semiHidden/>
    <w:unhideWhenUsed/>
    <w:rsid w:val="006F137F"/>
    <w:rPr>
      <w:color w:val="605E5C"/>
      <w:shd w:val="clear" w:color="auto" w:fill="E1DFDD"/>
    </w:rPr>
  </w:style>
  <w:style w:type="numbering" w:customStyle="1" w:styleId="NoList1">
    <w:name w:val="No List1"/>
    <w:next w:val="NoList"/>
    <w:uiPriority w:val="99"/>
    <w:semiHidden/>
    <w:unhideWhenUsed/>
    <w:rsid w:val="00A85918"/>
  </w:style>
  <w:style w:type="table" w:customStyle="1" w:styleId="TableGrid1">
    <w:name w:val="Table Grid1"/>
    <w:basedOn w:val="TableNormal"/>
    <w:next w:val="TableGrid"/>
    <w:uiPriority w:val="39"/>
    <w:rsid w:val="00A85918"/>
    <w:pPr>
      <w:spacing w:after="0" w:line="240" w:lineRule="auto"/>
    </w:pPr>
    <w:rPr>
      <w:rFonts w:eastAsiaTheme="minorHAns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59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05202">
      <w:bodyDiv w:val="1"/>
      <w:marLeft w:val="0"/>
      <w:marRight w:val="0"/>
      <w:marTop w:val="0"/>
      <w:marBottom w:val="0"/>
      <w:divBdr>
        <w:top w:val="none" w:sz="0" w:space="0" w:color="auto"/>
        <w:left w:val="none" w:sz="0" w:space="0" w:color="auto"/>
        <w:bottom w:val="none" w:sz="0" w:space="0" w:color="auto"/>
        <w:right w:val="none" w:sz="0" w:space="0" w:color="auto"/>
      </w:divBdr>
    </w:div>
    <w:div w:id="221909676">
      <w:bodyDiv w:val="1"/>
      <w:marLeft w:val="0"/>
      <w:marRight w:val="0"/>
      <w:marTop w:val="0"/>
      <w:marBottom w:val="0"/>
      <w:divBdr>
        <w:top w:val="none" w:sz="0" w:space="0" w:color="auto"/>
        <w:left w:val="none" w:sz="0" w:space="0" w:color="auto"/>
        <w:bottom w:val="none" w:sz="0" w:space="0" w:color="auto"/>
        <w:right w:val="none" w:sz="0" w:space="0" w:color="auto"/>
      </w:divBdr>
      <w:divsChild>
        <w:div w:id="392393760">
          <w:marLeft w:val="547"/>
          <w:marRight w:val="0"/>
          <w:marTop w:val="0"/>
          <w:marBottom w:val="0"/>
          <w:divBdr>
            <w:top w:val="none" w:sz="0" w:space="0" w:color="auto"/>
            <w:left w:val="none" w:sz="0" w:space="0" w:color="auto"/>
            <w:bottom w:val="none" w:sz="0" w:space="0" w:color="auto"/>
            <w:right w:val="none" w:sz="0" w:space="0" w:color="auto"/>
          </w:divBdr>
        </w:div>
      </w:divsChild>
    </w:div>
    <w:div w:id="313219397">
      <w:bodyDiv w:val="1"/>
      <w:marLeft w:val="0"/>
      <w:marRight w:val="0"/>
      <w:marTop w:val="0"/>
      <w:marBottom w:val="0"/>
      <w:divBdr>
        <w:top w:val="none" w:sz="0" w:space="0" w:color="auto"/>
        <w:left w:val="none" w:sz="0" w:space="0" w:color="auto"/>
        <w:bottom w:val="none" w:sz="0" w:space="0" w:color="auto"/>
        <w:right w:val="none" w:sz="0" w:space="0" w:color="auto"/>
      </w:divBdr>
    </w:div>
    <w:div w:id="322854104">
      <w:bodyDiv w:val="1"/>
      <w:marLeft w:val="0"/>
      <w:marRight w:val="0"/>
      <w:marTop w:val="0"/>
      <w:marBottom w:val="0"/>
      <w:divBdr>
        <w:top w:val="none" w:sz="0" w:space="0" w:color="auto"/>
        <w:left w:val="none" w:sz="0" w:space="0" w:color="auto"/>
        <w:bottom w:val="none" w:sz="0" w:space="0" w:color="auto"/>
        <w:right w:val="none" w:sz="0" w:space="0" w:color="auto"/>
      </w:divBdr>
      <w:divsChild>
        <w:div w:id="1312441890">
          <w:marLeft w:val="0"/>
          <w:marRight w:val="0"/>
          <w:marTop w:val="0"/>
          <w:marBottom w:val="0"/>
          <w:divBdr>
            <w:top w:val="none" w:sz="0" w:space="0" w:color="auto"/>
            <w:left w:val="none" w:sz="0" w:space="0" w:color="auto"/>
            <w:bottom w:val="none" w:sz="0" w:space="0" w:color="auto"/>
            <w:right w:val="none" w:sz="0" w:space="0" w:color="auto"/>
          </w:divBdr>
          <w:divsChild>
            <w:div w:id="386877873">
              <w:marLeft w:val="0"/>
              <w:marRight w:val="0"/>
              <w:marTop w:val="0"/>
              <w:marBottom w:val="0"/>
              <w:divBdr>
                <w:top w:val="none" w:sz="0" w:space="0" w:color="auto"/>
                <w:left w:val="none" w:sz="0" w:space="0" w:color="auto"/>
                <w:bottom w:val="none" w:sz="0" w:space="0" w:color="auto"/>
                <w:right w:val="none" w:sz="0" w:space="0" w:color="auto"/>
              </w:divBdr>
              <w:divsChild>
                <w:div w:id="1549563636">
                  <w:marLeft w:val="0"/>
                  <w:marRight w:val="0"/>
                  <w:marTop w:val="0"/>
                  <w:marBottom w:val="0"/>
                  <w:divBdr>
                    <w:top w:val="none" w:sz="0" w:space="0" w:color="auto"/>
                    <w:left w:val="none" w:sz="0" w:space="0" w:color="auto"/>
                    <w:bottom w:val="none" w:sz="0" w:space="0" w:color="auto"/>
                    <w:right w:val="none" w:sz="0" w:space="0" w:color="auto"/>
                  </w:divBdr>
                  <w:divsChild>
                    <w:div w:id="241303955">
                      <w:marLeft w:val="0"/>
                      <w:marRight w:val="0"/>
                      <w:marTop w:val="0"/>
                      <w:marBottom w:val="0"/>
                      <w:divBdr>
                        <w:top w:val="none" w:sz="0" w:space="0" w:color="auto"/>
                        <w:left w:val="none" w:sz="0" w:space="0" w:color="auto"/>
                        <w:bottom w:val="none" w:sz="0" w:space="0" w:color="auto"/>
                        <w:right w:val="none" w:sz="0" w:space="0" w:color="auto"/>
                      </w:divBdr>
                      <w:divsChild>
                        <w:div w:id="1212771863">
                          <w:marLeft w:val="0"/>
                          <w:marRight w:val="0"/>
                          <w:marTop w:val="0"/>
                          <w:marBottom w:val="0"/>
                          <w:divBdr>
                            <w:top w:val="none" w:sz="0" w:space="0" w:color="auto"/>
                            <w:left w:val="none" w:sz="0" w:space="0" w:color="auto"/>
                            <w:bottom w:val="none" w:sz="0" w:space="0" w:color="auto"/>
                            <w:right w:val="none" w:sz="0" w:space="0" w:color="auto"/>
                          </w:divBdr>
                          <w:divsChild>
                            <w:div w:id="754936511">
                              <w:marLeft w:val="0"/>
                              <w:marRight w:val="0"/>
                              <w:marTop w:val="0"/>
                              <w:marBottom w:val="0"/>
                              <w:divBdr>
                                <w:top w:val="none" w:sz="0" w:space="0" w:color="auto"/>
                                <w:left w:val="none" w:sz="0" w:space="0" w:color="auto"/>
                                <w:bottom w:val="none" w:sz="0" w:space="0" w:color="auto"/>
                                <w:right w:val="none" w:sz="0" w:space="0" w:color="auto"/>
                              </w:divBdr>
                              <w:divsChild>
                                <w:div w:id="258874157">
                                  <w:marLeft w:val="0"/>
                                  <w:marRight w:val="0"/>
                                  <w:marTop w:val="0"/>
                                  <w:marBottom w:val="0"/>
                                  <w:divBdr>
                                    <w:top w:val="none" w:sz="0" w:space="0" w:color="auto"/>
                                    <w:left w:val="none" w:sz="0" w:space="0" w:color="auto"/>
                                    <w:bottom w:val="none" w:sz="0" w:space="0" w:color="auto"/>
                                    <w:right w:val="none" w:sz="0" w:space="0" w:color="auto"/>
                                  </w:divBdr>
                                  <w:divsChild>
                                    <w:div w:id="925456951">
                                      <w:marLeft w:val="0"/>
                                      <w:marRight w:val="0"/>
                                      <w:marTop w:val="0"/>
                                      <w:marBottom w:val="0"/>
                                      <w:divBdr>
                                        <w:top w:val="none" w:sz="0" w:space="0" w:color="auto"/>
                                        <w:left w:val="none" w:sz="0" w:space="0" w:color="auto"/>
                                        <w:bottom w:val="none" w:sz="0" w:space="0" w:color="auto"/>
                                        <w:right w:val="none" w:sz="0" w:space="0" w:color="auto"/>
                                      </w:divBdr>
                                    </w:div>
                                    <w:div w:id="1013457260">
                                      <w:marLeft w:val="0"/>
                                      <w:marRight w:val="0"/>
                                      <w:marTop w:val="0"/>
                                      <w:marBottom w:val="0"/>
                                      <w:divBdr>
                                        <w:top w:val="none" w:sz="0" w:space="0" w:color="auto"/>
                                        <w:left w:val="none" w:sz="0" w:space="0" w:color="auto"/>
                                        <w:bottom w:val="none" w:sz="0" w:space="0" w:color="auto"/>
                                        <w:right w:val="none" w:sz="0" w:space="0" w:color="auto"/>
                                      </w:divBdr>
                                      <w:divsChild>
                                        <w:div w:id="432432257">
                                          <w:marLeft w:val="0"/>
                                          <w:marRight w:val="0"/>
                                          <w:marTop w:val="0"/>
                                          <w:marBottom w:val="0"/>
                                          <w:divBdr>
                                            <w:top w:val="none" w:sz="0" w:space="0" w:color="auto"/>
                                            <w:left w:val="none" w:sz="0" w:space="0" w:color="auto"/>
                                            <w:bottom w:val="none" w:sz="0" w:space="0" w:color="auto"/>
                                            <w:right w:val="none" w:sz="0" w:space="0" w:color="auto"/>
                                          </w:divBdr>
                                        </w:div>
                                        <w:div w:id="154871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85356">
              <w:marLeft w:val="0"/>
              <w:marRight w:val="0"/>
              <w:marTop w:val="0"/>
              <w:marBottom w:val="0"/>
              <w:divBdr>
                <w:top w:val="none" w:sz="0" w:space="0" w:color="auto"/>
                <w:left w:val="none" w:sz="0" w:space="0" w:color="auto"/>
                <w:bottom w:val="none" w:sz="0" w:space="0" w:color="auto"/>
                <w:right w:val="none" w:sz="0" w:space="0" w:color="auto"/>
              </w:divBdr>
              <w:divsChild>
                <w:div w:id="847446041">
                  <w:marLeft w:val="0"/>
                  <w:marRight w:val="0"/>
                  <w:marTop w:val="0"/>
                  <w:marBottom w:val="0"/>
                  <w:divBdr>
                    <w:top w:val="none" w:sz="0" w:space="0" w:color="auto"/>
                    <w:left w:val="none" w:sz="0" w:space="0" w:color="auto"/>
                    <w:bottom w:val="none" w:sz="0" w:space="0" w:color="auto"/>
                    <w:right w:val="none" w:sz="0" w:space="0" w:color="auto"/>
                  </w:divBdr>
                  <w:divsChild>
                    <w:div w:id="110902367">
                      <w:marLeft w:val="0"/>
                      <w:marRight w:val="0"/>
                      <w:marTop w:val="0"/>
                      <w:marBottom w:val="0"/>
                      <w:divBdr>
                        <w:top w:val="none" w:sz="0" w:space="0" w:color="auto"/>
                        <w:left w:val="none" w:sz="0" w:space="0" w:color="auto"/>
                        <w:bottom w:val="none" w:sz="0" w:space="0" w:color="auto"/>
                        <w:right w:val="none" w:sz="0" w:space="0" w:color="auto"/>
                      </w:divBdr>
                      <w:divsChild>
                        <w:div w:id="832909689">
                          <w:marLeft w:val="0"/>
                          <w:marRight w:val="0"/>
                          <w:marTop w:val="0"/>
                          <w:marBottom w:val="0"/>
                          <w:divBdr>
                            <w:top w:val="none" w:sz="0" w:space="0" w:color="auto"/>
                            <w:left w:val="none" w:sz="0" w:space="0" w:color="auto"/>
                            <w:bottom w:val="none" w:sz="0" w:space="0" w:color="auto"/>
                            <w:right w:val="none" w:sz="0" w:space="0" w:color="auto"/>
                          </w:divBdr>
                          <w:divsChild>
                            <w:div w:id="1460994479">
                              <w:marLeft w:val="0"/>
                              <w:marRight w:val="0"/>
                              <w:marTop w:val="0"/>
                              <w:marBottom w:val="0"/>
                              <w:divBdr>
                                <w:top w:val="none" w:sz="0" w:space="0" w:color="auto"/>
                                <w:left w:val="none" w:sz="0" w:space="0" w:color="auto"/>
                                <w:bottom w:val="none" w:sz="0" w:space="0" w:color="auto"/>
                                <w:right w:val="none" w:sz="0" w:space="0" w:color="auto"/>
                              </w:divBdr>
                              <w:divsChild>
                                <w:div w:id="706953983">
                                  <w:marLeft w:val="0"/>
                                  <w:marRight w:val="0"/>
                                  <w:marTop w:val="0"/>
                                  <w:marBottom w:val="0"/>
                                  <w:divBdr>
                                    <w:top w:val="none" w:sz="0" w:space="0" w:color="auto"/>
                                    <w:left w:val="none" w:sz="0" w:space="0" w:color="auto"/>
                                    <w:bottom w:val="none" w:sz="0" w:space="0" w:color="auto"/>
                                    <w:right w:val="none" w:sz="0" w:space="0" w:color="auto"/>
                                  </w:divBdr>
                                </w:div>
                                <w:div w:id="1336691533">
                                  <w:marLeft w:val="0"/>
                                  <w:marRight w:val="0"/>
                                  <w:marTop w:val="0"/>
                                  <w:marBottom w:val="0"/>
                                  <w:divBdr>
                                    <w:top w:val="none" w:sz="0" w:space="0" w:color="auto"/>
                                    <w:left w:val="none" w:sz="0" w:space="0" w:color="auto"/>
                                    <w:bottom w:val="none" w:sz="0" w:space="0" w:color="auto"/>
                                    <w:right w:val="none" w:sz="0" w:space="0" w:color="auto"/>
                                  </w:divBdr>
                                  <w:divsChild>
                                    <w:div w:id="353580354">
                                      <w:marLeft w:val="0"/>
                                      <w:marRight w:val="0"/>
                                      <w:marTop w:val="0"/>
                                      <w:marBottom w:val="0"/>
                                      <w:divBdr>
                                        <w:top w:val="none" w:sz="0" w:space="0" w:color="auto"/>
                                        <w:left w:val="none" w:sz="0" w:space="0" w:color="auto"/>
                                        <w:bottom w:val="none" w:sz="0" w:space="0" w:color="auto"/>
                                        <w:right w:val="none" w:sz="0" w:space="0" w:color="auto"/>
                                      </w:divBdr>
                                      <w:divsChild>
                                        <w:div w:id="1321539943">
                                          <w:marLeft w:val="0"/>
                                          <w:marRight w:val="0"/>
                                          <w:marTop w:val="0"/>
                                          <w:marBottom w:val="0"/>
                                          <w:divBdr>
                                            <w:top w:val="none" w:sz="0" w:space="0" w:color="auto"/>
                                            <w:left w:val="none" w:sz="0" w:space="0" w:color="auto"/>
                                            <w:bottom w:val="none" w:sz="0" w:space="0" w:color="auto"/>
                                            <w:right w:val="none" w:sz="0" w:space="0" w:color="auto"/>
                                          </w:divBdr>
                                          <w:divsChild>
                                            <w:div w:id="454451860">
                                              <w:marLeft w:val="0"/>
                                              <w:marRight w:val="0"/>
                                              <w:marTop w:val="0"/>
                                              <w:marBottom w:val="0"/>
                                              <w:divBdr>
                                                <w:top w:val="none" w:sz="0" w:space="0" w:color="auto"/>
                                                <w:left w:val="none" w:sz="0" w:space="0" w:color="auto"/>
                                                <w:bottom w:val="none" w:sz="0" w:space="0" w:color="auto"/>
                                                <w:right w:val="none" w:sz="0" w:space="0" w:color="auto"/>
                                              </w:divBdr>
                                            </w:div>
                                            <w:div w:id="15319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09407">
                                      <w:marLeft w:val="0"/>
                                      <w:marRight w:val="0"/>
                                      <w:marTop w:val="0"/>
                                      <w:marBottom w:val="0"/>
                                      <w:divBdr>
                                        <w:top w:val="none" w:sz="0" w:space="0" w:color="auto"/>
                                        <w:left w:val="none" w:sz="0" w:space="0" w:color="auto"/>
                                        <w:bottom w:val="none" w:sz="0" w:space="0" w:color="auto"/>
                                        <w:right w:val="none" w:sz="0" w:space="0" w:color="auto"/>
                                      </w:divBdr>
                                      <w:divsChild>
                                        <w:div w:id="18485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6829">
                                  <w:marLeft w:val="0"/>
                                  <w:marRight w:val="0"/>
                                  <w:marTop w:val="0"/>
                                  <w:marBottom w:val="0"/>
                                  <w:divBdr>
                                    <w:top w:val="none" w:sz="0" w:space="0" w:color="auto"/>
                                    <w:left w:val="none" w:sz="0" w:space="0" w:color="auto"/>
                                    <w:bottom w:val="none" w:sz="0" w:space="0" w:color="auto"/>
                                    <w:right w:val="none" w:sz="0" w:space="0" w:color="auto"/>
                                  </w:divBdr>
                                  <w:divsChild>
                                    <w:div w:id="14199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373292">
      <w:bodyDiv w:val="1"/>
      <w:marLeft w:val="0"/>
      <w:marRight w:val="0"/>
      <w:marTop w:val="0"/>
      <w:marBottom w:val="0"/>
      <w:divBdr>
        <w:top w:val="none" w:sz="0" w:space="0" w:color="auto"/>
        <w:left w:val="none" w:sz="0" w:space="0" w:color="auto"/>
        <w:bottom w:val="none" w:sz="0" w:space="0" w:color="auto"/>
        <w:right w:val="none" w:sz="0" w:space="0" w:color="auto"/>
      </w:divBdr>
    </w:div>
    <w:div w:id="640572023">
      <w:bodyDiv w:val="1"/>
      <w:marLeft w:val="0"/>
      <w:marRight w:val="0"/>
      <w:marTop w:val="0"/>
      <w:marBottom w:val="0"/>
      <w:divBdr>
        <w:top w:val="none" w:sz="0" w:space="0" w:color="auto"/>
        <w:left w:val="none" w:sz="0" w:space="0" w:color="auto"/>
        <w:bottom w:val="none" w:sz="0" w:space="0" w:color="auto"/>
        <w:right w:val="none" w:sz="0" w:space="0" w:color="auto"/>
      </w:divBdr>
    </w:div>
    <w:div w:id="658509370">
      <w:bodyDiv w:val="1"/>
      <w:marLeft w:val="0"/>
      <w:marRight w:val="0"/>
      <w:marTop w:val="0"/>
      <w:marBottom w:val="0"/>
      <w:divBdr>
        <w:top w:val="none" w:sz="0" w:space="0" w:color="auto"/>
        <w:left w:val="none" w:sz="0" w:space="0" w:color="auto"/>
        <w:bottom w:val="none" w:sz="0" w:space="0" w:color="auto"/>
        <w:right w:val="none" w:sz="0" w:space="0" w:color="auto"/>
      </w:divBdr>
    </w:div>
    <w:div w:id="777455115">
      <w:bodyDiv w:val="1"/>
      <w:marLeft w:val="0"/>
      <w:marRight w:val="0"/>
      <w:marTop w:val="0"/>
      <w:marBottom w:val="0"/>
      <w:divBdr>
        <w:top w:val="none" w:sz="0" w:space="0" w:color="auto"/>
        <w:left w:val="none" w:sz="0" w:space="0" w:color="auto"/>
        <w:bottom w:val="none" w:sz="0" w:space="0" w:color="auto"/>
        <w:right w:val="none" w:sz="0" w:space="0" w:color="auto"/>
      </w:divBdr>
      <w:divsChild>
        <w:div w:id="1615088746">
          <w:marLeft w:val="547"/>
          <w:marRight w:val="0"/>
          <w:marTop w:val="0"/>
          <w:marBottom w:val="0"/>
          <w:divBdr>
            <w:top w:val="none" w:sz="0" w:space="0" w:color="auto"/>
            <w:left w:val="none" w:sz="0" w:space="0" w:color="auto"/>
            <w:bottom w:val="none" w:sz="0" w:space="0" w:color="auto"/>
            <w:right w:val="none" w:sz="0" w:space="0" w:color="auto"/>
          </w:divBdr>
        </w:div>
      </w:divsChild>
    </w:div>
    <w:div w:id="826626785">
      <w:bodyDiv w:val="1"/>
      <w:marLeft w:val="0"/>
      <w:marRight w:val="0"/>
      <w:marTop w:val="0"/>
      <w:marBottom w:val="0"/>
      <w:divBdr>
        <w:top w:val="none" w:sz="0" w:space="0" w:color="auto"/>
        <w:left w:val="none" w:sz="0" w:space="0" w:color="auto"/>
        <w:bottom w:val="none" w:sz="0" w:space="0" w:color="auto"/>
        <w:right w:val="none" w:sz="0" w:space="0" w:color="auto"/>
      </w:divBdr>
    </w:div>
    <w:div w:id="833835147">
      <w:bodyDiv w:val="1"/>
      <w:marLeft w:val="0"/>
      <w:marRight w:val="0"/>
      <w:marTop w:val="0"/>
      <w:marBottom w:val="0"/>
      <w:divBdr>
        <w:top w:val="none" w:sz="0" w:space="0" w:color="auto"/>
        <w:left w:val="none" w:sz="0" w:space="0" w:color="auto"/>
        <w:bottom w:val="none" w:sz="0" w:space="0" w:color="auto"/>
        <w:right w:val="none" w:sz="0" w:space="0" w:color="auto"/>
      </w:divBdr>
      <w:divsChild>
        <w:div w:id="779102968">
          <w:marLeft w:val="547"/>
          <w:marRight w:val="0"/>
          <w:marTop w:val="0"/>
          <w:marBottom w:val="0"/>
          <w:divBdr>
            <w:top w:val="none" w:sz="0" w:space="0" w:color="auto"/>
            <w:left w:val="none" w:sz="0" w:space="0" w:color="auto"/>
            <w:bottom w:val="none" w:sz="0" w:space="0" w:color="auto"/>
            <w:right w:val="none" w:sz="0" w:space="0" w:color="auto"/>
          </w:divBdr>
        </w:div>
        <w:div w:id="1689021457">
          <w:marLeft w:val="547"/>
          <w:marRight w:val="0"/>
          <w:marTop w:val="0"/>
          <w:marBottom w:val="0"/>
          <w:divBdr>
            <w:top w:val="none" w:sz="0" w:space="0" w:color="auto"/>
            <w:left w:val="none" w:sz="0" w:space="0" w:color="auto"/>
            <w:bottom w:val="none" w:sz="0" w:space="0" w:color="auto"/>
            <w:right w:val="none" w:sz="0" w:space="0" w:color="auto"/>
          </w:divBdr>
        </w:div>
        <w:div w:id="1787578375">
          <w:marLeft w:val="547"/>
          <w:marRight w:val="0"/>
          <w:marTop w:val="0"/>
          <w:marBottom w:val="0"/>
          <w:divBdr>
            <w:top w:val="none" w:sz="0" w:space="0" w:color="auto"/>
            <w:left w:val="none" w:sz="0" w:space="0" w:color="auto"/>
            <w:bottom w:val="none" w:sz="0" w:space="0" w:color="auto"/>
            <w:right w:val="none" w:sz="0" w:space="0" w:color="auto"/>
          </w:divBdr>
        </w:div>
        <w:div w:id="1964187745">
          <w:marLeft w:val="547"/>
          <w:marRight w:val="0"/>
          <w:marTop w:val="0"/>
          <w:marBottom w:val="0"/>
          <w:divBdr>
            <w:top w:val="none" w:sz="0" w:space="0" w:color="auto"/>
            <w:left w:val="none" w:sz="0" w:space="0" w:color="auto"/>
            <w:bottom w:val="none" w:sz="0" w:space="0" w:color="auto"/>
            <w:right w:val="none" w:sz="0" w:space="0" w:color="auto"/>
          </w:divBdr>
        </w:div>
      </w:divsChild>
    </w:div>
    <w:div w:id="1046878519">
      <w:bodyDiv w:val="1"/>
      <w:marLeft w:val="0"/>
      <w:marRight w:val="0"/>
      <w:marTop w:val="0"/>
      <w:marBottom w:val="0"/>
      <w:divBdr>
        <w:top w:val="none" w:sz="0" w:space="0" w:color="auto"/>
        <w:left w:val="none" w:sz="0" w:space="0" w:color="auto"/>
        <w:bottom w:val="none" w:sz="0" w:space="0" w:color="auto"/>
        <w:right w:val="none" w:sz="0" w:space="0" w:color="auto"/>
      </w:divBdr>
      <w:divsChild>
        <w:div w:id="719937901">
          <w:marLeft w:val="720"/>
          <w:marRight w:val="0"/>
          <w:marTop w:val="200"/>
          <w:marBottom w:val="0"/>
          <w:divBdr>
            <w:top w:val="none" w:sz="0" w:space="0" w:color="auto"/>
            <w:left w:val="none" w:sz="0" w:space="0" w:color="auto"/>
            <w:bottom w:val="none" w:sz="0" w:space="0" w:color="auto"/>
            <w:right w:val="none" w:sz="0" w:space="0" w:color="auto"/>
          </w:divBdr>
        </w:div>
      </w:divsChild>
    </w:div>
    <w:div w:id="1131679187">
      <w:bodyDiv w:val="1"/>
      <w:marLeft w:val="0"/>
      <w:marRight w:val="0"/>
      <w:marTop w:val="0"/>
      <w:marBottom w:val="0"/>
      <w:divBdr>
        <w:top w:val="none" w:sz="0" w:space="0" w:color="auto"/>
        <w:left w:val="none" w:sz="0" w:space="0" w:color="auto"/>
        <w:bottom w:val="none" w:sz="0" w:space="0" w:color="auto"/>
        <w:right w:val="none" w:sz="0" w:space="0" w:color="auto"/>
      </w:divBdr>
      <w:divsChild>
        <w:div w:id="708267235">
          <w:marLeft w:val="720"/>
          <w:marRight w:val="0"/>
          <w:marTop w:val="0"/>
          <w:marBottom w:val="0"/>
          <w:divBdr>
            <w:top w:val="none" w:sz="0" w:space="0" w:color="auto"/>
            <w:left w:val="none" w:sz="0" w:space="0" w:color="auto"/>
            <w:bottom w:val="none" w:sz="0" w:space="0" w:color="auto"/>
            <w:right w:val="none" w:sz="0" w:space="0" w:color="auto"/>
          </w:divBdr>
        </w:div>
      </w:divsChild>
    </w:div>
    <w:div w:id="1159930351">
      <w:bodyDiv w:val="1"/>
      <w:marLeft w:val="0"/>
      <w:marRight w:val="0"/>
      <w:marTop w:val="0"/>
      <w:marBottom w:val="0"/>
      <w:divBdr>
        <w:top w:val="none" w:sz="0" w:space="0" w:color="auto"/>
        <w:left w:val="none" w:sz="0" w:space="0" w:color="auto"/>
        <w:bottom w:val="none" w:sz="0" w:space="0" w:color="auto"/>
        <w:right w:val="none" w:sz="0" w:space="0" w:color="auto"/>
      </w:divBdr>
      <w:divsChild>
        <w:div w:id="1805466383">
          <w:marLeft w:val="720"/>
          <w:marRight w:val="0"/>
          <w:marTop w:val="200"/>
          <w:marBottom w:val="0"/>
          <w:divBdr>
            <w:top w:val="none" w:sz="0" w:space="0" w:color="auto"/>
            <w:left w:val="none" w:sz="0" w:space="0" w:color="auto"/>
            <w:bottom w:val="none" w:sz="0" w:space="0" w:color="auto"/>
            <w:right w:val="none" w:sz="0" w:space="0" w:color="auto"/>
          </w:divBdr>
        </w:div>
      </w:divsChild>
    </w:div>
    <w:div w:id="1236939396">
      <w:bodyDiv w:val="1"/>
      <w:marLeft w:val="0"/>
      <w:marRight w:val="0"/>
      <w:marTop w:val="0"/>
      <w:marBottom w:val="0"/>
      <w:divBdr>
        <w:top w:val="none" w:sz="0" w:space="0" w:color="auto"/>
        <w:left w:val="none" w:sz="0" w:space="0" w:color="auto"/>
        <w:bottom w:val="none" w:sz="0" w:space="0" w:color="auto"/>
        <w:right w:val="none" w:sz="0" w:space="0" w:color="auto"/>
      </w:divBdr>
      <w:divsChild>
        <w:div w:id="1470513238">
          <w:marLeft w:val="720"/>
          <w:marRight w:val="0"/>
          <w:marTop w:val="200"/>
          <w:marBottom w:val="0"/>
          <w:divBdr>
            <w:top w:val="none" w:sz="0" w:space="0" w:color="auto"/>
            <w:left w:val="none" w:sz="0" w:space="0" w:color="auto"/>
            <w:bottom w:val="none" w:sz="0" w:space="0" w:color="auto"/>
            <w:right w:val="none" w:sz="0" w:space="0" w:color="auto"/>
          </w:divBdr>
        </w:div>
      </w:divsChild>
    </w:div>
    <w:div w:id="1255356409">
      <w:bodyDiv w:val="1"/>
      <w:marLeft w:val="0"/>
      <w:marRight w:val="0"/>
      <w:marTop w:val="0"/>
      <w:marBottom w:val="0"/>
      <w:divBdr>
        <w:top w:val="none" w:sz="0" w:space="0" w:color="auto"/>
        <w:left w:val="none" w:sz="0" w:space="0" w:color="auto"/>
        <w:bottom w:val="none" w:sz="0" w:space="0" w:color="auto"/>
        <w:right w:val="none" w:sz="0" w:space="0" w:color="auto"/>
      </w:divBdr>
    </w:div>
    <w:div w:id="1270088384">
      <w:bodyDiv w:val="1"/>
      <w:marLeft w:val="0"/>
      <w:marRight w:val="0"/>
      <w:marTop w:val="0"/>
      <w:marBottom w:val="0"/>
      <w:divBdr>
        <w:top w:val="none" w:sz="0" w:space="0" w:color="auto"/>
        <w:left w:val="none" w:sz="0" w:space="0" w:color="auto"/>
        <w:bottom w:val="none" w:sz="0" w:space="0" w:color="auto"/>
        <w:right w:val="none" w:sz="0" w:space="0" w:color="auto"/>
      </w:divBdr>
    </w:div>
    <w:div w:id="1295595482">
      <w:bodyDiv w:val="1"/>
      <w:marLeft w:val="0"/>
      <w:marRight w:val="0"/>
      <w:marTop w:val="0"/>
      <w:marBottom w:val="0"/>
      <w:divBdr>
        <w:top w:val="none" w:sz="0" w:space="0" w:color="auto"/>
        <w:left w:val="none" w:sz="0" w:space="0" w:color="auto"/>
        <w:bottom w:val="none" w:sz="0" w:space="0" w:color="auto"/>
        <w:right w:val="none" w:sz="0" w:space="0" w:color="auto"/>
      </w:divBdr>
      <w:divsChild>
        <w:div w:id="614365288">
          <w:marLeft w:val="446"/>
          <w:marRight w:val="0"/>
          <w:marTop w:val="0"/>
          <w:marBottom w:val="0"/>
          <w:divBdr>
            <w:top w:val="none" w:sz="0" w:space="0" w:color="auto"/>
            <w:left w:val="none" w:sz="0" w:space="0" w:color="auto"/>
            <w:bottom w:val="none" w:sz="0" w:space="0" w:color="auto"/>
            <w:right w:val="none" w:sz="0" w:space="0" w:color="auto"/>
          </w:divBdr>
        </w:div>
        <w:div w:id="888030086">
          <w:marLeft w:val="446"/>
          <w:marRight w:val="0"/>
          <w:marTop w:val="0"/>
          <w:marBottom w:val="0"/>
          <w:divBdr>
            <w:top w:val="none" w:sz="0" w:space="0" w:color="auto"/>
            <w:left w:val="none" w:sz="0" w:space="0" w:color="auto"/>
            <w:bottom w:val="none" w:sz="0" w:space="0" w:color="auto"/>
            <w:right w:val="none" w:sz="0" w:space="0" w:color="auto"/>
          </w:divBdr>
        </w:div>
        <w:div w:id="1957910986">
          <w:marLeft w:val="446"/>
          <w:marRight w:val="0"/>
          <w:marTop w:val="0"/>
          <w:marBottom w:val="0"/>
          <w:divBdr>
            <w:top w:val="none" w:sz="0" w:space="0" w:color="auto"/>
            <w:left w:val="none" w:sz="0" w:space="0" w:color="auto"/>
            <w:bottom w:val="none" w:sz="0" w:space="0" w:color="auto"/>
            <w:right w:val="none" w:sz="0" w:space="0" w:color="auto"/>
          </w:divBdr>
        </w:div>
        <w:div w:id="1959945282">
          <w:marLeft w:val="446"/>
          <w:marRight w:val="0"/>
          <w:marTop w:val="0"/>
          <w:marBottom w:val="0"/>
          <w:divBdr>
            <w:top w:val="none" w:sz="0" w:space="0" w:color="auto"/>
            <w:left w:val="none" w:sz="0" w:space="0" w:color="auto"/>
            <w:bottom w:val="none" w:sz="0" w:space="0" w:color="auto"/>
            <w:right w:val="none" w:sz="0" w:space="0" w:color="auto"/>
          </w:divBdr>
        </w:div>
        <w:div w:id="2057393809">
          <w:marLeft w:val="446"/>
          <w:marRight w:val="0"/>
          <w:marTop w:val="0"/>
          <w:marBottom w:val="0"/>
          <w:divBdr>
            <w:top w:val="none" w:sz="0" w:space="0" w:color="auto"/>
            <w:left w:val="none" w:sz="0" w:space="0" w:color="auto"/>
            <w:bottom w:val="none" w:sz="0" w:space="0" w:color="auto"/>
            <w:right w:val="none" w:sz="0" w:space="0" w:color="auto"/>
          </w:divBdr>
        </w:div>
      </w:divsChild>
    </w:div>
    <w:div w:id="1296717195">
      <w:bodyDiv w:val="1"/>
      <w:marLeft w:val="0"/>
      <w:marRight w:val="0"/>
      <w:marTop w:val="0"/>
      <w:marBottom w:val="0"/>
      <w:divBdr>
        <w:top w:val="none" w:sz="0" w:space="0" w:color="auto"/>
        <w:left w:val="none" w:sz="0" w:space="0" w:color="auto"/>
        <w:bottom w:val="none" w:sz="0" w:space="0" w:color="auto"/>
        <w:right w:val="none" w:sz="0" w:space="0" w:color="auto"/>
      </w:divBdr>
      <w:divsChild>
        <w:div w:id="1319652703">
          <w:marLeft w:val="547"/>
          <w:marRight w:val="0"/>
          <w:marTop w:val="0"/>
          <w:marBottom w:val="0"/>
          <w:divBdr>
            <w:top w:val="none" w:sz="0" w:space="0" w:color="auto"/>
            <w:left w:val="none" w:sz="0" w:space="0" w:color="auto"/>
            <w:bottom w:val="none" w:sz="0" w:space="0" w:color="auto"/>
            <w:right w:val="none" w:sz="0" w:space="0" w:color="auto"/>
          </w:divBdr>
        </w:div>
        <w:div w:id="1412505265">
          <w:marLeft w:val="547"/>
          <w:marRight w:val="0"/>
          <w:marTop w:val="0"/>
          <w:marBottom w:val="0"/>
          <w:divBdr>
            <w:top w:val="none" w:sz="0" w:space="0" w:color="auto"/>
            <w:left w:val="none" w:sz="0" w:space="0" w:color="auto"/>
            <w:bottom w:val="none" w:sz="0" w:space="0" w:color="auto"/>
            <w:right w:val="none" w:sz="0" w:space="0" w:color="auto"/>
          </w:divBdr>
        </w:div>
        <w:div w:id="2073889025">
          <w:marLeft w:val="547"/>
          <w:marRight w:val="0"/>
          <w:marTop w:val="0"/>
          <w:marBottom w:val="0"/>
          <w:divBdr>
            <w:top w:val="none" w:sz="0" w:space="0" w:color="auto"/>
            <w:left w:val="none" w:sz="0" w:space="0" w:color="auto"/>
            <w:bottom w:val="none" w:sz="0" w:space="0" w:color="auto"/>
            <w:right w:val="none" w:sz="0" w:space="0" w:color="auto"/>
          </w:divBdr>
        </w:div>
      </w:divsChild>
    </w:div>
    <w:div w:id="1303609159">
      <w:bodyDiv w:val="1"/>
      <w:marLeft w:val="0"/>
      <w:marRight w:val="0"/>
      <w:marTop w:val="0"/>
      <w:marBottom w:val="0"/>
      <w:divBdr>
        <w:top w:val="none" w:sz="0" w:space="0" w:color="auto"/>
        <w:left w:val="none" w:sz="0" w:space="0" w:color="auto"/>
        <w:bottom w:val="none" w:sz="0" w:space="0" w:color="auto"/>
        <w:right w:val="none" w:sz="0" w:space="0" w:color="auto"/>
      </w:divBdr>
      <w:divsChild>
        <w:div w:id="582109994">
          <w:marLeft w:val="547"/>
          <w:marRight w:val="0"/>
          <w:marTop w:val="0"/>
          <w:marBottom w:val="0"/>
          <w:divBdr>
            <w:top w:val="none" w:sz="0" w:space="0" w:color="auto"/>
            <w:left w:val="none" w:sz="0" w:space="0" w:color="auto"/>
            <w:bottom w:val="none" w:sz="0" w:space="0" w:color="auto"/>
            <w:right w:val="none" w:sz="0" w:space="0" w:color="auto"/>
          </w:divBdr>
        </w:div>
        <w:div w:id="758798563">
          <w:marLeft w:val="547"/>
          <w:marRight w:val="0"/>
          <w:marTop w:val="0"/>
          <w:marBottom w:val="0"/>
          <w:divBdr>
            <w:top w:val="none" w:sz="0" w:space="0" w:color="auto"/>
            <w:left w:val="none" w:sz="0" w:space="0" w:color="auto"/>
            <w:bottom w:val="none" w:sz="0" w:space="0" w:color="auto"/>
            <w:right w:val="none" w:sz="0" w:space="0" w:color="auto"/>
          </w:divBdr>
        </w:div>
        <w:div w:id="1638300269">
          <w:marLeft w:val="547"/>
          <w:marRight w:val="0"/>
          <w:marTop w:val="0"/>
          <w:marBottom w:val="0"/>
          <w:divBdr>
            <w:top w:val="none" w:sz="0" w:space="0" w:color="auto"/>
            <w:left w:val="none" w:sz="0" w:space="0" w:color="auto"/>
            <w:bottom w:val="none" w:sz="0" w:space="0" w:color="auto"/>
            <w:right w:val="none" w:sz="0" w:space="0" w:color="auto"/>
          </w:divBdr>
        </w:div>
        <w:div w:id="1667784490">
          <w:marLeft w:val="547"/>
          <w:marRight w:val="0"/>
          <w:marTop w:val="0"/>
          <w:marBottom w:val="0"/>
          <w:divBdr>
            <w:top w:val="none" w:sz="0" w:space="0" w:color="auto"/>
            <w:left w:val="none" w:sz="0" w:space="0" w:color="auto"/>
            <w:bottom w:val="none" w:sz="0" w:space="0" w:color="auto"/>
            <w:right w:val="none" w:sz="0" w:space="0" w:color="auto"/>
          </w:divBdr>
        </w:div>
      </w:divsChild>
    </w:div>
    <w:div w:id="1378823146">
      <w:bodyDiv w:val="1"/>
      <w:marLeft w:val="0"/>
      <w:marRight w:val="0"/>
      <w:marTop w:val="0"/>
      <w:marBottom w:val="0"/>
      <w:divBdr>
        <w:top w:val="none" w:sz="0" w:space="0" w:color="auto"/>
        <w:left w:val="none" w:sz="0" w:space="0" w:color="auto"/>
        <w:bottom w:val="none" w:sz="0" w:space="0" w:color="auto"/>
        <w:right w:val="none" w:sz="0" w:space="0" w:color="auto"/>
      </w:divBdr>
      <w:divsChild>
        <w:div w:id="1920406935">
          <w:marLeft w:val="533"/>
          <w:marRight w:val="0"/>
          <w:marTop w:val="0"/>
          <w:marBottom w:val="0"/>
          <w:divBdr>
            <w:top w:val="none" w:sz="0" w:space="0" w:color="auto"/>
            <w:left w:val="none" w:sz="0" w:space="0" w:color="auto"/>
            <w:bottom w:val="none" w:sz="0" w:space="0" w:color="auto"/>
            <w:right w:val="none" w:sz="0" w:space="0" w:color="auto"/>
          </w:divBdr>
        </w:div>
      </w:divsChild>
    </w:div>
    <w:div w:id="1444155664">
      <w:bodyDiv w:val="1"/>
      <w:marLeft w:val="0"/>
      <w:marRight w:val="0"/>
      <w:marTop w:val="0"/>
      <w:marBottom w:val="0"/>
      <w:divBdr>
        <w:top w:val="none" w:sz="0" w:space="0" w:color="auto"/>
        <w:left w:val="none" w:sz="0" w:space="0" w:color="auto"/>
        <w:bottom w:val="none" w:sz="0" w:space="0" w:color="auto"/>
        <w:right w:val="none" w:sz="0" w:space="0" w:color="auto"/>
      </w:divBdr>
      <w:divsChild>
        <w:div w:id="412316366">
          <w:marLeft w:val="1267"/>
          <w:marRight w:val="0"/>
          <w:marTop w:val="0"/>
          <w:marBottom w:val="0"/>
          <w:divBdr>
            <w:top w:val="none" w:sz="0" w:space="0" w:color="auto"/>
            <w:left w:val="none" w:sz="0" w:space="0" w:color="auto"/>
            <w:bottom w:val="none" w:sz="0" w:space="0" w:color="auto"/>
            <w:right w:val="none" w:sz="0" w:space="0" w:color="auto"/>
          </w:divBdr>
        </w:div>
        <w:div w:id="1388993373">
          <w:marLeft w:val="1267"/>
          <w:marRight w:val="0"/>
          <w:marTop w:val="0"/>
          <w:marBottom w:val="0"/>
          <w:divBdr>
            <w:top w:val="none" w:sz="0" w:space="0" w:color="auto"/>
            <w:left w:val="none" w:sz="0" w:space="0" w:color="auto"/>
            <w:bottom w:val="none" w:sz="0" w:space="0" w:color="auto"/>
            <w:right w:val="none" w:sz="0" w:space="0" w:color="auto"/>
          </w:divBdr>
        </w:div>
        <w:div w:id="1521040791">
          <w:marLeft w:val="1267"/>
          <w:marRight w:val="0"/>
          <w:marTop w:val="0"/>
          <w:marBottom w:val="0"/>
          <w:divBdr>
            <w:top w:val="none" w:sz="0" w:space="0" w:color="auto"/>
            <w:left w:val="none" w:sz="0" w:space="0" w:color="auto"/>
            <w:bottom w:val="none" w:sz="0" w:space="0" w:color="auto"/>
            <w:right w:val="none" w:sz="0" w:space="0" w:color="auto"/>
          </w:divBdr>
        </w:div>
        <w:div w:id="1590650829">
          <w:marLeft w:val="1267"/>
          <w:marRight w:val="0"/>
          <w:marTop w:val="0"/>
          <w:marBottom w:val="0"/>
          <w:divBdr>
            <w:top w:val="none" w:sz="0" w:space="0" w:color="auto"/>
            <w:left w:val="none" w:sz="0" w:space="0" w:color="auto"/>
            <w:bottom w:val="none" w:sz="0" w:space="0" w:color="auto"/>
            <w:right w:val="none" w:sz="0" w:space="0" w:color="auto"/>
          </w:divBdr>
        </w:div>
        <w:div w:id="1619218931">
          <w:marLeft w:val="1267"/>
          <w:marRight w:val="0"/>
          <w:marTop w:val="0"/>
          <w:marBottom w:val="0"/>
          <w:divBdr>
            <w:top w:val="none" w:sz="0" w:space="0" w:color="auto"/>
            <w:left w:val="none" w:sz="0" w:space="0" w:color="auto"/>
            <w:bottom w:val="none" w:sz="0" w:space="0" w:color="auto"/>
            <w:right w:val="none" w:sz="0" w:space="0" w:color="auto"/>
          </w:divBdr>
        </w:div>
      </w:divsChild>
    </w:div>
    <w:div w:id="1505785210">
      <w:bodyDiv w:val="1"/>
      <w:marLeft w:val="0"/>
      <w:marRight w:val="0"/>
      <w:marTop w:val="0"/>
      <w:marBottom w:val="0"/>
      <w:divBdr>
        <w:top w:val="none" w:sz="0" w:space="0" w:color="auto"/>
        <w:left w:val="none" w:sz="0" w:space="0" w:color="auto"/>
        <w:bottom w:val="none" w:sz="0" w:space="0" w:color="auto"/>
        <w:right w:val="none" w:sz="0" w:space="0" w:color="auto"/>
      </w:divBdr>
    </w:div>
    <w:div w:id="1640721561">
      <w:bodyDiv w:val="1"/>
      <w:marLeft w:val="0"/>
      <w:marRight w:val="0"/>
      <w:marTop w:val="0"/>
      <w:marBottom w:val="0"/>
      <w:divBdr>
        <w:top w:val="none" w:sz="0" w:space="0" w:color="auto"/>
        <w:left w:val="none" w:sz="0" w:space="0" w:color="auto"/>
        <w:bottom w:val="none" w:sz="0" w:space="0" w:color="auto"/>
        <w:right w:val="none" w:sz="0" w:space="0" w:color="auto"/>
      </w:divBdr>
    </w:div>
    <w:div w:id="1653171588">
      <w:bodyDiv w:val="1"/>
      <w:marLeft w:val="0"/>
      <w:marRight w:val="0"/>
      <w:marTop w:val="0"/>
      <w:marBottom w:val="0"/>
      <w:divBdr>
        <w:top w:val="none" w:sz="0" w:space="0" w:color="auto"/>
        <w:left w:val="none" w:sz="0" w:space="0" w:color="auto"/>
        <w:bottom w:val="none" w:sz="0" w:space="0" w:color="auto"/>
        <w:right w:val="none" w:sz="0" w:space="0" w:color="auto"/>
      </w:divBdr>
    </w:div>
    <w:div w:id="1712653058">
      <w:bodyDiv w:val="1"/>
      <w:marLeft w:val="0"/>
      <w:marRight w:val="0"/>
      <w:marTop w:val="0"/>
      <w:marBottom w:val="0"/>
      <w:divBdr>
        <w:top w:val="none" w:sz="0" w:space="0" w:color="auto"/>
        <w:left w:val="none" w:sz="0" w:space="0" w:color="auto"/>
        <w:bottom w:val="none" w:sz="0" w:space="0" w:color="auto"/>
        <w:right w:val="none" w:sz="0" w:space="0" w:color="auto"/>
      </w:divBdr>
    </w:div>
    <w:div w:id="1736774847">
      <w:bodyDiv w:val="1"/>
      <w:marLeft w:val="0"/>
      <w:marRight w:val="0"/>
      <w:marTop w:val="0"/>
      <w:marBottom w:val="0"/>
      <w:divBdr>
        <w:top w:val="none" w:sz="0" w:space="0" w:color="auto"/>
        <w:left w:val="none" w:sz="0" w:space="0" w:color="auto"/>
        <w:bottom w:val="none" w:sz="0" w:space="0" w:color="auto"/>
        <w:right w:val="none" w:sz="0" w:space="0" w:color="auto"/>
      </w:divBdr>
      <w:divsChild>
        <w:div w:id="1563637790">
          <w:marLeft w:val="1440"/>
          <w:marRight w:val="0"/>
          <w:marTop w:val="100"/>
          <w:marBottom w:val="0"/>
          <w:divBdr>
            <w:top w:val="none" w:sz="0" w:space="0" w:color="auto"/>
            <w:left w:val="none" w:sz="0" w:space="0" w:color="auto"/>
            <w:bottom w:val="none" w:sz="0" w:space="0" w:color="auto"/>
            <w:right w:val="none" w:sz="0" w:space="0" w:color="auto"/>
          </w:divBdr>
        </w:div>
      </w:divsChild>
    </w:div>
    <w:div w:id="1768117664">
      <w:bodyDiv w:val="1"/>
      <w:marLeft w:val="0"/>
      <w:marRight w:val="0"/>
      <w:marTop w:val="0"/>
      <w:marBottom w:val="0"/>
      <w:divBdr>
        <w:top w:val="none" w:sz="0" w:space="0" w:color="auto"/>
        <w:left w:val="none" w:sz="0" w:space="0" w:color="auto"/>
        <w:bottom w:val="none" w:sz="0" w:space="0" w:color="auto"/>
        <w:right w:val="none" w:sz="0" w:space="0" w:color="auto"/>
      </w:divBdr>
      <w:divsChild>
        <w:div w:id="1527016709">
          <w:marLeft w:val="547"/>
          <w:marRight w:val="0"/>
          <w:marTop w:val="0"/>
          <w:marBottom w:val="0"/>
          <w:divBdr>
            <w:top w:val="none" w:sz="0" w:space="0" w:color="auto"/>
            <w:left w:val="none" w:sz="0" w:space="0" w:color="auto"/>
            <w:bottom w:val="none" w:sz="0" w:space="0" w:color="auto"/>
            <w:right w:val="none" w:sz="0" w:space="0" w:color="auto"/>
          </w:divBdr>
        </w:div>
        <w:div w:id="1710647059">
          <w:marLeft w:val="547"/>
          <w:marRight w:val="0"/>
          <w:marTop w:val="0"/>
          <w:marBottom w:val="0"/>
          <w:divBdr>
            <w:top w:val="none" w:sz="0" w:space="0" w:color="auto"/>
            <w:left w:val="none" w:sz="0" w:space="0" w:color="auto"/>
            <w:bottom w:val="none" w:sz="0" w:space="0" w:color="auto"/>
            <w:right w:val="none" w:sz="0" w:space="0" w:color="auto"/>
          </w:divBdr>
        </w:div>
      </w:divsChild>
    </w:div>
    <w:div w:id="1814982358">
      <w:bodyDiv w:val="1"/>
      <w:marLeft w:val="0"/>
      <w:marRight w:val="0"/>
      <w:marTop w:val="0"/>
      <w:marBottom w:val="0"/>
      <w:divBdr>
        <w:top w:val="none" w:sz="0" w:space="0" w:color="auto"/>
        <w:left w:val="none" w:sz="0" w:space="0" w:color="auto"/>
        <w:bottom w:val="none" w:sz="0" w:space="0" w:color="auto"/>
        <w:right w:val="none" w:sz="0" w:space="0" w:color="auto"/>
      </w:divBdr>
      <w:divsChild>
        <w:div w:id="1639456359">
          <w:marLeft w:val="720"/>
          <w:marRight w:val="0"/>
          <w:marTop w:val="200"/>
          <w:marBottom w:val="0"/>
          <w:divBdr>
            <w:top w:val="none" w:sz="0" w:space="0" w:color="auto"/>
            <w:left w:val="none" w:sz="0" w:space="0" w:color="auto"/>
            <w:bottom w:val="none" w:sz="0" w:space="0" w:color="auto"/>
            <w:right w:val="none" w:sz="0" w:space="0" w:color="auto"/>
          </w:divBdr>
        </w:div>
      </w:divsChild>
    </w:div>
    <w:div w:id="1854803307">
      <w:bodyDiv w:val="1"/>
      <w:marLeft w:val="0"/>
      <w:marRight w:val="0"/>
      <w:marTop w:val="0"/>
      <w:marBottom w:val="0"/>
      <w:divBdr>
        <w:top w:val="none" w:sz="0" w:space="0" w:color="auto"/>
        <w:left w:val="none" w:sz="0" w:space="0" w:color="auto"/>
        <w:bottom w:val="none" w:sz="0" w:space="0" w:color="auto"/>
        <w:right w:val="none" w:sz="0" w:space="0" w:color="auto"/>
      </w:divBdr>
      <w:divsChild>
        <w:div w:id="332226503">
          <w:marLeft w:val="547"/>
          <w:marRight w:val="0"/>
          <w:marTop w:val="0"/>
          <w:marBottom w:val="0"/>
          <w:divBdr>
            <w:top w:val="none" w:sz="0" w:space="0" w:color="auto"/>
            <w:left w:val="none" w:sz="0" w:space="0" w:color="auto"/>
            <w:bottom w:val="none" w:sz="0" w:space="0" w:color="auto"/>
            <w:right w:val="none" w:sz="0" w:space="0" w:color="auto"/>
          </w:divBdr>
        </w:div>
        <w:div w:id="1055814530">
          <w:marLeft w:val="547"/>
          <w:marRight w:val="0"/>
          <w:marTop w:val="0"/>
          <w:marBottom w:val="0"/>
          <w:divBdr>
            <w:top w:val="none" w:sz="0" w:space="0" w:color="auto"/>
            <w:left w:val="none" w:sz="0" w:space="0" w:color="auto"/>
            <w:bottom w:val="none" w:sz="0" w:space="0" w:color="auto"/>
            <w:right w:val="none" w:sz="0" w:space="0" w:color="auto"/>
          </w:divBdr>
        </w:div>
        <w:div w:id="1901748263">
          <w:marLeft w:val="547"/>
          <w:marRight w:val="0"/>
          <w:marTop w:val="0"/>
          <w:marBottom w:val="0"/>
          <w:divBdr>
            <w:top w:val="none" w:sz="0" w:space="0" w:color="auto"/>
            <w:left w:val="none" w:sz="0" w:space="0" w:color="auto"/>
            <w:bottom w:val="none" w:sz="0" w:space="0" w:color="auto"/>
            <w:right w:val="none" w:sz="0" w:space="0" w:color="auto"/>
          </w:divBdr>
        </w:div>
      </w:divsChild>
    </w:div>
    <w:div w:id="1862619865">
      <w:bodyDiv w:val="1"/>
      <w:marLeft w:val="0"/>
      <w:marRight w:val="0"/>
      <w:marTop w:val="0"/>
      <w:marBottom w:val="0"/>
      <w:divBdr>
        <w:top w:val="none" w:sz="0" w:space="0" w:color="auto"/>
        <w:left w:val="none" w:sz="0" w:space="0" w:color="auto"/>
        <w:bottom w:val="none" w:sz="0" w:space="0" w:color="auto"/>
        <w:right w:val="none" w:sz="0" w:space="0" w:color="auto"/>
      </w:divBdr>
      <w:divsChild>
        <w:div w:id="767580940">
          <w:marLeft w:val="446"/>
          <w:marRight w:val="0"/>
          <w:marTop w:val="0"/>
          <w:marBottom w:val="0"/>
          <w:divBdr>
            <w:top w:val="none" w:sz="0" w:space="0" w:color="auto"/>
            <w:left w:val="none" w:sz="0" w:space="0" w:color="auto"/>
            <w:bottom w:val="none" w:sz="0" w:space="0" w:color="auto"/>
            <w:right w:val="none" w:sz="0" w:space="0" w:color="auto"/>
          </w:divBdr>
        </w:div>
      </w:divsChild>
    </w:div>
    <w:div w:id="1867909297">
      <w:bodyDiv w:val="1"/>
      <w:marLeft w:val="0"/>
      <w:marRight w:val="0"/>
      <w:marTop w:val="0"/>
      <w:marBottom w:val="0"/>
      <w:divBdr>
        <w:top w:val="none" w:sz="0" w:space="0" w:color="auto"/>
        <w:left w:val="none" w:sz="0" w:space="0" w:color="auto"/>
        <w:bottom w:val="none" w:sz="0" w:space="0" w:color="auto"/>
        <w:right w:val="none" w:sz="0" w:space="0" w:color="auto"/>
      </w:divBdr>
    </w:div>
    <w:div w:id="2089886557">
      <w:bodyDiv w:val="1"/>
      <w:marLeft w:val="0"/>
      <w:marRight w:val="0"/>
      <w:marTop w:val="0"/>
      <w:marBottom w:val="0"/>
      <w:divBdr>
        <w:top w:val="none" w:sz="0" w:space="0" w:color="auto"/>
        <w:left w:val="none" w:sz="0" w:space="0" w:color="auto"/>
        <w:bottom w:val="none" w:sz="0" w:space="0" w:color="auto"/>
        <w:right w:val="none" w:sz="0" w:space="0" w:color="auto"/>
      </w:divBdr>
    </w:div>
    <w:div w:id="2092001623">
      <w:bodyDiv w:val="1"/>
      <w:marLeft w:val="0"/>
      <w:marRight w:val="0"/>
      <w:marTop w:val="0"/>
      <w:marBottom w:val="0"/>
      <w:divBdr>
        <w:top w:val="none" w:sz="0" w:space="0" w:color="auto"/>
        <w:left w:val="none" w:sz="0" w:space="0" w:color="auto"/>
        <w:bottom w:val="none" w:sz="0" w:space="0" w:color="auto"/>
        <w:right w:val="none" w:sz="0" w:space="0" w:color="auto"/>
      </w:divBdr>
    </w:div>
    <w:div w:id="2095391707">
      <w:bodyDiv w:val="1"/>
      <w:marLeft w:val="0"/>
      <w:marRight w:val="0"/>
      <w:marTop w:val="0"/>
      <w:marBottom w:val="0"/>
      <w:divBdr>
        <w:top w:val="none" w:sz="0" w:space="0" w:color="auto"/>
        <w:left w:val="none" w:sz="0" w:space="0" w:color="auto"/>
        <w:bottom w:val="none" w:sz="0" w:space="0" w:color="auto"/>
        <w:right w:val="none" w:sz="0" w:space="0" w:color="auto"/>
      </w:divBdr>
      <w:divsChild>
        <w:div w:id="1693534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D:\PhD%20research%20data\weather%20data\Jan%20-December%202024_YezinWeatherData(2).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PhD%20research%20data\DYMS\final%20data\plant%20uptake.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D:\PhD%20research%20data\DYMS\final%20data\plant%20uptak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PhD%20research%20data\DYMS\final%20data\Mineralization.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317361189962531"/>
          <c:y val="4.2487446890691387E-2"/>
          <c:w val="0.65338630956585175"/>
          <c:h val="0.62948348490884276"/>
        </c:manualLayout>
      </c:layout>
      <c:barChart>
        <c:barDir val="col"/>
        <c:grouping val="clustered"/>
        <c:varyColors val="0"/>
        <c:ser>
          <c:idx val="2"/>
          <c:order val="2"/>
          <c:tx>
            <c:strRef>
              <c:f>'Sheet1 (2)'!$D$1</c:f>
              <c:strCache>
                <c:ptCount val="1"/>
                <c:pt idx="0">
                  <c:v>Rainfall (mm)</c:v>
                </c:pt>
              </c:strCache>
            </c:strRef>
          </c:tx>
          <c:spPr>
            <a:solidFill>
              <a:srgbClr val="70AD47">
                <a:lumMod val="60000"/>
                <a:lumOff val="40000"/>
              </a:srgbClr>
            </a:solidFill>
            <a:ln>
              <a:noFill/>
            </a:ln>
            <a:effectLst/>
          </c:spPr>
          <c:invertIfNegative val="0"/>
          <c:cat>
            <c:strRef>
              <c:f>'Sheet1 (2)'!$A$2:$A$138</c:f>
              <c:strCache>
                <c:ptCount val="137"/>
                <c:pt idx="0">
                  <c:v>15-Feb</c:v>
                </c:pt>
                <c:pt idx="1">
                  <c:v>16-Feb</c:v>
                </c:pt>
                <c:pt idx="2">
                  <c:v>17-Feb</c:v>
                </c:pt>
                <c:pt idx="3">
                  <c:v>18-Feb</c:v>
                </c:pt>
                <c:pt idx="4">
                  <c:v>19-Feb</c:v>
                </c:pt>
                <c:pt idx="5">
                  <c:v>20-Feb</c:v>
                </c:pt>
                <c:pt idx="6">
                  <c:v>21-Feb</c:v>
                </c:pt>
                <c:pt idx="7">
                  <c:v>22-Feb</c:v>
                </c:pt>
                <c:pt idx="8">
                  <c:v>23-Feb</c:v>
                </c:pt>
                <c:pt idx="9">
                  <c:v>24-Feb</c:v>
                </c:pt>
                <c:pt idx="10">
                  <c:v>25-Feb</c:v>
                </c:pt>
                <c:pt idx="11">
                  <c:v>26-Feb</c:v>
                </c:pt>
                <c:pt idx="12">
                  <c:v>27-Feb</c:v>
                </c:pt>
                <c:pt idx="13">
                  <c:v>28-Feb</c:v>
                </c:pt>
                <c:pt idx="14">
                  <c:v>29-Feb</c:v>
                </c:pt>
                <c:pt idx="15">
                  <c:v>1-Mar</c:v>
                </c:pt>
                <c:pt idx="16">
                  <c:v>2-Mar</c:v>
                </c:pt>
                <c:pt idx="17">
                  <c:v>3-Mar</c:v>
                </c:pt>
                <c:pt idx="18">
                  <c:v>4-Mar</c:v>
                </c:pt>
                <c:pt idx="19">
                  <c:v>5-Mar</c:v>
                </c:pt>
                <c:pt idx="20">
                  <c:v>6-Mar</c:v>
                </c:pt>
                <c:pt idx="21">
                  <c:v>7-Mar</c:v>
                </c:pt>
                <c:pt idx="22">
                  <c:v>8-Mar</c:v>
                </c:pt>
                <c:pt idx="23">
                  <c:v>9-Mar</c:v>
                </c:pt>
                <c:pt idx="24">
                  <c:v>10-Mar</c:v>
                </c:pt>
                <c:pt idx="25">
                  <c:v>11-Mar</c:v>
                </c:pt>
                <c:pt idx="26">
                  <c:v>12-Mar</c:v>
                </c:pt>
                <c:pt idx="27">
                  <c:v>13-Mar</c:v>
                </c:pt>
                <c:pt idx="28">
                  <c:v>14-Mar</c:v>
                </c:pt>
                <c:pt idx="29">
                  <c:v>15-Mar</c:v>
                </c:pt>
                <c:pt idx="30">
                  <c:v>16-Mar</c:v>
                </c:pt>
                <c:pt idx="31">
                  <c:v>17-Mar</c:v>
                </c:pt>
                <c:pt idx="32">
                  <c:v>18-Mar</c:v>
                </c:pt>
                <c:pt idx="33">
                  <c:v>19-Mar</c:v>
                </c:pt>
                <c:pt idx="34">
                  <c:v>20-Mar</c:v>
                </c:pt>
                <c:pt idx="35">
                  <c:v>21-Mar</c:v>
                </c:pt>
                <c:pt idx="36">
                  <c:v>22-Mar</c:v>
                </c:pt>
                <c:pt idx="37">
                  <c:v>23-Mar</c:v>
                </c:pt>
                <c:pt idx="38">
                  <c:v>24-Mar</c:v>
                </c:pt>
                <c:pt idx="39">
                  <c:v>25-Mar</c:v>
                </c:pt>
                <c:pt idx="40">
                  <c:v>26-Mar</c:v>
                </c:pt>
                <c:pt idx="41">
                  <c:v>27-Mar</c:v>
                </c:pt>
                <c:pt idx="42">
                  <c:v>28-Mar</c:v>
                </c:pt>
                <c:pt idx="43">
                  <c:v>29-Mar</c:v>
                </c:pt>
                <c:pt idx="44">
                  <c:v>30-Mar</c:v>
                </c:pt>
                <c:pt idx="45">
                  <c:v>31-Mar</c:v>
                </c:pt>
                <c:pt idx="46">
                  <c:v>1-Apr</c:v>
                </c:pt>
                <c:pt idx="47">
                  <c:v>2-Apr</c:v>
                </c:pt>
                <c:pt idx="48">
                  <c:v>3-Apr</c:v>
                </c:pt>
                <c:pt idx="49">
                  <c:v>4-Apr</c:v>
                </c:pt>
                <c:pt idx="50">
                  <c:v>5-Apr</c:v>
                </c:pt>
                <c:pt idx="51">
                  <c:v>6-Apr</c:v>
                </c:pt>
                <c:pt idx="52">
                  <c:v>7-Apr</c:v>
                </c:pt>
                <c:pt idx="53">
                  <c:v>8-Apr</c:v>
                </c:pt>
                <c:pt idx="54">
                  <c:v>9-Apr</c:v>
                </c:pt>
                <c:pt idx="55">
                  <c:v>10-Apr</c:v>
                </c:pt>
                <c:pt idx="56">
                  <c:v>11-Apr</c:v>
                </c:pt>
                <c:pt idx="57">
                  <c:v>12-Apr</c:v>
                </c:pt>
                <c:pt idx="58">
                  <c:v>13-Apr</c:v>
                </c:pt>
                <c:pt idx="59">
                  <c:v>14-Apr</c:v>
                </c:pt>
                <c:pt idx="60">
                  <c:v>15-Apr</c:v>
                </c:pt>
                <c:pt idx="61">
                  <c:v>16-Apr</c:v>
                </c:pt>
                <c:pt idx="62">
                  <c:v>17-Apr</c:v>
                </c:pt>
                <c:pt idx="63">
                  <c:v>18-Apr</c:v>
                </c:pt>
                <c:pt idx="64">
                  <c:v>19-Apr</c:v>
                </c:pt>
                <c:pt idx="65">
                  <c:v>20-Apr</c:v>
                </c:pt>
                <c:pt idx="66">
                  <c:v>21-Apr</c:v>
                </c:pt>
                <c:pt idx="67">
                  <c:v>22-Apr</c:v>
                </c:pt>
                <c:pt idx="68">
                  <c:v>23-Apr</c:v>
                </c:pt>
                <c:pt idx="69">
                  <c:v>24-Apr</c:v>
                </c:pt>
                <c:pt idx="70">
                  <c:v>25-Apr</c:v>
                </c:pt>
                <c:pt idx="71">
                  <c:v>26-Apr</c:v>
                </c:pt>
                <c:pt idx="72">
                  <c:v>27-Apr</c:v>
                </c:pt>
                <c:pt idx="73">
                  <c:v>28-Apr</c:v>
                </c:pt>
                <c:pt idx="74">
                  <c:v>29-Apr</c:v>
                </c:pt>
                <c:pt idx="75">
                  <c:v>30-Apr</c:v>
                </c:pt>
                <c:pt idx="76">
                  <c:v>1-May</c:v>
                </c:pt>
                <c:pt idx="77">
                  <c:v>2-May</c:v>
                </c:pt>
                <c:pt idx="78">
                  <c:v>3-May</c:v>
                </c:pt>
                <c:pt idx="79">
                  <c:v>4-May</c:v>
                </c:pt>
                <c:pt idx="80">
                  <c:v>5-May</c:v>
                </c:pt>
                <c:pt idx="81">
                  <c:v>6-May</c:v>
                </c:pt>
                <c:pt idx="82">
                  <c:v>7-May</c:v>
                </c:pt>
                <c:pt idx="83">
                  <c:v>8-May</c:v>
                </c:pt>
                <c:pt idx="84">
                  <c:v>9-May</c:v>
                </c:pt>
                <c:pt idx="85">
                  <c:v>10-May</c:v>
                </c:pt>
                <c:pt idx="86">
                  <c:v>11-May</c:v>
                </c:pt>
                <c:pt idx="87">
                  <c:v>12-May</c:v>
                </c:pt>
                <c:pt idx="88">
                  <c:v>13-May</c:v>
                </c:pt>
                <c:pt idx="89">
                  <c:v>14-May</c:v>
                </c:pt>
                <c:pt idx="90">
                  <c:v>15-May</c:v>
                </c:pt>
                <c:pt idx="91">
                  <c:v>16-May</c:v>
                </c:pt>
                <c:pt idx="92">
                  <c:v>17-May</c:v>
                </c:pt>
                <c:pt idx="93">
                  <c:v>18-May</c:v>
                </c:pt>
                <c:pt idx="94">
                  <c:v>19-May</c:v>
                </c:pt>
                <c:pt idx="95">
                  <c:v>20-May</c:v>
                </c:pt>
                <c:pt idx="96">
                  <c:v>21-May</c:v>
                </c:pt>
                <c:pt idx="97">
                  <c:v>22-May</c:v>
                </c:pt>
                <c:pt idx="98">
                  <c:v>23-May</c:v>
                </c:pt>
                <c:pt idx="99">
                  <c:v>24-May</c:v>
                </c:pt>
                <c:pt idx="100">
                  <c:v>25-May</c:v>
                </c:pt>
                <c:pt idx="101">
                  <c:v>26-May</c:v>
                </c:pt>
                <c:pt idx="102">
                  <c:v>27-May</c:v>
                </c:pt>
                <c:pt idx="103">
                  <c:v>28-May</c:v>
                </c:pt>
                <c:pt idx="104">
                  <c:v>29-May</c:v>
                </c:pt>
                <c:pt idx="105">
                  <c:v>30-May</c:v>
                </c:pt>
                <c:pt idx="106">
                  <c:v>31-May</c:v>
                </c:pt>
                <c:pt idx="107">
                  <c:v>1-Jun</c:v>
                </c:pt>
                <c:pt idx="108">
                  <c:v>2-Jun</c:v>
                </c:pt>
                <c:pt idx="109">
                  <c:v>3-Jun</c:v>
                </c:pt>
                <c:pt idx="110">
                  <c:v>4-Jun</c:v>
                </c:pt>
                <c:pt idx="111">
                  <c:v>5-Jun</c:v>
                </c:pt>
                <c:pt idx="112">
                  <c:v>6-Jun</c:v>
                </c:pt>
                <c:pt idx="113">
                  <c:v>7-Jun</c:v>
                </c:pt>
                <c:pt idx="114">
                  <c:v>8-Jun</c:v>
                </c:pt>
                <c:pt idx="115">
                  <c:v>9-Jun</c:v>
                </c:pt>
                <c:pt idx="116">
                  <c:v>10-Jun</c:v>
                </c:pt>
                <c:pt idx="117">
                  <c:v>11-Jun</c:v>
                </c:pt>
                <c:pt idx="118">
                  <c:v>12-Jun</c:v>
                </c:pt>
                <c:pt idx="119">
                  <c:v>13-Jun</c:v>
                </c:pt>
                <c:pt idx="120">
                  <c:v>14-Jun</c:v>
                </c:pt>
                <c:pt idx="121">
                  <c:v>15-Jun</c:v>
                </c:pt>
                <c:pt idx="122">
                  <c:v>16-Jun</c:v>
                </c:pt>
                <c:pt idx="123">
                  <c:v>17-Jun</c:v>
                </c:pt>
                <c:pt idx="124">
                  <c:v>18-Jun</c:v>
                </c:pt>
                <c:pt idx="125">
                  <c:v>19-Jun</c:v>
                </c:pt>
                <c:pt idx="126">
                  <c:v>20-Jun</c:v>
                </c:pt>
                <c:pt idx="127">
                  <c:v>21-Jun</c:v>
                </c:pt>
                <c:pt idx="128">
                  <c:v>22-Jun</c:v>
                </c:pt>
                <c:pt idx="129">
                  <c:v>23-Jun</c:v>
                </c:pt>
                <c:pt idx="130">
                  <c:v>24-Jun</c:v>
                </c:pt>
                <c:pt idx="131">
                  <c:v>25-Jun</c:v>
                </c:pt>
                <c:pt idx="132">
                  <c:v>26-Jun</c:v>
                </c:pt>
                <c:pt idx="133">
                  <c:v>27-Jun</c:v>
                </c:pt>
                <c:pt idx="134">
                  <c:v>28-Jun</c:v>
                </c:pt>
                <c:pt idx="135">
                  <c:v>29-Jun</c:v>
                </c:pt>
                <c:pt idx="136">
                  <c:v>30-Jun</c:v>
                </c:pt>
              </c:strCache>
            </c:strRef>
          </c:cat>
          <c:val>
            <c:numRef>
              <c:f>'Sheet1 (2)'!$D$2:$D$138</c:f>
              <c:numCache>
                <c:formatCode>0.00</c:formatCode>
                <c:ptCount val="13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20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1</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20</c:v>
                </c:pt>
                <c:pt idx="78">
                  <c:v>0</c:v>
                </c:pt>
                <c:pt idx="79">
                  <c:v>0</c:v>
                </c:pt>
                <c:pt idx="80">
                  <c:v>0</c:v>
                </c:pt>
                <c:pt idx="81">
                  <c:v>5.0999999999999996</c:v>
                </c:pt>
                <c:pt idx="82">
                  <c:v>0</c:v>
                </c:pt>
                <c:pt idx="83">
                  <c:v>1</c:v>
                </c:pt>
                <c:pt idx="84">
                  <c:v>0</c:v>
                </c:pt>
                <c:pt idx="85">
                  <c:v>11</c:v>
                </c:pt>
                <c:pt idx="86">
                  <c:v>0</c:v>
                </c:pt>
                <c:pt idx="87">
                  <c:v>0</c:v>
                </c:pt>
                <c:pt idx="88">
                  <c:v>0</c:v>
                </c:pt>
                <c:pt idx="89">
                  <c:v>0</c:v>
                </c:pt>
                <c:pt idx="90">
                  <c:v>0</c:v>
                </c:pt>
                <c:pt idx="91">
                  <c:v>0.1</c:v>
                </c:pt>
                <c:pt idx="92">
                  <c:v>2.5</c:v>
                </c:pt>
                <c:pt idx="93">
                  <c:v>1.3</c:v>
                </c:pt>
                <c:pt idx="94">
                  <c:v>6</c:v>
                </c:pt>
                <c:pt idx="95">
                  <c:v>24.4</c:v>
                </c:pt>
                <c:pt idx="96">
                  <c:v>14.3</c:v>
                </c:pt>
                <c:pt idx="97">
                  <c:v>9.8000000000000007</c:v>
                </c:pt>
                <c:pt idx="98">
                  <c:v>1.2</c:v>
                </c:pt>
                <c:pt idx="99">
                  <c:v>4.7</c:v>
                </c:pt>
                <c:pt idx="100">
                  <c:v>8.9</c:v>
                </c:pt>
                <c:pt idx="101">
                  <c:v>0</c:v>
                </c:pt>
                <c:pt idx="102">
                  <c:v>30.2</c:v>
                </c:pt>
                <c:pt idx="103">
                  <c:v>14.4</c:v>
                </c:pt>
                <c:pt idx="104">
                  <c:v>0</c:v>
                </c:pt>
                <c:pt idx="105">
                  <c:v>0</c:v>
                </c:pt>
                <c:pt idx="106">
                  <c:v>1.5</c:v>
                </c:pt>
                <c:pt idx="107">
                  <c:v>0</c:v>
                </c:pt>
                <c:pt idx="108">
                  <c:v>0</c:v>
                </c:pt>
                <c:pt idx="109">
                  <c:v>2</c:v>
                </c:pt>
                <c:pt idx="110">
                  <c:v>37</c:v>
                </c:pt>
                <c:pt idx="111">
                  <c:v>0</c:v>
                </c:pt>
                <c:pt idx="112">
                  <c:v>0</c:v>
                </c:pt>
                <c:pt idx="113">
                  <c:v>4</c:v>
                </c:pt>
                <c:pt idx="114">
                  <c:v>13</c:v>
                </c:pt>
                <c:pt idx="115">
                  <c:v>0</c:v>
                </c:pt>
                <c:pt idx="116">
                  <c:v>3</c:v>
                </c:pt>
                <c:pt idx="117">
                  <c:v>0</c:v>
                </c:pt>
                <c:pt idx="118">
                  <c:v>2</c:v>
                </c:pt>
                <c:pt idx="119">
                  <c:v>15</c:v>
                </c:pt>
                <c:pt idx="120">
                  <c:v>6</c:v>
                </c:pt>
                <c:pt idx="121">
                  <c:v>2</c:v>
                </c:pt>
                <c:pt idx="122">
                  <c:v>2</c:v>
                </c:pt>
                <c:pt idx="123">
                  <c:v>0</c:v>
                </c:pt>
                <c:pt idx="124">
                  <c:v>2</c:v>
                </c:pt>
                <c:pt idx="125">
                  <c:v>0</c:v>
                </c:pt>
                <c:pt idx="126">
                  <c:v>0</c:v>
                </c:pt>
                <c:pt idx="127">
                  <c:v>5</c:v>
                </c:pt>
                <c:pt idx="128">
                  <c:v>0</c:v>
                </c:pt>
                <c:pt idx="129">
                  <c:v>0</c:v>
                </c:pt>
                <c:pt idx="130">
                  <c:v>0</c:v>
                </c:pt>
                <c:pt idx="131">
                  <c:v>3</c:v>
                </c:pt>
                <c:pt idx="132">
                  <c:v>2</c:v>
                </c:pt>
                <c:pt idx="133">
                  <c:v>5</c:v>
                </c:pt>
                <c:pt idx="134">
                  <c:v>1</c:v>
                </c:pt>
                <c:pt idx="135">
                  <c:v>1</c:v>
                </c:pt>
                <c:pt idx="136">
                  <c:v>13</c:v>
                </c:pt>
              </c:numCache>
            </c:numRef>
          </c:val>
          <c:extLst>
            <c:ext xmlns:c16="http://schemas.microsoft.com/office/drawing/2014/chart" uri="{C3380CC4-5D6E-409C-BE32-E72D297353CC}">
              <c16:uniqueId val="{00000000-1DB0-4714-8860-5B83D4724621}"/>
            </c:ext>
          </c:extLst>
        </c:ser>
        <c:dLbls>
          <c:showLegendKey val="0"/>
          <c:showVal val="0"/>
          <c:showCatName val="0"/>
          <c:showSerName val="0"/>
          <c:showPercent val="0"/>
          <c:showBubbleSize val="0"/>
        </c:dLbls>
        <c:gapWidth val="150"/>
        <c:axId val="1562124640"/>
        <c:axId val="1562122976"/>
      </c:barChart>
      <c:lineChart>
        <c:grouping val="standard"/>
        <c:varyColors val="0"/>
        <c:ser>
          <c:idx val="0"/>
          <c:order val="0"/>
          <c:tx>
            <c:strRef>
              <c:f>'Sheet1 (2)'!$B$1</c:f>
              <c:strCache>
                <c:ptCount val="1"/>
                <c:pt idx="0">
                  <c:v>Min Temperature</c:v>
                </c:pt>
              </c:strCache>
            </c:strRef>
          </c:tx>
          <c:spPr>
            <a:ln w="28575" cap="rnd">
              <a:solidFill>
                <a:schemeClr val="accent1"/>
              </a:solidFill>
              <a:round/>
            </a:ln>
            <a:effectLst/>
          </c:spPr>
          <c:marker>
            <c:symbol val="none"/>
          </c:marker>
          <c:cat>
            <c:strRef>
              <c:f>'Sheet1 (2)'!$A$2:$A$138</c:f>
              <c:strCache>
                <c:ptCount val="137"/>
                <c:pt idx="0">
                  <c:v>15-Feb</c:v>
                </c:pt>
                <c:pt idx="1">
                  <c:v>16-Feb</c:v>
                </c:pt>
                <c:pt idx="2">
                  <c:v>17-Feb</c:v>
                </c:pt>
                <c:pt idx="3">
                  <c:v>18-Feb</c:v>
                </c:pt>
                <c:pt idx="4">
                  <c:v>19-Feb</c:v>
                </c:pt>
                <c:pt idx="5">
                  <c:v>20-Feb</c:v>
                </c:pt>
                <c:pt idx="6">
                  <c:v>21-Feb</c:v>
                </c:pt>
                <c:pt idx="7">
                  <c:v>22-Feb</c:v>
                </c:pt>
                <c:pt idx="8">
                  <c:v>23-Feb</c:v>
                </c:pt>
                <c:pt idx="9">
                  <c:v>24-Feb</c:v>
                </c:pt>
                <c:pt idx="10">
                  <c:v>25-Feb</c:v>
                </c:pt>
                <c:pt idx="11">
                  <c:v>26-Feb</c:v>
                </c:pt>
                <c:pt idx="12">
                  <c:v>27-Feb</c:v>
                </c:pt>
                <c:pt idx="13">
                  <c:v>28-Feb</c:v>
                </c:pt>
                <c:pt idx="14">
                  <c:v>29-Feb</c:v>
                </c:pt>
                <c:pt idx="15">
                  <c:v>1-Mar</c:v>
                </c:pt>
                <c:pt idx="16">
                  <c:v>2-Mar</c:v>
                </c:pt>
                <c:pt idx="17">
                  <c:v>3-Mar</c:v>
                </c:pt>
                <c:pt idx="18">
                  <c:v>4-Mar</c:v>
                </c:pt>
                <c:pt idx="19">
                  <c:v>5-Mar</c:v>
                </c:pt>
                <c:pt idx="20">
                  <c:v>6-Mar</c:v>
                </c:pt>
                <c:pt idx="21">
                  <c:v>7-Mar</c:v>
                </c:pt>
                <c:pt idx="22">
                  <c:v>8-Mar</c:v>
                </c:pt>
                <c:pt idx="23">
                  <c:v>9-Mar</c:v>
                </c:pt>
                <c:pt idx="24">
                  <c:v>10-Mar</c:v>
                </c:pt>
                <c:pt idx="25">
                  <c:v>11-Mar</c:v>
                </c:pt>
                <c:pt idx="26">
                  <c:v>12-Mar</c:v>
                </c:pt>
                <c:pt idx="27">
                  <c:v>13-Mar</c:v>
                </c:pt>
                <c:pt idx="28">
                  <c:v>14-Mar</c:v>
                </c:pt>
                <c:pt idx="29">
                  <c:v>15-Mar</c:v>
                </c:pt>
                <c:pt idx="30">
                  <c:v>16-Mar</c:v>
                </c:pt>
                <c:pt idx="31">
                  <c:v>17-Mar</c:v>
                </c:pt>
                <c:pt idx="32">
                  <c:v>18-Mar</c:v>
                </c:pt>
                <c:pt idx="33">
                  <c:v>19-Mar</c:v>
                </c:pt>
                <c:pt idx="34">
                  <c:v>20-Mar</c:v>
                </c:pt>
                <c:pt idx="35">
                  <c:v>21-Mar</c:v>
                </c:pt>
                <c:pt idx="36">
                  <c:v>22-Mar</c:v>
                </c:pt>
                <c:pt idx="37">
                  <c:v>23-Mar</c:v>
                </c:pt>
                <c:pt idx="38">
                  <c:v>24-Mar</c:v>
                </c:pt>
                <c:pt idx="39">
                  <c:v>25-Mar</c:v>
                </c:pt>
                <c:pt idx="40">
                  <c:v>26-Mar</c:v>
                </c:pt>
                <c:pt idx="41">
                  <c:v>27-Mar</c:v>
                </c:pt>
                <c:pt idx="42">
                  <c:v>28-Mar</c:v>
                </c:pt>
                <c:pt idx="43">
                  <c:v>29-Mar</c:v>
                </c:pt>
                <c:pt idx="44">
                  <c:v>30-Mar</c:v>
                </c:pt>
                <c:pt idx="45">
                  <c:v>31-Mar</c:v>
                </c:pt>
                <c:pt idx="46">
                  <c:v>1-Apr</c:v>
                </c:pt>
                <c:pt idx="47">
                  <c:v>2-Apr</c:v>
                </c:pt>
                <c:pt idx="48">
                  <c:v>3-Apr</c:v>
                </c:pt>
                <c:pt idx="49">
                  <c:v>4-Apr</c:v>
                </c:pt>
                <c:pt idx="50">
                  <c:v>5-Apr</c:v>
                </c:pt>
                <c:pt idx="51">
                  <c:v>6-Apr</c:v>
                </c:pt>
                <c:pt idx="52">
                  <c:v>7-Apr</c:v>
                </c:pt>
                <c:pt idx="53">
                  <c:v>8-Apr</c:v>
                </c:pt>
                <c:pt idx="54">
                  <c:v>9-Apr</c:v>
                </c:pt>
                <c:pt idx="55">
                  <c:v>10-Apr</c:v>
                </c:pt>
                <c:pt idx="56">
                  <c:v>11-Apr</c:v>
                </c:pt>
                <c:pt idx="57">
                  <c:v>12-Apr</c:v>
                </c:pt>
                <c:pt idx="58">
                  <c:v>13-Apr</c:v>
                </c:pt>
                <c:pt idx="59">
                  <c:v>14-Apr</c:v>
                </c:pt>
                <c:pt idx="60">
                  <c:v>15-Apr</c:v>
                </c:pt>
                <c:pt idx="61">
                  <c:v>16-Apr</c:v>
                </c:pt>
                <c:pt idx="62">
                  <c:v>17-Apr</c:v>
                </c:pt>
                <c:pt idx="63">
                  <c:v>18-Apr</c:v>
                </c:pt>
                <c:pt idx="64">
                  <c:v>19-Apr</c:v>
                </c:pt>
                <c:pt idx="65">
                  <c:v>20-Apr</c:v>
                </c:pt>
                <c:pt idx="66">
                  <c:v>21-Apr</c:v>
                </c:pt>
                <c:pt idx="67">
                  <c:v>22-Apr</c:v>
                </c:pt>
                <c:pt idx="68">
                  <c:v>23-Apr</c:v>
                </c:pt>
                <c:pt idx="69">
                  <c:v>24-Apr</c:v>
                </c:pt>
                <c:pt idx="70">
                  <c:v>25-Apr</c:v>
                </c:pt>
                <c:pt idx="71">
                  <c:v>26-Apr</c:v>
                </c:pt>
                <c:pt idx="72">
                  <c:v>27-Apr</c:v>
                </c:pt>
                <c:pt idx="73">
                  <c:v>28-Apr</c:v>
                </c:pt>
                <c:pt idx="74">
                  <c:v>29-Apr</c:v>
                </c:pt>
                <c:pt idx="75">
                  <c:v>30-Apr</c:v>
                </c:pt>
                <c:pt idx="76">
                  <c:v>1-May</c:v>
                </c:pt>
                <c:pt idx="77">
                  <c:v>2-May</c:v>
                </c:pt>
                <c:pt idx="78">
                  <c:v>3-May</c:v>
                </c:pt>
                <c:pt idx="79">
                  <c:v>4-May</c:v>
                </c:pt>
                <c:pt idx="80">
                  <c:v>5-May</c:v>
                </c:pt>
                <c:pt idx="81">
                  <c:v>6-May</c:v>
                </c:pt>
                <c:pt idx="82">
                  <c:v>7-May</c:v>
                </c:pt>
                <c:pt idx="83">
                  <c:v>8-May</c:v>
                </c:pt>
                <c:pt idx="84">
                  <c:v>9-May</c:v>
                </c:pt>
                <c:pt idx="85">
                  <c:v>10-May</c:v>
                </c:pt>
                <c:pt idx="86">
                  <c:v>11-May</c:v>
                </c:pt>
                <c:pt idx="87">
                  <c:v>12-May</c:v>
                </c:pt>
                <c:pt idx="88">
                  <c:v>13-May</c:v>
                </c:pt>
                <c:pt idx="89">
                  <c:v>14-May</c:v>
                </c:pt>
                <c:pt idx="90">
                  <c:v>15-May</c:v>
                </c:pt>
                <c:pt idx="91">
                  <c:v>16-May</c:v>
                </c:pt>
                <c:pt idx="92">
                  <c:v>17-May</c:v>
                </c:pt>
                <c:pt idx="93">
                  <c:v>18-May</c:v>
                </c:pt>
                <c:pt idx="94">
                  <c:v>19-May</c:v>
                </c:pt>
                <c:pt idx="95">
                  <c:v>20-May</c:v>
                </c:pt>
                <c:pt idx="96">
                  <c:v>21-May</c:v>
                </c:pt>
                <c:pt idx="97">
                  <c:v>22-May</c:v>
                </c:pt>
                <c:pt idx="98">
                  <c:v>23-May</c:v>
                </c:pt>
                <c:pt idx="99">
                  <c:v>24-May</c:v>
                </c:pt>
                <c:pt idx="100">
                  <c:v>25-May</c:v>
                </c:pt>
                <c:pt idx="101">
                  <c:v>26-May</c:v>
                </c:pt>
                <c:pt idx="102">
                  <c:v>27-May</c:v>
                </c:pt>
                <c:pt idx="103">
                  <c:v>28-May</c:v>
                </c:pt>
                <c:pt idx="104">
                  <c:v>29-May</c:v>
                </c:pt>
                <c:pt idx="105">
                  <c:v>30-May</c:v>
                </c:pt>
                <c:pt idx="106">
                  <c:v>31-May</c:v>
                </c:pt>
                <c:pt idx="107">
                  <c:v>1-Jun</c:v>
                </c:pt>
                <c:pt idx="108">
                  <c:v>2-Jun</c:v>
                </c:pt>
                <c:pt idx="109">
                  <c:v>3-Jun</c:v>
                </c:pt>
                <c:pt idx="110">
                  <c:v>4-Jun</c:v>
                </c:pt>
                <c:pt idx="111">
                  <c:v>5-Jun</c:v>
                </c:pt>
                <c:pt idx="112">
                  <c:v>6-Jun</c:v>
                </c:pt>
                <c:pt idx="113">
                  <c:v>7-Jun</c:v>
                </c:pt>
                <c:pt idx="114">
                  <c:v>8-Jun</c:v>
                </c:pt>
                <c:pt idx="115">
                  <c:v>9-Jun</c:v>
                </c:pt>
                <c:pt idx="116">
                  <c:v>10-Jun</c:v>
                </c:pt>
                <c:pt idx="117">
                  <c:v>11-Jun</c:v>
                </c:pt>
                <c:pt idx="118">
                  <c:v>12-Jun</c:v>
                </c:pt>
                <c:pt idx="119">
                  <c:v>13-Jun</c:v>
                </c:pt>
                <c:pt idx="120">
                  <c:v>14-Jun</c:v>
                </c:pt>
                <c:pt idx="121">
                  <c:v>15-Jun</c:v>
                </c:pt>
                <c:pt idx="122">
                  <c:v>16-Jun</c:v>
                </c:pt>
                <c:pt idx="123">
                  <c:v>17-Jun</c:v>
                </c:pt>
                <c:pt idx="124">
                  <c:v>18-Jun</c:v>
                </c:pt>
                <c:pt idx="125">
                  <c:v>19-Jun</c:v>
                </c:pt>
                <c:pt idx="126">
                  <c:v>20-Jun</c:v>
                </c:pt>
                <c:pt idx="127">
                  <c:v>21-Jun</c:v>
                </c:pt>
                <c:pt idx="128">
                  <c:v>22-Jun</c:v>
                </c:pt>
                <c:pt idx="129">
                  <c:v>23-Jun</c:v>
                </c:pt>
                <c:pt idx="130">
                  <c:v>24-Jun</c:v>
                </c:pt>
                <c:pt idx="131">
                  <c:v>25-Jun</c:v>
                </c:pt>
                <c:pt idx="132">
                  <c:v>26-Jun</c:v>
                </c:pt>
                <c:pt idx="133">
                  <c:v>27-Jun</c:v>
                </c:pt>
                <c:pt idx="134">
                  <c:v>28-Jun</c:v>
                </c:pt>
                <c:pt idx="135">
                  <c:v>29-Jun</c:v>
                </c:pt>
                <c:pt idx="136">
                  <c:v>30-Jun</c:v>
                </c:pt>
              </c:strCache>
            </c:strRef>
          </c:cat>
          <c:val>
            <c:numRef>
              <c:f>'Sheet1 (2)'!$B$2:$B$138</c:f>
              <c:numCache>
                <c:formatCode>0.00</c:formatCode>
                <c:ptCount val="137"/>
                <c:pt idx="0">
                  <c:v>17.100000000000001</c:v>
                </c:pt>
                <c:pt idx="1">
                  <c:v>16.7</c:v>
                </c:pt>
                <c:pt idx="2">
                  <c:v>15.3</c:v>
                </c:pt>
                <c:pt idx="3">
                  <c:v>12.4</c:v>
                </c:pt>
                <c:pt idx="4">
                  <c:v>12.5</c:v>
                </c:pt>
                <c:pt idx="5">
                  <c:v>13.9</c:v>
                </c:pt>
                <c:pt idx="6">
                  <c:v>16.100000000000001</c:v>
                </c:pt>
                <c:pt idx="7">
                  <c:v>16.3</c:v>
                </c:pt>
                <c:pt idx="8">
                  <c:v>19.100000000000001</c:v>
                </c:pt>
                <c:pt idx="9">
                  <c:v>16.400000000000002</c:v>
                </c:pt>
                <c:pt idx="10">
                  <c:v>16.8</c:v>
                </c:pt>
                <c:pt idx="11">
                  <c:v>16.400000000000002</c:v>
                </c:pt>
                <c:pt idx="12">
                  <c:v>17.2</c:v>
                </c:pt>
                <c:pt idx="13">
                  <c:v>16.8</c:v>
                </c:pt>
                <c:pt idx="14">
                  <c:v>16.3</c:v>
                </c:pt>
                <c:pt idx="15">
                  <c:v>17.399999999999999</c:v>
                </c:pt>
                <c:pt idx="16">
                  <c:v>17</c:v>
                </c:pt>
                <c:pt idx="17">
                  <c:v>18.5</c:v>
                </c:pt>
                <c:pt idx="18">
                  <c:v>17.5</c:v>
                </c:pt>
                <c:pt idx="19">
                  <c:v>18.399999999999999</c:v>
                </c:pt>
                <c:pt idx="20">
                  <c:v>20.6</c:v>
                </c:pt>
                <c:pt idx="21">
                  <c:v>18.5</c:v>
                </c:pt>
                <c:pt idx="22">
                  <c:v>18.7</c:v>
                </c:pt>
                <c:pt idx="23">
                  <c:v>18.399999999999999</c:v>
                </c:pt>
                <c:pt idx="24">
                  <c:v>17.399999999999999</c:v>
                </c:pt>
                <c:pt idx="25">
                  <c:v>20</c:v>
                </c:pt>
                <c:pt idx="26">
                  <c:v>19.399999999999999</c:v>
                </c:pt>
                <c:pt idx="27">
                  <c:v>17.7</c:v>
                </c:pt>
                <c:pt idx="28">
                  <c:v>19</c:v>
                </c:pt>
                <c:pt idx="29">
                  <c:v>20</c:v>
                </c:pt>
                <c:pt idx="30">
                  <c:v>20.6</c:v>
                </c:pt>
                <c:pt idx="31">
                  <c:v>22</c:v>
                </c:pt>
                <c:pt idx="32">
                  <c:v>23</c:v>
                </c:pt>
                <c:pt idx="33">
                  <c:v>23.4</c:v>
                </c:pt>
                <c:pt idx="34">
                  <c:v>21.6</c:v>
                </c:pt>
                <c:pt idx="35">
                  <c:v>24.4</c:v>
                </c:pt>
                <c:pt idx="36">
                  <c:v>21.4</c:v>
                </c:pt>
                <c:pt idx="37">
                  <c:v>17.600000000000001</c:v>
                </c:pt>
                <c:pt idx="38">
                  <c:v>20</c:v>
                </c:pt>
                <c:pt idx="39">
                  <c:v>19.399999999999999</c:v>
                </c:pt>
                <c:pt idx="40">
                  <c:v>20.6</c:v>
                </c:pt>
                <c:pt idx="41">
                  <c:v>20</c:v>
                </c:pt>
                <c:pt idx="42">
                  <c:v>20.399999999999999</c:v>
                </c:pt>
                <c:pt idx="43">
                  <c:v>22</c:v>
                </c:pt>
                <c:pt idx="44">
                  <c:v>23.7</c:v>
                </c:pt>
                <c:pt idx="45">
                  <c:v>22</c:v>
                </c:pt>
                <c:pt idx="46">
                  <c:v>26.3</c:v>
                </c:pt>
                <c:pt idx="47">
                  <c:v>26.4</c:v>
                </c:pt>
                <c:pt idx="48">
                  <c:v>27.6</c:v>
                </c:pt>
                <c:pt idx="49">
                  <c:v>28.3</c:v>
                </c:pt>
                <c:pt idx="50">
                  <c:v>25.4</c:v>
                </c:pt>
                <c:pt idx="51">
                  <c:v>27.7</c:v>
                </c:pt>
                <c:pt idx="52">
                  <c:v>26.4</c:v>
                </c:pt>
                <c:pt idx="53">
                  <c:v>28.2</c:v>
                </c:pt>
                <c:pt idx="54">
                  <c:v>28.7</c:v>
                </c:pt>
                <c:pt idx="55">
                  <c:v>29.2</c:v>
                </c:pt>
                <c:pt idx="56">
                  <c:v>26.6</c:v>
                </c:pt>
                <c:pt idx="57">
                  <c:v>24.7</c:v>
                </c:pt>
                <c:pt idx="58">
                  <c:v>23.8</c:v>
                </c:pt>
                <c:pt idx="59">
                  <c:v>24.3</c:v>
                </c:pt>
                <c:pt idx="60">
                  <c:v>25.4</c:v>
                </c:pt>
                <c:pt idx="61">
                  <c:v>25.8</c:v>
                </c:pt>
                <c:pt idx="62">
                  <c:v>27.1</c:v>
                </c:pt>
                <c:pt idx="63">
                  <c:v>24.9</c:v>
                </c:pt>
                <c:pt idx="64">
                  <c:v>25.9</c:v>
                </c:pt>
                <c:pt idx="65">
                  <c:v>26.2</c:v>
                </c:pt>
                <c:pt idx="66">
                  <c:v>26.9</c:v>
                </c:pt>
                <c:pt idx="67">
                  <c:v>25.9</c:v>
                </c:pt>
                <c:pt idx="68">
                  <c:v>26.8</c:v>
                </c:pt>
                <c:pt idx="69">
                  <c:v>27.6</c:v>
                </c:pt>
                <c:pt idx="70">
                  <c:v>27.6</c:v>
                </c:pt>
                <c:pt idx="71">
                  <c:v>27.2</c:v>
                </c:pt>
                <c:pt idx="72">
                  <c:v>26.6</c:v>
                </c:pt>
                <c:pt idx="73">
                  <c:v>26.4</c:v>
                </c:pt>
                <c:pt idx="74">
                  <c:v>27.8</c:v>
                </c:pt>
                <c:pt idx="75">
                  <c:v>27.7</c:v>
                </c:pt>
                <c:pt idx="76">
                  <c:v>27</c:v>
                </c:pt>
                <c:pt idx="77">
                  <c:v>22</c:v>
                </c:pt>
                <c:pt idx="78">
                  <c:v>24.4</c:v>
                </c:pt>
                <c:pt idx="79">
                  <c:v>25.8</c:v>
                </c:pt>
                <c:pt idx="80">
                  <c:v>25.4</c:v>
                </c:pt>
                <c:pt idx="81">
                  <c:v>23.2</c:v>
                </c:pt>
                <c:pt idx="82">
                  <c:v>24.8</c:v>
                </c:pt>
                <c:pt idx="83">
                  <c:v>23.9</c:v>
                </c:pt>
                <c:pt idx="84">
                  <c:v>24.7</c:v>
                </c:pt>
                <c:pt idx="85">
                  <c:v>24.3</c:v>
                </c:pt>
                <c:pt idx="86">
                  <c:v>26.6</c:v>
                </c:pt>
                <c:pt idx="87">
                  <c:v>25.1</c:v>
                </c:pt>
                <c:pt idx="88">
                  <c:v>24.7</c:v>
                </c:pt>
                <c:pt idx="89">
                  <c:v>26.3</c:v>
                </c:pt>
                <c:pt idx="90">
                  <c:v>26.9</c:v>
                </c:pt>
                <c:pt idx="91">
                  <c:v>28.8</c:v>
                </c:pt>
                <c:pt idx="92">
                  <c:v>28.5</c:v>
                </c:pt>
                <c:pt idx="93">
                  <c:v>26.5</c:v>
                </c:pt>
                <c:pt idx="94">
                  <c:v>26.6</c:v>
                </c:pt>
                <c:pt idx="95">
                  <c:v>26.5</c:v>
                </c:pt>
                <c:pt idx="96">
                  <c:v>26.9</c:v>
                </c:pt>
                <c:pt idx="97">
                  <c:v>26.1</c:v>
                </c:pt>
                <c:pt idx="98">
                  <c:v>24.9</c:v>
                </c:pt>
                <c:pt idx="99">
                  <c:v>25.5</c:v>
                </c:pt>
                <c:pt idx="100">
                  <c:v>24.6</c:v>
                </c:pt>
                <c:pt idx="101">
                  <c:v>24.7</c:v>
                </c:pt>
                <c:pt idx="102">
                  <c:v>25.1</c:v>
                </c:pt>
                <c:pt idx="103">
                  <c:v>24.7</c:v>
                </c:pt>
                <c:pt idx="104">
                  <c:v>24.8</c:v>
                </c:pt>
                <c:pt idx="105">
                  <c:v>24.9</c:v>
                </c:pt>
                <c:pt idx="106">
                  <c:v>25.1</c:v>
                </c:pt>
                <c:pt idx="107">
                  <c:v>25.4</c:v>
                </c:pt>
                <c:pt idx="108">
                  <c:v>24.1</c:v>
                </c:pt>
                <c:pt idx="109">
                  <c:v>23.2</c:v>
                </c:pt>
                <c:pt idx="110">
                  <c:v>22.7</c:v>
                </c:pt>
                <c:pt idx="111">
                  <c:v>23.9</c:v>
                </c:pt>
                <c:pt idx="112">
                  <c:v>24.9</c:v>
                </c:pt>
                <c:pt idx="113">
                  <c:v>24.2</c:v>
                </c:pt>
                <c:pt idx="114">
                  <c:v>23.6</c:v>
                </c:pt>
                <c:pt idx="115">
                  <c:v>29.7</c:v>
                </c:pt>
                <c:pt idx="116">
                  <c:v>27.9</c:v>
                </c:pt>
                <c:pt idx="117">
                  <c:v>29</c:v>
                </c:pt>
                <c:pt idx="118">
                  <c:v>27.9</c:v>
                </c:pt>
                <c:pt idx="119">
                  <c:v>29.7</c:v>
                </c:pt>
                <c:pt idx="120">
                  <c:v>29.4</c:v>
                </c:pt>
                <c:pt idx="121">
                  <c:v>26</c:v>
                </c:pt>
                <c:pt idx="122">
                  <c:v>31.1</c:v>
                </c:pt>
                <c:pt idx="123">
                  <c:v>29.4</c:v>
                </c:pt>
                <c:pt idx="124">
                  <c:v>29.1</c:v>
                </c:pt>
                <c:pt idx="125">
                  <c:v>25</c:v>
                </c:pt>
                <c:pt idx="126">
                  <c:v>28.3</c:v>
                </c:pt>
                <c:pt idx="127">
                  <c:v>30.7</c:v>
                </c:pt>
                <c:pt idx="128">
                  <c:v>33.799999999999997</c:v>
                </c:pt>
                <c:pt idx="129">
                  <c:v>29.4</c:v>
                </c:pt>
                <c:pt idx="130">
                  <c:v>26</c:v>
                </c:pt>
                <c:pt idx="131">
                  <c:v>27.2</c:v>
                </c:pt>
                <c:pt idx="132">
                  <c:v>28.1</c:v>
                </c:pt>
                <c:pt idx="133">
                  <c:v>31</c:v>
                </c:pt>
                <c:pt idx="134">
                  <c:v>28.2</c:v>
                </c:pt>
                <c:pt idx="135">
                  <c:v>28.1</c:v>
                </c:pt>
                <c:pt idx="136">
                  <c:v>29.6</c:v>
                </c:pt>
              </c:numCache>
            </c:numRef>
          </c:val>
          <c:smooth val="0"/>
          <c:extLst>
            <c:ext xmlns:c16="http://schemas.microsoft.com/office/drawing/2014/chart" uri="{C3380CC4-5D6E-409C-BE32-E72D297353CC}">
              <c16:uniqueId val="{00000001-1DB0-4714-8860-5B83D4724621}"/>
            </c:ext>
          </c:extLst>
        </c:ser>
        <c:ser>
          <c:idx val="1"/>
          <c:order val="1"/>
          <c:tx>
            <c:strRef>
              <c:f>'Sheet1 (2)'!$C$1</c:f>
              <c:strCache>
                <c:ptCount val="1"/>
                <c:pt idx="0">
                  <c:v>Max Temperature</c:v>
                </c:pt>
              </c:strCache>
            </c:strRef>
          </c:tx>
          <c:spPr>
            <a:ln w="28575" cap="rnd">
              <a:solidFill>
                <a:schemeClr val="accent2"/>
              </a:solidFill>
              <a:round/>
            </a:ln>
            <a:effectLst/>
          </c:spPr>
          <c:marker>
            <c:symbol val="none"/>
          </c:marker>
          <c:cat>
            <c:strRef>
              <c:f>'Sheet1 (2)'!$A$2:$A$138</c:f>
              <c:strCache>
                <c:ptCount val="137"/>
                <c:pt idx="0">
                  <c:v>15-Feb</c:v>
                </c:pt>
                <c:pt idx="1">
                  <c:v>16-Feb</c:v>
                </c:pt>
                <c:pt idx="2">
                  <c:v>17-Feb</c:v>
                </c:pt>
                <c:pt idx="3">
                  <c:v>18-Feb</c:v>
                </c:pt>
                <c:pt idx="4">
                  <c:v>19-Feb</c:v>
                </c:pt>
                <c:pt idx="5">
                  <c:v>20-Feb</c:v>
                </c:pt>
                <c:pt idx="6">
                  <c:v>21-Feb</c:v>
                </c:pt>
                <c:pt idx="7">
                  <c:v>22-Feb</c:v>
                </c:pt>
                <c:pt idx="8">
                  <c:v>23-Feb</c:v>
                </c:pt>
                <c:pt idx="9">
                  <c:v>24-Feb</c:v>
                </c:pt>
                <c:pt idx="10">
                  <c:v>25-Feb</c:v>
                </c:pt>
                <c:pt idx="11">
                  <c:v>26-Feb</c:v>
                </c:pt>
                <c:pt idx="12">
                  <c:v>27-Feb</c:v>
                </c:pt>
                <c:pt idx="13">
                  <c:v>28-Feb</c:v>
                </c:pt>
                <c:pt idx="14">
                  <c:v>29-Feb</c:v>
                </c:pt>
                <c:pt idx="15">
                  <c:v>1-Mar</c:v>
                </c:pt>
                <c:pt idx="16">
                  <c:v>2-Mar</c:v>
                </c:pt>
                <c:pt idx="17">
                  <c:v>3-Mar</c:v>
                </c:pt>
                <c:pt idx="18">
                  <c:v>4-Mar</c:v>
                </c:pt>
                <c:pt idx="19">
                  <c:v>5-Mar</c:v>
                </c:pt>
                <c:pt idx="20">
                  <c:v>6-Mar</c:v>
                </c:pt>
                <c:pt idx="21">
                  <c:v>7-Mar</c:v>
                </c:pt>
                <c:pt idx="22">
                  <c:v>8-Mar</c:v>
                </c:pt>
                <c:pt idx="23">
                  <c:v>9-Mar</c:v>
                </c:pt>
                <c:pt idx="24">
                  <c:v>10-Mar</c:v>
                </c:pt>
                <c:pt idx="25">
                  <c:v>11-Mar</c:v>
                </c:pt>
                <c:pt idx="26">
                  <c:v>12-Mar</c:v>
                </c:pt>
                <c:pt idx="27">
                  <c:v>13-Mar</c:v>
                </c:pt>
                <c:pt idx="28">
                  <c:v>14-Mar</c:v>
                </c:pt>
                <c:pt idx="29">
                  <c:v>15-Mar</c:v>
                </c:pt>
                <c:pt idx="30">
                  <c:v>16-Mar</c:v>
                </c:pt>
                <c:pt idx="31">
                  <c:v>17-Mar</c:v>
                </c:pt>
                <c:pt idx="32">
                  <c:v>18-Mar</c:v>
                </c:pt>
                <c:pt idx="33">
                  <c:v>19-Mar</c:v>
                </c:pt>
                <c:pt idx="34">
                  <c:v>20-Mar</c:v>
                </c:pt>
                <c:pt idx="35">
                  <c:v>21-Mar</c:v>
                </c:pt>
                <c:pt idx="36">
                  <c:v>22-Mar</c:v>
                </c:pt>
                <c:pt idx="37">
                  <c:v>23-Mar</c:v>
                </c:pt>
                <c:pt idx="38">
                  <c:v>24-Mar</c:v>
                </c:pt>
                <c:pt idx="39">
                  <c:v>25-Mar</c:v>
                </c:pt>
                <c:pt idx="40">
                  <c:v>26-Mar</c:v>
                </c:pt>
                <c:pt idx="41">
                  <c:v>27-Mar</c:v>
                </c:pt>
                <c:pt idx="42">
                  <c:v>28-Mar</c:v>
                </c:pt>
                <c:pt idx="43">
                  <c:v>29-Mar</c:v>
                </c:pt>
                <c:pt idx="44">
                  <c:v>30-Mar</c:v>
                </c:pt>
                <c:pt idx="45">
                  <c:v>31-Mar</c:v>
                </c:pt>
                <c:pt idx="46">
                  <c:v>1-Apr</c:v>
                </c:pt>
                <c:pt idx="47">
                  <c:v>2-Apr</c:v>
                </c:pt>
                <c:pt idx="48">
                  <c:v>3-Apr</c:v>
                </c:pt>
                <c:pt idx="49">
                  <c:v>4-Apr</c:v>
                </c:pt>
                <c:pt idx="50">
                  <c:v>5-Apr</c:v>
                </c:pt>
                <c:pt idx="51">
                  <c:v>6-Apr</c:v>
                </c:pt>
                <c:pt idx="52">
                  <c:v>7-Apr</c:v>
                </c:pt>
                <c:pt idx="53">
                  <c:v>8-Apr</c:v>
                </c:pt>
                <c:pt idx="54">
                  <c:v>9-Apr</c:v>
                </c:pt>
                <c:pt idx="55">
                  <c:v>10-Apr</c:v>
                </c:pt>
                <c:pt idx="56">
                  <c:v>11-Apr</c:v>
                </c:pt>
                <c:pt idx="57">
                  <c:v>12-Apr</c:v>
                </c:pt>
                <c:pt idx="58">
                  <c:v>13-Apr</c:v>
                </c:pt>
                <c:pt idx="59">
                  <c:v>14-Apr</c:v>
                </c:pt>
                <c:pt idx="60">
                  <c:v>15-Apr</c:v>
                </c:pt>
                <c:pt idx="61">
                  <c:v>16-Apr</c:v>
                </c:pt>
                <c:pt idx="62">
                  <c:v>17-Apr</c:v>
                </c:pt>
                <c:pt idx="63">
                  <c:v>18-Apr</c:v>
                </c:pt>
                <c:pt idx="64">
                  <c:v>19-Apr</c:v>
                </c:pt>
                <c:pt idx="65">
                  <c:v>20-Apr</c:v>
                </c:pt>
                <c:pt idx="66">
                  <c:v>21-Apr</c:v>
                </c:pt>
                <c:pt idx="67">
                  <c:v>22-Apr</c:v>
                </c:pt>
                <c:pt idx="68">
                  <c:v>23-Apr</c:v>
                </c:pt>
                <c:pt idx="69">
                  <c:v>24-Apr</c:v>
                </c:pt>
                <c:pt idx="70">
                  <c:v>25-Apr</c:v>
                </c:pt>
                <c:pt idx="71">
                  <c:v>26-Apr</c:v>
                </c:pt>
                <c:pt idx="72">
                  <c:v>27-Apr</c:v>
                </c:pt>
                <c:pt idx="73">
                  <c:v>28-Apr</c:v>
                </c:pt>
                <c:pt idx="74">
                  <c:v>29-Apr</c:v>
                </c:pt>
                <c:pt idx="75">
                  <c:v>30-Apr</c:v>
                </c:pt>
                <c:pt idx="76">
                  <c:v>1-May</c:v>
                </c:pt>
                <c:pt idx="77">
                  <c:v>2-May</c:v>
                </c:pt>
                <c:pt idx="78">
                  <c:v>3-May</c:v>
                </c:pt>
                <c:pt idx="79">
                  <c:v>4-May</c:v>
                </c:pt>
                <c:pt idx="80">
                  <c:v>5-May</c:v>
                </c:pt>
                <c:pt idx="81">
                  <c:v>6-May</c:v>
                </c:pt>
                <c:pt idx="82">
                  <c:v>7-May</c:v>
                </c:pt>
                <c:pt idx="83">
                  <c:v>8-May</c:v>
                </c:pt>
                <c:pt idx="84">
                  <c:v>9-May</c:v>
                </c:pt>
                <c:pt idx="85">
                  <c:v>10-May</c:v>
                </c:pt>
                <c:pt idx="86">
                  <c:v>11-May</c:v>
                </c:pt>
                <c:pt idx="87">
                  <c:v>12-May</c:v>
                </c:pt>
                <c:pt idx="88">
                  <c:v>13-May</c:v>
                </c:pt>
                <c:pt idx="89">
                  <c:v>14-May</c:v>
                </c:pt>
                <c:pt idx="90">
                  <c:v>15-May</c:v>
                </c:pt>
                <c:pt idx="91">
                  <c:v>16-May</c:v>
                </c:pt>
                <c:pt idx="92">
                  <c:v>17-May</c:v>
                </c:pt>
                <c:pt idx="93">
                  <c:v>18-May</c:v>
                </c:pt>
                <c:pt idx="94">
                  <c:v>19-May</c:v>
                </c:pt>
                <c:pt idx="95">
                  <c:v>20-May</c:v>
                </c:pt>
                <c:pt idx="96">
                  <c:v>21-May</c:v>
                </c:pt>
                <c:pt idx="97">
                  <c:v>22-May</c:v>
                </c:pt>
                <c:pt idx="98">
                  <c:v>23-May</c:v>
                </c:pt>
                <c:pt idx="99">
                  <c:v>24-May</c:v>
                </c:pt>
                <c:pt idx="100">
                  <c:v>25-May</c:v>
                </c:pt>
                <c:pt idx="101">
                  <c:v>26-May</c:v>
                </c:pt>
                <c:pt idx="102">
                  <c:v>27-May</c:v>
                </c:pt>
                <c:pt idx="103">
                  <c:v>28-May</c:v>
                </c:pt>
                <c:pt idx="104">
                  <c:v>29-May</c:v>
                </c:pt>
                <c:pt idx="105">
                  <c:v>30-May</c:v>
                </c:pt>
                <c:pt idx="106">
                  <c:v>31-May</c:v>
                </c:pt>
                <c:pt idx="107">
                  <c:v>1-Jun</c:v>
                </c:pt>
                <c:pt idx="108">
                  <c:v>2-Jun</c:v>
                </c:pt>
                <c:pt idx="109">
                  <c:v>3-Jun</c:v>
                </c:pt>
                <c:pt idx="110">
                  <c:v>4-Jun</c:v>
                </c:pt>
                <c:pt idx="111">
                  <c:v>5-Jun</c:v>
                </c:pt>
                <c:pt idx="112">
                  <c:v>6-Jun</c:v>
                </c:pt>
                <c:pt idx="113">
                  <c:v>7-Jun</c:v>
                </c:pt>
                <c:pt idx="114">
                  <c:v>8-Jun</c:v>
                </c:pt>
                <c:pt idx="115">
                  <c:v>9-Jun</c:v>
                </c:pt>
                <c:pt idx="116">
                  <c:v>10-Jun</c:v>
                </c:pt>
                <c:pt idx="117">
                  <c:v>11-Jun</c:v>
                </c:pt>
                <c:pt idx="118">
                  <c:v>12-Jun</c:v>
                </c:pt>
                <c:pt idx="119">
                  <c:v>13-Jun</c:v>
                </c:pt>
                <c:pt idx="120">
                  <c:v>14-Jun</c:v>
                </c:pt>
                <c:pt idx="121">
                  <c:v>15-Jun</c:v>
                </c:pt>
                <c:pt idx="122">
                  <c:v>16-Jun</c:v>
                </c:pt>
                <c:pt idx="123">
                  <c:v>17-Jun</c:v>
                </c:pt>
                <c:pt idx="124">
                  <c:v>18-Jun</c:v>
                </c:pt>
                <c:pt idx="125">
                  <c:v>19-Jun</c:v>
                </c:pt>
                <c:pt idx="126">
                  <c:v>20-Jun</c:v>
                </c:pt>
                <c:pt idx="127">
                  <c:v>21-Jun</c:v>
                </c:pt>
                <c:pt idx="128">
                  <c:v>22-Jun</c:v>
                </c:pt>
                <c:pt idx="129">
                  <c:v>23-Jun</c:v>
                </c:pt>
                <c:pt idx="130">
                  <c:v>24-Jun</c:v>
                </c:pt>
                <c:pt idx="131">
                  <c:v>25-Jun</c:v>
                </c:pt>
                <c:pt idx="132">
                  <c:v>26-Jun</c:v>
                </c:pt>
                <c:pt idx="133">
                  <c:v>27-Jun</c:v>
                </c:pt>
                <c:pt idx="134">
                  <c:v>28-Jun</c:v>
                </c:pt>
                <c:pt idx="135">
                  <c:v>29-Jun</c:v>
                </c:pt>
                <c:pt idx="136">
                  <c:v>30-Jun</c:v>
                </c:pt>
              </c:strCache>
            </c:strRef>
          </c:cat>
          <c:val>
            <c:numRef>
              <c:f>'Sheet1 (2)'!$C$2:$C$138</c:f>
              <c:numCache>
                <c:formatCode>0.00</c:formatCode>
                <c:ptCount val="137"/>
                <c:pt idx="0">
                  <c:v>34.799999999999997</c:v>
                </c:pt>
                <c:pt idx="1">
                  <c:v>35.200000000000003</c:v>
                </c:pt>
                <c:pt idx="2">
                  <c:v>35.4</c:v>
                </c:pt>
                <c:pt idx="3">
                  <c:v>32.4</c:v>
                </c:pt>
                <c:pt idx="4">
                  <c:v>32.799999999999997</c:v>
                </c:pt>
                <c:pt idx="5">
                  <c:v>31.9</c:v>
                </c:pt>
                <c:pt idx="6">
                  <c:v>33.9</c:v>
                </c:pt>
                <c:pt idx="7">
                  <c:v>33.799999999999997</c:v>
                </c:pt>
                <c:pt idx="8">
                  <c:v>33.4</c:v>
                </c:pt>
                <c:pt idx="9">
                  <c:v>35.200000000000003</c:v>
                </c:pt>
                <c:pt idx="10">
                  <c:v>35.6</c:v>
                </c:pt>
                <c:pt idx="11">
                  <c:v>36</c:v>
                </c:pt>
                <c:pt idx="12">
                  <c:v>37</c:v>
                </c:pt>
                <c:pt idx="13">
                  <c:v>37.6</c:v>
                </c:pt>
                <c:pt idx="14">
                  <c:v>37.300000000000004</c:v>
                </c:pt>
                <c:pt idx="15">
                  <c:v>37</c:v>
                </c:pt>
                <c:pt idx="16">
                  <c:v>38</c:v>
                </c:pt>
                <c:pt idx="17">
                  <c:v>38.4</c:v>
                </c:pt>
                <c:pt idx="18">
                  <c:v>39</c:v>
                </c:pt>
                <c:pt idx="19">
                  <c:v>36.799999999999997</c:v>
                </c:pt>
                <c:pt idx="20">
                  <c:v>37</c:v>
                </c:pt>
                <c:pt idx="21">
                  <c:v>36.700000000000003</c:v>
                </c:pt>
                <c:pt idx="22">
                  <c:v>37.700000000000003</c:v>
                </c:pt>
                <c:pt idx="23">
                  <c:v>37.799999999999997</c:v>
                </c:pt>
                <c:pt idx="24">
                  <c:v>37.4</c:v>
                </c:pt>
                <c:pt idx="25">
                  <c:v>35.299999999999997</c:v>
                </c:pt>
                <c:pt idx="26">
                  <c:v>34.4</c:v>
                </c:pt>
                <c:pt idx="27">
                  <c:v>36.4</c:v>
                </c:pt>
                <c:pt idx="28">
                  <c:v>35.4</c:v>
                </c:pt>
                <c:pt idx="29">
                  <c:v>38.1</c:v>
                </c:pt>
                <c:pt idx="30">
                  <c:v>36.9</c:v>
                </c:pt>
                <c:pt idx="31">
                  <c:v>38.6</c:v>
                </c:pt>
                <c:pt idx="32">
                  <c:v>38.1</c:v>
                </c:pt>
                <c:pt idx="33">
                  <c:v>38.6</c:v>
                </c:pt>
                <c:pt idx="34">
                  <c:v>36.200000000000003</c:v>
                </c:pt>
                <c:pt idx="35">
                  <c:v>33.4</c:v>
                </c:pt>
                <c:pt idx="36">
                  <c:v>34.1</c:v>
                </c:pt>
                <c:pt idx="37">
                  <c:v>31.3</c:v>
                </c:pt>
                <c:pt idx="38">
                  <c:v>35.4</c:v>
                </c:pt>
                <c:pt idx="39">
                  <c:v>37.4</c:v>
                </c:pt>
                <c:pt idx="40">
                  <c:v>38.200000000000003</c:v>
                </c:pt>
                <c:pt idx="41">
                  <c:v>39.700000000000003</c:v>
                </c:pt>
                <c:pt idx="42">
                  <c:v>39</c:v>
                </c:pt>
                <c:pt idx="43">
                  <c:v>26.4</c:v>
                </c:pt>
                <c:pt idx="44">
                  <c:v>25.9</c:v>
                </c:pt>
                <c:pt idx="45">
                  <c:v>40</c:v>
                </c:pt>
                <c:pt idx="46">
                  <c:v>37</c:v>
                </c:pt>
                <c:pt idx="47">
                  <c:v>41.2</c:v>
                </c:pt>
                <c:pt idx="48">
                  <c:v>40.200000000000003</c:v>
                </c:pt>
                <c:pt idx="49">
                  <c:v>38.299999999999997</c:v>
                </c:pt>
                <c:pt idx="50">
                  <c:v>41.5</c:v>
                </c:pt>
                <c:pt idx="51">
                  <c:v>39.700000000000003</c:v>
                </c:pt>
                <c:pt idx="52">
                  <c:v>40.5</c:v>
                </c:pt>
                <c:pt idx="53">
                  <c:v>41.7</c:v>
                </c:pt>
                <c:pt idx="54">
                  <c:v>40</c:v>
                </c:pt>
                <c:pt idx="55">
                  <c:v>39.700000000000003</c:v>
                </c:pt>
                <c:pt idx="56">
                  <c:v>39.6</c:v>
                </c:pt>
                <c:pt idx="57">
                  <c:v>35.200000000000003</c:v>
                </c:pt>
                <c:pt idx="58">
                  <c:v>37.700000000000003</c:v>
                </c:pt>
                <c:pt idx="59">
                  <c:v>38.200000000000003</c:v>
                </c:pt>
                <c:pt idx="60">
                  <c:v>38.6</c:v>
                </c:pt>
                <c:pt idx="61">
                  <c:v>37.700000000000003</c:v>
                </c:pt>
                <c:pt idx="62">
                  <c:v>36.1</c:v>
                </c:pt>
                <c:pt idx="63">
                  <c:v>39.200000000000003</c:v>
                </c:pt>
                <c:pt idx="64">
                  <c:v>35.6</c:v>
                </c:pt>
                <c:pt idx="65">
                  <c:v>36.4</c:v>
                </c:pt>
                <c:pt idx="66">
                  <c:v>37.1</c:v>
                </c:pt>
                <c:pt idx="67">
                  <c:v>38.6</c:v>
                </c:pt>
                <c:pt idx="68">
                  <c:v>37.9</c:v>
                </c:pt>
                <c:pt idx="69">
                  <c:v>36.200000000000003</c:v>
                </c:pt>
                <c:pt idx="70">
                  <c:v>41.3</c:v>
                </c:pt>
                <c:pt idx="71">
                  <c:v>39.1</c:v>
                </c:pt>
                <c:pt idx="72">
                  <c:v>40.200000000000003</c:v>
                </c:pt>
                <c:pt idx="73">
                  <c:v>39.700000000000003</c:v>
                </c:pt>
                <c:pt idx="74">
                  <c:v>39.1</c:v>
                </c:pt>
                <c:pt idx="75">
                  <c:v>40.6</c:v>
                </c:pt>
                <c:pt idx="76" formatCode="General">
                  <c:v>37.6</c:v>
                </c:pt>
                <c:pt idx="77" formatCode="General">
                  <c:v>37.799999999999997</c:v>
                </c:pt>
                <c:pt idx="78" formatCode="General">
                  <c:v>37.6</c:v>
                </c:pt>
                <c:pt idx="79" formatCode="General">
                  <c:v>38.6</c:v>
                </c:pt>
                <c:pt idx="80" formatCode="General">
                  <c:v>39.299999999999997</c:v>
                </c:pt>
                <c:pt idx="81" formatCode="General">
                  <c:v>39.200000000000003</c:v>
                </c:pt>
                <c:pt idx="82" formatCode="General">
                  <c:v>38.6</c:v>
                </c:pt>
                <c:pt idx="83" formatCode="General">
                  <c:v>39.299999999999997</c:v>
                </c:pt>
                <c:pt idx="84" formatCode="General">
                  <c:v>36.6</c:v>
                </c:pt>
                <c:pt idx="85" formatCode="General">
                  <c:v>39.700000000000003</c:v>
                </c:pt>
                <c:pt idx="86" formatCode="General">
                  <c:v>27.6</c:v>
                </c:pt>
                <c:pt idx="87" formatCode="General">
                  <c:v>39.4</c:v>
                </c:pt>
                <c:pt idx="88">
                  <c:v>40.299999999999997</c:v>
                </c:pt>
                <c:pt idx="89">
                  <c:v>41.1</c:v>
                </c:pt>
                <c:pt idx="90">
                  <c:v>41.2</c:v>
                </c:pt>
                <c:pt idx="91">
                  <c:v>41.3</c:v>
                </c:pt>
                <c:pt idx="92">
                  <c:v>39.4</c:v>
                </c:pt>
                <c:pt idx="93">
                  <c:v>37</c:v>
                </c:pt>
                <c:pt idx="94">
                  <c:v>35.1</c:v>
                </c:pt>
                <c:pt idx="95">
                  <c:v>37.1</c:v>
                </c:pt>
                <c:pt idx="96">
                  <c:v>37.4</c:v>
                </c:pt>
                <c:pt idx="97">
                  <c:v>35.700000000000003</c:v>
                </c:pt>
                <c:pt idx="98">
                  <c:v>35.4</c:v>
                </c:pt>
                <c:pt idx="99">
                  <c:v>34.1</c:v>
                </c:pt>
                <c:pt idx="100">
                  <c:v>29.2</c:v>
                </c:pt>
                <c:pt idx="101">
                  <c:v>30.3</c:v>
                </c:pt>
                <c:pt idx="102">
                  <c:v>29.7</c:v>
                </c:pt>
                <c:pt idx="103">
                  <c:v>31.8</c:v>
                </c:pt>
                <c:pt idx="104">
                  <c:v>32.700000000000003</c:v>
                </c:pt>
                <c:pt idx="105">
                  <c:v>33.9</c:v>
                </c:pt>
                <c:pt idx="106">
                  <c:v>33.700000000000003</c:v>
                </c:pt>
                <c:pt idx="107">
                  <c:v>32.9</c:v>
                </c:pt>
                <c:pt idx="108">
                  <c:v>29.4</c:v>
                </c:pt>
                <c:pt idx="109">
                  <c:v>29.2</c:v>
                </c:pt>
                <c:pt idx="110">
                  <c:v>30.9</c:v>
                </c:pt>
                <c:pt idx="111">
                  <c:v>31.7</c:v>
                </c:pt>
                <c:pt idx="112">
                  <c:v>28.2</c:v>
                </c:pt>
                <c:pt idx="113">
                  <c:v>27.7</c:v>
                </c:pt>
                <c:pt idx="114">
                  <c:v>29.1</c:v>
                </c:pt>
                <c:pt idx="115">
                  <c:v>34.799999999999997</c:v>
                </c:pt>
                <c:pt idx="116">
                  <c:v>33.799999999999997</c:v>
                </c:pt>
                <c:pt idx="117">
                  <c:v>32.4</c:v>
                </c:pt>
                <c:pt idx="118">
                  <c:v>29.3</c:v>
                </c:pt>
                <c:pt idx="119">
                  <c:v>31.8</c:v>
                </c:pt>
                <c:pt idx="120">
                  <c:v>30.8</c:v>
                </c:pt>
                <c:pt idx="121">
                  <c:v>31</c:v>
                </c:pt>
                <c:pt idx="122">
                  <c:v>32.4</c:v>
                </c:pt>
                <c:pt idx="123">
                  <c:v>33.200000000000003</c:v>
                </c:pt>
                <c:pt idx="124">
                  <c:v>32.9</c:v>
                </c:pt>
                <c:pt idx="125">
                  <c:v>34</c:v>
                </c:pt>
                <c:pt idx="126">
                  <c:v>33.6</c:v>
                </c:pt>
                <c:pt idx="127">
                  <c:v>32.799999999999997</c:v>
                </c:pt>
                <c:pt idx="128">
                  <c:v>35.200000000000003</c:v>
                </c:pt>
                <c:pt idx="129">
                  <c:v>33.700000000000003</c:v>
                </c:pt>
                <c:pt idx="130">
                  <c:v>35.6</c:v>
                </c:pt>
                <c:pt idx="131">
                  <c:v>33.4</c:v>
                </c:pt>
                <c:pt idx="132">
                  <c:v>32.1</c:v>
                </c:pt>
                <c:pt idx="133">
                  <c:v>31.3</c:v>
                </c:pt>
                <c:pt idx="134">
                  <c:v>30.8</c:v>
                </c:pt>
                <c:pt idx="135">
                  <c:v>31.8</c:v>
                </c:pt>
                <c:pt idx="136">
                  <c:v>30.9</c:v>
                </c:pt>
              </c:numCache>
            </c:numRef>
          </c:val>
          <c:smooth val="0"/>
          <c:extLst>
            <c:ext xmlns:c16="http://schemas.microsoft.com/office/drawing/2014/chart" uri="{C3380CC4-5D6E-409C-BE32-E72D297353CC}">
              <c16:uniqueId val="{00000002-1DB0-4714-8860-5B83D4724621}"/>
            </c:ext>
          </c:extLst>
        </c:ser>
        <c:dLbls>
          <c:showLegendKey val="0"/>
          <c:showVal val="0"/>
          <c:showCatName val="0"/>
          <c:showSerName val="0"/>
          <c:showPercent val="0"/>
          <c:showBubbleSize val="0"/>
        </c:dLbls>
        <c:marker val="1"/>
        <c:smooth val="0"/>
        <c:axId val="1546369120"/>
        <c:axId val="1384687408"/>
      </c:lineChart>
      <c:catAx>
        <c:axId val="1546369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84687408"/>
        <c:crosses val="autoZero"/>
        <c:auto val="1"/>
        <c:lblAlgn val="ctr"/>
        <c:lblOffset val="100"/>
        <c:noMultiLvlLbl val="0"/>
      </c:catAx>
      <c:valAx>
        <c:axId val="13846874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46369120"/>
        <c:crosses val="autoZero"/>
        <c:crossBetween val="between"/>
      </c:valAx>
      <c:valAx>
        <c:axId val="1562122976"/>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62124640"/>
        <c:crosses val="max"/>
        <c:crossBetween val="between"/>
      </c:valAx>
      <c:catAx>
        <c:axId val="1562124640"/>
        <c:scaling>
          <c:orientation val="minMax"/>
        </c:scaling>
        <c:delete val="1"/>
        <c:axPos val="b"/>
        <c:numFmt formatCode="General" sourceLinked="1"/>
        <c:majorTickMark val="out"/>
        <c:minorTickMark val="none"/>
        <c:tickLblPos val="nextTo"/>
        <c:crossAx val="15621229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247284998466106E-2"/>
          <c:y val="2.786187865320516E-2"/>
          <c:w val="0.88143060157220887"/>
          <c:h val="0.71839395639115899"/>
        </c:manualLayout>
      </c:layout>
      <c:barChart>
        <c:barDir val="col"/>
        <c:grouping val="clustered"/>
        <c:varyColors val="0"/>
        <c:ser>
          <c:idx val="0"/>
          <c:order val="0"/>
          <c:tx>
            <c:strRef>
              <c:f>'Total plant uptake only SH (2)'!$A$50</c:f>
              <c:strCache>
                <c:ptCount val="1"/>
                <c:pt idx="0">
                  <c:v>Control</c:v>
                </c:pt>
              </c:strCache>
            </c:strRef>
          </c:tx>
          <c:spPr>
            <a:solidFill>
              <a:schemeClr val="accent4">
                <a:lumMod val="60000"/>
                <a:lumOff val="40000"/>
              </a:schemeClr>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'Total plant uptake only SH (2)'!$B$49:$G$49</c:f>
              <c:strCache>
                <c:ptCount val="6"/>
                <c:pt idx="0">
                  <c:v>3rd  Week</c:v>
                </c:pt>
                <c:pt idx="1">
                  <c:v>4th Week</c:v>
                </c:pt>
                <c:pt idx="2">
                  <c:v>5th Week</c:v>
                </c:pt>
                <c:pt idx="3">
                  <c:v>6th Week</c:v>
                </c:pt>
                <c:pt idx="4">
                  <c:v>7th Week</c:v>
                </c:pt>
                <c:pt idx="5">
                  <c:v>8th Week</c:v>
                </c:pt>
              </c:strCache>
            </c:strRef>
          </c:cat>
          <c:val>
            <c:numRef>
              <c:f>'Total plant uptake only SH (2)'!$B$50:$G$50</c:f>
              <c:numCache>
                <c:formatCode>General</c:formatCode>
                <c:ptCount val="6"/>
                <c:pt idx="0">
                  <c:v>1.54</c:v>
                </c:pt>
                <c:pt idx="1">
                  <c:v>2.2999999999999998</c:v>
                </c:pt>
                <c:pt idx="2">
                  <c:v>4.38</c:v>
                </c:pt>
                <c:pt idx="3">
                  <c:v>4.51</c:v>
                </c:pt>
                <c:pt idx="4">
                  <c:v>2.69</c:v>
                </c:pt>
                <c:pt idx="5">
                  <c:v>3.17</c:v>
                </c:pt>
              </c:numCache>
            </c:numRef>
          </c:val>
          <c:extLst>
            <c:ext xmlns:c16="http://schemas.microsoft.com/office/drawing/2014/chart" uri="{C3380CC4-5D6E-409C-BE32-E72D297353CC}">
              <c16:uniqueId val="{00000000-4AF7-4BED-87E2-A3A906817036}"/>
            </c:ext>
          </c:extLst>
        </c:ser>
        <c:ser>
          <c:idx val="1"/>
          <c:order val="1"/>
          <c:tx>
            <c:strRef>
              <c:f>'Total plant uptake only SH (2)'!$A$51</c:f>
              <c:strCache>
                <c:ptCount val="1"/>
                <c:pt idx="0">
                  <c:v>SH45</c:v>
                </c:pt>
              </c:strCache>
            </c:strRef>
          </c:tx>
          <c:spPr>
            <a:solidFill>
              <a:srgbClr val="92D050"/>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'Total plant uptake only SH (2)'!$B$49:$G$49</c:f>
              <c:strCache>
                <c:ptCount val="6"/>
                <c:pt idx="0">
                  <c:v>3rd  Week</c:v>
                </c:pt>
                <c:pt idx="1">
                  <c:v>4th Week</c:v>
                </c:pt>
                <c:pt idx="2">
                  <c:v>5th Week</c:v>
                </c:pt>
                <c:pt idx="3">
                  <c:v>6th Week</c:v>
                </c:pt>
                <c:pt idx="4">
                  <c:v>7th Week</c:v>
                </c:pt>
                <c:pt idx="5">
                  <c:v>8th Week</c:v>
                </c:pt>
              </c:strCache>
            </c:strRef>
          </c:cat>
          <c:val>
            <c:numRef>
              <c:f>'Total plant uptake only SH (2)'!$B$51:$G$51</c:f>
              <c:numCache>
                <c:formatCode>General</c:formatCode>
                <c:ptCount val="6"/>
                <c:pt idx="0">
                  <c:v>1.92</c:v>
                </c:pt>
                <c:pt idx="1">
                  <c:v>4.2699999999999996</c:v>
                </c:pt>
                <c:pt idx="2">
                  <c:v>4.59</c:v>
                </c:pt>
                <c:pt idx="3">
                  <c:v>5.97</c:v>
                </c:pt>
                <c:pt idx="4" formatCode="0.00">
                  <c:v>5.72</c:v>
                </c:pt>
                <c:pt idx="5" formatCode="0.00">
                  <c:v>4.7300000000000004</c:v>
                </c:pt>
              </c:numCache>
            </c:numRef>
          </c:val>
          <c:extLst>
            <c:ext xmlns:c16="http://schemas.microsoft.com/office/drawing/2014/chart" uri="{C3380CC4-5D6E-409C-BE32-E72D297353CC}">
              <c16:uniqueId val="{00000001-4AF7-4BED-87E2-A3A906817036}"/>
            </c:ext>
          </c:extLst>
        </c:ser>
        <c:ser>
          <c:idx val="2"/>
          <c:order val="2"/>
          <c:tx>
            <c:strRef>
              <c:f>'Total plant uptake only SH (2)'!$A$52</c:f>
              <c:strCache>
                <c:ptCount val="1"/>
                <c:pt idx="0">
                  <c:v>SH60</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'Total plant uptake only SH (2)'!$B$49:$G$49</c:f>
              <c:strCache>
                <c:ptCount val="6"/>
                <c:pt idx="0">
                  <c:v>3rd  Week</c:v>
                </c:pt>
                <c:pt idx="1">
                  <c:v>4th Week</c:v>
                </c:pt>
                <c:pt idx="2">
                  <c:v>5th Week</c:v>
                </c:pt>
                <c:pt idx="3">
                  <c:v>6th Week</c:v>
                </c:pt>
                <c:pt idx="4">
                  <c:v>7th Week</c:v>
                </c:pt>
                <c:pt idx="5">
                  <c:v>8th Week</c:v>
                </c:pt>
              </c:strCache>
            </c:strRef>
          </c:cat>
          <c:val>
            <c:numRef>
              <c:f>'Total plant uptake only SH (2)'!$B$52:$G$52</c:f>
              <c:numCache>
                <c:formatCode>General</c:formatCode>
                <c:ptCount val="6"/>
                <c:pt idx="0">
                  <c:v>1.83</c:v>
                </c:pt>
                <c:pt idx="1">
                  <c:v>6.25</c:v>
                </c:pt>
                <c:pt idx="2">
                  <c:v>9.0299999999999994</c:v>
                </c:pt>
                <c:pt idx="3">
                  <c:v>21.13</c:v>
                </c:pt>
                <c:pt idx="4">
                  <c:v>16.3</c:v>
                </c:pt>
                <c:pt idx="5">
                  <c:v>16.11</c:v>
                </c:pt>
              </c:numCache>
            </c:numRef>
          </c:val>
          <c:extLst>
            <c:ext xmlns:c16="http://schemas.microsoft.com/office/drawing/2014/chart" uri="{C3380CC4-5D6E-409C-BE32-E72D297353CC}">
              <c16:uniqueId val="{00000002-4AF7-4BED-87E2-A3A906817036}"/>
            </c:ext>
          </c:extLst>
        </c:ser>
        <c:ser>
          <c:idx val="3"/>
          <c:order val="3"/>
          <c:tx>
            <c:strRef>
              <c:f>'Total plant uptake only SH (2)'!$A$53</c:f>
              <c:strCache>
                <c:ptCount val="1"/>
                <c:pt idx="0">
                  <c:v>SH75</c:v>
                </c:pt>
              </c:strCache>
            </c:strRef>
          </c:tx>
          <c:spPr>
            <a:solidFill>
              <a:schemeClr val="accent5">
                <a:lumMod val="20000"/>
                <a:lumOff val="80000"/>
              </a:schemeClr>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'Total plant uptake only SH (2)'!$B$49:$G$49</c:f>
              <c:strCache>
                <c:ptCount val="6"/>
                <c:pt idx="0">
                  <c:v>3rd  Week</c:v>
                </c:pt>
                <c:pt idx="1">
                  <c:v>4th Week</c:v>
                </c:pt>
                <c:pt idx="2">
                  <c:v>5th Week</c:v>
                </c:pt>
                <c:pt idx="3">
                  <c:v>6th Week</c:v>
                </c:pt>
                <c:pt idx="4">
                  <c:v>7th Week</c:v>
                </c:pt>
                <c:pt idx="5">
                  <c:v>8th Week</c:v>
                </c:pt>
              </c:strCache>
            </c:strRef>
          </c:cat>
          <c:val>
            <c:numRef>
              <c:f>'Total plant uptake only SH (2)'!$B$53:$G$53</c:f>
              <c:numCache>
                <c:formatCode>General</c:formatCode>
                <c:ptCount val="6"/>
                <c:pt idx="0">
                  <c:v>1.79</c:v>
                </c:pt>
                <c:pt idx="1">
                  <c:v>3.33</c:v>
                </c:pt>
                <c:pt idx="2">
                  <c:v>13</c:v>
                </c:pt>
                <c:pt idx="3">
                  <c:v>21.75</c:v>
                </c:pt>
                <c:pt idx="4">
                  <c:v>17.43</c:v>
                </c:pt>
                <c:pt idx="5">
                  <c:v>17.61</c:v>
                </c:pt>
              </c:numCache>
            </c:numRef>
          </c:val>
          <c:extLst>
            <c:ext xmlns:c16="http://schemas.microsoft.com/office/drawing/2014/chart" uri="{C3380CC4-5D6E-409C-BE32-E72D297353CC}">
              <c16:uniqueId val="{00000003-4AF7-4BED-87E2-A3A906817036}"/>
            </c:ext>
          </c:extLst>
        </c:ser>
        <c:dLbls>
          <c:showLegendKey val="0"/>
          <c:showVal val="0"/>
          <c:showCatName val="0"/>
          <c:showSerName val="0"/>
          <c:showPercent val="0"/>
          <c:showBubbleSize val="0"/>
        </c:dLbls>
        <c:gapWidth val="219"/>
        <c:overlap val="-27"/>
        <c:axId val="876691088"/>
        <c:axId val="876693584"/>
      </c:barChart>
      <c:catAx>
        <c:axId val="87669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76693584"/>
        <c:crosses val="autoZero"/>
        <c:auto val="1"/>
        <c:lblAlgn val="ctr"/>
        <c:lblOffset val="100"/>
        <c:noMultiLvlLbl val="0"/>
      </c:catAx>
      <c:valAx>
        <c:axId val="876693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76691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'Total plant uptake only SH (2)'!$I$66</c:f>
              <c:strCache>
                <c:ptCount val="1"/>
                <c:pt idx="0">
                  <c:v>SH45</c:v>
                </c:pt>
              </c:strCache>
            </c:strRef>
          </c:tx>
          <c:spPr>
            <a:solidFill>
              <a:srgbClr val="92D050"/>
            </a:solidFill>
            <a:ln>
              <a:noFill/>
            </a:ln>
            <a:effectLst/>
          </c:spPr>
          <c:invertIfNegative val="0"/>
          <c:cat>
            <c:strRef>
              <c:f>'Total plant uptake only SH (2)'!$J$65:$O$65</c:f>
              <c:strCache>
                <c:ptCount val="6"/>
                <c:pt idx="0">
                  <c:v>3rd  Week</c:v>
                </c:pt>
                <c:pt idx="1">
                  <c:v>4th Week</c:v>
                </c:pt>
                <c:pt idx="2">
                  <c:v>5th Week</c:v>
                </c:pt>
                <c:pt idx="3">
                  <c:v>6th Week</c:v>
                </c:pt>
                <c:pt idx="4">
                  <c:v>7th Week</c:v>
                </c:pt>
                <c:pt idx="5">
                  <c:v>8th Week</c:v>
                </c:pt>
              </c:strCache>
            </c:strRef>
          </c:cat>
          <c:val>
            <c:numRef>
              <c:f>'Total plant uptake only SH (2)'!$J$66:$O$66</c:f>
              <c:numCache>
                <c:formatCode>0.00</c:formatCode>
                <c:ptCount val="6"/>
                <c:pt idx="0">
                  <c:v>2.3749999999999991</c:v>
                </c:pt>
                <c:pt idx="1">
                  <c:v>12.312499999999998</c:v>
                </c:pt>
                <c:pt idx="2">
                  <c:v>1.3124999999999998</c:v>
                </c:pt>
                <c:pt idx="3">
                  <c:v>9.125</c:v>
                </c:pt>
                <c:pt idx="4">
                  <c:v>18.9375</c:v>
                </c:pt>
                <c:pt idx="5">
                  <c:v>9.7500000000000036</c:v>
                </c:pt>
              </c:numCache>
            </c:numRef>
          </c:val>
          <c:extLst>
            <c:ext xmlns:c16="http://schemas.microsoft.com/office/drawing/2014/chart" uri="{C3380CC4-5D6E-409C-BE32-E72D297353CC}">
              <c16:uniqueId val="{00000000-919A-49E2-9861-D20F3FDFF671}"/>
            </c:ext>
          </c:extLst>
        </c:ser>
        <c:ser>
          <c:idx val="1"/>
          <c:order val="1"/>
          <c:tx>
            <c:strRef>
              <c:f>'Total plant uptake only SH (2)'!$I$67</c:f>
              <c:strCache>
                <c:ptCount val="1"/>
                <c:pt idx="0">
                  <c:v>SH60</c:v>
                </c:pt>
              </c:strCache>
            </c:strRef>
          </c:tx>
          <c:spPr>
            <a:solidFill>
              <a:schemeClr val="bg2">
                <a:lumMod val="75000"/>
              </a:schemeClr>
            </a:solidFill>
            <a:ln>
              <a:noFill/>
            </a:ln>
            <a:effectLst/>
          </c:spPr>
          <c:invertIfNegative val="0"/>
          <c:cat>
            <c:strRef>
              <c:f>'Total plant uptake only SH (2)'!$J$65:$O$65</c:f>
              <c:strCache>
                <c:ptCount val="6"/>
                <c:pt idx="0">
                  <c:v>3rd  Week</c:v>
                </c:pt>
                <c:pt idx="1">
                  <c:v>4th Week</c:v>
                </c:pt>
                <c:pt idx="2">
                  <c:v>5th Week</c:v>
                </c:pt>
                <c:pt idx="3">
                  <c:v>6th Week</c:v>
                </c:pt>
                <c:pt idx="4">
                  <c:v>7th Week</c:v>
                </c:pt>
                <c:pt idx="5">
                  <c:v>8th Week</c:v>
                </c:pt>
              </c:strCache>
            </c:strRef>
          </c:cat>
          <c:val>
            <c:numRef>
              <c:f>'Total plant uptake only SH (2)'!$J$67:$O$67</c:f>
              <c:numCache>
                <c:formatCode>0.00</c:formatCode>
                <c:ptCount val="6"/>
                <c:pt idx="0">
                  <c:v>0.58967059780398545</c:v>
                </c:pt>
                <c:pt idx="1">
                  <c:v>8.0317202114680768</c:v>
                </c:pt>
                <c:pt idx="2">
                  <c:v>9.4550630337535573</c:v>
                </c:pt>
                <c:pt idx="3">
                  <c:v>33.794225294835293</c:v>
                </c:pt>
                <c:pt idx="4">
                  <c:v>27.673851159007729</c:v>
                </c:pt>
                <c:pt idx="5">
                  <c:v>26.31150874339162</c:v>
                </c:pt>
              </c:numCache>
            </c:numRef>
          </c:val>
          <c:extLst>
            <c:ext xmlns:c16="http://schemas.microsoft.com/office/drawing/2014/chart" uri="{C3380CC4-5D6E-409C-BE32-E72D297353CC}">
              <c16:uniqueId val="{00000001-919A-49E2-9861-D20F3FDFF671}"/>
            </c:ext>
          </c:extLst>
        </c:ser>
        <c:ser>
          <c:idx val="2"/>
          <c:order val="2"/>
          <c:tx>
            <c:strRef>
              <c:f>'Total plant uptake only SH (2)'!$I$68</c:f>
              <c:strCache>
                <c:ptCount val="1"/>
                <c:pt idx="0">
                  <c:v>SH75</c:v>
                </c:pt>
              </c:strCache>
            </c:strRef>
          </c:tx>
          <c:spPr>
            <a:solidFill>
              <a:schemeClr val="accent1">
                <a:lumMod val="40000"/>
                <a:lumOff val="60000"/>
              </a:schemeClr>
            </a:solidFill>
            <a:ln>
              <a:noFill/>
            </a:ln>
            <a:effectLst/>
          </c:spPr>
          <c:invertIfNegative val="0"/>
          <c:cat>
            <c:strRef>
              <c:f>'Total plant uptake only SH (2)'!$J$65:$O$65</c:f>
              <c:strCache>
                <c:ptCount val="6"/>
                <c:pt idx="0">
                  <c:v>3rd  Week</c:v>
                </c:pt>
                <c:pt idx="1">
                  <c:v>4th Week</c:v>
                </c:pt>
                <c:pt idx="2">
                  <c:v>5th Week</c:v>
                </c:pt>
                <c:pt idx="3">
                  <c:v>6th Week</c:v>
                </c:pt>
                <c:pt idx="4">
                  <c:v>7th Week</c:v>
                </c:pt>
                <c:pt idx="5">
                  <c:v>8th Week</c:v>
                </c:pt>
              </c:strCache>
            </c:strRef>
          </c:cat>
          <c:val>
            <c:numRef>
              <c:f>'Total plant uptake only SH (2)'!$J$68:$O$68</c:f>
              <c:numCache>
                <c:formatCode>0.00</c:formatCode>
                <c:ptCount val="6"/>
                <c:pt idx="0">
                  <c:v>0.46485682409817775</c:v>
                </c:pt>
                <c:pt idx="1">
                  <c:v>1.9152101152844929</c:v>
                </c:pt>
                <c:pt idx="2">
                  <c:v>16.02826329490517</c:v>
                </c:pt>
                <c:pt idx="3">
                  <c:v>32.056526589810339</c:v>
                </c:pt>
                <c:pt idx="4">
                  <c:v>27.407958348828558</c:v>
                </c:pt>
                <c:pt idx="5">
                  <c:v>26.850130159910744</c:v>
                </c:pt>
              </c:numCache>
            </c:numRef>
          </c:val>
          <c:extLst>
            <c:ext xmlns:c16="http://schemas.microsoft.com/office/drawing/2014/chart" uri="{C3380CC4-5D6E-409C-BE32-E72D297353CC}">
              <c16:uniqueId val="{00000002-919A-49E2-9861-D20F3FDFF671}"/>
            </c:ext>
          </c:extLst>
        </c:ser>
        <c:dLbls>
          <c:showLegendKey val="0"/>
          <c:showVal val="0"/>
          <c:showCatName val="0"/>
          <c:showSerName val="0"/>
          <c:showPercent val="0"/>
          <c:showBubbleSize val="0"/>
        </c:dLbls>
        <c:gapWidth val="219"/>
        <c:overlap val="-27"/>
        <c:axId val="875061968"/>
        <c:axId val="875063632"/>
      </c:barChart>
      <c:catAx>
        <c:axId val="875061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75063632"/>
        <c:crosses val="autoZero"/>
        <c:auto val="1"/>
        <c:lblAlgn val="ctr"/>
        <c:lblOffset val="100"/>
        <c:noMultiLvlLbl val="0"/>
      </c:catAx>
      <c:valAx>
        <c:axId val="8750636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75061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SH45</c:v>
          </c:tx>
          <c:spPr>
            <a:solidFill>
              <a:srgbClr val="92D050"/>
            </a:solidFill>
            <a:ln>
              <a:noFill/>
            </a:ln>
            <a:effectLst/>
          </c:spPr>
          <c:invertIfNegative val="0"/>
          <c:cat>
            <c:strRef>
              <c:f>'N mineralization only SH'!$AH$7:$AO$7</c:f>
              <c:strCache>
                <c:ptCount val="8"/>
                <c:pt idx="0">
                  <c:v>1st wk</c:v>
                </c:pt>
                <c:pt idx="1">
                  <c:v>2nd wk</c:v>
                </c:pt>
                <c:pt idx="2">
                  <c:v>3rd wk</c:v>
                </c:pt>
                <c:pt idx="3">
                  <c:v>4th wk</c:v>
                </c:pt>
                <c:pt idx="4">
                  <c:v>5th wk</c:v>
                </c:pt>
                <c:pt idx="5">
                  <c:v>6th wk</c:v>
                </c:pt>
                <c:pt idx="6">
                  <c:v>7th wk</c:v>
                </c:pt>
                <c:pt idx="7">
                  <c:v>8th wk</c:v>
                </c:pt>
              </c:strCache>
            </c:strRef>
          </c:cat>
          <c:val>
            <c:numRef>
              <c:f>'N mineralization only SH'!$AH$8:$AO$8</c:f>
              <c:numCache>
                <c:formatCode>0.00</c:formatCode>
                <c:ptCount val="8"/>
                <c:pt idx="0">
                  <c:v>14.939999999999998</c:v>
                </c:pt>
                <c:pt idx="1">
                  <c:v>54.987499999999997</c:v>
                </c:pt>
                <c:pt idx="2">
                  <c:v>53.95000000000001</c:v>
                </c:pt>
                <c:pt idx="3">
                  <c:v>14.524999999999993</c:v>
                </c:pt>
                <c:pt idx="4">
                  <c:v>3.1124999999999901</c:v>
                </c:pt>
                <c:pt idx="5">
                  <c:v>0.55333333333333345</c:v>
                </c:pt>
                <c:pt idx="6">
                  <c:v>1.5216666666666545</c:v>
                </c:pt>
                <c:pt idx="7">
                  <c:v>2.00583333333334</c:v>
                </c:pt>
              </c:numCache>
            </c:numRef>
          </c:val>
          <c:extLst>
            <c:ext xmlns:c16="http://schemas.microsoft.com/office/drawing/2014/chart" uri="{C3380CC4-5D6E-409C-BE32-E72D297353CC}">
              <c16:uniqueId val="{00000000-2510-4948-A27E-7496CB87E43D}"/>
            </c:ext>
          </c:extLst>
        </c:ser>
        <c:ser>
          <c:idx val="1"/>
          <c:order val="1"/>
          <c:tx>
            <c:v>SH60</c:v>
          </c:tx>
          <c:spPr>
            <a:solidFill>
              <a:schemeClr val="bg2">
                <a:lumMod val="75000"/>
              </a:schemeClr>
            </a:solidFill>
            <a:ln>
              <a:noFill/>
            </a:ln>
            <a:effectLst/>
          </c:spPr>
          <c:invertIfNegative val="0"/>
          <c:cat>
            <c:strRef>
              <c:f>'N mineralization only SH'!$AH$7:$AO$7</c:f>
              <c:strCache>
                <c:ptCount val="8"/>
                <c:pt idx="0">
                  <c:v>1st wk</c:v>
                </c:pt>
                <c:pt idx="1">
                  <c:v>2nd wk</c:v>
                </c:pt>
                <c:pt idx="2">
                  <c:v>3rd wk</c:v>
                </c:pt>
                <c:pt idx="3">
                  <c:v>4th wk</c:v>
                </c:pt>
                <c:pt idx="4">
                  <c:v>5th wk</c:v>
                </c:pt>
                <c:pt idx="5">
                  <c:v>6th wk</c:v>
                </c:pt>
                <c:pt idx="6">
                  <c:v>7th wk</c:v>
                </c:pt>
                <c:pt idx="7">
                  <c:v>8th wk</c:v>
                </c:pt>
              </c:strCache>
            </c:strRef>
          </c:cat>
          <c:val>
            <c:numRef>
              <c:f>'N mineralization only SH'!$AH$9:$AO$9</c:f>
              <c:numCache>
                <c:formatCode>0.00</c:formatCode>
                <c:ptCount val="8"/>
                <c:pt idx="0">
                  <c:v>19.104514030093537</c:v>
                </c:pt>
                <c:pt idx="1">
                  <c:v>15.86417242781619</c:v>
                </c:pt>
                <c:pt idx="2">
                  <c:v>24.64009760065067</c:v>
                </c:pt>
                <c:pt idx="3">
                  <c:v>10.80113867425783</c:v>
                </c:pt>
                <c:pt idx="4">
                  <c:v>1.3501423342822263</c:v>
                </c:pt>
                <c:pt idx="5">
                  <c:v>23.627490849939001</c:v>
                </c:pt>
                <c:pt idx="6">
                  <c:v>16.201708011386742</c:v>
                </c:pt>
                <c:pt idx="7">
                  <c:v>1.3501423342822296</c:v>
                </c:pt>
              </c:numCache>
            </c:numRef>
          </c:val>
          <c:extLst>
            <c:ext xmlns:c16="http://schemas.microsoft.com/office/drawing/2014/chart" uri="{C3380CC4-5D6E-409C-BE32-E72D297353CC}">
              <c16:uniqueId val="{00000001-2510-4948-A27E-7496CB87E43D}"/>
            </c:ext>
          </c:extLst>
        </c:ser>
        <c:ser>
          <c:idx val="2"/>
          <c:order val="2"/>
          <c:tx>
            <c:v>SH75</c:v>
          </c:tx>
          <c:spPr>
            <a:solidFill>
              <a:schemeClr val="accent1">
                <a:lumMod val="40000"/>
                <a:lumOff val="60000"/>
              </a:schemeClr>
            </a:solidFill>
            <a:ln>
              <a:noFill/>
            </a:ln>
            <a:effectLst/>
          </c:spPr>
          <c:invertIfNegative val="0"/>
          <c:cat>
            <c:strRef>
              <c:f>'N mineralization only SH'!$AH$7:$AO$7</c:f>
              <c:strCache>
                <c:ptCount val="8"/>
                <c:pt idx="0">
                  <c:v>1st wk</c:v>
                </c:pt>
                <c:pt idx="1">
                  <c:v>2nd wk</c:v>
                </c:pt>
                <c:pt idx="2">
                  <c:v>3rd wk</c:v>
                </c:pt>
                <c:pt idx="3">
                  <c:v>4th wk</c:v>
                </c:pt>
                <c:pt idx="4">
                  <c:v>5th wk</c:v>
                </c:pt>
                <c:pt idx="5">
                  <c:v>6th wk</c:v>
                </c:pt>
                <c:pt idx="6">
                  <c:v>7th wk</c:v>
                </c:pt>
                <c:pt idx="7">
                  <c:v>8th wk</c:v>
                </c:pt>
              </c:strCache>
            </c:strRef>
          </c:cat>
          <c:val>
            <c:numRef>
              <c:f>'N mineralization only SH'!$AH$10:$AO$10</c:f>
              <c:numCache>
                <c:formatCode>0.00</c:formatCode>
                <c:ptCount val="8"/>
                <c:pt idx="0">
                  <c:v>7.5314243213090366</c:v>
                </c:pt>
                <c:pt idx="1">
                  <c:v>27.162513945704713</c:v>
                </c:pt>
                <c:pt idx="2">
                  <c:v>9.5686128672368937</c:v>
                </c:pt>
                <c:pt idx="3">
                  <c:v>7.7166232800297498</c:v>
                </c:pt>
                <c:pt idx="4">
                  <c:v>7.7166232800297481</c:v>
                </c:pt>
                <c:pt idx="5">
                  <c:v>18.108342630469814</c:v>
                </c:pt>
                <c:pt idx="6">
                  <c:v>2.7779843808107096</c:v>
                </c:pt>
                <c:pt idx="7">
                  <c:v>1.5433246560059486</c:v>
                </c:pt>
              </c:numCache>
            </c:numRef>
          </c:val>
          <c:extLst>
            <c:ext xmlns:c16="http://schemas.microsoft.com/office/drawing/2014/chart" uri="{C3380CC4-5D6E-409C-BE32-E72D297353CC}">
              <c16:uniqueId val="{00000002-2510-4948-A27E-7496CB87E43D}"/>
            </c:ext>
          </c:extLst>
        </c:ser>
        <c:dLbls>
          <c:showLegendKey val="0"/>
          <c:showVal val="0"/>
          <c:showCatName val="0"/>
          <c:showSerName val="0"/>
          <c:showPercent val="0"/>
          <c:showBubbleSize val="0"/>
        </c:dLbls>
        <c:gapWidth val="219"/>
        <c:overlap val="-27"/>
        <c:axId val="263882639"/>
        <c:axId val="263889295"/>
      </c:barChart>
      <c:catAx>
        <c:axId val="263882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63889295"/>
        <c:crosses val="autoZero"/>
        <c:auto val="1"/>
        <c:lblAlgn val="ctr"/>
        <c:lblOffset val="100"/>
        <c:noMultiLvlLbl val="0"/>
      </c:catAx>
      <c:valAx>
        <c:axId val="26388929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638826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0.02174</cdr:x>
      <cdr:y>0.05182</cdr:y>
    </cdr:from>
    <cdr:to>
      <cdr:x>0.16667</cdr:x>
      <cdr:y>0.31643</cdr:y>
    </cdr:to>
    <cdr:sp macro="" textlink="">
      <cdr:nvSpPr>
        <cdr:cNvPr id="2" name="TextBox 1">
          <a:extLst xmlns:a="http://schemas.openxmlformats.org/drawingml/2006/main">
            <a:ext uri="{FF2B5EF4-FFF2-40B4-BE49-F238E27FC236}">
              <a16:creationId xmlns:a16="http://schemas.microsoft.com/office/drawing/2014/main" id="{D4DF4D46-8208-4FC5-888D-4892848FE112}"/>
            </a:ext>
          </a:extLst>
        </cdr:cNvPr>
        <cdr:cNvSpPr txBox="1"/>
      </cdr:nvSpPr>
      <cdr:spPr>
        <a:xfrm xmlns:a="http://schemas.openxmlformats.org/drawingml/2006/main">
          <a:off x="137160" y="17907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0.88046</cdr:x>
      <cdr:y>0.02764</cdr:y>
    </cdr:from>
    <cdr:to>
      <cdr:x>0.94689</cdr:x>
      <cdr:y>0.18641</cdr:y>
    </cdr:to>
    <cdr:sp macro="" textlink="">
      <cdr:nvSpPr>
        <cdr:cNvPr id="3" name="TextBox 2">
          <a:extLst xmlns:a="http://schemas.openxmlformats.org/drawingml/2006/main">
            <a:ext uri="{FF2B5EF4-FFF2-40B4-BE49-F238E27FC236}">
              <a16:creationId xmlns:a16="http://schemas.microsoft.com/office/drawing/2014/main" id="{BCC450FB-5FFF-4399-873F-817041FCD09F}"/>
            </a:ext>
          </a:extLst>
        </cdr:cNvPr>
        <cdr:cNvSpPr txBox="1"/>
      </cdr:nvSpPr>
      <cdr:spPr>
        <a:xfrm xmlns:a="http://schemas.openxmlformats.org/drawingml/2006/main">
          <a:off x="4726570" y="65222"/>
          <a:ext cx="356616" cy="37464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latin typeface="Times New Roman" panose="02020603050405020304" pitchFamily="18" charset="0"/>
              <a:cs typeface="Times New Roman" panose="02020603050405020304" pitchFamily="18" charset="0"/>
            </a:rPr>
            <a:t>(mm)</a:t>
          </a:r>
        </a:p>
      </cdr:txBody>
    </cdr:sp>
  </cdr:relSizeAnchor>
  <cdr:relSizeAnchor xmlns:cdr="http://schemas.openxmlformats.org/drawingml/2006/chartDrawing">
    <cdr:from>
      <cdr:x>0</cdr:x>
      <cdr:y>0.03707</cdr:y>
    </cdr:from>
    <cdr:to>
      <cdr:x>0.05717</cdr:x>
      <cdr:y>0.20649</cdr:y>
    </cdr:to>
    <cdr:sp macro="" textlink="">
      <cdr:nvSpPr>
        <cdr:cNvPr id="4" name="TextBox 1">
          <a:extLst xmlns:a="http://schemas.openxmlformats.org/drawingml/2006/main">
            <a:ext uri="{FF2B5EF4-FFF2-40B4-BE49-F238E27FC236}">
              <a16:creationId xmlns:a16="http://schemas.microsoft.com/office/drawing/2014/main" id="{40D68B2A-84A6-4AB5-A0D4-34EF9EBA14CB}"/>
            </a:ext>
          </a:extLst>
        </cdr:cNvPr>
        <cdr:cNvSpPr txBox="1"/>
      </cdr:nvSpPr>
      <cdr:spPr>
        <a:xfrm xmlns:a="http://schemas.openxmlformats.org/drawingml/2006/main">
          <a:off x="-1144277" y="87475"/>
          <a:ext cx="283562" cy="39977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latin typeface="Times New Roman" panose="02020603050405020304" pitchFamily="18" charset="0"/>
              <a:cs typeface="Times New Roman" panose="02020603050405020304" pitchFamily="18" charset="0"/>
            </a:rPr>
            <a:t>(°C)</a:t>
          </a:r>
        </a:p>
      </cdr:txBody>
    </cdr:sp>
  </cdr:relSizeAnchor>
</c:userShapes>
</file>

<file path=word/drawings/drawing2.xml><?xml version="1.0" encoding="utf-8"?>
<c:userShapes xmlns:c="http://schemas.openxmlformats.org/drawingml/2006/chart">
  <cdr:relSizeAnchor xmlns:cdr="http://schemas.openxmlformats.org/drawingml/2006/chartDrawing">
    <cdr:from>
      <cdr:x>0.07542</cdr:x>
      <cdr:y>0.4265</cdr:y>
    </cdr:from>
    <cdr:to>
      <cdr:x>0.2536</cdr:x>
      <cdr:y>0.56821</cdr:y>
    </cdr:to>
    <cdr:sp macro="" textlink="">
      <cdr:nvSpPr>
        <cdr:cNvPr id="2" name="TextBox 2"/>
        <cdr:cNvSpPr txBox="1"/>
      </cdr:nvSpPr>
      <cdr:spPr>
        <a:xfrm xmlns:a="http://schemas.openxmlformats.org/drawingml/2006/main">
          <a:off x="365509" y="1091976"/>
          <a:ext cx="863524" cy="362823"/>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marL="0" marR="0">
            <a:lnSpc>
              <a:spcPct val="107000"/>
            </a:lnSpc>
            <a:spcBef>
              <a:spcPts val="0"/>
            </a:spcBef>
            <a:spcAft>
              <a:spcPts val="0"/>
            </a:spcAft>
          </a:pPr>
          <a:r>
            <a:rPr lang="en-US" sz="900">
              <a:solidFill>
                <a:srgbClr val="000000"/>
              </a:solidFill>
              <a:effectLst/>
              <a:latin typeface="Arial" panose="020B0604020202020204" pitchFamily="34" charset="0"/>
              <a:ea typeface="Calibri" panose="020F0502020204030204" pitchFamily="34" charset="0"/>
              <a:cs typeface="Arial" panose="020B0604020202020204" pitchFamily="34" charset="0"/>
            </a:rPr>
            <a:t>P &lt;0.05</a:t>
          </a:r>
          <a:endParaRPr lang="en-US" sz="900">
            <a:effectLst/>
            <a:latin typeface="Arial" panose="020B0604020202020204" pitchFamily="34" charset="0"/>
            <a:ea typeface="Calibri" panose="020F0502020204030204" pitchFamily="34" charset="0"/>
            <a:cs typeface="Arial" panose="020B0604020202020204" pitchFamily="34" charset="0"/>
          </a:endParaRPr>
        </a:p>
        <a:p xmlns:a="http://schemas.openxmlformats.org/drawingml/2006/main">
          <a:pPr marL="0" marR="0">
            <a:lnSpc>
              <a:spcPct val="107000"/>
            </a:lnSpc>
            <a:spcBef>
              <a:spcPts val="0"/>
            </a:spcBef>
            <a:spcAft>
              <a:spcPts val="0"/>
            </a:spcAft>
          </a:pPr>
          <a:r>
            <a:rPr lang="en-US" sz="900">
              <a:solidFill>
                <a:srgbClr val="000000"/>
              </a:solidFill>
              <a:effectLst/>
              <a:latin typeface="Arial" panose="020B0604020202020204" pitchFamily="34" charset="0"/>
              <a:ea typeface="Calibri" panose="020F0502020204030204" pitchFamily="34" charset="0"/>
              <a:cs typeface="Arial" panose="020B0604020202020204" pitchFamily="34" charset="0"/>
            </a:rPr>
            <a:t>CV% 6.19</a:t>
          </a:r>
        </a:p>
        <a:p xmlns:a="http://schemas.openxmlformats.org/drawingml/2006/main">
          <a:pPr marL="0" marR="0">
            <a:lnSpc>
              <a:spcPct val="107000"/>
            </a:lnSpc>
            <a:spcBef>
              <a:spcPts val="0"/>
            </a:spcBef>
            <a:spcAft>
              <a:spcPts val="0"/>
            </a:spcAft>
          </a:pPr>
          <a:r>
            <a:rPr lang="en-US" sz="900">
              <a:solidFill>
                <a:srgbClr val="000000"/>
              </a:solidFill>
              <a:effectLst/>
              <a:latin typeface="Arial" panose="020B0604020202020204" pitchFamily="34" charset="0"/>
              <a:ea typeface="Calibri" panose="020F0502020204030204" pitchFamily="34" charset="0"/>
              <a:cs typeface="Arial" panose="020B0604020202020204" pitchFamily="34" charset="0"/>
            </a:rPr>
            <a:t>LSD 0.089 </a:t>
          </a:r>
          <a:endParaRPr lang="en-US" sz="9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0.23814</cdr:x>
      <cdr:y>0.32991</cdr:y>
    </cdr:from>
    <cdr:to>
      <cdr:x>0.41388</cdr:x>
      <cdr:y>0.46667</cdr:y>
    </cdr:to>
    <cdr:sp macro="" textlink="">
      <cdr:nvSpPr>
        <cdr:cNvPr id="3" name="TextBox 2"/>
        <cdr:cNvSpPr txBox="1"/>
      </cdr:nvSpPr>
      <cdr:spPr>
        <a:xfrm xmlns:a="http://schemas.openxmlformats.org/drawingml/2006/main">
          <a:off x="1154103" y="1005356"/>
          <a:ext cx="851677" cy="416758"/>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latin typeface="Arial" panose="020B0604020202020204" pitchFamily="34" charset="0"/>
              <a:cs typeface="Arial" panose="020B0604020202020204" pitchFamily="34" charset="0"/>
            </a:rPr>
            <a:t>P</a:t>
          </a:r>
          <a:r>
            <a:rPr lang="en-US" sz="900" baseline="0">
              <a:latin typeface="Arial" panose="020B0604020202020204" pitchFamily="34" charset="0"/>
              <a:cs typeface="Arial" panose="020B0604020202020204" pitchFamily="34" charset="0"/>
            </a:rPr>
            <a:t> &lt;0.01</a:t>
          </a:r>
          <a:endParaRPr lang="en-US" sz="900">
            <a:latin typeface="Arial" panose="020B0604020202020204" pitchFamily="34" charset="0"/>
            <a:cs typeface="Arial" panose="020B0604020202020204" pitchFamily="34" charset="0"/>
          </a:endParaRPr>
        </a:p>
        <a:p xmlns:a="http://schemas.openxmlformats.org/drawingml/2006/main">
          <a:r>
            <a:rPr lang="en-US" sz="900" b="0" i="0" u="none" strike="noStrike">
              <a:solidFill>
                <a:schemeClr val="dk1"/>
              </a:solidFill>
              <a:effectLst/>
              <a:latin typeface="Arial" panose="020B0604020202020204" pitchFamily="34" charset="0"/>
              <a:ea typeface="+mn-ea"/>
              <a:cs typeface="Arial" panose="020B0604020202020204" pitchFamily="34" charset="0"/>
            </a:rPr>
            <a:t>CV%</a:t>
          </a:r>
          <a:r>
            <a:rPr lang="en-US" sz="900">
              <a:effectLst/>
              <a:latin typeface="Arial" panose="020B0604020202020204" pitchFamily="34" charset="0"/>
              <a:cs typeface="Arial" panose="020B0604020202020204" pitchFamily="34" charset="0"/>
            </a:rPr>
            <a:t> </a:t>
          </a:r>
          <a:r>
            <a:rPr lang="en-US" sz="900" b="0" i="0" u="none" strike="noStrike">
              <a:solidFill>
                <a:schemeClr val="dk1"/>
              </a:solidFill>
              <a:effectLst/>
              <a:latin typeface="Arial" panose="020B0604020202020204" pitchFamily="34" charset="0"/>
              <a:ea typeface="+mn-ea"/>
              <a:cs typeface="Arial" panose="020B0604020202020204" pitchFamily="34" charset="0"/>
            </a:rPr>
            <a:t>20.35</a:t>
          </a:r>
        </a:p>
        <a:p xmlns:a="http://schemas.openxmlformats.org/drawingml/2006/main">
          <a:r>
            <a:rPr lang="en-US" sz="900" b="0" i="0" u="none" strike="noStrike">
              <a:solidFill>
                <a:schemeClr val="dk1"/>
              </a:solidFill>
              <a:effectLst/>
              <a:latin typeface="Arial" panose="020B0604020202020204" pitchFamily="34" charset="0"/>
              <a:ea typeface="+mn-ea"/>
              <a:cs typeface="Arial" panose="020B0604020202020204" pitchFamily="34" charset="0"/>
            </a:rPr>
            <a:t>LSD 0.67</a:t>
          </a:r>
          <a:r>
            <a:rPr lang="en-US" sz="900">
              <a:effectLst/>
              <a:latin typeface="Arial" panose="020B0604020202020204" pitchFamily="34" charset="0"/>
              <a:cs typeface="Arial" panose="020B0604020202020204" pitchFamily="34" charset="0"/>
            </a:rPr>
            <a:t> </a:t>
          </a:r>
          <a:endParaRPr lang="en-US" sz="9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0.38485</cdr:x>
      <cdr:y>0.16147</cdr:y>
    </cdr:from>
    <cdr:to>
      <cdr:x>0.54068</cdr:x>
      <cdr:y>0.29822</cdr:y>
    </cdr:to>
    <cdr:sp macro="" textlink="">
      <cdr:nvSpPr>
        <cdr:cNvPr id="4" name="TextBox 2"/>
        <cdr:cNvSpPr txBox="1"/>
      </cdr:nvSpPr>
      <cdr:spPr>
        <a:xfrm xmlns:a="http://schemas.openxmlformats.org/drawingml/2006/main">
          <a:off x="1865106" y="492058"/>
          <a:ext cx="755191" cy="416727"/>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900">
              <a:latin typeface="Arial" panose="020B0604020202020204" pitchFamily="34" charset="0"/>
              <a:cs typeface="Arial" panose="020B0604020202020204" pitchFamily="34" charset="0"/>
            </a:rPr>
            <a:t>P</a:t>
          </a:r>
          <a:r>
            <a:rPr lang="en-US" sz="900" baseline="0">
              <a:latin typeface="Arial" panose="020B0604020202020204" pitchFamily="34" charset="0"/>
              <a:cs typeface="Arial" panose="020B0604020202020204" pitchFamily="34" charset="0"/>
            </a:rPr>
            <a:t> &lt;0.01</a:t>
          </a:r>
          <a:endParaRPr lang="en-US" sz="900">
            <a:latin typeface="Arial" panose="020B0604020202020204" pitchFamily="34" charset="0"/>
            <a:cs typeface="Arial" panose="020B0604020202020204" pitchFamily="34" charset="0"/>
          </a:endParaRPr>
        </a:p>
        <a:p xmlns:a="http://schemas.openxmlformats.org/drawingml/2006/main">
          <a:r>
            <a:rPr lang="en-US" sz="900" b="0" i="0" u="none" strike="noStrike">
              <a:solidFill>
                <a:schemeClr val="dk1"/>
              </a:solidFill>
              <a:effectLst/>
              <a:latin typeface="Arial" panose="020B0604020202020204" pitchFamily="34" charset="0"/>
              <a:ea typeface="+mn-ea"/>
              <a:cs typeface="Arial" panose="020B0604020202020204" pitchFamily="34" charset="0"/>
            </a:rPr>
            <a:t>CV%</a:t>
          </a:r>
          <a:r>
            <a:rPr lang="en-US" sz="900">
              <a:effectLst/>
              <a:latin typeface="Arial" panose="020B0604020202020204" pitchFamily="34" charset="0"/>
              <a:cs typeface="Arial" panose="020B0604020202020204" pitchFamily="34" charset="0"/>
            </a:rPr>
            <a:t> </a:t>
          </a:r>
          <a:r>
            <a:rPr lang="en-US" sz="900" b="0" i="0" u="none" strike="noStrike">
              <a:solidFill>
                <a:schemeClr val="dk1"/>
              </a:solidFill>
              <a:effectLst/>
              <a:latin typeface="Arial" panose="020B0604020202020204" pitchFamily="34" charset="0"/>
              <a:ea typeface="+mn-ea"/>
              <a:cs typeface="Arial" panose="020B0604020202020204" pitchFamily="34" charset="0"/>
            </a:rPr>
            <a:t>6.57</a:t>
          </a:r>
          <a:endParaRPr lang="en-US" sz="900">
            <a:effectLst/>
            <a:latin typeface="Arial" panose="020B0604020202020204" pitchFamily="34" charset="0"/>
            <a:cs typeface="Arial" panose="020B0604020202020204" pitchFamily="34" charset="0"/>
          </a:endParaRPr>
        </a:p>
        <a:p xmlns:a="http://schemas.openxmlformats.org/drawingml/2006/main">
          <a:r>
            <a:rPr lang="en-US" sz="900">
              <a:effectLst/>
              <a:latin typeface="Arial" panose="020B0604020202020204" pitchFamily="34" charset="0"/>
              <a:cs typeface="Arial" panose="020B0604020202020204" pitchFamily="34" charset="0"/>
            </a:rPr>
            <a:t>LSD 0.41</a:t>
          </a:r>
          <a:endParaRPr lang="en-US" sz="9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0.46946</cdr:x>
      <cdr:y>0</cdr:y>
    </cdr:from>
    <cdr:to>
      <cdr:x>0.63096</cdr:x>
      <cdr:y>0.13676</cdr:y>
    </cdr:to>
    <cdr:sp macro="" textlink="">
      <cdr:nvSpPr>
        <cdr:cNvPr id="5" name="TextBox 2"/>
        <cdr:cNvSpPr txBox="1"/>
      </cdr:nvSpPr>
      <cdr:spPr>
        <a:xfrm xmlns:a="http://schemas.openxmlformats.org/drawingml/2006/main">
          <a:off x="2275168" y="0"/>
          <a:ext cx="782664" cy="41675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900">
              <a:latin typeface="Times New Roman" panose="02020603050405020304" pitchFamily="18" charset="0"/>
              <a:cs typeface="Times New Roman" panose="02020603050405020304" pitchFamily="18" charset="0"/>
            </a:rPr>
            <a:t>P</a:t>
          </a:r>
          <a:r>
            <a:rPr lang="en-US" sz="900" baseline="0">
              <a:latin typeface="Times New Roman" panose="02020603050405020304" pitchFamily="18" charset="0"/>
              <a:cs typeface="Times New Roman" panose="02020603050405020304" pitchFamily="18" charset="0"/>
            </a:rPr>
            <a:t> &lt;0.01</a:t>
          </a:r>
          <a:endParaRPr lang="en-US" sz="900">
            <a:latin typeface="Times New Roman" panose="02020603050405020304" pitchFamily="18" charset="0"/>
            <a:cs typeface="Times New Roman" panose="02020603050405020304" pitchFamily="18" charset="0"/>
          </a:endParaRPr>
        </a:p>
        <a:p xmlns:a="http://schemas.openxmlformats.org/drawingml/2006/main">
          <a:r>
            <a:rPr lang="en-US" sz="900" b="0" i="0" u="none" strike="noStrike">
              <a:solidFill>
                <a:schemeClr val="dk1"/>
              </a:solidFill>
              <a:effectLst/>
              <a:latin typeface="Times New Roman" panose="02020603050405020304" pitchFamily="18" charset="0"/>
              <a:ea typeface="+mn-ea"/>
              <a:cs typeface="Times New Roman" panose="02020603050405020304" pitchFamily="18" charset="0"/>
            </a:rPr>
            <a:t>CV%</a:t>
          </a:r>
          <a:r>
            <a:rPr lang="en-US" sz="900">
              <a:effectLst/>
              <a:latin typeface="Times New Roman" panose="02020603050405020304" pitchFamily="18" charset="0"/>
              <a:cs typeface="Times New Roman" panose="02020603050405020304" pitchFamily="18" charset="0"/>
            </a:rPr>
            <a:t> </a:t>
          </a:r>
          <a:r>
            <a:rPr lang="en-US" sz="900" b="0" i="0" u="none" strike="noStrike">
              <a:solidFill>
                <a:schemeClr val="dk1"/>
              </a:solidFill>
              <a:effectLst/>
              <a:latin typeface="Times New Roman" panose="02020603050405020304" pitchFamily="18" charset="0"/>
              <a:ea typeface="+mn-ea"/>
              <a:cs typeface="Times New Roman" panose="02020603050405020304" pitchFamily="18" charset="0"/>
            </a:rPr>
            <a:t>34.72</a:t>
          </a:r>
        </a:p>
        <a:p xmlns:a="http://schemas.openxmlformats.org/drawingml/2006/main">
          <a:r>
            <a:rPr lang="en-US" sz="900" b="0" i="0" u="none" strike="noStrike">
              <a:solidFill>
                <a:schemeClr val="dk1"/>
              </a:solidFill>
              <a:effectLst/>
              <a:latin typeface="Times New Roman" panose="02020603050405020304" pitchFamily="18" charset="0"/>
              <a:ea typeface="+mn-ea"/>
              <a:cs typeface="Times New Roman" panose="02020603050405020304" pitchFamily="18" charset="0"/>
            </a:rPr>
            <a:t>LSD 3.787</a:t>
          </a:r>
          <a:r>
            <a:rPr lang="en-US" sz="900">
              <a:effectLst/>
              <a:latin typeface="Times New Roman" panose="02020603050405020304" pitchFamily="18" charset="0"/>
              <a:cs typeface="Times New Roman" panose="02020603050405020304" pitchFamily="18" charset="0"/>
            </a:rPr>
            <a:t> </a:t>
          </a:r>
          <a:endParaRPr lang="en-US" sz="9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0.68777</cdr:x>
      <cdr:y>0.00099</cdr:y>
    </cdr:from>
    <cdr:to>
      <cdr:x>0.84626</cdr:x>
      <cdr:y>0.13775</cdr:y>
    </cdr:to>
    <cdr:sp macro="" textlink="">
      <cdr:nvSpPr>
        <cdr:cNvPr id="6" name="TextBox 2"/>
        <cdr:cNvSpPr txBox="1"/>
      </cdr:nvSpPr>
      <cdr:spPr>
        <a:xfrm xmlns:a="http://schemas.openxmlformats.org/drawingml/2006/main">
          <a:off x="3333136" y="3017"/>
          <a:ext cx="768112" cy="41675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900">
              <a:latin typeface="Arial" panose="020B0604020202020204" pitchFamily="34" charset="0"/>
              <a:cs typeface="Arial" panose="020B0604020202020204" pitchFamily="34" charset="0"/>
            </a:rPr>
            <a:t>P</a:t>
          </a:r>
          <a:r>
            <a:rPr lang="en-US" sz="900" baseline="0">
              <a:latin typeface="Arial" panose="020B0604020202020204" pitchFamily="34" charset="0"/>
              <a:cs typeface="Arial" panose="020B0604020202020204" pitchFamily="34" charset="0"/>
            </a:rPr>
            <a:t> &lt;0.01</a:t>
          </a:r>
          <a:endParaRPr lang="en-US" sz="900">
            <a:latin typeface="Arial" panose="020B0604020202020204" pitchFamily="34" charset="0"/>
            <a:cs typeface="Arial" panose="020B0604020202020204" pitchFamily="34" charset="0"/>
          </a:endParaRPr>
        </a:p>
        <a:p xmlns:a="http://schemas.openxmlformats.org/drawingml/2006/main">
          <a:r>
            <a:rPr lang="en-US" sz="900" b="0" i="0" u="none" strike="noStrike">
              <a:solidFill>
                <a:schemeClr val="dk1"/>
              </a:solidFill>
              <a:effectLst/>
              <a:latin typeface="Arial" panose="020B0604020202020204" pitchFamily="34" charset="0"/>
              <a:ea typeface="+mn-ea"/>
              <a:cs typeface="Arial" panose="020B0604020202020204" pitchFamily="34" charset="0"/>
            </a:rPr>
            <a:t>CV%</a:t>
          </a:r>
          <a:r>
            <a:rPr lang="en-US" sz="900">
              <a:effectLst/>
              <a:latin typeface="Arial" panose="020B0604020202020204" pitchFamily="34" charset="0"/>
              <a:cs typeface="Arial" panose="020B0604020202020204" pitchFamily="34" charset="0"/>
            </a:rPr>
            <a:t> </a:t>
          </a:r>
          <a:r>
            <a:rPr lang="en-US" sz="900" b="0" i="0" u="none" strike="noStrike">
              <a:solidFill>
                <a:schemeClr val="dk1"/>
              </a:solidFill>
              <a:effectLst/>
              <a:latin typeface="Arial" panose="020B0604020202020204" pitchFamily="34" charset="0"/>
              <a:ea typeface="+mn-ea"/>
              <a:cs typeface="Arial" panose="020B0604020202020204" pitchFamily="34" charset="0"/>
            </a:rPr>
            <a:t>13.99</a:t>
          </a:r>
        </a:p>
        <a:p xmlns:a="http://schemas.openxmlformats.org/drawingml/2006/main">
          <a:r>
            <a:rPr lang="en-US" sz="900" b="0" i="0" u="none" strike="noStrike">
              <a:solidFill>
                <a:schemeClr val="dk1"/>
              </a:solidFill>
              <a:effectLst/>
              <a:latin typeface="Arial" panose="020B0604020202020204" pitchFamily="34" charset="0"/>
              <a:ea typeface="+mn-ea"/>
              <a:cs typeface="Arial" panose="020B0604020202020204" pitchFamily="34" charset="0"/>
            </a:rPr>
            <a:t>LSD  1.29</a:t>
          </a:r>
          <a:endParaRPr lang="en-US" sz="9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0.82877</cdr:x>
      <cdr:y>0</cdr:y>
    </cdr:from>
    <cdr:to>
      <cdr:x>1</cdr:x>
      <cdr:y>0.13676</cdr:y>
    </cdr:to>
    <cdr:sp macro="" textlink="">
      <cdr:nvSpPr>
        <cdr:cNvPr id="7" name="TextBox 2"/>
        <cdr:cNvSpPr txBox="1"/>
      </cdr:nvSpPr>
      <cdr:spPr>
        <a:xfrm xmlns:a="http://schemas.openxmlformats.org/drawingml/2006/main">
          <a:off x="4016479" y="0"/>
          <a:ext cx="829841" cy="35014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900">
              <a:latin typeface="Arial" panose="020B0604020202020204" pitchFamily="34" charset="0"/>
              <a:cs typeface="Arial" panose="020B0604020202020204" pitchFamily="34" charset="0"/>
            </a:rPr>
            <a:t>P</a:t>
          </a:r>
          <a:r>
            <a:rPr lang="en-US" sz="900" baseline="0">
              <a:latin typeface="Arial" panose="020B0604020202020204" pitchFamily="34" charset="0"/>
              <a:cs typeface="Arial" panose="020B0604020202020204" pitchFamily="34" charset="0"/>
            </a:rPr>
            <a:t> &lt;0.01</a:t>
          </a:r>
          <a:endParaRPr lang="en-US" sz="900">
            <a:latin typeface="Arial" panose="020B0604020202020204" pitchFamily="34" charset="0"/>
            <a:cs typeface="Arial" panose="020B0604020202020204" pitchFamily="34" charset="0"/>
          </a:endParaRPr>
        </a:p>
        <a:p xmlns:a="http://schemas.openxmlformats.org/drawingml/2006/main">
          <a:r>
            <a:rPr lang="en-US" sz="900" b="0" i="0" u="none" strike="noStrike">
              <a:solidFill>
                <a:schemeClr val="dk1"/>
              </a:solidFill>
              <a:effectLst/>
              <a:latin typeface="Arial" panose="020B0604020202020204" pitchFamily="34" charset="0"/>
              <a:ea typeface="+mn-ea"/>
              <a:cs typeface="Arial" panose="020B0604020202020204" pitchFamily="34" charset="0"/>
            </a:rPr>
            <a:t>CV%</a:t>
          </a:r>
          <a:r>
            <a:rPr lang="en-US" sz="900">
              <a:effectLst/>
              <a:latin typeface="Arial" panose="020B0604020202020204" pitchFamily="34" charset="0"/>
              <a:cs typeface="Arial" panose="020B0604020202020204" pitchFamily="34" charset="0"/>
            </a:rPr>
            <a:t> </a:t>
          </a:r>
          <a:r>
            <a:rPr lang="en-US" sz="900" b="0" i="0" u="none" strike="noStrike">
              <a:solidFill>
                <a:schemeClr val="dk1"/>
              </a:solidFill>
              <a:effectLst/>
              <a:latin typeface="Arial" panose="020B0604020202020204" pitchFamily="34" charset="0"/>
              <a:ea typeface="+mn-ea"/>
              <a:cs typeface="Arial" panose="020B0604020202020204" pitchFamily="34" charset="0"/>
            </a:rPr>
            <a:t>1.51</a:t>
          </a:r>
          <a:r>
            <a:rPr lang="en-US" sz="900">
              <a:effectLst/>
              <a:latin typeface="Arial" panose="020B0604020202020204" pitchFamily="34" charset="0"/>
              <a:cs typeface="Arial" panose="020B0604020202020204" pitchFamily="34" charset="0"/>
            </a:rPr>
            <a:t> </a:t>
          </a:r>
        </a:p>
        <a:p xmlns:a="http://schemas.openxmlformats.org/drawingml/2006/main">
          <a:r>
            <a:rPr lang="en-US" sz="900">
              <a:effectLst/>
              <a:latin typeface="Arial" panose="020B0604020202020204" pitchFamily="34" charset="0"/>
              <a:cs typeface="Arial" panose="020B0604020202020204" pitchFamily="34" charset="0"/>
            </a:rPr>
            <a:t>LSD  0.135</a:t>
          </a:r>
          <a:endParaRPr lang="en-US" sz="9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0.08698</cdr:x>
      <cdr:y>0.63056</cdr:y>
    </cdr:from>
    <cdr:to>
      <cdr:x>0.13096</cdr:x>
      <cdr:y>0.70645</cdr:y>
    </cdr:to>
    <cdr:sp macro="" textlink="">
      <cdr:nvSpPr>
        <cdr:cNvPr id="8" name="Text Box 1"/>
        <cdr:cNvSpPr txBox="1"/>
      </cdr:nvSpPr>
      <cdr:spPr>
        <a:xfrm xmlns:a="http://schemas.openxmlformats.org/drawingml/2006/main">
          <a:off x="531628" y="2088505"/>
          <a:ext cx="268804" cy="251369"/>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b</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0.11347</cdr:x>
      <cdr:y>0.61008</cdr:y>
    </cdr:from>
    <cdr:to>
      <cdr:x>0.15745</cdr:x>
      <cdr:y>0.68597</cdr:y>
    </cdr:to>
    <cdr:sp macro="" textlink="">
      <cdr:nvSpPr>
        <cdr:cNvPr id="9" name="Text Box 1"/>
        <cdr:cNvSpPr txBox="1"/>
      </cdr:nvSpPr>
      <cdr:spPr>
        <a:xfrm xmlns:a="http://schemas.openxmlformats.org/drawingml/2006/main">
          <a:off x="693494" y="2020675"/>
          <a:ext cx="268805" cy="251369"/>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a</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0.82081</cdr:x>
      <cdr:y>0.56681</cdr:y>
    </cdr:from>
    <cdr:to>
      <cdr:x>0.8648</cdr:x>
      <cdr:y>0.6427</cdr:y>
    </cdr:to>
    <cdr:sp macro="" textlink="">
      <cdr:nvSpPr>
        <cdr:cNvPr id="10" name="Text Box 26"/>
        <cdr:cNvSpPr txBox="1"/>
      </cdr:nvSpPr>
      <cdr:spPr>
        <a:xfrm xmlns:a="http://schemas.openxmlformats.org/drawingml/2006/main">
          <a:off x="5128256" y="2018457"/>
          <a:ext cx="274786" cy="270254"/>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solidFill>
                <a:sysClr val="windowText" lastClr="000000"/>
              </a:solidFill>
              <a:effectLst/>
              <a:latin typeface="Arial" panose="020B0604020202020204" pitchFamily="34" charset="0"/>
              <a:ea typeface="Calibri" panose="020F0502020204030204" pitchFamily="34" charset="0"/>
              <a:cs typeface="Arial" panose="020B0604020202020204" pitchFamily="34" charset="0"/>
            </a:rPr>
            <a:t>d</a:t>
          </a:r>
          <a:endParaRPr lang="en-US" sz="1100">
            <a:solidFill>
              <a:sysClr val="windowText" lastClr="000000"/>
            </a:solidFill>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0.84671</cdr:x>
      <cdr:y>0.49034</cdr:y>
    </cdr:from>
    <cdr:to>
      <cdr:x>0.89069</cdr:x>
      <cdr:y>0.56623</cdr:y>
    </cdr:to>
    <cdr:sp macro="" textlink="">
      <cdr:nvSpPr>
        <cdr:cNvPr id="11" name="Text Box 25"/>
        <cdr:cNvSpPr txBox="1"/>
      </cdr:nvSpPr>
      <cdr:spPr>
        <a:xfrm xmlns:a="http://schemas.openxmlformats.org/drawingml/2006/main">
          <a:off x="5290027" y="1746149"/>
          <a:ext cx="274785" cy="270254"/>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solidFill>
                <a:sysClr val="windowText" lastClr="000000"/>
              </a:solidFill>
              <a:effectLst/>
              <a:latin typeface="Arial" panose="020B0604020202020204" pitchFamily="34" charset="0"/>
              <a:ea typeface="Calibri" panose="020F0502020204030204" pitchFamily="34" charset="0"/>
              <a:cs typeface="Arial" panose="020B0604020202020204" pitchFamily="34" charset="0"/>
            </a:rPr>
            <a:t>c</a:t>
          </a:r>
          <a:endParaRPr lang="en-US" sz="1100">
            <a:solidFill>
              <a:sysClr val="windowText" lastClr="000000"/>
            </a:solidFill>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0.87573</cdr:x>
      <cdr:y>0.19888</cdr:y>
    </cdr:from>
    <cdr:to>
      <cdr:x>0.91971</cdr:x>
      <cdr:y>0.32019</cdr:y>
    </cdr:to>
    <cdr:sp macro="" textlink="">
      <cdr:nvSpPr>
        <cdr:cNvPr id="12" name="Text Box 24"/>
        <cdr:cNvSpPr txBox="1"/>
      </cdr:nvSpPr>
      <cdr:spPr>
        <a:xfrm xmlns:a="http://schemas.openxmlformats.org/drawingml/2006/main">
          <a:off x="4877433" y="606070"/>
          <a:ext cx="244958" cy="369681"/>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b</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0.91273</cdr:x>
      <cdr:y>0.13064</cdr:y>
    </cdr:from>
    <cdr:to>
      <cdr:x>0.95671</cdr:x>
      <cdr:y>0.22943</cdr:y>
    </cdr:to>
    <cdr:sp macro="" textlink="">
      <cdr:nvSpPr>
        <cdr:cNvPr id="13" name="Text Box 23"/>
        <cdr:cNvSpPr txBox="1"/>
      </cdr:nvSpPr>
      <cdr:spPr>
        <a:xfrm xmlns:a="http://schemas.openxmlformats.org/drawingml/2006/main">
          <a:off x="5702494" y="465221"/>
          <a:ext cx="274786" cy="35178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a</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0.77184</cdr:x>
      <cdr:y>0.16507</cdr:y>
    </cdr:from>
    <cdr:to>
      <cdr:x>0.81582</cdr:x>
      <cdr:y>0.24097</cdr:y>
    </cdr:to>
    <cdr:sp macro="" textlink="">
      <cdr:nvSpPr>
        <cdr:cNvPr id="14" name="Text Box 20"/>
        <cdr:cNvSpPr txBox="1"/>
      </cdr:nvSpPr>
      <cdr:spPr>
        <a:xfrm xmlns:a="http://schemas.openxmlformats.org/drawingml/2006/main">
          <a:off x="4298847" y="503041"/>
          <a:ext cx="244959" cy="231268"/>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a</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0.71805</cdr:x>
      <cdr:y>0.1745</cdr:y>
    </cdr:from>
    <cdr:to>
      <cdr:x>0.76204</cdr:x>
      <cdr:y>0.27177</cdr:y>
    </cdr:to>
    <cdr:sp macro="" textlink="">
      <cdr:nvSpPr>
        <cdr:cNvPr id="15" name="Text Box 19"/>
        <cdr:cNvSpPr txBox="1"/>
      </cdr:nvSpPr>
      <cdr:spPr>
        <a:xfrm xmlns:a="http://schemas.openxmlformats.org/drawingml/2006/main">
          <a:off x="3999260" y="531772"/>
          <a:ext cx="244960" cy="296421"/>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a</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0.69568</cdr:x>
      <cdr:y>0.4577</cdr:y>
    </cdr:from>
    <cdr:to>
      <cdr:x>0.73911</cdr:x>
      <cdr:y>0.56776</cdr:y>
    </cdr:to>
    <cdr:sp macro="" textlink="">
      <cdr:nvSpPr>
        <cdr:cNvPr id="16" name="Text Box 22"/>
        <cdr:cNvSpPr txBox="1"/>
      </cdr:nvSpPr>
      <cdr:spPr>
        <a:xfrm xmlns:a="http://schemas.openxmlformats.org/drawingml/2006/main">
          <a:off x="4251894" y="1515980"/>
          <a:ext cx="265430" cy="364523"/>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b</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0.66418</cdr:x>
      <cdr:y>0.55228</cdr:y>
    </cdr:from>
    <cdr:to>
      <cdr:x>0.70761</cdr:x>
      <cdr:y>0.62168</cdr:y>
    </cdr:to>
    <cdr:sp macro="" textlink="">
      <cdr:nvSpPr>
        <cdr:cNvPr id="17" name="Text Box 21"/>
        <cdr:cNvSpPr txBox="1"/>
      </cdr:nvSpPr>
      <cdr:spPr>
        <a:xfrm xmlns:a="http://schemas.openxmlformats.org/drawingml/2006/main">
          <a:off x="4059388" y="1829234"/>
          <a:ext cx="265430" cy="22987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c</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0.62528</cdr:x>
      <cdr:y>0.05315</cdr:y>
    </cdr:from>
    <cdr:to>
      <cdr:x>0.66871</cdr:x>
      <cdr:y>0.12255</cdr:y>
    </cdr:to>
    <cdr:sp macro="" textlink="">
      <cdr:nvSpPr>
        <cdr:cNvPr id="18" name="Text Box 15"/>
        <cdr:cNvSpPr txBox="1"/>
      </cdr:nvSpPr>
      <cdr:spPr>
        <a:xfrm xmlns:a="http://schemas.openxmlformats.org/drawingml/2006/main">
          <a:off x="3030290" y="161971"/>
          <a:ext cx="210476" cy="211488"/>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a</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0.55976</cdr:x>
      <cdr:y>0.15545</cdr:y>
    </cdr:from>
    <cdr:to>
      <cdr:x>0.60557</cdr:x>
      <cdr:y>0.24523</cdr:y>
    </cdr:to>
    <cdr:sp macro="" textlink="">
      <cdr:nvSpPr>
        <cdr:cNvPr id="19" name="Text Box 15"/>
        <cdr:cNvSpPr txBox="1"/>
      </cdr:nvSpPr>
      <cdr:spPr>
        <a:xfrm xmlns:a="http://schemas.openxmlformats.org/drawingml/2006/main">
          <a:off x="3117633" y="473706"/>
          <a:ext cx="255120" cy="273596"/>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a</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0.14555</cdr:x>
      <cdr:y>0.60044</cdr:y>
    </cdr:from>
    <cdr:to>
      <cdr:x>0.18898</cdr:x>
      <cdr:y>0.66984</cdr:y>
    </cdr:to>
    <cdr:sp macro="" textlink="">
      <cdr:nvSpPr>
        <cdr:cNvPr id="20" name="Text Box 15"/>
        <cdr:cNvSpPr txBox="1"/>
      </cdr:nvSpPr>
      <cdr:spPr>
        <a:xfrm xmlns:a="http://schemas.openxmlformats.org/drawingml/2006/main">
          <a:off x="889602" y="1988753"/>
          <a:ext cx="265430" cy="22987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a</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0.48278</cdr:x>
      <cdr:y>0.27832</cdr:y>
    </cdr:from>
    <cdr:to>
      <cdr:x>0.52621</cdr:x>
      <cdr:y>0.3379</cdr:y>
    </cdr:to>
    <cdr:sp macro="" textlink="">
      <cdr:nvSpPr>
        <cdr:cNvPr id="21" name="Text Box 15"/>
        <cdr:cNvSpPr txBox="1"/>
      </cdr:nvSpPr>
      <cdr:spPr>
        <a:xfrm xmlns:a="http://schemas.openxmlformats.org/drawingml/2006/main">
          <a:off x="2688890" y="848150"/>
          <a:ext cx="241880" cy="181543"/>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a</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0.304</cdr:x>
      <cdr:y>0.49467</cdr:y>
    </cdr:from>
    <cdr:to>
      <cdr:x>0.34743</cdr:x>
      <cdr:y>0.56407</cdr:y>
    </cdr:to>
    <cdr:sp macro="" textlink="">
      <cdr:nvSpPr>
        <cdr:cNvPr id="22" name="Text Box 15"/>
        <cdr:cNvSpPr txBox="1"/>
      </cdr:nvSpPr>
      <cdr:spPr>
        <a:xfrm xmlns:a="http://schemas.openxmlformats.org/drawingml/2006/main">
          <a:off x="1693151" y="1507444"/>
          <a:ext cx="241879" cy="211493"/>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a</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0.17858</cdr:x>
      <cdr:y>0.62224</cdr:y>
    </cdr:from>
    <cdr:to>
      <cdr:x>0.22201</cdr:x>
      <cdr:y>0.69164</cdr:y>
    </cdr:to>
    <cdr:sp macro="" textlink="">
      <cdr:nvSpPr>
        <cdr:cNvPr id="23" name="Text Box 15"/>
        <cdr:cNvSpPr txBox="1"/>
      </cdr:nvSpPr>
      <cdr:spPr>
        <a:xfrm xmlns:a="http://schemas.openxmlformats.org/drawingml/2006/main">
          <a:off x="1091466" y="2060942"/>
          <a:ext cx="265430" cy="22987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r>
            <a:rPr lang="en-US" sz="1100">
              <a:effectLst/>
              <a:latin typeface="Arial" panose="020B0604020202020204" pitchFamily="34" charset="0"/>
              <a:ea typeface="+mn-ea"/>
              <a:cs typeface="Arial" panose="020B0604020202020204" pitchFamily="34" charset="0"/>
            </a:rPr>
            <a:t>a</a:t>
          </a:r>
        </a:p>
      </cdr:txBody>
    </cdr:sp>
  </cdr:relSizeAnchor>
  <cdr:relSizeAnchor xmlns:cdr="http://schemas.openxmlformats.org/drawingml/2006/chartDrawing">
    <cdr:from>
      <cdr:x>0.4346</cdr:x>
      <cdr:y>0.37858</cdr:y>
    </cdr:from>
    <cdr:to>
      <cdr:x>0.47803</cdr:x>
      <cdr:y>0.48863</cdr:y>
    </cdr:to>
    <cdr:sp macro="" textlink="">
      <cdr:nvSpPr>
        <cdr:cNvPr id="24" name="Text Box 22"/>
        <cdr:cNvSpPr txBox="1"/>
      </cdr:nvSpPr>
      <cdr:spPr>
        <a:xfrm xmlns:a="http://schemas.openxmlformats.org/drawingml/2006/main">
          <a:off x="2420547" y="1153666"/>
          <a:ext cx="241880" cy="33538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b</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0.24122</cdr:x>
      <cdr:y>0.61767</cdr:y>
    </cdr:from>
    <cdr:to>
      <cdr:x>0.28465</cdr:x>
      <cdr:y>0.68707</cdr:y>
    </cdr:to>
    <cdr:sp macro="" textlink="">
      <cdr:nvSpPr>
        <cdr:cNvPr id="25" name="Text Box 21"/>
        <cdr:cNvSpPr txBox="1"/>
      </cdr:nvSpPr>
      <cdr:spPr>
        <a:xfrm xmlns:a="http://schemas.openxmlformats.org/drawingml/2006/main">
          <a:off x="1343523" y="1882266"/>
          <a:ext cx="241879" cy="211493"/>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c</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0.2656</cdr:x>
      <cdr:y>0.53521</cdr:y>
    </cdr:from>
    <cdr:to>
      <cdr:x>0.30104</cdr:x>
      <cdr:y>0.59844</cdr:y>
    </cdr:to>
    <cdr:sp macro="" textlink="">
      <cdr:nvSpPr>
        <cdr:cNvPr id="26" name="Text Box 22"/>
        <cdr:cNvSpPr txBox="1"/>
      </cdr:nvSpPr>
      <cdr:spPr>
        <a:xfrm xmlns:a="http://schemas.openxmlformats.org/drawingml/2006/main" flipH="1">
          <a:off x="1479296" y="1630969"/>
          <a:ext cx="197353" cy="192706"/>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b</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0.32884</cdr:x>
      <cdr:y>0.57407</cdr:y>
    </cdr:from>
    <cdr:to>
      <cdr:x>0.37226</cdr:x>
      <cdr:y>0.64347</cdr:y>
    </cdr:to>
    <cdr:sp macro="" textlink="">
      <cdr:nvSpPr>
        <cdr:cNvPr id="28" name="Text Box 21"/>
        <cdr:cNvSpPr txBox="1"/>
      </cdr:nvSpPr>
      <cdr:spPr>
        <a:xfrm xmlns:a="http://schemas.openxmlformats.org/drawingml/2006/main">
          <a:off x="1831480" y="1749409"/>
          <a:ext cx="241879" cy="211492"/>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c</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0.41437</cdr:x>
      <cdr:y>0.51239</cdr:y>
    </cdr:from>
    <cdr:to>
      <cdr:x>0.45124</cdr:x>
      <cdr:y>0.5802</cdr:y>
    </cdr:to>
    <cdr:sp macro="" textlink="">
      <cdr:nvSpPr>
        <cdr:cNvPr id="29" name="Text Box 21"/>
        <cdr:cNvSpPr txBox="1"/>
      </cdr:nvSpPr>
      <cdr:spPr>
        <a:xfrm xmlns:a="http://schemas.openxmlformats.org/drawingml/2006/main">
          <a:off x="2307873" y="1561450"/>
          <a:ext cx="205331" cy="206636"/>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c</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0.55741</cdr:x>
      <cdr:y>0.45263</cdr:y>
    </cdr:from>
    <cdr:to>
      <cdr:x>0.60084</cdr:x>
      <cdr:y>0.56269</cdr:y>
    </cdr:to>
    <cdr:sp macro="" textlink="">
      <cdr:nvSpPr>
        <cdr:cNvPr id="30" name="Text Box 22"/>
        <cdr:cNvSpPr txBox="1"/>
      </cdr:nvSpPr>
      <cdr:spPr>
        <a:xfrm xmlns:a="http://schemas.openxmlformats.org/drawingml/2006/main">
          <a:off x="2701403" y="1379340"/>
          <a:ext cx="210476" cy="335393"/>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b</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0.52407</cdr:x>
      <cdr:y>0.50541</cdr:y>
    </cdr:from>
    <cdr:to>
      <cdr:x>0.5675</cdr:x>
      <cdr:y>0.57106</cdr:y>
    </cdr:to>
    <cdr:sp macro="" textlink="">
      <cdr:nvSpPr>
        <cdr:cNvPr id="31" name="Text Box 22"/>
        <cdr:cNvSpPr txBox="1"/>
      </cdr:nvSpPr>
      <cdr:spPr>
        <a:xfrm xmlns:a="http://schemas.openxmlformats.org/drawingml/2006/main">
          <a:off x="3274270" y="1799790"/>
          <a:ext cx="271332" cy="23381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b</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0.37885</cdr:x>
      <cdr:y>0.52147</cdr:y>
    </cdr:from>
    <cdr:to>
      <cdr:x>0.41572</cdr:x>
      <cdr:y>0.58928</cdr:y>
    </cdr:to>
    <cdr:sp macro="" textlink="">
      <cdr:nvSpPr>
        <cdr:cNvPr id="32" name="Text Box 21"/>
        <cdr:cNvSpPr txBox="1"/>
      </cdr:nvSpPr>
      <cdr:spPr>
        <a:xfrm xmlns:a="http://schemas.openxmlformats.org/drawingml/2006/main">
          <a:off x="2366973" y="1857004"/>
          <a:ext cx="230334" cy="24147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c</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RLa14</b:Tag>
    <b:SourceType>Book</b:SourceType>
    <b:Guid>{284052C3-3A26-4F99-9CB5-FBA747CA9186}</b:Guid>
    <b:Author>
      <b:Author>
        <b:NameList>
          <b:Person>
            <b:Last>Stewart</b:Last>
            <b:First>R.Lal</b:First>
            <b:Middle>and B.A.</b:Middle>
          </b:Person>
        </b:NameList>
      </b:Author>
    </b:Author>
    <b:Title>Soil degradation: A Global Thread</b:Title>
    <b:Year>1990</b:Year>
    <b:City>New York</b:City>
    <b:Publisher>Springler-Verlog</b:Publisher>
    <b:RefOrder>1</b:RefOrder>
  </b:Source>
  <b:Source>
    <b:Tag>Sha19</b:Tag>
    <b:SourceType>ArticleInAPeriodical</b:SourceType>
    <b:Guid>{9C49A7BF-21AC-44D6-85A3-B98D43DD3BFC}</b:Guid>
    <b:Author>
      <b:Author>
        <b:NameList>
          <b:Person>
            <b:Last>Shah</b:Last>
            <b:First>Zhouheng</b:First>
            <b:Middle>Chen and Tavseef Mairaj</b:Middle>
          </b:Person>
        </b:NameList>
      </b:Author>
    </b:Author>
    <b:Title>An Introduction to the Global Soil Status</b:Title>
    <b:PeriodicalTitle>RUVIVAl Publication series, vol 5</b:PeriodicalTitle>
    <b:Year>2019</b:Year>
    <b:Pages>7-17</b:Pages>
    <b:RefOrder>3</b:RefOrder>
  </b:Source>
  <b:Source>
    <b:Tag>FAO83</b:Tag>
    <b:SourceType>Book</b:SourceType>
    <b:Guid>{ABB9C3D9-D1F2-48F2-8D02-BE86B920C508}</b:Guid>
    <b:Author>
      <b:Author>
        <b:NameList>
          <b:Person>
            <b:Last>FAO/UNEP</b:Last>
          </b:Person>
        </b:NameList>
      </b:Author>
    </b:Author>
    <b:Title>Guideline for the control of soil degradation</b:Title>
    <b:Year>1983</b:Year>
    <b:City>Rome, Italy</b:City>
    <b:Publisher>FAO</b:Publisher>
    <b:RefOrder>14</b:RefOrder>
  </b:Source>
  <b:Source>
    <b:Tag>TJL90</b:Tag>
    <b:SourceType>Book</b:SourceType>
    <b:Guid>{CE35A6B2-EAFA-405C-9900-FF1446A17770}</b:Guid>
    <b:Author>
      <b:Author>
        <b:NameList>
          <b:Person>
            <b:Last>Logan</b:Last>
            <b:First>T.J</b:First>
          </b:Person>
        </b:NameList>
      </b:Author>
    </b:Author>
    <b:Title>Chemical degradation of Soil</b:Title>
    <b:Year>1990</b:Year>
    <b:City>New York</b:City>
    <b:Publisher>Springer</b:Publisher>
    <b:RefOrder>15</b:RefOrder>
  </b:Source>
  <b:Source>
    <b:Tag>Old92</b:Tag>
    <b:SourceType>ArticleInAPeriodical</b:SourceType>
    <b:Guid>{F610C890-E914-4E30-B0E3-F716862363A4}</b:Guid>
    <b:Author>
      <b:Author>
        <b:NameList>
          <b:Person>
            <b:Last>Oldeman</b:Last>
            <b:First>L.R.</b:First>
          </b:Person>
        </b:NameList>
      </b:Author>
    </b:Author>
    <b:Title>Global Extent of Soil Degradation</b:Title>
    <b:Year>1992</b:Year>
    <b:Publisher>ISRIC Bi-Annual Report 1991-1992, pp. 19-36</b:Publisher>
    <b:PeriodicalTitle>bi-annual</b:PeriodicalTitle>
    <b:Pages>19-36</b:Pages>
    <b:RefOrder>16</b:RefOrder>
  </b:Source>
  <b:Source>
    <b:Tag>Sur13</b:Tag>
    <b:SourceType>JournalArticle</b:SourceType>
    <b:Guid>{AD57B5F6-2C23-4209-9F0B-96279E56E1D7}</b:Guid>
    <b:Author>
      <b:Author>
        <b:NameList>
          <b:Person>
            <b:Last>Surender Singh</b:Last>
            <b:First>Raman</b:First>
            <b:Middle>Jeet Shingh, KKyldeep Kumar, Balkar Singh</b:Middle>
          </b:Person>
        </b:NameList>
      </b:Author>
    </b:Author>
    <b:Title>Biofertlizers and Green manuring for sustainable agriculture</b:Title>
    <b:JournalName>ResearchGate</b:JournalName>
    <b:Year>2013</b:Year>
    <b:RefOrder>11</b:RefOrder>
  </b:Source>
  <b:Source>
    <b:Tag>Cha21</b:Tag>
    <b:SourceType>JournalArticle</b:SourceType>
    <b:Guid>{87241EE5-AC59-4962-9C69-2EB49E6E1961}</b:Guid>
    <b:Author>
      <b:Author>
        <b:NameList>
          <b:Person>
            <b:Last>Chanuan Uakarn</b:Last>
            <b:First>Kajohnsak</b:First>
            <b:Middle>Chaokromthond, Nittaya Sintao</b:Middle>
          </b:Person>
        </b:NameList>
      </b:Author>
    </b:Author>
    <b:Title>Sample Size Estimation using Yamane and Cochran and Krejcie and Morgan and Green Formulas and Cohen Statistical Power Analysis by G*Power and Comparisons</b:Title>
    <b:JournalName>Apheit International Journal</b:JournalName>
    <b:Year>2021</b:Year>
    <b:Pages>Volume 10 No.2 July, pages 76-87</b:Pages>
    <b:RefOrder>13</b:RefOrder>
  </b:Source>
  <b:Source>
    <b:Tag>DAL21</b:Tag>
    <b:SourceType>Report</b:SourceType>
    <b:Guid>{2D719ACF-B9D8-4166-B179-15CACBCC3792}</b:Guid>
    <b:Title>Statical Year Book</b:Title>
    <b:Year>2021</b:Year>
    <b:Author>
      <b:Author>
        <b:NameList>
          <b:Person>
            <b:Last>DALMS</b:Last>
          </b:Person>
        </b:NameList>
      </b:Author>
    </b:Author>
    <b:Publisher>Department of Agricultural Land Management and Statistic</b:Publisher>
    <b:City>Nay Pyi Taw</b:City>
    <b:RefOrder>12</b:RefOrder>
  </b:Source>
  <b:Source>
    <b:Tag>Gal03</b:Tag>
    <b:SourceType>JournalArticle</b:SourceType>
    <b:Guid>{F613C8BE-154B-484B-8688-B9B8AF4377AA}</b:Guid>
    <b:Title>The nitrogen cascade</b:Title>
    <b:Year>2003</b:Year>
    <b:Author>
      <b:Author>
        <b:NameList>
          <b:Person>
            <b:Last>Galloway</b:Last>
            <b:First>JN</b:First>
          </b:Person>
        </b:NameList>
      </b:Author>
    </b:Author>
    <b:JournalName>Biol Sci 53</b:JournalName>
    <b:Pages>341-356</b:Pages>
    <b:RefOrder>2</b:RefOrder>
  </b:Source>
  <b:Source>
    <b:Tag>SSu14</b:Tag>
    <b:SourceType>JournalArticle</b:SourceType>
    <b:Guid>{11BF8243-6321-4B40-831C-2369C0B1DCCB}</b:Guid>
    <b:Author>
      <b:Author>
        <b:NameList>
          <b:Person>
            <b:Last>S.Sulieman</b:Last>
          </b:Person>
        </b:NameList>
      </b:Author>
    </b:Author>
    <b:Title>Symbiotic nitrogen fixation in legume nodules: metabolism and regulatory mechanisms</b:Title>
    <b:JournalName>Int j Mol Sci 15</b:JournalName>
    <b:Year>2014</b:Year>
    <b:Pages>19389-19393</b:Pages>
    <b:RefOrder>4</b:RefOrder>
  </b:Source>
  <b:Source>
    <b:Tag>DLD02</b:Tag>
    <b:SourceType>JournalArticle</b:SourceType>
    <b:Guid>{53E53167-E7B9-44E6-8059-72B835BBAFD4}</b:Guid>
    <b:Author>
      <b:Author>
        <b:NameList>
          <b:Person>
            <b:Last>Dinnes</b:Last>
            <b:First>DL</b:First>
          </b:Person>
        </b:NameList>
      </b:Author>
    </b:Author>
    <b:Title>Nitrogen management strategies to reduce intrate leaching in tile-drained Midwestern soils</b:Title>
    <b:JournalName>Agron j 94</b:JournalName>
    <b:Year>2002</b:Year>
    <b:Pages>153-171</b:Pages>
    <b:RefOrder>5</b:RefOrder>
  </b:Source>
  <b:Source>
    <b:Tag>NKF05</b:Tag>
    <b:SourceType>JournalArticle</b:SourceType>
    <b:Guid>{BB3EDCA1-7234-40BA-A279-EB19C325CC3B}</b:Guid>
    <b:Author>
      <b:Author>
        <b:NameList>
          <b:Person>
            <b:Last>Fageria</b:Last>
            <b:First>NK</b:First>
          </b:Person>
        </b:NameList>
      </b:Author>
    </b:Author>
    <b:Title>Role of cover crops in improving soil and row crop productiviey</b:Title>
    <b:JournalName>Commum Soil Sci Plant Anal 36</b:JournalName>
    <b:Year>2005</b:Year>
    <b:Pages>2733-2757</b:Pages>
    <b:RefOrder>6</b:RefOrder>
  </b:Source>
  <b:Source>
    <b:Tag>MSS87</b:Tag>
    <b:SourceType>JournalArticle</b:SourceType>
    <b:Guid>{4A195CFC-8856-40E3-802F-4D2ADF30E30F}</b:Guid>
    <b:Author>
      <b:Author>
        <b:NameList>
          <b:Person>
            <b:Last>Smith</b:Last>
            <b:First>MS</b:First>
          </b:Person>
        </b:NameList>
      </b:Author>
    </b:Author>
    <b:Title>Legume winter cover crops</b:Title>
    <b:JournalName>Adv Soil Sci 7</b:JournalName>
    <b:Year>1987</b:Year>
    <b:Pages>95-139</b:Pages>
    <b:RefOrder>7</b:RefOrder>
  </b:Source>
  <b:Source>
    <b:Tag>GPR00</b:Tag>
    <b:SourceType>JournalArticle</b:SourceType>
    <b:Guid>{CE684991-0C3B-475B-A178-31D68E2183CB}</b:Guid>
    <b:Author>
      <b:Author>
        <b:NameList>
          <b:Person>
            <b:Last>Robertson</b:Last>
            <b:First>GP</b:First>
          </b:Person>
        </b:NameList>
      </b:Author>
    </b:Author>
    <b:Title>Greenhouse gases in intensive agriculture: contributions of individual gases to the radioactive forcing of the atmosphere</b:Title>
    <b:JournalName>Science 289</b:JournalName>
    <b:Year>2000</b:Year>
    <b:Pages>1922-1925</b:Pages>
    <b:RefOrder>8</b:RefOrder>
  </b:Source>
  <b:Source>
    <b:Tag>KPS11</b:Tag>
    <b:SourceType>JournalArticle</b:SourceType>
    <b:Guid>{F0695B3E-D290-48C9-83AF-BBA5BAD770F5}</b:Guid>
    <b:Author>
      <b:Author>
        <b:NameList>
          <b:Person>
            <b:Last>Shukla</b:Last>
            <b:First>KP</b:First>
          </b:Person>
        </b:NameList>
      </b:Author>
    </b:Author>
    <b:Title>Nature and role of root exudates, efficacy in bioremediation</b:Title>
    <b:JournalName>Afr J Biotechnol 10(48)</b:JournalName>
    <b:Year>2011</b:Year>
    <b:Pages>9717-9724</b:Pages>
    <b:RefOrder>9</b:RefOrder>
  </b:Source>
  <b:Source>
    <b:Tag>GJG76</b:Tag>
    <b:SourceType>JournalArticle</b:SourceType>
    <b:Guid>{165FB6AA-315D-4FC3-BAF3-8CBF7C66228E}</b:Guid>
    <b:Author>
      <b:Author>
        <b:NameList>
          <b:Person>
            <b:Last>Griffin</b:Last>
            <b:First>GJ</b:First>
          </b:Person>
        </b:NameList>
      </b:Author>
    </b:Author>
    <b:Title>Colonization of rye green manure and peanut fruit debries by Aspergillus flavus and Aspergillus niger group in field soils</b:Title>
    <b:JournalName>Appl Environ Microbiol 32 (1)</b:JournalName>
    <b:Year>1976</b:Year>
    <b:Pages>28-32</b:Pages>
    <b:RefOrder>10</b:RefOrder>
  </b:Source>
</b:Sources>
</file>

<file path=customXml/itemProps1.xml><?xml version="1.0" encoding="utf-8"?>
<ds:datastoreItem xmlns:ds="http://schemas.openxmlformats.org/officeDocument/2006/customXml" ds:itemID="{B356FDFE-4802-471B-9415-38695BF46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2825</TotalTime>
  <Pages>10</Pages>
  <Words>3965</Words>
  <Characters>22606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Editor-22</cp:lastModifiedBy>
  <cp:revision>129</cp:revision>
  <cp:lastPrinted>2024-06-08T13:37:00Z</cp:lastPrinted>
  <dcterms:created xsi:type="dcterms:W3CDTF">2024-04-03T01:54:00Z</dcterms:created>
  <dcterms:modified xsi:type="dcterms:W3CDTF">2025-04-07T12:52:00Z</dcterms:modified>
</cp:coreProperties>
</file>